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92027D4" w:rsidR="00457BB8" w:rsidRPr="00E213BC" w:rsidRDefault="00457BB8" w:rsidP="00E213BC">
      <w:pPr>
        <w:spacing w:line="360" w:lineRule="auto"/>
        <w:jc w:val="both"/>
        <w:rPr>
          <w:rFonts w:ascii="Palatino Linotype" w:hAnsi="Palatino Linotype"/>
          <w:color w:val="000000" w:themeColor="text1"/>
        </w:rPr>
      </w:pPr>
      <w:r w:rsidRPr="00E213B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A76E3E">
        <w:rPr>
          <w:rFonts w:ascii="Palatino Linotype" w:hAnsi="Palatino Linotype"/>
          <w:color w:val="000000" w:themeColor="text1"/>
        </w:rPr>
        <w:t>seis</w:t>
      </w:r>
      <w:r w:rsidR="00CE1274" w:rsidRPr="00E213BC">
        <w:rPr>
          <w:rFonts w:ascii="Palatino Linotype" w:hAnsi="Palatino Linotype"/>
          <w:color w:val="000000" w:themeColor="text1"/>
        </w:rPr>
        <w:t xml:space="preserve"> de octubre d</w:t>
      </w:r>
      <w:r w:rsidRPr="00E213BC">
        <w:rPr>
          <w:rFonts w:ascii="Palatino Linotype" w:hAnsi="Palatino Linotype"/>
          <w:color w:val="000000" w:themeColor="text1"/>
        </w:rPr>
        <w:t>e dos mil veint</w:t>
      </w:r>
      <w:r w:rsidR="00E66061" w:rsidRPr="00E213BC">
        <w:rPr>
          <w:rFonts w:ascii="Palatino Linotype" w:hAnsi="Palatino Linotype"/>
          <w:color w:val="000000" w:themeColor="text1"/>
        </w:rPr>
        <w:t>iuno.</w:t>
      </w:r>
    </w:p>
    <w:p w14:paraId="28464D58" w14:textId="77777777" w:rsidR="00457BB8" w:rsidRPr="00E213BC" w:rsidRDefault="00457BB8" w:rsidP="00E213BC">
      <w:pPr>
        <w:spacing w:line="360" w:lineRule="auto"/>
        <w:jc w:val="both"/>
        <w:rPr>
          <w:rFonts w:ascii="Palatino Linotype" w:hAnsi="Palatino Linotype"/>
          <w:color w:val="000000" w:themeColor="text1"/>
        </w:rPr>
      </w:pPr>
    </w:p>
    <w:p w14:paraId="2C11FACB" w14:textId="45FDD1B9" w:rsidR="00457BB8" w:rsidRPr="00E213BC" w:rsidRDefault="00457BB8" w:rsidP="00E213BC">
      <w:pPr>
        <w:spacing w:line="360" w:lineRule="auto"/>
        <w:jc w:val="both"/>
        <w:rPr>
          <w:rFonts w:ascii="Palatino Linotype" w:hAnsi="Palatino Linotype"/>
          <w:b/>
          <w:color w:val="000000" w:themeColor="text1"/>
        </w:rPr>
      </w:pPr>
      <w:r w:rsidRPr="00E213BC">
        <w:rPr>
          <w:rFonts w:ascii="Palatino Linotype" w:hAnsi="Palatino Linotype"/>
          <w:b/>
          <w:color w:val="000000" w:themeColor="text1"/>
        </w:rPr>
        <w:t>VISTO</w:t>
      </w:r>
      <w:r w:rsidRPr="00E213BC">
        <w:rPr>
          <w:rFonts w:ascii="Palatino Linotype" w:hAnsi="Palatino Linotype"/>
          <w:color w:val="000000" w:themeColor="text1"/>
        </w:rPr>
        <w:t xml:space="preserve"> el expediente formado con motivo del recurso de revisión </w:t>
      </w:r>
      <w:r w:rsidR="00F621F3" w:rsidRPr="00E213BC">
        <w:rPr>
          <w:rFonts w:ascii="Palatino Linotype" w:hAnsi="Palatino Linotype"/>
          <w:b/>
          <w:color w:val="000000" w:themeColor="text1"/>
        </w:rPr>
        <w:t>0</w:t>
      </w:r>
      <w:r w:rsidR="000C5D0F" w:rsidRPr="00E213BC">
        <w:rPr>
          <w:rFonts w:ascii="Palatino Linotype" w:hAnsi="Palatino Linotype"/>
          <w:b/>
          <w:color w:val="000000" w:themeColor="text1"/>
        </w:rPr>
        <w:t>464</w:t>
      </w:r>
      <w:r w:rsidR="002C3E62" w:rsidRPr="00E213BC">
        <w:rPr>
          <w:rFonts w:ascii="Palatino Linotype" w:hAnsi="Palatino Linotype"/>
          <w:b/>
          <w:color w:val="000000" w:themeColor="text1"/>
        </w:rPr>
        <w:t>2</w:t>
      </w:r>
      <w:r w:rsidRPr="00E213BC">
        <w:rPr>
          <w:rFonts w:ascii="Palatino Linotype" w:hAnsi="Palatino Linotype"/>
          <w:b/>
          <w:color w:val="000000" w:themeColor="text1"/>
        </w:rPr>
        <w:t>/INFOEM/IP/RR/202</w:t>
      </w:r>
      <w:r w:rsidR="00B96752" w:rsidRPr="00E213BC">
        <w:rPr>
          <w:rFonts w:ascii="Palatino Linotype" w:hAnsi="Palatino Linotype"/>
          <w:b/>
          <w:color w:val="000000" w:themeColor="text1"/>
        </w:rPr>
        <w:t>1</w:t>
      </w:r>
      <w:r w:rsidRPr="00E213BC">
        <w:rPr>
          <w:rFonts w:ascii="Palatino Linotype" w:hAnsi="Palatino Linotype"/>
          <w:color w:val="000000" w:themeColor="text1"/>
        </w:rPr>
        <w:t>, promovido por</w:t>
      </w:r>
      <w:r w:rsidR="00D65DC2" w:rsidRPr="00E213BC">
        <w:rPr>
          <w:rFonts w:ascii="Palatino Linotype" w:hAnsi="Palatino Linotype"/>
          <w:color w:val="000000" w:themeColor="text1"/>
        </w:rPr>
        <w:t xml:space="preserve"> </w:t>
      </w:r>
      <w:r w:rsidR="00A27FE7" w:rsidRPr="00E213BC">
        <w:rPr>
          <w:rFonts w:ascii="Palatino Linotype" w:hAnsi="Palatino Linotype"/>
          <w:color w:val="000000" w:themeColor="text1"/>
        </w:rPr>
        <w:t xml:space="preserve">el C. </w:t>
      </w:r>
      <w:r w:rsidR="00CC5118">
        <w:rPr>
          <w:rFonts w:ascii="Palatino Linotype" w:hAnsi="Palatino Linotype"/>
          <w:b/>
          <w:color w:val="000000" w:themeColor="text1"/>
        </w:rPr>
        <w:t>XXXXXX XXXXXXX XXXX</w:t>
      </w:r>
      <w:r w:rsidR="00D65DC2" w:rsidRPr="00E213BC">
        <w:rPr>
          <w:rFonts w:ascii="Palatino Linotype" w:hAnsi="Palatino Linotype"/>
          <w:b/>
          <w:color w:val="000000" w:themeColor="text1"/>
          <w:lang w:val="es-ES"/>
        </w:rPr>
        <w:t>,</w:t>
      </w:r>
      <w:r w:rsidRPr="00E213BC">
        <w:rPr>
          <w:rFonts w:ascii="Palatino Linotype" w:hAnsi="Palatino Linotype" w:cs="Arial"/>
          <w:b/>
          <w:color w:val="000000" w:themeColor="text1"/>
        </w:rPr>
        <w:t xml:space="preserve"> </w:t>
      </w:r>
      <w:r w:rsidRPr="00E213BC">
        <w:rPr>
          <w:rFonts w:ascii="Palatino Linotype" w:hAnsi="Palatino Linotype" w:cs="Arial"/>
          <w:color w:val="000000" w:themeColor="text1"/>
        </w:rPr>
        <w:t>en lo sucesivo</w:t>
      </w:r>
      <w:r w:rsidRPr="00E213BC">
        <w:rPr>
          <w:rFonts w:ascii="Palatino Linotype" w:hAnsi="Palatino Linotype" w:cs="Arial"/>
          <w:b/>
          <w:color w:val="000000" w:themeColor="text1"/>
        </w:rPr>
        <w:t xml:space="preserve"> </w:t>
      </w:r>
      <w:r w:rsidR="00D900CC" w:rsidRPr="00E213BC">
        <w:rPr>
          <w:rFonts w:ascii="Palatino Linotype" w:hAnsi="Palatino Linotype" w:cs="Arial"/>
          <w:b/>
          <w:color w:val="000000" w:themeColor="text1"/>
        </w:rPr>
        <w:t xml:space="preserve">EL </w:t>
      </w:r>
      <w:r w:rsidRPr="00E213BC">
        <w:rPr>
          <w:rFonts w:ascii="Palatino Linotype" w:hAnsi="Palatino Linotype" w:cs="Arial"/>
          <w:b/>
          <w:color w:val="000000" w:themeColor="text1"/>
        </w:rPr>
        <w:t>RECURRENTE,</w:t>
      </w:r>
      <w:r w:rsidRPr="00E213BC">
        <w:rPr>
          <w:rFonts w:ascii="Palatino Linotype" w:hAnsi="Palatino Linotype"/>
          <w:color w:val="000000" w:themeColor="text1"/>
        </w:rPr>
        <w:t xml:space="preserve"> en contra de la respuesta emitida por el </w:t>
      </w:r>
      <w:r w:rsidR="000C5D0F" w:rsidRPr="00E213BC">
        <w:rPr>
          <w:rFonts w:ascii="Palatino Linotype" w:hAnsi="Palatino Linotype"/>
          <w:b/>
          <w:color w:val="000000" w:themeColor="text1"/>
        </w:rPr>
        <w:t>Sistema Municipal Para el Desarrollo Integral de la Familia de Naucalpan de Juárez</w:t>
      </w:r>
      <w:r w:rsidRPr="00E213BC">
        <w:rPr>
          <w:rFonts w:ascii="Palatino Linotype" w:hAnsi="Palatino Linotype"/>
          <w:b/>
          <w:color w:val="000000" w:themeColor="text1"/>
        </w:rPr>
        <w:t xml:space="preserve">, </w:t>
      </w:r>
      <w:r w:rsidRPr="00E213BC">
        <w:rPr>
          <w:rFonts w:ascii="Palatino Linotype" w:hAnsi="Palatino Linotype"/>
          <w:color w:val="000000" w:themeColor="text1"/>
        </w:rPr>
        <w:t xml:space="preserve">en lo sucesivo </w:t>
      </w:r>
      <w:r w:rsidRPr="00E213BC">
        <w:rPr>
          <w:rFonts w:ascii="Palatino Linotype" w:hAnsi="Palatino Linotype"/>
          <w:b/>
          <w:color w:val="000000" w:themeColor="text1"/>
        </w:rPr>
        <w:t>EL SUJETO OBLIGADO</w:t>
      </w:r>
      <w:r w:rsidRPr="00E213BC">
        <w:rPr>
          <w:rFonts w:ascii="Palatino Linotype" w:hAnsi="Palatino Linotype"/>
          <w:color w:val="000000" w:themeColor="text1"/>
        </w:rPr>
        <w:t xml:space="preserve">, se procede a dictar la presente resolución con base en lo siguiente: </w:t>
      </w:r>
    </w:p>
    <w:p w14:paraId="48CEFEB5" w14:textId="77777777" w:rsidR="00457BB8" w:rsidRPr="00E213BC" w:rsidRDefault="00457BB8" w:rsidP="00E213BC">
      <w:pPr>
        <w:jc w:val="center"/>
        <w:rPr>
          <w:rFonts w:ascii="Palatino Linotype" w:hAnsi="Palatino Linotype"/>
          <w:color w:val="000000" w:themeColor="text1"/>
        </w:rPr>
      </w:pPr>
    </w:p>
    <w:p w14:paraId="480E521A" w14:textId="77777777" w:rsidR="00457BB8" w:rsidRPr="00E213BC" w:rsidRDefault="00457BB8" w:rsidP="00E213BC">
      <w:pPr>
        <w:jc w:val="center"/>
        <w:rPr>
          <w:rFonts w:ascii="Palatino Linotype" w:hAnsi="Palatino Linotype"/>
          <w:b/>
          <w:bCs/>
          <w:color w:val="000000" w:themeColor="text1"/>
          <w:spacing w:val="40"/>
          <w:sz w:val="28"/>
        </w:rPr>
      </w:pPr>
      <w:r w:rsidRPr="00E213BC">
        <w:rPr>
          <w:rFonts w:ascii="Palatino Linotype" w:hAnsi="Palatino Linotype"/>
          <w:b/>
          <w:bCs/>
          <w:color w:val="000000" w:themeColor="text1"/>
          <w:spacing w:val="40"/>
          <w:sz w:val="28"/>
        </w:rPr>
        <w:t>RESULTANDO</w:t>
      </w:r>
    </w:p>
    <w:p w14:paraId="68707BF2" w14:textId="77777777" w:rsidR="00457BB8" w:rsidRPr="00E213BC" w:rsidRDefault="00457BB8" w:rsidP="00E213BC">
      <w:pPr>
        <w:jc w:val="center"/>
        <w:rPr>
          <w:rFonts w:ascii="Palatino Linotype" w:hAnsi="Palatino Linotype"/>
          <w:b/>
          <w:bCs/>
          <w:color w:val="000000" w:themeColor="text1"/>
          <w:spacing w:val="40"/>
        </w:rPr>
      </w:pPr>
    </w:p>
    <w:p w14:paraId="3E4FDE36" w14:textId="12112846" w:rsidR="00457BB8" w:rsidRPr="00E213BC" w:rsidRDefault="00457BB8" w:rsidP="00E213BC">
      <w:pPr>
        <w:spacing w:line="360" w:lineRule="auto"/>
        <w:jc w:val="both"/>
        <w:rPr>
          <w:rFonts w:ascii="Palatino Linotype" w:hAnsi="Palatino Linotype" w:cs="Arial"/>
          <w:color w:val="000000" w:themeColor="text1"/>
          <w:lang w:val="es-ES"/>
        </w:rPr>
      </w:pPr>
      <w:r w:rsidRPr="00E213BC">
        <w:rPr>
          <w:rFonts w:ascii="Palatino Linotype" w:hAnsi="Palatino Linotype"/>
          <w:b/>
          <w:color w:val="000000" w:themeColor="text1"/>
          <w:sz w:val="28"/>
          <w:szCs w:val="28"/>
        </w:rPr>
        <w:t xml:space="preserve">I. </w:t>
      </w:r>
      <w:r w:rsidRPr="00E213BC">
        <w:rPr>
          <w:rFonts w:ascii="Palatino Linotype" w:hAnsi="Palatino Linotype" w:cs="Arial"/>
          <w:color w:val="000000" w:themeColor="text1"/>
        </w:rPr>
        <w:t xml:space="preserve">En </w:t>
      </w:r>
      <w:r w:rsidRPr="00E213BC">
        <w:rPr>
          <w:rFonts w:ascii="Palatino Linotype" w:hAnsi="Palatino Linotype" w:cs="Arial"/>
          <w:color w:val="000000" w:themeColor="text1"/>
          <w:lang w:val="es-ES"/>
        </w:rPr>
        <w:t>fecha</w:t>
      </w:r>
      <w:r w:rsidR="00A829E4" w:rsidRPr="00E213BC">
        <w:rPr>
          <w:rFonts w:ascii="Palatino Linotype" w:hAnsi="Palatino Linotype" w:cs="Arial"/>
          <w:color w:val="000000" w:themeColor="text1"/>
          <w:lang w:val="es-ES"/>
        </w:rPr>
        <w:t xml:space="preserve"> </w:t>
      </w:r>
      <w:r w:rsidR="000C5D0F" w:rsidRPr="00E213BC">
        <w:rPr>
          <w:rFonts w:ascii="Palatino Linotype" w:hAnsi="Palatino Linotype" w:cs="Arial"/>
          <w:color w:val="000000" w:themeColor="text1"/>
          <w:lang w:val="es-ES"/>
        </w:rPr>
        <w:t xml:space="preserve">diecinueve </w:t>
      </w:r>
      <w:r w:rsidR="00D65DC2" w:rsidRPr="00E213BC">
        <w:rPr>
          <w:rFonts w:ascii="Palatino Linotype" w:hAnsi="Palatino Linotype" w:cs="Arial"/>
          <w:color w:val="000000" w:themeColor="text1"/>
          <w:lang w:val="es-ES"/>
        </w:rPr>
        <w:t xml:space="preserve">de </w:t>
      </w:r>
      <w:r w:rsidR="000C5D0F" w:rsidRPr="00E213BC">
        <w:rPr>
          <w:rFonts w:ascii="Palatino Linotype" w:hAnsi="Palatino Linotype" w:cs="Arial"/>
          <w:color w:val="000000" w:themeColor="text1"/>
          <w:lang w:val="es-ES"/>
        </w:rPr>
        <w:t>agosto d</w:t>
      </w:r>
      <w:r w:rsidR="00D65DC2" w:rsidRPr="00E213BC">
        <w:rPr>
          <w:rFonts w:ascii="Palatino Linotype" w:hAnsi="Palatino Linotype" w:cs="Arial"/>
          <w:color w:val="000000" w:themeColor="text1"/>
          <w:lang w:val="es-ES"/>
        </w:rPr>
        <w:t>e dos mil veintiuno</w:t>
      </w:r>
      <w:r w:rsidR="00A829E4" w:rsidRPr="00E213BC">
        <w:rPr>
          <w:rFonts w:ascii="Palatino Linotype" w:hAnsi="Palatino Linotype" w:cs="Arial"/>
          <w:color w:val="000000" w:themeColor="text1"/>
          <w:lang w:val="es-ES"/>
        </w:rPr>
        <w:t xml:space="preserve">, </w:t>
      </w:r>
      <w:r w:rsidR="00A829E4" w:rsidRPr="00E213BC">
        <w:rPr>
          <w:rFonts w:ascii="Palatino Linotype" w:hAnsi="Palatino Linotype"/>
          <w:b/>
          <w:color w:val="000000" w:themeColor="text1"/>
          <w:lang w:val="es-ES"/>
        </w:rPr>
        <w:t>EL RECURRENTE</w:t>
      </w:r>
      <w:r w:rsidR="00A829E4" w:rsidRPr="00E213BC">
        <w:rPr>
          <w:rFonts w:ascii="Palatino Linotype" w:hAnsi="Palatino Linotype" w:cs="Arial"/>
          <w:color w:val="000000" w:themeColor="text1"/>
          <w:lang w:val="es-ES"/>
        </w:rPr>
        <w:t xml:space="preserve"> </w:t>
      </w:r>
      <w:r w:rsidR="00A829E4" w:rsidRPr="00E213BC">
        <w:rPr>
          <w:rFonts w:ascii="Palatino Linotype" w:hAnsi="Palatino Linotype" w:cs="Arial"/>
          <w:color w:val="000000" w:themeColor="text1"/>
        </w:rPr>
        <w:t xml:space="preserve">presentó a través del Sistema de Acceso a la Información Mexiquense, en lo subsecuente </w:t>
      </w:r>
      <w:r w:rsidR="00A829E4" w:rsidRPr="00E213BC">
        <w:rPr>
          <w:rFonts w:ascii="Palatino Linotype" w:hAnsi="Palatino Linotype" w:cs="Arial"/>
          <w:b/>
          <w:color w:val="000000" w:themeColor="text1"/>
        </w:rPr>
        <w:t>EL SAIMEX</w:t>
      </w:r>
      <w:r w:rsidR="00A829E4" w:rsidRPr="00E213BC">
        <w:rPr>
          <w:rFonts w:ascii="Palatino Linotype" w:hAnsi="Palatino Linotype" w:cs="Arial"/>
          <w:color w:val="000000" w:themeColor="text1"/>
        </w:rPr>
        <w:t xml:space="preserve"> ante </w:t>
      </w:r>
      <w:r w:rsidR="00A829E4" w:rsidRPr="00E213BC">
        <w:rPr>
          <w:rFonts w:ascii="Palatino Linotype" w:hAnsi="Palatino Linotype" w:cs="Arial"/>
          <w:b/>
          <w:color w:val="000000" w:themeColor="text1"/>
        </w:rPr>
        <w:t>EL SUJETO OBLIGADO</w:t>
      </w:r>
      <w:r w:rsidR="00A829E4" w:rsidRPr="00E213BC">
        <w:rPr>
          <w:rFonts w:ascii="Palatino Linotype" w:hAnsi="Palatino Linotype" w:cs="Arial"/>
          <w:color w:val="000000" w:themeColor="text1"/>
          <w:lang w:val="es-ES"/>
        </w:rPr>
        <w:t xml:space="preserve">, </w:t>
      </w:r>
      <w:r w:rsidR="00740BA5" w:rsidRPr="00E213BC">
        <w:rPr>
          <w:rFonts w:ascii="Palatino Linotype" w:hAnsi="Palatino Linotype" w:cs="Arial"/>
          <w:color w:val="000000" w:themeColor="text1"/>
          <w:lang w:val="es-ES"/>
        </w:rPr>
        <w:t>la solicitud de acceso a la información pública, a la que se le asignó el número de expediente</w:t>
      </w:r>
      <w:r w:rsidRPr="00E213BC">
        <w:rPr>
          <w:rFonts w:ascii="Palatino Linotype" w:hAnsi="Palatino Linotype" w:cs="Arial"/>
          <w:color w:val="000000" w:themeColor="text1"/>
          <w:lang w:val="es-ES"/>
        </w:rPr>
        <w:t xml:space="preserve"> </w:t>
      </w:r>
      <w:r w:rsidR="000C5D0F" w:rsidRPr="00E213BC">
        <w:rPr>
          <w:rFonts w:ascii="Palatino Linotype" w:hAnsi="Palatino Linotype" w:cs="Arial"/>
          <w:b/>
          <w:color w:val="000000" w:themeColor="text1"/>
        </w:rPr>
        <w:t>00022/DIFNAUCAL/IP/2021</w:t>
      </w:r>
      <w:r w:rsidRPr="00E213BC">
        <w:rPr>
          <w:rFonts w:ascii="Palatino Linotype" w:hAnsi="Palatino Linotype" w:cs="Arial"/>
          <w:color w:val="000000" w:themeColor="text1"/>
          <w:lang w:val="es-ES"/>
        </w:rPr>
        <w:t>, mediante la cual solicitó:</w:t>
      </w:r>
    </w:p>
    <w:p w14:paraId="048F817F" w14:textId="77777777" w:rsidR="009A51FC" w:rsidRPr="00E213BC" w:rsidRDefault="009A51FC" w:rsidP="00E213BC">
      <w:pPr>
        <w:tabs>
          <w:tab w:val="left" w:pos="851"/>
        </w:tabs>
        <w:ind w:left="851" w:right="901"/>
        <w:jc w:val="both"/>
        <w:rPr>
          <w:rFonts w:ascii="Palatino Linotype" w:hAnsi="Palatino Linotype" w:cs="Arial"/>
          <w:i/>
          <w:color w:val="000000" w:themeColor="text1"/>
          <w:sz w:val="22"/>
          <w:szCs w:val="22"/>
        </w:rPr>
      </w:pPr>
    </w:p>
    <w:p w14:paraId="13BC2DF0" w14:textId="1793D8BF" w:rsidR="00457BB8" w:rsidRPr="00E213BC" w:rsidRDefault="00457BB8" w:rsidP="00E213BC">
      <w:pPr>
        <w:tabs>
          <w:tab w:val="left" w:pos="851"/>
        </w:tabs>
        <w:ind w:left="851" w:right="901"/>
        <w:jc w:val="both"/>
        <w:rPr>
          <w:rFonts w:ascii="Palatino Linotype" w:hAnsi="Palatino Linotype" w:cs="Arial"/>
          <w:i/>
          <w:color w:val="000000" w:themeColor="text1"/>
          <w:sz w:val="22"/>
          <w:szCs w:val="22"/>
        </w:rPr>
      </w:pPr>
      <w:r w:rsidRPr="00E213BC">
        <w:rPr>
          <w:rFonts w:ascii="Palatino Linotype" w:hAnsi="Palatino Linotype" w:cs="Arial"/>
          <w:i/>
          <w:color w:val="000000" w:themeColor="text1"/>
          <w:sz w:val="22"/>
          <w:szCs w:val="22"/>
        </w:rPr>
        <w:t>“</w:t>
      </w:r>
      <w:r w:rsidR="000C5D0F" w:rsidRPr="00E213BC">
        <w:rPr>
          <w:rFonts w:ascii="Palatino Linotype" w:hAnsi="Palatino Linotype" w:cs="Arial"/>
          <w:i/>
          <w:color w:val="000000" w:themeColor="text1"/>
          <w:sz w:val="22"/>
          <w:szCs w:val="22"/>
        </w:rPr>
        <w:t xml:space="preserve">Buenas tarde por medio de la presente y con fundamento en el artículo 8 constitucional el cual establece que a toda petición realizada por escrito tendrá que ser atendida por la autoridad dirigida por escrita por lo que en términos de lo anterior tengo a bien solicitar la siguiente información: 1- Listado clasificado por descripción del puesto, área de adscripción y percepción obtenida por el mes de enero del 2021 de todo el personal adscrito al sistema municipal DIF Naucalpan 2- Listado clasificado por descripción del puesto, área de adscripción y percepción obtenida por el mes de agosto del 2021 de todo el personal adscrito al sistema municipal DIF Naucalpan 3- </w:t>
      </w:r>
      <w:r w:rsidR="000C5D0F" w:rsidRPr="00E213BC">
        <w:rPr>
          <w:rFonts w:ascii="Palatino Linotype" w:hAnsi="Palatino Linotype" w:cs="Arial"/>
          <w:i/>
          <w:color w:val="000000" w:themeColor="text1"/>
          <w:sz w:val="22"/>
          <w:szCs w:val="22"/>
        </w:rPr>
        <w:lastRenderedPageBreak/>
        <w:t>Listado clasificado por años de antigüedad, motivo de la baja y monto de liquidación y/o finiquito, del personal que causara baja de enero al mes de agosto 2021 4- Listado clasificado por área de adscripción, motivo de alta y monto del sueldo, del personal que causara alta del mes de enero al mes de agosto de 2021 5- Listado clasificado por área de adscripción, motivo de modificación salarial y fecha de la modificación, por los meses de enero a agosto del 2021 6- Junta de gobierno en la que se aprobó el tabulador de sueldos y salarios para el ejercicio presupuestal 2021 7- Listado clasificado por concepto, monto de la adquisición, motivo de la adquisición, de todas las adquisiciones realizadas por el sistema municipal DIF Naucalpan por el periodo comprendido de enero a agosto del 2021 8- Se me informe las acciones que ha realizado el Órgano de Control Interno del Sistema Municipal DIF Naucalpan, respecto el cumplimiento del Exhorto realizado por la Legislatura para el cumplimiento del pago de sueldos y salarios el cual fue publicado el día 30 de julio del presente año el cual a la letra dice “- La H. “LX” Legislatura del Estado Libre y Soberano de México, exhorta respetuosamente a las presidencias municipales de los 125 Ayuntamientos del Estado de México, en pleno respeto a su autonomía, a cumplir con el pago puntual de sueldos y salarios a todos los servidores públicos que en éstos laboran, conforme a lo dispuesto por sus respectivos presupuestos de egresos correspondientes al ejercicio fiscal 2021. Asimismo, para que, conforme a sus atribuciones legales, continúen brindado adecuadamente a la población los servicios públicos que les corresponden, especialmente el de recolección y disposición final de residuos en zonas alejadas y de difícil acceso.” 9- Se me informe las acciones que ha realizado la Subdirección de Administración y Finanzas para dar cumplimiento al Exhorto emitido por la legislatura el 30 julio del 2021 el que a la letra dice “Se exhorta respetuosamente a los 125 Presidentes Municipales del Estado de México, a que sigan implementando todas las medidas necesarias de prevención y protección a la ciudadanía por el gran aumento de contagios de COVID-19 y su variante Delta en nuestro Estado.” De lo anterior y adelantándome a que se me indique que esta información la puedo consultar en las oficinas de este Sistema Municipal DIF, solicito de ser el caso copia certificada de toda la información solicitada contemplando el previo pago de derechos de no ser así solicito se me remita todo lo anterior al correo electrónico noesanchez148@yahoo.com</w:t>
      </w:r>
      <w:r w:rsidR="00740BA5" w:rsidRPr="00E213BC">
        <w:rPr>
          <w:rFonts w:ascii="Palatino Linotype" w:hAnsi="Palatino Linotype" w:cs="Arial"/>
          <w:i/>
          <w:color w:val="000000" w:themeColor="text1"/>
          <w:sz w:val="22"/>
          <w:szCs w:val="22"/>
        </w:rPr>
        <w:t xml:space="preserve">” </w:t>
      </w:r>
      <w:r w:rsidRPr="00E213BC">
        <w:rPr>
          <w:rFonts w:ascii="Palatino Linotype" w:hAnsi="Palatino Linotype" w:cs="Arial"/>
          <w:i/>
          <w:color w:val="000000" w:themeColor="text1"/>
          <w:sz w:val="22"/>
          <w:szCs w:val="22"/>
        </w:rPr>
        <w:t>(Sic)</w:t>
      </w:r>
    </w:p>
    <w:p w14:paraId="353B029D" w14:textId="77777777" w:rsidR="00457BB8" w:rsidRPr="00E213BC" w:rsidRDefault="00457BB8" w:rsidP="00E213BC">
      <w:pPr>
        <w:tabs>
          <w:tab w:val="left" w:pos="851"/>
        </w:tabs>
        <w:ind w:left="851" w:right="901"/>
        <w:jc w:val="both"/>
        <w:rPr>
          <w:rFonts w:ascii="Palatino Linotype" w:hAnsi="Palatino Linotype" w:cs="Arial"/>
          <w:i/>
          <w:color w:val="000000" w:themeColor="text1"/>
          <w:sz w:val="22"/>
          <w:szCs w:val="22"/>
        </w:rPr>
      </w:pPr>
    </w:p>
    <w:p w14:paraId="0E0DA514" w14:textId="77777777" w:rsidR="00FB323A" w:rsidRPr="00E213BC" w:rsidRDefault="00457BB8" w:rsidP="00E213BC">
      <w:pPr>
        <w:spacing w:line="360" w:lineRule="auto"/>
        <w:jc w:val="both"/>
        <w:rPr>
          <w:rFonts w:ascii="Palatino Linotype" w:hAnsi="Palatino Linotype" w:cs="Arial"/>
          <w:b/>
          <w:color w:val="000000" w:themeColor="text1"/>
        </w:rPr>
      </w:pPr>
      <w:r w:rsidRPr="00E213BC">
        <w:rPr>
          <w:rFonts w:ascii="Palatino Linotype" w:hAnsi="Palatino Linotype" w:cs="Arial"/>
          <w:b/>
          <w:color w:val="000000" w:themeColor="text1"/>
        </w:rPr>
        <w:t>MODALIDAD DE ENTREGA:</w:t>
      </w:r>
      <w:r w:rsidRPr="00E213BC">
        <w:rPr>
          <w:rFonts w:ascii="Palatino Linotype" w:hAnsi="Palatino Linotype" w:cs="Arial"/>
          <w:color w:val="000000" w:themeColor="text1"/>
        </w:rPr>
        <w:t xml:space="preserve"> </w:t>
      </w:r>
      <w:r w:rsidR="00FB323A" w:rsidRPr="00E213BC">
        <w:rPr>
          <w:rFonts w:ascii="Palatino Linotype" w:hAnsi="Palatino Linotype" w:cs="Arial"/>
          <w:color w:val="000000" w:themeColor="text1"/>
        </w:rPr>
        <w:t xml:space="preserve">Vía </w:t>
      </w:r>
      <w:r w:rsidR="00FB323A" w:rsidRPr="00E213BC">
        <w:rPr>
          <w:rFonts w:ascii="Palatino Linotype" w:hAnsi="Palatino Linotype" w:cs="Arial"/>
          <w:b/>
          <w:color w:val="000000" w:themeColor="text1"/>
        </w:rPr>
        <w:t>SAIMEX.</w:t>
      </w:r>
    </w:p>
    <w:p w14:paraId="2FE329AA" w14:textId="77777777" w:rsidR="00FB323A" w:rsidRPr="00E213BC" w:rsidRDefault="00FB323A" w:rsidP="00E213BC">
      <w:pPr>
        <w:spacing w:line="360" w:lineRule="auto"/>
        <w:jc w:val="both"/>
        <w:rPr>
          <w:rFonts w:ascii="Palatino Linotype" w:hAnsi="Palatino Linotype" w:cs="Arial"/>
          <w:color w:val="000000" w:themeColor="text1"/>
        </w:rPr>
      </w:pPr>
    </w:p>
    <w:p w14:paraId="072F80CE" w14:textId="18B72EE3" w:rsidR="000C5D0F" w:rsidRPr="00E213BC" w:rsidRDefault="000C5D0F" w:rsidP="00E213BC">
      <w:pPr>
        <w:spacing w:line="360" w:lineRule="auto"/>
        <w:jc w:val="both"/>
        <w:rPr>
          <w:rFonts w:ascii="Palatino Linotype" w:hAnsi="Palatino Linotype"/>
          <w:bCs/>
        </w:rPr>
      </w:pPr>
      <w:r w:rsidRPr="00E213BC">
        <w:rPr>
          <w:rFonts w:ascii="Palatino Linotype" w:hAnsi="Palatino Linotype"/>
          <w:b/>
          <w:sz w:val="28"/>
          <w:szCs w:val="28"/>
        </w:rPr>
        <w:lastRenderedPageBreak/>
        <w:t>II.</w:t>
      </w:r>
      <w:r w:rsidRPr="00E213BC">
        <w:rPr>
          <w:rFonts w:ascii="Palatino Linotype" w:hAnsi="Palatino Linotype"/>
          <w:sz w:val="28"/>
          <w:szCs w:val="28"/>
        </w:rPr>
        <w:t xml:space="preserve"> </w:t>
      </w:r>
      <w:r w:rsidRPr="00E213BC">
        <w:rPr>
          <w:rFonts w:ascii="Palatino Linotype" w:hAnsi="Palatino Linotype" w:cs="Arial"/>
        </w:rPr>
        <w:t xml:space="preserve">En cumplimiento al artículo 162 de la Ley de Transparencia y Acceso a la Información Pública del Estado de México y Municipios, el veinte y veinticuatro de agosto de dos mil veintiuno, la Titular de la Unidad de Transparencia del </w:t>
      </w:r>
      <w:r w:rsidRPr="00E213BC">
        <w:rPr>
          <w:rFonts w:ascii="Palatino Linotype" w:hAnsi="Palatino Linotype" w:cs="Arial"/>
          <w:b/>
        </w:rPr>
        <w:t>SUJETO OBLIGADO</w:t>
      </w:r>
      <w:r w:rsidRPr="00E213BC">
        <w:rPr>
          <w:rFonts w:ascii="Palatino Linotype" w:hAnsi="Palatino Linotype" w:cs="Arial"/>
        </w:rPr>
        <w:t xml:space="preserve">, </w:t>
      </w:r>
      <w:r w:rsidRPr="00E213BC">
        <w:rPr>
          <w:rFonts w:ascii="Palatino Linotype" w:hAnsi="Palatino Linotype"/>
          <w:bCs/>
        </w:rPr>
        <w:t>turnó el requerimiento de información a los Servidores Públicos Habilitados que estimó pertinente, a fin de colmar la solicitud de acceso a la información; tal y como, se aprecia en la imagen siguiente:</w:t>
      </w:r>
    </w:p>
    <w:p w14:paraId="5950ADFC" w14:textId="5BEF7B7F" w:rsidR="000C5D0F" w:rsidRPr="00E213BC" w:rsidRDefault="000C5D0F" w:rsidP="00E213BC">
      <w:pPr>
        <w:spacing w:line="360" w:lineRule="auto"/>
        <w:jc w:val="both"/>
        <w:rPr>
          <w:rFonts w:ascii="Palatino Linotype" w:hAnsi="Palatino Linotype"/>
          <w:b/>
          <w:color w:val="000000" w:themeColor="text1"/>
          <w:sz w:val="28"/>
          <w:szCs w:val="28"/>
        </w:rPr>
      </w:pPr>
      <w:r w:rsidRPr="00E213BC">
        <w:rPr>
          <w:rFonts w:ascii="Palatino Linotype" w:hAnsi="Palatino Linotype"/>
          <w:b/>
          <w:noProof/>
          <w:color w:val="000000" w:themeColor="text1"/>
          <w:sz w:val="28"/>
          <w:szCs w:val="28"/>
          <w:lang w:eastAsia="es-MX"/>
        </w:rPr>
        <w:drawing>
          <wp:inline distT="0" distB="0" distL="0" distR="0" wp14:anchorId="0D619613" wp14:editId="68ABAE58">
            <wp:extent cx="5791835" cy="12465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46505"/>
                    </a:xfrm>
                    <a:prstGeom prst="rect">
                      <a:avLst/>
                    </a:prstGeom>
                  </pic:spPr>
                </pic:pic>
              </a:graphicData>
            </a:graphic>
          </wp:inline>
        </w:drawing>
      </w:r>
    </w:p>
    <w:p w14:paraId="4A22BB15" w14:textId="6B710713" w:rsidR="00457BB8" w:rsidRPr="00E213BC" w:rsidRDefault="00FB323A" w:rsidP="00E213BC">
      <w:pPr>
        <w:spacing w:line="360" w:lineRule="auto"/>
        <w:jc w:val="both"/>
        <w:rPr>
          <w:rFonts w:ascii="Palatino Linotype" w:hAnsi="Palatino Linotype" w:cs="Arial"/>
          <w:color w:val="000000" w:themeColor="text1"/>
          <w:lang w:val="es-ES_tradnl"/>
        </w:rPr>
      </w:pPr>
      <w:r w:rsidRPr="00E213BC">
        <w:rPr>
          <w:rFonts w:ascii="Palatino Linotype" w:hAnsi="Palatino Linotype"/>
          <w:b/>
          <w:color w:val="000000" w:themeColor="text1"/>
          <w:sz w:val="28"/>
          <w:szCs w:val="28"/>
        </w:rPr>
        <w:t>I</w:t>
      </w:r>
      <w:r w:rsidR="000C5D0F" w:rsidRPr="00E213BC">
        <w:rPr>
          <w:rFonts w:ascii="Palatino Linotype" w:hAnsi="Palatino Linotype"/>
          <w:b/>
          <w:color w:val="000000" w:themeColor="text1"/>
          <w:sz w:val="28"/>
          <w:szCs w:val="28"/>
        </w:rPr>
        <w:t>I</w:t>
      </w:r>
      <w:r w:rsidRPr="00E213BC">
        <w:rPr>
          <w:rFonts w:ascii="Palatino Linotype" w:hAnsi="Palatino Linotype"/>
          <w:b/>
          <w:color w:val="000000" w:themeColor="text1"/>
          <w:sz w:val="28"/>
          <w:szCs w:val="28"/>
        </w:rPr>
        <w:t>I.</w:t>
      </w:r>
      <w:r w:rsidRPr="00E213BC">
        <w:rPr>
          <w:rFonts w:ascii="Palatino Linotype" w:hAnsi="Palatino Linotype"/>
          <w:color w:val="000000" w:themeColor="text1"/>
          <w:sz w:val="28"/>
          <w:szCs w:val="28"/>
        </w:rPr>
        <w:t xml:space="preserve"> </w:t>
      </w:r>
      <w:r w:rsidR="00457BB8" w:rsidRPr="00E213BC">
        <w:rPr>
          <w:rFonts w:ascii="Palatino Linotype" w:hAnsi="Palatino Linotype"/>
          <w:color w:val="000000" w:themeColor="text1"/>
        </w:rPr>
        <w:t xml:space="preserve">De las constancias que obran en </w:t>
      </w:r>
      <w:r w:rsidR="00457BB8" w:rsidRPr="00E213BC">
        <w:rPr>
          <w:rFonts w:ascii="Palatino Linotype" w:hAnsi="Palatino Linotype"/>
          <w:b/>
          <w:color w:val="000000" w:themeColor="text1"/>
        </w:rPr>
        <w:t>EL SAIMEX,</w:t>
      </w:r>
      <w:r w:rsidR="00457BB8" w:rsidRPr="00E213BC">
        <w:rPr>
          <w:rFonts w:ascii="Palatino Linotype" w:hAnsi="Palatino Linotype"/>
          <w:color w:val="000000" w:themeColor="text1"/>
        </w:rPr>
        <w:t xml:space="preserve"> se advierte que el </w:t>
      </w:r>
      <w:r w:rsidR="000C5D0F" w:rsidRPr="00E213BC">
        <w:rPr>
          <w:rFonts w:ascii="Palatino Linotype" w:hAnsi="Palatino Linotype"/>
          <w:color w:val="000000" w:themeColor="text1"/>
        </w:rPr>
        <w:t xml:space="preserve">nueve de septiembre </w:t>
      </w:r>
      <w:r w:rsidR="00D36F7B" w:rsidRPr="00E213BC">
        <w:rPr>
          <w:rFonts w:ascii="Palatino Linotype" w:hAnsi="Palatino Linotype"/>
          <w:color w:val="000000" w:themeColor="text1"/>
        </w:rPr>
        <w:t>de dos mil vei</w:t>
      </w:r>
      <w:r w:rsidR="00502220" w:rsidRPr="00E213BC">
        <w:rPr>
          <w:rFonts w:ascii="Palatino Linotype" w:hAnsi="Palatino Linotype"/>
          <w:color w:val="000000" w:themeColor="text1"/>
        </w:rPr>
        <w:t>nt</w:t>
      </w:r>
      <w:r w:rsidR="006736D5" w:rsidRPr="00E213BC">
        <w:rPr>
          <w:rFonts w:ascii="Palatino Linotype" w:hAnsi="Palatino Linotype"/>
          <w:color w:val="000000" w:themeColor="text1"/>
        </w:rPr>
        <w:t>iuno</w:t>
      </w:r>
      <w:r w:rsidR="00457BB8" w:rsidRPr="00E213BC">
        <w:rPr>
          <w:rFonts w:ascii="Palatino Linotype" w:hAnsi="Palatino Linotype"/>
          <w:color w:val="000000" w:themeColor="text1"/>
        </w:rPr>
        <w:t xml:space="preserve">, </w:t>
      </w:r>
      <w:r w:rsidR="00457BB8" w:rsidRPr="00E213BC">
        <w:rPr>
          <w:rFonts w:ascii="Palatino Linotype" w:hAnsi="Palatino Linotype" w:cs="Arial"/>
          <w:color w:val="000000" w:themeColor="text1"/>
          <w:lang w:val="es-ES_tradnl"/>
        </w:rPr>
        <w:t>el Responsable de la Unidad de Transparencia del</w:t>
      </w:r>
      <w:r w:rsidR="00457BB8" w:rsidRPr="00E213BC">
        <w:rPr>
          <w:rFonts w:ascii="Palatino Linotype" w:hAnsi="Palatino Linotype" w:cs="Arial"/>
          <w:b/>
          <w:color w:val="000000" w:themeColor="text1"/>
          <w:lang w:val="es-ES_tradnl"/>
        </w:rPr>
        <w:t xml:space="preserve"> SUJETO OBLIGADO</w:t>
      </w:r>
      <w:r w:rsidR="00457BB8" w:rsidRPr="00E213BC">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E213BC" w:rsidRDefault="00457BB8" w:rsidP="00E213BC">
      <w:pPr>
        <w:ind w:left="851" w:right="901"/>
        <w:jc w:val="both"/>
        <w:rPr>
          <w:rFonts w:ascii="Palatino Linotype" w:hAnsi="Palatino Linotype" w:cs="Arial"/>
          <w:i/>
          <w:color w:val="000000" w:themeColor="text1"/>
          <w:lang w:eastAsia="es-MX"/>
        </w:rPr>
      </w:pPr>
    </w:p>
    <w:p w14:paraId="0ECFA03A" w14:textId="17577556" w:rsidR="000C5D0F" w:rsidRPr="00E213BC" w:rsidRDefault="00457BB8" w:rsidP="00E213BC">
      <w:pPr>
        <w:ind w:left="851" w:right="901"/>
        <w:jc w:val="both"/>
        <w:rPr>
          <w:rFonts w:ascii="Palatino Linotype" w:hAnsi="Palatino Linotype" w:cs="Arial"/>
          <w:i/>
          <w:color w:val="000000" w:themeColor="text1"/>
          <w:lang w:eastAsia="es-MX"/>
        </w:rPr>
      </w:pPr>
      <w:r w:rsidRPr="00E213BC">
        <w:rPr>
          <w:rFonts w:ascii="Palatino Linotype" w:hAnsi="Palatino Linotype" w:cs="Arial"/>
          <w:i/>
          <w:color w:val="000000" w:themeColor="text1"/>
          <w:lang w:eastAsia="es-MX"/>
        </w:rPr>
        <w:t>“…</w:t>
      </w:r>
      <w:r w:rsidR="000C5D0F" w:rsidRPr="00E213BC">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9BB841" w14:textId="77777777" w:rsidR="000C5D0F" w:rsidRPr="00E213BC" w:rsidRDefault="000C5D0F" w:rsidP="00E213BC">
      <w:pPr>
        <w:ind w:left="851" w:right="901"/>
        <w:jc w:val="both"/>
        <w:rPr>
          <w:rFonts w:ascii="Palatino Linotype" w:hAnsi="Palatino Linotype" w:cs="Arial"/>
          <w:i/>
          <w:color w:val="000000" w:themeColor="text1"/>
          <w:lang w:eastAsia="es-MX"/>
        </w:rPr>
      </w:pPr>
    </w:p>
    <w:p w14:paraId="39981B99" w14:textId="09DA5450" w:rsidR="000C5D0F" w:rsidRPr="00E213BC" w:rsidRDefault="000C5D0F" w:rsidP="00E213BC">
      <w:pPr>
        <w:ind w:left="851" w:right="901"/>
        <w:jc w:val="both"/>
        <w:rPr>
          <w:rFonts w:ascii="Palatino Linotype" w:hAnsi="Palatino Linotype" w:cs="Arial"/>
          <w:i/>
          <w:color w:val="000000" w:themeColor="text1"/>
          <w:lang w:eastAsia="es-MX"/>
        </w:rPr>
      </w:pPr>
      <w:r w:rsidRPr="00E213BC">
        <w:rPr>
          <w:rFonts w:ascii="Palatino Linotype" w:hAnsi="Palatino Linotype" w:cs="Arial"/>
          <w:i/>
          <w:color w:val="000000" w:themeColor="text1"/>
          <w:lang w:eastAsia="es-MX"/>
        </w:rPr>
        <w:t xml:space="preserve">Al respecto a la solicitud de información con Folio: 00022/DIFNAUCAL/IP/2021 y atendiendo en tiempo y forma me permito informarle a usted: Después de realizar una búsqueda en la documentación recibida en la Contraloría Interna del Sistema Municipal DIF Naucalpan, se hace constar que el documento al que se hace referencia Exhorto realizado por la legislatura …(sic), al día en que se emite la presente respuesta, no se ha recibido en las oficinas que ocupa este Órgano Interno de Control, no obstante </w:t>
      </w:r>
      <w:r w:rsidRPr="00E213BC">
        <w:rPr>
          <w:rFonts w:ascii="Palatino Linotype" w:hAnsi="Palatino Linotype" w:cs="Arial"/>
          <w:i/>
          <w:color w:val="000000" w:themeColor="text1"/>
          <w:lang w:eastAsia="es-MX"/>
        </w:rPr>
        <w:lastRenderedPageBreak/>
        <w:t>esta autoridad conoce de la emisión del mismo al haber sido publicado en la Gaceta del Gobierno del Estado de México número 18, el día treinta de julio del presente año, sin embargo el contenido del mismo y que cita a la letra: “Se me informe las acciones que ha realizado el Órgano de Control Interno del Sistema Municipal DIF Naucalpan, respecto el cumplimiento del Exhorto…”(sic), como señala el propio exhorto “conmina a las Presidencias Municipales de las 125 Ayuntamientos”… a cumplir con el pago puntual de sueldos y salarios….. Asimismo… continúen brindando adecuadamente los servicios públicos… recolección y disposición final de residuos…” (</w:t>
      </w:r>
      <w:proofErr w:type="gramStart"/>
      <w:r w:rsidRPr="00E213BC">
        <w:rPr>
          <w:rFonts w:ascii="Palatino Linotype" w:hAnsi="Palatino Linotype" w:cs="Arial"/>
          <w:i/>
          <w:color w:val="000000" w:themeColor="text1"/>
          <w:lang w:eastAsia="es-MX"/>
        </w:rPr>
        <w:t>sic</w:t>
      </w:r>
      <w:proofErr w:type="gramEnd"/>
      <w:r w:rsidRPr="00E213BC">
        <w:rPr>
          <w:rFonts w:ascii="Palatino Linotype" w:hAnsi="Palatino Linotype" w:cs="Arial"/>
          <w:i/>
          <w:color w:val="000000" w:themeColor="text1"/>
          <w:lang w:eastAsia="es-MX"/>
        </w:rPr>
        <w:t>). Por lo que esta Contraloría Interna perteneciente al Sistema Municipal DIF Naucalpan, no tiene las facultades ni las atribuciones para generar acciones al respecto y mucho menos poder brindar a la población los servicios públicos, en especial la recolección y disposición final de residuos en zonas alejadas y de difícil acceso…(sic), no obstante es importante manifestar a Usted que las dependencias que conforman el Sistema Municipal DIF continúan laborando y brindando de manera regular los servicios, asistiendo a la población más vulnerable. EN CASO DE ACUDIR A LOS OFICINAS DE ESTE SISTEMA MUNICIPAL DIF PARA LA CONSULTA DIRECTA DE LA INFORMACIÓN SOLICITADA, HAGO DE SU CONOCIMIENTO QUE EL HORARIO DE ATENCIÓN ES DE LUNES A VIERNES DE 9:00AM A 17:00PM, PRESENTANDOSE EN LA SUBDIRECCIÓN DE ADMINISTRACIÓN Y FINANZAS, OFICINAS "5 DE MAYO" LAS OFICINAS SE ENCUENTRAN EN AVENIDA 5 DE MAYO, No.12, NAUCALPAN CENTRO, NAUCALPAN DE JUAREZ, C.P. 53000</w:t>
      </w:r>
    </w:p>
    <w:p w14:paraId="1B67827E" w14:textId="77777777" w:rsidR="000C5D0F" w:rsidRPr="00E213BC" w:rsidRDefault="000C5D0F" w:rsidP="00E213BC">
      <w:pPr>
        <w:ind w:left="851" w:right="901"/>
        <w:jc w:val="both"/>
        <w:rPr>
          <w:rFonts w:ascii="Palatino Linotype" w:hAnsi="Palatino Linotype" w:cs="Arial"/>
          <w:i/>
          <w:color w:val="000000" w:themeColor="text1"/>
          <w:lang w:eastAsia="es-MX"/>
        </w:rPr>
      </w:pPr>
    </w:p>
    <w:p w14:paraId="7703E25C" w14:textId="5223B33B" w:rsidR="000C5D0F" w:rsidRPr="00E213BC" w:rsidRDefault="000C5D0F" w:rsidP="00E213BC">
      <w:pPr>
        <w:ind w:left="851" w:right="901"/>
        <w:jc w:val="both"/>
        <w:rPr>
          <w:rFonts w:ascii="Palatino Linotype" w:hAnsi="Palatino Linotype" w:cs="Arial"/>
          <w:i/>
          <w:color w:val="000000" w:themeColor="text1"/>
          <w:lang w:eastAsia="es-MX"/>
        </w:rPr>
      </w:pPr>
      <w:r w:rsidRPr="00E213BC">
        <w:rPr>
          <w:rFonts w:ascii="Palatino Linotype" w:hAnsi="Palatino Linotype" w:cs="Arial"/>
          <w:i/>
          <w:color w:val="000000" w:themeColor="text1"/>
          <w:lang w:eastAsia="es-MX"/>
        </w:rPr>
        <w:t>ATENTAMENTE</w:t>
      </w:r>
    </w:p>
    <w:p w14:paraId="750D34E3" w14:textId="77777777" w:rsidR="000C5D0F" w:rsidRPr="00E213BC" w:rsidRDefault="000C5D0F" w:rsidP="00E213BC">
      <w:pPr>
        <w:ind w:left="851" w:right="901"/>
        <w:jc w:val="both"/>
        <w:rPr>
          <w:rFonts w:ascii="Palatino Linotype" w:hAnsi="Palatino Linotype" w:cs="Arial"/>
          <w:i/>
          <w:color w:val="000000" w:themeColor="text1"/>
          <w:lang w:eastAsia="es-MX"/>
        </w:rPr>
      </w:pPr>
    </w:p>
    <w:p w14:paraId="01EA9FC6" w14:textId="28B03D4F" w:rsidR="00457BB8" w:rsidRPr="00E213BC" w:rsidRDefault="000C5D0F" w:rsidP="00E213BC">
      <w:pPr>
        <w:ind w:left="851" w:right="901"/>
        <w:jc w:val="both"/>
        <w:rPr>
          <w:rFonts w:ascii="Palatino Linotype" w:hAnsi="Palatino Linotype" w:cs="Arial"/>
          <w:i/>
          <w:color w:val="000000" w:themeColor="text1"/>
          <w:sz w:val="22"/>
          <w:szCs w:val="22"/>
          <w:lang w:eastAsia="es-MX"/>
        </w:rPr>
      </w:pPr>
      <w:r w:rsidRPr="00E213BC">
        <w:rPr>
          <w:rFonts w:ascii="Palatino Linotype" w:hAnsi="Palatino Linotype" w:cs="Arial"/>
          <w:i/>
          <w:color w:val="000000" w:themeColor="text1"/>
          <w:lang w:eastAsia="es-MX"/>
        </w:rPr>
        <w:t>C. MIGUEL ÁNGEL SÁMANO FLORES</w:t>
      </w:r>
      <w:r w:rsidR="00457BB8" w:rsidRPr="00E213BC">
        <w:rPr>
          <w:rFonts w:ascii="Palatino Linotype" w:hAnsi="Palatino Linotype" w:cs="Arial"/>
          <w:i/>
          <w:color w:val="000000" w:themeColor="text1"/>
          <w:sz w:val="22"/>
          <w:szCs w:val="22"/>
          <w:lang w:eastAsia="es-MX"/>
        </w:rPr>
        <w:t>” (Sic)</w:t>
      </w:r>
    </w:p>
    <w:p w14:paraId="584F9F37" w14:textId="77777777" w:rsidR="00F621F3" w:rsidRPr="00E213BC" w:rsidRDefault="00F621F3" w:rsidP="00E213BC">
      <w:pPr>
        <w:ind w:right="901"/>
        <w:jc w:val="both"/>
        <w:rPr>
          <w:rFonts w:ascii="Palatino Linotype" w:hAnsi="Palatino Linotype" w:cs="Arial"/>
          <w:i/>
          <w:color w:val="000000" w:themeColor="text1"/>
          <w:sz w:val="22"/>
          <w:szCs w:val="22"/>
          <w:lang w:eastAsia="es-MX"/>
        </w:rPr>
      </w:pPr>
    </w:p>
    <w:p w14:paraId="2D2E2031" w14:textId="0C2CB5BA" w:rsidR="000C5D0F" w:rsidRPr="00E213BC" w:rsidRDefault="00D65DC2" w:rsidP="00E213BC">
      <w:pPr>
        <w:spacing w:line="360" w:lineRule="auto"/>
        <w:jc w:val="both"/>
        <w:rPr>
          <w:rFonts w:ascii="Palatino Linotype" w:hAnsi="Palatino Linotype" w:cs="Arial"/>
          <w:color w:val="000000" w:themeColor="text1"/>
        </w:rPr>
      </w:pPr>
      <w:r w:rsidRPr="00E213BC">
        <w:rPr>
          <w:rFonts w:ascii="Palatino Linotype" w:hAnsi="Palatino Linotype"/>
          <w:color w:val="000000" w:themeColor="text1"/>
        </w:rPr>
        <w:t xml:space="preserve">Advirtiendo de dicha respuesta, que </w:t>
      </w:r>
      <w:r w:rsidRPr="00E213BC">
        <w:rPr>
          <w:rFonts w:ascii="Palatino Linotype" w:hAnsi="Palatino Linotype" w:cs="Arial"/>
          <w:b/>
          <w:color w:val="000000" w:themeColor="text1"/>
        </w:rPr>
        <w:t>EL SUJETO OBLIGADO</w:t>
      </w:r>
      <w:r w:rsidRPr="00E213BC">
        <w:rPr>
          <w:rFonts w:ascii="Palatino Linotype" w:hAnsi="Palatino Linotype"/>
          <w:color w:val="000000" w:themeColor="text1"/>
        </w:rPr>
        <w:t xml:space="preserve"> acompañó </w:t>
      </w:r>
      <w:r w:rsidR="000C5D0F" w:rsidRPr="00E213BC">
        <w:rPr>
          <w:rFonts w:ascii="Palatino Linotype" w:hAnsi="Palatino Linotype" w:cs="Arial"/>
          <w:color w:val="000000" w:themeColor="text1"/>
        </w:rPr>
        <w:t xml:space="preserve">los </w:t>
      </w:r>
      <w:r w:rsidRPr="00E213BC">
        <w:rPr>
          <w:rFonts w:ascii="Palatino Linotype" w:hAnsi="Palatino Linotype" w:cs="Arial"/>
          <w:color w:val="000000" w:themeColor="text1"/>
        </w:rPr>
        <w:t>archivo</w:t>
      </w:r>
      <w:r w:rsidR="000C5D0F" w:rsidRPr="00E213BC">
        <w:rPr>
          <w:rFonts w:ascii="Palatino Linotype" w:hAnsi="Palatino Linotype" w:cs="Arial"/>
          <w:color w:val="000000" w:themeColor="text1"/>
        </w:rPr>
        <w:t>s</w:t>
      </w:r>
      <w:r w:rsidRPr="00E213BC">
        <w:rPr>
          <w:rFonts w:ascii="Palatino Linotype" w:hAnsi="Palatino Linotype" w:cs="Arial"/>
          <w:color w:val="000000" w:themeColor="text1"/>
        </w:rPr>
        <w:t xml:space="preserve"> electrónico</w:t>
      </w:r>
      <w:r w:rsidR="000C5D0F" w:rsidRPr="00E213BC">
        <w:rPr>
          <w:rFonts w:ascii="Palatino Linotype" w:hAnsi="Palatino Linotype" w:cs="Arial"/>
          <w:color w:val="000000" w:themeColor="text1"/>
        </w:rPr>
        <w:t>s</w:t>
      </w:r>
      <w:r w:rsidRPr="00E213BC">
        <w:rPr>
          <w:rFonts w:ascii="Palatino Linotype" w:hAnsi="Palatino Linotype" w:cs="Arial"/>
          <w:color w:val="000000" w:themeColor="text1"/>
        </w:rPr>
        <w:t xml:space="preserve"> </w:t>
      </w:r>
      <w:r w:rsidR="000C5D0F" w:rsidRPr="00E213BC">
        <w:rPr>
          <w:rFonts w:ascii="Palatino Linotype" w:hAnsi="Palatino Linotype" w:cs="Arial"/>
          <w:color w:val="000000" w:themeColor="text1"/>
        </w:rPr>
        <w:t xml:space="preserve">siguientes: </w:t>
      </w:r>
    </w:p>
    <w:p w14:paraId="13972364" w14:textId="77777777" w:rsidR="000C5D0F" w:rsidRPr="00E213BC" w:rsidRDefault="000C5D0F" w:rsidP="00E213BC">
      <w:pPr>
        <w:spacing w:line="360" w:lineRule="auto"/>
        <w:jc w:val="both"/>
        <w:rPr>
          <w:rFonts w:ascii="Palatino Linotype" w:hAnsi="Palatino Linotype" w:cs="Arial"/>
          <w:color w:val="000000" w:themeColor="text1"/>
        </w:rPr>
      </w:pPr>
    </w:p>
    <w:p w14:paraId="349F0593" w14:textId="09E0F7A1" w:rsidR="00A031A9" w:rsidRPr="00E213BC" w:rsidRDefault="00EC28AB" w:rsidP="00E213BC">
      <w:pPr>
        <w:pStyle w:val="Prrafodelista"/>
        <w:numPr>
          <w:ilvl w:val="0"/>
          <w:numId w:val="62"/>
        </w:numPr>
        <w:spacing w:line="360" w:lineRule="auto"/>
        <w:jc w:val="both"/>
        <w:rPr>
          <w:rFonts w:ascii="Palatino Linotype" w:hAnsi="Palatino Linotype" w:cs="Arial"/>
          <w:b/>
          <w:color w:val="000000" w:themeColor="text1"/>
        </w:rPr>
      </w:pPr>
      <w:hyperlink r:id="rId9" w:tgtFrame="_blank" w:history="1">
        <w:r w:rsidR="000C5D0F" w:rsidRPr="00E213BC">
          <w:rPr>
            <w:rFonts w:ascii="Palatino Linotype" w:hAnsi="Palatino Linotype" w:cs="Arial"/>
            <w:b/>
            <w:color w:val="000000" w:themeColor="text1"/>
          </w:rPr>
          <w:t>DIF-CI-846-2021.pdf</w:t>
        </w:r>
      </w:hyperlink>
      <w:r w:rsidR="000C5D0F" w:rsidRPr="00E213BC">
        <w:rPr>
          <w:rFonts w:ascii="Palatino Linotype" w:hAnsi="Palatino Linotype" w:cs="Arial"/>
          <w:b/>
          <w:color w:val="000000" w:themeColor="text1"/>
        </w:rPr>
        <w:t xml:space="preserve">, </w:t>
      </w:r>
      <w:r w:rsidR="00A031A9" w:rsidRPr="00E213BC">
        <w:rPr>
          <w:rFonts w:ascii="Palatino Linotype" w:hAnsi="Palatino Linotype" w:cs="Arial"/>
          <w:color w:val="000000" w:themeColor="text1"/>
        </w:rPr>
        <w:t xml:space="preserve">el cual corresponde al oficio número DIF/CI/846/2021, por medio del cual la Titular de la Contraloría Interna del Sistema Municipal DIF, refiere que después de realizar una búsqueda en la documentación recibida en la Contraloría Interna del Sistema Municipal DIF Naucalpan, se hace constar que el documento relacionado con el Exhorto realizado por la Legislatura, no se ha recibido en las oficinas. </w:t>
      </w:r>
    </w:p>
    <w:p w14:paraId="233A2412" w14:textId="16240CAA" w:rsidR="000C5D0F" w:rsidRPr="00E213BC" w:rsidRDefault="00EC28AB" w:rsidP="00E213BC">
      <w:pPr>
        <w:pStyle w:val="Prrafodelista"/>
        <w:numPr>
          <w:ilvl w:val="0"/>
          <w:numId w:val="62"/>
        </w:numPr>
        <w:spacing w:line="360" w:lineRule="auto"/>
        <w:jc w:val="both"/>
        <w:rPr>
          <w:rFonts w:ascii="Palatino Linotype" w:hAnsi="Palatino Linotype" w:cs="Arial"/>
          <w:b/>
          <w:color w:val="000000" w:themeColor="text1"/>
        </w:rPr>
      </w:pPr>
      <w:hyperlink r:id="rId10" w:tgtFrame="_blank" w:history="1">
        <w:r w:rsidR="000C5D0F" w:rsidRPr="00E213BC">
          <w:rPr>
            <w:rFonts w:ascii="Palatino Linotype" w:hAnsi="Palatino Linotype" w:cs="Arial"/>
            <w:b/>
            <w:color w:val="000000" w:themeColor="text1"/>
          </w:rPr>
          <w:t>2021ROf418-CambioModalidadDIFNAUCAL.pdf</w:t>
        </w:r>
      </w:hyperlink>
      <w:r w:rsidR="000C5D0F" w:rsidRPr="00E213BC">
        <w:rPr>
          <w:rFonts w:ascii="Palatino Linotype" w:hAnsi="Palatino Linotype" w:cs="Arial"/>
          <w:b/>
          <w:color w:val="000000" w:themeColor="text1"/>
        </w:rPr>
        <w:t xml:space="preserve">, </w:t>
      </w:r>
      <w:r w:rsidR="000C5D0F" w:rsidRPr="00E213BC">
        <w:rPr>
          <w:rFonts w:ascii="Palatino Linotype" w:hAnsi="Palatino Linotype" w:cs="Arial"/>
          <w:color w:val="000000" w:themeColor="text1"/>
        </w:rPr>
        <w:t xml:space="preserve">el cual corresponde al oficio número INFOEM/DGI/418/2021, por medio del cual la Directora General de Informática, </w:t>
      </w:r>
      <w:r w:rsidR="00A031A9" w:rsidRPr="00E213BC">
        <w:rPr>
          <w:rFonts w:ascii="Palatino Linotype" w:hAnsi="Palatino Linotype" w:cs="Arial"/>
          <w:color w:val="000000" w:themeColor="text1"/>
        </w:rPr>
        <w:t xml:space="preserve">da atención al correo electrónico y oficio DIF/DG/UT/0171/2021, a fin de atender la solicitud de información con folio número 00022/DIFNAUCAAL/IP/2021, comunicando para ello que, quedó registrada la incidencia en la bitácora correspondiente, toda vez que se trata de subir 120,480 fojas, lo que sobrepasa las capacidades técnicas del </w:t>
      </w:r>
      <w:proofErr w:type="spellStart"/>
      <w:r w:rsidR="00A031A9" w:rsidRPr="00E213BC">
        <w:rPr>
          <w:rFonts w:ascii="Palatino Linotype" w:hAnsi="Palatino Linotype" w:cs="Arial"/>
          <w:color w:val="000000" w:themeColor="text1"/>
        </w:rPr>
        <w:t>Saimex</w:t>
      </w:r>
      <w:proofErr w:type="spellEnd"/>
      <w:r w:rsidR="00A031A9" w:rsidRPr="00E213BC">
        <w:rPr>
          <w:rFonts w:ascii="Palatino Linotype" w:hAnsi="Palatino Linotype" w:cs="Arial"/>
          <w:color w:val="000000" w:themeColor="text1"/>
        </w:rPr>
        <w:t xml:space="preserve">. </w:t>
      </w:r>
    </w:p>
    <w:p w14:paraId="56B25C98" w14:textId="77777777" w:rsidR="000C5D0F" w:rsidRPr="00E213BC" w:rsidRDefault="000C5D0F" w:rsidP="00E213BC">
      <w:pPr>
        <w:spacing w:line="360" w:lineRule="auto"/>
        <w:jc w:val="both"/>
        <w:rPr>
          <w:rFonts w:ascii="Palatino Linotype" w:hAnsi="Palatino Linotype" w:cs="Arial"/>
          <w:color w:val="000000" w:themeColor="text1"/>
        </w:rPr>
      </w:pPr>
    </w:p>
    <w:p w14:paraId="79708EA7" w14:textId="6A4E8F65" w:rsidR="00D8208E" w:rsidRPr="00E213BC" w:rsidRDefault="00CE1A6F" w:rsidP="00E213BC">
      <w:pPr>
        <w:spacing w:line="360" w:lineRule="auto"/>
        <w:jc w:val="both"/>
        <w:rPr>
          <w:rFonts w:ascii="Palatino Linotype" w:hAnsi="Palatino Linotype" w:cs="Arial"/>
          <w:color w:val="000000" w:themeColor="text1"/>
        </w:rPr>
      </w:pPr>
      <w:r w:rsidRPr="00E213BC">
        <w:rPr>
          <w:rFonts w:ascii="Palatino Linotype" w:hAnsi="Palatino Linotype"/>
          <w:b/>
          <w:color w:val="000000" w:themeColor="text1"/>
          <w:sz w:val="28"/>
          <w:szCs w:val="28"/>
        </w:rPr>
        <w:t>I</w:t>
      </w:r>
      <w:r w:rsidR="009A51FC" w:rsidRPr="00E213BC">
        <w:rPr>
          <w:rFonts w:ascii="Palatino Linotype" w:hAnsi="Palatino Linotype"/>
          <w:b/>
          <w:color w:val="000000" w:themeColor="text1"/>
          <w:sz w:val="28"/>
          <w:szCs w:val="28"/>
        </w:rPr>
        <w:t>II</w:t>
      </w:r>
      <w:r w:rsidR="00457BB8" w:rsidRPr="00E213BC">
        <w:rPr>
          <w:rFonts w:ascii="Palatino Linotype" w:hAnsi="Palatino Linotype"/>
          <w:b/>
          <w:color w:val="000000" w:themeColor="text1"/>
          <w:sz w:val="28"/>
          <w:szCs w:val="28"/>
        </w:rPr>
        <w:t>.</w:t>
      </w:r>
      <w:r w:rsidR="00457BB8" w:rsidRPr="00E213BC">
        <w:rPr>
          <w:rFonts w:ascii="Palatino Linotype" w:hAnsi="Palatino Linotype"/>
          <w:b/>
          <w:color w:val="000000" w:themeColor="text1"/>
        </w:rPr>
        <w:t xml:space="preserve"> </w:t>
      </w:r>
      <w:r w:rsidR="00BD7CF0" w:rsidRPr="00E213BC">
        <w:rPr>
          <w:rFonts w:ascii="Palatino Linotype" w:hAnsi="Palatino Linotype"/>
          <w:color w:val="000000" w:themeColor="text1"/>
        </w:rPr>
        <w:t xml:space="preserve">Inconforme con la </w:t>
      </w:r>
      <w:r w:rsidR="00BD7CF0" w:rsidRPr="00E213BC">
        <w:rPr>
          <w:rFonts w:ascii="Palatino Linotype" w:hAnsi="Palatino Linotype" w:cs="Arial"/>
          <w:color w:val="000000" w:themeColor="text1"/>
        </w:rPr>
        <w:t xml:space="preserve">respuesta, el </w:t>
      </w:r>
      <w:r w:rsidR="00A031A9" w:rsidRPr="00E213BC">
        <w:rPr>
          <w:rFonts w:ascii="Palatino Linotype" w:hAnsi="Palatino Linotype" w:cs="Arial"/>
          <w:color w:val="000000" w:themeColor="text1"/>
        </w:rPr>
        <w:t xml:space="preserve">nueve de septiembre </w:t>
      </w:r>
      <w:r w:rsidR="00870221" w:rsidRPr="00E213BC">
        <w:rPr>
          <w:rFonts w:ascii="Palatino Linotype" w:hAnsi="Palatino Linotype" w:cs="Arial"/>
          <w:color w:val="000000" w:themeColor="text1"/>
        </w:rPr>
        <w:t>d</w:t>
      </w:r>
      <w:r w:rsidR="00BD7CF0" w:rsidRPr="00E213BC">
        <w:rPr>
          <w:rFonts w:ascii="Palatino Linotype" w:hAnsi="Palatino Linotype" w:cs="Arial"/>
          <w:color w:val="000000" w:themeColor="text1"/>
        </w:rPr>
        <w:t>e dos mil veint</w:t>
      </w:r>
      <w:r w:rsidRPr="00E213BC">
        <w:rPr>
          <w:rFonts w:ascii="Palatino Linotype" w:hAnsi="Palatino Linotype" w:cs="Arial"/>
          <w:color w:val="000000" w:themeColor="text1"/>
        </w:rPr>
        <w:t>iuno</w:t>
      </w:r>
      <w:r w:rsidR="00BD7CF0" w:rsidRPr="00E213BC">
        <w:rPr>
          <w:rFonts w:ascii="Palatino Linotype" w:hAnsi="Palatino Linotype" w:cs="Arial"/>
          <w:color w:val="000000" w:themeColor="text1"/>
        </w:rPr>
        <w:t xml:space="preserve"> </w:t>
      </w:r>
      <w:r w:rsidR="00D900CC" w:rsidRPr="00E213BC">
        <w:rPr>
          <w:rFonts w:ascii="Palatino Linotype" w:hAnsi="Palatino Linotype"/>
          <w:b/>
          <w:color w:val="000000" w:themeColor="text1"/>
        </w:rPr>
        <w:t>EL</w:t>
      </w:r>
      <w:r w:rsidR="00BD7CF0" w:rsidRPr="00E213BC">
        <w:rPr>
          <w:rFonts w:ascii="Palatino Linotype" w:hAnsi="Palatino Linotype"/>
          <w:b/>
          <w:color w:val="000000" w:themeColor="text1"/>
        </w:rPr>
        <w:t xml:space="preserve"> RECURRENTE</w:t>
      </w:r>
      <w:r w:rsidR="00BD7CF0" w:rsidRPr="00E213BC">
        <w:rPr>
          <w:rFonts w:ascii="Palatino Linotype" w:hAnsi="Palatino Linotype"/>
          <w:color w:val="000000" w:themeColor="text1"/>
        </w:rPr>
        <w:t xml:space="preserve"> interpuso el recurso de revisión objeto del presente estudio, el cual fue registrado en </w:t>
      </w:r>
      <w:r w:rsidR="00BD7CF0" w:rsidRPr="00E213BC">
        <w:rPr>
          <w:rFonts w:ascii="Palatino Linotype" w:hAnsi="Palatino Linotype"/>
          <w:b/>
          <w:color w:val="000000" w:themeColor="text1"/>
        </w:rPr>
        <w:t>EL SAIMEX</w:t>
      </w:r>
      <w:r w:rsidR="00BD7CF0" w:rsidRPr="00E213BC">
        <w:rPr>
          <w:rFonts w:ascii="Palatino Linotype" w:hAnsi="Palatino Linotype"/>
          <w:color w:val="000000" w:themeColor="text1"/>
        </w:rPr>
        <w:t xml:space="preserve"> y se le asignó el número de </w:t>
      </w:r>
      <w:r w:rsidR="00A031A9" w:rsidRPr="00E213BC">
        <w:rPr>
          <w:rFonts w:ascii="Palatino Linotype" w:hAnsi="Palatino Linotype"/>
          <w:b/>
          <w:color w:val="000000" w:themeColor="text1"/>
        </w:rPr>
        <w:t>04642/INFOEM/IP/RR/2021</w:t>
      </w:r>
      <w:r w:rsidR="00457BB8" w:rsidRPr="00E213BC">
        <w:rPr>
          <w:rFonts w:ascii="Palatino Linotype" w:hAnsi="Palatino Linotype" w:cs="Arial"/>
          <w:color w:val="000000" w:themeColor="text1"/>
        </w:rPr>
        <w:t>, en el que señaló como acto impugnado</w:t>
      </w:r>
      <w:r w:rsidR="00D8208E" w:rsidRPr="00E213BC">
        <w:rPr>
          <w:rFonts w:ascii="Palatino Linotype" w:hAnsi="Palatino Linotype" w:cs="Arial"/>
          <w:color w:val="000000" w:themeColor="text1"/>
        </w:rPr>
        <w:t>:</w:t>
      </w:r>
    </w:p>
    <w:p w14:paraId="6963D371" w14:textId="77777777" w:rsidR="00416225" w:rsidRPr="00E213BC" w:rsidRDefault="00416225" w:rsidP="00E213BC">
      <w:pPr>
        <w:ind w:left="851" w:right="899"/>
        <w:jc w:val="both"/>
        <w:rPr>
          <w:rFonts w:ascii="Palatino Linotype" w:hAnsi="Palatino Linotype" w:cs="Arial"/>
          <w:i/>
          <w:color w:val="000000" w:themeColor="text1"/>
          <w:sz w:val="22"/>
          <w:szCs w:val="22"/>
        </w:rPr>
      </w:pPr>
    </w:p>
    <w:p w14:paraId="35B394FB" w14:textId="48D48DF3" w:rsidR="00416225" w:rsidRPr="00E213BC" w:rsidRDefault="00416225" w:rsidP="00E213BC">
      <w:pPr>
        <w:ind w:left="851" w:right="899"/>
        <w:jc w:val="both"/>
        <w:rPr>
          <w:rFonts w:ascii="Palatino Linotype" w:hAnsi="Palatino Linotype" w:cs="Arial"/>
          <w:i/>
          <w:color w:val="000000" w:themeColor="text1"/>
          <w:sz w:val="22"/>
          <w:szCs w:val="22"/>
        </w:rPr>
      </w:pPr>
      <w:r w:rsidRPr="00E213BC">
        <w:rPr>
          <w:rFonts w:ascii="Palatino Linotype" w:hAnsi="Palatino Linotype" w:cs="Arial"/>
          <w:i/>
          <w:color w:val="000000" w:themeColor="text1"/>
          <w:sz w:val="22"/>
          <w:szCs w:val="22"/>
        </w:rPr>
        <w:t>“</w:t>
      </w:r>
      <w:r w:rsidR="00A031A9" w:rsidRPr="00E213BC">
        <w:rPr>
          <w:rFonts w:ascii="Palatino Linotype" w:hAnsi="Palatino Linotype" w:cs="Arial"/>
          <w:i/>
          <w:color w:val="000000" w:themeColor="text1"/>
          <w:sz w:val="22"/>
          <w:szCs w:val="22"/>
        </w:rPr>
        <w:t>Respuesta brindada por el Sistema Municipal DIF Naucalpan</w:t>
      </w:r>
      <w:r w:rsidRPr="00E213BC">
        <w:rPr>
          <w:rFonts w:ascii="Palatino Linotype" w:hAnsi="Palatino Linotype" w:cs="Arial"/>
          <w:i/>
          <w:color w:val="000000" w:themeColor="text1"/>
          <w:sz w:val="22"/>
          <w:szCs w:val="22"/>
        </w:rPr>
        <w:t>” (sic)</w:t>
      </w:r>
    </w:p>
    <w:p w14:paraId="45672F7C" w14:textId="77777777" w:rsidR="00416225" w:rsidRPr="00E213BC" w:rsidRDefault="00416225" w:rsidP="00E213BC">
      <w:pPr>
        <w:ind w:left="851" w:right="899"/>
        <w:jc w:val="both"/>
        <w:rPr>
          <w:rFonts w:ascii="Palatino Linotype" w:hAnsi="Palatino Linotype" w:cs="Arial"/>
          <w:i/>
          <w:color w:val="000000" w:themeColor="text1"/>
          <w:sz w:val="22"/>
          <w:szCs w:val="22"/>
        </w:rPr>
      </w:pPr>
    </w:p>
    <w:p w14:paraId="1CBC06E4" w14:textId="2FD172A8" w:rsidR="00457BB8" w:rsidRPr="00E213BC" w:rsidRDefault="00416225" w:rsidP="00E213BC">
      <w:pPr>
        <w:spacing w:line="360" w:lineRule="auto"/>
        <w:jc w:val="both"/>
        <w:rPr>
          <w:rFonts w:ascii="Palatino Linotype" w:hAnsi="Palatino Linotype" w:cs="Arial"/>
          <w:color w:val="000000" w:themeColor="text1"/>
        </w:rPr>
      </w:pPr>
      <w:r w:rsidRPr="00E213BC">
        <w:rPr>
          <w:rFonts w:ascii="Palatino Linotype" w:hAnsi="Palatino Linotype" w:cs="Arial"/>
          <w:color w:val="000000" w:themeColor="text1"/>
        </w:rPr>
        <w:t>As</w:t>
      </w:r>
      <w:r w:rsidR="009A51FC" w:rsidRPr="00E213BC">
        <w:rPr>
          <w:rFonts w:ascii="Palatino Linotype" w:hAnsi="Palatino Linotype" w:cs="Arial"/>
          <w:color w:val="000000" w:themeColor="text1"/>
        </w:rPr>
        <w:t>í como, razones o motivos de inconformidad</w:t>
      </w:r>
      <w:r w:rsidR="00457BB8" w:rsidRPr="00E213BC">
        <w:rPr>
          <w:rFonts w:ascii="Palatino Linotype" w:hAnsi="Palatino Linotype" w:cs="Arial"/>
          <w:color w:val="000000" w:themeColor="text1"/>
        </w:rPr>
        <w:t xml:space="preserve">: </w:t>
      </w:r>
    </w:p>
    <w:p w14:paraId="7461101F" w14:textId="77777777" w:rsidR="00457BB8" w:rsidRPr="00E213BC" w:rsidRDefault="00457BB8" w:rsidP="00E213BC">
      <w:pPr>
        <w:ind w:left="851" w:right="899"/>
        <w:jc w:val="both"/>
        <w:rPr>
          <w:rFonts w:ascii="Palatino Linotype" w:hAnsi="Palatino Linotype" w:cs="Arial"/>
          <w:i/>
          <w:color w:val="000000" w:themeColor="text1"/>
          <w:sz w:val="22"/>
          <w:szCs w:val="22"/>
        </w:rPr>
      </w:pPr>
    </w:p>
    <w:p w14:paraId="4AB47769" w14:textId="2433B2E0" w:rsidR="00457BB8" w:rsidRPr="00E213BC" w:rsidRDefault="00457BB8" w:rsidP="00E213BC">
      <w:pPr>
        <w:ind w:left="851" w:right="899"/>
        <w:jc w:val="both"/>
        <w:rPr>
          <w:rFonts w:ascii="Palatino Linotype" w:hAnsi="Palatino Linotype" w:cs="Arial"/>
          <w:i/>
          <w:color w:val="000000" w:themeColor="text1"/>
          <w:sz w:val="22"/>
          <w:szCs w:val="22"/>
        </w:rPr>
      </w:pPr>
      <w:r w:rsidRPr="00E213BC">
        <w:rPr>
          <w:rFonts w:ascii="Palatino Linotype" w:hAnsi="Palatino Linotype" w:cs="Arial"/>
          <w:i/>
          <w:color w:val="000000" w:themeColor="text1"/>
          <w:sz w:val="22"/>
          <w:szCs w:val="22"/>
        </w:rPr>
        <w:t>“</w:t>
      </w:r>
      <w:r w:rsidR="00A031A9" w:rsidRPr="00E213BC">
        <w:rPr>
          <w:rFonts w:ascii="Palatino Linotype" w:hAnsi="Palatino Linotype" w:cs="Arial"/>
          <w:i/>
          <w:color w:val="000000" w:themeColor="text1"/>
          <w:sz w:val="22"/>
          <w:szCs w:val="22"/>
        </w:rPr>
        <w:t xml:space="preserve">Solicito la impugnación de este acto toda vez que el sujeto obligado manipulo a su conveniencia las respuestas vertidas trasgrediendo de esta forma no solo el derecho al acceso a la información, sino que además de falsear la declaración y realizando </w:t>
      </w:r>
      <w:r w:rsidR="00A031A9" w:rsidRPr="00E213BC">
        <w:rPr>
          <w:rFonts w:ascii="Palatino Linotype" w:hAnsi="Palatino Linotype" w:cs="Arial"/>
          <w:i/>
          <w:color w:val="000000" w:themeColor="text1"/>
          <w:sz w:val="22"/>
          <w:szCs w:val="22"/>
        </w:rPr>
        <w:lastRenderedPageBreak/>
        <w:t xml:space="preserve">actos contrarios a lo que establece la LEY DE RESPONSABILIDADES ADMINISTRATIVAS DEL ESTADO DE MÉXICO Y MUNICIPIOS en su artículo 7 ya que la información solicitada es la misma que las entidades tienen que presentar al Órgano Superior de Fiscalización del Estado de México y sus Municipios como lo establece en Integración del Informe Trimestral de los Sujetos de Fiscalización MUNICIPALES para el Ejercicio 2021 y la cual se puede consultar en la siguiente liga https://www.osfem.gob.mx/04_Iconografia/Ent_Fisc/Doc_Apoy/Doc_Apoy.html para su pronta referencia por ende la información que el sujeto obligado ostenta como constante de r 120,480 fojas no es correspondiente ya que los archivos se presentan en formatos de Excel o bien en </w:t>
      </w:r>
      <w:proofErr w:type="spellStart"/>
      <w:r w:rsidR="00A031A9" w:rsidRPr="00E213BC">
        <w:rPr>
          <w:rFonts w:ascii="Palatino Linotype" w:hAnsi="Palatino Linotype" w:cs="Arial"/>
          <w:i/>
          <w:color w:val="000000" w:themeColor="text1"/>
          <w:sz w:val="22"/>
          <w:szCs w:val="22"/>
        </w:rPr>
        <w:t>txt</w:t>
      </w:r>
      <w:proofErr w:type="spellEnd"/>
      <w:r w:rsidR="00A031A9" w:rsidRPr="00E213BC">
        <w:rPr>
          <w:rFonts w:ascii="Palatino Linotype" w:hAnsi="Palatino Linotype" w:cs="Arial"/>
          <w:i/>
          <w:color w:val="000000" w:themeColor="text1"/>
          <w:sz w:val="22"/>
          <w:szCs w:val="22"/>
        </w:rPr>
        <w:t xml:space="preserve"> o </w:t>
      </w:r>
      <w:proofErr w:type="spellStart"/>
      <w:r w:rsidR="00A031A9" w:rsidRPr="00E213BC">
        <w:rPr>
          <w:rFonts w:ascii="Palatino Linotype" w:hAnsi="Palatino Linotype" w:cs="Arial"/>
          <w:i/>
          <w:color w:val="000000" w:themeColor="text1"/>
          <w:sz w:val="22"/>
          <w:szCs w:val="22"/>
        </w:rPr>
        <w:t>pdf</w:t>
      </w:r>
      <w:proofErr w:type="spellEnd"/>
      <w:r w:rsidR="00A031A9" w:rsidRPr="00E213BC">
        <w:rPr>
          <w:rFonts w:ascii="Palatino Linotype" w:hAnsi="Palatino Linotype" w:cs="Arial"/>
          <w:i/>
          <w:color w:val="000000" w:themeColor="text1"/>
          <w:sz w:val="22"/>
          <w:szCs w:val="22"/>
        </w:rPr>
        <w:t xml:space="preserve"> por lo que el sujeto obligado tiene la responsabilidad de presentar la información solicitada y por este medio aunado a esto quiero solicitar la intervención de las autoridades competentes ya que se está falseando la información ya que de acuerdo a lineamientos es imposible que dicha información abarque tantas fojas para tener conocimiento del personal del Sistema Municipal DIF Naucalpan, esto solo evidencia que el C. MIGUEL ANGEL SÁMANO FLORES está manipulando la ley a su conveniencia e involucra al Instituto de Transparencia, Acceso a la Información Pública y Protección de Datos Personales del Estado de México y Municipios a realizar prácticas ilícitas para no brindar la información que como se indica debe de generarse al ser presentada al Órgano Superior de Fiscalización, por lo que solicito sea revisada la respuesta y analizada y se brinde la misma ya que no existe justificación legal y lógica para que no se pueda proporcionar, así mismo solicito que con apego a la norma la contraloría indique en que fundamento se basa para no acatar los exhortos ya que si bien es cierto que fue dirigido a los 125 municipios también lo es que los exhortos son aplicados de manera supletoria a los organismos desconcentrados como bien lo indica el Código de Procedimientos Administrativos, es más factible que se conteste que no se han realizado acciones y no implementar pretextos que solo demuestran la incapacidad del sujeto obligado sin dar una respuesta y solo buscar evadir las responsabilidades</w:t>
      </w:r>
      <w:r w:rsidRPr="00E213BC">
        <w:rPr>
          <w:rFonts w:ascii="Palatino Linotype" w:hAnsi="Palatino Linotype" w:cs="Arial"/>
          <w:i/>
          <w:color w:val="000000" w:themeColor="text1"/>
          <w:sz w:val="22"/>
          <w:szCs w:val="22"/>
        </w:rPr>
        <w:t>” (sic)</w:t>
      </w:r>
    </w:p>
    <w:p w14:paraId="57530B89" w14:textId="77777777" w:rsidR="00BE68BB" w:rsidRPr="00E213BC" w:rsidRDefault="00BE68BB" w:rsidP="00E213BC">
      <w:pPr>
        <w:ind w:left="851" w:right="899"/>
        <w:jc w:val="both"/>
        <w:rPr>
          <w:rFonts w:ascii="Palatino Linotype" w:hAnsi="Palatino Linotype" w:cs="Arial"/>
          <w:i/>
          <w:color w:val="000000" w:themeColor="text1"/>
          <w:sz w:val="22"/>
          <w:szCs w:val="22"/>
        </w:rPr>
      </w:pPr>
    </w:p>
    <w:p w14:paraId="3A3DB79B" w14:textId="3526AAF3" w:rsidR="00457BB8" w:rsidRPr="00E213BC" w:rsidRDefault="009A51FC" w:rsidP="00E213BC">
      <w:pPr>
        <w:pStyle w:val="Default"/>
        <w:spacing w:line="360" w:lineRule="auto"/>
        <w:ind w:right="49"/>
        <w:jc w:val="both"/>
        <w:rPr>
          <w:rFonts w:ascii="Palatino Linotype" w:hAnsi="Palatino Linotype"/>
          <w:color w:val="000000" w:themeColor="text1"/>
          <w:lang w:val="es-ES_tradnl"/>
        </w:rPr>
      </w:pPr>
      <w:r w:rsidRPr="00E213BC">
        <w:rPr>
          <w:rFonts w:ascii="Palatino Linotype" w:hAnsi="Palatino Linotype"/>
          <w:b/>
          <w:color w:val="000000" w:themeColor="text1"/>
          <w:sz w:val="28"/>
          <w:szCs w:val="28"/>
        </w:rPr>
        <w:t>I</w:t>
      </w:r>
      <w:r w:rsidR="004849A2" w:rsidRPr="00E213BC">
        <w:rPr>
          <w:rFonts w:ascii="Palatino Linotype" w:hAnsi="Palatino Linotype"/>
          <w:b/>
          <w:color w:val="000000" w:themeColor="text1"/>
          <w:sz w:val="28"/>
          <w:szCs w:val="28"/>
        </w:rPr>
        <w:t>V</w:t>
      </w:r>
      <w:r w:rsidR="00457BB8" w:rsidRPr="00E213BC">
        <w:rPr>
          <w:rFonts w:ascii="Palatino Linotype" w:hAnsi="Palatino Linotype"/>
          <w:b/>
          <w:color w:val="000000" w:themeColor="text1"/>
          <w:sz w:val="28"/>
          <w:szCs w:val="28"/>
        </w:rPr>
        <w:t xml:space="preserve">. </w:t>
      </w:r>
      <w:r w:rsidR="00457BB8" w:rsidRPr="00E213BC">
        <w:rPr>
          <w:rFonts w:ascii="Palatino Linotype" w:hAnsi="Palatino Linotype"/>
          <w:color w:val="000000" w:themeColor="text1"/>
        </w:rPr>
        <w:t>El</w:t>
      </w:r>
      <w:r w:rsidR="00457BB8" w:rsidRPr="00E213BC">
        <w:rPr>
          <w:rFonts w:ascii="Palatino Linotype" w:hAnsi="Palatino Linotype"/>
          <w:b/>
          <w:color w:val="000000" w:themeColor="text1"/>
          <w:sz w:val="28"/>
          <w:szCs w:val="28"/>
        </w:rPr>
        <w:t xml:space="preserve"> </w:t>
      </w:r>
      <w:r w:rsidR="00A031A9" w:rsidRPr="00E213BC">
        <w:rPr>
          <w:rFonts w:ascii="Palatino Linotype" w:hAnsi="Palatino Linotype"/>
          <w:color w:val="000000" w:themeColor="text1"/>
        </w:rPr>
        <w:t>nueve de septiembre d</w:t>
      </w:r>
      <w:r w:rsidR="00CE1A6F" w:rsidRPr="00E213BC">
        <w:rPr>
          <w:rFonts w:ascii="Palatino Linotype" w:hAnsi="Palatino Linotype"/>
          <w:color w:val="000000" w:themeColor="text1"/>
        </w:rPr>
        <w:t>e dos mil veintiuno, e</w:t>
      </w:r>
      <w:r w:rsidR="00457BB8" w:rsidRPr="00E213BC">
        <w:rPr>
          <w:rFonts w:ascii="Palatino Linotype" w:hAnsi="Palatino Linotype"/>
          <w:color w:val="000000" w:themeColor="text1"/>
        </w:rPr>
        <w:t xml:space="preserve">l </w:t>
      </w:r>
      <w:r w:rsidR="00457BB8" w:rsidRPr="00E213BC">
        <w:rPr>
          <w:rFonts w:ascii="Palatino Linotype" w:hAnsi="Palatino Linotype"/>
          <w:color w:val="000000" w:themeColor="text1"/>
          <w:lang w:val="es-ES_tradnl"/>
        </w:rPr>
        <w:t>recurso de que</w:t>
      </w:r>
      <w:r w:rsidR="00457BB8" w:rsidRPr="00E213BC">
        <w:rPr>
          <w:rFonts w:ascii="Palatino Linotype" w:hAnsi="Palatino Linotype"/>
          <w:color w:val="000000" w:themeColor="text1"/>
        </w:rPr>
        <w:t xml:space="preserve"> se trata</w:t>
      </w:r>
      <w:r w:rsidR="00457BB8" w:rsidRPr="00E213BC">
        <w:rPr>
          <w:rFonts w:ascii="Palatino Linotype" w:hAnsi="Palatino Linotype"/>
          <w:color w:val="000000" w:themeColor="text1"/>
          <w:lang w:val="es-ES_tradnl"/>
        </w:rPr>
        <w:t xml:space="preserve"> se envió electrónicamente al Instituto de </w:t>
      </w:r>
      <w:r w:rsidR="00457BB8" w:rsidRPr="00E213BC">
        <w:rPr>
          <w:rFonts w:ascii="Palatino Linotype" w:eastAsia="Arial Unicode MS" w:hAnsi="Palatino Linotype"/>
          <w:color w:val="000000" w:themeColor="text1"/>
        </w:rPr>
        <w:t>Transparencia</w:t>
      </w:r>
      <w:r w:rsidR="00457BB8" w:rsidRPr="00E213BC">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E213BC">
        <w:rPr>
          <w:rFonts w:ascii="Palatino Linotype" w:hAnsi="Palatino Linotype"/>
          <w:color w:val="000000" w:themeColor="text1"/>
        </w:rPr>
        <w:t xml:space="preserve">Ley de Transparencia y Acceso a la Información </w:t>
      </w:r>
      <w:r w:rsidR="00457BB8" w:rsidRPr="00E213BC">
        <w:rPr>
          <w:rFonts w:ascii="Palatino Linotype" w:hAnsi="Palatino Linotype"/>
          <w:color w:val="000000" w:themeColor="text1"/>
        </w:rPr>
        <w:lastRenderedPageBreak/>
        <w:t>Pública del Estado de México y Municipios</w:t>
      </w:r>
      <w:r w:rsidR="00457BB8" w:rsidRPr="00E213BC">
        <w:rPr>
          <w:rFonts w:ascii="Palatino Linotype" w:hAnsi="Palatino Linotype"/>
          <w:color w:val="000000" w:themeColor="text1"/>
          <w:lang w:val="es-ES_tradnl"/>
        </w:rPr>
        <w:t>, se turnó, a través del</w:t>
      </w:r>
      <w:r w:rsidR="00457BB8" w:rsidRPr="00E213BC">
        <w:rPr>
          <w:rFonts w:ascii="Palatino Linotype" w:eastAsia="Arial Unicode MS" w:hAnsi="Palatino Linotype"/>
          <w:color w:val="000000" w:themeColor="text1"/>
          <w:lang w:val="es-ES_tradnl"/>
        </w:rPr>
        <w:t xml:space="preserve"> </w:t>
      </w:r>
      <w:r w:rsidR="00457BB8" w:rsidRPr="00E213BC">
        <w:rPr>
          <w:rFonts w:ascii="Palatino Linotype" w:eastAsia="Arial Unicode MS" w:hAnsi="Palatino Linotype"/>
          <w:b/>
          <w:color w:val="000000" w:themeColor="text1"/>
          <w:lang w:val="es-ES_tradnl"/>
        </w:rPr>
        <w:t>SAIMEX</w:t>
      </w:r>
      <w:r w:rsidR="00457BB8" w:rsidRPr="00E213BC">
        <w:rPr>
          <w:rFonts w:ascii="Palatino Linotype" w:hAnsi="Palatino Linotype"/>
          <w:color w:val="000000" w:themeColor="text1"/>
        </w:rPr>
        <w:t xml:space="preserve">, a la </w:t>
      </w:r>
      <w:r w:rsidR="00457BB8" w:rsidRPr="00E213BC">
        <w:rPr>
          <w:rFonts w:ascii="Palatino Linotype" w:hAnsi="Palatino Linotype"/>
          <w:color w:val="000000" w:themeColor="text1"/>
          <w:lang w:val="es-ES_tradnl"/>
        </w:rPr>
        <w:t xml:space="preserve">Comisionada </w:t>
      </w:r>
      <w:r w:rsidR="00A031A9" w:rsidRPr="00E213BC">
        <w:rPr>
          <w:rFonts w:ascii="Palatino Linotype" w:hAnsi="Palatino Linotype"/>
          <w:b/>
          <w:lang w:val="es-ES_tradnl"/>
        </w:rPr>
        <w:t>Sharon Cristina Morales Martínez</w:t>
      </w:r>
      <w:r w:rsidR="00457BB8" w:rsidRPr="00E213BC">
        <w:rPr>
          <w:rFonts w:ascii="Palatino Linotype" w:hAnsi="Palatino Linotype"/>
          <w:color w:val="000000" w:themeColor="text1"/>
        </w:rPr>
        <w:t>,</w:t>
      </w:r>
      <w:r w:rsidR="00457BB8" w:rsidRPr="00E213BC">
        <w:rPr>
          <w:rFonts w:ascii="Palatino Linotype" w:hAnsi="Palatino Linotype"/>
          <w:color w:val="000000" w:themeColor="text1"/>
          <w:lang w:val="es-ES_tradnl"/>
        </w:rPr>
        <w:t xml:space="preserve"> a efecto de decretar su admisión o </w:t>
      </w:r>
      <w:proofErr w:type="spellStart"/>
      <w:r w:rsidR="00457BB8" w:rsidRPr="00E213BC">
        <w:rPr>
          <w:rFonts w:ascii="Palatino Linotype" w:hAnsi="Palatino Linotype"/>
          <w:color w:val="000000" w:themeColor="text1"/>
          <w:lang w:val="es-ES_tradnl"/>
        </w:rPr>
        <w:t>desechamiento</w:t>
      </w:r>
      <w:proofErr w:type="spellEnd"/>
      <w:r w:rsidR="00457BB8" w:rsidRPr="00E213BC">
        <w:rPr>
          <w:rFonts w:ascii="Palatino Linotype" w:hAnsi="Palatino Linotype"/>
          <w:color w:val="000000" w:themeColor="text1"/>
          <w:lang w:val="es-ES_tradnl"/>
        </w:rPr>
        <w:t>.</w:t>
      </w:r>
    </w:p>
    <w:p w14:paraId="6CB98D0C" w14:textId="77777777" w:rsidR="00457BB8" w:rsidRPr="00E213BC" w:rsidRDefault="00457BB8" w:rsidP="00E213BC">
      <w:pPr>
        <w:pStyle w:val="Default"/>
        <w:spacing w:line="360" w:lineRule="auto"/>
        <w:ind w:right="49"/>
        <w:jc w:val="both"/>
        <w:rPr>
          <w:rFonts w:ascii="Palatino Linotype" w:hAnsi="Palatino Linotype"/>
          <w:color w:val="000000" w:themeColor="text1"/>
          <w:lang w:val="es-ES_tradnl"/>
        </w:rPr>
      </w:pPr>
    </w:p>
    <w:p w14:paraId="11DF1A60" w14:textId="61CB6B84" w:rsidR="00416225" w:rsidRDefault="00457BB8" w:rsidP="00E213BC">
      <w:pPr>
        <w:pStyle w:val="Piedepgina"/>
        <w:spacing w:line="360" w:lineRule="auto"/>
        <w:jc w:val="both"/>
        <w:rPr>
          <w:rFonts w:ascii="Palatino Linotype" w:hAnsi="Palatino Linotype" w:cs="Arial"/>
        </w:rPr>
      </w:pPr>
      <w:r w:rsidRPr="00E213BC">
        <w:rPr>
          <w:rFonts w:ascii="Palatino Linotype" w:hAnsi="Palatino Linotype" w:cs="Arial"/>
          <w:b/>
          <w:color w:val="000000" w:themeColor="text1"/>
          <w:sz w:val="28"/>
        </w:rPr>
        <w:t>V.</w:t>
      </w:r>
      <w:r w:rsidR="00416225" w:rsidRPr="00E213BC">
        <w:rPr>
          <w:rFonts w:ascii="Palatino Linotype" w:hAnsi="Palatino Linotype" w:cs="Arial"/>
          <w:b/>
          <w:color w:val="000000" w:themeColor="text1"/>
          <w:sz w:val="28"/>
        </w:rPr>
        <w:t xml:space="preserve"> </w:t>
      </w:r>
      <w:r w:rsidR="00416225" w:rsidRPr="00E213BC">
        <w:rPr>
          <w:rFonts w:ascii="Palatino Linotype" w:hAnsi="Palatino Linotype" w:cs="Arial"/>
        </w:rPr>
        <w:t xml:space="preserve">En fecha </w:t>
      </w:r>
      <w:r w:rsidR="00D320F2" w:rsidRPr="00E213BC">
        <w:rPr>
          <w:rFonts w:ascii="Palatino Linotype" w:hAnsi="Palatino Linotype" w:cs="Arial"/>
        </w:rPr>
        <w:t xml:space="preserve">diez de septiembre </w:t>
      </w:r>
      <w:r w:rsidR="00416225" w:rsidRPr="00E213BC">
        <w:rPr>
          <w:rFonts w:ascii="Palatino Linotype" w:hAnsi="Palatino Linotype" w:cs="Arial"/>
        </w:rPr>
        <w:t>de dos mil veint</w:t>
      </w:r>
      <w:r w:rsidR="00D320F2" w:rsidRPr="00E213BC">
        <w:rPr>
          <w:rFonts w:ascii="Palatino Linotype" w:hAnsi="Palatino Linotype" w:cs="Arial"/>
        </w:rPr>
        <w:t>iuno</w:t>
      </w:r>
      <w:r w:rsidR="00416225" w:rsidRPr="00E213BC">
        <w:rPr>
          <w:rFonts w:ascii="Palatino Linotype" w:hAnsi="Palatino Linotype" w:cs="Arial"/>
        </w:rPr>
        <w:t xml:space="preserve">, mediante </w:t>
      </w:r>
      <w:r w:rsidR="009914E3" w:rsidRPr="00E213BC">
        <w:rPr>
          <w:rFonts w:ascii="Palatino Linotype" w:hAnsi="Palatino Linotype" w:cs="Arial"/>
        </w:rPr>
        <w:t xml:space="preserve">el </w:t>
      </w:r>
      <w:r w:rsidR="00416225" w:rsidRPr="00E213BC">
        <w:rPr>
          <w:rFonts w:ascii="Palatino Linotype" w:hAnsi="Palatino Linotype" w:cs="Arial"/>
          <w:b/>
        </w:rPr>
        <w:t>SAIMEX</w:t>
      </w:r>
      <w:r w:rsidR="00416225" w:rsidRPr="00E213BC">
        <w:rPr>
          <w:rFonts w:ascii="Palatino Linotype" w:hAnsi="Palatino Linotype" w:cs="Arial"/>
        </w:rPr>
        <w:t xml:space="preserve">, </w:t>
      </w:r>
      <w:r w:rsidR="00416225" w:rsidRPr="00E213BC">
        <w:rPr>
          <w:rFonts w:ascii="Palatino Linotype" w:hAnsi="Palatino Linotype" w:cs="Arial"/>
          <w:b/>
        </w:rPr>
        <w:t>EL</w:t>
      </w:r>
      <w:r w:rsidR="00416225" w:rsidRPr="00E213BC">
        <w:rPr>
          <w:rFonts w:ascii="Palatino Linotype" w:hAnsi="Palatino Linotype" w:cs="Arial"/>
        </w:rPr>
        <w:t xml:space="preserve"> </w:t>
      </w:r>
      <w:r w:rsidR="00416225" w:rsidRPr="00E213BC">
        <w:rPr>
          <w:rFonts w:ascii="Palatino Linotype" w:hAnsi="Palatino Linotype" w:cs="Arial"/>
          <w:b/>
        </w:rPr>
        <w:t>RECURRENTE</w:t>
      </w:r>
      <w:r w:rsidR="00416225" w:rsidRPr="00E213BC">
        <w:rPr>
          <w:rFonts w:ascii="Palatino Linotype" w:hAnsi="Palatino Linotype" w:cs="Arial"/>
        </w:rPr>
        <w:t xml:space="preserve"> presentó su desistimiento respecto del presente recurso, tal y como muestra a continuación:</w:t>
      </w:r>
    </w:p>
    <w:p w14:paraId="60D663FF" w14:textId="74ACD023" w:rsidR="008A2E75" w:rsidRPr="00E213BC" w:rsidRDefault="008A2E75" w:rsidP="00E213BC">
      <w:pPr>
        <w:pStyle w:val="Piedepgina"/>
        <w:spacing w:line="360" w:lineRule="auto"/>
        <w:jc w:val="both"/>
        <w:rPr>
          <w:rFonts w:ascii="Palatino Linotype" w:hAnsi="Palatino Linotype" w:cs="Arial"/>
        </w:rPr>
      </w:pPr>
      <w:r>
        <w:rPr>
          <w:noProof/>
          <w:lang w:eastAsia="es-MX"/>
        </w:rPr>
        <w:drawing>
          <wp:inline distT="0" distB="0" distL="0" distR="0" wp14:anchorId="24B9D450" wp14:editId="4BF0BCEC">
            <wp:extent cx="5791835" cy="31800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180080"/>
                    </a:xfrm>
                    <a:prstGeom prst="rect">
                      <a:avLst/>
                    </a:prstGeom>
                  </pic:spPr>
                </pic:pic>
              </a:graphicData>
            </a:graphic>
          </wp:inline>
        </w:drawing>
      </w:r>
    </w:p>
    <w:p w14:paraId="06CAB6C3" w14:textId="77777777" w:rsidR="00D320F2" w:rsidRPr="00E213BC" w:rsidRDefault="00D320F2" w:rsidP="00E213BC">
      <w:pPr>
        <w:pStyle w:val="Piedepgina"/>
        <w:spacing w:line="360" w:lineRule="auto"/>
        <w:jc w:val="both"/>
        <w:rPr>
          <w:rFonts w:ascii="Palatino Linotype" w:eastAsia="Arial Unicode MS" w:hAnsi="Palatino Linotype" w:cs="Arial"/>
          <w:b/>
          <w:color w:val="000000" w:themeColor="text1"/>
          <w:sz w:val="28"/>
          <w:szCs w:val="28"/>
        </w:rPr>
      </w:pPr>
    </w:p>
    <w:p w14:paraId="2564FA1A" w14:textId="7EAB0D30" w:rsidR="00457BB8" w:rsidRPr="00E213BC" w:rsidRDefault="00416225" w:rsidP="00E213BC">
      <w:pPr>
        <w:pStyle w:val="Piedepgina"/>
        <w:spacing w:line="360" w:lineRule="auto"/>
        <w:jc w:val="both"/>
        <w:rPr>
          <w:rFonts w:ascii="Palatino Linotype" w:hAnsi="Palatino Linotype" w:cs="Arial"/>
          <w:color w:val="000000" w:themeColor="text1"/>
        </w:rPr>
      </w:pPr>
      <w:r w:rsidRPr="00E213BC">
        <w:rPr>
          <w:rFonts w:ascii="Palatino Linotype" w:eastAsia="Arial Unicode MS" w:hAnsi="Palatino Linotype" w:cs="Arial"/>
          <w:b/>
          <w:color w:val="000000" w:themeColor="text1"/>
          <w:sz w:val="28"/>
          <w:szCs w:val="28"/>
        </w:rPr>
        <w:t>VI.</w:t>
      </w:r>
      <w:r w:rsidR="00457BB8" w:rsidRPr="00E213BC">
        <w:rPr>
          <w:rFonts w:ascii="Palatino Linotype" w:hAnsi="Palatino Linotype" w:cs="Arial"/>
          <w:b/>
          <w:color w:val="000000" w:themeColor="text1"/>
          <w:sz w:val="28"/>
        </w:rPr>
        <w:t xml:space="preserve"> </w:t>
      </w:r>
      <w:r w:rsidR="00457BB8" w:rsidRPr="00E213BC">
        <w:rPr>
          <w:rFonts w:ascii="Palatino Linotype" w:hAnsi="Palatino Linotype" w:cs="Arial"/>
          <w:color w:val="000000" w:themeColor="text1"/>
        </w:rPr>
        <w:t>De las constancias del expediente electrónico del</w:t>
      </w:r>
      <w:r w:rsidR="00457BB8" w:rsidRPr="00E213BC">
        <w:rPr>
          <w:rFonts w:ascii="Palatino Linotype" w:hAnsi="Palatino Linotype" w:cs="Arial"/>
          <w:b/>
          <w:color w:val="000000" w:themeColor="text1"/>
        </w:rPr>
        <w:t xml:space="preserve"> SAIMEX</w:t>
      </w:r>
      <w:r w:rsidR="00457BB8" w:rsidRPr="00E213BC">
        <w:rPr>
          <w:rFonts w:ascii="Palatino Linotype" w:hAnsi="Palatino Linotype" w:cs="Arial"/>
          <w:color w:val="000000" w:themeColor="text1"/>
        </w:rPr>
        <w:t xml:space="preserve">, se advierte que en fecha </w:t>
      </w:r>
      <w:r w:rsidR="00D320F2" w:rsidRPr="00E213BC">
        <w:rPr>
          <w:rFonts w:ascii="Palatino Linotype" w:hAnsi="Palatino Linotype" w:cs="Arial"/>
          <w:color w:val="000000" w:themeColor="text1"/>
        </w:rPr>
        <w:t xml:space="preserve">catorce de septiembre </w:t>
      </w:r>
      <w:r w:rsidR="00523B0C" w:rsidRPr="00E213BC">
        <w:rPr>
          <w:rFonts w:ascii="Palatino Linotype" w:hAnsi="Palatino Linotype" w:cs="Arial"/>
          <w:color w:val="000000" w:themeColor="text1"/>
        </w:rPr>
        <w:t xml:space="preserve">de dos mil veintiuno, </w:t>
      </w:r>
      <w:r w:rsidR="00457BB8" w:rsidRPr="00E213BC">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w:t>
      </w:r>
      <w:r w:rsidR="00457BB8" w:rsidRPr="00E213BC">
        <w:rPr>
          <w:rFonts w:ascii="Palatino Linotype" w:hAnsi="Palatino Linotype" w:cs="Arial"/>
          <w:color w:val="000000" w:themeColor="text1"/>
        </w:rPr>
        <w:lastRenderedPageBreak/>
        <w:t xml:space="preserve">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E213BC">
        <w:rPr>
          <w:rFonts w:ascii="Palatino Linotype" w:hAnsi="Palatino Linotype" w:cs="Arial"/>
          <w:b/>
          <w:color w:val="000000" w:themeColor="text1"/>
        </w:rPr>
        <w:t xml:space="preserve">EL SUJETO OBLIGADO </w:t>
      </w:r>
      <w:r w:rsidR="00457BB8" w:rsidRPr="00E213BC">
        <w:rPr>
          <w:rFonts w:ascii="Palatino Linotype" w:hAnsi="Palatino Linotype" w:cs="Arial"/>
          <w:color w:val="000000" w:themeColor="text1"/>
        </w:rPr>
        <w:t>rindiera su</w:t>
      </w:r>
      <w:r w:rsidR="00457BB8" w:rsidRPr="00E213BC">
        <w:rPr>
          <w:rFonts w:ascii="Palatino Linotype" w:hAnsi="Palatino Linotype" w:cs="Arial"/>
          <w:b/>
          <w:color w:val="000000" w:themeColor="text1"/>
        </w:rPr>
        <w:t xml:space="preserve"> </w:t>
      </w:r>
      <w:r w:rsidR="00457BB8" w:rsidRPr="00E213BC">
        <w:rPr>
          <w:rFonts w:ascii="Palatino Linotype" w:hAnsi="Palatino Linotype" w:cs="Arial"/>
          <w:color w:val="000000" w:themeColor="text1"/>
        </w:rPr>
        <w:t>Informe Justificado.</w:t>
      </w:r>
    </w:p>
    <w:p w14:paraId="2DDB6AEC" w14:textId="77777777" w:rsidR="00457BB8" w:rsidRPr="00E213BC" w:rsidRDefault="00457BB8" w:rsidP="00E213BC">
      <w:pPr>
        <w:pStyle w:val="Piedepgina"/>
        <w:spacing w:line="360" w:lineRule="auto"/>
        <w:jc w:val="both"/>
        <w:rPr>
          <w:rFonts w:ascii="Palatino Linotype" w:hAnsi="Palatino Linotype" w:cs="Arial"/>
          <w:color w:val="000000" w:themeColor="text1"/>
        </w:rPr>
      </w:pPr>
    </w:p>
    <w:p w14:paraId="0FD414EE" w14:textId="6163BB52" w:rsidR="00D320F2" w:rsidRPr="00E213BC" w:rsidRDefault="00457BB8" w:rsidP="00E213BC">
      <w:pPr>
        <w:spacing w:line="360" w:lineRule="auto"/>
        <w:jc w:val="both"/>
        <w:rPr>
          <w:rFonts w:ascii="Palatino Linotype" w:hAnsi="Palatino Linotype" w:cs="Arial"/>
          <w:noProof/>
          <w:color w:val="000000"/>
          <w:lang w:eastAsia="es-MX"/>
        </w:rPr>
      </w:pPr>
      <w:r w:rsidRPr="00E213BC">
        <w:rPr>
          <w:rFonts w:ascii="Palatino Linotype" w:eastAsia="Arial Unicode MS" w:hAnsi="Palatino Linotype" w:cs="Arial"/>
          <w:b/>
          <w:color w:val="000000" w:themeColor="text1"/>
          <w:sz w:val="28"/>
          <w:szCs w:val="28"/>
        </w:rPr>
        <w:t>V</w:t>
      </w:r>
      <w:r w:rsidR="00416225" w:rsidRPr="00E213BC">
        <w:rPr>
          <w:rFonts w:ascii="Palatino Linotype" w:eastAsia="Arial Unicode MS" w:hAnsi="Palatino Linotype" w:cs="Arial"/>
          <w:b/>
          <w:color w:val="000000" w:themeColor="text1"/>
          <w:sz w:val="28"/>
          <w:szCs w:val="28"/>
        </w:rPr>
        <w:t>I</w:t>
      </w:r>
      <w:r w:rsidR="00A25C3D" w:rsidRPr="00E213BC">
        <w:rPr>
          <w:rFonts w:ascii="Palatino Linotype" w:eastAsia="Arial Unicode MS" w:hAnsi="Palatino Linotype" w:cs="Arial"/>
          <w:b/>
          <w:color w:val="000000" w:themeColor="text1"/>
          <w:sz w:val="28"/>
          <w:szCs w:val="28"/>
        </w:rPr>
        <w:t>I</w:t>
      </w:r>
      <w:r w:rsidRPr="00E213BC">
        <w:rPr>
          <w:rFonts w:ascii="Palatino Linotype" w:eastAsia="Arial Unicode MS" w:hAnsi="Palatino Linotype" w:cs="Arial"/>
          <w:b/>
          <w:color w:val="000000" w:themeColor="text1"/>
          <w:sz w:val="28"/>
          <w:szCs w:val="28"/>
        </w:rPr>
        <w:t>.</w:t>
      </w:r>
      <w:r w:rsidR="003354F8" w:rsidRPr="00E213BC">
        <w:rPr>
          <w:rFonts w:ascii="Palatino Linotype" w:eastAsia="Arial Unicode MS" w:hAnsi="Palatino Linotype" w:cs="Arial"/>
          <w:b/>
          <w:color w:val="000000" w:themeColor="text1"/>
          <w:sz w:val="28"/>
          <w:szCs w:val="28"/>
        </w:rPr>
        <w:t xml:space="preserve"> </w:t>
      </w:r>
      <w:r w:rsidR="00D320F2" w:rsidRPr="00E213BC">
        <w:rPr>
          <w:rFonts w:ascii="Palatino Linotype" w:hAnsi="Palatino Linotype" w:cs="Arial"/>
          <w:color w:val="000000"/>
        </w:rPr>
        <w:t>En cumplimiento a lo anterior, de las constancias del expediente electrónico del</w:t>
      </w:r>
      <w:r w:rsidR="00D320F2" w:rsidRPr="00E213BC">
        <w:rPr>
          <w:rFonts w:ascii="Palatino Linotype" w:hAnsi="Palatino Linotype" w:cs="Arial"/>
          <w:b/>
          <w:color w:val="000000"/>
        </w:rPr>
        <w:t xml:space="preserve"> SAIMEX</w:t>
      </w:r>
      <w:r w:rsidR="00D320F2" w:rsidRPr="00E213BC">
        <w:rPr>
          <w:rFonts w:ascii="Palatino Linotype" w:hAnsi="Palatino Linotype" w:cs="Arial"/>
          <w:color w:val="000000"/>
        </w:rPr>
        <w:t xml:space="preserve">, se advierte que el veintiuno de septiembre de dos mil veintiuno, </w:t>
      </w:r>
      <w:r w:rsidR="00D320F2" w:rsidRPr="00E213BC">
        <w:rPr>
          <w:rFonts w:ascii="Palatino Linotype" w:hAnsi="Palatino Linotype" w:cs="Arial"/>
          <w:b/>
          <w:color w:val="000000"/>
        </w:rPr>
        <w:t>EL SUJETO OBLIGADO</w:t>
      </w:r>
      <w:r w:rsidR="00D320F2" w:rsidRPr="00E213BC">
        <w:rPr>
          <w:rFonts w:ascii="Palatino Linotype" w:hAnsi="Palatino Linotype" w:cs="Arial"/>
          <w:color w:val="000000"/>
        </w:rPr>
        <w:t xml:space="preserve"> </w:t>
      </w:r>
      <w:r w:rsidR="00D320F2" w:rsidRPr="00E213BC">
        <w:rPr>
          <w:rFonts w:ascii="Palatino Linotype" w:hAnsi="Palatino Linotype" w:cs="Arial"/>
          <w:color w:val="000000"/>
          <w:lang w:val="es-ES"/>
        </w:rPr>
        <w:t>envió el Informe Justificado, como se desprende a continuación</w:t>
      </w:r>
      <w:r w:rsidR="00D320F2" w:rsidRPr="00E213BC">
        <w:rPr>
          <w:rFonts w:ascii="Palatino Linotype" w:hAnsi="Palatino Linotype" w:cs="Arial"/>
          <w:noProof/>
          <w:color w:val="000000"/>
          <w:lang w:eastAsia="es-MX"/>
        </w:rPr>
        <w:t xml:space="preserve">: </w:t>
      </w:r>
    </w:p>
    <w:p w14:paraId="4A16273C" w14:textId="08BB477E" w:rsidR="00D320F2" w:rsidRPr="00E213BC" w:rsidRDefault="00D320F2" w:rsidP="00E213BC">
      <w:pPr>
        <w:spacing w:line="360" w:lineRule="auto"/>
        <w:jc w:val="both"/>
        <w:rPr>
          <w:rFonts w:ascii="Palatino Linotype" w:hAnsi="Palatino Linotype" w:cs="Arial"/>
          <w:noProof/>
          <w:color w:val="000000"/>
          <w:lang w:eastAsia="es-MX"/>
        </w:rPr>
      </w:pPr>
      <w:r w:rsidRPr="00E213BC">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1A64E24A" wp14:editId="242D00AE">
                <wp:simplePos x="0" y="0"/>
                <wp:positionH relativeFrom="margin">
                  <wp:align>right</wp:align>
                </wp:positionH>
                <wp:positionV relativeFrom="paragraph">
                  <wp:posOffset>1034249</wp:posOffset>
                </wp:positionV>
                <wp:extent cx="5560060" cy="655983"/>
                <wp:effectExtent l="76200" t="38100" r="78740" b="86995"/>
                <wp:wrapNone/>
                <wp:docPr id="27" name="Rectángulo redondead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0060" cy="655983"/>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F9A4B" id="Rectángulo redondeado 27" o:spid="_x0000_s1026" style="position:absolute;margin-left:386.6pt;margin-top:81.45pt;width:437.8pt;height:51.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" filled="f" strokecolor="red" strokeweight="3pt">
                <v:shadow on="t" color="black" opacity="22937f" origin=",.5" offset="0,.63889mm"/>
                <v:path arrowok="t"/>
                <w10:wrap anchorx="margin"/>
              </v:roundrect>
            </w:pict>
          </mc:Fallback>
        </mc:AlternateContent>
      </w:r>
      <w:r w:rsidRPr="00E213BC">
        <w:rPr>
          <w:rFonts w:ascii="Palatino Linotype" w:hAnsi="Palatino Linotype" w:cs="Arial"/>
          <w:noProof/>
          <w:color w:val="000000"/>
          <w:lang w:eastAsia="es-MX"/>
        </w:rPr>
        <w:drawing>
          <wp:inline distT="0" distB="0" distL="0" distR="0" wp14:anchorId="78D68881" wp14:editId="0812D430">
            <wp:extent cx="5791835" cy="17989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1798955"/>
                    </a:xfrm>
                    <a:prstGeom prst="rect">
                      <a:avLst/>
                    </a:prstGeom>
                  </pic:spPr>
                </pic:pic>
              </a:graphicData>
            </a:graphic>
          </wp:inline>
        </w:drawing>
      </w:r>
    </w:p>
    <w:p w14:paraId="563396B2" w14:textId="6D7FDE5D" w:rsidR="00D320F2" w:rsidRPr="00E213BC" w:rsidRDefault="00D320F2" w:rsidP="00E213BC">
      <w:pPr>
        <w:spacing w:line="360" w:lineRule="auto"/>
        <w:jc w:val="center"/>
        <w:rPr>
          <w:rFonts w:ascii="Palatino Linotype" w:hAnsi="Palatino Linotype" w:cs="Arial"/>
          <w:noProof/>
          <w:color w:val="000000"/>
          <w:lang w:eastAsia="es-MX"/>
        </w:rPr>
      </w:pPr>
    </w:p>
    <w:p w14:paraId="14291943" w14:textId="1276E0AB" w:rsidR="00D320F2" w:rsidRPr="00E213BC" w:rsidRDefault="00D320F2" w:rsidP="00E213BC">
      <w:pPr>
        <w:spacing w:line="360" w:lineRule="auto"/>
        <w:jc w:val="both"/>
        <w:rPr>
          <w:rFonts w:ascii="Palatino Linotype" w:hAnsi="Palatino Linotype" w:cs="Arial"/>
          <w:noProof/>
          <w:color w:val="000000"/>
          <w:lang w:eastAsia="es-MX"/>
        </w:rPr>
      </w:pPr>
      <w:r w:rsidRPr="00E213BC">
        <w:rPr>
          <w:rFonts w:ascii="Palatino Linotype" w:hAnsi="Palatino Linotype" w:cs="Arial"/>
          <w:noProof/>
          <w:color w:val="000000"/>
          <w:lang w:eastAsia="es-MX"/>
        </w:rPr>
        <w:t xml:space="preserve">Advirtiendo que en </w:t>
      </w:r>
      <w:r w:rsidRPr="00E213BC">
        <w:rPr>
          <w:rFonts w:ascii="Palatino Linotype" w:hAnsi="Palatino Linotype" w:cs="Arial"/>
          <w:color w:val="000000"/>
        </w:rPr>
        <w:t>dicho</w:t>
      </w:r>
      <w:r w:rsidRPr="00E213BC">
        <w:rPr>
          <w:rFonts w:ascii="Palatino Linotype" w:hAnsi="Palatino Linotype" w:cs="Arial"/>
          <w:noProof/>
          <w:color w:val="000000"/>
          <w:lang w:eastAsia="es-MX"/>
        </w:rPr>
        <w:t xml:space="preserve"> informe, que </w:t>
      </w:r>
      <w:r w:rsidRPr="00E213BC">
        <w:rPr>
          <w:rFonts w:ascii="Palatino Linotype" w:hAnsi="Palatino Linotype" w:cs="Arial"/>
          <w:b/>
          <w:noProof/>
          <w:color w:val="000000"/>
          <w:lang w:eastAsia="es-MX"/>
        </w:rPr>
        <w:t>EL SUJETO OBLIGADO</w:t>
      </w:r>
      <w:r w:rsidRPr="00E213BC">
        <w:rPr>
          <w:rFonts w:ascii="Palatino Linotype" w:hAnsi="Palatino Linotype" w:cs="Arial"/>
          <w:noProof/>
          <w:color w:val="000000"/>
          <w:lang w:eastAsia="es-MX"/>
        </w:rPr>
        <w:t xml:space="preserve"> anexó el archivo  </w:t>
      </w:r>
      <w:hyperlink r:id="rId13" w:history="1">
        <w:r w:rsidRPr="00E213BC">
          <w:rPr>
            <w:rFonts w:ascii="Palatino Linotype" w:hAnsi="Palatino Linotype" w:cs="Arial"/>
            <w:b/>
            <w:noProof/>
            <w:color w:val="000000"/>
            <w:lang w:eastAsia="es-MX"/>
          </w:rPr>
          <w:t>Recurso Revisión 4642.pdf</w:t>
        </w:r>
      </w:hyperlink>
      <w:r w:rsidRPr="00E213BC">
        <w:rPr>
          <w:rFonts w:ascii="Palatino Linotype" w:hAnsi="Palatino Linotype" w:cs="Arial"/>
          <w:noProof/>
          <w:color w:val="000000"/>
          <w:lang w:eastAsia="es-MX"/>
        </w:rPr>
        <w:t>;</w:t>
      </w:r>
      <w:r w:rsidRPr="00E213BC">
        <w:rPr>
          <w:rFonts w:ascii="Palatino Linotype" w:hAnsi="Palatino Linotype" w:cs="Arial"/>
          <w:b/>
          <w:noProof/>
          <w:color w:val="000000"/>
          <w:lang w:eastAsia="es-MX"/>
        </w:rPr>
        <w:t xml:space="preserve"> </w:t>
      </w:r>
      <w:r w:rsidRPr="00E213BC">
        <w:rPr>
          <w:rFonts w:ascii="Palatino Linotype" w:hAnsi="Palatino Linotype" w:cs="Arial"/>
          <w:noProof/>
          <w:color w:val="000000"/>
          <w:lang w:eastAsia="es-MX"/>
        </w:rPr>
        <w:t xml:space="preserve">el cual no fue puestos a disposición del </w:t>
      </w:r>
      <w:r w:rsidRPr="00E213BC">
        <w:rPr>
          <w:rFonts w:ascii="Palatino Linotype" w:hAnsi="Palatino Linotype" w:cs="Arial"/>
          <w:b/>
          <w:noProof/>
          <w:color w:val="000000"/>
          <w:lang w:eastAsia="es-MX"/>
        </w:rPr>
        <w:t>RECURRENTE</w:t>
      </w:r>
      <w:r w:rsidRPr="00E213BC">
        <w:rPr>
          <w:rFonts w:ascii="Palatino Linotype" w:hAnsi="Palatino Linotype" w:cs="Arial"/>
          <w:noProof/>
          <w:color w:val="000000"/>
          <w:lang w:eastAsia="es-MX"/>
        </w:rPr>
        <w:t xml:space="preserve">, en razón de que no se actualizó el supuesto de la fracción III del artículo 185 de la Ley de Transparencia y Acceso a la Información Pública del Estado de México y Municipios; </w:t>
      </w:r>
      <w:r w:rsidRPr="00E213BC">
        <w:rPr>
          <w:rFonts w:ascii="Palatino Linotype" w:hAnsi="Palatino Linotype" w:cs="Arial"/>
          <w:bCs/>
          <w:color w:val="000000"/>
        </w:rPr>
        <w:t xml:space="preserve">sin embargo, se hará del conocimiento </w:t>
      </w:r>
      <w:r w:rsidRPr="00E213BC">
        <w:rPr>
          <w:rFonts w:ascii="Palatino Linotype" w:eastAsia="Arial Unicode MS" w:hAnsi="Palatino Linotype" w:cs="Arial"/>
          <w:color w:val="000000"/>
        </w:rPr>
        <w:t xml:space="preserve">al momento de notificar la presente resolución al </w:t>
      </w:r>
      <w:r w:rsidRPr="00E213BC">
        <w:rPr>
          <w:rFonts w:ascii="Palatino Linotype" w:eastAsia="Arial Unicode MS" w:hAnsi="Palatino Linotype" w:cs="Arial"/>
          <w:b/>
          <w:color w:val="000000"/>
        </w:rPr>
        <w:t>RECURRENTE</w:t>
      </w:r>
      <w:r w:rsidRPr="00E213BC">
        <w:rPr>
          <w:rFonts w:ascii="Palatino Linotype" w:eastAsia="Arial Unicode MS" w:hAnsi="Palatino Linotype" w:cs="Arial"/>
          <w:color w:val="000000"/>
        </w:rPr>
        <w:t xml:space="preserve">. </w:t>
      </w:r>
    </w:p>
    <w:p w14:paraId="07BAD6B7" w14:textId="77777777" w:rsidR="00D320F2" w:rsidRPr="00E213BC" w:rsidRDefault="00D320F2" w:rsidP="00E213BC">
      <w:pPr>
        <w:spacing w:line="360" w:lineRule="auto"/>
        <w:jc w:val="both"/>
        <w:rPr>
          <w:rFonts w:ascii="Palatino Linotype" w:hAnsi="Palatino Linotype" w:cs="Arial"/>
          <w:noProof/>
          <w:color w:val="000000"/>
          <w:lang w:eastAsia="es-MX"/>
        </w:rPr>
      </w:pPr>
    </w:p>
    <w:p w14:paraId="25CBE6E0" w14:textId="77777777" w:rsidR="00D320F2" w:rsidRPr="00E213BC" w:rsidRDefault="00D320F2" w:rsidP="00E213BC">
      <w:pPr>
        <w:spacing w:line="360" w:lineRule="auto"/>
        <w:rPr>
          <w:rFonts w:ascii="Palatino Linotype" w:hAnsi="Palatino Linotype"/>
        </w:rPr>
      </w:pPr>
      <w:r w:rsidRPr="00E213BC">
        <w:rPr>
          <w:rFonts w:ascii="Palatino Linotype" w:hAnsi="Palatino Linotype"/>
          <w:noProof/>
          <w:color w:val="000000"/>
          <w:lang w:eastAsia="es-MX"/>
        </w:rPr>
        <w:lastRenderedPageBreak/>
        <w:t>Por su parte, el particular no realizó manifiestación alguna, ni presentó pruebas o alegatos.</w:t>
      </w:r>
    </w:p>
    <w:p w14:paraId="2F4BF3C8" w14:textId="77777777" w:rsidR="00D320F2" w:rsidRPr="00E213BC" w:rsidRDefault="00D320F2" w:rsidP="00E213BC">
      <w:pPr>
        <w:spacing w:line="360" w:lineRule="auto"/>
        <w:jc w:val="both"/>
        <w:rPr>
          <w:rFonts w:ascii="Palatino Linotype" w:eastAsia="Arial Unicode MS" w:hAnsi="Palatino Linotype" w:cs="Arial"/>
          <w:b/>
          <w:color w:val="000000" w:themeColor="text1"/>
          <w:sz w:val="28"/>
          <w:szCs w:val="28"/>
        </w:rPr>
      </w:pPr>
    </w:p>
    <w:p w14:paraId="43254135" w14:textId="1CC1EA7E" w:rsidR="007757F2" w:rsidRPr="00E213BC" w:rsidRDefault="00523B0C" w:rsidP="00E213BC">
      <w:pPr>
        <w:spacing w:line="360" w:lineRule="auto"/>
        <w:jc w:val="both"/>
        <w:rPr>
          <w:rFonts w:ascii="Palatino Linotype" w:hAnsi="Palatino Linotype"/>
          <w:color w:val="000000" w:themeColor="text1"/>
        </w:rPr>
      </w:pPr>
      <w:r w:rsidRPr="00E213BC">
        <w:rPr>
          <w:rFonts w:ascii="Palatino Linotype" w:hAnsi="Palatino Linotype"/>
          <w:b/>
          <w:color w:val="000000" w:themeColor="text1"/>
          <w:sz w:val="28"/>
          <w:szCs w:val="28"/>
        </w:rPr>
        <w:t>VII</w:t>
      </w:r>
      <w:r w:rsidR="007757F2" w:rsidRPr="00E213BC">
        <w:rPr>
          <w:rFonts w:ascii="Palatino Linotype" w:hAnsi="Palatino Linotype"/>
          <w:b/>
          <w:color w:val="000000" w:themeColor="text1"/>
          <w:sz w:val="28"/>
          <w:szCs w:val="28"/>
        </w:rPr>
        <w:t xml:space="preserve">. </w:t>
      </w:r>
      <w:r w:rsidR="007757F2" w:rsidRPr="00E213BC">
        <w:rPr>
          <w:rFonts w:ascii="Palatino Linotype" w:hAnsi="Palatino Linotype"/>
          <w:color w:val="000000" w:themeColor="text1"/>
        </w:rPr>
        <w:t xml:space="preserve">En fecha </w:t>
      </w:r>
      <w:r w:rsidR="00D320F2" w:rsidRPr="00E213BC">
        <w:rPr>
          <w:rFonts w:ascii="Palatino Linotype" w:hAnsi="Palatino Linotype"/>
          <w:color w:val="000000" w:themeColor="text1"/>
        </w:rPr>
        <w:t xml:space="preserve">veintisiete de septiembre </w:t>
      </w:r>
      <w:r w:rsidR="003354F8" w:rsidRPr="00E213BC">
        <w:rPr>
          <w:rFonts w:ascii="Palatino Linotype" w:hAnsi="Palatino Linotype"/>
          <w:color w:val="000000" w:themeColor="text1"/>
        </w:rPr>
        <w:t>de dos mil veintiuno</w:t>
      </w:r>
      <w:r w:rsidR="007757F2" w:rsidRPr="00E213BC">
        <w:rPr>
          <w:rFonts w:ascii="Palatino Linotype" w:hAnsi="Palatino Linotype"/>
          <w:color w:val="000000" w:themeColor="text1"/>
        </w:rPr>
        <w:t>, se notificó a las partes el Acuerdo de Cierre de Instrucción</w:t>
      </w:r>
      <w:r w:rsidR="00D900CC" w:rsidRPr="00E213BC">
        <w:rPr>
          <w:rFonts w:ascii="Palatino Linotype" w:hAnsi="Palatino Linotype"/>
          <w:color w:val="000000" w:themeColor="text1"/>
        </w:rPr>
        <w:t>.</w:t>
      </w:r>
    </w:p>
    <w:p w14:paraId="07436EEA" w14:textId="77777777" w:rsidR="007757F2" w:rsidRPr="00E213BC" w:rsidRDefault="007757F2" w:rsidP="00E213BC">
      <w:pPr>
        <w:spacing w:line="360" w:lineRule="auto"/>
        <w:jc w:val="both"/>
        <w:rPr>
          <w:rFonts w:ascii="Palatino Linotype" w:hAnsi="Palatino Linotype"/>
          <w:color w:val="000000" w:themeColor="text1"/>
        </w:rPr>
      </w:pPr>
    </w:p>
    <w:p w14:paraId="6063395B" w14:textId="7DDD93CF" w:rsidR="00F977A4" w:rsidRPr="00E213BC" w:rsidRDefault="009A51FC" w:rsidP="00E213BC">
      <w:pPr>
        <w:spacing w:line="360" w:lineRule="auto"/>
        <w:jc w:val="both"/>
        <w:rPr>
          <w:rFonts w:ascii="Palatino Linotype" w:hAnsi="Palatino Linotype" w:cs="Arial"/>
          <w:color w:val="000000" w:themeColor="text1"/>
        </w:rPr>
      </w:pPr>
      <w:r w:rsidRPr="00E213BC">
        <w:rPr>
          <w:rFonts w:ascii="Palatino Linotype" w:hAnsi="Palatino Linotype"/>
          <w:b/>
          <w:color w:val="000000" w:themeColor="text1"/>
          <w:sz w:val="28"/>
          <w:szCs w:val="28"/>
        </w:rPr>
        <w:t>VIII</w:t>
      </w:r>
      <w:r w:rsidR="00F977A4" w:rsidRPr="00E213BC">
        <w:rPr>
          <w:rFonts w:ascii="Palatino Linotype" w:hAnsi="Palatino Linotype"/>
          <w:b/>
          <w:color w:val="000000" w:themeColor="text1"/>
          <w:sz w:val="28"/>
          <w:szCs w:val="28"/>
        </w:rPr>
        <w:t xml:space="preserve">. </w:t>
      </w:r>
      <w:r w:rsidR="00F977A4" w:rsidRPr="00E213BC">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D320F2" w:rsidRPr="00E213BC">
        <w:rPr>
          <w:rFonts w:ascii="Palatino Linotype" w:hAnsi="Palatino Linotype"/>
          <w:b/>
          <w:lang w:val="es-ES_tradnl"/>
        </w:rPr>
        <w:t xml:space="preserve">Sharon Cristina Morales Martínez </w:t>
      </w:r>
      <w:r w:rsidR="00F977A4" w:rsidRPr="00E213BC">
        <w:rPr>
          <w:rFonts w:ascii="Palatino Linotype" w:hAnsi="Palatino Linotype" w:cs="Arial"/>
          <w:color w:val="000000" w:themeColor="text1"/>
        </w:rPr>
        <w:t>formulara y presentara al Pleno el proyecto de resolución correspondiente; y</w:t>
      </w:r>
    </w:p>
    <w:p w14:paraId="4C86D636" w14:textId="77777777" w:rsidR="00F977A4" w:rsidRPr="00E213BC" w:rsidRDefault="00F977A4" w:rsidP="00E213BC">
      <w:pPr>
        <w:jc w:val="center"/>
        <w:rPr>
          <w:rFonts w:ascii="Palatino Linotype" w:hAnsi="Palatino Linotype"/>
          <w:b/>
          <w:bCs/>
          <w:color w:val="000000" w:themeColor="text1"/>
          <w:spacing w:val="40"/>
          <w:sz w:val="28"/>
        </w:rPr>
      </w:pPr>
    </w:p>
    <w:p w14:paraId="274C22D9" w14:textId="77777777" w:rsidR="00457BB8" w:rsidRPr="00E213BC" w:rsidRDefault="00457BB8" w:rsidP="00E213BC">
      <w:pPr>
        <w:jc w:val="center"/>
        <w:rPr>
          <w:rFonts w:ascii="Palatino Linotype" w:hAnsi="Palatino Linotype"/>
          <w:b/>
          <w:bCs/>
          <w:color w:val="000000" w:themeColor="text1"/>
          <w:spacing w:val="40"/>
          <w:sz w:val="28"/>
        </w:rPr>
      </w:pPr>
      <w:r w:rsidRPr="00E213BC">
        <w:rPr>
          <w:rFonts w:ascii="Palatino Linotype" w:hAnsi="Palatino Linotype"/>
          <w:b/>
          <w:bCs/>
          <w:color w:val="000000" w:themeColor="text1"/>
          <w:spacing w:val="40"/>
          <w:sz w:val="28"/>
        </w:rPr>
        <w:t>CONSIDERANDO</w:t>
      </w:r>
    </w:p>
    <w:p w14:paraId="2EE1A9E9" w14:textId="77777777" w:rsidR="00457BB8" w:rsidRPr="00E213BC" w:rsidRDefault="00457BB8" w:rsidP="00E213BC">
      <w:pPr>
        <w:jc w:val="center"/>
        <w:rPr>
          <w:rFonts w:ascii="Palatino Linotype" w:hAnsi="Palatino Linotype"/>
          <w:b/>
          <w:bCs/>
          <w:color w:val="000000" w:themeColor="text1"/>
          <w:spacing w:val="40"/>
          <w:sz w:val="28"/>
        </w:rPr>
      </w:pPr>
    </w:p>
    <w:p w14:paraId="7A8FC27D" w14:textId="461F1E70" w:rsidR="00CD3257" w:rsidRPr="00E213BC" w:rsidRDefault="00457BB8" w:rsidP="00E213BC">
      <w:pPr>
        <w:spacing w:line="360" w:lineRule="auto"/>
        <w:ind w:right="50"/>
        <w:jc w:val="both"/>
        <w:rPr>
          <w:rFonts w:ascii="Palatino Linotype" w:hAnsi="Palatino Linotype" w:cs="Arial"/>
          <w:color w:val="000000" w:themeColor="text1"/>
        </w:rPr>
      </w:pPr>
      <w:r w:rsidRPr="00E213BC">
        <w:rPr>
          <w:rFonts w:ascii="Palatino Linotype" w:hAnsi="Palatino Linotype"/>
          <w:b/>
          <w:color w:val="000000" w:themeColor="text1"/>
          <w:sz w:val="28"/>
          <w:szCs w:val="28"/>
        </w:rPr>
        <w:t>PRIMERO</w:t>
      </w:r>
      <w:r w:rsidRPr="00E213BC">
        <w:rPr>
          <w:rFonts w:ascii="Palatino Linotype" w:hAnsi="Palatino Linotype"/>
          <w:b/>
          <w:color w:val="000000" w:themeColor="text1"/>
        </w:rPr>
        <w:t>.</w:t>
      </w:r>
      <w:r w:rsidRPr="00E213BC">
        <w:rPr>
          <w:rFonts w:ascii="Palatino Linotype" w:hAnsi="Palatino Linotype"/>
          <w:color w:val="000000" w:themeColor="text1"/>
        </w:rPr>
        <w:t xml:space="preserve"> </w:t>
      </w:r>
      <w:r w:rsidR="00CD3257" w:rsidRPr="00E213BC">
        <w:rPr>
          <w:rFonts w:ascii="Palatino Linotype" w:hAnsi="Palatino Linotype"/>
          <w:b/>
          <w:color w:val="000000" w:themeColor="text1"/>
        </w:rPr>
        <w:t>Competencia</w:t>
      </w:r>
      <w:r w:rsidR="00CD3257" w:rsidRPr="00E213BC">
        <w:rPr>
          <w:rFonts w:ascii="Palatino Linotype" w:hAnsi="Palatino Linotype"/>
          <w:color w:val="000000" w:themeColor="text1"/>
        </w:rPr>
        <w:t>.</w:t>
      </w:r>
      <w:r w:rsidR="00CD3257" w:rsidRPr="00E213BC">
        <w:rPr>
          <w:rFonts w:ascii="Palatino Linotype" w:hAnsi="Palatino Linotype"/>
          <w:b/>
          <w:color w:val="000000" w:themeColor="text1"/>
        </w:rPr>
        <w:t xml:space="preserve"> </w:t>
      </w:r>
      <w:r w:rsidR="00CD3257" w:rsidRPr="00E213BC">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E213BC">
        <w:rPr>
          <w:rFonts w:ascii="Palatino Linotype" w:hAnsi="Palatino Linotype" w:cs="Arial"/>
          <w:color w:val="000000" w:themeColor="text1"/>
        </w:rPr>
        <w:t xml:space="preserve">; y 9, fracciones I y XXIV y 11 del Reglamento Interior del Instituto de </w:t>
      </w:r>
      <w:r w:rsidR="00CD3257" w:rsidRPr="00E213BC">
        <w:rPr>
          <w:rFonts w:ascii="Palatino Linotype" w:hAnsi="Palatino Linotype" w:cs="Arial"/>
          <w:color w:val="000000" w:themeColor="text1"/>
        </w:rPr>
        <w:lastRenderedPageBreak/>
        <w:t>Transparencia, Acceso a la Información Pública y Protección de Datos Personales del Estado de México y Municipios.</w:t>
      </w:r>
    </w:p>
    <w:p w14:paraId="6BAEC2A0" w14:textId="77777777" w:rsidR="005A2A2E" w:rsidRPr="00E213BC" w:rsidRDefault="005A2A2E" w:rsidP="00E213BC">
      <w:pPr>
        <w:spacing w:line="360" w:lineRule="auto"/>
        <w:ind w:right="50"/>
        <w:jc w:val="both"/>
        <w:rPr>
          <w:rFonts w:ascii="Palatino Linotype" w:hAnsi="Palatino Linotype" w:cs="Arial"/>
          <w:color w:val="000000" w:themeColor="text1"/>
        </w:rPr>
      </w:pPr>
    </w:p>
    <w:p w14:paraId="782532E9" w14:textId="77777777" w:rsidR="00CD3257" w:rsidRPr="00E213BC" w:rsidRDefault="00CD3257" w:rsidP="00E213B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213BC">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E213BC" w:rsidRDefault="00CD3257" w:rsidP="00E213BC">
      <w:pPr>
        <w:spacing w:line="360" w:lineRule="auto"/>
        <w:ind w:right="50"/>
        <w:jc w:val="both"/>
        <w:rPr>
          <w:rFonts w:ascii="Palatino Linotype" w:hAnsi="Palatino Linotype"/>
          <w:color w:val="000000" w:themeColor="text1"/>
        </w:rPr>
      </w:pPr>
    </w:p>
    <w:p w14:paraId="54E67F03" w14:textId="272E66DB" w:rsidR="00457BB8" w:rsidRPr="00E213BC" w:rsidRDefault="00457BB8" w:rsidP="00E213BC">
      <w:pPr>
        <w:spacing w:line="360" w:lineRule="auto"/>
        <w:jc w:val="both"/>
        <w:rPr>
          <w:rFonts w:ascii="Palatino Linotype" w:hAnsi="Palatino Linotype" w:cs="Arial"/>
          <w:b/>
          <w:snapToGrid w:val="0"/>
          <w:color w:val="000000" w:themeColor="text1"/>
        </w:rPr>
      </w:pPr>
      <w:r w:rsidRPr="00E213BC">
        <w:rPr>
          <w:rFonts w:ascii="Palatino Linotype" w:hAnsi="Palatino Linotype" w:cs="Arial"/>
          <w:b/>
          <w:color w:val="000000" w:themeColor="text1"/>
          <w:sz w:val="28"/>
        </w:rPr>
        <w:t>SEGUNDO</w:t>
      </w:r>
      <w:r w:rsidRPr="00E213BC">
        <w:rPr>
          <w:rFonts w:ascii="Palatino Linotype" w:hAnsi="Palatino Linotype" w:cs="Arial"/>
          <w:b/>
          <w:color w:val="000000" w:themeColor="text1"/>
        </w:rPr>
        <w:t xml:space="preserve">. Interés. </w:t>
      </w:r>
      <w:r w:rsidRPr="00E213BC">
        <w:rPr>
          <w:rFonts w:ascii="Palatino Linotype" w:hAnsi="Palatino Linotype" w:cs="Arial"/>
          <w:bCs/>
          <w:color w:val="000000" w:themeColor="text1"/>
        </w:rPr>
        <w:t xml:space="preserve">El recurso de revisión fue interpuesto por parte legítima, en atención a que se presentó por </w:t>
      </w:r>
      <w:r w:rsidR="00D900CC" w:rsidRPr="00E213BC">
        <w:rPr>
          <w:rFonts w:ascii="Palatino Linotype" w:hAnsi="Palatino Linotype" w:cs="Arial"/>
          <w:b/>
          <w:bCs/>
          <w:color w:val="000000" w:themeColor="text1"/>
        </w:rPr>
        <w:t>EL</w:t>
      </w:r>
      <w:r w:rsidRPr="00E213BC">
        <w:rPr>
          <w:rFonts w:ascii="Palatino Linotype" w:hAnsi="Palatino Linotype" w:cs="Arial"/>
          <w:b/>
          <w:bCs/>
          <w:color w:val="000000" w:themeColor="text1"/>
        </w:rPr>
        <w:t xml:space="preserve"> RECURRENTE,</w:t>
      </w:r>
      <w:r w:rsidRPr="00E213BC">
        <w:rPr>
          <w:rFonts w:ascii="Palatino Linotype" w:hAnsi="Palatino Linotype" w:cs="Arial"/>
          <w:bCs/>
          <w:color w:val="000000" w:themeColor="text1"/>
        </w:rPr>
        <w:t xml:space="preserve"> quien es la misma persona que formuló la solicitud de acceso a la información pública al </w:t>
      </w:r>
      <w:r w:rsidRPr="00E213BC">
        <w:rPr>
          <w:rFonts w:ascii="Palatino Linotype" w:hAnsi="Palatino Linotype" w:cs="Arial"/>
          <w:b/>
          <w:bCs/>
          <w:color w:val="000000" w:themeColor="text1"/>
        </w:rPr>
        <w:t>SUJETO OBLIGADO.</w:t>
      </w:r>
    </w:p>
    <w:p w14:paraId="29A38B6E" w14:textId="77777777" w:rsidR="00457BB8" w:rsidRPr="00E213BC" w:rsidRDefault="00457BB8" w:rsidP="00E213BC">
      <w:pPr>
        <w:spacing w:line="360" w:lineRule="auto"/>
        <w:jc w:val="both"/>
        <w:rPr>
          <w:rFonts w:ascii="Palatino Linotype" w:hAnsi="Palatino Linotype" w:cs="Arial"/>
          <w:b/>
          <w:color w:val="000000" w:themeColor="text1"/>
          <w:szCs w:val="28"/>
        </w:rPr>
      </w:pPr>
    </w:p>
    <w:p w14:paraId="0228BFAD" w14:textId="3A738685" w:rsidR="00457BB8" w:rsidRPr="00E213BC" w:rsidRDefault="00457BB8" w:rsidP="00E213BC">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E213BC">
        <w:rPr>
          <w:rFonts w:ascii="Palatino Linotype" w:hAnsi="Palatino Linotype" w:cs="Arial"/>
          <w:b/>
          <w:color w:val="000000" w:themeColor="text1"/>
          <w:sz w:val="28"/>
          <w:szCs w:val="28"/>
        </w:rPr>
        <w:t xml:space="preserve">TERCERO. </w:t>
      </w:r>
      <w:r w:rsidRPr="00E213BC">
        <w:rPr>
          <w:rFonts w:ascii="Palatino Linotype" w:hAnsi="Palatino Linotype" w:cs="Arial"/>
          <w:b/>
          <w:color w:val="000000" w:themeColor="text1"/>
        </w:rPr>
        <w:t xml:space="preserve">Oportunidad. </w:t>
      </w:r>
      <w:r w:rsidRPr="00E213BC">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E213BC">
        <w:rPr>
          <w:rFonts w:ascii="Palatino Linotype" w:hAnsi="Palatino Linotype" w:cs="Arial"/>
          <w:b/>
          <w:color w:val="000000" w:themeColor="text1"/>
        </w:rPr>
        <w:t>EL</w:t>
      </w:r>
      <w:r w:rsidRPr="00E213BC">
        <w:rPr>
          <w:rFonts w:ascii="Palatino Linotype" w:hAnsi="Palatino Linotype" w:cs="Arial"/>
          <w:b/>
          <w:color w:val="000000" w:themeColor="text1"/>
        </w:rPr>
        <w:t xml:space="preserve"> RECURRENTE </w:t>
      </w:r>
      <w:r w:rsidRPr="00E213B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E213BC" w:rsidRDefault="00457BB8" w:rsidP="00E213BC">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E213BC" w:rsidRDefault="00457BB8" w:rsidP="00E213BC">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E213BC">
        <w:rPr>
          <w:rFonts w:ascii="Palatino Linotype" w:eastAsiaTheme="minorEastAsia" w:hAnsi="Palatino Linotype" w:cs="Arial"/>
          <w:b/>
          <w:i/>
          <w:color w:val="000000" w:themeColor="text1"/>
          <w:sz w:val="22"/>
          <w:szCs w:val="22"/>
          <w:lang w:val="es-ES_tradnl"/>
        </w:rPr>
        <w:t>“Artículo 178.</w:t>
      </w:r>
      <w:r w:rsidRPr="00E213BC">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w:t>
      </w:r>
      <w:r w:rsidRPr="00E213BC">
        <w:rPr>
          <w:rFonts w:ascii="Palatino Linotype" w:eastAsiaTheme="minorEastAsia" w:hAnsi="Palatino Linotype" w:cs="Arial"/>
          <w:i/>
          <w:color w:val="000000" w:themeColor="text1"/>
          <w:sz w:val="22"/>
          <w:szCs w:val="22"/>
          <w:lang w:val="es-ES_tradnl"/>
        </w:rPr>
        <w:lastRenderedPageBreak/>
        <w:t>el Instituto o ante la Unidad de Transparencia que haya conocido de la solicitud dentro de los quince días hábiles, siguientes a la fecha de la notificación de la respuesta.</w:t>
      </w:r>
    </w:p>
    <w:p w14:paraId="2620496E" w14:textId="77777777" w:rsidR="00457BB8" w:rsidRPr="00E213BC" w:rsidRDefault="00457BB8" w:rsidP="00E213BC">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E213BC">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E213BC" w:rsidRDefault="00457BB8" w:rsidP="00E213BC">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E213BC">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E213BC">
        <w:rPr>
          <w:rFonts w:ascii="Palatino Linotype" w:eastAsiaTheme="minorEastAsia" w:hAnsi="Palatino Linotype" w:cs="Arial"/>
          <w:b/>
          <w:i/>
          <w:color w:val="000000" w:themeColor="text1"/>
          <w:sz w:val="22"/>
          <w:szCs w:val="22"/>
          <w:lang w:val="es-ES_tradnl"/>
        </w:rPr>
        <w:t>”</w:t>
      </w:r>
    </w:p>
    <w:p w14:paraId="0793AB7B" w14:textId="77777777" w:rsidR="00457BB8" w:rsidRPr="00E213BC" w:rsidRDefault="00457BB8" w:rsidP="00E213BC">
      <w:pPr>
        <w:ind w:left="851" w:right="902"/>
        <w:jc w:val="both"/>
        <w:rPr>
          <w:rFonts w:ascii="Palatino Linotype" w:eastAsiaTheme="minorEastAsia" w:hAnsi="Palatino Linotype" w:cs="Arial"/>
          <w:color w:val="000000" w:themeColor="text1"/>
          <w:szCs w:val="20"/>
          <w:lang w:val="es-ES_tradnl"/>
        </w:rPr>
      </w:pPr>
    </w:p>
    <w:p w14:paraId="135B3EA6" w14:textId="09CF6BC4" w:rsidR="00E212C0" w:rsidRPr="00E213BC" w:rsidRDefault="00457BB8" w:rsidP="00E213BC">
      <w:pPr>
        <w:spacing w:line="360" w:lineRule="auto"/>
        <w:jc w:val="both"/>
        <w:rPr>
          <w:rFonts w:ascii="Palatino Linotype" w:hAnsi="Palatino Linotype"/>
        </w:rPr>
      </w:pPr>
      <w:r w:rsidRPr="00E213BC">
        <w:rPr>
          <w:rFonts w:ascii="Palatino Linotype" w:eastAsiaTheme="minorEastAsia" w:hAnsi="Palatino Linotype" w:cs="Arial"/>
          <w:color w:val="000000" w:themeColor="text1"/>
          <w:lang w:val="es-ES_tradnl"/>
        </w:rPr>
        <w:t xml:space="preserve">En efecto, atendiendo a que </w:t>
      </w:r>
      <w:r w:rsidRPr="00E213BC">
        <w:rPr>
          <w:rFonts w:ascii="Palatino Linotype" w:eastAsiaTheme="minorEastAsia" w:hAnsi="Palatino Linotype" w:cs="Arial"/>
          <w:b/>
          <w:color w:val="000000" w:themeColor="text1"/>
          <w:lang w:val="es-ES_tradnl"/>
        </w:rPr>
        <w:t>EL SUJETO OBLIGADO</w:t>
      </w:r>
      <w:r w:rsidRPr="00E213BC">
        <w:rPr>
          <w:rFonts w:ascii="Palatino Linotype" w:eastAsiaTheme="minorEastAsia" w:hAnsi="Palatino Linotype" w:cs="Arial"/>
          <w:color w:val="000000" w:themeColor="text1"/>
          <w:lang w:val="es-ES_tradnl"/>
        </w:rPr>
        <w:t xml:space="preserve"> notificó la respuesta a la solicitud de información pública el </w:t>
      </w:r>
      <w:r w:rsidR="00D320F2" w:rsidRPr="00E213BC">
        <w:rPr>
          <w:rFonts w:ascii="Palatino Linotype" w:eastAsiaTheme="minorEastAsia" w:hAnsi="Palatino Linotype" w:cs="Arial"/>
          <w:b/>
          <w:color w:val="000000" w:themeColor="text1"/>
          <w:lang w:val="es-ES_tradnl"/>
        </w:rPr>
        <w:t xml:space="preserve">nueve de septiembre </w:t>
      </w:r>
      <w:r w:rsidR="00523B0C" w:rsidRPr="00E213BC">
        <w:rPr>
          <w:rFonts w:ascii="Palatino Linotype" w:eastAsiaTheme="minorEastAsia" w:hAnsi="Palatino Linotype" w:cs="Arial"/>
          <w:b/>
          <w:color w:val="000000" w:themeColor="text1"/>
          <w:lang w:val="es-ES_tradnl"/>
        </w:rPr>
        <w:t>de dos mil veintiuno</w:t>
      </w:r>
      <w:r w:rsidRPr="00E213BC">
        <w:rPr>
          <w:rFonts w:ascii="Palatino Linotype" w:eastAsiaTheme="minorEastAsia" w:hAnsi="Palatino Linotype" w:cs="Arial"/>
          <w:b/>
          <w:color w:val="000000" w:themeColor="text1"/>
          <w:lang w:val="es-ES_tradnl"/>
        </w:rPr>
        <w:t xml:space="preserve">; </w:t>
      </w:r>
      <w:r w:rsidRPr="00E213BC">
        <w:rPr>
          <w:rFonts w:ascii="Palatino Linotype" w:hAnsi="Palatino Linotype" w:cs="Arial"/>
          <w:color w:val="000000" w:themeColor="text1"/>
        </w:rPr>
        <w:t>en consecuencia, el plazo de quince días hábiles que el artículo 178 d</w:t>
      </w:r>
      <w:r w:rsidR="00D900CC" w:rsidRPr="00E213BC">
        <w:rPr>
          <w:rFonts w:ascii="Palatino Linotype" w:hAnsi="Palatino Linotype" w:cs="Arial"/>
          <w:color w:val="000000" w:themeColor="text1"/>
        </w:rPr>
        <w:t xml:space="preserve">e la ley de la materia otorga al </w:t>
      </w:r>
      <w:r w:rsidRPr="00E213BC">
        <w:rPr>
          <w:rFonts w:ascii="Palatino Linotype" w:hAnsi="Palatino Linotype" w:cs="Arial"/>
          <w:b/>
          <w:color w:val="000000" w:themeColor="text1"/>
        </w:rPr>
        <w:t>RECURRENTE</w:t>
      </w:r>
      <w:r w:rsidRPr="00E213BC">
        <w:rPr>
          <w:rFonts w:ascii="Palatino Linotype" w:hAnsi="Palatino Linotype" w:cs="Arial"/>
          <w:color w:val="000000" w:themeColor="text1"/>
        </w:rPr>
        <w:t xml:space="preserve"> para presentar el recurso de revisión, transcurrió del</w:t>
      </w:r>
      <w:r w:rsidRPr="00E213BC">
        <w:rPr>
          <w:rFonts w:ascii="Palatino Linotype" w:hAnsi="Palatino Linotype" w:cs="Arial"/>
          <w:b/>
          <w:color w:val="000000" w:themeColor="text1"/>
        </w:rPr>
        <w:t xml:space="preserve"> </w:t>
      </w:r>
      <w:r w:rsidR="00D320F2" w:rsidRPr="00E213BC">
        <w:rPr>
          <w:rFonts w:ascii="Palatino Linotype" w:hAnsi="Palatino Linotype" w:cs="Arial"/>
          <w:b/>
          <w:color w:val="000000" w:themeColor="text1"/>
        </w:rPr>
        <w:t xml:space="preserve">diez de septiembre al uno de octubre </w:t>
      </w:r>
      <w:r w:rsidR="005062CA" w:rsidRPr="00E213BC">
        <w:rPr>
          <w:rFonts w:ascii="Palatino Linotype" w:hAnsi="Palatino Linotype" w:cs="Arial"/>
          <w:b/>
          <w:color w:val="000000" w:themeColor="text1"/>
        </w:rPr>
        <w:t>de dos mil veintiuno</w:t>
      </w:r>
      <w:r w:rsidRPr="00E213BC">
        <w:rPr>
          <w:rFonts w:ascii="Palatino Linotype" w:hAnsi="Palatino Linotype" w:cs="Arial"/>
          <w:color w:val="000000" w:themeColor="text1"/>
        </w:rPr>
        <w:t>, sin contemplar en el cómputo los días</w:t>
      </w:r>
      <w:r w:rsidR="00523B0C" w:rsidRPr="00E213BC">
        <w:rPr>
          <w:rFonts w:ascii="Palatino Linotype" w:hAnsi="Palatino Linotype" w:cs="Arial"/>
          <w:color w:val="000000" w:themeColor="text1"/>
        </w:rPr>
        <w:t xml:space="preserve"> </w:t>
      </w:r>
      <w:r w:rsidR="00D320F2" w:rsidRPr="00E213BC">
        <w:rPr>
          <w:rFonts w:ascii="Palatino Linotype" w:hAnsi="Palatino Linotype" w:cs="Arial"/>
          <w:color w:val="000000" w:themeColor="text1"/>
        </w:rPr>
        <w:t>once, doce, dieciocho, diecinueve, veinticinco y veintiséis de septiembre</w:t>
      </w:r>
      <w:r w:rsidR="00523B0C" w:rsidRPr="00E213BC">
        <w:rPr>
          <w:rFonts w:ascii="Palatino Linotype" w:hAnsi="Palatino Linotype" w:cs="Arial"/>
          <w:color w:val="000000" w:themeColor="text1"/>
        </w:rPr>
        <w:t xml:space="preserve"> de dos mil veintiuno,</w:t>
      </w:r>
      <w:r w:rsidR="00CD3257" w:rsidRPr="00E213BC">
        <w:rPr>
          <w:rFonts w:ascii="Palatino Linotype" w:hAnsi="Palatino Linotype" w:cs="Arial"/>
          <w:color w:val="000000" w:themeColor="text1"/>
        </w:rPr>
        <w:t xml:space="preserve"> </w:t>
      </w:r>
      <w:r w:rsidRPr="00E213BC">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523B0C" w:rsidRPr="00E213BC">
        <w:rPr>
          <w:rFonts w:ascii="Palatino Linotype" w:hAnsi="Palatino Linotype" w:cs="Arial"/>
          <w:color w:val="000000" w:themeColor="text1"/>
        </w:rPr>
        <w:t xml:space="preserve">; así como </w:t>
      </w:r>
      <w:r w:rsidR="00D320F2" w:rsidRPr="00E213BC">
        <w:rPr>
          <w:rFonts w:ascii="Palatino Linotype" w:hAnsi="Palatino Linotype" w:cs="Arial"/>
          <w:color w:val="000000" w:themeColor="text1"/>
        </w:rPr>
        <w:t xml:space="preserve">dieciséis de febrero </w:t>
      </w:r>
      <w:r w:rsidR="00523B0C" w:rsidRPr="00E213BC">
        <w:rPr>
          <w:rFonts w:ascii="Palatino Linotype" w:hAnsi="Palatino Linotype" w:cs="Arial"/>
          <w:color w:val="000000" w:themeColor="text1"/>
        </w:rPr>
        <w:t xml:space="preserve">por </w:t>
      </w:r>
      <w:r w:rsidR="005071E3" w:rsidRPr="00E213BC">
        <w:rPr>
          <w:rFonts w:ascii="Palatino Linotype" w:hAnsi="Palatino Linotype" w:cs="Arial"/>
          <w:color w:val="000000" w:themeColor="text1"/>
        </w:rPr>
        <w:t xml:space="preserve">ser </w:t>
      </w:r>
      <w:r w:rsidR="005071E3" w:rsidRPr="00E213BC">
        <w:rPr>
          <w:rFonts w:ascii="Palatino Linotype" w:hAnsi="Palatino Linotype"/>
        </w:rPr>
        <w:t>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p>
    <w:p w14:paraId="4C56CFC0" w14:textId="77777777" w:rsidR="005071E3" w:rsidRPr="00E213BC" w:rsidRDefault="005071E3" w:rsidP="00E213BC">
      <w:pPr>
        <w:spacing w:line="360" w:lineRule="auto"/>
        <w:jc w:val="both"/>
        <w:rPr>
          <w:rFonts w:ascii="Palatino Linotype" w:hAnsi="Palatino Linotype" w:cs="Arial"/>
          <w:color w:val="000000" w:themeColor="text1"/>
        </w:rPr>
      </w:pPr>
    </w:p>
    <w:p w14:paraId="0E788203" w14:textId="4CFD0003" w:rsidR="00457BB8" w:rsidRPr="00E213BC" w:rsidRDefault="00457BB8" w:rsidP="00E213BC">
      <w:pPr>
        <w:spacing w:line="360" w:lineRule="auto"/>
        <w:jc w:val="both"/>
        <w:rPr>
          <w:rFonts w:ascii="Palatino Linotype" w:eastAsiaTheme="minorEastAsia" w:hAnsi="Palatino Linotype" w:cs="Arial"/>
          <w:color w:val="000000" w:themeColor="text1"/>
          <w:lang w:val="es-ES_tradnl"/>
        </w:rPr>
      </w:pPr>
      <w:r w:rsidRPr="00E213BC">
        <w:rPr>
          <w:rFonts w:ascii="Palatino Linotype" w:eastAsiaTheme="minorEastAsia" w:hAnsi="Palatino Linotype" w:cs="Arial"/>
          <w:color w:val="000000" w:themeColor="text1"/>
          <w:lang w:val="es-ES_tradnl"/>
        </w:rPr>
        <w:t>En ese tenor, si el recurso de revisión que nos ocupa, se interpuso el</w:t>
      </w:r>
      <w:r w:rsidRPr="00E213BC">
        <w:rPr>
          <w:rFonts w:ascii="Palatino Linotype" w:eastAsiaTheme="minorEastAsia" w:hAnsi="Palatino Linotype" w:cs="Arial"/>
          <w:b/>
          <w:color w:val="000000" w:themeColor="text1"/>
          <w:lang w:val="es-ES_tradnl"/>
        </w:rPr>
        <w:t xml:space="preserve"> </w:t>
      </w:r>
      <w:r w:rsidR="00D320F2" w:rsidRPr="00E213BC">
        <w:rPr>
          <w:rFonts w:ascii="Palatino Linotype" w:eastAsiaTheme="minorEastAsia" w:hAnsi="Palatino Linotype" w:cs="Arial"/>
          <w:b/>
          <w:color w:val="000000" w:themeColor="text1"/>
          <w:lang w:val="es-ES_tradnl"/>
        </w:rPr>
        <w:t xml:space="preserve">diez de septiembre </w:t>
      </w:r>
      <w:r w:rsidR="005071E3" w:rsidRPr="00E213BC">
        <w:rPr>
          <w:rFonts w:ascii="Palatino Linotype" w:eastAsiaTheme="minorEastAsia" w:hAnsi="Palatino Linotype" w:cs="Arial"/>
          <w:b/>
          <w:color w:val="000000" w:themeColor="text1"/>
          <w:lang w:val="es-ES_tradnl"/>
        </w:rPr>
        <w:t>de</w:t>
      </w:r>
      <w:r w:rsidRPr="00E213BC">
        <w:rPr>
          <w:rFonts w:ascii="Palatino Linotype" w:eastAsiaTheme="minorEastAsia" w:hAnsi="Palatino Linotype" w:cs="Arial"/>
          <w:b/>
          <w:color w:val="000000" w:themeColor="text1"/>
          <w:lang w:val="es-ES_tradnl"/>
        </w:rPr>
        <w:t xml:space="preserve"> dos mil veint</w:t>
      </w:r>
      <w:r w:rsidR="005071E3" w:rsidRPr="00E213BC">
        <w:rPr>
          <w:rFonts w:ascii="Palatino Linotype" w:eastAsiaTheme="minorEastAsia" w:hAnsi="Palatino Linotype" w:cs="Arial"/>
          <w:b/>
          <w:color w:val="000000" w:themeColor="text1"/>
          <w:lang w:val="es-ES_tradnl"/>
        </w:rPr>
        <w:t>iuno</w:t>
      </w:r>
      <w:r w:rsidRPr="00E213BC">
        <w:rPr>
          <w:rFonts w:ascii="Palatino Linotype" w:eastAsiaTheme="minorEastAsia" w:hAnsi="Palatino Linotype" w:cs="Arial"/>
          <w:b/>
          <w:color w:val="000000" w:themeColor="text1"/>
          <w:lang w:val="es-ES_tradnl"/>
        </w:rPr>
        <w:t>,</w:t>
      </w:r>
      <w:r w:rsidRPr="00E213BC">
        <w:rPr>
          <w:rFonts w:ascii="Palatino Linotype" w:eastAsiaTheme="minorEastAsia" w:hAnsi="Palatino Linotype" w:cs="Arial"/>
          <w:color w:val="000000" w:themeColor="text1"/>
          <w:lang w:val="es-ES_tradnl"/>
        </w:rPr>
        <w:t xml:space="preserve"> éste se encuentra dentro de</w:t>
      </w:r>
      <w:r w:rsidR="00E94B16">
        <w:rPr>
          <w:rFonts w:ascii="Palatino Linotype" w:eastAsiaTheme="minorEastAsia" w:hAnsi="Palatino Linotype" w:cs="Arial"/>
          <w:color w:val="000000" w:themeColor="text1"/>
          <w:lang w:val="es-ES_tradnl"/>
        </w:rPr>
        <w:t>l término</w:t>
      </w:r>
      <w:r w:rsidRPr="00E213BC">
        <w:rPr>
          <w:rFonts w:ascii="Palatino Linotype" w:eastAsiaTheme="minorEastAsia" w:hAnsi="Palatino Linotype" w:cs="Arial"/>
          <w:color w:val="000000" w:themeColor="text1"/>
          <w:lang w:val="es-ES_tradnl"/>
        </w:rPr>
        <w:t xml:space="preserve"> previsto en el citado precepto legal y, por tanto, se considera oportuno.</w:t>
      </w:r>
    </w:p>
    <w:p w14:paraId="40206908" w14:textId="77777777" w:rsidR="00457BB8" w:rsidRPr="00E213BC" w:rsidRDefault="00457BB8" w:rsidP="00E213BC">
      <w:pPr>
        <w:spacing w:line="360" w:lineRule="auto"/>
        <w:jc w:val="both"/>
        <w:rPr>
          <w:rFonts w:ascii="Palatino Linotype" w:eastAsiaTheme="minorEastAsia" w:hAnsi="Palatino Linotype" w:cs="Arial"/>
          <w:color w:val="000000" w:themeColor="text1"/>
          <w:lang w:val="es-ES_tradnl"/>
        </w:rPr>
      </w:pPr>
    </w:p>
    <w:p w14:paraId="311E6184" w14:textId="0B679555" w:rsidR="00A27FE7" w:rsidRPr="00E213BC" w:rsidRDefault="00A27FE7" w:rsidP="00E213BC">
      <w:pPr>
        <w:autoSpaceDE w:val="0"/>
        <w:autoSpaceDN w:val="0"/>
        <w:adjustRightInd w:val="0"/>
        <w:spacing w:line="360" w:lineRule="auto"/>
        <w:ind w:right="49"/>
        <w:jc w:val="both"/>
        <w:rPr>
          <w:rFonts w:ascii="Palatino Linotype" w:hAnsi="Palatino Linotype" w:cs="Arial"/>
          <w:b/>
        </w:rPr>
      </w:pPr>
      <w:r w:rsidRPr="00E213BC">
        <w:rPr>
          <w:rFonts w:ascii="Palatino Linotype" w:hAnsi="Palatino Linotype" w:cs="Arial"/>
          <w:b/>
          <w:sz w:val="28"/>
          <w:szCs w:val="28"/>
        </w:rPr>
        <w:t>CUARTO</w:t>
      </w:r>
      <w:r w:rsidRPr="00E213BC">
        <w:rPr>
          <w:rFonts w:ascii="Palatino Linotype" w:hAnsi="Palatino Linotype"/>
          <w:b/>
          <w:sz w:val="28"/>
          <w:szCs w:val="28"/>
        </w:rPr>
        <w:t>.</w:t>
      </w:r>
      <w:r w:rsidRPr="00E213BC">
        <w:rPr>
          <w:rFonts w:ascii="Palatino Linotype" w:hAnsi="Palatino Linotype"/>
          <w:b/>
        </w:rPr>
        <w:t xml:space="preserve"> </w:t>
      </w:r>
      <w:proofErr w:type="spellStart"/>
      <w:r w:rsidRPr="00E213BC">
        <w:rPr>
          <w:rFonts w:ascii="Palatino Linotype" w:hAnsi="Palatino Linotype"/>
          <w:b/>
        </w:rPr>
        <w:t>Procedibilidad</w:t>
      </w:r>
      <w:proofErr w:type="spellEnd"/>
      <w:r w:rsidRPr="00E213BC">
        <w:rPr>
          <w:rFonts w:ascii="Palatino Linotype" w:hAnsi="Palatino Linotype"/>
          <w:b/>
        </w:rPr>
        <w:t xml:space="preserve">. </w:t>
      </w:r>
      <w:r w:rsidRPr="00E213BC">
        <w:rPr>
          <w:rFonts w:ascii="Palatino Linotype" w:hAnsi="Palatino Linotype" w:cs="Arial"/>
        </w:rPr>
        <w:t>Del análisis efectuado se advierte que resulta procedente la interposición de</w:t>
      </w:r>
      <w:r w:rsidR="00E94B16">
        <w:rPr>
          <w:rFonts w:ascii="Palatino Linotype" w:hAnsi="Palatino Linotype" w:cs="Arial"/>
        </w:rPr>
        <w:t xml:space="preserve">l </w:t>
      </w:r>
      <w:r w:rsidRPr="00E213BC">
        <w:rPr>
          <w:rFonts w:ascii="Palatino Linotype" w:hAnsi="Palatino Linotype" w:cs="Arial"/>
        </w:rPr>
        <w:t xml:space="preserve">recurso y se concluye la acreditación plena de todos y cada uno de los elementos formales exigidos por el artículo 180 de la </w:t>
      </w:r>
      <w:r w:rsidRPr="00E213BC">
        <w:rPr>
          <w:rFonts w:ascii="Palatino Linotype" w:hAnsi="Palatino Linotype"/>
        </w:rPr>
        <w:t xml:space="preserve">Ley de Transparencia y Acceso a la Información Pública del Estado de México y Municipios, en atención a que fueron presentados mediante el formato visible en </w:t>
      </w:r>
      <w:r w:rsidRPr="00E213BC">
        <w:rPr>
          <w:rFonts w:ascii="Palatino Linotype" w:hAnsi="Palatino Linotype"/>
          <w:b/>
        </w:rPr>
        <w:t>EL SAIMEX.</w:t>
      </w:r>
    </w:p>
    <w:p w14:paraId="1F5CC8BE" w14:textId="77777777" w:rsidR="00CD3257" w:rsidRPr="00E213BC" w:rsidRDefault="00CD3257" w:rsidP="00E213BC">
      <w:pPr>
        <w:spacing w:line="360" w:lineRule="auto"/>
        <w:rPr>
          <w:rFonts w:ascii="Palatino Linotype" w:hAnsi="Palatino Linotype"/>
          <w:color w:val="000000" w:themeColor="text1"/>
        </w:rPr>
      </w:pPr>
    </w:p>
    <w:p w14:paraId="1BA85AEA" w14:textId="7C39E235" w:rsidR="009C45CA" w:rsidRPr="00E213BC" w:rsidRDefault="00145AF8" w:rsidP="00E213BC">
      <w:pPr>
        <w:spacing w:line="360" w:lineRule="auto"/>
        <w:jc w:val="both"/>
        <w:rPr>
          <w:rFonts w:ascii="Palatino Linotype" w:hAnsi="Palatino Linotype" w:cs="Arial"/>
          <w:color w:val="000000" w:themeColor="text1"/>
        </w:rPr>
      </w:pPr>
      <w:r w:rsidRPr="00E213BC">
        <w:rPr>
          <w:rFonts w:ascii="Palatino Linotype" w:hAnsi="Palatino Linotype" w:cs="Arial"/>
          <w:b/>
          <w:sz w:val="28"/>
          <w:szCs w:val="28"/>
        </w:rPr>
        <w:t>QUINTO</w:t>
      </w:r>
      <w:r w:rsidRPr="00E213BC">
        <w:rPr>
          <w:rFonts w:ascii="Palatino Linotype" w:hAnsi="Palatino Linotype" w:cs="Arial"/>
          <w:b/>
        </w:rPr>
        <w:t xml:space="preserve">. </w:t>
      </w:r>
      <w:r w:rsidRPr="00E213BC">
        <w:rPr>
          <w:rFonts w:ascii="Palatino Linotype" w:eastAsiaTheme="minorEastAsia" w:hAnsi="Palatino Linotype" w:cs="Arial"/>
          <w:b/>
          <w:lang w:val="es-ES_tradnl"/>
        </w:rPr>
        <w:t xml:space="preserve">Análisis de causal de sobreseimiento. </w:t>
      </w:r>
      <w:r w:rsidRPr="00E213BC">
        <w:rPr>
          <w:rFonts w:ascii="Palatino Linotype" w:hAnsi="Palatino Linotype" w:cs="Arial"/>
          <w:color w:val="000000" w:themeColor="text1"/>
        </w:rPr>
        <w:t>A efecto de continuar con el presente estudio y previo análisis de las constancias que integran el expediente electrónico, es conveniente recordar que el particular</w:t>
      </w:r>
      <w:r w:rsidR="006122B9" w:rsidRPr="00E213BC">
        <w:rPr>
          <w:rFonts w:ascii="Palatino Linotype" w:hAnsi="Palatino Linotype" w:cs="Arial"/>
          <w:color w:val="000000" w:themeColor="text1"/>
        </w:rPr>
        <w:t xml:space="preserve"> medularmente solicitó del </w:t>
      </w:r>
      <w:r w:rsidR="006122B9" w:rsidRPr="00E213BC">
        <w:rPr>
          <w:rFonts w:ascii="Palatino Linotype" w:hAnsi="Palatino Linotype" w:cs="Arial"/>
          <w:b/>
          <w:color w:val="000000" w:themeColor="text1"/>
        </w:rPr>
        <w:t xml:space="preserve">SUJETO OBLIGADO </w:t>
      </w:r>
      <w:r w:rsidR="009C45CA" w:rsidRPr="00E213BC">
        <w:rPr>
          <w:rFonts w:ascii="Palatino Linotype" w:hAnsi="Palatino Linotype" w:cs="Arial"/>
          <w:color w:val="000000" w:themeColor="text1"/>
        </w:rPr>
        <w:t xml:space="preserve">lo siguiente: </w:t>
      </w:r>
    </w:p>
    <w:p w14:paraId="0E3E045B" w14:textId="77777777" w:rsidR="009C45CA" w:rsidRPr="00E213BC" w:rsidRDefault="009C45CA" w:rsidP="00E213BC">
      <w:pPr>
        <w:spacing w:line="360" w:lineRule="auto"/>
        <w:jc w:val="both"/>
        <w:rPr>
          <w:rFonts w:ascii="Palatino Linotype" w:hAnsi="Palatino Linotype" w:cs="Arial"/>
          <w:color w:val="000000" w:themeColor="text1"/>
        </w:rPr>
      </w:pPr>
    </w:p>
    <w:p w14:paraId="1B93F312" w14:textId="77777777" w:rsidR="009C45CA" w:rsidRPr="00E213BC" w:rsidRDefault="009C45CA" w:rsidP="00E213BC">
      <w:pPr>
        <w:pStyle w:val="Prrafodelista"/>
        <w:numPr>
          <w:ilvl w:val="0"/>
          <w:numId w:val="65"/>
        </w:numPr>
        <w:spacing w:line="360" w:lineRule="auto"/>
        <w:jc w:val="both"/>
        <w:rPr>
          <w:rFonts w:ascii="Palatino Linotype" w:hAnsi="Palatino Linotype" w:cs="Arial"/>
          <w:color w:val="000000" w:themeColor="text1"/>
        </w:rPr>
      </w:pPr>
      <w:r w:rsidRPr="00E213BC">
        <w:rPr>
          <w:rFonts w:ascii="Palatino Linotype" w:hAnsi="Palatino Linotype" w:cs="Arial"/>
          <w:color w:val="000000" w:themeColor="text1"/>
        </w:rPr>
        <w:t xml:space="preserve">Listado clasificado por descripción del puesto, área de adscripción y percepción obtenida por el mes de enero del 2021 de todo el personal adscrito al sistema municipal DIF Naucalpan </w:t>
      </w:r>
    </w:p>
    <w:p w14:paraId="7F618870" w14:textId="77777777" w:rsidR="009C45CA" w:rsidRPr="00E213BC" w:rsidRDefault="009C45CA" w:rsidP="00E213BC">
      <w:pPr>
        <w:pStyle w:val="Prrafodelista"/>
        <w:numPr>
          <w:ilvl w:val="0"/>
          <w:numId w:val="65"/>
        </w:numPr>
        <w:spacing w:line="360" w:lineRule="auto"/>
        <w:jc w:val="both"/>
        <w:rPr>
          <w:rFonts w:ascii="Palatino Linotype" w:hAnsi="Palatino Linotype" w:cs="Arial"/>
          <w:color w:val="000000" w:themeColor="text1"/>
        </w:rPr>
      </w:pPr>
      <w:r w:rsidRPr="00E213BC">
        <w:rPr>
          <w:rFonts w:ascii="Palatino Linotype" w:hAnsi="Palatino Linotype" w:cs="Arial"/>
          <w:color w:val="000000" w:themeColor="text1"/>
        </w:rPr>
        <w:t xml:space="preserve">Listado clasificado por descripción del puesto, área de adscripción y percepción obtenida por el mes de agosto del 2021 de todo el personal adscrito al sistema municipal DIF Naucalpan </w:t>
      </w:r>
    </w:p>
    <w:p w14:paraId="6FC101EF" w14:textId="77777777" w:rsidR="009C45CA" w:rsidRPr="00E213BC" w:rsidRDefault="009C45CA" w:rsidP="00E213BC">
      <w:pPr>
        <w:pStyle w:val="Prrafodelista"/>
        <w:numPr>
          <w:ilvl w:val="0"/>
          <w:numId w:val="65"/>
        </w:numPr>
        <w:spacing w:line="360" w:lineRule="auto"/>
        <w:jc w:val="both"/>
        <w:rPr>
          <w:rFonts w:ascii="Palatino Linotype" w:hAnsi="Palatino Linotype" w:cs="Arial"/>
          <w:color w:val="000000" w:themeColor="text1"/>
        </w:rPr>
      </w:pPr>
      <w:r w:rsidRPr="00E213BC">
        <w:rPr>
          <w:rFonts w:ascii="Palatino Linotype" w:hAnsi="Palatino Linotype" w:cs="Arial"/>
          <w:color w:val="000000" w:themeColor="text1"/>
        </w:rPr>
        <w:t xml:space="preserve">Listado clasificado por años de antigüedad, motivo de la baja y monto de liquidación y/o finiquito, del personal que causara baja de enero al mes de agosto 2021 </w:t>
      </w:r>
    </w:p>
    <w:p w14:paraId="63C437B8" w14:textId="77777777" w:rsidR="009C45CA" w:rsidRPr="00E213BC" w:rsidRDefault="009C45CA" w:rsidP="00E213BC">
      <w:pPr>
        <w:pStyle w:val="Prrafodelista"/>
        <w:numPr>
          <w:ilvl w:val="0"/>
          <w:numId w:val="65"/>
        </w:numPr>
        <w:spacing w:line="360" w:lineRule="auto"/>
        <w:jc w:val="both"/>
        <w:rPr>
          <w:rFonts w:ascii="Palatino Linotype" w:hAnsi="Palatino Linotype" w:cs="Arial"/>
          <w:color w:val="000000" w:themeColor="text1"/>
        </w:rPr>
      </w:pPr>
      <w:r w:rsidRPr="00E213BC">
        <w:rPr>
          <w:rFonts w:ascii="Palatino Linotype" w:hAnsi="Palatino Linotype" w:cs="Arial"/>
          <w:color w:val="000000" w:themeColor="text1"/>
        </w:rPr>
        <w:t xml:space="preserve">Listado clasificado por área de adscripción, motivo de alta y monto del sueldo, del personal que causara alta del mes de enero al mes de agosto de 2021 </w:t>
      </w:r>
    </w:p>
    <w:p w14:paraId="10AF4489" w14:textId="77777777" w:rsidR="009C45CA" w:rsidRPr="00E213BC" w:rsidRDefault="009C45CA" w:rsidP="00E213BC">
      <w:pPr>
        <w:pStyle w:val="Prrafodelista"/>
        <w:numPr>
          <w:ilvl w:val="0"/>
          <w:numId w:val="65"/>
        </w:numPr>
        <w:spacing w:line="360" w:lineRule="auto"/>
        <w:jc w:val="both"/>
        <w:rPr>
          <w:rFonts w:ascii="Palatino Linotype" w:hAnsi="Palatino Linotype" w:cs="Arial"/>
          <w:color w:val="000000" w:themeColor="text1"/>
        </w:rPr>
      </w:pPr>
      <w:r w:rsidRPr="00E213BC">
        <w:rPr>
          <w:rFonts w:ascii="Palatino Linotype" w:hAnsi="Palatino Linotype" w:cs="Arial"/>
          <w:color w:val="000000" w:themeColor="text1"/>
        </w:rPr>
        <w:lastRenderedPageBreak/>
        <w:t>Listado clasificado por área de adscripción, motivo de modificación salarial y fecha de la modificación, por los meses de enero a agosto del 2021</w:t>
      </w:r>
    </w:p>
    <w:p w14:paraId="55EDBE4B" w14:textId="77777777" w:rsidR="009C45CA" w:rsidRPr="00E213BC" w:rsidRDefault="009C45CA" w:rsidP="00E213BC">
      <w:pPr>
        <w:pStyle w:val="Prrafodelista"/>
        <w:numPr>
          <w:ilvl w:val="0"/>
          <w:numId w:val="65"/>
        </w:numPr>
        <w:spacing w:line="360" w:lineRule="auto"/>
        <w:jc w:val="both"/>
        <w:rPr>
          <w:rFonts w:ascii="Palatino Linotype" w:hAnsi="Palatino Linotype" w:cs="Arial"/>
          <w:color w:val="000000" w:themeColor="text1"/>
        </w:rPr>
      </w:pPr>
      <w:r w:rsidRPr="00E213BC">
        <w:rPr>
          <w:rFonts w:ascii="Palatino Linotype" w:hAnsi="Palatino Linotype" w:cs="Arial"/>
          <w:color w:val="000000" w:themeColor="text1"/>
        </w:rPr>
        <w:t xml:space="preserve">Junta de gobierno en la que se aprobó el tabulador de sueldos y salarios para el ejercicio presupuestal 2021 </w:t>
      </w:r>
    </w:p>
    <w:p w14:paraId="2B9C31EE" w14:textId="77777777" w:rsidR="009C45CA" w:rsidRPr="00E213BC" w:rsidRDefault="009C45CA" w:rsidP="00E213BC">
      <w:pPr>
        <w:pStyle w:val="Prrafodelista"/>
        <w:numPr>
          <w:ilvl w:val="0"/>
          <w:numId w:val="65"/>
        </w:numPr>
        <w:spacing w:line="360" w:lineRule="auto"/>
        <w:jc w:val="both"/>
        <w:rPr>
          <w:rFonts w:ascii="Palatino Linotype" w:hAnsi="Palatino Linotype" w:cs="Arial"/>
          <w:color w:val="000000" w:themeColor="text1"/>
        </w:rPr>
      </w:pPr>
      <w:r w:rsidRPr="00E213BC">
        <w:rPr>
          <w:rFonts w:ascii="Palatino Linotype" w:hAnsi="Palatino Linotype" w:cs="Arial"/>
          <w:color w:val="000000" w:themeColor="text1"/>
        </w:rPr>
        <w:t xml:space="preserve">Listado clasificado por concepto, monto de la adquisición, motivo de la adquisición, de todas las adquisiciones realizadas por el sistema municipal DIF Naucalpan por el periodo comprendido de enero a agosto del 2021 </w:t>
      </w:r>
    </w:p>
    <w:p w14:paraId="70AFCF95" w14:textId="77777777" w:rsidR="009C45CA" w:rsidRPr="00E213BC" w:rsidRDefault="009C45CA" w:rsidP="00E213BC">
      <w:pPr>
        <w:pStyle w:val="Prrafodelista"/>
        <w:numPr>
          <w:ilvl w:val="0"/>
          <w:numId w:val="65"/>
        </w:numPr>
        <w:spacing w:line="360" w:lineRule="auto"/>
        <w:jc w:val="both"/>
        <w:rPr>
          <w:rFonts w:ascii="Palatino Linotype" w:hAnsi="Palatino Linotype" w:cs="Arial"/>
          <w:color w:val="000000" w:themeColor="text1"/>
        </w:rPr>
      </w:pPr>
      <w:r w:rsidRPr="00E213BC">
        <w:rPr>
          <w:rFonts w:ascii="Palatino Linotype" w:hAnsi="Palatino Linotype" w:cs="Arial"/>
          <w:color w:val="000000" w:themeColor="text1"/>
        </w:rPr>
        <w:t xml:space="preserve">Se me informe las acciones que ha realizado el Órgano de Control Interno del Sistema Municipal DIF Naucalpan, respecto el cumplimiento del Exhorto realizado por la Legislatura para el cumplimiento del pago de sueldos y salarios el cual fue publicado el día 30 de julio del presente año el cual a la letra dice “- La H. “LX” Legislatura del Estado Libre y Soberano de México, exhorta respetuosamente a las presidencias municipales de los 125 Ayuntamientos del Estado de México, en pleno respeto a su autonomía, a cumplir con el pago puntual de sueldos y salarios a todos los servidores públicos que en éstos laboran, conforme a lo dispuesto por sus respectivos presupuestos de egresos correspondientes al ejercicio fiscal 2021. Asimismo, para que, conforme a sus atribuciones legales, continúen brindado adecuadamente a la población los servicios públicos que les corresponden, especialmente el de recolección y disposición final de residuos en zonas alejadas y de difícil acceso.” </w:t>
      </w:r>
    </w:p>
    <w:p w14:paraId="29FE5A60" w14:textId="571C9A22" w:rsidR="002C3E62" w:rsidRPr="00E213BC" w:rsidRDefault="009C45CA" w:rsidP="00E213BC">
      <w:pPr>
        <w:pStyle w:val="Prrafodelista"/>
        <w:numPr>
          <w:ilvl w:val="0"/>
          <w:numId w:val="65"/>
        </w:numPr>
        <w:spacing w:line="360" w:lineRule="auto"/>
        <w:jc w:val="both"/>
        <w:rPr>
          <w:rFonts w:ascii="Palatino Linotype" w:hAnsi="Palatino Linotype" w:cs="Arial"/>
          <w:color w:val="000000" w:themeColor="text1"/>
        </w:rPr>
      </w:pPr>
      <w:r w:rsidRPr="00E213BC">
        <w:rPr>
          <w:rFonts w:ascii="Palatino Linotype" w:hAnsi="Palatino Linotype" w:cs="Arial"/>
          <w:color w:val="000000" w:themeColor="text1"/>
        </w:rPr>
        <w:t xml:space="preserve">Se me informe las acciones que ha realizado la Subdirección de Administración y Finanzas para dar cumplimiento al Exhorto emitido por la legislatura el 30 julio del 2021 el que a la letra dice “Se exhorta respetuosamente a los 125 </w:t>
      </w:r>
      <w:r w:rsidRPr="00E213BC">
        <w:rPr>
          <w:rFonts w:ascii="Palatino Linotype" w:hAnsi="Palatino Linotype" w:cs="Arial"/>
          <w:color w:val="000000" w:themeColor="text1"/>
        </w:rPr>
        <w:lastRenderedPageBreak/>
        <w:t>Presidentes Municipales del Estado de México, a que sigan implementando todas las medidas necesarias de prevención y protección a la ciudadanía por el gran aumento de contagios de COVID-19 y su variante Delta en nuestro Estado.” De lo anterior y adelantándome a que se me indique que esta información la puedo consultar en las oficinas de este Sistema Municipal DIF, solicito de ser el caso copia certificada de toda la información solicitada contemplando el previo pago de derechos de no ser así solicito se me remita todo lo anterior al correo electrónico</w:t>
      </w:r>
      <w:r w:rsidR="002C3E62" w:rsidRPr="00E213BC">
        <w:rPr>
          <w:rFonts w:ascii="Palatino Linotype" w:hAnsi="Palatino Linotype" w:cs="Arial"/>
          <w:color w:val="000000" w:themeColor="text1"/>
        </w:rPr>
        <w:t>.</w:t>
      </w:r>
    </w:p>
    <w:p w14:paraId="1948A336" w14:textId="77777777" w:rsidR="00145AF8" w:rsidRPr="00E213BC" w:rsidRDefault="00145AF8" w:rsidP="00E213BC">
      <w:pPr>
        <w:spacing w:line="360" w:lineRule="auto"/>
        <w:ind w:left="851" w:right="899"/>
        <w:jc w:val="both"/>
        <w:rPr>
          <w:rFonts w:ascii="Palatino Linotype" w:hAnsi="Palatino Linotype"/>
          <w:szCs w:val="22"/>
        </w:rPr>
      </w:pPr>
    </w:p>
    <w:p w14:paraId="1C57EF62" w14:textId="7E20ED23" w:rsidR="002C3E62" w:rsidRPr="00E213BC" w:rsidRDefault="006122B9" w:rsidP="00E213BC">
      <w:pPr>
        <w:spacing w:line="360" w:lineRule="auto"/>
        <w:jc w:val="both"/>
        <w:rPr>
          <w:rFonts w:ascii="Palatino Linotype" w:hAnsi="Palatino Linotype"/>
          <w:lang w:val="es-ES"/>
        </w:rPr>
      </w:pPr>
      <w:r w:rsidRPr="00E213BC">
        <w:rPr>
          <w:rFonts w:ascii="Palatino Linotype" w:hAnsi="Palatino Linotype"/>
        </w:rPr>
        <w:t>Al respecto</w:t>
      </w:r>
      <w:r w:rsidR="00145AF8" w:rsidRPr="00E213BC">
        <w:rPr>
          <w:rFonts w:ascii="Palatino Linotype" w:hAnsi="Palatino Linotype"/>
        </w:rPr>
        <w:t xml:space="preserve">, </w:t>
      </w:r>
      <w:r w:rsidR="00145AF8" w:rsidRPr="00E213BC">
        <w:rPr>
          <w:rFonts w:ascii="Palatino Linotype" w:hAnsi="Palatino Linotype"/>
          <w:b/>
          <w:lang w:val="es-ES"/>
        </w:rPr>
        <w:t>EL SUJETO OBLIGADO</w:t>
      </w:r>
      <w:r w:rsidR="00145AF8" w:rsidRPr="00E213BC">
        <w:rPr>
          <w:rFonts w:ascii="Palatino Linotype" w:hAnsi="Palatino Linotype"/>
          <w:lang w:val="es-ES"/>
        </w:rPr>
        <w:t xml:space="preserve"> </w:t>
      </w:r>
      <w:r w:rsidR="002C3E62" w:rsidRPr="00E213BC">
        <w:rPr>
          <w:rFonts w:ascii="Palatino Linotype" w:hAnsi="Palatino Linotype"/>
          <w:lang w:val="es-ES"/>
        </w:rPr>
        <w:t xml:space="preserve">adjuntó los oficios siguientes: </w:t>
      </w:r>
    </w:p>
    <w:p w14:paraId="02856F37" w14:textId="77777777" w:rsidR="002C3E62" w:rsidRPr="00E213BC" w:rsidRDefault="002C3E62" w:rsidP="00E213BC">
      <w:pPr>
        <w:spacing w:line="360" w:lineRule="auto"/>
        <w:jc w:val="both"/>
        <w:rPr>
          <w:rFonts w:ascii="Palatino Linotype" w:hAnsi="Palatino Linotype"/>
          <w:lang w:val="es-ES"/>
        </w:rPr>
      </w:pPr>
    </w:p>
    <w:p w14:paraId="5E92B305" w14:textId="77777777" w:rsidR="002C3E62" w:rsidRPr="00E213BC" w:rsidRDefault="00EC28AB" w:rsidP="00E213BC">
      <w:pPr>
        <w:pStyle w:val="Prrafodelista"/>
        <w:numPr>
          <w:ilvl w:val="0"/>
          <w:numId w:val="62"/>
        </w:numPr>
        <w:spacing w:line="360" w:lineRule="auto"/>
        <w:jc w:val="both"/>
        <w:rPr>
          <w:rFonts w:ascii="Palatino Linotype" w:hAnsi="Palatino Linotype" w:cs="Arial"/>
          <w:b/>
          <w:color w:val="000000" w:themeColor="text1"/>
        </w:rPr>
      </w:pPr>
      <w:hyperlink r:id="rId14" w:tgtFrame="_blank" w:history="1">
        <w:r w:rsidR="002C3E62" w:rsidRPr="00E213BC">
          <w:rPr>
            <w:rFonts w:ascii="Palatino Linotype" w:hAnsi="Palatino Linotype" w:cs="Arial"/>
            <w:b/>
            <w:color w:val="000000" w:themeColor="text1"/>
          </w:rPr>
          <w:t>DIF-CI-846-2021.pdf</w:t>
        </w:r>
      </w:hyperlink>
      <w:r w:rsidR="002C3E62" w:rsidRPr="00E213BC">
        <w:rPr>
          <w:rFonts w:ascii="Palatino Linotype" w:hAnsi="Palatino Linotype" w:cs="Arial"/>
          <w:b/>
          <w:color w:val="000000" w:themeColor="text1"/>
        </w:rPr>
        <w:t xml:space="preserve">, </w:t>
      </w:r>
      <w:r w:rsidR="002C3E62" w:rsidRPr="00E213BC">
        <w:rPr>
          <w:rFonts w:ascii="Palatino Linotype" w:hAnsi="Palatino Linotype" w:cs="Arial"/>
          <w:color w:val="000000" w:themeColor="text1"/>
        </w:rPr>
        <w:t xml:space="preserve">el cual corresponde al oficio número DIF/CI/846/2021, por medio del cual la Titular de la Contraloría Interna del Sistema Municipal DIF, refiere que después de realizar una búsqueda en la documentación recibida en la Contraloría Interna del Sistema Municipal DIF Naucalpan, se hace constar que el documento relacionado con el Exhorto realizado por la Legislatura, no se ha recibido en las oficinas. </w:t>
      </w:r>
    </w:p>
    <w:p w14:paraId="3CEAA1C8" w14:textId="77777777" w:rsidR="002C3E62" w:rsidRPr="00E213BC" w:rsidRDefault="00EC28AB" w:rsidP="00E213BC">
      <w:pPr>
        <w:pStyle w:val="Prrafodelista"/>
        <w:numPr>
          <w:ilvl w:val="0"/>
          <w:numId w:val="62"/>
        </w:numPr>
        <w:spacing w:line="360" w:lineRule="auto"/>
        <w:jc w:val="both"/>
        <w:rPr>
          <w:rFonts w:ascii="Palatino Linotype" w:hAnsi="Palatino Linotype" w:cs="Arial"/>
          <w:b/>
          <w:color w:val="000000" w:themeColor="text1"/>
        </w:rPr>
      </w:pPr>
      <w:hyperlink r:id="rId15" w:tgtFrame="_blank" w:history="1">
        <w:r w:rsidR="002C3E62" w:rsidRPr="00E213BC">
          <w:rPr>
            <w:rFonts w:ascii="Palatino Linotype" w:hAnsi="Palatino Linotype" w:cs="Arial"/>
            <w:b/>
            <w:color w:val="000000" w:themeColor="text1"/>
          </w:rPr>
          <w:t>2021ROf418-CambioModalidadDIFNAUCAL.pdf</w:t>
        </w:r>
      </w:hyperlink>
      <w:r w:rsidR="002C3E62" w:rsidRPr="00E213BC">
        <w:rPr>
          <w:rFonts w:ascii="Palatino Linotype" w:hAnsi="Palatino Linotype" w:cs="Arial"/>
          <w:b/>
          <w:color w:val="000000" w:themeColor="text1"/>
        </w:rPr>
        <w:t xml:space="preserve">, </w:t>
      </w:r>
      <w:r w:rsidR="002C3E62" w:rsidRPr="00E213BC">
        <w:rPr>
          <w:rFonts w:ascii="Palatino Linotype" w:hAnsi="Palatino Linotype" w:cs="Arial"/>
          <w:color w:val="000000" w:themeColor="text1"/>
        </w:rPr>
        <w:t xml:space="preserve">el cual corresponde al oficio número INFOEM/DGI/418/2021, por medio del cual la Directora General de Informática, da atención al correo electrónico y oficio DIF/DG/UT/0171/2021, a fin de atender la solicitud de información con folio número 00022/DIFNAUCAAL/IP/2021, comunicando para ello que, quedó registrada la </w:t>
      </w:r>
      <w:r w:rsidR="002C3E62" w:rsidRPr="00E213BC">
        <w:rPr>
          <w:rFonts w:ascii="Palatino Linotype" w:hAnsi="Palatino Linotype" w:cs="Arial"/>
          <w:color w:val="000000" w:themeColor="text1"/>
        </w:rPr>
        <w:lastRenderedPageBreak/>
        <w:t xml:space="preserve">incidencia en la bitácora correspondiente, toda vez que se trata de subir 120,480 fojas, lo que sobrepasa las capacidades técnicas del </w:t>
      </w:r>
      <w:proofErr w:type="spellStart"/>
      <w:r w:rsidR="002C3E62" w:rsidRPr="00E213BC">
        <w:rPr>
          <w:rFonts w:ascii="Palatino Linotype" w:hAnsi="Palatino Linotype" w:cs="Arial"/>
          <w:color w:val="000000" w:themeColor="text1"/>
        </w:rPr>
        <w:t>Saimex</w:t>
      </w:r>
      <w:proofErr w:type="spellEnd"/>
      <w:r w:rsidR="002C3E62" w:rsidRPr="00E213BC">
        <w:rPr>
          <w:rFonts w:ascii="Palatino Linotype" w:hAnsi="Palatino Linotype" w:cs="Arial"/>
          <w:color w:val="000000" w:themeColor="text1"/>
        </w:rPr>
        <w:t xml:space="preserve">. </w:t>
      </w:r>
    </w:p>
    <w:p w14:paraId="54085431" w14:textId="77777777" w:rsidR="002C3E62" w:rsidRPr="00E213BC" w:rsidRDefault="002C3E62" w:rsidP="00E213BC">
      <w:pPr>
        <w:spacing w:line="360" w:lineRule="auto"/>
        <w:jc w:val="both"/>
        <w:rPr>
          <w:rFonts w:ascii="Palatino Linotype" w:hAnsi="Palatino Linotype"/>
          <w:lang w:val="es-ES"/>
        </w:rPr>
      </w:pPr>
    </w:p>
    <w:p w14:paraId="6CAE138A" w14:textId="1D064165" w:rsidR="00145AF8" w:rsidRPr="00E213BC" w:rsidRDefault="00145AF8" w:rsidP="00E213BC">
      <w:pPr>
        <w:spacing w:line="360" w:lineRule="auto"/>
        <w:jc w:val="both"/>
        <w:rPr>
          <w:rFonts w:ascii="Palatino Linotype" w:hAnsi="Palatino Linotype"/>
          <w:lang w:val="es-ES"/>
        </w:rPr>
      </w:pPr>
      <w:r w:rsidRPr="00E213BC">
        <w:rPr>
          <w:rFonts w:ascii="Palatino Linotype" w:hAnsi="Palatino Linotype"/>
          <w:lang w:val="es-ES"/>
        </w:rPr>
        <w:t xml:space="preserve">Sin embargo, el particular se inconformó argumentando </w:t>
      </w:r>
      <w:r w:rsidR="002C3E62" w:rsidRPr="00E213BC">
        <w:rPr>
          <w:rFonts w:ascii="Palatino Linotype" w:hAnsi="Palatino Linotype"/>
          <w:lang w:val="es-ES"/>
        </w:rPr>
        <w:t>medularmente que la información solicitada no abarca tantas fojas</w:t>
      </w:r>
      <w:r w:rsidRPr="00E213BC">
        <w:rPr>
          <w:rFonts w:ascii="Palatino Linotype" w:hAnsi="Palatino Linotype"/>
          <w:lang w:val="es-ES"/>
        </w:rPr>
        <w:t xml:space="preserve">. </w:t>
      </w:r>
    </w:p>
    <w:p w14:paraId="6D307E08" w14:textId="77777777" w:rsidR="00145AF8" w:rsidRPr="00E213BC" w:rsidRDefault="00145AF8" w:rsidP="00E213BC">
      <w:pPr>
        <w:spacing w:line="360" w:lineRule="auto"/>
        <w:jc w:val="both"/>
        <w:rPr>
          <w:rFonts w:ascii="Palatino Linotype" w:hAnsi="Palatino Linotype"/>
        </w:rPr>
      </w:pPr>
    </w:p>
    <w:p w14:paraId="785FDE22" w14:textId="77777777" w:rsidR="00145AF8" w:rsidRPr="00E213BC" w:rsidRDefault="00145AF8" w:rsidP="00E213BC">
      <w:pPr>
        <w:spacing w:line="360" w:lineRule="auto"/>
        <w:jc w:val="both"/>
        <w:rPr>
          <w:rFonts w:ascii="Palatino Linotype" w:hAnsi="Palatino Linotype" w:cs="Arial"/>
          <w:color w:val="000000"/>
          <w:lang w:eastAsia="es-MX"/>
        </w:rPr>
      </w:pPr>
      <w:r w:rsidRPr="00E213BC">
        <w:rPr>
          <w:rFonts w:ascii="Palatino Linotype" w:hAnsi="Palatino Linotype"/>
        </w:rPr>
        <w:t xml:space="preserve">Posteriormente, </w:t>
      </w:r>
      <w:r w:rsidRPr="00E213BC">
        <w:rPr>
          <w:rFonts w:ascii="Palatino Linotype" w:hAnsi="Palatino Linotype"/>
          <w:b/>
        </w:rPr>
        <w:t xml:space="preserve">EL RECURRENTE </w:t>
      </w:r>
      <w:r w:rsidRPr="00E213BC">
        <w:rPr>
          <w:rFonts w:ascii="Palatino Linotype" w:eastAsiaTheme="minorEastAsia" w:hAnsi="Palatino Linotype" w:cstheme="minorBidi"/>
          <w:lang w:val="es-ES_tradnl"/>
        </w:rPr>
        <w:t xml:space="preserve">presentó su </w:t>
      </w:r>
      <w:r w:rsidRPr="00E213BC">
        <w:rPr>
          <w:rFonts w:ascii="Palatino Linotype" w:hAnsi="Palatino Linotype" w:cs="Arial"/>
          <w:color w:val="000000"/>
          <w:lang w:eastAsia="es-MX"/>
        </w:rPr>
        <w:t>desistimiento con respecto a la acción intentada en el presente recurso de revisión, como se aprecia en la siguiente imagen:</w:t>
      </w:r>
    </w:p>
    <w:p w14:paraId="29DDD898" w14:textId="77777777" w:rsidR="002C3E62" w:rsidRPr="00E213BC" w:rsidRDefault="002C3E62" w:rsidP="00E213BC">
      <w:pPr>
        <w:spacing w:line="360" w:lineRule="auto"/>
        <w:jc w:val="both"/>
        <w:rPr>
          <w:rFonts w:ascii="Palatino Linotype" w:hAnsi="Palatino Linotype" w:cs="Arial"/>
          <w:color w:val="000000"/>
          <w:lang w:eastAsia="es-MX"/>
        </w:rPr>
      </w:pPr>
    </w:p>
    <w:p w14:paraId="3ECB1144" w14:textId="0BE7D9A8" w:rsidR="002C3E62" w:rsidRPr="00E213BC" w:rsidRDefault="008A2E75" w:rsidP="00E213BC">
      <w:pPr>
        <w:spacing w:line="360" w:lineRule="auto"/>
        <w:jc w:val="both"/>
        <w:rPr>
          <w:rFonts w:ascii="Palatino Linotype" w:hAnsi="Palatino Linotype" w:cs="Arial"/>
          <w:color w:val="000000"/>
          <w:lang w:eastAsia="es-MX"/>
        </w:rPr>
      </w:pPr>
      <w:bookmarkStart w:id="0" w:name="_GoBack"/>
      <w:r>
        <w:rPr>
          <w:noProof/>
          <w:lang w:eastAsia="es-MX"/>
        </w:rPr>
        <w:drawing>
          <wp:inline distT="0" distB="0" distL="0" distR="0" wp14:anchorId="5895C8D6" wp14:editId="0546AC89">
            <wp:extent cx="5791200" cy="647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200" cy="647700"/>
                    </a:xfrm>
                    <a:prstGeom prst="rect">
                      <a:avLst/>
                    </a:prstGeom>
                  </pic:spPr>
                </pic:pic>
              </a:graphicData>
            </a:graphic>
          </wp:inline>
        </w:drawing>
      </w:r>
      <w:bookmarkEnd w:id="0"/>
    </w:p>
    <w:p w14:paraId="60A62AA0" w14:textId="3A486BE4" w:rsidR="00FE57F4" w:rsidRPr="00E213BC" w:rsidRDefault="00FE57F4" w:rsidP="00E213BC">
      <w:pPr>
        <w:spacing w:line="360" w:lineRule="auto"/>
        <w:jc w:val="both"/>
        <w:rPr>
          <w:rFonts w:ascii="Palatino Linotype" w:hAnsi="Palatino Linotype" w:cs="Arial"/>
          <w:color w:val="000000"/>
          <w:lang w:eastAsia="es-MX"/>
        </w:rPr>
      </w:pPr>
    </w:p>
    <w:p w14:paraId="74CCCFCF" w14:textId="77777777" w:rsidR="00145AF8" w:rsidRPr="00E213BC" w:rsidRDefault="00145AF8" w:rsidP="00E213BC">
      <w:pPr>
        <w:spacing w:line="360" w:lineRule="auto"/>
        <w:jc w:val="both"/>
        <w:rPr>
          <w:rFonts w:ascii="Palatino Linotype" w:hAnsi="Palatino Linotype"/>
        </w:rPr>
      </w:pPr>
      <w:r w:rsidRPr="00E213BC">
        <w:rPr>
          <w:rFonts w:ascii="Palatino Linotype" w:hAnsi="Palatino Linotype"/>
        </w:rPr>
        <w:t xml:space="preserve">De lo anterior, </w:t>
      </w:r>
      <w:r w:rsidRPr="00E213BC">
        <w:rPr>
          <w:rFonts w:ascii="Palatino Linotype" w:hAnsi="Palatino Linotype" w:cs="Arial"/>
          <w:color w:val="000000"/>
          <w:lang w:eastAsia="es-MX"/>
        </w:rPr>
        <w:t>es pertinente aclarar que</w:t>
      </w:r>
      <w:r w:rsidRPr="00E213BC">
        <w:rPr>
          <w:rFonts w:ascii="Palatino Linotype" w:eastAsia="Arial Unicode MS" w:hAnsi="Palatino Linotype" w:cs="Arial"/>
          <w:color w:val="000000"/>
          <w:lang w:eastAsia="es-MX"/>
        </w:rPr>
        <w:t xml:space="preserve"> el desistimiento sólo pudo ser activado por </w:t>
      </w:r>
      <w:r w:rsidRPr="00E213BC">
        <w:rPr>
          <w:rFonts w:ascii="Palatino Linotype" w:eastAsia="Arial Unicode MS" w:hAnsi="Palatino Linotype" w:cs="Arial"/>
          <w:b/>
          <w:color w:val="000000"/>
          <w:lang w:eastAsia="es-MX"/>
        </w:rPr>
        <w:t>EL</w:t>
      </w:r>
      <w:r w:rsidRPr="00E213BC">
        <w:rPr>
          <w:rFonts w:ascii="Palatino Linotype" w:eastAsia="Arial Unicode MS" w:hAnsi="Palatino Linotype" w:cs="Arial"/>
          <w:color w:val="000000"/>
          <w:lang w:eastAsia="es-MX"/>
        </w:rPr>
        <w:t xml:space="preserve"> </w:t>
      </w:r>
      <w:r w:rsidRPr="00E213BC">
        <w:rPr>
          <w:rFonts w:ascii="Palatino Linotype" w:eastAsia="Arial Unicode MS" w:hAnsi="Palatino Linotype" w:cs="Arial"/>
          <w:b/>
          <w:color w:val="000000"/>
          <w:lang w:eastAsia="es-MX"/>
        </w:rPr>
        <w:t>RECURRENTE</w:t>
      </w:r>
      <w:r w:rsidRPr="00E213BC">
        <w:rPr>
          <w:rFonts w:ascii="Palatino Linotype" w:eastAsia="Arial Unicode MS" w:hAnsi="Palatino Linotype" w:cs="Arial"/>
          <w:color w:val="000000"/>
          <w:lang w:eastAsia="es-MX"/>
        </w:rPr>
        <w:t xml:space="preserve"> mediante el ingreso al </w:t>
      </w:r>
      <w:r w:rsidRPr="00E213BC">
        <w:rPr>
          <w:rFonts w:ascii="Palatino Linotype" w:hAnsi="Palatino Linotype" w:cs="Arial"/>
        </w:rPr>
        <w:t>Sistema</w:t>
      </w:r>
      <w:r w:rsidRPr="00E213BC">
        <w:rPr>
          <w:rFonts w:ascii="Palatino Linotype" w:hAnsi="Palatino Linotype"/>
        </w:rPr>
        <w:t xml:space="preserve"> de Acceso a la Información Mexiquense, mediante la utilización de </w:t>
      </w:r>
      <w:r w:rsidRPr="00E213BC">
        <w:rPr>
          <w:rFonts w:ascii="Palatino Linotype" w:eastAsia="Arial Unicode MS" w:hAnsi="Palatino Linotype" w:cs="Arial"/>
          <w:color w:val="000000"/>
          <w:lang w:eastAsia="es-MX"/>
        </w:rPr>
        <w:t xml:space="preserve">su clave de usuario y contraseña, por lo que, no existe duda de que </w:t>
      </w:r>
      <w:r w:rsidRPr="00E213BC">
        <w:rPr>
          <w:rFonts w:ascii="Palatino Linotype" w:hAnsi="Palatino Linotype" w:cs="Arial"/>
          <w:lang w:val="es-ES_tradnl"/>
        </w:rPr>
        <w:t>se</w:t>
      </w:r>
      <w:r w:rsidRPr="00E213BC">
        <w:rPr>
          <w:rFonts w:ascii="Palatino Linotype" w:eastAsia="Arial Unicode MS" w:hAnsi="Palatino Linotype" w:cs="Arial"/>
          <w:color w:val="000000"/>
          <w:lang w:eastAsia="es-MX"/>
        </w:rPr>
        <w:t xml:space="preserve"> </w:t>
      </w:r>
      <w:r w:rsidRPr="00E213BC">
        <w:rPr>
          <w:rFonts w:ascii="Palatino Linotype" w:hAnsi="Palatino Linotype"/>
        </w:rPr>
        <w:t>trata</w:t>
      </w:r>
      <w:r w:rsidRPr="00E213BC">
        <w:rPr>
          <w:rFonts w:ascii="Palatino Linotype" w:eastAsia="Arial Unicode MS" w:hAnsi="Palatino Linotype" w:cs="Arial"/>
          <w:color w:val="000000"/>
          <w:lang w:eastAsia="es-MX"/>
        </w:rPr>
        <w:t xml:space="preserve"> de un </w:t>
      </w:r>
      <w:r w:rsidRPr="00E213BC">
        <w:rPr>
          <w:rFonts w:ascii="Palatino Linotype" w:eastAsia="Arial Unicode MS" w:hAnsi="Palatino Linotype" w:cs="Arial"/>
          <w:b/>
          <w:color w:val="000000"/>
          <w:lang w:eastAsia="es-MX"/>
        </w:rPr>
        <w:t>desistimiento expreso</w:t>
      </w:r>
      <w:r w:rsidRPr="00E213BC">
        <w:rPr>
          <w:rFonts w:ascii="Palatino Linotype" w:eastAsia="Arial Unicode MS" w:hAnsi="Palatino Linotype" w:cs="Arial"/>
          <w:color w:val="000000"/>
          <w:lang w:eastAsia="es-MX"/>
        </w:rPr>
        <w:t xml:space="preserve">, por parte del </w:t>
      </w:r>
      <w:r w:rsidRPr="00E213BC">
        <w:rPr>
          <w:rFonts w:ascii="Palatino Linotype" w:eastAsia="Arial Unicode MS" w:hAnsi="Palatino Linotype" w:cs="Arial"/>
          <w:b/>
          <w:color w:val="000000"/>
          <w:lang w:eastAsia="es-MX"/>
        </w:rPr>
        <w:t>RECURRENTE</w:t>
      </w:r>
      <w:r w:rsidRPr="00E213BC">
        <w:rPr>
          <w:rFonts w:ascii="Palatino Linotype" w:hAnsi="Palatino Linotype" w:cs="Arial"/>
        </w:rPr>
        <w:t xml:space="preserve">. </w:t>
      </w:r>
    </w:p>
    <w:p w14:paraId="704D352D" w14:textId="77777777" w:rsidR="00145AF8" w:rsidRPr="00E213BC" w:rsidRDefault="00145AF8" w:rsidP="00E213BC">
      <w:pPr>
        <w:widowControl w:val="0"/>
        <w:autoSpaceDE w:val="0"/>
        <w:autoSpaceDN w:val="0"/>
        <w:adjustRightInd w:val="0"/>
        <w:spacing w:line="360" w:lineRule="auto"/>
        <w:jc w:val="both"/>
        <w:rPr>
          <w:rFonts w:ascii="Palatino Linotype" w:hAnsi="Palatino Linotype" w:cs="Arial"/>
        </w:rPr>
      </w:pPr>
    </w:p>
    <w:p w14:paraId="5CFDFEA6" w14:textId="77777777" w:rsidR="00145AF8" w:rsidRPr="00E213BC" w:rsidRDefault="00145AF8" w:rsidP="00E213BC">
      <w:pPr>
        <w:spacing w:line="360" w:lineRule="auto"/>
        <w:jc w:val="both"/>
        <w:rPr>
          <w:rFonts w:ascii="Palatino Linotype" w:hAnsi="Palatino Linotype"/>
        </w:rPr>
      </w:pPr>
      <w:r w:rsidRPr="00E213BC">
        <w:rPr>
          <w:rFonts w:ascii="Palatino Linotype" w:hAnsi="Palatino Linotype"/>
        </w:rPr>
        <w:t>Asimismo, es conviene definir la palabra desistir como abdicar o abandonar un derecho o una acción procesal, tal y como lo señala el Diccionario de la Lengua Española</w:t>
      </w:r>
      <w:r w:rsidRPr="00E213BC">
        <w:rPr>
          <w:rFonts w:ascii="Palatino Linotype" w:hAnsi="Palatino Linotype"/>
          <w:vertAlign w:val="superscript"/>
        </w:rPr>
        <w:footnoteReference w:id="1"/>
      </w:r>
    </w:p>
    <w:p w14:paraId="171F1786" w14:textId="77777777" w:rsidR="00145AF8" w:rsidRPr="00E213BC" w:rsidRDefault="00145AF8" w:rsidP="00E213BC">
      <w:pPr>
        <w:widowControl w:val="0"/>
        <w:autoSpaceDE w:val="0"/>
        <w:autoSpaceDN w:val="0"/>
        <w:adjustRightInd w:val="0"/>
        <w:spacing w:line="360" w:lineRule="auto"/>
        <w:jc w:val="both"/>
        <w:rPr>
          <w:rFonts w:ascii="Palatino Linotype" w:hAnsi="Palatino Linotype" w:cs="Arial"/>
        </w:rPr>
      </w:pPr>
    </w:p>
    <w:p w14:paraId="1ED634C4" w14:textId="77777777" w:rsidR="00145AF8" w:rsidRPr="00E213BC" w:rsidRDefault="00145AF8" w:rsidP="00E213BC">
      <w:pPr>
        <w:widowControl w:val="0"/>
        <w:autoSpaceDE w:val="0"/>
        <w:autoSpaceDN w:val="0"/>
        <w:adjustRightInd w:val="0"/>
        <w:spacing w:line="360" w:lineRule="auto"/>
        <w:jc w:val="both"/>
        <w:rPr>
          <w:rFonts w:ascii="Palatino Linotype" w:hAnsi="Palatino Linotype"/>
          <w:lang w:val="es-ES"/>
        </w:rPr>
      </w:pPr>
      <w:r w:rsidRPr="00E213BC">
        <w:rPr>
          <w:rFonts w:ascii="Palatino Linotype" w:hAnsi="Palatino Linotype"/>
        </w:rPr>
        <w:t xml:space="preserve">Ahora bien, en materia procesal, el desistimiento debe entenderse, de conformidad con </w:t>
      </w:r>
      <w:r w:rsidRPr="00E213BC">
        <w:rPr>
          <w:rFonts w:ascii="Palatino Linotype" w:hAnsi="Palatino Linotype"/>
        </w:rPr>
        <w:lastRenderedPageBreak/>
        <w:t>el tratadista Cipriano Gómez Lara</w:t>
      </w:r>
      <w:r w:rsidRPr="00E213BC">
        <w:rPr>
          <w:rFonts w:ascii="Palatino Linotype" w:hAnsi="Palatino Linotype"/>
          <w:vertAlign w:val="superscript"/>
        </w:rPr>
        <w:footnoteReference w:id="2"/>
      </w:r>
      <w:r w:rsidRPr="00E213BC">
        <w:rPr>
          <w:rFonts w:ascii="Palatino Linotype" w:hAnsi="Palatino Linotype"/>
        </w:rPr>
        <w:t xml:space="preserve">, </w:t>
      </w:r>
      <w:r w:rsidRPr="00E213BC">
        <w:rPr>
          <w:rFonts w:ascii="Palatino Linotype" w:hAnsi="Palatino Linotype"/>
          <w:lang w:val="es-ES"/>
        </w:rPr>
        <w:t>como una renuncia procesal de derechos o de pretensiones; mismo del cual, a su decir, existen tres tipos a saber</w:t>
      </w:r>
      <w:r w:rsidRPr="00E213BC">
        <w:rPr>
          <w:rFonts w:ascii="Palatino Linotype" w:hAnsi="Palatino Linotype"/>
          <w:vertAlign w:val="superscript"/>
          <w:lang w:val="es-ES"/>
        </w:rPr>
        <w:footnoteReference w:id="3"/>
      </w:r>
      <w:r w:rsidRPr="00E213BC">
        <w:rPr>
          <w:rFonts w:ascii="Palatino Linotype" w:hAnsi="Palatino Linotype"/>
          <w:lang w:val="es-ES"/>
        </w:rPr>
        <w:t>:</w:t>
      </w:r>
    </w:p>
    <w:p w14:paraId="1AB308D0" w14:textId="77777777" w:rsidR="00145AF8" w:rsidRPr="00E213BC" w:rsidRDefault="00145AF8" w:rsidP="00E213BC">
      <w:pPr>
        <w:widowControl w:val="0"/>
        <w:autoSpaceDE w:val="0"/>
        <w:autoSpaceDN w:val="0"/>
        <w:adjustRightInd w:val="0"/>
        <w:spacing w:line="360" w:lineRule="auto"/>
        <w:jc w:val="both"/>
        <w:rPr>
          <w:rFonts w:ascii="Palatino Linotype" w:hAnsi="Palatino Linotype" w:cs="Arial"/>
        </w:rPr>
      </w:pPr>
    </w:p>
    <w:p w14:paraId="6165E396" w14:textId="77777777" w:rsidR="00145AF8" w:rsidRPr="00E213BC" w:rsidRDefault="00145AF8" w:rsidP="00E213BC">
      <w:pPr>
        <w:numPr>
          <w:ilvl w:val="0"/>
          <w:numId w:val="60"/>
        </w:numPr>
        <w:spacing w:line="360" w:lineRule="auto"/>
        <w:ind w:left="567"/>
        <w:jc w:val="both"/>
        <w:rPr>
          <w:rFonts w:ascii="Palatino Linotype" w:hAnsi="Palatino Linotype"/>
        </w:rPr>
      </w:pPr>
      <w:r w:rsidRPr="00E213BC">
        <w:rPr>
          <w:rFonts w:ascii="Palatino Linotype" w:hAnsi="Palatino Linotype"/>
          <w:b/>
        </w:rPr>
        <w:t>De la demanda:</w:t>
      </w:r>
      <w:r w:rsidRPr="00E213BC">
        <w:rPr>
          <w:rFonts w:ascii="Palatino Linotype" w:hAnsi="Palatino Linotype"/>
        </w:rPr>
        <w:t xml:space="preserve"> </w:t>
      </w:r>
      <w:r w:rsidRPr="00E213BC">
        <w:rPr>
          <w:rFonts w:ascii="Palatino Linotype" w:hAnsi="Palatino Linotype"/>
          <w:lang w:val="es-ES"/>
        </w:rPr>
        <w:t>cuando el actor decide claudicar en su propósito de demandar al deudor, antes de haber sido emplazado a juicio.</w:t>
      </w:r>
    </w:p>
    <w:p w14:paraId="1CD8CB09" w14:textId="77777777" w:rsidR="00145AF8" w:rsidRPr="00E213BC" w:rsidRDefault="00145AF8" w:rsidP="00E213BC">
      <w:pPr>
        <w:spacing w:line="360" w:lineRule="auto"/>
        <w:ind w:left="567"/>
        <w:jc w:val="both"/>
        <w:rPr>
          <w:rFonts w:ascii="Palatino Linotype" w:hAnsi="Palatino Linotype"/>
        </w:rPr>
      </w:pPr>
    </w:p>
    <w:p w14:paraId="43F1CE11" w14:textId="77777777" w:rsidR="00145AF8" w:rsidRPr="00E213BC" w:rsidRDefault="00145AF8" w:rsidP="00E213BC">
      <w:pPr>
        <w:numPr>
          <w:ilvl w:val="0"/>
          <w:numId w:val="60"/>
        </w:numPr>
        <w:spacing w:line="360" w:lineRule="auto"/>
        <w:ind w:left="567"/>
        <w:jc w:val="both"/>
        <w:rPr>
          <w:rFonts w:ascii="Palatino Linotype" w:hAnsi="Palatino Linotype"/>
        </w:rPr>
      </w:pPr>
      <w:r w:rsidRPr="00E213BC">
        <w:rPr>
          <w:rFonts w:ascii="Palatino Linotype" w:hAnsi="Palatino Linotype"/>
          <w:b/>
        </w:rPr>
        <w:t>De la instancia:</w:t>
      </w:r>
      <w:r w:rsidRPr="00E213BC">
        <w:rPr>
          <w:rFonts w:ascii="Palatino Linotype" w:hAnsi="Palatino Linotype"/>
        </w:rPr>
        <w:t xml:space="preserve"> </w:t>
      </w:r>
      <w:r w:rsidRPr="00E213BC">
        <w:rPr>
          <w:rFonts w:ascii="Palatino Linotype" w:hAnsi="Palatino Linotype"/>
          <w:lang w:val="es-ES"/>
        </w:rPr>
        <w:t>implica que se haya iniciado el juicio, se llame al demandado a través del emplazamiento y, antes de concluir el mismo, si el actor decide abandonar la instancia judicial, se pedirá el consentimiento del demandado para tal efecto. Si el demandado está de acuerdo, se concluye con la instancia; en caso de oposición, el juez decide si se prosigue con el juicio o se tiene al actor por desistido de la instancia.</w:t>
      </w:r>
    </w:p>
    <w:p w14:paraId="2E7B4C0D" w14:textId="77777777" w:rsidR="00145AF8" w:rsidRPr="00E213BC" w:rsidRDefault="00145AF8" w:rsidP="00E213BC">
      <w:pPr>
        <w:spacing w:line="360" w:lineRule="auto"/>
        <w:ind w:left="720"/>
        <w:contextualSpacing/>
        <w:rPr>
          <w:rFonts w:ascii="Palatino Linotype" w:hAnsi="Palatino Linotype"/>
        </w:rPr>
      </w:pPr>
    </w:p>
    <w:p w14:paraId="4B215B73" w14:textId="77777777" w:rsidR="00145AF8" w:rsidRPr="00E213BC" w:rsidRDefault="00145AF8" w:rsidP="00E213BC">
      <w:pPr>
        <w:numPr>
          <w:ilvl w:val="0"/>
          <w:numId w:val="60"/>
        </w:numPr>
        <w:spacing w:line="360" w:lineRule="auto"/>
        <w:ind w:left="567"/>
        <w:jc w:val="both"/>
        <w:rPr>
          <w:rFonts w:ascii="Palatino Linotype" w:hAnsi="Palatino Linotype"/>
        </w:rPr>
      </w:pPr>
      <w:r w:rsidRPr="00E213BC">
        <w:rPr>
          <w:rFonts w:ascii="Palatino Linotype" w:hAnsi="Palatino Linotype"/>
          <w:b/>
        </w:rPr>
        <w:t>De la acción:</w:t>
      </w:r>
      <w:r w:rsidRPr="00E213BC">
        <w:rPr>
          <w:rFonts w:ascii="Palatino Linotype" w:hAnsi="Palatino Linotype"/>
        </w:rPr>
        <w:t xml:space="preserve"> </w:t>
      </w:r>
      <w:r w:rsidRPr="00E213BC">
        <w:rPr>
          <w:rFonts w:ascii="Palatino Linotype" w:hAnsi="Palatino Linotype"/>
          <w:lang w:val="es-ES"/>
        </w:rPr>
        <w:t>implica el perdón del actor hacia el demandado, es decir, la renuncia de los derechos que pudiera ejercer sobre el demandado; no necesita el consentimiento de éste, sino que el juez ordenará al actor la ratificación de tal determinación, a fin de estar plenamente seguro de que ésa es la voluntad del actor.</w:t>
      </w:r>
    </w:p>
    <w:p w14:paraId="59BE249D" w14:textId="77777777" w:rsidR="00145AF8" w:rsidRPr="00E213BC" w:rsidRDefault="00145AF8" w:rsidP="00E213BC">
      <w:pPr>
        <w:widowControl w:val="0"/>
        <w:autoSpaceDE w:val="0"/>
        <w:autoSpaceDN w:val="0"/>
        <w:adjustRightInd w:val="0"/>
        <w:spacing w:line="360" w:lineRule="auto"/>
        <w:jc w:val="both"/>
        <w:rPr>
          <w:rFonts w:ascii="Palatino Linotype" w:hAnsi="Palatino Linotype" w:cs="Arial"/>
        </w:rPr>
      </w:pPr>
    </w:p>
    <w:p w14:paraId="6E8F9311" w14:textId="77777777" w:rsidR="00145AF8" w:rsidRPr="00E213BC" w:rsidRDefault="00145AF8" w:rsidP="00E213BC">
      <w:pPr>
        <w:widowControl w:val="0"/>
        <w:autoSpaceDE w:val="0"/>
        <w:autoSpaceDN w:val="0"/>
        <w:adjustRightInd w:val="0"/>
        <w:spacing w:line="360" w:lineRule="auto"/>
        <w:jc w:val="both"/>
        <w:rPr>
          <w:rFonts w:ascii="Palatino Linotype" w:hAnsi="Palatino Linotype" w:cs="Arial"/>
        </w:rPr>
      </w:pPr>
      <w:r w:rsidRPr="00E213BC">
        <w:rPr>
          <w:rFonts w:ascii="Palatino Linotype" w:hAnsi="Palatino Linotype"/>
        </w:rPr>
        <w:t xml:space="preserve">Como apoyo de lo anterior, se cita la Tesis 211360. Tribunales Colegiados de Circuito. Octava Época. Semanario Judicial de la Federación. Tomo XIV, </w:t>
      </w:r>
      <w:proofErr w:type="gramStart"/>
      <w:r w:rsidRPr="00E213BC">
        <w:rPr>
          <w:rFonts w:ascii="Palatino Linotype" w:hAnsi="Palatino Linotype"/>
        </w:rPr>
        <w:t>Julio</w:t>
      </w:r>
      <w:proofErr w:type="gramEnd"/>
      <w:r w:rsidRPr="00E213BC">
        <w:rPr>
          <w:rFonts w:ascii="Palatino Linotype" w:hAnsi="Palatino Linotype"/>
        </w:rPr>
        <w:t xml:space="preserve"> de 1994, Pág. 547</w:t>
      </w:r>
      <w:r w:rsidRPr="00E213BC">
        <w:rPr>
          <w:rFonts w:ascii="Palatino Linotype" w:hAnsi="Palatino Linotype" w:cs="Arial"/>
        </w:rPr>
        <w:t xml:space="preserve">, la cual refiere lo siguiente: </w:t>
      </w:r>
    </w:p>
    <w:p w14:paraId="1509F2EE" w14:textId="77777777" w:rsidR="00145AF8" w:rsidRPr="00E213BC" w:rsidRDefault="00145AF8" w:rsidP="00E213BC">
      <w:pPr>
        <w:widowControl w:val="0"/>
        <w:autoSpaceDE w:val="0"/>
        <w:autoSpaceDN w:val="0"/>
        <w:adjustRightInd w:val="0"/>
        <w:jc w:val="both"/>
        <w:rPr>
          <w:rFonts w:ascii="Palatino Linotype" w:hAnsi="Palatino Linotype" w:cs="Arial"/>
        </w:rPr>
      </w:pPr>
    </w:p>
    <w:p w14:paraId="39B962C3" w14:textId="77777777" w:rsidR="00145AF8" w:rsidRPr="00E213BC" w:rsidRDefault="00145AF8" w:rsidP="00E213BC">
      <w:pPr>
        <w:tabs>
          <w:tab w:val="left" w:pos="851"/>
        </w:tabs>
        <w:ind w:left="851" w:right="901"/>
        <w:jc w:val="both"/>
        <w:rPr>
          <w:rFonts w:ascii="Palatino Linotype" w:hAnsi="Palatino Linotype" w:cs="Arial"/>
          <w:i/>
          <w:sz w:val="22"/>
        </w:rPr>
      </w:pPr>
      <w:r w:rsidRPr="00E213BC">
        <w:rPr>
          <w:rFonts w:ascii="Palatino Linotype" w:hAnsi="Palatino Linotype" w:cs="Arial"/>
          <w:b/>
          <w:i/>
          <w:sz w:val="22"/>
        </w:rPr>
        <w:t xml:space="preserve">“DESISTIMIENTOS DE LA ACCION Y DE LA DEMANDA. DIFERENCIAS. </w:t>
      </w:r>
      <w:r w:rsidRPr="00E213BC">
        <w:rPr>
          <w:rFonts w:ascii="Palatino Linotype" w:hAnsi="Palatino Linotype" w:cs="Arial"/>
          <w:i/>
          <w:sz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180EA590" w14:textId="77777777" w:rsidR="00145AF8" w:rsidRPr="00E213BC" w:rsidRDefault="00145AF8" w:rsidP="00E213BC">
      <w:pPr>
        <w:tabs>
          <w:tab w:val="left" w:pos="851"/>
        </w:tabs>
        <w:ind w:left="851" w:right="901"/>
        <w:jc w:val="both"/>
        <w:rPr>
          <w:rFonts w:ascii="Palatino Linotype" w:hAnsi="Palatino Linotype" w:cs="Arial"/>
          <w:i/>
          <w:sz w:val="22"/>
        </w:rPr>
      </w:pPr>
      <w:r w:rsidRPr="00E213BC">
        <w:rPr>
          <w:rFonts w:ascii="Palatino Linotype" w:hAnsi="Palatino Linotype" w:cs="Arial"/>
          <w:i/>
          <w:sz w:val="22"/>
        </w:rPr>
        <w:t xml:space="preserve">SEGUNDO TRIBUNAL COLEGIADO DEL SEXTO CIRCUITO. </w:t>
      </w:r>
    </w:p>
    <w:p w14:paraId="04F24D2C" w14:textId="77777777" w:rsidR="00145AF8" w:rsidRPr="00E213BC" w:rsidRDefault="00145AF8" w:rsidP="00E213BC">
      <w:pPr>
        <w:tabs>
          <w:tab w:val="left" w:pos="851"/>
        </w:tabs>
        <w:ind w:left="851" w:right="901"/>
        <w:jc w:val="both"/>
        <w:rPr>
          <w:rFonts w:ascii="Palatino Linotype" w:hAnsi="Palatino Linotype" w:cs="Arial"/>
          <w:i/>
          <w:sz w:val="22"/>
        </w:rPr>
      </w:pPr>
      <w:r w:rsidRPr="00E213BC">
        <w:rPr>
          <w:rFonts w:ascii="Palatino Linotype" w:hAnsi="Palatino Linotype" w:cs="Arial"/>
          <w:i/>
          <w:sz w:val="22"/>
        </w:rPr>
        <w:t xml:space="preserve">Amparo directo 240/93. Instituto Mexicano del Seguro Social, Delegación Estatal en Tlaxcala. 4 de julio de 1993. Unanimidad de votos. Ponente: José Galván Rojas. Secretario: Vicente Martínez Sánchez. </w:t>
      </w:r>
    </w:p>
    <w:p w14:paraId="5E874BE0" w14:textId="77777777" w:rsidR="00145AF8" w:rsidRPr="00E213BC" w:rsidRDefault="00145AF8" w:rsidP="00E213BC">
      <w:pPr>
        <w:tabs>
          <w:tab w:val="left" w:pos="851"/>
        </w:tabs>
        <w:ind w:left="851" w:right="901"/>
        <w:jc w:val="both"/>
        <w:rPr>
          <w:rFonts w:ascii="Palatino Linotype" w:hAnsi="Palatino Linotype" w:cs="Arial"/>
          <w:i/>
          <w:sz w:val="22"/>
        </w:rPr>
      </w:pPr>
      <w:r w:rsidRPr="00E213BC">
        <w:rPr>
          <w:rFonts w:ascii="Palatino Linotype" w:hAnsi="Palatino Linotype" w:cs="Arial"/>
          <w:i/>
          <w:sz w:val="22"/>
        </w:rPr>
        <w:t>Amparo directo 329/92. Jaime Vera López. 1o. de septiembre de 1992. Unanimidad de votos. Ponente: José Galván Rojas. Secretario: Armando Cortés Galván.”</w:t>
      </w:r>
    </w:p>
    <w:p w14:paraId="0776C7BD" w14:textId="77777777" w:rsidR="00145AF8" w:rsidRPr="00E213BC" w:rsidRDefault="00145AF8" w:rsidP="00E213BC">
      <w:pPr>
        <w:widowControl w:val="0"/>
        <w:autoSpaceDE w:val="0"/>
        <w:autoSpaceDN w:val="0"/>
        <w:adjustRightInd w:val="0"/>
        <w:jc w:val="both"/>
        <w:rPr>
          <w:rFonts w:ascii="Palatino Linotype" w:hAnsi="Palatino Linotype" w:cs="Arial"/>
          <w:lang w:val="es-ES_tradnl"/>
        </w:rPr>
      </w:pPr>
    </w:p>
    <w:p w14:paraId="72D95EB2" w14:textId="77777777" w:rsidR="00145AF8" w:rsidRPr="00E213BC" w:rsidRDefault="00145AF8" w:rsidP="00E213BC">
      <w:pPr>
        <w:widowControl w:val="0"/>
        <w:autoSpaceDE w:val="0"/>
        <w:autoSpaceDN w:val="0"/>
        <w:adjustRightInd w:val="0"/>
        <w:spacing w:line="360" w:lineRule="auto"/>
        <w:jc w:val="both"/>
        <w:rPr>
          <w:rFonts w:ascii="Palatino Linotype" w:hAnsi="Palatino Linotype"/>
          <w:color w:val="000000" w:themeColor="text1"/>
        </w:rPr>
      </w:pPr>
      <w:r w:rsidRPr="00E213BC">
        <w:rPr>
          <w:rFonts w:ascii="Palatino Linotype" w:hAnsi="Palatino Linotype" w:cs="Arial"/>
          <w:lang w:val="es-ES_tradnl"/>
        </w:rPr>
        <w:t xml:space="preserve">En atención a las consideraciones anteriores, esta Ponencia </w:t>
      </w:r>
      <w:proofErr w:type="spellStart"/>
      <w:r w:rsidRPr="00E213BC">
        <w:rPr>
          <w:rFonts w:ascii="Palatino Linotype" w:hAnsi="Palatino Linotype" w:cs="Arial"/>
          <w:lang w:val="es-ES_tradnl"/>
        </w:rPr>
        <w:t>Resolutora</w:t>
      </w:r>
      <w:proofErr w:type="spellEnd"/>
      <w:r w:rsidRPr="00E213BC">
        <w:rPr>
          <w:rFonts w:ascii="Palatino Linotype" w:hAnsi="Palatino Linotype"/>
          <w:color w:val="000000" w:themeColor="text1"/>
        </w:rPr>
        <w:t xml:space="preserve"> advierte que en el presente </w:t>
      </w:r>
      <w:r w:rsidRPr="00E213BC">
        <w:rPr>
          <w:rFonts w:ascii="Palatino Linotype" w:hAnsi="Palatino Linotype"/>
        </w:rPr>
        <w:t>caso</w:t>
      </w:r>
      <w:r w:rsidRPr="00E213BC">
        <w:rPr>
          <w:rFonts w:ascii="Palatino Linotype" w:hAnsi="Palatino Linotype"/>
          <w:color w:val="000000" w:themeColor="text1"/>
        </w:rPr>
        <w:t xml:space="preserve">, se actualiza la hipótesis prevista en </w:t>
      </w:r>
      <w:r w:rsidRPr="00E213BC">
        <w:rPr>
          <w:rFonts w:ascii="Palatino Linotype" w:hAnsi="Palatino Linotype" w:cs="Arial"/>
          <w:lang w:val="es-ES_tradnl"/>
        </w:rPr>
        <w:t xml:space="preserve">el </w:t>
      </w:r>
      <w:r w:rsidRPr="00E213BC">
        <w:rPr>
          <w:rFonts w:ascii="Palatino Linotype" w:hAnsi="Palatino Linotype"/>
          <w:color w:val="000000" w:themeColor="text1"/>
        </w:rPr>
        <w:t>artículo 192, fracción I, de</w:t>
      </w:r>
      <w:r w:rsidRPr="00E213BC">
        <w:rPr>
          <w:rFonts w:ascii="Palatino Linotype" w:hAnsi="Palatino Linotype" w:cs="Arial"/>
          <w:lang w:val="es-ES_tradnl"/>
        </w:rPr>
        <w:t xml:space="preserve"> la </w:t>
      </w:r>
      <w:r w:rsidRPr="00E213BC">
        <w:rPr>
          <w:rFonts w:ascii="Palatino Linotype" w:hAnsi="Palatino Linotype"/>
        </w:rPr>
        <w:t xml:space="preserve">Ley de Transparencia y Acceso a la Información Pública del Estado de México y Municipios, </w:t>
      </w:r>
      <w:r w:rsidRPr="00E213BC">
        <w:rPr>
          <w:rFonts w:ascii="Palatino Linotype" w:hAnsi="Palatino Linotype"/>
          <w:color w:val="000000" w:themeColor="text1"/>
        </w:rPr>
        <w:t xml:space="preserve">que dispone lo siguiente: </w:t>
      </w:r>
    </w:p>
    <w:p w14:paraId="1812C5FB" w14:textId="77777777" w:rsidR="00145AF8" w:rsidRPr="00E213BC" w:rsidRDefault="00145AF8" w:rsidP="00E213BC">
      <w:pPr>
        <w:widowControl w:val="0"/>
        <w:autoSpaceDE w:val="0"/>
        <w:autoSpaceDN w:val="0"/>
        <w:adjustRightInd w:val="0"/>
        <w:jc w:val="both"/>
        <w:rPr>
          <w:rFonts w:ascii="Palatino Linotype" w:hAnsi="Palatino Linotype"/>
          <w:color w:val="000000"/>
        </w:rPr>
      </w:pPr>
    </w:p>
    <w:p w14:paraId="2341F6A4" w14:textId="77777777" w:rsidR="00145AF8" w:rsidRPr="00E213BC" w:rsidRDefault="00145AF8" w:rsidP="00E213BC">
      <w:pPr>
        <w:tabs>
          <w:tab w:val="left" w:pos="851"/>
        </w:tabs>
        <w:ind w:left="851" w:right="901"/>
        <w:jc w:val="both"/>
        <w:rPr>
          <w:rFonts w:ascii="Palatino Linotype" w:hAnsi="Palatino Linotype" w:cs="Arial"/>
          <w:i/>
          <w:sz w:val="22"/>
        </w:rPr>
      </w:pPr>
      <w:r w:rsidRPr="00E213BC">
        <w:rPr>
          <w:rFonts w:ascii="Palatino Linotype" w:hAnsi="Palatino Linotype" w:cs="Arial"/>
          <w:i/>
          <w:sz w:val="22"/>
        </w:rPr>
        <w:t>“</w:t>
      </w:r>
      <w:r w:rsidRPr="00E213BC">
        <w:rPr>
          <w:rFonts w:ascii="Palatino Linotype" w:hAnsi="Palatino Linotype" w:cs="Arial"/>
          <w:b/>
          <w:i/>
          <w:sz w:val="22"/>
        </w:rPr>
        <w:t>Artículo 192.</w:t>
      </w:r>
      <w:r w:rsidRPr="00E213BC">
        <w:rPr>
          <w:rFonts w:ascii="Palatino Linotype" w:hAnsi="Palatino Linotype" w:cs="Arial"/>
          <w:i/>
          <w:sz w:val="22"/>
        </w:rPr>
        <w:t xml:space="preserve"> </w:t>
      </w:r>
      <w:r w:rsidRPr="00E213BC">
        <w:rPr>
          <w:rFonts w:ascii="Palatino Linotype" w:hAnsi="Palatino Linotype" w:cs="Arial"/>
          <w:b/>
          <w:i/>
          <w:sz w:val="22"/>
          <w:u w:val="single"/>
        </w:rPr>
        <w:t>El recurso será sobreseído</w:t>
      </w:r>
      <w:r w:rsidRPr="00E213BC">
        <w:rPr>
          <w:rFonts w:ascii="Palatino Linotype" w:hAnsi="Palatino Linotype" w:cs="Arial"/>
          <w:i/>
          <w:sz w:val="22"/>
        </w:rPr>
        <w:t xml:space="preserve">, en todo o en parte, </w:t>
      </w:r>
      <w:r w:rsidRPr="00E213BC">
        <w:rPr>
          <w:rFonts w:ascii="Palatino Linotype" w:hAnsi="Palatino Linotype" w:cs="Arial"/>
          <w:b/>
          <w:i/>
          <w:sz w:val="22"/>
          <w:u w:val="single"/>
        </w:rPr>
        <w:t>cuando una vez admitido</w:t>
      </w:r>
      <w:r w:rsidRPr="00E213BC">
        <w:rPr>
          <w:rFonts w:ascii="Palatino Linotype" w:hAnsi="Palatino Linotype" w:cs="Arial"/>
          <w:i/>
          <w:sz w:val="22"/>
        </w:rPr>
        <w:t xml:space="preserve">, se actualicen alguno de los </w:t>
      </w:r>
      <w:r w:rsidRPr="00E213BC">
        <w:rPr>
          <w:rFonts w:ascii="Palatino Linotype" w:hAnsi="Palatino Linotype" w:cs="Arial"/>
          <w:i/>
          <w:sz w:val="22"/>
          <w:szCs w:val="22"/>
          <w:lang w:val="es-ES"/>
        </w:rPr>
        <w:t>siguientes</w:t>
      </w:r>
      <w:r w:rsidRPr="00E213BC">
        <w:rPr>
          <w:rFonts w:ascii="Palatino Linotype" w:hAnsi="Palatino Linotype" w:cs="Arial"/>
          <w:i/>
          <w:sz w:val="22"/>
        </w:rPr>
        <w:t xml:space="preserve"> supuestos:</w:t>
      </w:r>
    </w:p>
    <w:p w14:paraId="349FBDDB" w14:textId="77777777" w:rsidR="00145AF8" w:rsidRPr="00E213BC" w:rsidRDefault="00145AF8" w:rsidP="00E213BC">
      <w:pPr>
        <w:tabs>
          <w:tab w:val="left" w:pos="851"/>
        </w:tabs>
        <w:ind w:left="851" w:right="901"/>
        <w:jc w:val="both"/>
        <w:rPr>
          <w:rFonts w:ascii="Palatino Linotype" w:hAnsi="Palatino Linotype" w:cs="Arial"/>
          <w:sz w:val="22"/>
        </w:rPr>
      </w:pPr>
      <w:r w:rsidRPr="00E213BC">
        <w:rPr>
          <w:rFonts w:ascii="Palatino Linotype" w:hAnsi="Palatino Linotype" w:cs="Arial"/>
          <w:b/>
          <w:i/>
          <w:sz w:val="22"/>
        </w:rPr>
        <w:t>I.</w:t>
      </w:r>
      <w:r w:rsidRPr="00E213BC">
        <w:rPr>
          <w:rFonts w:ascii="Palatino Linotype" w:hAnsi="Palatino Linotype" w:cs="Arial"/>
          <w:i/>
          <w:sz w:val="22"/>
        </w:rPr>
        <w:t xml:space="preserve"> </w:t>
      </w:r>
      <w:r w:rsidRPr="00E213BC">
        <w:rPr>
          <w:rFonts w:ascii="Palatino Linotype" w:hAnsi="Palatino Linotype" w:cs="Arial"/>
          <w:b/>
          <w:i/>
          <w:sz w:val="22"/>
          <w:u w:val="single"/>
        </w:rPr>
        <w:t>El recurrente se desista expresamente del recurso</w:t>
      </w:r>
      <w:r w:rsidRPr="00E213BC">
        <w:rPr>
          <w:rFonts w:ascii="Palatino Linotype" w:hAnsi="Palatino Linotype" w:cs="Arial"/>
          <w:i/>
          <w:sz w:val="22"/>
        </w:rPr>
        <w:t>;”</w:t>
      </w:r>
    </w:p>
    <w:p w14:paraId="6F4350F3" w14:textId="77777777" w:rsidR="00145AF8" w:rsidRPr="00E213BC" w:rsidRDefault="00145AF8" w:rsidP="00E213BC">
      <w:pPr>
        <w:tabs>
          <w:tab w:val="left" w:pos="851"/>
        </w:tabs>
        <w:ind w:left="851" w:right="901"/>
        <w:jc w:val="both"/>
        <w:rPr>
          <w:rFonts w:ascii="Palatino Linotype" w:hAnsi="Palatino Linotype" w:cs="Arial"/>
          <w:sz w:val="22"/>
        </w:rPr>
      </w:pPr>
      <w:r w:rsidRPr="00E213BC">
        <w:rPr>
          <w:rFonts w:ascii="Palatino Linotype" w:hAnsi="Palatino Linotype" w:cs="Arial"/>
          <w:sz w:val="22"/>
        </w:rPr>
        <w:t>(Énfasis añadido)</w:t>
      </w:r>
    </w:p>
    <w:p w14:paraId="048564AE" w14:textId="77777777" w:rsidR="00145AF8" w:rsidRPr="00E213BC" w:rsidRDefault="00145AF8" w:rsidP="00E213BC">
      <w:pPr>
        <w:tabs>
          <w:tab w:val="left" w:pos="851"/>
        </w:tabs>
        <w:ind w:left="851" w:right="901"/>
        <w:jc w:val="both"/>
        <w:rPr>
          <w:rFonts w:ascii="Palatino Linotype" w:hAnsi="Palatino Linotype" w:cs="Arial"/>
          <w:sz w:val="22"/>
        </w:rPr>
      </w:pPr>
    </w:p>
    <w:p w14:paraId="0C7417FE" w14:textId="77777777" w:rsidR="00145AF8" w:rsidRPr="00E213BC" w:rsidRDefault="00145AF8" w:rsidP="00E213BC">
      <w:pPr>
        <w:widowControl w:val="0"/>
        <w:autoSpaceDE w:val="0"/>
        <w:autoSpaceDN w:val="0"/>
        <w:adjustRightInd w:val="0"/>
        <w:spacing w:line="360" w:lineRule="auto"/>
        <w:jc w:val="both"/>
        <w:rPr>
          <w:rFonts w:ascii="Palatino Linotype" w:eastAsia="Calibri" w:hAnsi="Palatino Linotype" w:cs="Arial"/>
        </w:rPr>
      </w:pPr>
      <w:r w:rsidRPr="00E213BC">
        <w:rPr>
          <w:rFonts w:ascii="Palatino Linotype" w:hAnsi="Palatino Linotype"/>
          <w:color w:val="000000"/>
        </w:rPr>
        <w:t xml:space="preserve">En </w:t>
      </w:r>
      <w:r w:rsidRPr="00E213BC">
        <w:rPr>
          <w:rFonts w:ascii="Palatino Linotype" w:hAnsi="Palatino Linotype"/>
        </w:rPr>
        <w:t>consecuencia</w:t>
      </w:r>
      <w:r w:rsidRPr="00E213BC">
        <w:rPr>
          <w:rFonts w:ascii="Palatino Linotype" w:hAnsi="Palatino Linotype"/>
          <w:color w:val="000000"/>
        </w:rPr>
        <w:t xml:space="preserve">, </w:t>
      </w:r>
      <w:r w:rsidRPr="00E213BC">
        <w:rPr>
          <w:rFonts w:ascii="Palatino Linotype" w:hAnsi="Palatino Linotype"/>
        </w:rPr>
        <w:t xml:space="preserve">se </w:t>
      </w:r>
      <w:r w:rsidRPr="00E213BC">
        <w:rPr>
          <w:rFonts w:ascii="Palatino Linotype" w:hAnsi="Palatino Linotype" w:cs="Arial"/>
          <w:lang w:val="es-ES_tradnl"/>
        </w:rPr>
        <w:t xml:space="preserve">determina </w:t>
      </w:r>
      <w:r w:rsidRPr="00E213BC">
        <w:rPr>
          <w:rFonts w:ascii="Palatino Linotype" w:hAnsi="Palatino Linotype" w:cs="Arial"/>
          <w:b/>
          <w:lang w:val="es-ES_tradnl"/>
        </w:rPr>
        <w:t>SOBRESEER</w:t>
      </w:r>
      <w:r w:rsidRPr="00E213BC">
        <w:rPr>
          <w:rFonts w:ascii="Palatino Linotype" w:hAnsi="Palatino Linotype" w:cs="Arial"/>
          <w:lang w:val="es-ES_tradnl"/>
        </w:rPr>
        <w:t xml:space="preserve"> el presente recurso de revisión, en </w:t>
      </w:r>
      <w:r w:rsidRPr="00E213BC">
        <w:rPr>
          <w:rFonts w:ascii="Palatino Linotype" w:hAnsi="Palatino Linotype"/>
          <w:bCs/>
        </w:rPr>
        <w:t>términos</w:t>
      </w:r>
      <w:r w:rsidRPr="00E213BC">
        <w:rPr>
          <w:rFonts w:ascii="Palatino Linotype" w:hAnsi="Palatino Linotype" w:cs="Arial"/>
          <w:lang w:val="es-ES_tradnl"/>
        </w:rPr>
        <w:t xml:space="preserve"> del artículo 186, fracción I, de la </w:t>
      </w:r>
      <w:r w:rsidRPr="00E213BC">
        <w:rPr>
          <w:rFonts w:ascii="Palatino Linotype" w:eastAsia="Calibri" w:hAnsi="Palatino Linotype" w:cs="Arial"/>
        </w:rPr>
        <w:t>Ley de Transparencia y Acceso a la Información Pública del Estado de México y Municipios:</w:t>
      </w:r>
    </w:p>
    <w:p w14:paraId="5CC92843" w14:textId="77777777" w:rsidR="00145AF8" w:rsidRPr="00E213BC" w:rsidRDefault="00145AF8" w:rsidP="00E213BC">
      <w:pPr>
        <w:widowControl w:val="0"/>
        <w:autoSpaceDE w:val="0"/>
        <w:autoSpaceDN w:val="0"/>
        <w:adjustRightInd w:val="0"/>
        <w:jc w:val="both"/>
        <w:rPr>
          <w:rFonts w:ascii="Palatino Linotype" w:eastAsia="Calibri" w:hAnsi="Palatino Linotype" w:cs="Arial"/>
        </w:rPr>
      </w:pPr>
    </w:p>
    <w:p w14:paraId="2C1A8D00" w14:textId="77777777" w:rsidR="00145AF8" w:rsidRPr="00E213BC" w:rsidRDefault="00145AF8" w:rsidP="00E213BC">
      <w:pPr>
        <w:tabs>
          <w:tab w:val="left" w:pos="851"/>
        </w:tabs>
        <w:ind w:left="851" w:right="901"/>
        <w:jc w:val="both"/>
        <w:rPr>
          <w:rFonts w:ascii="Palatino Linotype" w:hAnsi="Palatino Linotype" w:cs="Arial"/>
          <w:i/>
          <w:sz w:val="22"/>
        </w:rPr>
      </w:pPr>
      <w:r w:rsidRPr="00E213BC">
        <w:rPr>
          <w:rFonts w:ascii="Palatino Linotype" w:hAnsi="Palatino Linotype" w:cs="Arial"/>
          <w:i/>
          <w:sz w:val="22"/>
        </w:rPr>
        <w:t>“</w:t>
      </w:r>
      <w:r w:rsidRPr="00E213BC">
        <w:rPr>
          <w:rFonts w:ascii="Palatino Linotype" w:hAnsi="Palatino Linotype" w:cs="Arial"/>
          <w:b/>
          <w:i/>
          <w:sz w:val="22"/>
        </w:rPr>
        <w:t xml:space="preserve">Artículo 186. </w:t>
      </w:r>
      <w:r w:rsidRPr="00E213BC">
        <w:rPr>
          <w:rFonts w:ascii="Palatino Linotype" w:hAnsi="Palatino Linotype" w:cs="Arial"/>
          <w:b/>
          <w:i/>
          <w:sz w:val="22"/>
          <w:u w:val="single"/>
        </w:rPr>
        <w:t>Las resoluciones del Instituto podrán</w:t>
      </w:r>
      <w:r w:rsidRPr="00E213BC">
        <w:rPr>
          <w:rFonts w:ascii="Palatino Linotype" w:hAnsi="Palatino Linotype" w:cs="Arial"/>
          <w:i/>
          <w:sz w:val="22"/>
        </w:rPr>
        <w:t xml:space="preserve">: </w:t>
      </w:r>
    </w:p>
    <w:p w14:paraId="119FF9BE" w14:textId="77777777" w:rsidR="00145AF8" w:rsidRPr="00E213BC" w:rsidRDefault="00145AF8" w:rsidP="00E213BC">
      <w:pPr>
        <w:tabs>
          <w:tab w:val="left" w:pos="851"/>
        </w:tabs>
        <w:ind w:left="851" w:right="901"/>
        <w:jc w:val="both"/>
        <w:rPr>
          <w:rFonts w:ascii="Palatino Linotype" w:hAnsi="Palatino Linotype" w:cs="Arial"/>
          <w:i/>
          <w:sz w:val="22"/>
        </w:rPr>
      </w:pPr>
      <w:r w:rsidRPr="00E213BC">
        <w:rPr>
          <w:rFonts w:ascii="Palatino Linotype" w:hAnsi="Palatino Linotype" w:cs="Arial"/>
          <w:b/>
          <w:i/>
          <w:sz w:val="22"/>
        </w:rPr>
        <w:t xml:space="preserve">I. </w:t>
      </w:r>
      <w:r w:rsidRPr="00E213BC">
        <w:rPr>
          <w:rFonts w:ascii="Palatino Linotype" w:hAnsi="Palatino Linotype" w:cs="Arial"/>
          <w:i/>
          <w:sz w:val="22"/>
        </w:rPr>
        <w:t xml:space="preserve">Desechar o </w:t>
      </w:r>
      <w:r w:rsidRPr="00E213BC">
        <w:rPr>
          <w:rFonts w:ascii="Palatino Linotype" w:hAnsi="Palatino Linotype" w:cs="Arial"/>
          <w:b/>
          <w:i/>
          <w:sz w:val="22"/>
          <w:u w:val="single"/>
        </w:rPr>
        <w:t>sobreseer el recurso</w:t>
      </w:r>
      <w:r w:rsidRPr="00E213BC">
        <w:rPr>
          <w:rFonts w:ascii="Palatino Linotype" w:hAnsi="Palatino Linotype" w:cs="Arial"/>
          <w:i/>
          <w:sz w:val="22"/>
        </w:rPr>
        <w:t xml:space="preserve">;” </w:t>
      </w:r>
    </w:p>
    <w:p w14:paraId="413C9F1A" w14:textId="77777777" w:rsidR="00145AF8" w:rsidRPr="00E213BC" w:rsidRDefault="00145AF8" w:rsidP="00E213BC">
      <w:pPr>
        <w:tabs>
          <w:tab w:val="left" w:pos="851"/>
        </w:tabs>
        <w:ind w:left="851" w:right="901"/>
        <w:jc w:val="both"/>
        <w:rPr>
          <w:rFonts w:ascii="Palatino Linotype" w:hAnsi="Palatino Linotype" w:cs="Arial"/>
          <w:sz w:val="22"/>
        </w:rPr>
      </w:pPr>
      <w:r w:rsidRPr="00E213BC">
        <w:rPr>
          <w:rFonts w:ascii="Palatino Linotype" w:hAnsi="Palatino Linotype" w:cs="Arial"/>
          <w:sz w:val="22"/>
        </w:rPr>
        <w:t>(Énfasis añadido)</w:t>
      </w:r>
    </w:p>
    <w:p w14:paraId="4DB0814F" w14:textId="77777777" w:rsidR="00145AF8" w:rsidRPr="00E213BC" w:rsidRDefault="00145AF8" w:rsidP="00E213BC">
      <w:pPr>
        <w:tabs>
          <w:tab w:val="left" w:pos="851"/>
        </w:tabs>
        <w:ind w:left="851" w:right="901"/>
        <w:jc w:val="both"/>
        <w:rPr>
          <w:rFonts w:ascii="Palatino Linotype" w:hAnsi="Palatino Linotype" w:cs="Arial"/>
          <w:sz w:val="22"/>
        </w:rPr>
      </w:pPr>
    </w:p>
    <w:p w14:paraId="075D9DE0" w14:textId="77777777" w:rsidR="00145AF8" w:rsidRPr="00E213BC" w:rsidRDefault="00145AF8" w:rsidP="00E213BC">
      <w:pPr>
        <w:widowControl w:val="0"/>
        <w:autoSpaceDE w:val="0"/>
        <w:autoSpaceDN w:val="0"/>
        <w:adjustRightInd w:val="0"/>
        <w:spacing w:line="360" w:lineRule="auto"/>
        <w:jc w:val="both"/>
        <w:rPr>
          <w:rFonts w:ascii="Palatino Linotype" w:hAnsi="Palatino Linotype"/>
          <w:color w:val="000000"/>
          <w:lang w:eastAsia="es-MX"/>
        </w:rPr>
      </w:pPr>
      <w:r w:rsidRPr="00E213BC">
        <w:rPr>
          <w:rFonts w:ascii="Palatino Linotype" w:hAnsi="Palatino Linotype" w:cs="Arial"/>
          <w:lang w:val="es-ES_tradnl"/>
        </w:rPr>
        <w:lastRenderedPageBreak/>
        <w:t>Derivado de lo anterior, es conveniente referir que este Órgano Garante no se pronuncia de la</w:t>
      </w:r>
      <w:r w:rsidRPr="00E213BC">
        <w:rPr>
          <w:rFonts w:ascii="Palatino Linotype" w:hAnsi="Palatino Linotype"/>
        </w:rPr>
        <w:t xml:space="preserve">s razones o motivos de inconformidad expuestos por </w:t>
      </w:r>
      <w:r w:rsidRPr="00E213BC">
        <w:rPr>
          <w:rFonts w:ascii="Palatino Linotype" w:hAnsi="Palatino Linotype" w:cs="Arial"/>
          <w:b/>
        </w:rPr>
        <w:t>EL RECURRENTE</w:t>
      </w:r>
      <w:r w:rsidRPr="00E213BC">
        <w:rPr>
          <w:rFonts w:ascii="Palatino Linotype" w:hAnsi="Palatino Linotype"/>
        </w:rPr>
        <w:t xml:space="preserve">, siendo aplicable </w:t>
      </w:r>
      <w:r w:rsidRPr="00E213BC">
        <w:rPr>
          <w:rFonts w:ascii="Palatino Linotype" w:eastAsia="Calibri" w:hAnsi="Palatino Linotype"/>
          <w:lang w:eastAsia="en-US"/>
        </w:rPr>
        <w:t xml:space="preserve">la jurisprudencia de la décima época </w:t>
      </w:r>
      <w:r w:rsidRPr="00E213BC">
        <w:rPr>
          <w:rFonts w:ascii="Palatino Linotype" w:hAnsi="Palatino Linotype"/>
          <w:color w:val="000000"/>
          <w:lang w:eastAsia="es-MX"/>
        </w:rPr>
        <w:t>visible en el Semanario Judicial de la Federación y su Gaceta. Instancia: Segunda Sala. Tesis 2a</w:t>
      </w:r>
      <w:proofErr w:type="gramStart"/>
      <w:r w:rsidRPr="00E213BC">
        <w:rPr>
          <w:rFonts w:ascii="Palatino Linotype" w:hAnsi="Palatino Linotype"/>
          <w:color w:val="000000"/>
          <w:lang w:eastAsia="es-MX"/>
        </w:rPr>
        <w:t>./</w:t>
      </w:r>
      <w:proofErr w:type="gramEnd"/>
      <w:r w:rsidRPr="00E213BC">
        <w:rPr>
          <w:rFonts w:ascii="Palatino Linotype" w:hAnsi="Palatino Linotype"/>
          <w:color w:val="000000"/>
          <w:lang w:eastAsia="es-MX"/>
        </w:rPr>
        <w:t>J. 82/2016 (10a.) bajo el número de registro 2012059 cuyo rubro y texto esgrime:</w:t>
      </w:r>
    </w:p>
    <w:p w14:paraId="2D7E5C9D" w14:textId="77777777" w:rsidR="00145AF8" w:rsidRPr="00E213BC" w:rsidRDefault="00145AF8" w:rsidP="00E213BC">
      <w:pPr>
        <w:widowControl w:val="0"/>
        <w:autoSpaceDE w:val="0"/>
        <w:autoSpaceDN w:val="0"/>
        <w:adjustRightInd w:val="0"/>
        <w:jc w:val="both"/>
        <w:rPr>
          <w:rFonts w:ascii="Palatino Linotype" w:eastAsia="Calibri" w:hAnsi="Palatino Linotype"/>
          <w:lang w:eastAsia="en-US"/>
        </w:rPr>
      </w:pPr>
    </w:p>
    <w:p w14:paraId="63B3BC63" w14:textId="77777777" w:rsidR="00145AF8" w:rsidRPr="00E213BC" w:rsidRDefault="00145AF8" w:rsidP="00E213BC">
      <w:pPr>
        <w:tabs>
          <w:tab w:val="left" w:pos="851"/>
        </w:tabs>
        <w:ind w:left="851" w:right="901"/>
        <w:jc w:val="both"/>
        <w:rPr>
          <w:rFonts w:ascii="Palatino Linotype" w:hAnsi="Palatino Linotype"/>
          <w:b/>
          <w:bCs/>
          <w:i/>
          <w:sz w:val="22"/>
          <w:szCs w:val="26"/>
          <w:lang w:eastAsia="es-MX"/>
        </w:rPr>
      </w:pPr>
      <w:r w:rsidRPr="00E213BC">
        <w:rPr>
          <w:rFonts w:ascii="Palatino Linotype" w:hAnsi="Palatino Linotype"/>
          <w:b/>
          <w:bCs/>
          <w:i/>
          <w:sz w:val="22"/>
          <w:szCs w:val="26"/>
          <w:lang w:eastAsia="es-MX"/>
        </w:rPr>
        <w:t>“DESISTIMIENTO DE LA ACCIÓN DE AMPARO. SUS CONSECUENCIAS.</w:t>
      </w:r>
    </w:p>
    <w:p w14:paraId="3726D93C" w14:textId="6722FA40" w:rsidR="00145AF8" w:rsidRPr="00E213BC" w:rsidRDefault="00145AF8" w:rsidP="00E94B16">
      <w:pPr>
        <w:tabs>
          <w:tab w:val="left" w:pos="851"/>
        </w:tabs>
        <w:ind w:left="851" w:right="901"/>
        <w:jc w:val="both"/>
        <w:rPr>
          <w:rFonts w:ascii="Palatino Linotype" w:hAnsi="Palatino Linotype"/>
          <w:i/>
          <w:sz w:val="22"/>
          <w:szCs w:val="26"/>
          <w:lang w:eastAsia="es-MX"/>
        </w:rPr>
      </w:pPr>
      <w:r w:rsidRPr="00E213BC">
        <w:rPr>
          <w:rFonts w:ascii="Palatino Linotype" w:hAnsi="Palatino Linotype" w:cs="Arial"/>
          <w:i/>
          <w:sz w:val="22"/>
        </w:rPr>
        <w:t xml:space="preserve">El desistimiento de la acción de amparo consiste en la declaración de voluntad del quejoso de no proseguir con el juicio, el cual, debidamente ratificado, conlleva emitir una resolución con la </w:t>
      </w:r>
      <w:r w:rsidRPr="00E213BC">
        <w:rPr>
          <w:rFonts w:ascii="Palatino Linotype" w:hAnsi="Palatino Linotype" w:cs="Arial"/>
          <w:b/>
          <w:i/>
          <w:sz w:val="22"/>
        </w:rPr>
        <w:t>que finaliza la instancia</w:t>
      </w:r>
      <w:r w:rsidRPr="00E213BC">
        <w:rPr>
          <w:rFonts w:ascii="Palatino Linotype" w:hAnsi="Palatino Linotype" w:cs="Arial"/>
          <w:i/>
          <w:sz w:val="22"/>
        </w:rPr>
        <w:t xml:space="preserve"> de amparo, </w:t>
      </w:r>
      <w:r w:rsidRPr="00E213BC">
        <w:rPr>
          <w:rFonts w:ascii="Palatino Linotype" w:hAnsi="Palatino Linotype" w:cs="Arial"/>
          <w:b/>
          <w:i/>
          <w:sz w:val="22"/>
        </w:rPr>
        <w:t>independientemente de la etapa en que se encuentre (desde el inicio del juicio hasta antes de que cause ejecutoria la sentencia que se dicte)</w:t>
      </w:r>
      <w:r w:rsidRPr="00E213BC">
        <w:rPr>
          <w:rFonts w:ascii="Palatino Linotype" w:hAnsi="Palatino Linotype" w:cs="Arial"/>
          <w:i/>
          <w:sz w:val="22"/>
        </w:rPr>
        <w:t xml:space="preserve"> y </w:t>
      </w:r>
      <w:r w:rsidRPr="00E213BC">
        <w:rPr>
          <w:rFonts w:ascii="Palatino Linotype" w:hAnsi="Palatino Linotype" w:cs="Arial"/>
          <w:b/>
          <w:i/>
          <w:sz w:val="22"/>
        </w:rPr>
        <w:t>sin necesidad de examinar los conceptos de violación o, en su caso, los agravios.</w:t>
      </w:r>
      <w:r w:rsidRPr="00E213BC">
        <w:rPr>
          <w:rFonts w:ascii="Palatino Linotype" w:hAnsi="Palatino Linotype"/>
          <w:i/>
          <w:sz w:val="22"/>
          <w:szCs w:val="26"/>
          <w:lang w:eastAsia="es-MX"/>
        </w:rPr>
        <w:t>” (</w:t>
      </w:r>
      <w:proofErr w:type="gramStart"/>
      <w:r w:rsidRPr="00E213BC">
        <w:rPr>
          <w:rFonts w:ascii="Palatino Linotype" w:hAnsi="Palatino Linotype"/>
          <w:i/>
          <w:sz w:val="22"/>
          <w:szCs w:val="26"/>
          <w:lang w:eastAsia="es-MX"/>
        </w:rPr>
        <w:t>sic</w:t>
      </w:r>
      <w:proofErr w:type="gramEnd"/>
      <w:r w:rsidRPr="00E213BC">
        <w:rPr>
          <w:rFonts w:ascii="Palatino Linotype" w:hAnsi="Palatino Linotype"/>
          <w:i/>
          <w:sz w:val="22"/>
          <w:szCs w:val="26"/>
          <w:lang w:eastAsia="es-MX"/>
        </w:rPr>
        <w:t>)</w:t>
      </w:r>
    </w:p>
    <w:p w14:paraId="6868A225" w14:textId="77777777" w:rsidR="00145AF8" w:rsidRPr="00E213BC" w:rsidRDefault="00145AF8" w:rsidP="00E213BC">
      <w:pPr>
        <w:tabs>
          <w:tab w:val="left" w:pos="851"/>
        </w:tabs>
        <w:ind w:left="851" w:right="901"/>
        <w:jc w:val="both"/>
        <w:rPr>
          <w:rFonts w:ascii="Palatino Linotype" w:hAnsi="Palatino Linotype"/>
          <w:i/>
          <w:sz w:val="22"/>
          <w:szCs w:val="26"/>
          <w:lang w:eastAsia="es-MX"/>
        </w:rPr>
      </w:pPr>
    </w:p>
    <w:p w14:paraId="11214CFF" w14:textId="77777777" w:rsidR="00145AF8" w:rsidRPr="00E213BC" w:rsidRDefault="00145AF8" w:rsidP="00E213BC">
      <w:pPr>
        <w:tabs>
          <w:tab w:val="left" w:pos="709"/>
        </w:tabs>
        <w:spacing w:line="360" w:lineRule="auto"/>
        <w:ind w:right="51"/>
        <w:jc w:val="both"/>
        <w:rPr>
          <w:rFonts w:ascii="Palatino Linotype" w:eastAsia="Calibri" w:hAnsi="Palatino Linotype"/>
          <w:lang w:eastAsia="en-US"/>
        </w:rPr>
      </w:pPr>
      <w:r w:rsidRPr="00E213BC">
        <w:rPr>
          <w:rFonts w:ascii="Palatino Linotype" w:eastAsia="Calibri" w:hAnsi="Palatino Linotype"/>
          <w:lang w:eastAsia="en-US"/>
        </w:rPr>
        <w:t xml:space="preserve">De lo anteriormente citado, se concluye que la manifestación de la voluntad de la </w:t>
      </w:r>
      <w:proofErr w:type="spellStart"/>
      <w:r w:rsidRPr="00E213BC">
        <w:rPr>
          <w:rFonts w:ascii="Palatino Linotype" w:eastAsia="Calibri" w:hAnsi="Palatino Linotype"/>
          <w:lang w:eastAsia="en-US"/>
        </w:rPr>
        <w:t>promovente</w:t>
      </w:r>
      <w:proofErr w:type="spellEnd"/>
      <w:r w:rsidRPr="00E213BC">
        <w:rPr>
          <w:rFonts w:ascii="Palatino Linotype" w:eastAsia="Calibri" w:hAnsi="Palatino Linotype"/>
          <w:lang w:eastAsia="en-US"/>
        </w:rPr>
        <w:t xml:space="preserve"> respecto a desistirse de la acción ejercida, se entiende que este acepta de manera expresa que el procedimiento concluya sin suscitar consecuencias de derecho; asimismo, como lo señala la tesis aislada, el desistimiento del recurso por parte del actor genera que el Órgano </w:t>
      </w:r>
      <w:proofErr w:type="spellStart"/>
      <w:r w:rsidRPr="00E213BC">
        <w:rPr>
          <w:rFonts w:ascii="Palatino Linotype" w:eastAsia="Calibri" w:hAnsi="Palatino Linotype"/>
          <w:lang w:eastAsia="en-US"/>
        </w:rPr>
        <w:t>Resolutor</w:t>
      </w:r>
      <w:proofErr w:type="spellEnd"/>
      <w:r w:rsidRPr="00E213BC">
        <w:rPr>
          <w:rFonts w:ascii="Palatino Linotype" w:eastAsia="Calibri" w:hAnsi="Palatino Linotype"/>
          <w:lang w:eastAsia="en-US"/>
        </w:rPr>
        <w:t xml:space="preserve"> deba desocuparse del análisis de los planteamientos que aducidos en la Litis y únicamente realizar el análisis respecto a las actuaciones que subsistan, sin necesidad de examinar los agravios planteados.</w:t>
      </w:r>
    </w:p>
    <w:p w14:paraId="6CF1F17F" w14:textId="77777777" w:rsidR="003B70F7" w:rsidRPr="00E213BC" w:rsidRDefault="003B70F7" w:rsidP="00E213BC">
      <w:pPr>
        <w:spacing w:line="360" w:lineRule="auto"/>
        <w:jc w:val="both"/>
        <w:rPr>
          <w:rFonts w:ascii="Palatino Linotype" w:eastAsia="Calibri" w:hAnsi="Palatino Linotype" w:cs="Tahoma"/>
          <w:bCs/>
          <w:color w:val="000000" w:themeColor="text1"/>
          <w:lang w:eastAsia="en-US"/>
        </w:rPr>
      </w:pPr>
    </w:p>
    <w:p w14:paraId="7229804C" w14:textId="7E522C5D" w:rsidR="00E75068" w:rsidRPr="00E213BC" w:rsidRDefault="00E75068" w:rsidP="00E213BC">
      <w:pPr>
        <w:widowControl w:val="0"/>
        <w:autoSpaceDE w:val="0"/>
        <w:autoSpaceDN w:val="0"/>
        <w:adjustRightInd w:val="0"/>
        <w:spacing w:line="360" w:lineRule="auto"/>
        <w:jc w:val="both"/>
        <w:rPr>
          <w:rFonts w:ascii="Palatino Linotype" w:eastAsia="Calibri" w:hAnsi="Palatino Linotype" w:cs="Arial"/>
          <w:color w:val="000000" w:themeColor="text1"/>
        </w:rPr>
      </w:pPr>
      <w:r w:rsidRPr="00E213BC">
        <w:rPr>
          <w:rFonts w:ascii="Palatino Linotype" w:eastAsia="Calibri" w:hAnsi="Palatino Linotype" w:cs="Arial"/>
          <w:color w:val="000000" w:themeColor="text1"/>
        </w:rPr>
        <w:t xml:space="preserve">Así, con </w:t>
      </w:r>
      <w:r w:rsidRPr="00E213BC">
        <w:rPr>
          <w:rFonts w:ascii="Palatino Linotype" w:hAnsi="Palatino Linotype" w:cs="Arial"/>
          <w:color w:val="000000" w:themeColor="text1"/>
        </w:rPr>
        <w:t>fundamento</w:t>
      </w:r>
      <w:r w:rsidRPr="00E213BC">
        <w:rPr>
          <w:rFonts w:ascii="Palatino Linotype" w:eastAsia="Calibri" w:hAnsi="Palatino Linotype" w:cs="Arial"/>
          <w:color w:val="000000" w:themeColor="text1"/>
        </w:rPr>
        <w:t xml:space="preserve"> en lo prescrito en los artículos 5, párrafos</w:t>
      </w:r>
      <w:r w:rsidRPr="00E213BC">
        <w:rPr>
          <w:rFonts w:ascii="Palatino Linotype" w:hAnsi="Palatino Linotype"/>
          <w:color w:val="000000" w:themeColor="text1"/>
        </w:rPr>
        <w:t xml:space="preserve"> </w:t>
      </w:r>
      <w:r w:rsidR="00F972F2" w:rsidRPr="00E213BC">
        <w:rPr>
          <w:rFonts w:ascii="Palatino Linotype" w:hAnsi="Palatino Linotype"/>
          <w:color w:val="000000" w:themeColor="text1"/>
        </w:rPr>
        <w:t>trigésimo</w:t>
      </w:r>
      <w:r w:rsidR="00EA7891" w:rsidRPr="00E213BC">
        <w:rPr>
          <w:rFonts w:ascii="Palatino Linotype" w:hAnsi="Palatino Linotype"/>
          <w:color w:val="000000" w:themeColor="text1"/>
        </w:rPr>
        <w:t xml:space="preserve">, </w:t>
      </w:r>
      <w:r w:rsidR="00F972F2" w:rsidRPr="00E213BC">
        <w:rPr>
          <w:rFonts w:ascii="Palatino Linotype" w:hAnsi="Palatino Linotype"/>
          <w:color w:val="000000" w:themeColor="text1"/>
        </w:rPr>
        <w:t>trigésimo</w:t>
      </w:r>
      <w:r w:rsidR="00EA7891" w:rsidRPr="00E213BC">
        <w:rPr>
          <w:rFonts w:ascii="Palatino Linotype" w:hAnsi="Palatino Linotype"/>
          <w:color w:val="000000" w:themeColor="text1"/>
        </w:rPr>
        <w:t xml:space="preserve"> </w:t>
      </w:r>
      <w:r w:rsidR="00F972F2" w:rsidRPr="00E213BC">
        <w:rPr>
          <w:rFonts w:ascii="Palatino Linotype" w:hAnsi="Palatino Linotype"/>
          <w:color w:val="000000" w:themeColor="text1"/>
        </w:rPr>
        <w:t>primero</w:t>
      </w:r>
      <w:r w:rsidR="00EA7891" w:rsidRPr="00E213BC">
        <w:rPr>
          <w:rFonts w:ascii="Palatino Linotype" w:hAnsi="Palatino Linotype" w:cs="Arial"/>
          <w:color w:val="000000" w:themeColor="text1"/>
        </w:rPr>
        <w:t xml:space="preserve"> y trigésimo segundo, </w:t>
      </w:r>
      <w:r w:rsidRPr="00E213BC">
        <w:rPr>
          <w:rFonts w:ascii="Palatino Linotype" w:hAnsi="Palatino Linotype"/>
          <w:color w:val="000000" w:themeColor="text1"/>
        </w:rPr>
        <w:t>fracciones IV y V,</w:t>
      </w:r>
      <w:r w:rsidRPr="00E213BC">
        <w:rPr>
          <w:rFonts w:ascii="Palatino Linotype" w:eastAsia="Calibri" w:hAnsi="Palatino Linotype" w:cs="Arial"/>
          <w:color w:val="000000" w:themeColor="text1"/>
        </w:rPr>
        <w:t xml:space="preserve"> de la Constitución Política del Estado Libre y Soberano de </w:t>
      </w:r>
      <w:r w:rsidRPr="00E213BC">
        <w:rPr>
          <w:rFonts w:ascii="Palatino Linotype" w:hAnsi="Palatino Linotype" w:cs="Arial"/>
          <w:color w:val="000000" w:themeColor="text1"/>
          <w:lang w:val="es-ES_tradnl"/>
        </w:rPr>
        <w:t>México</w:t>
      </w:r>
      <w:r w:rsidRPr="00E213BC">
        <w:rPr>
          <w:rFonts w:ascii="Palatino Linotype" w:eastAsia="Calibri" w:hAnsi="Palatino Linotype" w:cs="Arial"/>
          <w:color w:val="000000" w:themeColor="text1"/>
        </w:rPr>
        <w:t xml:space="preserve">, y los artículos </w:t>
      </w:r>
      <w:r w:rsidRPr="00E213BC">
        <w:rPr>
          <w:rFonts w:ascii="Palatino Linotype" w:hAnsi="Palatino Linotype"/>
          <w:color w:val="000000" w:themeColor="text1"/>
        </w:rPr>
        <w:t xml:space="preserve">2, </w:t>
      </w:r>
      <w:r w:rsidRPr="00E213BC">
        <w:rPr>
          <w:rFonts w:ascii="Palatino Linotype" w:hAnsi="Palatino Linotype" w:cs="Arial"/>
          <w:color w:val="000000" w:themeColor="text1"/>
        </w:rPr>
        <w:t>fracción</w:t>
      </w:r>
      <w:r w:rsidRPr="00E213BC">
        <w:rPr>
          <w:rFonts w:ascii="Palatino Linotype" w:hAnsi="Palatino Linotype"/>
          <w:color w:val="000000" w:themeColor="text1"/>
        </w:rPr>
        <w:t xml:space="preserve"> II, 9, </w:t>
      </w:r>
      <w:r w:rsidRPr="00E213BC">
        <w:rPr>
          <w:rFonts w:ascii="Palatino Linotype" w:hAnsi="Palatino Linotype" w:cs="Arial"/>
          <w:color w:val="000000" w:themeColor="text1"/>
          <w:lang w:val="es-ES_tradnl"/>
        </w:rPr>
        <w:t>29</w:t>
      </w:r>
      <w:r w:rsidRPr="00E213BC">
        <w:rPr>
          <w:rFonts w:ascii="Palatino Linotype" w:hAnsi="Palatino Linotype"/>
          <w:color w:val="000000" w:themeColor="text1"/>
        </w:rPr>
        <w:t>, 36, fracciones I y II, 176, 178, 179, 181, 185, fracción I, 186 y 188,</w:t>
      </w:r>
      <w:r w:rsidRPr="00E213BC">
        <w:rPr>
          <w:rFonts w:ascii="Palatino Linotype" w:eastAsia="Calibri" w:hAnsi="Palatino Linotype" w:cs="Arial"/>
          <w:color w:val="000000" w:themeColor="text1"/>
        </w:rPr>
        <w:t xml:space="preserve"> de la Ley de Transparencia y Acceso a la </w:t>
      </w:r>
      <w:r w:rsidRPr="00E213BC">
        <w:rPr>
          <w:rFonts w:ascii="Palatino Linotype" w:eastAsia="Calibri" w:hAnsi="Palatino Linotype" w:cs="Arial"/>
          <w:color w:val="000000" w:themeColor="text1"/>
        </w:rPr>
        <w:lastRenderedPageBreak/>
        <w:t xml:space="preserve">Información Pública del Estado de México y </w:t>
      </w:r>
      <w:r w:rsidRPr="00E213BC">
        <w:rPr>
          <w:rFonts w:ascii="Palatino Linotype" w:hAnsi="Palatino Linotype" w:cs="Arial"/>
          <w:color w:val="000000" w:themeColor="text1"/>
        </w:rPr>
        <w:t>Municipios</w:t>
      </w:r>
      <w:r w:rsidRPr="00E213BC">
        <w:rPr>
          <w:rFonts w:ascii="Palatino Linotype" w:eastAsia="Calibri" w:hAnsi="Palatino Linotype" w:cs="Arial"/>
          <w:color w:val="000000" w:themeColor="text1"/>
        </w:rPr>
        <w:t xml:space="preserve">, </w:t>
      </w:r>
      <w:r w:rsidRPr="00E213BC">
        <w:rPr>
          <w:rFonts w:ascii="Palatino Linotype" w:hAnsi="Palatino Linotype"/>
          <w:color w:val="000000" w:themeColor="text1"/>
        </w:rPr>
        <w:t>este</w:t>
      </w:r>
      <w:r w:rsidRPr="00E213BC">
        <w:rPr>
          <w:rFonts w:ascii="Palatino Linotype" w:eastAsia="Calibri" w:hAnsi="Palatino Linotype" w:cs="Arial"/>
          <w:color w:val="000000" w:themeColor="text1"/>
        </w:rPr>
        <w:t xml:space="preserve"> Pleno:</w:t>
      </w:r>
    </w:p>
    <w:p w14:paraId="3D2BC64A" w14:textId="77777777" w:rsidR="00E75068" w:rsidRPr="00E213BC" w:rsidRDefault="00E75068" w:rsidP="00E213BC">
      <w:pPr>
        <w:jc w:val="center"/>
        <w:rPr>
          <w:rFonts w:ascii="Palatino Linotype" w:hAnsi="Palatino Linotype"/>
          <w:b/>
          <w:bCs/>
          <w:color w:val="000000" w:themeColor="text1"/>
          <w:spacing w:val="40"/>
          <w:sz w:val="28"/>
        </w:rPr>
      </w:pPr>
    </w:p>
    <w:p w14:paraId="5362E743" w14:textId="77777777" w:rsidR="00E75068" w:rsidRPr="00E213BC" w:rsidRDefault="00E75068" w:rsidP="00E213BC">
      <w:pPr>
        <w:jc w:val="center"/>
        <w:rPr>
          <w:rFonts w:ascii="Palatino Linotype" w:hAnsi="Palatino Linotype"/>
          <w:b/>
          <w:bCs/>
          <w:color w:val="000000" w:themeColor="text1"/>
          <w:spacing w:val="40"/>
          <w:sz w:val="28"/>
        </w:rPr>
      </w:pPr>
      <w:r w:rsidRPr="00E213BC">
        <w:rPr>
          <w:rFonts w:ascii="Palatino Linotype" w:hAnsi="Palatino Linotype"/>
          <w:b/>
          <w:bCs/>
          <w:color w:val="000000" w:themeColor="text1"/>
          <w:spacing w:val="40"/>
          <w:sz w:val="28"/>
        </w:rPr>
        <w:t>RESUELVE</w:t>
      </w:r>
    </w:p>
    <w:p w14:paraId="144EE224" w14:textId="77777777" w:rsidR="00E75068" w:rsidRPr="00E213BC" w:rsidRDefault="00E75068" w:rsidP="00E213BC">
      <w:pPr>
        <w:jc w:val="center"/>
        <w:rPr>
          <w:rFonts w:ascii="Palatino Linotype" w:hAnsi="Palatino Linotype"/>
          <w:b/>
          <w:bCs/>
          <w:color w:val="000000" w:themeColor="text1"/>
          <w:spacing w:val="40"/>
          <w:sz w:val="28"/>
        </w:rPr>
      </w:pPr>
    </w:p>
    <w:p w14:paraId="3CA3126F" w14:textId="134EA70A" w:rsidR="00A73AC8" w:rsidRPr="00E213BC" w:rsidRDefault="00A73AC8" w:rsidP="00E213BC">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E213BC">
        <w:rPr>
          <w:rFonts w:ascii="Palatino Linotype" w:hAnsi="Palatino Linotype" w:cs="Arial"/>
          <w:b/>
          <w:color w:val="000000" w:themeColor="text1"/>
          <w:sz w:val="28"/>
        </w:rPr>
        <w:t>PRIMERO</w:t>
      </w:r>
      <w:r w:rsidRPr="00E213BC">
        <w:rPr>
          <w:rFonts w:ascii="Palatino Linotype" w:hAnsi="Palatino Linotype" w:cs="Arial"/>
          <w:b/>
          <w:color w:val="000000" w:themeColor="text1"/>
        </w:rPr>
        <w:t xml:space="preserve">. </w:t>
      </w:r>
      <w:r w:rsidRPr="00E213BC">
        <w:rPr>
          <w:rFonts w:ascii="Palatino Linotype" w:hAnsi="Palatino Linotype" w:cs="Arial"/>
          <w:color w:val="000000" w:themeColor="text1"/>
        </w:rPr>
        <w:t>Se</w:t>
      </w:r>
      <w:r w:rsidRPr="00E213BC">
        <w:rPr>
          <w:rFonts w:ascii="Palatino Linotype" w:hAnsi="Palatino Linotype" w:cs="Arial"/>
          <w:b/>
          <w:color w:val="000000" w:themeColor="text1"/>
        </w:rPr>
        <w:t xml:space="preserve"> SOBRESEE </w:t>
      </w:r>
      <w:r w:rsidRPr="00E213BC">
        <w:rPr>
          <w:rFonts w:ascii="Palatino Linotype" w:hAnsi="Palatino Linotype" w:cs="Arial"/>
          <w:color w:val="000000" w:themeColor="text1"/>
        </w:rPr>
        <w:t xml:space="preserve">el </w:t>
      </w:r>
      <w:r w:rsidRPr="00E213BC">
        <w:rPr>
          <w:rFonts w:ascii="Palatino Linotype" w:hAnsi="Palatino Linotype" w:cs="Arial"/>
          <w:color w:val="222222"/>
          <w:shd w:val="clear" w:color="auto" w:fill="FFFFFF"/>
        </w:rPr>
        <w:t>recurso</w:t>
      </w:r>
      <w:r w:rsidRPr="00E213BC">
        <w:rPr>
          <w:rFonts w:ascii="Palatino Linotype" w:hAnsi="Palatino Linotype" w:cs="Arial"/>
          <w:color w:val="000000" w:themeColor="text1"/>
        </w:rPr>
        <w:t xml:space="preserve"> de </w:t>
      </w:r>
      <w:r w:rsidRPr="00E213BC">
        <w:rPr>
          <w:rFonts w:ascii="Palatino Linotype" w:hAnsi="Palatino Linotype"/>
          <w:lang w:eastAsia="es-ES_tradnl"/>
        </w:rPr>
        <w:t>revisión</w:t>
      </w:r>
      <w:r w:rsidRPr="00E213BC">
        <w:rPr>
          <w:rFonts w:ascii="Palatino Linotype" w:hAnsi="Palatino Linotype" w:cs="Arial"/>
          <w:color w:val="000000" w:themeColor="text1"/>
        </w:rPr>
        <w:t xml:space="preserve"> número</w:t>
      </w:r>
      <w:r w:rsidRPr="00E213BC">
        <w:rPr>
          <w:rFonts w:ascii="Palatino Linotype" w:hAnsi="Palatino Linotype" w:cs="Arial"/>
          <w:b/>
          <w:color w:val="000000" w:themeColor="text1"/>
        </w:rPr>
        <w:t xml:space="preserve"> </w:t>
      </w:r>
      <w:r w:rsidR="002C3E62" w:rsidRPr="00E213BC">
        <w:rPr>
          <w:rFonts w:ascii="Palatino Linotype" w:hAnsi="Palatino Linotype"/>
          <w:b/>
          <w:color w:val="000000" w:themeColor="text1"/>
        </w:rPr>
        <w:t>04642/INFOEM/IP/RR/2021</w:t>
      </w:r>
      <w:r w:rsidRPr="00E213BC">
        <w:rPr>
          <w:rFonts w:ascii="Palatino Linotype" w:hAnsi="Palatino Linotype" w:cs="Arial"/>
          <w:color w:val="000000" w:themeColor="text1"/>
        </w:rPr>
        <w:t xml:space="preserve">, </w:t>
      </w:r>
      <w:r w:rsidRPr="00E213BC">
        <w:rPr>
          <w:rFonts w:ascii="Palatino Linotype" w:hAnsi="Palatino Linotype"/>
        </w:rPr>
        <w:t xml:space="preserve">por </w:t>
      </w:r>
      <w:r w:rsidRPr="00E213BC">
        <w:rPr>
          <w:rFonts w:ascii="Palatino Linotype" w:hAnsi="Palatino Linotype"/>
          <w:b/>
        </w:rPr>
        <w:t>haberse desistido expresamente EL RECURRENTE</w:t>
      </w:r>
      <w:r w:rsidRPr="00E213BC">
        <w:rPr>
          <w:rFonts w:ascii="Palatino Linotype" w:hAnsi="Palatino Linotype"/>
        </w:rPr>
        <w:t>,</w:t>
      </w:r>
      <w:r w:rsidRPr="00E213BC">
        <w:rPr>
          <w:rFonts w:ascii="Palatino Linotype" w:hAnsi="Palatino Linotype" w:cs="Arial"/>
          <w:color w:val="000000" w:themeColor="text1"/>
        </w:rPr>
        <w:t xml:space="preserve"> en </w:t>
      </w:r>
      <w:r w:rsidRPr="00E213BC">
        <w:rPr>
          <w:rFonts w:ascii="Palatino Linotype" w:hAnsi="Palatino Linotype"/>
          <w:lang w:eastAsia="es-ES_tradnl"/>
        </w:rPr>
        <w:t>términos</w:t>
      </w:r>
      <w:r w:rsidRPr="00E213BC">
        <w:rPr>
          <w:rFonts w:ascii="Palatino Linotype" w:hAnsi="Palatino Linotype" w:cs="Arial"/>
          <w:color w:val="000000" w:themeColor="text1"/>
        </w:rPr>
        <w:t xml:space="preserve"> del Considerando</w:t>
      </w:r>
      <w:r w:rsidRPr="00E213BC">
        <w:rPr>
          <w:rFonts w:ascii="Palatino Linotype" w:hAnsi="Palatino Linotype" w:cs="Arial"/>
          <w:b/>
          <w:color w:val="000000" w:themeColor="text1"/>
        </w:rPr>
        <w:t xml:space="preserve"> QUINTO </w:t>
      </w:r>
      <w:r w:rsidRPr="00E213BC">
        <w:rPr>
          <w:rFonts w:ascii="Palatino Linotype" w:hAnsi="Palatino Linotype" w:cs="Arial"/>
          <w:color w:val="000000" w:themeColor="text1"/>
        </w:rPr>
        <w:t>de la presente resolución.</w:t>
      </w:r>
    </w:p>
    <w:p w14:paraId="57070351" w14:textId="77777777" w:rsidR="00A73AC8" w:rsidRPr="00E213BC" w:rsidRDefault="00A73AC8" w:rsidP="00E213BC">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43170FD8" w14:textId="77777777" w:rsidR="00A73AC8" w:rsidRPr="00E213BC" w:rsidRDefault="00A73AC8" w:rsidP="00E213BC">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E213BC">
        <w:rPr>
          <w:rFonts w:ascii="Palatino Linotype" w:hAnsi="Palatino Linotype" w:cs="Arial"/>
          <w:b/>
          <w:color w:val="000000" w:themeColor="text1"/>
          <w:sz w:val="28"/>
        </w:rPr>
        <w:t>SEGUNDO</w:t>
      </w:r>
      <w:r w:rsidRPr="00E213BC">
        <w:rPr>
          <w:rFonts w:ascii="Palatino Linotype" w:hAnsi="Palatino Linotype" w:cs="Arial"/>
          <w:b/>
          <w:color w:val="222222"/>
          <w:shd w:val="clear" w:color="auto" w:fill="FFFFFF"/>
        </w:rPr>
        <w:t xml:space="preserve">. Notifíquese </w:t>
      </w:r>
      <w:r w:rsidRPr="00E213BC">
        <w:rPr>
          <w:rFonts w:ascii="Palatino Linotype" w:hAnsi="Palatino Linotype" w:cs="Arial"/>
          <w:color w:val="222222"/>
          <w:shd w:val="clear" w:color="auto" w:fill="FFFFFF"/>
        </w:rPr>
        <w:t xml:space="preserve">al </w:t>
      </w:r>
      <w:r w:rsidRPr="00E213BC">
        <w:rPr>
          <w:rFonts w:ascii="Palatino Linotype" w:hAnsi="Palatino Linotype"/>
          <w:lang w:eastAsia="es-ES_tradnl"/>
        </w:rPr>
        <w:t>Titular</w:t>
      </w:r>
      <w:r w:rsidRPr="00E213BC">
        <w:rPr>
          <w:rFonts w:ascii="Palatino Linotype" w:hAnsi="Palatino Linotype" w:cs="Arial"/>
          <w:color w:val="222222"/>
          <w:shd w:val="clear" w:color="auto" w:fill="FFFFFF"/>
        </w:rPr>
        <w:t xml:space="preserve"> de la Unidad de Transparencia del </w:t>
      </w:r>
      <w:r w:rsidRPr="00E213BC">
        <w:rPr>
          <w:rFonts w:ascii="Palatino Linotype" w:hAnsi="Palatino Linotype" w:cs="Arial"/>
          <w:b/>
          <w:color w:val="222222"/>
          <w:shd w:val="clear" w:color="auto" w:fill="FFFFFF"/>
        </w:rPr>
        <w:t>SUJETO OBLIGADO</w:t>
      </w:r>
      <w:r w:rsidRPr="00E213BC">
        <w:rPr>
          <w:rFonts w:ascii="Palatino Linotype" w:hAnsi="Palatino Linotype" w:cs="Arial"/>
          <w:color w:val="222222"/>
          <w:shd w:val="clear" w:color="auto" w:fill="FFFFFF"/>
        </w:rPr>
        <w:t xml:space="preserve"> para su conocimiento. </w:t>
      </w:r>
    </w:p>
    <w:p w14:paraId="66C7AE01" w14:textId="77777777" w:rsidR="00A73AC8" w:rsidRPr="00E213BC" w:rsidRDefault="00A73AC8" w:rsidP="00E213BC">
      <w:pPr>
        <w:widowControl w:val="0"/>
        <w:tabs>
          <w:tab w:val="left" w:pos="1701"/>
        </w:tabs>
        <w:autoSpaceDE w:val="0"/>
        <w:autoSpaceDN w:val="0"/>
        <w:adjustRightInd w:val="0"/>
        <w:spacing w:line="360" w:lineRule="auto"/>
        <w:jc w:val="both"/>
        <w:rPr>
          <w:rFonts w:ascii="Palatino Linotype" w:hAnsi="Palatino Linotype" w:cs="Arial"/>
        </w:rPr>
      </w:pPr>
    </w:p>
    <w:p w14:paraId="156B42B8" w14:textId="0ABBCA65" w:rsidR="00A73AC8" w:rsidRPr="00E213BC" w:rsidRDefault="00A73AC8" w:rsidP="00E213B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E213BC">
        <w:rPr>
          <w:rFonts w:ascii="Palatino Linotype" w:hAnsi="Palatino Linotype" w:cs="Arial"/>
          <w:b/>
          <w:color w:val="000000" w:themeColor="text1"/>
          <w:sz w:val="28"/>
        </w:rPr>
        <w:t>TERCERO</w:t>
      </w:r>
      <w:r w:rsidRPr="00E213BC">
        <w:rPr>
          <w:rFonts w:ascii="Palatino Linotype" w:eastAsiaTheme="minorEastAsia" w:hAnsi="Palatino Linotype"/>
          <w:color w:val="222222"/>
          <w:lang w:eastAsia="es-ES_tradnl"/>
        </w:rPr>
        <w:t xml:space="preserve">. </w:t>
      </w:r>
      <w:r w:rsidRPr="00E213BC">
        <w:rPr>
          <w:rFonts w:ascii="Palatino Linotype" w:eastAsiaTheme="minorEastAsia" w:hAnsi="Palatino Linotype"/>
          <w:b/>
          <w:color w:val="222222"/>
          <w:lang w:eastAsia="es-ES_tradnl"/>
        </w:rPr>
        <w:t>Notifíquese</w:t>
      </w:r>
      <w:r w:rsidRPr="00E213BC">
        <w:rPr>
          <w:rFonts w:ascii="Palatino Linotype" w:eastAsiaTheme="minorEastAsia" w:hAnsi="Palatino Linotype"/>
          <w:color w:val="222222"/>
          <w:lang w:eastAsia="es-ES_tradnl"/>
        </w:rPr>
        <w:t xml:space="preserve"> al </w:t>
      </w:r>
      <w:r w:rsidRPr="00E213BC">
        <w:rPr>
          <w:rFonts w:ascii="Palatino Linotype" w:hAnsi="Palatino Linotype"/>
          <w:b/>
        </w:rPr>
        <w:t>RECURRENTE</w:t>
      </w:r>
      <w:r w:rsidRPr="00E213BC">
        <w:rPr>
          <w:rFonts w:ascii="Palatino Linotype" w:eastAsiaTheme="minorEastAsia" w:hAnsi="Palatino Linotype"/>
          <w:color w:val="222222"/>
          <w:lang w:eastAsia="es-ES_tradnl"/>
        </w:rPr>
        <w:t xml:space="preserve"> la </w:t>
      </w:r>
      <w:r w:rsidRPr="00E213BC">
        <w:rPr>
          <w:rFonts w:ascii="Palatino Linotype" w:hAnsi="Palatino Linotype"/>
          <w:lang w:eastAsia="es-ES_tradnl"/>
        </w:rPr>
        <w:t>presente</w:t>
      </w:r>
      <w:r w:rsidRPr="00E213BC">
        <w:rPr>
          <w:rFonts w:ascii="Palatino Linotype" w:eastAsiaTheme="minorEastAsia" w:hAnsi="Palatino Linotype"/>
          <w:color w:val="222222"/>
          <w:lang w:eastAsia="es-ES_tradnl"/>
        </w:rPr>
        <w:t xml:space="preserve"> resolución</w:t>
      </w:r>
      <w:r w:rsidR="00D320F2" w:rsidRPr="00E213BC">
        <w:rPr>
          <w:rFonts w:ascii="Palatino Linotype" w:eastAsiaTheme="minorEastAsia" w:hAnsi="Palatino Linotype"/>
          <w:color w:val="222222"/>
          <w:lang w:eastAsia="es-ES_tradnl"/>
        </w:rPr>
        <w:t>; así como, el Informe Justificado</w:t>
      </w:r>
      <w:r w:rsidRPr="00E213BC">
        <w:rPr>
          <w:rFonts w:ascii="Palatino Linotype" w:eastAsiaTheme="minorEastAsia" w:hAnsi="Palatino Linotype"/>
          <w:color w:val="222222"/>
          <w:lang w:eastAsia="es-ES_tradnl"/>
        </w:rPr>
        <w:t xml:space="preserve">. </w:t>
      </w:r>
    </w:p>
    <w:p w14:paraId="4EEB44F7" w14:textId="77777777" w:rsidR="00A73AC8" w:rsidRPr="00E213BC" w:rsidRDefault="00A73AC8" w:rsidP="00E213B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32C19372" w14:textId="77777777" w:rsidR="00A73AC8" w:rsidRPr="00E213BC" w:rsidRDefault="00A73AC8" w:rsidP="00E213B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E213BC">
        <w:rPr>
          <w:rFonts w:ascii="Palatino Linotype" w:hAnsi="Palatino Linotype" w:cs="Arial"/>
          <w:b/>
          <w:color w:val="000000" w:themeColor="text1"/>
          <w:sz w:val="28"/>
        </w:rPr>
        <w:t>CUARTO</w:t>
      </w:r>
      <w:r w:rsidRPr="00E213BC">
        <w:rPr>
          <w:rFonts w:ascii="Palatino Linotype" w:eastAsiaTheme="minorEastAsia" w:hAnsi="Palatino Linotype"/>
          <w:b/>
          <w:color w:val="222222"/>
          <w:lang w:eastAsia="es-ES_tradnl"/>
        </w:rPr>
        <w:t>. Hágase del conocimiento</w:t>
      </w:r>
      <w:r w:rsidRPr="00E213BC">
        <w:rPr>
          <w:rFonts w:ascii="Palatino Linotype" w:eastAsiaTheme="minorEastAsia" w:hAnsi="Palatino Linotype"/>
          <w:color w:val="222222"/>
          <w:lang w:eastAsia="es-ES_tradnl"/>
        </w:rPr>
        <w:t xml:space="preserve"> al </w:t>
      </w:r>
      <w:r w:rsidRPr="00E213BC">
        <w:rPr>
          <w:rFonts w:ascii="Palatino Linotype" w:hAnsi="Palatino Linotype"/>
          <w:b/>
        </w:rPr>
        <w:t>RECURRENTE</w:t>
      </w:r>
      <w:r w:rsidRPr="00E213BC">
        <w:rPr>
          <w:rFonts w:ascii="Palatino Linotype" w:eastAsiaTheme="minorEastAsia" w:hAnsi="Palatino Linotype"/>
          <w:color w:val="222222"/>
          <w:lang w:eastAsia="es-ES_tradnl"/>
        </w:rPr>
        <w:t xml:space="preserve"> que de </w:t>
      </w:r>
      <w:r w:rsidRPr="00E213BC">
        <w:rPr>
          <w:rFonts w:ascii="Palatino Linotype" w:hAnsi="Palatino Linotype"/>
          <w:lang w:eastAsia="es-ES_tradnl"/>
        </w:rPr>
        <w:t>conformidad</w:t>
      </w:r>
      <w:r w:rsidRPr="00E213BC">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47423C7A" w14:textId="77777777" w:rsidR="00A73AC8" w:rsidRPr="00E213BC" w:rsidRDefault="00A73AC8" w:rsidP="00E213B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3EB843C" w14:textId="423D1BE0" w:rsidR="002C3E62" w:rsidRPr="00E213BC" w:rsidRDefault="002C3E62" w:rsidP="00E213BC">
      <w:pPr>
        <w:spacing w:line="360" w:lineRule="auto"/>
        <w:jc w:val="both"/>
        <w:rPr>
          <w:rFonts w:ascii="Palatino Linotype" w:hAnsi="Palatino Linotype" w:cs="Arial"/>
          <w:lang w:val="es-ES"/>
        </w:rPr>
      </w:pPr>
      <w:r w:rsidRPr="00E213BC">
        <w:rPr>
          <w:rFonts w:ascii="Palatino Linotype" w:hAnsi="Palatino Linotype" w:cs="Arial"/>
          <w:lang w:val="es-ES"/>
        </w:rPr>
        <w:t xml:space="preserve">ASÍ LO RESUELVE, POR </w:t>
      </w:r>
      <w:r w:rsidR="00A76E3E">
        <w:rPr>
          <w:rFonts w:ascii="Palatino Linotype" w:hAnsi="Palatino Linotype" w:cs="Arial"/>
          <w:lang w:val="es-ES"/>
        </w:rPr>
        <w:t>UNANIMIDAD</w:t>
      </w:r>
      <w:r w:rsidRPr="00E213BC">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COMISIONADOS JOSÉ MARTÍNEZ VILCHIS; MARÍA </w:t>
      </w:r>
      <w:r w:rsidRPr="00E213BC">
        <w:rPr>
          <w:rFonts w:ascii="Palatino Linotype" w:hAnsi="Palatino Linotype" w:cs="Arial"/>
          <w:lang w:val="es-ES"/>
        </w:rPr>
        <w:lastRenderedPageBreak/>
        <w:t xml:space="preserve">DEL ROSARIO MEJÍA AYALA; SHARON CRISTINA MORALES MARTÍNEZ; LUIS GUSTAVO PARRA NORIEGA Y GUADALUPE RAMÍREZ PEÑA; EN LA TRIGÉSIMA </w:t>
      </w:r>
      <w:r w:rsidR="00A76E3E">
        <w:rPr>
          <w:rFonts w:ascii="Palatino Linotype" w:hAnsi="Palatino Linotype" w:cs="Arial"/>
          <w:lang w:val="es-ES"/>
        </w:rPr>
        <w:t>QUINTA</w:t>
      </w:r>
      <w:r w:rsidRPr="00E213BC">
        <w:rPr>
          <w:rFonts w:ascii="Palatino Linotype" w:hAnsi="Palatino Linotype" w:cs="Arial"/>
          <w:lang w:val="es-ES"/>
        </w:rPr>
        <w:t xml:space="preserve"> SESIÓN ORDINARIA CELEBRADA EL SEIS DE OCTUBRE DE DOS MIL VEINTIUNO, ANTE EL SECRETARIO TÉCNICO DEL PLENO, ALEXIS TAPIA RAMÍREZ.</w:t>
      </w:r>
    </w:p>
    <w:p w14:paraId="2D3CF1C7" w14:textId="77777777" w:rsidR="002C3E62" w:rsidRPr="00E213BC" w:rsidRDefault="002C3E62" w:rsidP="00E213BC">
      <w:pPr>
        <w:spacing w:line="360" w:lineRule="auto"/>
        <w:jc w:val="both"/>
        <w:rPr>
          <w:rFonts w:ascii="Palatino Linotype" w:hAnsi="Palatino Linotype"/>
          <w:sz w:val="20"/>
        </w:rPr>
      </w:pPr>
      <w:r w:rsidRPr="00E213BC">
        <w:rPr>
          <w:rFonts w:ascii="Palatino Linotype" w:hAnsi="Palatino Linotype"/>
          <w:sz w:val="20"/>
        </w:rPr>
        <w:t>SCMM/BLA/DEMF/RPG</w:t>
      </w:r>
    </w:p>
    <w:p w14:paraId="424465ED" w14:textId="79044AEB" w:rsidR="00507EDF" w:rsidRDefault="00507EDF">
      <w:pPr>
        <w:rPr>
          <w:rFonts w:ascii="Palatino Linotype" w:hAnsi="Palatino Linotype"/>
          <w:color w:val="000000" w:themeColor="text1"/>
        </w:rPr>
      </w:pPr>
      <w:r>
        <w:rPr>
          <w:rFonts w:ascii="Palatino Linotype" w:hAnsi="Palatino Linotype"/>
          <w:color w:val="000000" w:themeColor="text1"/>
        </w:rPr>
        <w:br w:type="page"/>
      </w:r>
    </w:p>
    <w:p w14:paraId="34BB1AA0" w14:textId="77777777" w:rsidR="00C34EFF" w:rsidRPr="00E213BC" w:rsidRDefault="00C34EFF" w:rsidP="00E213BC">
      <w:pPr>
        <w:spacing w:line="360" w:lineRule="auto"/>
        <w:jc w:val="both"/>
        <w:rPr>
          <w:rFonts w:ascii="Palatino Linotype" w:hAnsi="Palatino Linotype"/>
          <w:color w:val="000000" w:themeColor="text1"/>
        </w:rPr>
      </w:pPr>
    </w:p>
    <w:sectPr w:rsidR="00C34EFF" w:rsidRPr="00E213BC"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0D1A8" w14:textId="77777777" w:rsidR="002F0885" w:rsidRDefault="002F0885" w:rsidP="00C80F8C">
      <w:r>
        <w:separator/>
      </w:r>
    </w:p>
  </w:endnote>
  <w:endnote w:type="continuationSeparator" w:id="0">
    <w:p w14:paraId="6CD1414C" w14:textId="77777777" w:rsidR="002F0885" w:rsidRDefault="002F08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F7CD6" w:rsidRPr="0010196A" w:rsidRDefault="001F7CD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28AB">
      <w:rPr>
        <w:rFonts w:ascii="Palatino Linotype" w:hAnsi="Palatino Linotype" w:cs="Arial"/>
        <w:bCs/>
        <w:noProof/>
        <w:sz w:val="22"/>
        <w:szCs w:val="22"/>
      </w:rPr>
      <w:t>15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28AB">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F7CD6" w:rsidRPr="0010196A" w:rsidRDefault="001F7CD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2E7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2E75">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35BFB" w14:textId="77777777" w:rsidR="002F0885" w:rsidRDefault="002F0885" w:rsidP="00C80F8C">
      <w:r>
        <w:separator/>
      </w:r>
    </w:p>
  </w:footnote>
  <w:footnote w:type="continuationSeparator" w:id="0">
    <w:p w14:paraId="196DFE5B" w14:textId="77777777" w:rsidR="002F0885" w:rsidRDefault="002F0885" w:rsidP="00C80F8C">
      <w:r>
        <w:continuationSeparator/>
      </w:r>
    </w:p>
  </w:footnote>
  <w:footnote w:id="1">
    <w:p w14:paraId="5866333D" w14:textId="77777777" w:rsidR="00145AF8" w:rsidRPr="005A78E7" w:rsidRDefault="00145AF8" w:rsidP="00145AF8">
      <w:pPr>
        <w:pStyle w:val="Textonotapie"/>
        <w:rPr>
          <w:rFonts w:ascii="Palatino Linotype" w:hAnsi="Palatino Linotype"/>
          <w:sz w:val="16"/>
          <w:szCs w:val="16"/>
        </w:rPr>
      </w:pPr>
      <w:r w:rsidRPr="005A78E7">
        <w:rPr>
          <w:rStyle w:val="Refdenotaalpie"/>
          <w:rFonts w:ascii="Palatino Linotype" w:hAnsi="Palatino Linotype"/>
          <w:sz w:val="16"/>
          <w:szCs w:val="16"/>
        </w:rPr>
        <w:footnoteRef/>
      </w:r>
      <w:r w:rsidRPr="005A78E7">
        <w:rPr>
          <w:rFonts w:ascii="Palatino Linotype" w:hAnsi="Palatino Linotype"/>
          <w:sz w:val="16"/>
          <w:szCs w:val="16"/>
        </w:rPr>
        <w:t xml:space="preserve"> En su versión virtual, específicamente en el link </w:t>
      </w:r>
      <w:hyperlink r:id="rId1" w:history="1">
        <w:r w:rsidRPr="005A78E7">
          <w:rPr>
            <w:rStyle w:val="Hipervnculo"/>
            <w:rFonts w:ascii="Palatino Linotype" w:hAnsi="Palatino Linotype"/>
            <w:sz w:val="16"/>
            <w:szCs w:val="16"/>
          </w:rPr>
          <w:t>http://dle.rae.es/?id=D78E0XT</w:t>
        </w:r>
      </w:hyperlink>
      <w:r w:rsidRPr="005A78E7">
        <w:rPr>
          <w:rFonts w:ascii="Palatino Linotype" w:hAnsi="Palatino Linotype"/>
          <w:sz w:val="16"/>
          <w:szCs w:val="16"/>
        </w:rPr>
        <w:t xml:space="preserve"> </w:t>
      </w:r>
    </w:p>
  </w:footnote>
  <w:footnote w:id="2">
    <w:p w14:paraId="63C895B5" w14:textId="77777777" w:rsidR="00145AF8" w:rsidRPr="00C36DD0" w:rsidRDefault="00145AF8" w:rsidP="00145AF8">
      <w:pPr>
        <w:pStyle w:val="Textonotapie"/>
        <w:rPr>
          <w:rFonts w:ascii="Palatino Linotype" w:hAnsi="Palatino Linotype"/>
          <w:sz w:val="16"/>
          <w:szCs w:val="16"/>
          <w:lang w:val="es-ES"/>
        </w:rPr>
      </w:pPr>
      <w:r w:rsidRPr="00B37A0D">
        <w:rPr>
          <w:rStyle w:val="Refdenotaalpie"/>
          <w:rFonts w:ascii="Palatino Linotype" w:hAnsi="Palatino Linotype"/>
          <w:sz w:val="16"/>
          <w:szCs w:val="16"/>
        </w:rPr>
        <w:footnoteRef/>
      </w:r>
      <w:r w:rsidRPr="00B37A0D">
        <w:rPr>
          <w:rFonts w:ascii="Palatino Linotype" w:hAnsi="Palatino Linotype"/>
          <w:sz w:val="16"/>
          <w:szCs w:val="16"/>
        </w:rPr>
        <w:t xml:space="preserve"> </w:t>
      </w:r>
      <w:r>
        <w:rPr>
          <w:rFonts w:ascii="Palatino Linotype" w:hAnsi="Palatino Linotype"/>
          <w:sz w:val="16"/>
          <w:szCs w:val="16"/>
        </w:rPr>
        <w:t xml:space="preserve">Teoría General del Proceso, Editorial Oxford. 10a Edición. </w:t>
      </w:r>
      <w:r>
        <w:rPr>
          <w:rFonts w:ascii="Palatino Linotype" w:hAnsi="Palatino Linotype"/>
          <w:sz w:val="16"/>
          <w:szCs w:val="16"/>
          <w:lang w:val="es-ES"/>
        </w:rPr>
        <w:t>México 2004.</w:t>
      </w:r>
    </w:p>
  </w:footnote>
  <w:footnote w:id="3">
    <w:p w14:paraId="212425D6" w14:textId="77777777" w:rsidR="00145AF8" w:rsidRPr="00072DC2" w:rsidRDefault="00145AF8" w:rsidP="00145AF8">
      <w:pPr>
        <w:pStyle w:val="Textonotapie"/>
        <w:rPr>
          <w:rFonts w:ascii="Palatino Linotype" w:hAnsi="Palatino Linotype"/>
          <w:sz w:val="16"/>
          <w:szCs w:val="16"/>
        </w:rPr>
      </w:pPr>
      <w:r w:rsidRPr="00072DC2">
        <w:rPr>
          <w:rStyle w:val="Refdenotaalpie"/>
          <w:rFonts w:ascii="Palatino Linotype" w:hAnsi="Palatino Linotype"/>
          <w:sz w:val="16"/>
          <w:szCs w:val="16"/>
        </w:rPr>
        <w:footnoteRef/>
      </w:r>
      <w:r w:rsidRPr="00072DC2">
        <w:rPr>
          <w:rFonts w:ascii="Palatino Linotype" w:hAnsi="Palatino Linotype"/>
          <w:sz w:val="16"/>
          <w:szCs w:val="16"/>
        </w:rPr>
        <w:t xml:space="preserve"> García, L. Teoría General del Proceso. Red Tercer Milenio. 2012.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F7CD6" w:rsidRDefault="00EC28A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F7CD6" w:rsidRPr="0010196A" w:rsidRDefault="00EC28A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F7CD6" w:rsidRPr="008F2CCC" w14:paraId="1F097D8A" w14:textId="77777777" w:rsidTr="00E213BC">
      <w:tc>
        <w:tcPr>
          <w:tcW w:w="3261" w:type="dxa"/>
          <w:vMerge w:val="restart"/>
        </w:tcPr>
        <w:p w14:paraId="1F780A0C" w14:textId="1EFF25F4" w:rsidR="001F7CD6" w:rsidRPr="008F2CCC" w:rsidRDefault="001F7CD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F7CD6" w:rsidRPr="00664658" w:rsidRDefault="001F7CD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DC85DF2" w:rsidR="001F7CD6" w:rsidRPr="00664658" w:rsidRDefault="001F7CD6" w:rsidP="00E213BC">
          <w:pPr>
            <w:jc w:val="both"/>
            <w:rPr>
              <w:rFonts w:ascii="Palatino Linotype" w:hAnsi="Palatino Linotype"/>
              <w:b/>
              <w:sz w:val="22"/>
              <w:szCs w:val="22"/>
              <w:lang w:val="es-ES_tradnl"/>
            </w:rPr>
          </w:pPr>
          <w:r>
            <w:rPr>
              <w:rFonts w:ascii="Palatino Linotype" w:hAnsi="Palatino Linotype"/>
              <w:b/>
              <w:sz w:val="22"/>
              <w:szCs w:val="22"/>
              <w:lang w:val="es-ES_tradnl"/>
            </w:rPr>
            <w:t>0</w:t>
          </w:r>
          <w:r w:rsidR="00CE1274">
            <w:rPr>
              <w:rFonts w:ascii="Palatino Linotype" w:hAnsi="Palatino Linotype"/>
              <w:b/>
              <w:sz w:val="22"/>
              <w:szCs w:val="22"/>
              <w:lang w:val="es-ES_tradnl"/>
            </w:rPr>
            <w:t>4642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1F7CD6" w:rsidRPr="008F2CCC" w14:paraId="049677A3" w14:textId="77777777" w:rsidTr="00E213BC">
      <w:tc>
        <w:tcPr>
          <w:tcW w:w="3261" w:type="dxa"/>
          <w:vMerge/>
        </w:tcPr>
        <w:p w14:paraId="4A21EAC1" w14:textId="5C1F145E" w:rsidR="001F7CD6" w:rsidRPr="008F2CCC" w:rsidRDefault="001F7CD6" w:rsidP="00D41D47">
          <w:pPr>
            <w:rPr>
              <w:rFonts w:ascii="Palatino Linotype" w:hAnsi="Palatino Linotype"/>
              <w:b/>
              <w:sz w:val="22"/>
              <w:szCs w:val="22"/>
              <w:lang w:val="es-ES_tradnl"/>
            </w:rPr>
          </w:pPr>
        </w:p>
      </w:tc>
      <w:tc>
        <w:tcPr>
          <w:tcW w:w="2551" w:type="dxa"/>
          <w:shd w:val="clear" w:color="auto" w:fill="auto"/>
        </w:tcPr>
        <w:p w14:paraId="1237BCDE" w14:textId="77777777" w:rsidR="001F7CD6" w:rsidRPr="00664658" w:rsidRDefault="001F7CD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8380C90" w:rsidR="001F7CD6" w:rsidRPr="00D41D47" w:rsidRDefault="00CE1274" w:rsidP="00E213BC">
          <w:pPr>
            <w:jc w:val="both"/>
            <w:rPr>
              <w:rFonts w:ascii="Palatino Linotype" w:hAnsi="Palatino Linotype"/>
              <w:b/>
              <w:sz w:val="22"/>
              <w:szCs w:val="22"/>
              <w:lang w:val="es-ES_tradnl"/>
            </w:rPr>
          </w:pPr>
          <w:r w:rsidRPr="00B655C8">
            <w:rPr>
              <w:rFonts w:ascii="Palatino Linotype" w:hAnsi="Palatino Linotype"/>
              <w:b/>
              <w:sz w:val="22"/>
              <w:szCs w:val="22"/>
              <w:lang w:val="es-ES_tradnl"/>
            </w:rPr>
            <w:t>Sistema Municipal Para el Desarrollo Integral de la Familia de Naucalpan de Juárez</w:t>
          </w:r>
          <w:r w:rsidR="001F7CD6">
            <w:rPr>
              <w:rFonts w:ascii="Palatino Linotype" w:hAnsi="Palatino Linotype"/>
              <w:b/>
              <w:sz w:val="22"/>
              <w:szCs w:val="22"/>
              <w:lang w:val="es-ES_tradnl"/>
            </w:rPr>
            <w:t xml:space="preserve"> </w:t>
          </w:r>
        </w:p>
      </w:tc>
    </w:tr>
    <w:tr w:rsidR="001F7CD6" w:rsidRPr="008F2CCC" w14:paraId="72CD087D" w14:textId="77777777" w:rsidTr="00E213BC">
      <w:trPr>
        <w:trHeight w:val="228"/>
      </w:trPr>
      <w:tc>
        <w:tcPr>
          <w:tcW w:w="3261" w:type="dxa"/>
          <w:vMerge/>
        </w:tcPr>
        <w:p w14:paraId="1B78656F" w14:textId="01E6F6F6" w:rsidR="001F7CD6" w:rsidRPr="008F2CCC" w:rsidRDefault="001F7CD6" w:rsidP="00070856">
          <w:pPr>
            <w:rPr>
              <w:rFonts w:ascii="Palatino Linotype" w:hAnsi="Palatino Linotype"/>
              <w:b/>
              <w:sz w:val="22"/>
              <w:szCs w:val="22"/>
              <w:lang w:val="es-ES_tradnl"/>
            </w:rPr>
          </w:pPr>
        </w:p>
      </w:tc>
      <w:tc>
        <w:tcPr>
          <w:tcW w:w="2551" w:type="dxa"/>
          <w:shd w:val="clear" w:color="auto" w:fill="auto"/>
        </w:tcPr>
        <w:p w14:paraId="74D81628" w14:textId="77777777" w:rsidR="001F7CD6" w:rsidRPr="00664658" w:rsidRDefault="001F7CD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00B6E02C" w:rsidR="001F7CD6" w:rsidRPr="00664658" w:rsidRDefault="00CE127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1F7CD6" w:rsidRPr="0010196A" w:rsidRDefault="001F7CD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1F7CD6" w:rsidRPr="0010196A" w:rsidRDefault="001F7CD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1F7CD6" w:rsidRPr="008F2CCC" w14:paraId="6ABABA57" w14:textId="77777777" w:rsidTr="00E213BC">
      <w:tc>
        <w:tcPr>
          <w:tcW w:w="4253" w:type="dxa"/>
          <w:vMerge w:val="restart"/>
          <w:shd w:val="clear" w:color="auto" w:fill="auto"/>
        </w:tcPr>
        <w:p w14:paraId="6AA376CC" w14:textId="1E62217E" w:rsidR="001F7CD6" w:rsidRPr="008F2CCC" w:rsidRDefault="001F7CD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1F7CD6" w:rsidRPr="008F2CCC" w:rsidRDefault="001F7CD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C303238" w:rsidR="001F7CD6" w:rsidRPr="008F2CCC" w:rsidRDefault="001F7CD6" w:rsidP="00E213BC">
          <w:pPr>
            <w:jc w:val="both"/>
            <w:rPr>
              <w:rFonts w:ascii="Palatino Linotype" w:hAnsi="Palatino Linotype"/>
              <w:b/>
              <w:sz w:val="22"/>
              <w:szCs w:val="22"/>
              <w:lang w:val="es-ES_tradnl"/>
            </w:rPr>
          </w:pPr>
          <w:r>
            <w:rPr>
              <w:rFonts w:ascii="Palatino Linotype" w:hAnsi="Palatino Linotype"/>
              <w:b/>
              <w:sz w:val="22"/>
              <w:szCs w:val="22"/>
              <w:lang w:val="es-ES_tradnl"/>
            </w:rPr>
            <w:t>0</w:t>
          </w:r>
          <w:r w:rsidR="00CE1274">
            <w:rPr>
              <w:rFonts w:ascii="Palatino Linotype" w:hAnsi="Palatino Linotype"/>
              <w:b/>
              <w:sz w:val="22"/>
              <w:szCs w:val="22"/>
              <w:lang w:val="es-ES_tradnl"/>
            </w:rPr>
            <w:t>4642</w:t>
          </w:r>
          <w:r>
            <w:rPr>
              <w:rFonts w:ascii="Palatino Linotype" w:hAnsi="Palatino Linotype"/>
              <w:b/>
              <w:sz w:val="22"/>
              <w:szCs w:val="22"/>
              <w:lang w:val="es-ES_tradnl"/>
            </w:rPr>
            <w:t>/INFOEM/IP/RR/2021</w:t>
          </w:r>
        </w:p>
      </w:tc>
    </w:tr>
    <w:tr w:rsidR="001F7CD6" w:rsidRPr="008F2CCC" w14:paraId="3B45FB53" w14:textId="77777777" w:rsidTr="00E213BC">
      <w:tc>
        <w:tcPr>
          <w:tcW w:w="4253" w:type="dxa"/>
          <w:vMerge/>
          <w:shd w:val="clear" w:color="auto" w:fill="auto"/>
        </w:tcPr>
        <w:p w14:paraId="188B82EF" w14:textId="77777777" w:rsidR="001F7CD6" w:rsidRPr="008F2CCC" w:rsidRDefault="001F7CD6" w:rsidP="00A2780F">
          <w:pPr>
            <w:rPr>
              <w:rFonts w:ascii="Palatino Linotype" w:hAnsi="Palatino Linotype"/>
              <w:b/>
              <w:sz w:val="22"/>
              <w:szCs w:val="22"/>
              <w:lang w:val="es-ES_tradnl"/>
            </w:rPr>
          </w:pPr>
        </w:p>
      </w:tc>
      <w:tc>
        <w:tcPr>
          <w:tcW w:w="2552" w:type="dxa"/>
          <w:shd w:val="clear" w:color="auto" w:fill="auto"/>
        </w:tcPr>
        <w:p w14:paraId="3B2AD0CF" w14:textId="77777777" w:rsidR="001F7CD6" w:rsidRPr="008F2CCC" w:rsidRDefault="001F7CD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E4A4A6A" w:rsidR="001F7CD6" w:rsidRPr="008F2CCC" w:rsidRDefault="00CC5118" w:rsidP="009A51FC">
          <w:pPr>
            <w:jc w:val="both"/>
            <w:rPr>
              <w:rFonts w:ascii="Palatino Linotype" w:hAnsi="Palatino Linotype"/>
              <w:b/>
              <w:sz w:val="22"/>
              <w:szCs w:val="22"/>
              <w:lang w:val="es-ES_tradnl"/>
            </w:rPr>
          </w:pPr>
          <w:r>
            <w:rPr>
              <w:rFonts w:ascii="Palatino Linotype" w:hAnsi="Palatino Linotype"/>
              <w:b/>
              <w:color w:val="000000" w:themeColor="text1"/>
            </w:rPr>
            <w:t>XXXXXX XXXXXXX XXXX</w:t>
          </w:r>
        </w:p>
      </w:tc>
    </w:tr>
    <w:tr w:rsidR="001F7CD6" w:rsidRPr="008F2CCC" w14:paraId="28A493EB" w14:textId="77777777" w:rsidTr="00E213BC">
      <w:trPr>
        <w:trHeight w:val="228"/>
      </w:trPr>
      <w:tc>
        <w:tcPr>
          <w:tcW w:w="4253" w:type="dxa"/>
          <w:vMerge/>
          <w:shd w:val="clear" w:color="auto" w:fill="auto"/>
        </w:tcPr>
        <w:p w14:paraId="06C77D31" w14:textId="77777777" w:rsidR="001F7CD6" w:rsidRPr="008F2CCC" w:rsidRDefault="001F7CD6" w:rsidP="00E37C88">
          <w:pPr>
            <w:rPr>
              <w:rFonts w:ascii="Palatino Linotype" w:hAnsi="Palatino Linotype"/>
              <w:b/>
              <w:sz w:val="22"/>
              <w:szCs w:val="22"/>
              <w:lang w:val="es-ES_tradnl"/>
            </w:rPr>
          </w:pPr>
        </w:p>
      </w:tc>
      <w:tc>
        <w:tcPr>
          <w:tcW w:w="2552" w:type="dxa"/>
          <w:shd w:val="clear" w:color="auto" w:fill="auto"/>
        </w:tcPr>
        <w:p w14:paraId="2E1A72B4" w14:textId="77777777" w:rsidR="001F7CD6" w:rsidRPr="008F2CCC" w:rsidRDefault="001F7CD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B5B359C" w:rsidR="001F7CD6" w:rsidRPr="00DC41C8" w:rsidRDefault="00CE1274" w:rsidP="00D65DC2">
          <w:pPr>
            <w:jc w:val="both"/>
            <w:rPr>
              <w:rFonts w:ascii="Palatino Linotype" w:hAnsi="Palatino Linotype"/>
              <w:b/>
              <w:sz w:val="22"/>
              <w:szCs w:val="22"/>
            </w:rPr>
          </w:pPr>
          <w:r w:rsidRPr="00E213BC">
            <w:rPr>
              <w:rFonts w:ascii="Palatino Linotype" w:hAnsi="Palatino Linotype"/>
              <w:b/>
              <w:sz w:val="22"/>
              <w:szCs w:val="22"/>
              <w:lang w:val="es-ES_tradnl"/>
            </w:rPr>
            <w:t>Sistema Municipal Para el Desarrollo Integral de la Familia de Naucalpan de Juárez</w:t>
          </w:r>
        </w:p>
      </w:tc>
    </w:tr>
    <w:tr w:rsidR="001F7CD6" w:rsidRPr="00CE1274" w14:paraId="0F114FF0" w14:textId="77777777" w:rsidTr="00E213BC">
      <w:tc>
        <w:tcPr>
          <w:tcW w:w="4253" w:type="dxa"/>
          <w:vMerge/>
          <w:shd w:val="clear" w:color="auto" w:fill="auto"/>
        </w:tcPr>
        <w:p w14:paraId="4CCB64BA" w14:textId="77777777" w:rsidR="001F7CD6" w:rsidRPr="008F2CCC" w:rsidRDefault="001F7CD6" w:rsidP="00A2780F">
          <w:pPr>
            <w:rPr>
              <w:rFonts w:ascii="Palatino Linotype" w:hAnsi="Palatino Linotype"/>
              <w:b/>
              <w:sz w:val="22"/>
              <w:szCs w:val="22"/>
              <w:lang w:val="es-ES_tradnl"/>
            </w:rPr>
          </w:pPr>
        </w:p>
      </w:tc>
      <w:tc>
        <w:tcPr>
          <w:tcW w:w="2552" w:type="dxa"/>
          <w:shd w:val="clear" w:color="auto" w:fill="auto"/>
        </w:tcPr>
        <w:p w14:paraId="31E422EA" w14:textId="77777777" w:rsidR="001F7CD6" w:rsidRPr="008F2CCC" w:rsidRDefault="001F7CD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151A3518" w:rsidR="001F7CD6" w:rsidRPr="008F2CCC" w:rsidRDefault="00CE127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3470D9" w14:textId="35AB92B3" w:rsidR="001F7CD6" w:rsidRPr="0010196A" w:rsidRDefault="00EC28A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81E1F64"/>
    <w:multiLevelType w:val="hybridMultilevel"/>
    <w:tmpl w:val="F9E42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9"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4" w15:restartNumberingAfterBreak="0">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7B709B3"/>
    <w:multiLevelType w:val="hybridMultilevel"/>
    <w:tmpl w:val="725A724A"/>
    <w:lvl w:ilvl="0" w:tplc="C8B2FDBA">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9"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4D0E6102"/>
    <w:multiLevelType w:val="multilevel"/>
    <w:tmpl w:val="B954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15:restartNumberingAfterBreak="0">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6" w15:restartNumberingAfterBreak="0">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63309CC"/>
    <w:multiLevelType w:val="hybridMultilevel"/>
    <w:tmpl w:val="33349C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1" w15:restartNumberingAfterBreak="0">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4"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5" w15:restartNumberingAfterBreak="0">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7" w15:restartNumberingAfterBreak="0">
    <w:nsid w:val="79B86C1F"/>
    <w:multiLevelType w:val="hybridMultilevel"/>
    <w:tmpl w:val="5E4CE1B2"/>
    <w:lvl w:ilvl="0" w:tplc="C8B2FDBA">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60" w15:restartNumberingAfterBreak="0">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5"/>
  </w:num>
  <w:num w:numId="3">
    <w:abstractNumId w:val="17"/>
  </w:num>
  <w:num w:numId="4">
    <w:abstractNumId w:val="37"/>
  </w:num>
  <w:num w:numId="5">
    <w:abstractNumId w:val="52"/>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8"/>
  </w:num>
  <w:num w:numId="10">
    <w:abstractNumId w:val="18"/>
  </w:num>
  <w:num w:numId="11">
    <w:abstractNumId w:val="16"/>
  </w:num>
  <w:num w:numId="12">
    <w:abstractNumId w:val="0"/>
  </w:num>
  <w:num w:numId="13">
    <w:abstractNumId w:val="56"/>
  </w:num>
  <w:num w:numId="14">
    <w:abstractNumId w:val="7"/>
  </w:num>
  <w:num w:numId="15">
    <w:abstractNumId w:val="9"/>
  </w:num>
  <w:num w:numId="1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12"/>
  </w:num>
  <w:num w:numId="20">
    <w:abstractNumId w:val="35"/>
  </w:num>
  <w:num w:numId="21">
    <w:abstractNumId w:val="31"/>
  </w:num>
  <w:num w:numId="22">
    <w:abstractNumId w:val="49"/>
  </w:num>
  <w:num w:numId="23">
    <w:abstractNumId w:val="53"/>
  </w:num>
  <w:num w:numId="24">
    <w:abstractNumId w:val="50"/>
  </w:num>
  <w:num w:numId="25">
    <w:abstractNumId w:val="3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9"/>
  </w:num>
  <w:num w:numId="29">
    <w:abstractNumId w:val="25"/>
  </w:num>
  <w:num w:numId="30">
    <w:abstractNumId w:val="54"/>
  </w:num>
  <w:num w:numId="31">
    <w:abstractNumId w:val="38"/>
  </w:num>
  <w:num w:numId="32">
    <w:abstractNumId w:val="20"/>
  </w:num>
  <w:num w:numId="33">
    <w:abstractNumId w:val="10"/>
    <w:lvlOverride w:ilvl="0">
      <w:lvl w:ilvl="0">
        <w:numFmt w:val="decimal"/>
        <w:lvlText w:val="%1."/>
        <w:lvlJc w:val="left"/>
      </w:lvl>
    </w:lvlOverride>
  </w:num>
  <w:num w:numId="34">
    <w:abstractNumId w:val="55"/>
  </w:num>
  <w:num w:numId="35">
    <w:abstractNumId w:val="8"/>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7"/>
  </w:num>
  <w:num w:numId="39">
    <w:abstractNumId w:val="23"/>
  </w:num>
  <w:num w:numId="40">
    <w:abstractNumId w:val="41"/>
  </w:num>
  <w:num w:numId="41">
    <w:abstractNumId w:val="3"/>
  </w:num>
  <w:num w:numId="42">
    <w:abstractNumId w:val="39"/>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3"/>
  </w:num>
  <w:num w:numId="45">
    <w:abstractNumId w:val="1"/>
  </w:num>
  <w:num w:numId="46">
    <w:abstractNumId w:val="5"/>
  </w:num>
  <w:num w:numId="47">
    <w:abstractNumId w:val="60"/>
  </w:num>
  <w:num w:numId="48">
    <w:abstractNumId w:val="11"/>
  </w:num>
  <w:num w:numId="49">
    <w:abstractNumId w:val="14"/>
  </w:num>
  <w:num w:numId="50">
    <w:abstractNumId w:val="28"/>
  </w:num>
  <w:num w:numId="51">
    <w:abstractNumId w:val="46"/>
  </w:num>
  <w:num w:numId="52">
    <w:abstractNumId w:val="33"/>
  </w:num>
  <w:num w:numId="53">
    <w:abstractNumId w:val="19"/>
  </w:num>
  <w:num w:numId="54">
    <w:abstractNumId w:val="51"/>
  </w:num>
  <w:num w:numId="55">
    <w:abstractNumId w:val="45"/>
  </w:num>
  <w:num w:numId="56">
    <w:abstractNumId w:val="2"/>
  </w:num>
  <w:num w:numId="57">
    <w:abstractNumId w:val="13"/>
  </w:num>
  <w:num w:numId="58">
    <w:abstractNumId w:val="44"/>
  </w:num>
  <w:num w:numId="59">
    <w:abstractNumId w:val="44"/>
  </w:num>
  <w:num w:numId="60">
    <w:abstractNumId w:val="6"/>
  </w:num>
  <w:num w:numId="61">
    <w:abstractNumId w:val="40"/>
  </w:num>
  <w:num w:numId="62">
    <w:abstractNumId w:val="4"/>
  </w:num>
  <w:num w:numId="63">
    <w:abstractNumId w:val="47"/>
  </w:num>
  <w:num w:numId="64">
    <w:abstractNumId w:val="36"/>
  </w:num>
  <w:num w:numId="65">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3E87"/>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0F"/>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4E1"/>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AF8"/>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0C5"/>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8D1"/>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CD6"/>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28C"/>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7AE"/>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3E62"/>
    <w:rsid w:val="002C451D"/>
    <w:rsid w:val="002C47D6"/>
    <w:rsid w:val="002C4863"/>
    <w:rsid w:val="002C4987"/>
    <w:rsid w:val="002C5060"/>
    <w:rsid w:val="002C6CE9"/>
    <w:rsid w:val="002C742B"/>
    <w:rsid w:val="002C753F"/>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885"/>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0EC"/>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67B"/>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25"/>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2CA"/>
    <w:rsid w:val="00506349"/>
    <w:rsid w:val="005071D8"/>
    <w:rsid w:val="005071E3"/>
    <w:rsid w:val="005072B6"/>
    <w:rsid w:val="005076BE"/>
    <w:rsid w:val="00507CD8"/>
    <w:rsid w:val="00507ED8"/>
    <w:rsid w:val="00507EDF"/>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749"/>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989"/>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2B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0D1"/>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140F"/>
    <w:rsid w:val="006C1A39"/>
    <w:rsid w:val="006C2427"/>
    <w:rsid w:val="006C2440"/>
    <w:rsid w:val="006C24F6"/>
    <w:rsid w:val="006C25E6"/>
    <w:rsid w:val="006C2BE2"/>
    <w:rsid w:val="006C2EF9"/>
    <w:rsid w:val="006C2FB3"/>
    <w:rsid w:val="006C34EB"/>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461"/>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6D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04"/>
    <w:rsid w:val="00895D8A"/>
    <w:rsid w:val="00895E48"/>
    <w:rsid w:val="008978A4"/>
    <w:rsid w:val="008A040A"/>
    <w:rsid w:val="008A06A4"/>
    <w:rsid w:val="008A0B47"/>
    <w:rsid w:val="008A1390"/>
    <w:rsid w:val="008A1FD4"/>
    <w:rsid w:val="008A2762"/>
    <w:rsid w:val="008A29B1"/>
    <w:rsid w:val="008A29CE"/>
    <w:rsid w:val="008A2C94"/>
    <w:rsid w:val="008A2E75"/>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50"/>
    <w:rsid w:val="009418EA"/>
    <w:rsid w:val="0094215F"/>
    <w:rsid w:val="0094237F"/>
    <w:rsid w:val="00942844"/>
    <w:rsid w:val="0094327C"/>
    <w:rsid w:val="00943778"/>
    <w:rsid w:val="009437EF"/>
    <w:rsid w:val="00943A1C"/>
    <w:rsid w:val="00943BBB"/>
    <w:rsid w:val="00944103"/>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4E3"/>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1FC"/>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5CA"/>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1A9"/>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27FE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C8"/>
    <w:rsid w:val="00A73C1E"/>
    <w:rsid w:val="00A74C7C"/>
    <w:rsid w:val="00A75489"/>
    <w:rsid w:val="00A75EE0"/>
    <w:rsid w:val="00A766B4"/>
    <w:rsid w:val="00A76DA1"/>
    <w:rsid w:val="00A76E3E"/>
    <w:rsid w:val="00A770A2"/>
    <w:rsid w:val="00A77A85"/>
    <w:rsid w:val="00A81140"/>
    <w:rsid w:val="00A81414"/>
    <w:rsid w:val="00A81A4A"/>
    <w:rsid w:val="00A81A7B"/>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7A7"/>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DB0"/>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624D"/>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8BB"/>
    <w:rsid w:val="00BE697B"/>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49B5"/>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E08"/>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118"/>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74"/>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20F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DC2"/>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08E"/>
    <w:rsid w:val="00D8259E"/>
    <w:rsid w:val="00D83396"/>
    <w:rsid w:val="00D8363F"/>
    <w:rsid w:val="00D83902"/>
    <w:rsid w:val="00D8432A"/>
    <w:rsid w:val="00D849A5"/>
    <w:rsid w:val="00D84ABB"/>
    <w:rsid w:val="00D84F12"/>
    <w:rsid w:val="00D860F4"/>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572"/>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3BC"/>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118E"/>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67D"/>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B16"/>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A7891"/>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8AB"/>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429"/>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7F4"/>
    <w:rsid w:val="00FE591E"/>
    <w:rsid w:val="00FE6082"/>
    <w:rsid w:val="00FE685C"/>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22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76E3E"/>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430579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44214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040905">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41786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203373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20745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555178">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5963176">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219542.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saimex.org.mx/saimex/solicitud/downloadAttach/1212074.page" TargetMode="External"/><Relationship Id="rId23" Type="http://schemas.openxmlformats.org/officeDocument/2006/relationships/theme" Target="theme/theme1.xml"/><Relationship Id="rId10" Type="http://schemas.openxmlformats.org/officeDocument/2006/relationships/hyperlink" Target="https://www.saimex.org.mx/saimex/solicitud/downloadAttach/1212074.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208357.page" TargetMode="External"/><Relationship Id="rId14" Type="http://schemas.openxmlformats.org/officeDocument/2006/relationships/hyperlink" Target="https://www.saimex.org.mx/saimex/solicitud/downloadAttach/1208357.pag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891EC-3738-4256-8B85-67049C9F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4630</Words>
  <Characters>25471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2020-01-22T19:55:00Z</cp:lastPrinted>
  <dcterms:created xsi:type="dcterms:W3CDTF">2021-10-07T18:53:00Z</dcterms:created>
  <dcterms:modified xsi:type="dcterms:W3CDTF">2021-11-04T17:07:00Z</dcterms:modified>
</cp:coreProperties>
</file>