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653A3" w14:textId="77777777" w:rsidR="005000AA" w:rsidRPr="00624AAD" w:rsidRDefault="005000AA" w:rsidP="005000AA">
      <w:pPr>
        <w:spacing w:before="240" w:after="240" w:line="360" w:lineRule="auto"/>
        <w:jc w:val="center"/>
        <w:rPr>
          <w:rFonts w:ascii="Palatino Linotype" w:hAnsi="Palatino Linotype"/>
          <w:sz w:val="24"/>
          <w:szCs w:val="24"/>
        </w:rPr>
      </w:pPr>
      <w:r w:rsidRPr="00624AAD">
        <w:rPr>
          <w:rFonts w:ascii="Palatino Linotype" w:hAnsi="Palatino Linotype"/>
          <w:b/>
          <w:sz w:val="24"/>
          <w:szCs w:val="24"/>
        </w:rPr>
        <w:t>Índice</w:t>
      </w:r>
      <w:r w:rsidRPr="00624AAD">
        <w:rPr>
          <w:rFonts w:ascii="Palatino Linotype" w:hAnsi="Palatino Linotype"/>
          <w:sz w:val="24"/>
          <w:szCs w:val="24"/>
        </w:rPr>
        <w:t>.</w:t>
      </w:r>
    </w:p>
    <w:sdt>
      <w:sdtPr>
        <w:rPr>
          <w:rFonts w:ascii="Times New Roman" w:eastAsiaTheme="minorEastAsia" w:hAnsi="Times New Roman" w:cstheme="minorBidi"/>
          <w:b w:val="0"/>
          <w:sz w:val="20"/>
          <w:szCs w:val="24"/>
          <w:lang w:val="es-ES" w:eastAsia="es-ES"/>
        </w:rPr>
        <w:id w:val="1703668029"/>
        <w:docPartObj>
          <w:docPartGallery w:val="Table of Contents"/>
          <w:docPartUnique/>
        </w:docPartObj>
      </w:sdtPr>
      <w:sdtEndPr>
        <w:rPr>
          <w:rFonts w:eastAsia="Times New Roman" w:cs="Times New Roman"/>
        </w:rPr>
      </w:sdtEndPr>
      <w:sdtContent>
        <w:p w14:paraId="533358D9" w14:textId="77777777" w:rsidR="005000AA" w:rsidRPr="00624AAD" w:rsidRDefault="005000AA" w:rsidP="005000AA">
          <w:pPr>
            <w:pStyle w:val="TtulodeTDC"/>
            <w:spacing w:line="480" w:lineRule="auto"/>
            <w:rPr>
              <w:szCs w:val="24"/>
            </w:rPr>
          </w:pPr>
        </w:p>
        <w:p w14:paraId="798CB848" w14:textId="77777777" w:rsidR="00414814" w:rsidRDefault="005000AA">
          <w:pPr>
            <w:pStyle w:val="TDC1"/>
            <w:rPr>
              <w:rFonts w:asciiTheme="minorHAnsi" w:hAnsiTheme="minorHAnsi"/>
              <w:b w:val="0"/>
              <w:bCs w:val="0"/>
              <w:sz w:val="22"/>
              <w:szCs w:val="22"/>
              <w:lang w:val="es-MX" w:eastAsia="es-MX"/>
            </w:rPr>
          </w:pPr>
          <w:r w:rsidRPr="00624AAD">
            <w:rPr>
              <w:b w:val="0"/>
            </w:rPr>
            <w:fldChar w:fldCharType="begin"/>
          </w:r>
          <w:r w:rsidRPr="00624AAD">
            <w:rPr>
              <w:b w:val="0"/>
            </w:rPr>
            <w:instrText xml:space="preserve"> TOC \o "1-3" \h \z \u </w:instrText>
          </w:r>
          <w:r w:rsidRPr="00624AAD">
            <w:rPr>
              <w:b w:val="0"/>
            </w:rPr>
            <w:fldChar w:fldCharType="separate"/>
          </w:r>
          <w:hyperlink w:anchor="_Toc83210164" w:history="1">
            <w:r w:rsidR="00414814" w:rsidRPr="00386EE8">
              <w:rPr>
                <w:rStyle w:val="Hipervnculo"/>
              </w:rPr>
              <w:t>ANTECEDENTES</w:t>
            </w:r>
            <w:r w:rsidR="00414814">
              <w:rPr>
                <w:webHidden/>
              </w:rPr>
              <w:tab/>
            </w:r>
            <w:r w:rsidR="00414814">
              <w:rPr>
                <w:webHidden/>
              </w:rPr>
              <w:fldChar w:fldCharType="begin"/>
            </w:r>
            <w:r w:rsidR="00414814">
              <w:rPr>
                <w:webHidden/>
              </w:rPr>
              <w:instrText xml:space="preserve"> PAGEREF _Toc83210164 \h </w:instrText>
            </w:r>
            <w:r w:rsidR="00414814">
              <w:rPr>
                <w:webHidden/>
              </w:rPr>
            </w:r>
            <w:r w:rsidR="00414814">
              <w:rPr>
                <w:webHidden/>
              </w:rPr>
              <w:fldChar w:fldCharType="separate"/>
            </w:r>
            <w:r w:rsidR="00414814">
              <w:rPr>
                <w:webHidden/>
              </w:rPr>
              <w:t>2</w:t>
            </w:r>
            <w:r w:rsidR="00414814">
              <w:rPr>
                <w:webHidden/>
              </w:rPr>
              <w:fldChar w:fldCharType="end"/>
            </w:r>
          </w:hyperlink>
        </w:p>
        <w:p w14:paraId="2686A0DD" w14:textId="77777777" w:rsidR="00414814" w:rsidRDefault="00BA1586">
          <w:pPr>
            <w:pStyle w:val="TDC1"/>
            <w:rPr>
              <w:rFonts w:asciiTheme="minorHAnsi" w:hAnsiTheme="minorHAnsi"/>
              <w:b w:val="0"/>
              <w:bCs w:val="0"/>
              <w:sz w:val="22"/>
              <w:szCs w:val="22"/>
              <w:lang w:val="es-MX" w:eastAsia="es-MX"/>
            </w:rPr>
          </w:pPr>
          <w:hyperlink w:anchor="_Toc83210165" w:history="1">
            <w:r w:rsidR="00414814" w:rsidRPr="00386EE8">
              <w:rPr>
                <w:rStyle w:val="Hipervnculo"/>
              </w:rPr>
              <w:t>CONSIDERANDO</w:t>
            </w:r>
            <w:r w:rsidR="00414814">
              <w:rPr>
                <w:webHidden/>
              </w:rPr>
              <w:tab/>
            </w:r>
            <w:r w:rsidR="00414814">
              <w:rPr>
                <w:webHidden/>
              </w:rPr>
              <w:fldChar w:fldCharType="begin"/>
            </w:r>
            <w:r w:rsidR="00414814">
              <w:rPr>
                <w:webHidden/>
              </w:rPr>
              <w:instrText xml:space="preserve"> PAGEREF _Toc83210165 \h </w:instrText>
            </w:r>
            <w:r w:rsidR="00414814">
              <w:rPr>
                <w:webHidden/>
              </w:rPr>
            </w:r>
            <w:r w:rsidR="00414814">
              <w:rPr>
                <w:webHidden/>
              </w:rPr>
              <w:fldChar w:fldCharType="separate"/>
            </w:r>
            <w:r w:rsidR="00414814">
              <w:rPr>
                <w:webHidden/>
              </w:rPr>
              <w:t>12</w:t>
            </w:r>
            <w:r w:rsidR="00414814">
              <w:rPr>
                <w:webHidden/>
              </w:rPr>
              <w:fldChar w:fldCharType="end"/>
            </w:r>
          </w:hyperlink>
        </w:p>
        <w:p w14:paraId="15D5F7C2" w14:textId="77777777" w:rsidR="00414814" w:rsidRDefault="00BA1586">
          <w:pPr>
            <w:pStyle w:val="TDC2"/>
            <w:rPr>
              <w:noProof/>
              <w:sz w:val="22"/>
              <w:szCs w:val="22"/>
              <w:lang w:val="es-MX" w:eastAsia="es-MX"/>
            </w:rPr>
          </w:pPr>
          <w:hyperlink w:anchor="_Toc83210166" w:history="1">
            <w:r w:rsidR="00414814" w:rsidRPr="00386EE8">
              <w:rPr>
                <w:rStyle w:val="Hipervnculo"/>
                <w:rFonts w:ascii="Palatino Linotype" w:hAnsi="Palatino Linotype"/>
                <w:b/>
                <w:noProof/>
              </w:rPr>
              <w:t>PRIMERO. De la competencia</w:t>
            </w:r>
            <w:r w:rsidR="00414814">
              <w:rPr>
                <w:noProof/>
                <w:webHidden/>
              </w:rPr>
              <w:tab/>
            </w:r>
            <w:r w:rsidR="00414814">
              <w:rPr>
                <w:noProof/>
                <w:webHidden/>
              </w:rPr>
              <w:fldChar w:fldCharType="begin"/>
            </w:r>
            <w:r w:rsidR="00414814">
              <w:rPr>
                <w:noProof/>
                <w:webHidden/>
              </w:rPr>
              <w:instrText xml:space="preserve"> PAGEREF _Toc83210166 \h </w:instrText>
            </w:r>
            <w:r w:rsidR="00414814">
              <w:rPr>
                <w:noProof/>
                <w:webHidden/>
              </w:rPr>
            </w:r>
            <w:r w:rsidR="00414814">
              <w:rPr>
                <w:noProof/>
                <w:webHidden/>
              </w:rPr>
              <w:fldChar w:fldCharType="separate"/>
            </w:r>
            <w:r w:rsidR="00414814">
              <w:rPr>
                <w:noProof/>
                <w:webHidden/>
              </w:rPr>
              <w:t>12</w:t>
            </w:r>
            <w:r w:rsidR="00414814">
              <w:rPr>
                <w:noProof/>
                <w:webHidden/>
              </w:rPr>
              <w:fldChar w:fldCharType="end"/>
            </w:r>
          </w:hyperlink>
        </w:p>
        <w:p w14:paraId="4C8E8D2A" w14:textId="77777777" w:rsidR="00414814" w:rsidRDefault="00BA1586">
          <w:pPr>
            <w:pStyle w:val="TDC2"/>
            <w:rPr>
              <w:noProof/>
              <w:sz w:val="22"/>
              <w:szCs w:val="22"/>
              <w:lang w:val="es-MX" w:eastAsia="es-MX"/>
            </w:rPr>
          </w:pPr>
          <w:hyperlink w:anchor="_Toc83210167" w:history="1">
            <w:r w:rsidR="00414814" w:rsidRPr="00386EE8">
              <w:rPr>
                <w:rStyle w:val="Hipervnculo"/>
                <w:rFonts w:ascii="Palatino Linotype" w:hAnsi="Palatino Linotype"/>
                <w:b/>
                <w:noProof/>
              </w:rPr>
              <w:t>SEGUNDO. De la oportunidad y procedencia.</w:t>
            </w:r>
            <w:r w:rsidR="00414814">
              <w:rPr>
                <w:noProof/>
                <w:webHidden/>
              </w:rPr>
              <w:tab/>
            </w:r>
            <w:r w:rsidR="00414814">
              <w:rPr>
                <w:noProof/>
                <w:webHidden/>
              </w:rPr>
              <w:fldChar w:fldCharType="begin"/>
            </w:r>
            <w:r w:rsidR="00414814">
              <w:rPr>
                <w:noProof/>
                <w:webHidden/>
              </w:rPr>
              <w:instrText xml:space="preserve"> PAGEREF _Toc83210167 \h </w:instrText>
            </w:r>
            <w:r w:rsidR="00414814">
              <w:rPr>
                <w:noProof/>
                <w:webHidden/>
              </w:rPr>
            </w:r>
            <w:r w:rsidR="00414814">
              <w:rPr>
                <w:noProof/>
                <w:webHidden/>
              </w:rPr>
              <w:fldChar w:fldCharType="separate"/>
            </w:r>
            <w:r w:rsidR="00414814">
              <w:rPr>
                <w:noProof/>
                <w:webHidden/>
              </w:rPr>
              <w:t>13</w:t>
            </w:r>
            <w:r w:rsidR="00414814">
              <w:rPr>
                <w:noProof/>
                <w:webHidden/>
              </w:rPr>
              <w:fldChar w:fldCharType="end"/>
            </w:r>
          </w:hyperlink>
        </w:p>
        <w:p w14:paraId="13CA6D3C" w14:textId="77777777" w:rsidR="00414814" w:rsidRDefault="00BA1586">
          <w:pPr>
            <w:pStyle w:val="TDC1"/>
            <w:rPr>
              <w:rFonts w:asciiTheme="minorHAnsi" w:hAnsiTheme="minorHAnsi"/>
              <w:b w:val="0"/>
              <w:bCs w:val="0"/>
              <w:sz w:val="22"/>
              <w:szCs w:val="22"/>
              <w:lang w:val="es-MX" w:eastAsia="es-MX"/>
            </w:rPr>
          </w:pPr>
          <w:hyperlink w:anchor="_Toc83210168" w:history="1">
            <w:r w:rsidR="00414814" w:rsidRPr="00386EE8">
              <w:rPr>
                <w:rStyle w:val="Hipervnculo"/>
              </w:rPr>
              <w:t>TERCERO. Planteamiento de la Litis</w:t>
            </w:r>
            <w:r w:rsidR="00414814">
              <w:rPr>
                <w:webHidden/>
              </w:rPr>
              <w:tab/>
            </w:r>
            <w:r w:rsidR="00414814">
              <w:rPr>
                <w:webHidden/>
              </w:rPr>
              <w:fldChar w:fldCharType="begin"/>
            </w:r>
            <w:r w:rsidR="00414814">
              <w:rPr>
                <w:webHidden/>
              </w:rPr>
              <w:instrText xml:space="preserve"> PAGEREF _Toc83210168 \h </w:instrText>
            </w:r>
            <w:r w:rsidR="00414814">
              <w:rPr>
                <w:webHidden/>
              </w:rPr>
            </w:r>
            <w:r w:rsidR="00414814">
              <w:rPr>
                <w:webHidden/>
              </w:rPr>
              <w:fldChar w:fldCharType="separate"/>
            </w:r>
            <w:r w:rsidR="00414814">
              <w:rPr>
                <w:webHidden/>
              </w:rPr>
              <w:t>14</w:t>
            </w:r>
            <w:r w:rsidR="00414814">
              <w:rPr>
                <w:webHidden/>
              </w:rPr>
              <w:fldChar w:fldCharType="end"/>
            </w:r>
          </w:hyperlink>
        </w:p>
        <w:p w14:paraId="57CD5CA1" w14:textId="77777777" w:rsidR="00414814" w:rsidRDefault="00BA1586">
          <w:pPr>
            <w:pStyle w:val="TDC1"/>
            <w:rPr>
              <w:rFonts w:asciiTheme="minorHAnsi" w:hAnsiTheme="minorHAnsi"/>
              <w:b w:val="0"/>
              <w:bCs w:val="0"/>
              <w:sz w:val="22"/>
              <w:szCs w:val="22"/>
              <w:lang w:val="es-MX" w:eastAsia="es-MX"/>
            </w:rPr>
          </w:pPr>
          <w:hyperlink w:anchor="_Toc83210169" w:history="1">
            <w:r w:rsidR="00414814" w:rsidRPr="00386EE8">
              <w:rPr>
                <w:rStyle w:val="Hipervnculo"/>
              </w:rPr>
              <w:t>CUARTO. Estudio y resolución del asunto</w:t>
            </w:r>
            <w:r w:rsidR="00414814">
              <w:rPr>
                <w:webHidden/>
              </w:rPr>
              <w:tab/>
            </w:r>
            <w:r w:rsidR="00414814">
              <w:rPr>
                <w:webHidden/>
              </w:rPr>
              <w:fldChar w:fldCharType="begin"/>
            </w:r>
            <w:r w:rsidR="00414814">
              <w:rPr>
                <w:webHidden/>
              </w:rPr>
              <w:instrText xml:space="preserve"> PAGEREF _Toc83210169 \h </w:instrText>
            </w:r>
            <w:r w:rsidR="00414814">
              <w:rPr>
                <w:webHidden/>
              </w:rPr>
            </w:r>
            <w:r w:rsidR="00414814">
              <w:rPr>
                <w:webHidden/>
              </w:rPr>
              <w:fldChar w:fldCharType="separate"/>
            </w:r>
            <w:r w:rsidR="00414814">
              <w:rPr>
                <w:webHidden/>
              </w:rPr>
              <w:t>15</w:t>
            </w:r>
            <w:r w:rsidR="00414814">
              <w:rPr>
                <w:webHidden/>
              </w:rPr>
              <w:fldChar w:fldCharType="end"/>
            </w:r>
          </w:hyperlink>
        </w:p>
        <w:p w14:paraId="7C67716A" w14:textId="77777777" w:rsidR="00414814" w:rsidRDefault="00BA1586">
          <w:pPr>
            <w:pStyle w:val="TDC2"/>
            <w:rPr>
              <w:noProof/>
              <w:sz w:val="22"/>
              <w:szCs w:val="22"/>
              <w:lang w:val="es-MX" w:eastAsia="es-MX"/>
            </w:rPr>
          </w:pPr>
          <w:hyperlink w:anchor="_Toc83210170" w:history="1">
            <w:r w:rsidR="00414814" w:rsidRPr="00386EE8">
              <w:rPr>
                <w:rStyle w:val="Hipervnculo"/>
                <w:rFonts w:ascii="Palatino Linotype" w:hAnsi="Palatino Linotype"/>
                <w:b/>
                <w:noProof/>
                <w:lang w:eastAsia="en-US"/>
              </w:rPr>
              <w:t>A.</w:t>
            </w:r>
            <w:r w:rsidR="00414814">
              <w:rPr>
                <w:noProof/>
                <w:sz w:val="22"/>
                <w:szCs w:val="22"/>
                <w:lang w:val="es-MX" w:eastAsia="es-MX"/>
              </w:rPr>
              <w:tab/>
            </w:r>
            <w:r w:rsidR="00414814" w:rsidRPr="00386EE8">
              <w:rPr>
                <w:rStyle w:val="Hipervnculo"/>
                <w:rFonts w:ascii="Palatino Linotype" w:hAnsi="Palatino Linotype"/>
                <w:b/>
                <w:noProof/>
              </w:rPr>
              <w:t>De la declaración de incompetencia.</w:t>
            </w:r>
            <w:r w:rsidR="00414814">
              <w:rPr>
                <w:noProof/>
                <w:webHidden/>
              </w:rPr>
              <w:tab/>
            </w:r>
            <w:r w:rsidR="00414814">
              <w:rPr>
                <w:noProof/>
                <w:webHidden/>
              </w:rPr>
              <w:fldChar w:fldCharType="begin"/>
            </w:r>
            <w:r w:rsidR="00414814">
              <w:rPr>
                <w:noProof/>
                <w:webHidden/>
              </w:rPr>
              <w:instrText xml:space="preserve"> PAGEREF _Toc83210170 \h </w:instrText>
            </w:r>
            <w:r w:rsidR="00414814">
              <w:rPr>
                <w:noProof/>
                <w:webHidden/>
              </w:rPr>
            </w:r>
            <w:r w:rsidR="00414814">
              <w:rPr>
                <w:noProof/>
                <w:webHidden/>
              </w:rPr>
              <w:fldChar w:fldCharType="separate"/>
            </w:r>
            <w:r w:rsidR="00414814">
              <w:rPr>
                <w:noProof/>
                <w:webHidden/>
              </w:rPr>
              <w:t>15</w:t>
            </w:r>
            <w:r w:rsidR="00414814">
              <w:rPr>
                <w:noProof/>
                <w:webHidden/>
              </w:rPr>
              <w:fldChar w:fldCharType="end"/>
            </w:r>
          </w:hyperlink>
        </w:p>
        <w:p w14:paraId="2776E30D" w14:textId="77777777" w:rsidR="00414814" w:rsidRDefault="00BA1586">
          <w:pPr>
            <w:pStyle w:val="TDC2"/>
            <w:rPr>
              <w:noProof/>
              <w:sz w:val="22"/>
              <w:szCs w:val="22"/>
              <w:lang w:val="es-MX" w:eastAsia="es-MX"/>
            </w:rPr>
          </w:pPr>
          <w:hyperlink w:anchor="_Toc83210171" w:history="1">
            <w:r w:rsidR="00414814" w:rsidRPr="00386EE8">
              <w:rPr>
                <w:rStyle w:val="Hipervnculo"/>
                <w:rFonts w:ascii="Palatino Linotype" w:hAnsi="Palatino Linotype"/>
                <w:b/>
                <w:noProof/>
              </w:rPr>
              <w:t>B.</w:t>
            </w:r>
            <w:r w:rsidR="00414814">
              <w:rPr>
                <w:noProof/>
                <w:sz w:val="22"/>
                <w:szCs w:val="22"/>
                <w:lang w:val="es-MX" w:eastAsia="es-MX"/>
              </w:rPr>
              <w:tab/>
            </w:r>
            <w:r w:rsidR="00414814" w:rsidRPr="00386EE8">
              <w:rPr>
                <w:rStyle w:val="Hipervnculo"/>
                <w:rFonts w:ascii="Palatino Linotype" w:hAnsi="Palatino Linotype"/>
                <w:b/>
                <w:noProof/>
              </w:rPr>
              <w:t>De la búsqueda exhaustiva y razonable de la información.</w:t>
            </w:r>
            <w:r w:rsidR="00414814">
              <w:rPr>
                <w:noProof/>
                <w:webHidden/>
              </w:rPr>
              <w:tab/>
            </w:r>
            <w:r w:rsidR="00414814">
              <w:rPr>
                <w:noProof/>
                <w:webHidden/>
              </w:rPr>
              <w:fldChar w:fldCharType="begin"/>
            </w:r>
            <w:r w:rsidR="00414814">
              <w:rPr>
                <w:noProof/>
                <w:webHidden/>
              </w:rPr>
              <w:instrText xml:space="preserve"> PAGEREF _Toc83210171 \h </w:instrText>
            </w:r>
            <w:r w:rsidR="00414814">
              <w:rPr>
                <w:noProof/>
                <w:webHidden/>
              </w:rPr>
            </w:r>
            <w:r w:rsidR="00414814">
              <w:rPr>
                <w:noProof/>
                <w:webHidden/>
              </w:rPr>
              <w:fldChar w:fldCharType="separate"/>
            </w:r>
            <w:r w:rsidR="00414814">
              <w:rPr>
                <w:noProof/>
                <w:webHidden/>
              </w:rPr>
              <w:t>32</w:t>
            </w:r>
            <w:r w:rsidR="00414814">
              <w:rPr>
                <w:noProof/>
                <w:webHidden/>
              </w:rPr>
              <w:fldChar w:fldCharType="end"/>
            </w:r>
          </w:hyperlink>
        </w:p>
        <w:p w14:paraId="16F120CC" w14:textId="77777777" w:rsidR="00414814" w:rsidRDefault="00BA1586">
          <w:pPr>
            <w:pStyle w:val="TDC1"/>
            <w:rPr>
              <w:rFonts w:asciiTheme="minorHAnsi" w:hAnsiTheme="minorHAnsi"/>
              <w:b w:val="0"/>
              <w:bCs w:val="0"/>
              <w:sz w:val="22"/>
              <w:szCs w:val="22"/>
              <w:lang w:val="es-MX" w:eastAsia="es-MX"/>
            </w:rPr>
          </w:pPr>
          <w:hyperlink w:anchor="_Toc83210172" w:history="1">
            <w:r w:rsidR="00414814" w:rsidRPr="00386EE8">
              <w:rPr>
                <w:rStyle w:val="Hipervnculo"/>
                <w:rFonts w:eastAsia="Calibri"/>
              </w:rPr>
              <w:t>QUINTO. VERSIÓN PÚBLICA.</w:t>
            </w:r>
            <w:r w:rsidR="00414814">
              <w:rPr>
                <w:webHidden/>
              </w:rPr>
              <w:tab/>
            </w:r>
            <w:r w:rsidR="00414814">
              <w:rPr>
                <w:webHidden/>
              </w:rPr>
              <w:fldChar w:fldCharType="begin"/>
            </w:r>
            <w:r w:rsidR="00414814">
              <w:rPr>
                <w:webHidden/>
              </w:rPr>
              <w:instrText xml:space="preserve"> PAGEREF _Toc83210172 \h </w:instrText>
            </w:r>
            <w:r w:rsidR="00414814">
              <w:rPr>
                <w:webHidden/>
              </w:rPr>
            </w:r>
            <w:r w:rsidR="00414814">
              <w:rPr>
                <w:webHidden/>
              </w:rPr>
              <w:fldChar w:fldCharType="separate"/>
            </w:r>
            <w:r w:rsidR="00414814">
              <w:rPr>
                <w:webHidden/>
              </w:rPr>
              <w:t>37</w:t>
            </w:r>
            <w:r w:rsidR="00414814">
              <w:rPr>
                <w:webHidden/>
              </w:rPr>
              <w:fldChar w:fldCharType="end"/>
            </w:r>
          </w:hyperlink>
        </w:p>
        <w:p w14:paraId="3B83F8FE" w14:textId="77777777" w:rsidR="00414814" w:rsidRDefault="00BA1586">
          <w:pPr>
            <w:pStyle w:val="TDC1"/>
            <w:tabs>
              <w:tab w:val="left" w:pos="660"/>
            </w:tabs>
            <w:rPr>
              <w:rFonts w:asciiTheme="minorHAnsi" w:hAnsiTheme="minorHAnsi"/>
              <w:b w:val="0"/>
              <w:bCs w:val="0"/>
              <w:sz w:val="22"/>
              <w:szCs w:val="22"/>
              <w:lang w:val="es-MX" w:eastAsia="es-MX"/>
            </w:rPr>
          </w:pPr>
          <w:hyperlink w:anchor="_Toc83210173" w:history="1">
            <w:r w:rsidR="00414814" w:rsidRPr="00386EE8">
              <w:rPr>
                <w:rStyle w:val="Hipervnculo"/>
                <w:rFonts w:cs="Times New Roman"/>
              </w:rPr>
              <w:t>I.</w:t>
            </w:r>
            <w:r w:rsidR="00414814">
              <w:rPr>
                <w:rFonts w:asciiTheme="minorHAnsi" w:hAnsiTheme="minorHAnsi"/>
                <w:b w:val="0"/>
                <w:bCs w:val="0"/>
                <w:sz w:val="22"/>
                <w:szCs w:val="22"/>
                <w:lang w:val="es-MX" w:eastAsia="es-MX"/>
              </w:rPr>
              <w:tab/>
            </w:r>
            <w:r w:rsidR="00414814" w:rsidRPr="00386EE8">
              <w:rPr>
                <w:rStyle w:val="Hipervnculo"/>
                <w:rFonts w:cs="Times New Roman"/>
                <w:lang w:eastAsia="es-ES_tradnl"/>
              </w:rPr>
              <w:t>Nociones generales.</w:t>
            </w:r>
            <w:r w:rsidR="00414814">
              <w:rPr>
                <w:webHidden/>
              </w:rPr>
              <w:tab/>
            </w:r>
            <w:r w:rsidR="00414814">
              <w:rPr>
                <w:webHidden/>
              </w:rPr>
              <w:fldChar w:fldCharType="begin"/>
            </w:r>
            <w:r w:rsidR="00414814">
              <w:rPr>
                <w:webHidden/>
              </w:rPr>
              <w:instrText xml:space="preserve"> PAGEREF _Toc83210173 \h </w:instrText>
            </w:r>
            <w:r w:rsidR="00414814">
              <w:rPr>
                <w:webHidden/>
              </w:rPr>
            </w:r>
            <w:r w:rsidR="00414814">
              <w:rPr>
                <w:webHidden/>
              </w:rPr>
              <w:fldChar w:fldCharType="separate"/>
            </w:r>
            <w:r w:rsidR="00414814">
              <w:rPr>
                <w:webHidden/>
              </w:rPr>
              <w:t>37</w:t>
            </w:r>
            <w:r w:rsidR="00414814">
              <w:rPr>
                <w:webHidden/>
              </w:rPr>
              <w:fldChar w:fldCharType="end"/>
            </w:r>
          </w:hyperlink>
        </w:p>
        <w:p w14:paraId="50F3FBAB" w14:textId="77777777" w:rsidR="00414814" w:rsidRDefault="00BA1586">
          <w:pPr>
            <w:pStyle w:val="TDC2"/>
            <w:rPr>
              <w:noProof/>
              <w:sz w:val="22"/>
              <w:szCs w:val="22"/>
              <w:lang w:val="es-MX" w:eastAsia="es-MX"/>
            </w:rPr>
          </w:pPr>
          <w:hyperlink w:anchor="_Toc83210174" w:history="1">
            <w:r w:rsidR="00414814" w:rsidRPr="00386EE8">
              <w:rPr>
                <w:rStyle w:val="Hipervnculo"/>
                <w:rFonts w:ascii="Palatino Linotype" w:hAnsi="Palatino Linotype" w:cs="Times New Roman"/>
                <w:b/>
                <w:noProof/>
              </w:rPr>
              <w:t>II.</w:t>
            </w:r>
            <w:r w:rsidR="00414814">
              <w:rPr>
                <w:noProof/>
                <w:sz w:val="22"/>
                <w:szCs w:val="22"/>
                <w:lang w:val="es-MX" w:eastAsia="es-MX"/>
              </w:rPr>
              <w:tab/>
            </w:r>
            <w:r w:rsidR="00414814" w:rsidRPr="00386EE8">
              <w:rPr>
                <w:rStyle w:val="Hipervnculo"/>
                <w:rFonts w:ascii="Palatino Linotype" w:hAnsi="Palatino Linotype"/>
                <w:b/>
                <w:noProof/>
              </w:rPr>
              <w:t>De la reserva de la información.</w:t>
            </w:r>
            <w:r w:rsidR="00414814">
              <w:rPr>
                <w:noProof/>
                <w:webHidden/>
              </w:rPr>
              <w:tab/>
            </w:r>
            <w:r w:rsidR="00414814">
              <w:rPr>
                <w:noProof/>
                <w:webHidden/>
              </w:rPr>
              <w:fldChar w:fldCharType="begin"/>
            </w:r>
            <w:r w:rsidR="00414814">
              <w:rPr>
                <w:noProof/>
                <w:webHidden/>
              </w:rPr>
              <w:instrText xml:space="preserve"> PAGEREF _Toc83210174 \h </w:instrText>
            </w:r>
            <w:r w:rsidR="00414814">
              <w:rPr>
                <w:noProof/>
                <w:webHidden/>
              </w:rPr>
            </w:r>
            <w:r w:rsidR="00414814">
              <w:rPr>
                <w:noProof/>
                <w:webHidden/>
              </w:rPr>
              <w:fldChar w:fldCharType="separate"/>
            </w:r>
            <w:r w:rsidR="00414814">
              <w:rPr>
                <w:noProof/>
                <w:webHidden/>
              </w:rPr>
              <w:t>42</w:t>
            </w:r>
            <w:r w:rsidR="00414814">
              <w:rPr>
                <w:noProof/>
                <w:webHidden/>
              </w:rPr>
              <w:fldChar w:fldCharType="end"/>
            </w:r>
          </w:hyperlink>
        </w:p>
        <w:p w14:paraId="3B0AAF54" w14:textId="77777777" w:rsidR="00414814" w:rsidRDefault="00BA1586">
          <w:pPr>
            <w:pStyle w:val="TDC3"/>
            <w:rPr>
              <w:noProof/>
              <w:sz w:val="22"/>
              <w:szCs w:val="22"/>
              <w:lang w:val="es-MX" w:eastAsia="es-MX"/>
            </w:rPr>
          </w:pPr>
          <w:hyperlink w:anchor="_Toc83210175" w:history="1">
            <w:r w:rsidR="00414814" w:rsidRPr="00386EE8">
              <w:rPr>
                <w:rStyle w:val="Hipervnculo"/>
                <w:rFonts w:ascii="Palatino Linotype" w:hAnsi="Palatino Linotype"/>
                <w:b/>
                <w:bCs/>
                <w:noProof/>
              </w:rPr>
              <w:t>I. Condiciones especiales de la clasificación de la información como reservada</w:t>
            </w:r>
            <w:r w:rsidR="00414814">
              <w:rPr>
                <w:noProof/>
                <w:webHidden/>
              </w:rPr>
              <w:tab/>
            </w:r>
            <w:r w:rsidR="00414814">
              <w:rPr>
                <w:noProof/>
                <w:webHidden/>
              </w:rPr>
              <w:fldChar w:fldCharType="begin"/>
            </w:r>
            <w:r w:rsidR="00414814">
              <w:rPr>
                <w:noProof/>
                <w:webHidden/>
              </w:rPr>
              <w:instrText xml:space="preserve"> PAGEREF _Toc83210175 \h </w:instrText>
            </w:r>
            <w:r w:rsidR="00414814">
              <w:rPr>
                <w:noProof/>
                <w:webHidden/>
              </w:rPr>
            </w:r>
            <w:r w:rsidR="00414814">
              <w:rPr>
                <w:noProof/>
                <w:webHidden/>
              </w:rPr>
              <w:fldChar w:fldCharType="separate"/>
            </w:r>
            <w:r w:rsidR="00414814">
              <w:rPr>
                <w:noProof/>
                <w:webHidden/>
              </w:rPr>
              <w:t>45</w:t>
            </w:r>
            <w:r w:rsidR="00414814">
              <w:rPr>
                <w:noProof/>
                <w:webHidden/>
              </w:rPr>
              <w:fldChar w:fldCharType="end"/>
            </w:r>
          </w:hyperlink>
        </w:p>
        <w:p w14:paraId="23F50C0C" w14:textId="77777777" w:rsidR="00414814" w:rsidRDefault="00BA1586">
          <w:pPr>
            <w:pStyle w:val="TDC3"/>
            <w:rPr>
              <w:noProof/>
              <w:sz w:val="22"/>
              <w:szCs w:val="22"/>
              <w:lang w:val="es-MX" w:eastAsia="es-MX"/>
            </w:rPr>
          </w:pPr>
          <w:hyperlink w:anchor="_Toc83210176" w:history="1">
            <w:r w:rsidR="00414814" w:rsidRPr="00386EE8">
              <w:rPr>
                <w:rStyle w:val="Hipervnculo"/>
                <w:rFonts w:ascii="Palatino Linotype" w:hAnsi="Palatino Linotype"/>
                <w:b/>
                <w:bCs/>
                <w:noProof/>
              </w:rPr>
              <w:t>II. Lineamientos Generales en materia de Clasificación y desclasificación de la información, así como para la elaboración de versiones públicas.</w:t>
            </w:r>
            <w:r w:rsidR="00414814">
              <w:rPr>
                <w:noProof/>
                <w:webHidden/>
              </w:rPr>
              <w:tab/>
            </w:r>
            <w:r w:rsidR="00414814">
              <w:rPr>
                <w:noProof/>
                <w:webHidden/>
              </w:rPr>
              <w:fldChar w:fldCharType="begin"/>
            </w:r>
            <w:r w:rsidR="00414814">
              <w:rPr>
                <w:noProof/>
                <w:webHidden/>
              </w:rPr>
              <w:instrText xml:space="preserve"> PAGEREF _Toc83210176 \h </w:instrText>
            </w:r>
            <w:r w:rsidR="00414814">
              <w:rPr>
                <w:noProof/>
                <w:webHidden/>
              </w:rPr>
            </w:r>
            <w:r w:rsidR="00414814">
              <w:rPr>
                <w:noProof/>
                <w:webHidden/>
              </w:rPr>
              <w:fldChar w:fldCharType="separate"/>
            </w:r>
            <w:r w:rsidR="00414814">
              <w:rPr>
                <w:noProof/>
                <w:webHidden/>
              </w:rPr>
              <w:t>50</w:t>
            </w:r>
            <w:r w:rsidR="00414814">
              <w:rPr>
                <w:noProof/>
                <w:webHidden/>
              </w:rPr>
              <w:fldChar w:fldCharType="end"/>
            </w:r>
          </w:hyperlink>
        </w:p>
        <w:p w14:paraId="0ADBFCBB" w14:textId="77777777" w:rsidR="00414814" w:rsidRDefault="00BA1586">
          <w:pPr>
            <w:pStyle w:val="TDC1"/>
            <w:rPr>
              <w:rFonts w:asciiTheme="minorHAnsi" w:hAnsiTheme="minorHAnsi"/>
              <w:b w:val="0"/>
              <w:bCs w:val="0"/>
              <w:sz w:val="22"/>
              <w:szCs w:val="22"/>
              <w:lang w:val="es-MX" w:eastAsia="es-MX"/>
            </w:rPr>
          </w:pPr>
          <w:hyperlink w:anchor="_Toc83210177" w:history="1">
            <w:r w:rsidR="00414814" w:rsidRPr="00386EE8">
              <w:rPr>
                <w:rStyle w:val="Hipervnculo"/>
                <w:rFonts w:eastAsia="Calibri"/>
              </w:rPr>
              <w:t>SEXTO. DECISIÓN.</w:t>
            </w:r>
            <w:r w:rsidR="00414814">
              <w:rPr>
                <w:webHidden/>
              </w:rPr>
              <w:tab/>
            </w:r>
            <w:r w:rsidR="00414814">
              <w:rPr>
                <w:webHidden/>
              </w:rPr>
              <w:fldChar w:fldCharType="begin"/>
            </w:r>
            <w:r w:rsidR="00414814">
              <w:rPr>
                <w:webHidden/>
              </w:rPr>
              <w:instrText xml:space="preserve"> PAGEREF _Toc83210177 \h </w:instrText>
            </w:r>
            <w:r w:rsidR="00414814">
              <w:rPr>
                <w:webHidden/>
              </w:rPr>
            </w:r>
            <w:r w:rsidR="00414814">
              <w:rPr>
                <w:webHidden/>
              </w:rPr>
              <w:fldChar w:fldCharType="separate"/>
            </w:r>
            <w:r w:rsidR="00414814">
              <w:rPr>
                <w:webHidden/>
              </w:rPr>
              <w:t>61</w:t>
            </w:r>
            <w:r w:rsidR="00414814">
              <w:rPr>
                <w:webHidden/>
              </w:rPr>
              <w:fldChar w:fldCharType="end"/>
            </w:r>
          </w:hyperlink>
        </w:p>
        <w:p w14:paraId="347B59A4" w14:textId="77777777" w:rsidR="00414814" w:rsidRDefault="00BA1586">
          <w:pPr>
            <w:pStyle w:val="TDC1"/>
            <w:rPr>
              <w:rFonts w:asciiTheme="minorHAnsi" w:hAnsiTheme="minorHAnsi"/>
              <w:b w:val="0"/>
              <w:bCs w:val="0"/>
              <w:sz w:val="22"/>
              <w:szCs w:val="22"/>
              <w:lang w:val="es-MX" w:eastAsia="es-MX"/>
            </w:rPr>
          </w:pPr>
          <w:hyperlink w:anchor="_Toc83210178" w:history="1">
            <w:r w:rsidR="00414814" w:rsidRPr="00386EE8">
              <w:rPr>
                <w:rStyle w:val="Hipervnculo"/>
              </w:rPr>
              <w:t>R E S O L U T I V O S</w:t>
            </w:r>
            <w:r w:rsidR="00414814">
              <w:rPr>
                <w:webHidden/>
              </w:rPr>
              <w:tab/>
            </w:r>
            <w:r w:rsidR="00414814">
              <w:rPr>
                <w:webHidden/>
              </w:rPr>
              <w:fldChar w:fldCharType="begin"/>
            </w:r>
            <w:r w:rsidR="00414814">
              <w:rPr>
                <w:webHidden/>
              </w:rPr>
              <w:instrText xml:space="preserve"> PAGEREF _Toc83210178 \h </w:instrText>
            </w:r>
            <w:r w:rsidR="00414814">
              <w:rPr>
                <w:webHidden/>
              </w:rPr>
            </w:r>
            <w:r w:rsidR="00414814">
              <w:rPr>
                <w:webHidden/>
              </w:rPr>
              <w:fldChar w:fldCharType="separate"/>
            </w:r>
            <w:r w:rsidR="00414814">
              <w:rPr>
                <w:webHidden/>
              </w:rPr>
              <w:t>63</w:t>
            </w:r>
            <w:r w:rsidR="00414814">
              <w:rPr>
                <w:webHidden/>
              </w:rPr>
              <w:fldChar w:fldCharType="end"/>
            </w:r>
          </w:hyperlink>
        </w:p>
        <w:p w14:paraId="19723959" w14:textId="77777777" w:rsidR="005000AA" w:rsidRPr="00624AAD" w:rsidRDefault="005000AA" w:rsidP="005000AA">
          <w:pPr>
            <w:spacing w:line="480" w:lineRule="auto"/>
            <w:rPr>
              <w:rFonts w:ascii="Palatino Linotype" w:hAnsi="Palatino Linotype"/>
              <w:sz w:val="24"/>
              <w:szCs w:val="24"/>
              <w:lang w:val="es-ES_tradnl"/>
            </w:rPr>
          </w:pPr>
          <w:r w:rsidRPr="00624AAD">
            <w:rPr>
              <w:rFonts w:ascii="Palatino Linotype" w:hAnsi="Palatino Linotype"/>
              <w:b/>
              <w:bCs/>
              <w:sz w:val="24"/>
              <w:szCs w:val="24"/>
              <w:lang w:val="es-ES"/>
            </w:rPr>
            <w:fldChar w:fldCharType="end"/>
          </w:r>
        </w:p>
      </w:sdtContent>
    </w:sdt>
    <w:p w14:paraId="6FEFF981" w14:textId="77777777" w:rsidR="00F24CE9" w:rsidRDefault="00F24CE9" w:rsidP="005000AA">
      <w:pPr>
        <w:spacing w:before="240" w:after="240" w:line="360" w:lineRule="auto"/>
        <w:jc w:val="both"/>
        <w:rPr>
          <w:rFonts w:ascii="Palatino Linotype" w:hAnsi="Palatino Linotype"/>
          <w:sz w:val="24"/>
          <w:szCs w:val="24"/>
        </w:rPr>
      </w:pPr>
    </w:p>
    <w:p w14:paraId="43847B78" w14:textId="250F0F35" w:rsidR="005000AA" w:rsidRPr="00624AAD" w:rsidRDefault="005000AA" w:rsidP="005000AA">
      <w:pPr>
        <w:spacing w:before="240" w:after="240" w:line="360" w:lineRule="auto"/>
        <w:jc w:val="both"/>
        <w:rPr>
          <w:rFonts w:ascii="Palatino Linotype" w:hAnsi="Palatino Linotype"/>
          <w:sz w:val="24"/>
          <w:szCs w:val="24"/>
        </w:rPr>
      </w:pPr>
      <w:r w:rsidRPr="00624AAD">
        <w:rPr>
          <w:rFonts w:ascii="Palatino Linotype" w:hAnsi="Palatino Linotype"/>
          <w:sz w:val="24"/>
          <w:szCs w:val="24"/>
        </w:rPr>
        <w:lastRenderedPageBreak/>
        <w:t xml:space="preserve">Resolución del Pleno del Instituto de Transparencia, Acceso a la Información Pública y Protección de Datos Personales del Estado de México y Municipios, con domicilio en Metepec, Estado de México; de </w:t>
      </w:r>
      <w:r w:rsidR="003074B3" w:rsidRPr="00277521">
        <w:rPr>
          <w:rFonts w:ascii="Palatino Linotype" w:hAnsi="Palatino Linotype"/>
          <w:sz w:val="24"/>
          <w:szCs w:val="24"/>
        </w:rPr>
        <w:t>veintidós</w:t>
      </w:r>
      <w:r w:rsidRPr="00277521">
        <w:rPr>
          <w:rFonts w:ascii="Palatino Linotype" w:hAnsi="Palatino Linotype"/>
          <w:sz w:val="24"/>
          <w:szCs w:val="24"/>
        </w:rPr>
        <w:t xml:space="preserve"> (</w:t>
      </w:r>
      <w:r w:rsidR="003074B3" w:rsidRPr="00277521">
        <w:rPr>
          <w:rFonts w:ascii="Palatino Linotype" w:hAnsi="Palatino Linotype"/>
          <w:sz w:val="24"/>
          <w:szCs w:val="24"/>
        </w:rPr>
        <w:t>22</w:t>
      </w:r>
      <w:r w:rsidRPr="00277521">
        <w:rPr>
          <w:rFonts w:ascii="Palatino Linotype" w:hAnsi="Palatino Linotype"/>
          <w:sz w:val="24"/>
          <w:szCs w:val="24"/>
        </w:rPr>
        <w:t>) de septiembre de dos mil veintiuno.</w:t>
      </w:r>
    </w:p>
    <w:p w14:paraId="4C818016" w14:textId="36747E5A" w:rsidR="005000AA" w:rsidRPr="00624AAD" w:rsidRDefault="005000AA" w:rsidP="005000AA">
      <w:pPr>
        <w:pStyle w:val="Encabezado"/>
        <w:spacing w:line="360" w:lineRule="auto"/>
        <w:jc w:val="both"/>
        <w:rPr>
          <w:rFonts w:ascii="Palatino Linotype" w:hAnsi="Palatino Linotype"/>
          <w:sz w:val="24"/>
          <w:szCs w:val="24"/>
        </w:rPr>
      </w:pPr>
      <w:r w:rsidRPr="00624AAD">
        <w:rPr>
          <w:rFonts w:ascii="Palatino Linotype" w:hAnsi="Palatino Linotype"/>
          <w:b/>
          <w:sz w:val="24"/>
          <w:szCs w:val="24"/>
        </w:rPr>
        <w:t>VISTO el</w:t>
      </w:r>
      <w:r w:rsidRPr="00624AAD">
        <w:rPr>
          <w:rFonts w:ascii="Palatino Linotype" w:hAnsi="Palatino Linotype"/>
          <w:sz w:val="24"/>
          <w:szCs w:val="24"/>
        </w:rPr>
        <w:t xml:space="preserve"> expediente electrónico formado con motivo del recurso de revisión </w:t>
      </w:r>
      <w:r w:rsidRPr="00624AAD">
        <w:rPr>
          <w:rFonts w:ascii="Palatino Linotype" w:hAnsi="Palatino Linotype" w:cs="Arial"/>
          <w:b/>
          <w:bCs/>
          <w:sz w:val="24"/>
          <w:szCs w:val="24"/>
          <w:lang w:eastAsia="es-MX"/>
        </w:rPr>
        <w:t>03</w:t>
      </w:r>
      <w:r w:rsidR="00DB2180" w:rsidRPr="00624AAD">
        <w:rPr>
          <w:rFonts w:ascii="Palatino Linotype" w:hAnsi="Palatino Linotype" w:cs="Arial"/>
          <w:b/>
          <w:bCs/>
          <w:sz w:val="24"/>
          <w:szCs w:val="24"/>
          <w:lang w:eastAsia="es-MX"/>
        </w:rPr>
        <w:t>888</w:t>
      </w:r>
      <w:r w:rsidRPr="00624AAD">
        <w:rPr>
          <w:rFonts w:ascii="Palatino Linotype" w:hAnsi="Palatino Linotype" w:cs="Arial"/>
          <w:b/>
          <w:bCs/>
          <w:sz w:val="24"/>
          <w:szCs w:val="24"/>
          <w:lang w:eastAsia="es-MX"/>
        </w:rPr>
        <w:t>/INFOEM/IP/RR/2021</w:t>
      </w:r>
      <w:r w:rsidRPr="00624AAD">
        <w:rPr>
          <w:rFonts w:ascii="Palatino Linotype" w:hAnsi="Palatino Linotype" w:cs="Arial"/>
          <w:b/>
          <w:bCs/>
          <w:sz w:val="24"/>
          <w:szCs w:val="24"/>
        </w:rPr>
        <w:t xml:space="preserve">, </w:t>
      </w:r>
      <w:r w:rsidRPr="00624AAD">
        <w:rPr>
          <w:rFonts w:ascii="Palatino Linotype" w:hAnsi="Palatino Linotype"/>
          <w:sz w:val="24"/>
          <w:szCs w:val="24"/>
        </w:rPr>
        <w:t xml:space="preserve">promovido por </w:t>
      </w:r>
      <w:r w:rsidR="00A56F90">
        <w:rPr>
          <w:rFonts w:ascii="Palatino Linotype" w:eastAsia="Calibri" w:hAnsi="Palatino Linotype" w:cs="Tahoma"/>
          <w:sz w:val="22"/>
          <w:szCs w:val="22"/>
          <w:lang w:eastAsia="en-US"/>
        </w:rPr>
        <w:t>X</w:t>
      </w:r>
      <w:r w:rsidR="00A56F90">
        <w:rPr>
          <w:rFonts w:ascii="Palatino Linotype" w:eastAsia="Calibri" w:hAnsi="Palatino Linotype" w:cs="Tahoma"/>
          <w:sz w:val="22"/>
          <w:szCs w:val="22"/>
          <w:lang w:eastAsia="en-US"/>
        </w:rPr>
        <w:t>XXXXXXXXXXXXXXXXXXXXXX</w:t>
      </w:r>
      <w:r w:rsidRPr="00624AAD">
        <w:rPr>
          <w:rFonts w:ascii="Palatino Linotype" w:hAnsi="Palatino Linotype"/>
          <w:sz w:val="24"/>
          <w:szCs w:val="24"/>
        </w:rPr>
        <w:t xml:space="preserve">, en su calidad de </w:t>
      </w:r>
      <w:r w:rsidRPr="00624AAD">
        <w:rPr>
          <w:rFonts w:ascii="Palatino Linotype" w:hAnsi="Palatino Linotype"/>
          <w:b/>
          <w:sz w:val="24"/>
          <w:szCs w:val="24"/>
        </w:rPr>
        <w:t>RECURRENTE</w:t>
      </w:r>
      <w:r w:rsidRPr="00624AAD">
        <w:rPr>
          <w:rFonts w:ascii="Palatino Linotype" w:hAnsi="Palatino Linotype" w:cs="Arial"/>
          <w:sz w:val="24"/>
          <w:szCs w:val="24"/>
        </w:rPr>
        <w:t xml:space="preserve">, en contra de la respuesta del </w:t>
      </w:r>
      <w:r w:rsidR="00DB2180" w:rsidRPr="00624AAD">
        <w:rPr>
          <w:rFonts w:ascii="Palatino Linotype" w:eastAsia="Calibri" w:hAnsi="Palatino Linotype" w:cs="Tahoma"/>
          <w:b/>
          <w:sz w:val="24"/>
          <w:szCs w:val="24"/>
          <w:lang w:eastAsia="en-US"/>
        </w:rPr>
        <w:t>Organismo Público Descentralizado para la Prestación de los Servicios de Agua Potable Alcantarillado y Saneamiento del Municipio de Zumpango</w:t>
      </w:r>
      <w:r w:rsidRPr="00624AAD">
        <w:rPr>
          <w:rFonts w:ascii="Palatino Linotype" w:hAnsi="Palatino Linotype" w:cs="Arial"/>
          <w:sz w:val="24"/>
          <w:szCs w:val="24"/>
        </w:rPr>
        <w:t>,</w:t>
      </w:r>
      <w:r w:rsidRPr="00624AAD">
        <w:rPr>
          <w:rFonts w:ascii="Palatino Linotype" w:hAnsi="Palatino Linotype"/>
          <w:b/>
          <w:sz w:val="24"/>
          <w:szCs w:val="24"/>
        </w:rPr>
        <w:t xml:space="preserve"> </w:t>
      </w:r>
      <w:r w:rsidRPr="00624AAD">
        <w:rPr>
          <w:rFonts w:ascii="Palatino Linotype" w:hAnsi="Palatino Linotype"/>
          <w:sz w:val="24"/>
          <w:szCs w:val="24"/>
        </w:rPr>
        <w:t>en lo sucesivo el</w:t>
      </w:r>
      <w:r w:rsidRPr="00624AAD">
        <w:rPr>
          <w:rFonts w:ascii="Palatino Linotype" w:hAnsi="Palatino Linotype"/>
          <w:b/>
          <w:sz w:val="24"/>
          <w:szCs w:val="24"/>
        </w:rPr>
        <w:t xml:space="preserve"> SUJETO OBLIGADO, </w:t>
      </w:r>
      <w:r w:rsidRPr="00624AAD">
        <w:rPr>
          <w:rFonts w:ascii="Palatino Linotype" w:hAnsi="Palatino Linotype"/>
          <w:sz w:val="24"/>
          <w:szCs w:val="24"/>
        </w:rPr>
        <w:t>se procede a dictar la presente resolución, con base en los siguientes:</w:t>
      </w:r>
    </w:p>
    <w:p w14:paraId="1F1BAF80" w14:textId="77777777" w:rsidR="005000AA" w:rsidRPr="00624AAD" w:rsidRDefault="005000AA" w:rsidP="005000AA">
      <w:pPr>
        <w:pStyle w:val="Ttulo1"/>
        <w:jc w:val="center"/>
        <w:rPr>
          <w:rFonts w:ascii="Palatino Linotype" w:hAnsi="Palatino Linotype"/>
          <w:b/>
          <w:color w:val="auto"/>
          <w:sz w:val="24"/>
          <w:szCs w:val="24"/>
        </w:rPr>
      </w:pPr>
      <w:bookmarkStart w:id="0" w:name="_Toc83210164"/>
      <w:r w:rsidRPr="00624AAD">
        <w:rPr>
          <w:rFonts w:ascii="Palatino Linotype" w:hAnsi="Palatino Linotype"/>
          <w:b/>
          <w:color w:val="auto"/>
          <w:sz w:val="24"/>
          <w:szCs w:val="24"/>
        </w:rPr>
        <w:t>ANTECEDENTES</w:t>
      </w:r>
      <w:bookmarkEnd w:id="0"/>
    </w:p>
    <w:p w14:paraId="04287D5F" w14:textId="77777777" w:rsidR="005000AA" w:rsidRPr="00624AAD" w:rsidRDefault="005000AA" w:rsidP="005000AA">
      <w:pPr>
        <w:rPr>
          <w:rFonts w:ascii="Palatino Linotype" w:hAnsi="Palatino Linotype"/>
          <w:sz w:val="24"/>
          <w:szCs w:val="24"/>
          <w:lang w:eastAsia="en-US"/>
        </w:rPr>
      </w:pPr>
    </w:p>
    <w:p w14:paraId="205E5E03" w14:textId="3293E835" w:rsidR="005000AA" w:rsidRPr="00624AAD" w:rsidRDefault="00A36BE2" w:rsidP="005000AA">
      <w:pPr>
        <w:pStyle w:val="Prrafodelista"/>
        <w:numPr>
          <w:ilvl w:val="0"/>
          <w:numId w:val="3"/>
        </w:numPr>
        <w:spacing w:line="360" w:lineRule="auto"/>
        <w:ind w:left="0" w:firstLine="0"/>
        <w:jc w:val="both"/>
        <w:rPr>
          <w:rFonts w:ascii="Palatino Linotype" w:hAnsi="Palatino Linotype" w:cs="Arial"/>
          <w:sz w:val="24"/>
          <w:lang w:val="es-ES"/>
        </w:rPr>
      </w:pPr>
      <w:r>
        <w:rPr>
          <w:rFonts w:ascii="Palatino Linotype" w:eastAsia="Calibri" w:hAnsi="Palatino Linotype" w:cs="Arial"/>
          <w:sz w:val="24"/>
          <w:lang w:val="es-ES"/>
        </w:rPr>
        <w:t>El día siete</w:t>
      </w:r>
      <w:r w:rsidR="005000AA" w:rsidRPr="00624AAD">
        <w:rPr>
          <w:rFonts w:ascii="Palatino Linotype" w:eastAsia="Calibri" w:hAnsi="Palatino Linotype" w:cs="Arial"/>
          <w:sz w:val="24"/>
          <w:lang w:val="es-ES"/>
        </w:rPr>
        <w:t xml:space="preserve"> (</w:t>
      </w:r>
      <w:r>
        <w:rPr>
          <w:rFonts w:ascii="Palatino Linotype" w:eastAsia="Calibri" w:hAnsi="Palatino Linotype" w:cs="Arial"/>
          <w:sz w:val="24"/>
          <w:lang w:val="es-ES"/>
        </w:rPr>
        <w:t>7</w:t>
      </w:r>
      <w:r w:rsidR="005000AA" w:rsidRPr="00624AAD">
        <w:rPr>
          <w:rFonts w:ascii="Palatino Linotype" w:eastAsia="Calibri" w:hAnsi="Palatino Linotype" w:cs="Arial"/>
          <w:sz w:val="24"/>
          <w:lang w:val="es-ES"/>
        </w:rPr>
        <w:t xml:space="preserve">) </w:t>
      </w:r>
      <w:r w:rsidR="005000AA" w:rsidRPr="00624AAD">
        <w:rPr>
          <w:rFonts w:ascii="Palatino Linotype" w:eastAsia="Calibri" w:hAnsi="Palatino Linotype"/>
          <w:sz w:val="24"/>
          <w:lang w:val="es-ES"/>
        </w:rPr>
        <w:t>de ju</w:t>
      </w:r>
      <w:r>
        <w:rPr>
          <w:rFonts w:ascii="Palatino Linotype" w:eastAsia="Calibri" w:hAnsi="Palatino Linotype"/>
          <w:sz w:val="24"/>
          <w:lang w:val="es-ES"/>
        </w:rPr>
        <w:t>lio</w:t>
      </w:r>
      <w:r w:rsidR="005000AA" w:rsidRPr="00624AAD">
        <w:rPr>
          <w:rFonts w:ascii="Palatino Linotype" w:eastAsia="Calibri" w:hAnsi="Palatino Linotype"/>
          <w:sz w:val="24"/>
          <w:lang w:val="es-ES"/>
        </w:rPr>
        <w:t xml:space="preserve"> de dos mil veintiuno</w:t>
      </w:r>
      <w:r w:rsidR="005000AA" w:rsidRPr="00624AAD">
        <w:rPr>
          <w:rFonts w:ascii="Palatino Linotype" w:eastAsia="Calibri" w:hAnsi="Palatino Linotype" w:cs="Arial"/>
          <w:sz w:val="24"/>
          <w:lang w:val="es-ES"/>
        </w:rPr>
        <w:t>,</w:t>
      </w:r>
      <w:r w:rsidR="005000AA" w:rsidRPr="00624AAD">
        <w:rPr>
          <w:rFonts w:ascii="Palatino Linotype" w:eastAsia="Calibri" w:hAnsi="Palatino Linotype"/>
          <w:sz w:val="24"/>
          <w:lang w:val="es-ES"/>
        </w:rPr>
        <w:t xml:space="preserve"> </w:t>
      </w:r>
      <w:r w:rsidR="005000AA" w:rsidRPr="00624AAD">
        <w:rPr>
          <w:rFonts w:ascii="Palatino Linotype" w:eastAsia="Calibri" w:hAnsi="Palatino Linotype"/>
          <w:b/>
          <w:sz w:val="24"/>
          <w:lang w:val="es-ES"/>
        </w:rPr>
        <w:t xml:space="preserve">EL RECURRENTE </w:t>
      </w:r>
      <w:r w:rsidR="005000AA" w:rsidRPr="00624AAD">
        <w:rPr>
          <w:rFonts w:ascii="Palatino Linotype" w:eastAsia="Calibri" w:hAnsi="Palatino Linotype"/>
          <w:bCs/>
          <w:sz w:val="24"/>
          <w:lang w:val="es-ES"/>
        </w:rPr>
        <w:t>presentó</w:t>
      </w:r>
      <w:r w:rsidR="005000AA" w:rsidRPr="00624AAD">
        <w:rPr>
          <w:rFonts w:ascii="Palatino Linotype" w:hAnsi="Palatino Linotype"/>
          <w:b/>
          <w:sz w:val="24"/>
        </w:rPr>
        <w:t>,</w:t>
      </w:r>
      <w:r w:rsidR="005000AA" w:rsidRPr="00624AAD">
        <w:rPr>
          <w:rFonts w:ascii="Palatino Linotype" w:eastAsia="Calibri" w:hAnsi="Palatino Linotype" w:cs="Arial"/>
          <w:sz w:val="24"/>
          <w:lang w:val="es-ES"/>
        </w:rPr>
        <w:t xml:space="preserve"> ante el </w:t>
      </w:r>
      <w:r w:rsidR="005000AA" w:rsidRPr="00624AAD">
        <w:rPr>
          <w:rFonts w:ascii="Palatino Linotype" w:eastAsia="Calibri" w:hAnsi="Palatino Linotype" w:cs="Arial"/>
          <w:b/>
          <w:sz w:val="24"/>
          <w:lang w:val="es-ES"/>
        </w:rPr>
        <w:t>SUJETO OBLIGADO</w:t>
      </w:r>
      <w:r w:rsidR="005000AA" w:rsidRPr="00624AAD">
        <w:rPr>
          <w:rFonts w:ascii="Palatino Linotype" w:eastAsia="Calibri" w:hAnsi="Palatino Linotype" w:cs="Arial"/>
          <w:sz w:val="24"/>
        </w:rPr>
        <w:t xml:space="preserve"> vía </w:t>
      </w:r>
      <w:r w:rsidR="005000AA" w:rsidRPr="00624AAD">
        <w:rPr>
          <w:rFonts w:ascii="Palatino Linotype" w:eastAsia="Calibri" w:hAnsi="Palatino Linotype" w:cs="Arial"/>
          <w:sz w:val="24"/>
          <w:lang w:val="es-ES"/>
        </w:rPr>
        <w:t>Sistema de Acceso a la Información Mexiquense (</w:t>
      </w:r>
      <w:r w:rsidR="005000AA" w:rsidRPr="00624AAD">
        <w:rPr>
          <w:rFonts w:ascii="Palatino Linotype" w:eastAsia="Calibri" w:hAnsi="Palatino Linotype" w:cs="Arial"/>
          <w:b/>
          <w:sz w:val="24"/>
          <w:lang w:val="es-ES"/>
        </w:rPr>
        <w:t>SAIMEX)</w:t>
      </w:r>
      <w:r w:rsidR="005000AA" w:rsidRPr="00624AAD">
        <w:rPr>
          <w:rFonts w:ascii="Palatino Linotype" w:eastAsia="Calibri" w:hAnsi="Palatino Linotype" w:cs="Arial"/>
          <w:sz w:val="24"/>
          <w:lang w:val="es-ES"/>
        </w:rPr>
        <w:t xml:space="preserve">, la solicitud de información pública registrada con el número </w:t>
      </w:r>
      <w:r w:rsidR="00624AAD" w:rsidRPr="00624AAD">
        <w:rPr>
          <w:rFonts w:ascii="Palatino Linotype" w:eastAsia="Calibri" w:hAnsi="Palatino Linotype" w:cs="Arial"/>
          <w:b/>
          <w:sz w:val="24"/>
          <w:lang w:val="es-ES"/>
        </w:rPr>
        <w:t>00020/OASZUMPANG/IP/2021</w:t>
      </w:r>
      <w:r w:rsidR="005000AA" w:rsidRPr="00624AAD">
        <w:rPr>
          <w:rFonts w:ascii="Palatino Linotype" w:hAnsi="Palatino Linotype"/>
          <w:b/>
          <w:sz w:val="24"/>
          <w:lang w:val="es-ES"/>
        </w:rPr>
        <w:t xml:space="preserve"> </w:t>
      </w:r>
      <w:r w:rsidR="005000AA" w:rsidRPr="00624AAD">
        <w:rPr>
          <w:rFonts w:ascii="Palatino Linotype" w:eastAsia="Calibri" w:hAnsi="Palatino Linotype" w:cs="Arial"/>
          <w:sz w:val="24"/>
          <w:lang w:val="es-ES"/>
        </w:rPr>
        <w:t>mediante la cual solicitó lo siguiente:</w:t>
      </w:r>
    </w:p>
    <w:p w14:paraId="5F494AEA" w14:textId="77777777" w:rsidR="005000AA" w:rsidRPr="00624AAD" w:rsidRDefault="005000AA" w:rsidP="005000AA">
      <w:pPr>
        <w:pStyle w:val="Prrafodelista"/>
        <w:spacing w:line="360" w:lineRule="auto"/>
        <w:ind w:left="0"/>
        <w:jc w:val="both"/>
        <w:rPr>
          <w:rFonts w:ascii="Palatino Linotype" w:hAnsi="Palatino Linotype" w:cs="Arial"/>
          <w:sz w:val="24"/>
          <w:lang w:val="es-ES"/>
        </w:rPr>
      </w:pPr>
    </w:p>
    <w:p w14:paraId="19CBEB32" w14:textId="23791114" w:rsidR="005000AA" w:rsidRDefault="005000AA" w:rsidP="005000AA">
      <w:pPr>
        <w:ind w:left="567" w:right="567"/>
        <w:jc w:val="both"/>
        <w:rPr>
          <w:rFonts w:ascii="Palatino Linotype" w:eastAsia="Calibri" w:hAnsi="Palatino Linotype" w:cs="Arial"/>
          <w:i/>
          <w:sz w:val="24"/>
          <w:szCs w:val="24"/>
          <w:lang w:val="es-ES"/>
        </w:rPr>
      </w:pPr>
      <w:r w:rsidRPr="00624AAD">
        <w:rPr>
          <w:rFonts w:ascii="Palatino Linotype" w:eastAsia="Calibri" w:hAnsi="Palatino Linotype" w:cs="Arial"/>
          <w:i/>
          <w:sz w:val="24"/>
          <w:szCs w:val="24"/>
          <w:lang w:val="es-ES"/>
        </w:rPr>
        <w:t>“</w:t>
      </w:r>
      <w:r w:rsidR="00A36BE2" w:rsidRPr="00A36BE2">
        <w:rPr>
          <w:rFonts w:ascii="Palatino Linotype" w:hAnsi="Palatino Linotype"/>
          <w:i/>
          <w:sz w:val="24"/>
          <w:szCs w:val="24"/>
          <w:lang w:eastAsia="es-MX"/>
        </w:rPr>
        <w:t>Documento con los dictamenes de incorporacion de las viviendas de la empresa Casas JAVER a los sistemas de aguas y alcantarillado en el que se definan los puntos de conexion de agua potable y los de descarga de aguas residuales tratadas o no segun sea el caso.</w:t>
      </w:r>
      <w:r w:rsidRPr="00624AAD">
        <w:rPr>
          <w:rFonts w:ascii="Palatino Linotype" w:eastAsia="Calibri" w:hAnsi="Palatino Linotype" w:cs="Arial"/>
          <w:i/>
          <w:sz w:val="24"/>
          <w:szCs w:val="24"/>
          <w:lang w:val="es-ES"/>
        </w:rPr>
        <w:t>” (Sic)</w:t>
      </w:r>
    </w:p>
    <w:p w14:paraId="7690DF83" w14:textId="77777777" w:rsidR="00A36BE2" w:rsidRPr="00624AAD" w:rsidRDefault="00A36BE2" w:rsidP="005000AA">
      <w:pPr>
        <w:ind w:left="567" w:right="567"/>
        <w:jc w:val="both"/>
        <w:rPr>
          <w:rFonts w:ascii="Palatino Linotype" w:eastAsia="Calibri" w:hAnsi="Palatino Linotype" w:cs="Arial"/>
          <w:i/>
          <w:sz w:val="24"/>
          <w:szCs w:val="24"/>
          <w:lang w:val="es-ES"/>
        </w:rPr>
      </w:pPr>
    </w:p>
    <w:p w14:paraId="49C7A5F5" w14:textId="77777777" w:rsidR="005000AA" w:rsidRPr="00624AAD" w:rsidRDefault="005000AA" w:rsidP="005000AA">
      <w:pPr>
        <w:pStyle w:val="Prrafodelista"/>
        <w:numPr>
          <w:ilvl w:val="0"/>
          <w:numId w:val="3"/>
        </w:numPr>
        <w:spacing w:line="360" w:lineRule="auto"/>
        <w:ind w:left="0" w:firstLine="0"/>
        <w:jc w:val="both"/>
        <w:rPr>
          <w:rFonts w:ascii="Palatino Linotype" w:hAnsi="Palatino Linotype" w:cs="Arial"/>
          <w:sz w:val="24"/>
          <w:lang w:val="es-ES"/>
        </w:rPr>
      </w:pPr>
      <w:r w:rsidRPr="00624AAD">
        <w:rPr>
          <w:rFonts w:ascii="Palatino Linotype" w:hAnsi="Palatino Linotype" w:cs="Arial"/>
          <w:sz w:val="24"/>
          <w:lang w:val="es-ES"/>
        </w:rPr>
        <w:t xml:space="preserve">Señaló como modalidad de entrega de la información a través del </w:t>
      </w:r>
      <w:r w:rsidRPr="00624AAD">
        <w:rPr>
          <w:rFonts w:ascii="Palatino Linotype" w:hAnsi="Palatino Linotype" w:cs="Arial"/>
          <w:b/>
          <w:sz w:val="24"/>
          <w:lang w:val="es-ES"/>
        </w:rPr>
        <w:t>SAIMEX.</w:t>
      </w:r>
    </w:p>
    <w:p w14:paraId="0B36934E" w14:textId="77777777" w:rsidR="005000AA" w:rsidRPr="00624AAD" w:rsidRDefault="005000AA" w:rsidP="005000AA">
      <w:pPr>
        <w:pStyle w:val="Prrafodelista"/>
        <w:spacing w:line="360" w:lineRule="auto"/>
        <w:ind w:left="0"/>
        <w:jc w:val="both"/>
        <w:rPr>
          <w:rFonts w:ascii="Palatino Linotype" w:hAnsi="Palatino Linotype" w:cs="Arial"/>
          <w:sz w:val="24"/>
          <w:lang w:val="es-ES"/>
        </w:rPr>
      </w:pPr>
    </w:p>
    <w:p w14:paraId="47BDCF02" w14:textId="518CD024"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b/>
          <w:i/>
          <w:sz w:val="24"/>
          <w:lang w:val="es-ES"/>
        </w:rPr>
      </w:pPr>
      <w:r w:rsidRPr="00624AAD">
        <w:rPr>
          <w:rFonts w:ascii="Palatino Linotype" w:eastAsia="Calibri" w:hAnsi="Palatino Linotype"/>
          <w:sz w:val="24"/>
          <w:lang w:val="es-ES"/>
        </w:rPr>
        <w:t xml:space="preserve">El </w:t>
      </w:r>
      <w:r w:rsidR="00A36BE2">
        <w:rPr>
          <w:rFonts w:ascii="Palatino Linotype" w:eastAsia="Calibri" w:hAnsi="Palatino Linotype"/>
          <w:sz w:val="24"/>
          <w:lang w:val="es-ES"/>
        </w:rPr>
        <w:t>doce</w:t>
      </w:r>
      <w:r w:rsidRPr="00624AAD">
        <w:rPr>
          <w:rFonts w:ascii="Palatino Linotype" w:eastAsia="Calibri" w:hAnsi="Palatino Linotype"/>
          <w:sz w:val="24"/>
          <w:lang w:val="es-ES"/>
        </w:rPr>
        <w:t xml:space="preserve"> </w:t>
      </w:r>
      <w:r w:rsidRPr="00624AAD">
        <w:rPr>
          <w:rFonts w:ascii="Palatino Linotype" w:eastAsia="Calibri" w:hAnsi="Palatino Linotype" w:cs="Arial"/>
          <w:sz w:val="24"/>
          <w:lang w:val="es-ES"/>
        </w:rPr>
        <w:t>(</w:t>
      </w:r>
      <w:r w:rsidR="00A36BE2">
        <w:rPr>
          <w:rFonts w:ascii="Palatino Linotype" w:eastAsia="Calibri" w:hAnsi="Palatino Linotype" w:cs="Arial"/>
          <w:sz w:val="24"/>
          <w:lang w:val="es-ES"/>
        </w:rPr>
        <w:t>12</w:t>
      </w:r>
      <w:r w:rsidRPr="00624AAD">
        <w:rPr>
          <w:rFonts w:ascii="Palatino Linotype" w:eastAsia="Calibri" w:hAnsi="Palatino Linotype" w:cs="Arial"/>
          <w:sz w:val="24"/>
          <w:lang w:val="es-ES"/>
        </w:rPr>
        <w:t xml:space="preserve">) </w:t>
      </w:r>
      <w:r w:rsidRPr="00624AAD">
        <w:rPr>
          <w:rFonts w:ascii="Palatino Linotype" w:eastAsia="Calibri" w:hAnsi="Palatino Linotype"/>
          <w:sz w:val="24"/>
          <w:lang w:val="es-ES"/>
        </w:rPr>
        <w:t>de ju</w:t>
      </w:r>
      <w:r w:rsidR="00A36BE2">
        <w:rPr>
          <w:rFonts w:ascii="Palatino Linotype" w:eastAsia="Calibri" w:hAnsi="Palatino Linotype"/>
          <w:sz w:val="24"/>
          <w:lang w:val="es-ES"/>
        </w:rPr>
        <w:t>lio</w:t>
      </w:r>
      <w:r w:rsidRPr="00624AAD">
        <w:rPr>
          <w:rFonts w:ascii="Palatino Linotype" w:eastAsia="Calibri" w:hAnsi="Palatino Linotype"/>
          <w:sz w:val="24"/>
          <w:lang w:val="es-ES"/>
        </w:rPr>
        <w:t xml:space="preserve"> de dos mil veintiuno, el </w:t>
      </w:r>
      <w:r w:rsidRPr="00624AAD">
        <w:rPr>
          <w:rFonts w:ascii="Palatino Linotype" w:eastAsia="Calibri" w:hAnsi="Palatino Linotype" w:cs="Arial"/>
          <w:b/>
          <w:sz w:val="24"/>
          <w:lang w:val="es-AR"/>
        </w:rPr>
        <w:t>SUJETO OBLIGADO</w:t>
      </w:r>
      <w:r w:rsidRPr="00624AAD">
        <w:rPr>
          <w:rFonts w:ascii="Palatino Linotype" w:eastAsia="Calibri" w:hAnsi="Palatino Linotype" w:cs="Arial"/>
          <w:b/>
          <w:i/>
          <w:sz w:val="24"/>
          <w:lang w:val="es-AR"/>
        </w:rPr>
        <w:t xml:space="preserve"> </w:t>
      </w:r>
      <w:r w:rsidRPr="00624AAD">
        <w:rPr>
          <w:rFonts w:ascii="Palatino Linotype" w:hAnsi="Palatino Linotype" w:cs="Arial"/>
          <w:sz w:val="24"/>
          <w:lang w:val="es-ES"/>
        </w:rPr>
        <w:t>dio respuesta a la solicitud de información, en los siguientes términos:</w:t>
      </w:r>
    </w:p>
    <w:p w14:paraId="57BB57FE" w14:textId="77777777" w:rsidR="005000AA" w:rsidRPr="00624AAD" w:rsidRDefault="005000AA" w:rsidP="005000AA">
      <w:pPr>
        <w:pStyle w:val="Prrafodelista"/>
        <w:rPr>
          <w:rFonts w:ascii="Palatino Linotype" w:hAnsi="Palatino Linotype" w:cs="Arial"/>
          <w:sz w:val="24"/>
          <w:lang w:val="es-ES"/>
        </w:rPr>
      </w:pPr>
    </w:p>
    <w:p w14:paraId="18DDC172" w14:textId="77777777" w:rsidR="00A36BE2" w:rsidRPr="00A36BE2" w:rsidRDefault="005000AA" w:rsidP="00A36BE2">
      <w:pPr>
        <w:pStyle w:val="Prrafodelista"/>
        <w:spacing w:before="240" w:after="240" w:line="360" w:lineRule="auto"/>
        <w:ind w:left="567" w:right="567"/>
        <w:jc w:val="both"/>
        <w:rPr>
          <w:rFonts w:ascii="Palatino Linotype" w:hAnsi="Palatino Linotype"/>
          <w:i/>
          <w:color w:val="000000"/>
          <w:sz w:val="24"/>
        </w:rPr>
      </w:pPr>
      <w:r w:rsidRPr="00624AAD">
        <w:rPr>
          <w:rFonts w:ascii="Palatino Linotype" w:eastAsia="Calibri" w:hAnsi="Palatino Linotype"/>
          <w:i/>
          <w:sz w:val="24"/>
          <w:lang w:val="es-ES"/>
        </w:rPr>
        <w:t>“</w:t>
      </w:r>
      <w:r w:rsidR="00A36BE2" w:rsidRPr="00A36BE2">
        <w:rPr>
          <w:rFonts w:ascii="Palatino Linotype" w:hAnsi="Palatino Linotype"/>
          <w:i/>
          <w:color w:val="000000"/>
          <w:sz w:val="24"/>
        </w:rPr>
        <w:t>o Descentralizado para la Prestación de Los Servicios de Agua Potable Alcantarillado y Saneamiento del Municipio de Zumpango, México a 12 de Julio de 2021</w:t>
      </w:r>
    </w:p>
    <w:p w14:paraId="0E52FC39" w14:textId="1CDA54A6" w:rsidR="00A36BE2" w:rsidRPr="00A36BE2" w:rsidRDefault="00A36BE2" w:rsidP="00A36BE2">
      <w:pPr>
        <w:pStyle w:val="Prrafodelista"/>
        <w:spacing w:before="240" w:after="240" w:line="360" w:lineRule="auto"/>
        <w:ind w:left="567" w:right="567"/>
        <w:jc w:val="both"/>
        <w:rPr>
          <w:rFonts w:ascii="Palatino Linotype" w:hAnsi="Palatino Linotype"/>
          <w:i/>
          <w:color w:val="000000"/>
          <w:sz w:val="24"/>
        </w:rPr>
      </w:pPr>
      <w:r w:rsidRPr="00A36BE2">
        <w:rPr>
          <w:rFonts w:ascii="Palatino Linotype" w:hAnsi="Palatino Linotype"/>
          <w:i/>
          <w:color w:val="000000"/>
          <w:sz w:val="24"/>
        </w:rPr>
        <w:t xml:space="preserve">Nombre del solicitante: </w:t>
      </w:r>
      <w:r w:rsidR="00A56F90">
        <w:rPr>
          <w:rFonts w:ascii="Palatino Linotype" w:eastAsia="Calibri" w:hAnsi="Palatino Linotype" w:cs="Tahoma"/>
          <w:szCs w:val="22"/>
          <w:lang w:eastAsia="en-US"/>
        </w:rPr>
        <w:t>XXXXXXXXXXXXXXXXXXXXXXXXX</w:t>
      </w:r>
      <w:bookmarkStart w:id="1" w:name="_GoBack"/>
      <w:bookmarkEnd w:id="1"/>
    </w:p>
    <w:p w14:paraId="20A2C6F7" w14:textId="77777777" w:rsidR="00A36BE2" w:rsidRPr="00A36BE2" w:rsidRDefault="00A36BE2" w:rsidP="00A36BE2">
      <w:pPr>
        <w:pStyle w:val="Prrafodelista"/>
        <w:spacing w:before="240" w:after="240" w:line="360" w:lineRule="auto"/>
        <w:ind w:left="567" w:right="567"/>
        <w:jc w:val="both"/>
        <w:rPr>
          <w:rFonts w:ascii="Palatino Linotype" w:hAnsi="Palatino Linotype"/>
          <w:i/>
          <w:color w:val="000000"/>
          <w:sz w:val="24"/>
        </w:rPr>
      </w:pPr>
      <w:r w:rsidRPr="00A36BE2">
        <w:rPr>
          <w:rFonts w:ascii="Palatino Linotype" w:hAnsi="Palatino Linotype"/>
          <w:i/>
          <w:color w:val="000000"/>
          <w:sz w:val="24"/>
        </w:rPr>
        <w:t>Folio de la solicitud: 00020/OASZUMPANG/IP/2021</w:t>
      </w:r>
    </w:p>
    <w:p w14:paraId="1FB7A44F" w14:textId="77777777" w:rsidR="00A36BE2" w:rsidRPr="00A36BE2" w:rsidRDefault="00A36BE2" w:rsidP="00A36BE2">
      <w:pPr>
        <w:pStyle w:val="Prrafodelista"/>
        <w:spacing w:before="240" w:after="240" w:line="360" w:lineRule="auto"/>
        <w:ind w:left="567" w:right="567"/>
        <w:jc w:val="both"/>
        <w:rPr>
          <w:rFonts w:ascii="Palatino Linotype" w:hAnsi="Palatino Linotype"/>
          <w:i/>
          <w:color w:val="000000"/>
          <w:sz w:val="24"/>
        </w:rPr>
      </w:pPr>
      <w:r w:rsidRPr="00A36BE2">
        <w:rPr>
          <w:rFonts w:ascii="Palatino Linotype" w:hAnsi="Palatino Linotype"/>
          <w:i/>
          <w:color w:val="000000"/>
          <w:sz w:val="24"/>
        </w:rPr>
        <w:t>LA INFORMACIÓN SOLICITADA SE ENCUENTRA EN POSESION DE LA DESARROLLADORA CASAS JAVER, PARA ELLO LE SUGERIMOS SOLICITAR DICHO PROYECTO A LA EMPRESA ANTES MENCIONADA.</w:t>
      </w:r>
    </w:p>
    <w:p w14:paraId="6327357A" w14:textId="77777777" w:rsidR="00A36BE2" w:rsidRPr="00A36BE2" w:rsidRDefault="00A36BE2" w:rsidP="00A36BE2">
      <w:pPr>
        <w:pStyle w:val="Prrafodelista"/>
        <w:spacing w:before="240" w:after="240" w:line="360" w:lineRule="auto"/>
        <w:ind w:left="567" w:right="567"/>
        <w:jc w:val="both"/>
        <w:rPr>
          <w:rFonts w:ascii="Palatino Linotype" w:hAnsi="Palatino Linotype"/>
          <w:i/>
          <w:color w:val="000000"/>
          <w:sz w:val="24"/>
        </w:rPr>
      </w:pPr>
      <w:r w:rsidRPr="00A36BE2">
        <w:rPr>
          <w:rFonts w:ascii="Palatino Linotype" w:hAnsi="Palatino Linotype"/>
          <w:i/>
          <w:color w:val="000000"/>
          <w:sz w:val="24"/>
        </w:rPr>
        <w:t>ATENTAMENTE</w:t>
      </w:r>
    </w:p>
    <w:p w14:paraId="362915EB" w14:textId="723B6DCC" w:rsidR="005000AA" w:rsidRPr="00624AAD" w:rsidRDefault="00A36BE2" w:rsidP="00A36BE2">
      <w:pPr>
        <w:pStyle w:val="Prrafodelista"/>
        <w:spacing w:before="240" w:after="240" w:line="360" w:lineRule="auto"/>
        <w:ind w:left="567" w:right="567"/>
        <w:jc w:val="both"/>
        <w:rPr>
          <w:rFonts w:ascii="Palatino Linotype" w:hAnsi="Palatino Linotype"/>
          <w:i/>
          <w:color w:val="000000"/>
          <w:sz w:val="24"/>
        </w:rPr>
      </w:pPr>
      <w:r w:rsidRPr="00A36BE2">
        <w:rPr>
          <w:rFonts w:ascii="Palatino Linotype" w:hAnsi="Palatino Linotype"/>
          <w:i/>
          <w:color w:val="000000"/>
          <w:sz w:val="24"/>
        </w:rPr>
        <w:t>LIC. KARLA VARGAS CHOREÑO</w:t>
      </w:r>
      <w:r w:rsidR="005000AA" w:rsidRPr="00624AAD">
        <w:rPr>
          <w:rFonts w:ascii="Palatino Linotype" w:hAnsi="Palatino Linotype"/>
          <w:i/>
          <w:color w:val="000000"/>
          <w:sz w:val="24"/>
        </w:rPr>
        <w:t>” (sic)</w:t>
      </w:r>
    </w:p>
    <w:p w14:paraId="613A96EF" w14:textId="77777777" w:rsidR="005000AA" w:rsidRPr="00624AAD" w:rsidRDefault="005000AA" w:rsidP="005000AA">
      <w:pPr>
        <w:pStyle w:val="Prrafodelista"/>
        <w:spacing w:before="240" w:after="240" w:line="360" w:lineRule="auto"/>
        <w:ind w:left="567" w:right="567"/>
        <w:jc w:val="both"/>
        <w:rPr>
          <w:rFonts w:ascii="Palatino Linotype" w:hAnsi="Palatino Linotype"/>
          <w:i/>
          <w:color w:val="000000"/>
          <w:sz w:val="24"/>
        </w:rPr>
      </w:pPr>
    </w:p>
    <w:p w14:paraId="0FDD08FE" w14:textId="7E00A4FE" w:rsidR="00A36BE2" w:rsidRDefault="00A36BE2" w:rsidP="005000AA">
      <w:pPr>
        <w:pStyle w:val="Prrafodelista"/>
        <w:numPr>
          <w:ilvl w:val="0"/>
          <w:numId w:val="18"/>
        </w:numPr>
        <w:spacing w:before="240" w:after="240" w:line="360" w:lineRule="auto"/>
        <w:ind w:left="709" w:right="567"/>
        <w:jc w:val="both"/>
        <w:rPr>
          <w:rFonts w:ascii="Palatino Linotype" w:hAnsi="Palatino Linotype"/>
          <w:b/>
          <w:bCs/>
          <w:iCs/>
          <w:color w:val="000000"/>
          <w:sz w:val="24"/>
        </w:rPr>
      </w:pPr>
      <w:r>
        <w:rPr>
          <w:rFonts w:ascii="Palatino Linotype" w:hAnsi="Palatino Linotype"/>
          <w:b/>
          <w:bCs/>
          <w:iCs/>
          <w:color w:val="000000"/>
          <w:sz w:val="24"/>
        </w:rPr>
        <w:t>RESPUESTA A LA SOLICITU 00020.pdf</w:t>
      </w:r>
      <w:r w:rsidR="005000AA" w:rsidRPr="00624AAD">
        <w:rPr>
          <w:rFonts w:ascii="Palatino Linotype" w:hAnsi="Palatino Linotype"/>
          <w:b/>
          <w:bCs/>
          <w:iCs/>
          <w:color w:val="000000"/>
          <w:sz w:val="24"/>
        </w:rPr>
        <w:t xml:space="preserve">: </w:t>
      </w:r>
      <w:r w:rsidRPr="00A36BE2">
        <w:rPr>
          <w:rFonts w:ascii="Palatino Linotype" w:hAnsi="Palatino Linotype"/>
          <w:bCs/>
          <w:iCs/>
          <w:color w:val="000000"/>
          <w:sz w:val="24"/>
        </w:rPr>
        <w:t xml:space="preserve">Oficio O.D.A.P.A.Z/DJ/063/2021 suscrito por el Director Jurídico del Sujeto Obligado mediante el cual refiere que, el Organismo es incompetente para brindar la información, toda vez que, dentro de sus facultades y atribuciones no se encuentra las de conocer proyectos de desarrolladoras de conjuntos urbanos, con base al Reglamento </w:t>
      </w:r>
      <w:r w:rsidR="004E6A3B" w:rsidRPr="00A36BE2">
        <w:rPr>
          <w:rFonts w:ascii="Palatino Linotype" w:hAnsi="Palatino Linotype"/>
          <w:bCs/>
          <w:iCs/>
          <w:color w:val="000000"/>
          <w:sz w:val="24"/>
        </w:rPr>
        <w:t>Orgánico</w:t>
      </w:r>
      <w:r w:rsidRPr="00A36BE2">
        <w:rPr>
          <w:rFonts w:ascii="Palatino Linotype" w:hAnsi="Palatino Linotype"/>
          <w:bCs/>
          <w:iCs/>
          <w:color w:val="000000"/>
          <w:sz w:val="24"/>
        </w:rPr>
        <w:t>.</w:t>
      </w:r>
    </w:p>
    <w:p w14:paraId="3D543208" w14:textId="77777777" w:rsidR="00A36BE2" w:rsidRDefault="00A36BE2" w:rsidP="00A36BE2">
      <w:pPr>
        <w:pStyle w:val="Prrafodelista"/>
        <w:spacing w:before="240" w:after="240" w:line="360" w:lineRule="auto"/>
        <w:ind w:left="709" w:right="567"/>
        <w:jc w:val="both"/>
        <w:rPr>
          <w:rFonts w:ascii="Palatino Linotype" w:hAnsi="Palatino Linotype"/>
          <w:b/>
          <w:bCs/>
          <w:iCs/>
          <w:color w:val="000000"/>
          <w:sz w:val="24"/>
        </w:rPr>
      </w:pPr>
    </w:p>
    <w:p w14:paraId="24722EB9" w14:textId="34EBF3A9" w:rsidR="00A36BE2" w:rsidRDefault="00A36BE2" w:rsidP="005000AA">
      <w:pPr>
        <w:pStyle w:val="Prrafodelista"/>
        <w:numPr>
          <w:ilvl w:val="0"/>
          <w:numId w:val="18"/>
        </w:numPr>
        <w:spacing w:before="240" w:after="240" w:line="360" w:lineRule="auto"/>
        <w:ind w:left="709" w:right="567"/>
        <w:jc w:val="both"/>
        <w:rPr>
          <w:rFonts w:ascii="Palatino Linotype" w:hAnsi="Palatino Linotype"/>
          <w:b/>
          <w:bCs/>
          <w:iCs/>
          <w:color w:val="000000"/>
          <w:sz w:val="24"/>
        </w:rPr>
      </w:pPr>
      <w:r>
        <w:rPr>
          <w:rFonts w:ascii="Palatino Linotype" w:hAnsi="Palatino Linotype"/>
          <w:b/>
          <w:bCs/>
          <w:iCs/>
          <w:color w:val="000000"/>
          <w:sz w:val="24"/>
        </w:rPr>
        <w:t xml:space="preserve">SOLICITUD-20.docx </w:t>
      </w:r>
      <w:r w:rsidR="004E6A3B" w:rsidRPr="004E6A3B">
        <w:rPr>
          <w:rFonts w:ascii="Palatino Linotype" w:hAnsi="Palatino Linotype"/>
          <w:bCs/>
          <w:iCs/>
          <w:color w:val="000000"/>
          <w:sz w:val="24"/>
        </w:rPr>
        <w:t>Escrito sin número de oficio y firma que contiene lo siguiente:</w:t>
      </w:r>
    </w:p>
    <w:p w14:paraId="5AEF5D9B" w14:textId="77777777" w:rsidR="004E6A3B" w:rsidRPr="004E6A3B" w:rsidRDefault="004E6A3B" w:rsidP="004E6A3B">
      <w:pPr>
        <w:pStyle w:val="Prrafodelista"/>
        <w:rPr>
          <w:rFonts w:ascii="Palatino Linotype" w:hAnsi="Palatino Linotype"/>
          <w:b/>
          <w:bCs/>
          <w:iCs/>
          <w:color w:val="000000"/>
          <w:sz w:val="24"/>
        </w:rPr>
      </w:pPr>
    </w:p>
    <w:p w14:paraId="78B68533" w14:textId="59B81F5D" w:rsidR="004E6A3B" w:rsidRPr="004E6A3B" w:rsidRDefault="004E6A3B" w:rsidP="004E6A3B">
      <w:pPr>
        <w:ind w:left="567"/>
        <w:jc w:val="both"/>
        <w:rPr>
          <w:i/>
          <w:sz w:val="22"/>
        </w:rPr>
      </w:pPr>
      <w:r>
        <w:rPr>
          <w:i/>
          <w:sz w:val="22"/>
        </w:rPr>
        <w:t>“</w:t>
      </w:r>
      <w:r w:rsidRPr="004E6A3B">
        <w:rPr>
          <w:i/>
          <w:sz w:val="22"/>
        </w:rPr>
        <w:t>Estimado solicitante.</w:t>
      </w:r>
    </w:p>
    <w:p w14:paraId="0D20F7D5" w14:textId="77777777" w:rsidR="004E6A3B" w:rsidRPr="004E6A3B" w:rsidRDefault="004E6A3B" w:rsidP="004E6A3B">
      <w:pPr>
        <w:ind w:left="567"/>
        <w:jc w:val="both"/>
        <w:rPr>
          <w:i/>
          <w:sz w:val="22"/>
        </w:rPr>
      </w:pPr>
      <w:r w:rsidRPr="004E6A3B">
        <w:rPr>
          <w:i/>
          <w:sz w:val="22"/>
        </w:rPr>
        <w:t>Que la dirección general de este organismo con fundamento en el artículo 167 de la ley de transparencia y acceso a la información pública del estado de México y municipios es incompetente para brindar la información solicitada.</w:t>
      </w:r>
    </w:p>
    <w:p w14:paraId="44D0550F" w14:textId="77777777" w:rsidR="004E6A3B" w:rsidRPr="004E6A3B" w:rsidRDefault="004E6A3B" w:rsidP="004E6A3B">
      <w:pPr>
        <w:ind w:left="567"/>
        <w:jc w:val="both"/>
        <w:rPr>
          <w:i/>
          <w:sz w:val="22"/>
        </w:rPr>
      </w:pPr>
    </w:p>
    <w:p w14:paraId="075C0083" w14:textId="77777777" w:rsidR="004E6A3B" w:rsidRPr="004E6A3B" w:rsidRDefault="004E6A3B" w:rsidP="004E6A3B">
      <w:pPr>
        <w:ind w:left="567"/>
        <w:jc w:val="both"/>
        <w:rPr>
          <w:i/>
          <w:sz w:val="22"/>
        </w:rPr>
      </w:pPr>
    </w:p>
    <w:p w14:paraId="6F8C4FD1" w14:textId="77777777" w:rsidR="004E6A3B" w:rsidRPr="004E6A3B" w:rsidRDefault="004E6A3B" w:rsidP="004E6A3B">
      <w:pPr>
        <w:ind w:left="567"/>
        <w:jc w:val="both"/>
        <w:rPr>
          <w:i/>
          <w:sz w:val="22"/>
        </w:rPr>
      </w:pPr>
      <w:r w:rsidRPr="004E6A3B">
        <w:rPr>
          <w:i/>
          <w:sz w:val="22"/>
        </w:rPr>
        <w:t xml:space="preserve">Atentamente </w:t>
      </w:r>
    </w:p>
    <w:p w14:paraId="74DF07E6" w14:textId="36FBFAD7" w:rsidR="004E6A3B" w:rsidRPr="004E6A3B" w:rsidRDefault="004E6A3B" w:rsidP="004E6A3B">
      <w:pPr>
        <w:ind w:left="567"/>
        <w:jc w:val="both"/>
        <w:rPr>
          <w:i/>
          <w:sz w:val="22"/>
        </w:rPr>
      </w:pPr>
      <w:r w:rsidRPr="004E6A3B">
        <w:rPr>
          <w:i/>
          <w:sz w:val="22"/>
        </w:rPr>
        <w:t>Dirección General. Del O.D.A.P.A.Z</w:t>
      </w:r>
      <w:r>
        <w:rPr>
          <w:i/>
          <w:sz w:val="22"/>
        </w:rPr>
        <w:t xml:space="preserve">” (sic) </w:t>
      </w:r>
    </w:p>
    <w:p w14:paraId="7D976ADF" w14:textId="77777777" w:rsidR="004E6A3B" w:rsidRDefault="004E6A3B" w:rsidP="004E6A3B">
      <w:pPr>
        <w:pStyle w:val="Prrafodelista"/>
        <w:spacing w:before="240" w:after="240" w:line="360" w:lineRule="auto"/>
        <w:ind w:left="709" w:right="567"/>
        <w:jc w:val="both"/>
        <w:rPr>
          <w:rFonts w:ascii="Palatino Linotype" w:hAnsi="Palatino Linotype"/>
          <w:b/>
          <w:bCs/>
          <w:iCs/>
          <w:color w:val="000000"/>
          <w:sz w:val="24"/>
        </w:rPr>
      </w:pPr>
    </w:p>
    <w:p w14:paraId="518CDCD9" w14:textId="6EF31528" w:rsidR="005000AA" w:rsidRPr="00624AAD" w:rsidRDefault="004E6A3B" w:rsidP="005000AA">
      <w:pPr>
        <w:pStyle w:val="Prrafodelista"/>
        <w:numPr>
          <w:ilvl w:val="0"/>
          <w:numId w:val="3"/>
        </w:numPr>
        <w:spacing w:before="240" w:after="240" w:line="360" w:lineRule="auto"/>
        <w:ind w:left="0" w:firstLine="0"/>
        <w:jc w:val="both"/>
        <w:rPr>
          <w:rFonts w:ascii="Palatino Linotype" w:hAnsi="Palatino Linotype" w:cs="Arial"/>
          <w:i/>
          <w:sz w:val="24"/>
        </w:rPr>
      </w:pPr>
      <w:r>
        <w:rPr>
          <w:rFonts w:ascii="Palatino Linotype" w:eastAsia="Calibri" w:hAnsi="Palatino Linotype" w:cs="Arial"/>
          <w:sz w:val="24"/>
          <w:lang w:val="es-AR"/>
        </w:rPr>
        <w:t>El dos</w:t>
      </w:r>
      <w:r w:rsidR="005000AA" w:rsidRPr="00624AAD">
        <w:rPr>
          <w:rFonts w:ascii="Palatino Linotype" w:eastAsia="Calibri" w:hAnsi="Palatino Linotype" w:cs="Arial"/>
          <w:sz w:val="24"/>
          <w:lang w:val="es-AR"/>
        </w:rPr>
        <w:t xml:space="preserve"> (</w:t>
      </w:r>
      <w:r>
        <w:rPr>
          <w:rFonts w:ascii="Palatino Linotype" w:eastAsia="Calibri" w:hAnsi="Palatino Linotype" w:cs="Arial"/>
          <w:sz w:val="24"/>
          <w:lang w:val="es-AR"/>
        </w:rPr>
        <w:t>2</w:t>
      </w:r>
      <w:r w:rsidR="005000AA" w:rsidRPr="00624AAD">
        <w:rPr>
          <w:rFonts w:ascii="Palatino Linotype" w:eastAsia="Calibri" w:hAnsi="Palatino Linotype" w:cs="Arial"/>
          <w:sz w:val="24"/>
          <w:lang w:val="es-AR"/>
        </w:rPr>
        <w:t xml:space="preserve">) de </w:t>
      </w:r>
      <w:r>
        <w:rPr>
          <w:rFonts w:ascii="Palatino Linotype" w:eastAsia="Calibri" w:hAnsi="Palatino Linotype" w:cs="Arial"/>
          <w:sz w:val="24"/>
          <w:lang w:val="es-AR"/>
        </w:rPr>
        <w:t xml:space="preserve">agosto </w:t>
      </w:r>
      <w:r w:rsidR="005000AA" w:rsidRPr="00624AAD">
        <w:rPr>
          <w:rFonts w:ascii="Palatino Linotype" w:eastAsia="Calibri" w:hAnsi="Palatino Linotype" w:cs="Arial"/>
          <w:sz w:val="24"/>
          <w:lang w:val="es-AR"/>
        </w:rPr>
        <w:t>de</w:t>
      </w:r>
      <w:r w:rsidR="005000AA" w:rsidRPr="00624AAD">
        <w:rPr>
          <w:rFonts w:ascii="Palatino Linotype" w:hAnsi="Palatino Linotype" w:cs="Arial"/>
          <w:sz w:val="24"/>
          <w:lang w:val="es-ES"/>
        </w:rPr>
        <w:t xml:space="preserve"> dos mil veintiuno, </w:t>
      </w:r>
      <w:r w:rsidR="005000AA" w:rsidRPr="00624AAD">
        <w:rPr>
          <w:rFonts w:ascii="Palatino Linotype" w:hAnsi="Palatino Linotype"/>
          <w:b/>
          <w:sz w:val="24"/>
        </w:rPr>
        <w:t>EL RECURRENTE</w:t>
      </w:r>
      <w:r w:rsidR="005000AA" w:rsidRPr="00624AAD">
        <w:rPr>
          <w:rFonts w:ascii="Palatino Linotype" w:hAnsi="Palatino Linotype" w:cs="Arial"/>
          <w:sz w:val="24"/>
          <w:lang w:val="es-ES"/>
        </w:rPr>
        <w:t xml:space="preserve"> interpuso el recurso de revisión, en contra de la respuesta y, señaló como:</w:t>
      </w:r>
      <w:bookmarkStart w:id="2" w:name="_Toc462307683"/>
      <w:bookmarkStart w:id="3" w:name="_Toc472427085"/>
      <w:bookmarkStart w:id="4" w:name="_Toc472500652"/>
    </w:p>
    <w:p w14:paraId="24014C79" w14:textId="77777777" w:rsidR="005000AA" w:rsidRPr="00624AAD" w:rsidRDefault="005000AA" w:rsidP="005000AA">
      <w:pPr>
        <w:pStyle w:val="Prrafodelista"/>
        <w:rPr>
          <w:rFonts w:ascii="Palatino Linotype" w:hAnsi="Palatino Linotype" w:cs="Arial"/>
          <w:i/>
          <w:sz w:val="24"/>
        </w:rPr>
      </w:pPr>
    </w:p>
    <w:p w14:paraId="60DF770D" w14:textId="6878E9FC" w:rsidR="005000AA" w:rsidRPr="00624AAD" w:rsidRDefault="005000AA" w:rsidP="005000AA">
      <w:pPr>
        <w:pStyle w:val="Prrafodelista"/>
        <w:spacing w:line="360" w:lineRule="auto"/>
        <w:jc w:val="both"/>
        <w:rPr>
          <w:rFonts w:ascii="Palatino Linotype" w:hAnsi="Palatino Linotype" w:cstheme="minorBidi"/>
          <w:bCs/>
          <w:i/>
          <w:iCs/>
          <w:sz w:val="24"/>
        </w:rPr>
      </w:pPr>
      <w:r w:rsidRPr="00624AAD">
        <w:rPr>
          <w:rFonts w:ascii="Palatino Linotype" w:hAnsi="Palatino Linotype"/>
          <w:b/>
          <w:sz w:val="24"/>
        </w:rPr>
        <w:t xml:space="preserve">Acto impugnado: </w:t>
      </w:r>
      <w:r w:rsidRPr="00624AAD">
        <w:rPr>
          <w:rFonts w:ascii="Palatino Linotype" w:hAnsi="Palatino Linotype"/>
          <w:bCs/>
          <w:i/>
          <w:iCs/>
          <w:sz w:val="24"/>
        </w:rPr>
        <w:t>“</w:t>
      </w:r>
      <w:r w:rsidR="004E6A3B" w:rsidRPr="004E6A3B">
        <w:rPr>
          <w:rFonts w:ascii="Palatino Linotype" w:hAnsi="Palatino Linotype"/>
          <w:bCs/>
          <w:i/>
          <w:iCs/>
          <w:sz w:val="24"/>
        </w:rPr>
        <w:t>Se solicitó al sujeto obligado, en éste caso el ODAPAZ de Zumpango, la incorporación de sistemas de agua y alcantarillado y descarga de aguas residuales de viviendas. Se supone que dichas atribuciones del manejo de agua y alcantarillado es parte de las funciones y autorizaciones del ODAPAZ.</w:t>
      </w:r>
      <w:r w:rsidRPr="00624AAD">
        <w:rPr>
          <w:rFonts w:ascii="Palatino Linotype" w:hAnsi="Palatino Linotype"/>
          <w:bCs/>
          <w:i/>
          <w:iCs/>
          <w:sz w:val="24"/>
        </w:rPr>
        <w:t>” (sic) y,</w:t>
      </w:r>
    </w:p>
    <w:p w14:paraId="77E7174B" w14:textId="77777777" w:rsidR="005000AA" w:rsidRPr="00624AAD" w:rsidRDefault="005000AA" w:rsidP="005000AA">
      <w:pPr>
        <w:pStyle w:val="Prrafodelista"/>
        <w:spacing w:line="360" w:lineRule="auto"/>
        <w:jc w:val="both"/>
        <w:rPr>
          <w:rFonts w:ascii="Palatino Linotype" w:hAnsi="Palatino Linotype"/>
          <w:b/>
          <w:sz w:val="24"/>
        </w:rPr>
      </w:pPr>
    </w:p>
    <w:p w14:paraId="777595D3" w14:textId="1C99645D" w:rsidR="005000AA" w:rsidRPr="00624AAD" w:rsidRDefault="005000AA" w:rsidP="005000AA">
      <w:pPr>
        <w:pStyle w:val="Prrafodelista"/>
        <w:spacing w:line="360" w:lineRule="auto"/>
        <w:jc w:val="both"/>
        <w:rPr>
          <w:rFonts w:ascii="Palatino Linotype" w:eastAsia="Calibri" w:hAnsi="Palatino Linotype" w:cs="Arial"/>
          <w:sz w:val="24"/>
          <w:lang w:val="es-ES"/>
        </w:rPr>
      </w:pPr>
      <w:r w:rsidRPr="00624AAD">
        <w:rPr>
          <w:rFonts w:ascii="Palatino Linotype" w:hAnsi="Palatino Linotype"/>
          <w:b/>
          <w:sz w:val="24"/>
        </w:rPr>
        <w:t>Razones o Motivos de Inconformidad:</w:t>
      </w:r>
      <w:r w:rsidRPr="00624AAD">
        <w:rPr>
          <w:rStyle w:val="Ttulo2Car"/>
          <w:rFonts w:ascii="Palatino Linotype" w:hAnsi="Palatino Linotype"/>
          <w:b/>
          <w:i/>
          <w:sz w:val="24"/>
          <w:szCs w:val="24"/>
          <w:lang w:val="es-ES"/>
        </w:rPr>
        <w:t xml:space="preserve"> </w:t>
      </w:r>
      <w:r w:rsidRPr="00624AAD">
        <w:rPr>
          <w:rFonts w:ascii="Palatino Linotype" w:hAnsi="Palatino Linotype"/>
          <w:sz w:val="24"/>
        </w:rPr>
        <w:t>“</w:t>
      </w:r>
      <w:r w:rsidR="004E6A3B" w:rsidRPr="004E6A3B">
        <w:rPr>
          <w:rFonts w:ascii="Palatino Linotype" w:hAnsi="Palatino Linotype"/>
          <w:i/>
          <w:sz w:val="24"/>
        </w:rPr>
        <w:t xml:space="preserve">En ningún momento se pide proyectos de "desarrolladoras de conjuntos urbanos". Dicha incorporación de agua y alcantarillado se encuentra dentro de las autorizaciones con las que debe cumplir un conjunto urbano, las cuales se enumeran en el Reglamento del Libro Quinto del Código Administrativo </w:t>
      </w:r>
      <w:r w:rsidR="004E6A3B" w:rsidRPr="004E6A3B">
        <w:rPr>
          <w:rFonts w:ascii="Palatino Linotype" w:hAnsi="Palatino Linotype"/>
          <w:i/>
          <w:sz w:val="24"/>
        </w:rPr>
        <w:lastRenderedPageBreak/>
        <w:t>del Estado de México en el artículo 146, inciso I y numeral H que a la letra dice: "Para los casos que no causen impacto urbano, dictamen de factibilidad de servicios de agua potable y drenaje, así como de incorporación a los sistemas de agua potable y alcantarillado, en el que se definan los puntos de conexión de agua potable y los de descargas de aguas residuales, el cual será emitido por el organismo o autor</w:t>
      </w:r>
      <w:r w:rsidR="004E6A3B">
        <w:rPr>
          <w:rFonts w:ascii="Palatino Linotype" w:hAnsi="Palatino Linotype"/>
          <w:i/>
          <w:sz w:val="24"/>
        </w:rPr>
        <w:t>idad municipal correspondiente"</w:t>
      </w:r>
      <w:r w:rsidRPr="00624AAD">
        <w:rPr>
          <w:rFonts w:ascii="Palatino Linotype" w:eastAsia="Calibri" w:hAnsi="Palatino Linotype" w:cs="Arial"/>
          <w:sz w:val="24"/>
          <w:lang w:val="es-ES"/>
        </w:rPr>
        <w:t>(Sic)</w:t>
      </w:r>
    </w:p>
    <w:p w14:paraId="7501A9F9" w14:textId="77777777" w:rsidR="005000AA" w:rsidRPr="00624AAD" w:rsidRDefault="005000AA" w:rsidP="005000AA">
      <w:pPr>
        <w:pStyle w:val="Prrafodelista"/>
        <w:spacing w:line="360" w:lineRule="auto"/>
        <w:jc w:val="both"/>
        <w:rPr>
          <w:rFonts w:ascii="Palatino Linotype" w:eastAsia="Calibri" w:hAnsi="Palatino Linotype" w:cs="Arial"/>
          <w:sz w:val="24"/>
          <w:lang w:val="es-ES"/>
        </w:rPr>
      </w:pPr>
    </w:p>
    <w:bookmarkEnd w:id="2"/>
    <w:bookmarkEnd w:id="3"/>
    <w:bookmarkEnd w:id="4"/>
    <w:p w14:paraId="5BE2AC11" w14:textId="5BC2B45E"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624AAD">
        <w:rPr>
          <w:rFonts w:ascii="Palatino Linotype" w:hAnsi="Palatino Linotype" w:cs="Arial"/>
          <w:sz w:val="24"/>
          <w:lang w:val="es-ES"/>
        </w:rPr>
        <w:t xml:space="preserve">Se registró el recurso de revisión bajo el número de expediente </w:t>
      </w:r>
      <w:r w:rsidRPr="00624AAD">
        <w:rPr>
          <w:rFonts w:ascii="Palatino Linotype" w:hAnsi="Palatino Linotype" w:cs="Arial"/>
          <w:bCs/>
          <w:sz w:val="24"/>
        </w:rPr>
        <w:t xml:space="preserve">al rubro indicado, asimismo con fundamento en lo dispuesto por el </w:t>
      </w:r>
      <w:r w:rsidRPr="00624AAD">
        <w:rPr>
          <w:rFonts w:ascii="Palatino Linotype" w:eastAsia="Calibri" w:hAnsi="Palatino Linotype" w:cs="Arial"/>
          <w:sz w:val="24"/>
          <w:lang w:val="es-ES"/>
        </w:rPr>
        <w:t xml:space="preserve">artículo 185 fracción I de la </w:t>
      </w:r>
      <w:r w:rsidRPr="00624AAD">
        <w:rPr>
          <w:rFonts w:ascii="Palatino Linotype" w:eastAsia="Calibri" w:hAnsi="Palatino Linotype" w:cs="Arial"/>
          <w:b/>
          <w:sz w:val="24"/>
          <w:lang w:val="es-ES"/>
        </w:rPr>
        <w:t xml:space="preserve">Ley de Transparencia y Acceso a la Información Pública del Estado de México y Municipios </w:t>
      </w:r>
      <w:r w:rsidR="00D31521">
        <w:rPr>
          <w:rFonts w:ascii="Palatino Linotype" w:hAnsi="Palatino Linotype" w:cs="Arial"/>
          <w:sz w:val="24"/>
          <w:lang w:val="es-ES"/>
        </w:rPr>
        <w:t>se turnó a</w:t>
      </w:r>
      <w:r w:rsidRPr="00624AAD">
        <w:rPr>
          <w:rFonts w:ascii="Palatino Linotype" w:hAnsi="Palatino Linotype" w:cs="Arial"/>
          <w:sz w:val="24"/>
          <w:lang w:val="es-ES"/>
        </w:rPr>
        <w:t xml:space="preserve">l </w:t>
      </w:r>
      <w:r w:rsidR="00D31521">
        <w:rPr>
          <w:rFonts w:ascii="Palatino Linotype" w:hAnsi="Palatino Linotype" w:cs="Arial"/>
          <w:b/>
          <w:sz w:val="24"/>
          <w:lang w:val="es-ES"/>
        </w:rPr>
        <w:t>Comisionado</w:t>
      </w:r>
      <w:r w:rsidRPr="00624AAD">
        <w:rPr>
          <w:rFonts w:ascii="Palatino Linotype" w:hAnsi="Palatino Linotype" w:cs="Arial"/>
          <w:b/>
          <w:sz w:val="24"/>
          <w:lang w:val="es-ES"/>
        </w:rPr>
        <w:t xml:space="preserve"> </w:t>
      </w:r>
      <w:r w:rsidR="00D31521">
        <w:rPr>
          <w:rFonts w:ascii="Palatino Linotype" w:hAnsi="Palatino Linotype" w:cs="Arial"/>
          <w:b/>
          <w:sz w:val="24"/>
          <w:lang w:val="es-ES"/>
        </w:rPr>
        <w:t>Luis Gustavo Parra Noriega</w:t>
      </w:r>
      <w:r w:rsidRPr="00624AAD">
        <w:rPr>
          <w:rFonts w:ascii="Palatino Linotype" w:hAnsi="Palatino Linotype" w:cs="Arial"/>
          <w:b/>
          <w:sz w:val="24"/>
          <w:lang w:val="es-ES"/>
        </w:rPr>
        <w:t xml:space="preserve">, </w:t>
      </w:r>
      <w:r w:rsidRPr="00624AAD">
        <w:rPr>
          <w:rFonts w:ascii="Palatino Linotype" w:hAnsi="Palatino Linotype" w:cs="Arial"/>
          <w:sz w:val="24"/>
          <w:lang w:val="es-ES"/>
        </w:rPr>
        <w:t xml:space="preserve">con el objeto de </w:t>
      </w:r>
      <w:r w:rsidRPr="00624AAD">
        <w:rPr>
          <w:rFonts w:ascii="Palatino Linotype" w:hAnsi="Palatino Linotype" w:cs="Arial"/>
          <w:sz w:val="24"/>
        </w:rPr>
        <w:t>su análisis.</w:t>
      </w:r>
    </w:p>
    <w:p w14:paraId="21EFF6B2" w14:textId="77777777" w:rsidR="005000AA" w:rsidRPr="00624AAD"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34A514ED" w:rsidR="005000AA" w:rsidRPr="00624AAD" w:rsidRDefault="005000AA"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624AAD">
        <w:rPr>
          <w:rFonts w:ascii="Palatino Linotype" w:eastAsia="Calibri" w:hAnsi="Palatino Linotype" w:cs="Arial"/>
          <w:sz w:val="24"/>
          <w:lang w:val="es-ES"/>
        </w:rPr>
        <w:t xml:space="preserve">El Comisionado Ponente con fundamento en lo dispuesto por el artículo 185 fracción II de la ley de la materia, a través del acuerdo de admisión de fecha </w:t>
      </w:r>
      <w:r w:rsidR="004E6A3B">
        <w:rPr>
          <w:rFonts w:ascii="Palatino Linotype" w:eastAsia="Calibri" w:hAnsi="Palatino Linotype" w:cs="Arial"/>
          <w:sz w:val="24"/>
          <w:lang w:val="es-ES"/>
        </w:rPr>
        <w:t>cuatro</w:t>
      </w:r>
      <w:r w:rsidRPr="00624AAD">
        <w:rPr>
          <w:rFonts w:ascii="Palatino Linotype" w:eastAsia="Calibri" w:hAnsi="Palatino Linotype" w:cs="Arial"/>
          <w:sz w:val="24"/>
          <w:lang w:val="es-ES"/>
        </w:rPr>
        <w:t xml:space="preserve"> </w:t>
      </w:r>
      <w:r w:rsidR="004E6A3B">
        <w:rPr>
          <w:rFonts w:ascii="Palatino Linotype" w:eastAsia="Calibri" w:hAnsi="Palatino Linotype" w:cs="Arial"/>
          <w:sz w:val="24"/>
          <w:lang w:val="es-ES"/>
        </w:rPr>
        <w:t>(4) de agosto</w:t>
      </w:r>
      <w:r w:rsidRPr="00624AAD">
        <w:rPr>
          <w:rFonts w:ascii="Palatino Linotype" w:eastAsia="Calibri" w:hAnsi="Palatino Linotype" w:cs="Arial"/>
          <w:sz w:val="24"/>
          <w:lang w:val="es-ES"/>
        </w:rPr>
        <w:t xml:space="preserve"> de dos mil veintiuno, puso a disposición de las partes el expediente electrónico </w:t>
      </w:r>
      <w:r w:rsidRPr="00624AAD">
        <w:rPr>
          <w:rFonts w:ascii="Palatino Linotype" w:eastAsia="Calibri" w:hAnsi="Palatino Linotype" w:cs="Arial"/>
          <w:sz w:val="24"/>
        </w:rPr>
        <w:t xml:space="preserve">vía </w:t>
      </w:r>
      <w:r w:rsidRPr="00624AAD">
        <w:rPr>
          <w:rFonts w:ascii="Palatino Linotype" w:eastAsia="Calibri" w:hAnsi="Palatino Linotype" w:cs="Arial"/>
          <w:b/>
          <w:sz w:val="24"/>
          <w:lang w:val="es-ES"/>
        </w:rPr>
        <w:t xml:space="preserve">SAIMEX </w:t>
      </w:r>
      <w:r w:rsidRPr="00624AAD">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Pr="00624AAD">
        <w:rPr>
          <w:rFonts w:ascii="Palatino Linotype" w:eastAsia="Calibri" w:hAnsi="Palatino Linotype" w:cs="Arial"/>
          <w:b/>
          <w:sz w:val="24"/>
          <w:lang w:val="es-ES"/>
        </w:rPr>
        <w:t>SUJETO OBLIGADO</w:t>
      </w:r>
      <w:r w:rsidRPr="00624AAD">
        <w:rPr>
          <w:rFonts w:ascii="Palatino Linotype" w:eastAsia="Calibri" w:hAnsi="Palatino Linotype" w:cs="Arial"/>
          <w:sz w:val="24"/>
          <w:lang w:val="es-ES"/>
        </w:rPr>
        <w:t xml:space="preserve"> presentara el informe justificado procedente.</w:t>
      </w:r>
    </w:p>
    <w:p w14:paraId="2DF01FD7" w14:textId="77777777" w:rsidR="005000AA" w:rsidRPr="00624AAD" w:rsidRDefault="005000AA" w:rsidP="005000AA">
      <w:pPr>
        <w:pStyle w:val="Prrafodelista"/>
        <w:rPr>
          <w:rFonts w:ascii="Palatino Linotype" w:hAnsi="Palatino Linotype"/>
          <w:i/>
          <w:color w:val="000000"/>
          <w:sz w:val="24"/>
        </w:rPr>
      </w:pPr>
    </w:p>
    <w:p w14:paraId="433A2E4A" w14:textId="3EB75CDB" w:rsidR="004E6A3B" w:rsidRPr="004E6A3B" w:rsidRDefault="005000AA" w:rsidP="005000AA">
      <w:pPr>
        <w:pStyle w:val="Prrafodelista"/>
        <w:numPr>
          <w:ilvl w:val="0"/>
          <w:numId w:val="3"/>
        </w:numPr>
        <w:spacing w:before="240" w:after="240" w:line="360" w:lineRule="auto"/>
        <w:ind w:left="0" w:firstLine="0"/>
        <w:jc w:val="both"/>
        <w:rPr>
          <w:rFonts w:ascii="Palatino Linotype" w:hAnsi="Palatino Linotype"/>
          <w:i/>
          <w:color w:val="000000"/>
          <w:sz w:val="24"/>
        </w:rPr>
      </w:pPr>
      <w:r w:rsidRPr="00624AAD">
        <w:rPr>
          <w:rFonts w:ascii="Palatino Linotype" w:hAnsi="Palatino Linotype"/>
          <w:iCs/>
          <w:color w:val="000000"/>
          <w:sz w:val="24"/>
        </w:rPr>
        <w:lastRenderedPageBreak/>
        <w:t xml:space="preserve">De las constancias que obran en el expediente electrónico del SAIMEX se aprecia que el Sujeto Obligado en fecha </w:t>
      </w:r>
      <w:r w:rsidR="004E6A3B">
        <w:rPr>
          <w:rFonts w:ascii="Palatino Linotype" w:hAnsi="Palatino Linotype"/>
          <w:iCs/>
          <w:color w:val="000000"/>
          <w:sz w:val="24"/>
        </w:rPr>
        <w:t>trece</w:t>
      </w:r>
      <w:r w:rsidRPr="00624AAD">
        <w:rPr>
          <w:rFonts w:ascii="Palatino Linotype" w:hAnsi="Palatino Linotype"/>
          <w:iCs/>
          <w:color w:val="000000"/>
          <w:sz w:val="24"/>
        </w:rPr>
        <w:t xml:space="preserve"> (</w:t>
      </w:r>
      <w:r w:rsidR="004E6A3B">
        <w:rPr>
          <w:rFonts w:ascii="Palatino Linotype" w:hAnsi="Palatino Linotype"/>
          <w:iCs/>
          <w:color w:val="000000"/>
          <w:sz w:val="24"/>
        </w:rPr>
        <w:t>13</w:t>
      </w:r>
      <w:r w:rsidRPr="00624AAD">
        <w:rPr>
          <w:rFonts w:ascii="Palatino Linotype" w:hAnsi="Palatino Linotype"/>
          <w:iCs/>
          <w:color w:val="000000"/>
          <w:sz w:val="24"/>
        </w:rPr>
        <w:t xml:space="preserve">) de </w:t>
      </w:r>
      <w:r w:rsidR="004E6A3B">
        <w:rPr>
          <w:rFonts w:ascii="Palatino Linotype" w:hAnsi="Palatino Linotype"/>
          <w:iCs/>
          <w:color w:val="000000"/>
          <w:sz w:val="24"/>
        </w:rPr>
        <w:t>agosto</w:t>
      </w:r>
      <w:r w:rsidRPr="00624AAD">
        <w:rPr>
          <w:rFonts w:ascii="Palatino Linotype" w:hAnsi="Palatino Linotype"/>
          <w:iCs/>
          <w:color w:val="000000"/>
          <w:sz w:val="24"/>
        </w:rPr>
        <w:t xml:space="preserve"> de dos mil veintiuno, remitió </w:t>
      </w:r>
      <w:r w:rsidR="004E6A3B">
        <w:rPr>
          <w:rFonts w:ascii="Palatino Linotype" w:hAnsi="Palatino Linotype"/>
          <w:iCs/>
          <w:color w:val="000000"/>
          <w:sz w:val="24"/>
        </w:rPr>
        <w:t xml:space="preserve">el documento electrónico denominado </w:t>
      </w:r>
      <w:r w:rsidR="004E6A3B" w:rsidRPr="004E6A3B">
        <w:rPr>
          <w:rFonts w:ascii="Palatino Linotype" w:hAnsi="Palatino Linotype"/>
          <w:b/>
          <w:i/>
          <w:iCs/>
          <w:color w:val="000000"/>
          <w:sz w:val="24"/>
        </w:rPr>
        <w:t>MANIFESTACIONES RR-03888-2021.pdf</w:t>
      </w:r>
      <w:r w:rsidR="004E6A3B">
        <w:rPr>
          <w:rFonts w:ascii="Palatino Linotype" w:hAnsi="Palatino Linotype"/>
          <w:b/>
          <w:i/>
          <w:iCs/>
          <w:color w:val="000000"/>
          <w:sz w:val="24"/>
        </w:rPr>
        <w:t xml:space="preserve">; </w:t>
      </w:r>
      <w:r w:rsidR="004E6A3B" w:rsidRPr="004E6A3B">
        <w:rPr>
          <w:rFonts w:ascii="Palatino Linotype" w:hAnsi="Palatino Linotype"/>
          <w:iCs/>
          <w:color w:val="000000"/>
          <w:sz w:val="24"/>
        </w:rPr>
        <w:t>el cual no modifica ni revoca la respuesta, por lo que no se puso a la vista del Recurrente; sin embargo, se inserta su contenido íntegro a continuación:</w:t>
      </w:r>
    </w:p>
    <w:p w14:paraId="1B720D49" w14:textId="77777777" w:rsidR="004E6A3B" w:rsidRPr="004E6A3B" w:rsidRDefault="004E6A3B" w:rsidP="004E6A3B">
      <w:pPr>
        <w:pStyle w:val="Prrafodelista"/>
        <w:rPr>
          <w:rFonts w:ascii="Palatino Linotype" w:hAnsi="Palatino Linotype"/>
          <w:i/>
          <w:color w:val="000000"/>
          <w:sz w:val="24"/>
        </w:rPr>
      </w:pPr>
    </w:p>
    <w:p w14:paraId="358B5E8F" w14:textId="0250F7F0" w:rsidR="004E6A3B" w:rsidRDefault="004E6A3B" w:rsidP="004E6A3B">
      <w:pPr>
        <w:spacing w:before="240" w:after="240" w:line="360" w:lineRule="auto"/>
        <w:jc w:val="center"/>
        <w:rPr>
          <w:rFonts w:ascii="Palatino Linotype" w:hAnsi="Palatino Linotype"/>
          <w:i/>
          <w:color w:val="000000"/>
          <w:sz w:val="24"/>
        </w:rPr>
      </w:pPr>
      <w:r>
        <w:rPr>
          <w:noProof/>
          <w:lang w:eastAsia="es-MX"/>
        </w:rPr>
        <w:lastRenderedPageBreak/>
        <w:drawing>
          <wp:inline distT="0" distB="0" distL="0" distR="0" wp14:anchorId="77446ECD" wp14:editId="3CFB4F2E">
            <wp:extent cx="4845133" cy="63321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400" t="14155" r="25017" b="10140"/>
                    <a:stretch/>
                  </pic:blipFill>
                  <pic:spPr bwMode="auto">
                    <a:xfrm>
                      <a:off x="0" y="0"/>
                      <a:ext cx="4869920" cy="6364515"/>
                    </a:xfrm>
                    <a:prstGeom prst="rect">
                      <a:avLst/>
                    </a:prstGeom>
                    <a:ln>
                      <a:noFill/>
                    </a:ln>
                    <a:extLst>
                      <a:ext uri="{53640926-AAD7-44D8-BBD7-CCE9431645EC}">
                        <a14:shadowObscured xmlns:a14="http://schemas.microsoft.com/office/drawing/2010/main"/>
                      </a:ext>
                    </a:extLst>
                  </pic:spPr>
                </pic:pic>
              </a:graphicData>
            </a:graphic>
          </wp:inline>
        </w:drawing>
      </w:r>
    </w:p>
    <w:p w14:paraId="153E23FD" w14:textId="65B47C65" w:rsidR="004E6A3B" w:rsidRDefault="004E6A3B" w:rsidP="004E6A3B">
      <w:pPr>
        <w:spacing w:before="240" w:after="240" w:line="360" w:lineRule="auto"/>
        <w:jc w:val="center"/>
        <w:rPr>
          <w:rFonts w:ascii="Palatino Linotype" w:hAnsi="Palatino Linotype"/>
          <w:i/>
          <w:color w:val="000000"/>
          <w:sz w:val="24"/>
        </w:rPr>
      </w:pPr>
      <w:r>
        <w:rPr>
          <w:noProof/>
          <w:lang w:eastAsia="es-MX"/>
        </w:rPr>
        <w:lastRenderedPageBreak/>
        <w:drawing>
          <wp:inline distT="0" distB="0" distL="0" distR="0" wp14:anchorId="58150D8D" wp14:editId="2112C357">
            <wp:extent cx="5199321" cy="6745389"/>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586" t="17115" r="25017" b="8161"/>
                    <a:stretch/>
                  </pic:blipFill>
                  <pic:spPr bwMode="auto">
                    <a:xfrm>
                      <a:off x="0" y="0"/>
                      <a:ext cx="5227779" cy="6782309"/>
                    </a:xfrm>
                    <a:prstGeom prst="rect">
                      <a:avLst/>
                    </a:prstGeom>
                    <a:ln>
                      <a:noFill/>
                    </a:ln>
                    <a:extLst>
                      <a:ext uri="{53640926-AAD7-44D8-BBD7-CCE9431645EC}">
                        <a14:shadowObscured xmlns:a14="http://schemas.microsoft.com/office/drawing/2010/main"/>
                      </a:ext>
                    </a:extLst>
                  </pic:spPr>
                </pic:pic>
              </a:graphicData>
            </a:graphic>
          </wp:inline>
        </w:drawing>
      </w:r>
    </w:p>
    <w:p w14:paraId="155A6D98" w14:textId="19BCB7F1" w:rsidR="004E6A3B" w:rsidRDefault="004E6A3B" w:rsidP="004E6A3B">
      <w:pPr>
        <w:spacing w:before="240" w:after="240" w:line="360" w:lineRule="auto"/>
        <w:jc w:val="center"/>
        <w:rPr>
          <w:rFonts w:ascii="Palatino Linotype" w:hAnsi="Palatino Linotype"/>
          <w:i/>
          <w:color w:val="000000"/>
          <w:sz w:val="24"/>
        </w:rPr>
      </w:pPr>
      <w:r>
        <w:rPr>
          <w:noProof/>
          <w:lang w:eastAsia="es-MX"/>
        </w:rPr>
        <w:lastRenderedPageBreak/>
        <w:drawing>
          <wp:inline distT="0" distB="0" distL="0" distR="0" wp14:anchorId="77E956E3" wp14:editId="5C3ED159">
            <wp:extent cx="5039598" cy="6645349"/>
            <wp:effectExtent l="0" t="0" r="889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592" t="14154" r="24827" b="9464"/>
                    <a:stretch/>
                  </pic:blipFill>
                  <pic:spPr bwMode="auto">
                    <a:xfrm>
                      <a:off x="0" y="0"/>
                      <a:ext cx="5068423" cy="6683359"/>
                    </a:xfrm>
                    <a:prstGeom prst="rect">
                      <a:avLst/>
                    </a:prstGeom>
                    <a:ln>
                      <a:noFill/>
                    </a:ln>
                    <a:extLst>
                      <a:ext uri="{53640926-AAD7-44D8-BBD7-CCE9431645EC}">
                        <a14:shadowObscured xmlns:a14="http://schemas.microsoft.com/office/drawing/2010/main"/>
                      </a:ext>
                    </a:extLst>
                  </pic:spPr>
                </pic:pic>
              </a:graphicData>
            </a:graphic>
          </wp:inline>
        </w:drawing>
      </w:r>
    </w:p>
    <w:p w14:paraId="14642681" w14:textId="5062CF7C" w:rsidR="004E6A3B" w:rsidRDefault="004E6A3B" w:rsidP="004E6A3B">
      <w:pPr>
        <w:spacing w:before="240" w:after="240" w:line="360" w:lineRule="auto"/>
        <w:jc w:val="center"/>
        <w:rPr>
          <w:rFonts w:ascii="Palatino Linotype" w:hAnsi="Palatino Linotype"/>
          <w:i/>
          <w:color w:val="000000"/>
          <w:sz w:val="24"/>
        </w:rPr>
      </w:pPr>
      <w:r>
        <w:rPr>
          <w:noProof/>
          <w:lang w:eastAsia="es-MX"/>
        </w:rPr>
        <w:lastRenderedPageBreak/>
        <w:drawing>
          <wp:inline distT="0" distB="0" distL="0" distR="0" wp14:anchorId="79BEAAE0" wp14:editId="2CD0FD43">
            <wp:extent cx="5188688" cy="6647487"/>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216" t="19750" r="24832" b="5197"/>
                    <a:stretch/>
                  </pic:blipFill>
                  <pic:spPr bwMode="auto">
                    <a:xfrm>
                      <a:off x="0" y="0"/>
                      <a:ext cx="5207209" cy="6671215"/>
                    </a:xfrm>
                    <a:prstGeom prst="rect">
                      <a:avLst/>
                    </a:prstGeom>
                    <a:ln>
                      <a:noFill/>
                    </a:ln>
                    <a:extLst>
                      <a:ext uri="{53640926-AAD7-44D8-BBD7-CCE9431645EC}">
                        <a14:shadowObscured xmlns:a14="http://schemas.microsoft.com/office/drawing/2010/main"/>
                      </a:ext>
                    </a:extLst>
                  </pic:spPr>
                </pic:pic>
              </a:graphicData>
            </a:graphic>
          </wp:inline>
        </w:drawing>
      </w:r>
    </w:p>
    <w:p w14:paraId="12AC96F6" w14:textId="7AC3C061" w:rsidR="004E6A3B" w:rsidRPr="004E6A3B" w:rsidRDefault="004E6A3B" w:rsidP="004E6A3B">
      <w:pPr>
        <w:spacing w:before="240" w:after="240" w:line="360" w:lineRule="auto"/>
        <w:jc w:val="center"/>
        <w:rPr>
          <w:rFonts w:ascii="Palatino Linotype" w:hAnsi="Palatino Linotype"/>
          <w:i/>
          <w:color w:val="000000"/>
          <w:sz w:val="24"/>
        </w:rPr>
      </w:pPr>
      <w:r>
        <w:rPr>
          <w:noProof/>
          <w:lang w:eastAsia="es-MX"/>
        </w:rPr>
        <w:lastRenderedPageBreak/>
        <w:drawing>
          <wp:inline distT="0" distB="0" distL="0" distR="0" wp14:anchorId="42B835A9" wp14:editId="63A72D1B">
            <wp:extent cx="5158161" cy="6762307"/>
            <wp:effectExtent l="0" t="0" r="444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401" t="19750" r="24832" b="3880"/>
                    <a:stretch/>
                  </pic:blipFill>
                  <pic:spPr bwMode="auto">
                    <a:xfrm>
                      <a:off x="0" y="0"/>
                      <a:ext cx="5176162" cy="6785907"/>
                    </a:xfrm>
                    <a:prstGeom prst="rect">
                      <a:avLst/>
                    </a:prstGeom>
                    <a:ln>
                      <a:noFill/>
                    </a:ln>
                    <a:extLst>
                      <a:ext uri="{53640926-AAD7-44D8-BBD7-CCE9431645EC}">
                        <a14:shadowObscured xmlns:a14="http://schemas.microsoft.com/office/drawing/2010/main"/>
                      </a:ext>
                    </a:extLst>
                  </pic:spPr>
                </pic:pic>
              </a:graphicData>
            </a:graphic>
          </wp:inline>
        </w:drawing>
      </w:r>
    </w:p>
    <w:p w14:paraId="0F89F5CD" w14:textId="6175E0F2" w:rsidR="005000AA" w:rsidRPr="00624AAD" w:rsidRDefault="00D31521" w:rsidP="005000AA">
      <w:pPr>
        <w:pStyle w:val="Prrafodelista"/>
        <w:numPr>
          <w:ilvl w:val="0"/>
          <w:numId w:val="3"/>
        </w:numPr>
        <w:spacing w:line="360" w:lineRule="auto"/>
        <w:ind w:left="0" w:firstLine="0"/>
        <w:jc w:val="both"/>
        <w:rPr>
          <w:rFonts w:ascii="Palatino Linotype" w:hAnsi="Palatino Linotype" w:cs="Tahoma"/>
          <w:sz w:val="24"/>
        </w:rPr>
      </w:pPr>
      <w:r>
        <w:rPr>
          <w:rFonts w:ascii="Palatino Linotype" w:eastAsia="Calibri" w:hAnsi="Palatino Linotype" w:cs="Arial"/>
          <w:sz w:val="24"/>
          <w:lang w:val="es-ES"/>
        </w:rPr>
        <w:lastRenderedPageBreak/>
        <w:t>El día ocho</w:t>
      </w:r>
      <w:r w:rsidR="005000AA" w:rsidRPr="00624AAD">
        <w:rPr>
          <w:rFonts w:ascii="Palatino Linotype" w:eastAsia="Calibri" w:hAnsi="Palatino Linotype" w:cs="Arial"/>
          <w:sz w:val="24"/>
          <w:lang w:val="es-ES"/>
        </w:rPr>
        <w:t xml:space="preserve"> (</w:t>
      </w:r>
      <w:r>
        <w:rPr>
          <w:rFonts w:ascii="Palatino Linotype" w:eastAsia="Calibri" w:hAnsi="Palatino Linotype" w:cs="Arial"/>
          <w:sz w:val="24"/>
          <w:lang w:val="es-ES"/>
        </w:rPr>
        <w:t>8</w:t>
      </w:r>
      <w:r w:rsidR="005000AA" w:rsidRPr="00624AAD">
        <w:rPr>
          <w:rFonts w:ascii="Palatino Linotype" w:eastAsia="Calibri" w:hAnsi="Palatino Linotype" w:cs="Arial"/>
          <w:sz w:val="24"/>
          <w:lang w:val="es-ES"/>
        </w:rPr>
        <w:t xml:space="preserve">) de </w:t>
      </w:r>
      <w:r>
        <w:rPr>
          <w:rFonts w:ascii="Palatino Linotype" w:eastAsia="Calibri" w:hAnsi="Palatino Linotype" w:cs="Arial"/>
          <w:sz w:val="24"/>
          <w:lang w:val="es-ES"/>
        </w:rPr>
        <w:t>septiembre</w:t>
      </w:r>
      <w:r w:rsidR="005000AA" w:rsidRPr="00624AAD">
        <w:rPr>
          <w:rFonts w:ascii="Palatino Linotype" w:eastAsia="Calibri" w:hAnsi="Palatino Linotype" w:cs="Arial"/>
          <w:sz w:val="24"/>
          <w:lang w:val="es-ES"/>
        </w:rPr>
        <w:t xml:space="preserve"> de dos mil veintiuno, e</w:t>
      </w:r>
      <w:r w:rsidR="005000AA" w:rsidRPr="00624AAD">
        <w:rPr>
          <w:rFonts w:ascii="Palatino Linotype" w:hAnsi="Palatino Linotype"/>
          <w:sz w:val="24"/>
        </w:rPr>
        <w:t>l Comisionado Ponente decretó el cierre de instrucción</w:t>
      </w:r>
      <w:r w:rsidR="005000AA" w:rsidRPr="00624AAD">
        <w:rPr>
          <w:rFonts w:ascii="Palatino Linotype" w:hAnsi="Palatino Linotype" w:cs="Arial"/>
          <w:sz w:val="24"/>
        </w:rPr>
        <w:t>.</w:t>
      </w:r>
      <w:r w:rsidR="005000AA" w:rsidRPr="00624AAD">
        <w:rPr>
          <w:rFonts w:ascii="Palatino Linotype" w:hAnsi="Palatino Linotype" w:cs="Tahoma"/>
          <w:sz w:val="24"/>
        </w:rPr>
        <w:t xml:space="preserve"> </w:t>
      </w:r>
    </w:p>
    <w:p w14:paraId="3AA783A7" w14:textId="77777777" w:rsidR="005000AA" w:rsidRPr="00624AAD" w:rsidRDefault="005000AA" w:rsidP="005000AA">
      <w:pPr>
        <w:pStyle w:val="Prrafodelista"/>
        <w:spacing w:line="360" w:lineRule="auto"/>
        <w:ind w:left="0"/>
        <w:jc w:val="both"/>
        <w:rPr>
          <w:rFonts w:ascii="Palatino Linotype" w:hAnsi="Palatino Linotype" w:cs="Tahoma"/>
          <w:sz w:val="24"/>
        </w:rPr>
      </w:pPr>
    </w:p>
    <w:p w14:paraId="602C21C8" w14:textId="77777777" w:rsidR="005000AA" w:rsidRPr="00624AAD" w:rsidRDefault="005000AA" w:rsidP="005000AA">
      <w:pPr>
        <w:pStyle w:val="Prrafodelista"/>
        <w:numPr>
          <w:ilvl w:val="0"/>
          <w:numId w:val="3"/>
        </w:numPr>
        <w:spacing w:line="360" w:lineRule="auto"/>
        <w:ind w:left="0" w:firstLine="0"/>
        <w:jc w:val="both"/>
        <w:rPr>
          <w:rFonts w:ascii="Palatino Linotype" w:hAnsi="Palatino Linotype" w:cs="Tahoma"/>
          <w:sz w:val="24"/>
        </w:rPr>
      </w:pPr>
      <w:r w:rsidRPr="00624AAD">
        <w:rPr>
          <w:rFonts w:ascii="Palatino Linotype" w:hAnsi="Palatino Linotype" w:cs="Arial"/>
          <w:color w:val="000000" w:themeColor="text1"/>
          <w:sz w:val="24"/>
        </w:rPr>
        <w:t xml:space="preserve">En fecha veintitrés (23) de agosto del dos mil veintiuno, en la segunda sesión extraordinaria del Pleno del Instituto de Transparencia, Acceso a la Información Pública y Protección de Datos Personales del Estado de México y Municipios acordó el returno del recurso de revisión a la Comisionada María del Rosario Mejía Ayala para su resolución; y - - - - - - - - - - - </w:t>
      </w:r>
      <w:r w:rsidRPr="00624AAD">
        <w:rPr>
          <w:rFonts w:ascii="Palatino Linotype" w:hAnsi="Palatino Linotype" w:cs="Arial"/>
          <w:sz w:val="24"/>
        </w:rPr>
        <w:t>- - - - - - - - - - - - - - - - - - -</w:t>
      </w:r>
      <w:r w:rsidRPr="00624AAD">
        <w:rPr>
          <w:rFonts w:ascii="Palatino Linotype" w:hAnsi="Palatino Linotype" w:cs="Tahoma"/>
          <w:sz w:val="24"/>
        </w:rPr>
        <w:t xml:space="preserve"> </w:t>
      </w:r>
      <w:r w:rsidRPr="00624AAD">
        <w:rPr>
          <w:rFonts w:ascii="Palatino Linotype" w:hAnsi="Palatino Linotype" w:cs="Arial"/>
          <w:sz w:val="24"/>
        </w:rPr>
        <w:t>- - - - - -- - - - - -- - - - - -</w:t>
      </w:r>
    </w:p>
    <w:p w14:paraId="1818EEE5" w14:textId="77777777" w:rsidR="005000AA" w:rsidRPr="00624AAD" w:rsidRDefault="005000AA" w:rsidP="005000AA">
      <w:pPr>
        <w:pStyle w:val="Prrafodelista"/>
        <w:rPr>
          <w:rFonts w:ascii="Palatino Linotype" w:hAnsi="Palatino Linotype" w:cs="Tahoma"/>
          <w:sz w:val="24"/>
        </w:rPr>
      </w:pPr>
    </w:p>
    <w:p w14:paraId="0F9176A0" w14:textId="77777777" w:rsidR="005000AA" w:rsidRPr="00624AAD" w:rsidRDefault="005000AA" w:rsidP="005000AA">
      <w:pPr>
        <w:pStyle w:val="Ttulo1"/>
        <w:jc w:val="center"/>
        <w:rPr>
          <w:rFonts w:ascii="Palatino Linotype" w:hAnsi="Palatino Linotype"/>
          <w:b/>
          <w:color w:val="auto"/>
          <w:sz w:val="24"/>
          <w:szCs w:val="24"/>
        </w:rPr>
      </w:pPr>
      <w:bookmarkStart w:id="5" w:name="_Toc83210165"/>
      <w:r w:rsidRPr="00624AAD">
        <w:rPr>
          <w:rFonts w:ascii="Palatino Linotype" w:hAnsi="Palatino Linotype"/>
          <w:b/>
          <w:color w:val="auto"/>
          <w:sz w:val="24"/>
          <w:szCs w:val="24"/>
        </w:rPr>
        <w:t>CONSIDERANDO</w:t>
      </w:r>
      <w:bookmarkEnd w:id="5"/>
      <w:r w:rsidRPr="00624AAD">
        <w:rPr>
          <w:rFonts w:ascii="Palatino Linotype" w:hAnsi="Palatino Linotype"/>
          <w:b/>
          <w:color w:val="auto"/>
          <w:sz w:val="24"/>
          <w:szCs w:val="24"/>
        </w:rPr>
        <w:t xml:space="preserve"> </w:t>
      </w:r>
    </w:p>
    <w:p w14:paraId="5A808AC6" w14:textId="77777777" w:rsidR="005000AA" w:rsidRPr="00624AAD" w:rsidRDefault="005000AA" w:rsidP="005000AA">
      <w:pPr>
        <w:rPr>
          <w:rFonts w:ascii="Palatino Linotype" w:hAnsi="Palatino Linotype"/>
          <w:sz w:val="24"/>
          <w:szCs w:val="24"/>
          <w:lang w:eastAsia="en-US"/>
        </w:rPr>
      </w:pPr>
    </w:p>
    <w:p w14:paraId="1058C60B" w14:textId="77777777" w:rsidR="005000AA" w:rsidRPr="00624AAD" w:rsidRDefault="005000AA" w:rsidP="005000AA">
      <w:pPr>
        <w:pStyle w:val="Ttulo2"/>
        <w:rPr>
          <w:rFonts w:ascii="Palatino Linotype" w:hAnsi="Palatino Linotype"/>
          <w:b/>
          <w:bCs/>
          <w:color w:val="auto"/>
          <w:spacing w:val="60"/>
          <w:sz w:val="24"/>
          <w:szCs w:val="24"/>
          <w:lang w:eastAsia="en-US"/>
        </w:rPr>
      </w:pPr>
      <w:bookmarkStart w:id="6" w:name="_Toc83210166"/>
      <w:r w:rsidRPr="00624AAD">
        <w:rPr>
          <w:rFonts w:ascii="Palatino Linotype" w:hAnsi="Palatino Linotype"/>
          <w:b/>
          <w:color w:val="auto"/>
          <w:sz w:val="24"/>
          <w:szCs w:val="24"/>
        </w:rPr>
        <w:t>PRIMERO. De la competencia</w:t>
      </w:r>
      <w:bookmarkEnd w:id="6"/>
    </w:p>
    <w:p w14:paraId="38B24DFE" w14:textId="77777777" w:rsidR="005000AA" w:rsidRPr="00624AAD"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4AAD">
        <w:rPr>
          <w:rFonts w:ascii="Palatino Linotype" w:eastAsia="Calibri" w:hAnsi="Palatino Linotype"/>
          <w:b/>
          <w:sz w:val="24"/>
          <w:lang w:val="es-ES"/>
        </w:rPr>
        <w:t>Constitución Política de los Estados Unidos Mexicanos</w:t>
      </w:r>
      <w:r w:rsidRPr="00624AAD">
        <w:rPr>
          <w:rFonts w:ascii="Palatino Linotype" w:eastAsia="Calibri" w:hAnsi="Palatino Linotype"/>
          <w:sz w:val="24"/>
          <w:lang w:val="es-ES"/>
        </w:rPr>
        <w:t xml:space="preserve">; 5, párrafos </w:t>
      </w:r>
      <w:r w:rsidRPr="00624AAD">
        <w:rPr>
          <w:rFonts w:ascii="Palatino Linotype" w:hAnsi="Palatino Linotype" w:cs="Arial"/>
          <w:bCs/>
          <w:color w:val="222222"/>
          <w:sz w:val="24"/>
          <w:lang w:val="es-ES"/>
        </w:rPr>
        <w:t>vigésimo noveno, trigésimo y trigésimo primero fracciones</w:t>
      </w:r>
      <w:r w:rsidRPr="00624AAD">
        <w:rPr>
          <w:rFonts w:ascii="Palatino Linotype" w:eastAsia="Calibri" w:hAnsi="Palatino Linotype"/>
          <w:sz w:val="24"/>
          <w:lang w:val="es-ES"/>
        </w:rPr>
        <w:t xml:space="preserve"> IV y V de la </w:t>
      </w:r>
      <w:r w:rsidRPr="00624AAD">
        <w:rPr>
          <w:rFonts w:ascii="Palatino Linotype" w:eastAsia="Calibri" w:hAnsi="Palatino Linotype"/>
          <w:b/>
          <w:sz w:val="24"/>
          <w:lang w:val="es-ES"/>
        </w:rPr>
        <w:t>Constitución Política del Estado Libre y Soberano de México</w:t>
      </w:r>
      <w:r w:rsidRPr="00624AAD">
        <w:rPr>
          <w:rFonts w:ascii="Palatino Linotype" w:eastAsia="Calibri" w:hAnsi="Palatino Linotype"/>
          <w:sz w:val="24"/>
          <w:lang w:val="es-ES"/>
        </w:rPr>
        <w:t xml:space="preserve">; artículos 1, 2 fracción II, 13, 29, 36 fracciones I y II, 176, 178, 179, 181 párrafo tercero y 185 </w:t>
      </w:r>
      <w:r w:rsidRPr="00624AAD">
        <w:rPr>
          <w:rFonts w:ascii="Palatino Linotype" w:eastAsia="Calibri" w:hAnsi="Palatino Linotype" w:cs="Arial"/>
          <w:sz w:val="24"/>
          <w:lang w:val="es-ES"/>
        </w:rPr>
        <w:t xml:space="preserve">de la </w:t>
      </w:r>
      <w:r w:rsidRPr="00624AAD">
        <w:rPr>
          <w:rFonts w:ascii="Palatino Linotype" w:eastAsia="Calibri" w:hAnsi="Palatino Linotype" w:cs="Arial"/>
          <w:b/>
          <w:sz w:val="24"/>
          <w:lang w:val="es-ES"/>
        </w:rPr>
        <w:t>Ley de Transparencia y Acceso a la Información Pública del Estado de México y Municipios</w:t>
      </w:r>
      <w:r w:rsidRPr="00624AAD">
        <w:rPr>
          <w:rFonts w:ascii="Palatino Linotype" w:eastAsia="Calibri" w:hAnsi="Palatino Linotype" w:cs="Arial"/>
          <w:sz w:val="24"/>
          <w:lang w:val="es-ES"/>
        </w:rPr>
        <w:t xml:space="preserve">; y 7, 9 fracciones I y XXIV, </w:t>
      </w:r>
      <w:r w:rsidRPr="00624AAD">
        <w:rPr>
          <w:rFonts w:ascii="Palatino Linotype" w:eastAsia="Calibri" w:hAnsi="Palatino Linotype" w:cs="Arial"/>
          <w:sz w:val="24"/>
          <w:lang w:val="es-ES"/>
        </w:rPr>
        <w:lastRenderedPageBreak/>
        <w:t xml:space="preserve">y 11 del </w:t>
      </w:r>
      <w:r w:rsidRPr="00624AAD">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624AAD">
        <w:rPr>
          <w:rFonts w:ascii="Palatino Linotype" w:hAnsi="Palatino Linotype"/>
          <w:sz w:val="24"/>
        </w:rPr>
        <w:t>.</w:t>
      </w:r>
    </w:p>
    <w:p w14:paraId="2B66D361" w14:textId="77777777" w:rsidR="005000AA" w:rsidRPr="00624AAD" w:rsidRDefault="005000AA" w:rsidP="005000AA">
      <w:pPr>
        <w:pStyle w:val="Prrafodelista"/>
        <w:spacing w:before="240" w:after="240" w:line="360" w:lineRule="auto"/>
        <w:ind w:left="0"/>
        <w:jc w:val="both"/>
        <w:rPr>
          <w:rFonts w:ascii="Palatino Linotype" w:hAnsi="Palatino Linotype"/>
          <w:sz w:val="24"/>
        </w:rPr>
      </w:pPr>
    </w:p>
    <w:p w14:paraId="22C7FC5E" w14:textId="77777777" w:rsidR="005000AA" w:rsidRPr="00624AAD"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cs="Arial"/>
          <w:sz w:val="24"/>
          <w:lang w:val="es-ES"/>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D296A9A" w14:textId="77777777" w:rsidR="005000AA" w:rsidRPr="00624AAD" w:rsidRDefault="005000AA" w:rsidP="005000AA">
      <w:pPr>
        <w:pStyle w:val="Ttulo2"/>
        <w:rPr>
          <w:rFonts w:ascii="Palatino Linotype" w:hAnsi="Palatino Linotype"/>
          <w:b/>
          <w:color w:val="auto"/>
          <w:sz w:val="24"/>
          <w:szCs w:val="24"/>
        </w:rPr>
      </w:pPr>
      <w:bookmarkStart w:id="7" w:name="_Toc83210167"/>
      <w:r w:rsidRPr="00624AAD">
        <w:rPr>
          <w:rFonts w:ascii="Palatino Linotype" w:hAnsi="Palatino Linotype"/>
          <w:b/>
          <w:color w:val="auto"/>
          <w:sz w:val="24"/>
          <w:szCs w:val="24"/>
        </w:rPr>
        <w:t>SEGUNDO. De la oportunidad y procedencia.</w:t>
      </w:r>
      <w:bookmarkEnd w:id="7"/>
    </w:p>
    <w:p w14:paraId="68EB8895" w14:textId="134E867D"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 xml:space="preserve">El medio de impugnación fue presentado a través del </w:t>
      </w:r>
      <w:r w:rsidRPr="00624AAD">
        <w:rPr>
          <w:rFonts w:ascii="Palatino Linotype" w:eastAsia="Calibri" w:hAnsi="Palatino Linotype" w:cs="Arial"/>
          <w:b/>
          <w:sz w:val="24"/>
        </w:rPr>
        <w:t>SAIMEX,</w:t>
      </w:r>
      <w:r w:rsidRPr="00624AAD">
        <w:rPr>
          <w:rFonts w:ascii="Palatino Linotype" w:eastAsia="Calibri" w:hAnsi="Palatino Linotype" w:cs="Arial"/>
          <w:sz w:val="24"/>
        </w:rPr>
        <w:t xml:space="preserve"> en el formato previamente aprobado para tal efecto y dentro del plazo legal de quince días hábiles otorgados; siendo así que el </w:t>
      </w:r>
      <w:r w:rsidRPr="00624AAD">
        <w:rPr>
          <w:rFonts w:ascii="Palatino Linotype" w:eastAsia="Calibri" w:hAnsi="Palatino Linotype" w:cs="Arial"/>
          <w:b/>
          <w:sz w:val="24"/>
        </w:rPr>
        <w:t>SUJETO OBLIGADO</w:t>
      </w:r>
      <w:r w:rsidRPr="00624AAD">
        <w:rPr>
          <w:rFonts w:ascii="Palatino Linotype" w:eastAsia="Calibri" w:hAnsi="Palatino Linotype" w:cs="Arial"/>
          <w:sz w:val="24"/>
        </w:rPr>
        <w:t xml:space="preserve"> entregó respuesta a la solicitud el </w:t>
      </w:r>
      <w:r w:rsidR="00D31521">
        <w:rPr>
          <w:rFonts w:ascii="Palatino Linotype" w:eastAsia="Calibri" w:hAnsi="Palatino Linotype" w:cs="Arial"/>
          <w:sz w:val="24"/>
        </w:rPr>
        <w:t>doce</w:t>
      </w:r>
      <w:r w:rsidRPr="00624AAD">
        <w:rPr>
          <w:rFonts w:ascii="Palatino Linotype" w:eastAsia="Calibri" w:hAnsi="Palatino Linotype" w:cs="Arial"/>
          <w:sz w:val="24"/>
        </w:rPr>
        <w:t xml:space="preserve"> (</w:t>
      </w:r>
      <w:r w:rsidR="00D31521">
        <w:rPr>
          <w:rFonts w:ascii="Palatino Linotype" w:eastAsia="Calibri" w:hAnsi="Palatino Linotype" w:cs="Arial"/>
          <w:sz w:val="24"/>
        </w:rPr>
        <w:t>12</w:t>
      </w:r>
      <w:r w:rsidRPr="00624AAD">
        <w:rPr>
          <w:rFonts w:ascii="Palatino Linotype" w:eastAsia="Calibri" w:hAnsi="Palatino Linotype" w:cs="Arial"/>
          <w:sz w:val="24"/>
        </w:rPr>
        <w:t>) de ju</w:t>
      </w:r>
      <w:r w:rsidR="00D31521">
        <w:rPr>
          <w:rFonts w:ascii="Palatino Linotype" w:eastAsia="Calibri" w:hAnsi="Palatino Linotype" w:cs="Arial"/>
          <w:sz w:val="24"/>
        </w:rPr>
        <w:t>lio</w:t>
      </w:r>
      <w:r w:rsidRPr="00624AAD">
        <w:rPr>
          <w:rFonts w:ascii="Palatino Linotype" w:eastAsia="Calibri" w:hAnsi="Palatino Linotype" w:cs="Arial"/>
          <w:sz w:val="24"/>
        </w:rPr>
        <w:t xml:space="preserve"> de dos mil veintiuno, </w:t>
      </w:r>
      <w:r w:rsidRPr="00624AAD">
        <w:rPr>
          <w:rFonts w:ascii="Palatino Linotype" w:hAnsi="Palatino Linotype" w:cs="Arial"/>
          <w:sz w:val="24"/>
        </w:rPr>
        <w:t>de tal forma que el plazo para interponer el recur</w:t>
      </w:r>
      <w:r w:rsidR="00D31521">
        <w:rPr>
          <w:rFonts w:ascii="Palatino Linotype" w:hAnsi="Palatino Linotype" w:cs="Arial"/>
          <w:sz w:val="24"/>
        </w:rPr>
        <w:t>so de revisión transcurrió del trece</w:t>
      </w:r>
      <w:r w:rsidRPr="00624AAD">
        <w:rPr>
          <w:rFonts w:ascii="Palatino Linotype" w:hAnsi="Palatino Linotype" w:cs="Arial"/>
          <w:sz w:val="24"/>
        </w:rPr>
        <w:t xml:space="preserve"> (</w:t>
      </w:r>
      <w:r w:rsidR="00D31521">
        <w:rPr>
          <w:rFonts w:ascii="Palatino Linotype" w:hAnsi="Palatino Linotype" w:cs="Arial"/>
          <w:sz w:val="24"/>
        </w:rPr>
        <w:t>13</w:t>
      </w:r>
      <w:r w:rsidRPr="00624AAD">
        <w:rPr>
          <w:rFonts w:ascii="Palatino Linotype" w:hAnsi="Palatino Linotype" w:cs="Arial"/>
          <w:sz w:val="24"/>
        </w:rPr>
        <w:t>) de ju</w:t>
      </w:r>
      <w:r w:rsidR="00D31521">
        <w:rPr>
          <w:rFonts w:ascii="Palatino Linotype" w:hAnsi="Palatino Linotype" w:cs="Arial"/>
          <w:sz w:val="24"/>
        </w:rPr>
        <w:t>lio</w:t>
      </w:r>
      <w:r w:rsidRPr="00624AAD">
        <w:rPr>
          <w:rFonts w:ascii="Palatino Linotype" w:hAnsi="Palatino Linotype" w:cs="Arial"/>
          <w:sz w:val="24"/>
        </w:rPr>
        <w:t xml:space="preserve"> al </w:t>
      </w:r>
      <w:r w:rsidR="00D31521">
        <w:rPr>
          <w:rFonts w:ascii="Palatino Linotype" w:hAnsi="Palatino Linotype" w:cs="Arial"/>
          <w:sz w:val="24"/>
        </w:rPr>
        <w:t>dieciséis</w:t>
      </w:r>
      <w:r w:rsidRPr="00624AAD">
        <w:rPr>
          <w:rFonts w:ascii="Palatino Linotype" w:hAnsi="Palatino Linotype" w:cs="Arial"/>
          <w:sz w:val="24"/>
        </w:rPr>
        <w:t xml:space="preserve"> (</w:t>
      </w:r>
      <w:r w:rsidR="00D31521">
        <w:rPr>
          <w:rFonts w:ascii="Palatino Linotype" w:hAnsi="Palatino Linotype" w:cs="Arial"/>
          <w:sz w:val="24"/>
        </w:rPr>
        <w:t>16</w:t>
      </w:r>
      <w:r w:rsidRPr="00624AAD">
        <w:rPr>
          <w:rFonts w:ascii="Palatino Linotype" w:hAnsi="Palatino Linotype" w:cs="Arial"/>
          <w:sz w:val="24"/>
        </w:rPr>
        <w:t xml:space="preserve">) de </w:t>
      </w:r>
      <w:r w:rsidR="00D31521">
        <w:rPr>
          <w:rFonts w:ascii="Palatino Linotype" w:hAnsi="Palatino Linotype" w:cs="Arial"/>
          <w:sz w:val="24"/>
        </w:rPr>
        <w:t>agosto</w:t>
      </w:r>
      <w:r w:rsidRPr="00624AAD">
        <w:rPr>
          <w:rFonts w:ascii="Palatino Linotype" w:hAnsi="Palatino Linotype" w:cs="Arial"/>
          <w:sz w:val="24"/>
        </w:rPr>
        <w:t xml:space="preserve"> de dos mil veintiuno; en consecuencia, presentó su inconformidad el día </w:t>
      </w:r>
      <w:r w:rsidR="00D31521">
        <w:rPr>
          <w:rFonts w:ascii="Palatino Linotype" w:hAnsi="Palatino Linotype" w:cs="Arial"/>
          <w:sz w:val="24"/>
        </w:rPr>
        <w:t>dos</w:t>
      </w:r>
      <w:r w:rsidRPr="00624AAD">
        <w:rPr>
          <w:rFonts w:ascii="Palatino Linotype" w:hAnsi="Palatino Linotype" w:cs="Arial"/>
          <w:sz w:val="24"/>
        </w:rPr>
        <w:t xml:space="preserve"> </w:t>
      </w:r>
      <w:r w:rsidRPr="00624AAD">
        <w:rPr>
          <w:rFonts w:ascii="Palatino Linotype" w:eastAsia="Calibri" w:hAnsi="Palatino Linotype" w:cs="Arial"/>
          <w:sz w:val="24"/>
        </w:rPr>
        <w:t>(</w:t>
      </w:r>
      <w:r w:rsidR="00D31521">
        <w:rPr>
          <w:rFonts w:ascii="Palatino Linotype" w:eastAsia="Calibri" w:hAnsi="Palatino Linotype" w:cs="Arial"/>
          <w:sz w:val="24"/>
        </w:rPr>
        <w:t>2</w:t>
      </w:r>
      <w:r w:rsidRPr="00624AAD">
        <w:rPr>
          <w:rFonts w:ascii="Palatino Linotype" w:eastAsia="Calibri" w:hAnsi="Palatino Linotype" w:cs="Arial"/>
          <w:sz w:val="24"/>
        </w:rPr>
        <w:t xml:space="preserve">) de </w:t>
      </w:r>
      <w:r w:rsidR="00D31521">
        <w:rPr>
          <w:rFonts w:ascii="Palatino Linotype" w:eastAsia="Calibri" w:hAnsi="Palatino Linotype" w:cs="Arial"/>
          <w:sz w:val="24"/>
        </w:rPr>
        <w:t>agosto</w:t>
      </w:r>
      <w:r w:rsidRPr="00624AAD">
        <w:rPr>
          <w:rFonts w:ascii="Palatino Linotype" w:eastAsia="Calibri" w:hAnsi="Palatino Linotype" w:cs="Arial"/>
          <w:sz w:val="24"/>
        </w:rPr>
        <w:t xml:space="preserve"> de dos mil veintiuno</w:t>
      </w:r>
      <w:r w:rsidRPr="00624AAD">
        <w:rPr>
          <w:rFonts w:ascii="Palatino Linotype" w:hAnsi="Palatino Linotype" w:cs="Arial"/>
          <w:sz w:val="24"/>
        </w:rPr>
        <w:t xml:space="preserve">, por lo que se encuentra dentro de los márgenes temporales </w:t>
      </w:r>
      <w:r w:rsidRPr="00624AAD">
        <w:rPr>
          <w:rFonts w:ascii="Palatino Linotype" w:hAnsi="Palatino Linotype" w:cs="Arial"/>
          <w:sz w:val="24"/>
        </w:rPr>
        <w:lastRenderedPageBreak/>
        <w:t xml:space="preserve">previstos en el artículo 178 de la </w:t>
      </w:r>
      <w:r w:rsidRPr="00624AAD">
        <w:rPr>
          <w:rFonts w:ascii="Palatino Linotype" w:hAnsi="Palatino Linotype" w:cs="Arial"/>
          <w:b/>
          <w:sz w:val="24"/>
        </w:rPr>
        <w:t>Ley de Transparencia y Acceso a la Información Pública del Estado de México y Municipios vigente.</w:t>
      </w:r>
    </w:p>
    <w:p w14:paraId="2EE3B909" w14:textId="77777777" w:rsidR="005000AA" w:rsidRPr="00624AAD" w:rsidRDefault="005000AA" w:rsidP="005000AA">
      <w:pPr>
        <w:pStyle w:val="Prrafodelista"/>
        <w:spacing w:before="240" w:after="240" w:line="360" w:lineRule="auto"/>
        <w:ind w:left="0" w:right="49"/>
        <w:jc w:val="both"/>
        <w:rPr>
          <w:rFonts w:ascii="Palatino Linotype" w:hAnsi="Palatino Linotype"/>
          <w:sz w:val="24"/>
        </w:rPr>
      </w:pPr>
    </w:p>
    <w:p w14:paraId="713E603D" w14:textId="77777777"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2851EBB" w14:textId="415C1767" w:rsidR="005000AA" w:rsidRPr="00624AAD" w:rsidRDefault="005000AA" w:rsidP="005000AA">
      <w:pPr>
        <w:pStyle w:val="Ttulo1"/>
        <w:rPr>
          <w:rFonts w:ascii="Palatino Linotype" w:eastAsia="MS Mincho" w:hAnsi="Palatino Linotype" w:cs="Times New Roman"/>
          <w:b/>
          <w:color w:val="auto"/>
          <w:sz w:val="24"/>
          <w:szCs w:val="24"/>
        </w:rPr>
      </w:pPr>
      <w:bookmarkStart w:id="8" w:name="_Toc83210168"/>
      <w:r w:rsidRPr="00624AAD">
        <w:rPr>
          <w:rFonts w:ascii="Palatino Linotype" w:hAnsi="Palatino Linotype"/>
          <w:b/>
          <w:color w:val="auto"/>
          <w:sz w:val="24"/>
          <w:szCs w:val="24"/>
        </w:rPr>
        <w:t>TERCERO. Planteamiento de la Litis</w:t>
      </w:r>
      <w:bookmarkEnd w:id="8"/>
      <w:r w:rsidRPr="00624AAD">
        <w:rPr>
          <w:rFonts w:ascii="Palatino Linotype" w:hAnsi="Palatino Linotype"/>
          <w:b/>
          <w:color w:val="auto"/>
          <w:sz w:val="24"/>
          <w:szCs w:val="24"/>
        </w:rPr>
        <w:t xml:space="preserve"> </w:t>
      </w:r>
    </w:p>
    <w:p w14:paraId="17F8B12C" w14:textId="77777777"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624AAD">
        <w:rPr>
          <w:rFonts w:ascii="Palatino Linotype" w:hAnsi="Palatino Linotype"/>
          <w:bCs/>
          <w:sz w:val="24"/>
        </w:rPr>
        <w:t>El recurrente solicitó lo siguiente:</w:t>
      </w:r>
    </w:p>
    <w:p w14:paraId="3AB1922B" w14:textId="77777777" w:rsidR="005000AA" w:rsidRPr="00624AAD" w:rsidRDefault="005000AA" w:rsidP="005000AA">
      <w:pPr>
        <w:pStyle w:val="Prrafodelista"/>
        <w:spacing w:before="240" w:after="240" w:line="360" w:lineRule="auto"/>
        <w:ind w:left="0" w:right="49"/>
        <w:jc w:val="both"/>
        <w:rPr>
          <w:rFonts w:ascii="Palatino Linotype" w:hAnsi="Palatino Linotype"/>
          <w:i/>
          <w:sz w:val="24"/>
          <w:lang w:eastAsia="es-MX"/>
        </w:rPr>
      </w:pPr>
    </w:p>
    <w:p w14:paraId="29B196B9" w14:textId="2D6AFFCD" w:rsidR="00D31521" w:rsidRPr="00D31521" w:rsidRDefault="005000AA" w:rsidP="005000AA">
      <w:pPr>
        <w:pStyle w:val="Prrafodelista"/>
        <w:numPr>
          <w:ilvl w:val="0"/>
          <w:numId w:val="19"/>
        </w:numPr>
        <w:spacing w:before="100" w:beforeAutospacing="1" w:after="100" w:afterAutospacing="1" w:line="360" w:lineRule="auto"/>
        <w:jc w:val="both"/>
        <w:rPr>
          <w:rFonts w:ascii="Palatino Linotype" w:eastAsiaTheme="minorEastAsia" w:hAnsi="Palatino Linotype" w:cs="Arial"/>
          <w:sz w:val="24"/>
          <w:lang w:val="es-ES_tradnl"/>
        </w:rPr>
      </w:pPr>
      <w:r w:rsidRPr="00624AAD">
        <w:rPr>
          <w:rFonts w:ascii="Palatino Linotype" w:hAnsi="Palatino Linotype" w:cs="Arial"/>
          <w:sz w:val="24"/>
        </w:rPr>
        <w:t>Dict</w:t>
      </w:r>
      <w:r w:rsidR="00D31521">
        <w:rPr>
          <w:rFonts w:ascii="Palatino Linotype" w:hAnsi="Palatino Linotype" w:cs="Arial"/>
          <w:sz w:val="24"/>
        </w:rPr>
        <w:t>ámenes de incorporación de las viviendas de la empresa Casas Javer a los Sistemas de aguas y alcantarillado en el que se definan los puntos de conexión de agua potable y los de descarga de aguas residuales tratadas o no, según sea el caso.</w:t>
      </w:r>
    </w:p>
    <w:p w14:paraId="67C3A0B4" w14:textId="77777777" w:rsidR="005000AA" w:rsidRPr="00624AAD" w:rsidRDefault="005000AA" w:rsidP="005000AA">
      <w:pPr>
        <w:pStyle w:val="Prrafodelista"/>
        <w:spacing w:before="240" w:after="240" w:line="360" w:lineRule="auto"/>
        <w:ind w:left="0" w:right="49"/>
        <w:jc w:val="both"/>
        <w:rPr>
          <w:rFonts w:ascii="Palatino Linotype" w:hAnsi="Palatino Linotype"/>
          <w:i/>
          <w:sz w:val="24"/>
          <w:lang w:eastAsia="es-MX"/>
        </w:rPr>
      </w:pPr>
    </w:p>
    <w:p w14:paraId="56F914DF" w14:textId="0F04FF43" w:rsidR="005000AA" w:rsidRPr="00624AAD" w:rsidRDefault="00D31521" w:rsidP="005000AA">
      <w:pPr>
        <w:pStyle w:val="Prrafodelista"/>
        <w:numPr>
          <w:ilvl w:val="0"/>
          <w:numId w:val="3"/>
        </w:numPr>
        <w:spacing w:before="240" w:after="240" w:line="360" w:lineRule="auto"/>
        <w:ind w:left="0" w:right="49" w:firstLine="0"/>
        <w:jc w:val="both"/>
        <w:rPr>
          <w:rFonts w:ascii="Palatino Linotype" w:eastAsiaTheme="minorEastAsia" w:hAnsi="Palatino Linotype" w:cstheme="minorBidi"/>
          <w:bCs/>
          <w:sz w:val="24"/>
          <w:lang w:val="es-ES_tradnl"/>
        </w:rPr>
      </w:pPr>
      <w:r>
        <w:rPr>
          <w:rFonts w:ascii="Palatino Linotype" w:hAnsi="Palatino Linotype"/>
          <w:bCs/>
          <w:sz w:val="24"/>
        </w:rPr>
        <w:t>El Sujeto Obligado manifestó que es incompetente para generar, administrar y poseer la información.</w:t>
      </w:r>
    </w:p>
    <w:p w14:paraId="2CA2960A" w14:textId="77777777" w:rsidR="005000AA" w:rsidRPr="00624AAD" w:rsidRDefault="005000AA" w:rsidP="005000AA">
      <w:pPr>
        <w:pStyle w:val="Prrafodelista"/>
        <w:spacing w:before="240" w:after="240" w:line="360" w:lineRule="auto"/>
        <w:ind w:left="0" w:right="49"/>
        <w:jc w:val="both"/>
        <w:rPr>
          <w:rFonts w:ascii="Palatino Linotype" w:hAnsi="Palatino Linotype"/>
          <w:bCs/>
          <w:sz w:val="24"/>
        </w:rPr>
      </w:pPr>
    </w:p>
    <w:p w14:paraId="7462CE1A" w14:textId="55D85786"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bCs/>
          <w:sz w:val="24"/>
        </w:rPr>
      </w:pPr>
      <w:r w:rsidRPr="00624AAD">
        <w:rPr>
          <w:rFonts w:ascii="Palatino Linotype" w:hAnsi="Palatino Linotype"/>
          <w:bCs/>
          <w:sz w:val="24"/>
        </w:rPr>
        <w:t xml:space="preserve">El recurrente se inconformó por la </w:t>
      </w:r>
      <w:r w:rsidR="00971F24">
        <w:rPr>
          <w:rFonts w:ascii="Palatino Linotype" w:hAnsi="Palatino Linotype"/>
          <w:bCs/>
          <w:sz w:val="24"/>
        </w:rPr>
        <w:t>declaración d</w:t>
      </w:r>
      <w:r w:rsidR="00D31521">
        <w:rPr>
          <w:rFonts w:ascii="Palatino Linotype" w:hAnsi="Palatino Linotype"/>
          <w:bCs/>
          <w:sz w:val="24"/>
        </w:rPr>
        <w:t xml:space="preserve">e </w:t>
      </w:r>
      <w:r w:rsidR="00971F24">
        <w:rPr>
          <w:rFonts w:ascii="Palatino Linotype" w:hAnsi="Palatino Linotype"/>
          <w:bCs/>
          <w:sz w:val="24"/>
        </w:rPr>
        <w:t>in</w:t>
      </w:r>
      <w:r w:rsidR="00D31521">
        <w:rPr>
          <w:rFonts w:ascii="Palatino Linotype" w:hAnsi="Palatino Linotype"/>
          <w:bCs/>
          <w:sz w:val="24"/>
        </w:rPr>
        <w:t>competencia</w:t>
      </w:r>
      <w:r w:rsidR="00971F24">
        <w:rPr>
          <w:rFonts w:ascii="Palatino Linotype" w:hAnsi="Palatino Linotype"/>
          <w:bCs/>
          <w:sz w:val="24"/>
        </w:rPr>
        <w:t xml:space="preserve"> del Sujeto Obligado.</w:t>
      </w:r>
    </w:p>
    <w:p w14:paraId="0D89BECC" w14:textId="77777777" w:rsidR="005000AA" w:rsidRPr="00624AAD" w:rsidRDefault="005000AA" w:rsidP="005000AA">
      <w:pPr>
        <w:pStyle w:val="Prrafodelista"/>
        <w:rPr>
          <w:rFonts w:ascii="Palatino Linotype" w:hAnsi="Palatino Linotype"/>
          <w:bCs/>
          <w:sz w:val="24"/>
        </w:rPr>
      </w:pPr>
    </w:p>
    <w:p w14:paraId="78695B9E" w14:textId="4817E66A"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hAnsi="Palatino Linotype"/>
          <w:sz w:val="24"/>
        </w:rPr>
        <w:t>Por lo anterior, en este recurso de revisión se analizará si se actualiza la causal de procedencia de las fracciones I y I</w:t>
      </w:r>
      <w:r w:rsidR="00971F24">
        <w:rPr>
          <w:rFonts w:ascii="Palatino Linotype" w:hAnsi="Palatino Linotype"/>
          <w:sz w:val="24"/>
        </w:rPr>
        <w:t>V</w:t>
      </w:r>
      <w:r w:rsidRPr="00624AAD">
        <w:rPr>
          <w:rFonts w:ascii="Palatino Linotype" w:hAnsi="Palatino Linotype"/>
          <w:sz w:val="24"/>
        </w:rPr>
        <w:t xml:space="preserve"> del artículo 179 de la Ley de Transparencia y Acceso a la Información Pública del Estado de México y Municipios, relativos a la negativa </w:t>
      </w:r>
      <w:r w:rsidR="00971F24">
        <w:rPr>
          <w:rFonts w:ascii="Palatino Linotype" w:hAnsi="Palatino Linotype"/>
          <w:sz w:val="24"/>
        </w:rPr>
        <w:t>de la información y la declaración de incompetencia.</w:t>
      </w:r>
      <w:bookmarkStart w:id="9" w:name="_Toc486525253"/>
    </w:p>
    <w:p w14:paraId="1F152840" w14:textId="7AA5F624" w:rsidR="005000AA" w:rsidRPr="00624AAD" w:rsidRDefault="00DB2180" w:rsidP="005000AA">
      <w:pPr>
        <w:pStyle w:val="Ttulo1"/>
        <w:spacing w:before="0" w:line="360" w:lineRule="auto"/>
        <w:rPr>
          <w:rFonts w:ascii="Palatino Linotype" w:hAnsi="Palatino Linotype"/>
          <w:b/>
          <w:color w:val="auto"/>
          <w:sz w:val="24"/>
          <w:szCs w:val="24"/>
          <w:lang w:eastAsia="en-US"/>
        </w:rPr>
      </w:pPr>
      <w:bookmarkStart w:id="10" w:name="_Toc4061675"/>
      <w:bookmarkStart w:id="11" w:name="_Toc3372324"/>
      <w:bookmarkStart w:id="12" w:name="_Toc499201873"/>
      <w:bookmarkStart w:id="13" w:name="_Toc83210169"/>
      <w:bookmarkEnd w:id="9"/>
      <w:r w:rsidRPr="00624AAD">
        <w:rPr>
          <w:rFonts w:ascii="Palatino Linotype" w:hAnsi="Palatino Linotype"/>
          <w:b/>
          <w:color w:val="auto"/>
          <w:sz w:val="24"/>
          <w:szCs w:val="24"/>
        </w:rPr>
        <w:t>CUARTO</w:t>
      </w:r>
      <w:r w:rsidR="005000AA" w:rsidRPr="00624AAD">
        <w:rPr>
          <w:rFonts w:ascii="Palatino Linotype" w:hAnsi="Palatino Linotype"/>
          <w:b/>
          <w:color w:val="auto"/>
          <w:sz w:val="24"/>
          <w:szCs w:val="24"/>
        </w:rPr>
        <w:t>. Estudio y resolución del asunto</w:t>
      </w:r>
      <w:bookmarkEnd w:id="10"/>
      <w:bookmarkEnd w:id="11"/>
      <w:bookmarkEnd w:id="12"/>
      <w:bookmarkEnd w:id="13"/>
    </w:p>
    <w:p w14:paraId="09B5F100" w14:textId="77777777" w:rsidR="005000AA" w:rsidRPr="00624AAD" w:rsidRDefault="005000AA" w:rsidP="005000AA">
      <w:pPr>
        <w:rPr>
          <w:rFonts w:ascii="Palatino Linotype" w:hAnsi="Palatino Linotype"/>
          <w:sz w:val="24"/>
          <w:szCs w:val="24"/>
          <w:lang w:eastAsia="en-US"/>
        </w:rPr>
      </w:pPr>
    </w:p>
    <w:p w14:paraId="6C784363" w14:textId="77777777" w:rsidR="00DD0FEA" w:rsidRDefault="005000AA" w:rsidP="005000AA">
      <w:pPr>
        <w:pStyle w:val="Ttulo2"/>
        <w:numPr>
          <w:ilvl w:val="0"/>
          <w:numId w:val="20"/>
        </w:numPr>
        <w:spacing w:line="256" w:lineRule="auto"/>
        <w:rPr>
          <w:rFonts w:ascii="Palatino Linotype" w:hAnsi="Palatino Linotype"/>
          <w:b/>
          <w:color w:val="auto"/>
          <w:sz w:val="24"/>
          <w:szCs w:val="24"/>
          <w:lang w:eastAsia="en-US"/>
        </w:rPr>
      </w:pPr>
      <w:bookmarkStart w:id="14" w:name="_Toc83210170"/>
      <w:bookmarkStart w:id="15" w:name="_Toc34911390"/>
      <w:r w:rsidRPr="00624AAD">
        <w:rPr>
          <w:rFonts w:ascii="Palatino Linotype" w:hAnsi="Palatino Linotype"/>
          <w:b/>
          <w:color w:val="auto"/>
          <w:sz w:val="24"/>
          <w:szCs w:val="24"/>
        </w:rPr>
        <w:t>De</w:t>
      </w:r>
      <w:r w:rsidR="00DD0FEA">
        <w:rPr>
          <w:rFonts w:ascii="Palatino Linotype" w:hAnsi="Palatino Linotype"/>
          <w:b/>
          <w:color w:val="auto"/>
          <w:sz w:val="24"/>
          <w:szCs w:val="24"/>
        </w:rPr>
        <w:t xml:space="preserve"> </w:t>
      </w:r>
      <w:r w:rsidRPr="00624AAD">
        <w:rPr>
          <w:rFonts w:ascii="Palatino Linotype" w:hAnsi="Palatino Linotype"/>
          <w:b/>
          <w:color w:val="auto"/>
          <w:sz w:val="24"/>
          <w:szCs w:val="24"/>
        </w:rPr>
        <w:t>l</w:t>
      </w:r>
      <w:r w:rsidR="00DD0FEA">
        <w:rPr>
          <w:rFonts w:ascii="Palatino Linotype" w:hAnsi="Palatino Linotype"/>
          <w:b/>
          <w:color w:val="auto"/>
          <w:sz w:val="24"/>
          <w:szCs w:val="24"/>
        </w:rPr>
        <w:t>a</w:t>
      </w:r>
      <w:r w:rsidRPr="00624AAD">
        <w:rPr>
          <w:rFonts w:ascii="Palatino Linotype" w:hAnsi="Palatino Linotype"/>
          <w:b/>
          <w:color w:val="auto"/>
          <w:sz w:val="24"/>
          <w:szCs w:val="24"/>
        </w:rPr>
        <w:t xml:space="preserve"> </w:t>
      </w:r>
      <w:r w:rsidR="00DD0FEA">
        <w:rPr>
          <w:rFonts w:ascii="Palatino Linotype" w:hAnsi="Palatino Linotype"/>
          <w:b/>
          <w:color w:val="auto"/>
          <w:sz w:val="24"/>
          <w:szCs w:val="24"/>
        </w:rPr>
        <w:t>declaración de incompetencia.</w:t>
      </w:r>
      <w:bookmarkEnd w:id="14"/>
    </w:p>
    <w:p w14:paraId="140F6EBE" w14:textId="77777777" w:rsidR="005000AA" w:rsidRPr="00624AAD" w:rsidRDefault="005000AA" w:rsidP="005000AA">
      <w:pPr>
        <w:pStyle w:val="Prrafodelista"/>
        <w:rPr>
          <w:rFonts w:ascii="Palatino Linotype" w:hAnsi="Palatino Linotype"/>
          <w:sz w:val="24"/>
        </w:rPr>
      </w:pPr>
    </w:p>
    <w:p w14:paraId="2F183B27" w14:textId="77777777" w:rsidR="005000AA" w:rsidRPr="00624AAD" w:rsidRDefault="005000AA" w:rsidP="005000AA">
      <w:pPr>
        <w:rPr>
          <w:rFonts w:ascii="Palatino Linotype" w:hAnsi="Palatino Linotype"/>
          <w:sz w:val="24"/>
          <w:szCs w:val="24"/>
        </w:rPr>
      </w:pPr>
    </w:p>
    <w:p w14:paraId="47E99542" w14:textId="77777777" w:rsidR="00DD0FEA" w:rsidRPr="000D77A7" w:rsidRDefault="00DD0FEA" w:rsidP="00DD0FEA">
      <w:pPr>
        <w:pStyle w:val="Prrafodelista"/>
        <w:numPr>
          <w:ilvl w:val="0"/>
          <w:numId w:val="2"/>
        </w:numPr>
        <w:spacing w:line="360" w:lineRule="auto"/>
        <w:ind w:left="0" w:firstLine="0"/>
        <w:jc w:val="both"/>
        <w:rPr>
          <w:rFonts w:ascii="Palatino Linotype" w:eastAsia="MS Mincho" w:hAnsi="Palatino Linotype"/>
          <w:sz w:val="24"/>
        </w:rPr>
      </w:pPr>
      <w:r w:rsidRPr="000D77A7">
        <w:rPr>
          <w:rFonts w:ascii="Palatino Linotype" w:eastAsia="MS Mincho" w:hAnsi="Palatino Linotype"/>
          <w:sz w:val="24"/>
        </w:rPr>
        <w:t xml:space="preserve">Debemos mencionar que el acceso a la información es un derecho humano constitucional y convencionalmente reconocido y para tal efecto </w:t>
      </w:r>
      <w:r w:rsidRPr="000D77A7">
        <w:rPr>
          <w:rFonts w:ascii="Palatino Linotype" w:eastAsia="Calibri" w:hAnsi="Palatino Linotype"/>
          <w:sz w:val="24"/>
          <w:lang w:val="es-ES"/>
        </w:rPr>
        <w:t xml:space="preserve">el párrafo tercero del artículo primero de la Constitución Política de los Estados Unidos Mexicanos establece que el deber de todas las autoridades, </w:t>
      </w:r>
      <w:r w:rsidRPr="000D77A7">
        <w:rPr>
          <w:rFonts w:ascii="Palatino Linotype" w:eastAsia="Calibri" w:hAnsi="Palatino Linotype"/>
          <w:i/>
          <w:sz w:val="24"/>
          <w:lang w:val="es-ES"/>
        </w:rPr>
        <w:t xml:space="preserve">en el ámbito de sus atribuciones, de promover, respetar, proteger y </w:t>
      </w:r>
      <w:r w:rsidRPr="000D77A7">
        <w:rPr>
          <w:rFonts w:ascii="Palatino Linotype" w:eastAsia="Calibri" w:hAnsi="Palatino Linotype"/>
          <w:b/>
          <w:i/>
          <w:sz w:val="24"/>
          <w:lang w:val="es-ES"/>
        </w:rPr>
        <w:t>garantizar</w:t>
      </w:r>
      <w:r w:rsidRPr="000D77A7">
        <w:rPr>
          <w:rFonts w:ascii="Palatino Linotype" w:eastAsia="Calibri" w:hAnsi="Palatino Linotype"/>
          <w:i/>
          <w:sz w:val="24"/>
          <w:lang w:val="es-ES"/>
        </w:rPr>
        <w:t xml:space="preserve"> los derechos humanos. </w:t>
      </w:r>
      <w:r w:rsidRPr="000D77A7">
        <w:rPr>
          <w:rFonts w:ascii="Palatino Linotype" w:eastAsia="Calibri" w:hAnsi="Palatino Linotype"/>
          <w:b/>
          <w:i/>
          <w:sz w:val="24"/>
          <w:lang w:val="es-ES"/>
        </w:rPr>
        <w:t>En cuanto al derecho de acceso a la información, la Ley de Transparencia y Acceso a la Información Pública del Estado de México y Municipios prevé establece que e</w:t>
      </w:r>
      <w:r w:rsidRPr="000D77A7">
        <w:rPr>
          <w:rFonts w:ascii="Palatino Linotype" w:hAnsi="Palatino Linotype"/>
          <w:i/>
          <w:sz w:val="24"/>
        </w:rPr>
        <w:t>l procedimiento de acceso a la información es la garantía primaria del derecho en cuestión y se rige por los principios de simplicidad, rapidez y gratuidad del procedimiento, auxilio y orientación a los particulares</w:t>
      </w:r>
      <w:r w:rsidRPr="000D77A7">
        <w:rPr>
          <w:rStyle w:val="Refdenotaalpie"/>
          <w:rFonts w:ascii="Palatino Linotype" w:hAnsi="Palatino Linotype"/>
          <w:i/>
          <w:sz w:val="24"/>
        </w:rPr>
        <w:footnoteReference w:id="1"/>
      </w:r>
      <w:r w:rsidRPr="000D77A7">
        <w:rPr>
          <w:rFonts w:ascii="Palatino Linotype" w:hAnsi="Palatino Linotype"/>
          <w:i/>
          <w:sz w:val="24"/>
        </w:rPr>
        <w:t xml:space="preserve">, </w:t>
      </w:r>
      <w:r w:rsidRPr="000D77A7">
        <w:rPr>
          <w:rFonts w:ascii="Palatino Linotype" w:hAnsi="Palatino Linotype"/>
          <w:sz w:val="24"/>
        </w:rPr>
        <w:t>asimismo establece</w:t>
      </w:r>
      <w:r w:rsidRPr="000D77A7">
        <w:rPr>
          <w:rFonts w:ascii="Palatino Linotype" w:hAnsi="Palatino Linotype"/>
          <w:i/>
          <w:sz w:val="24"/>
        </w:rPr>
        <w:t xml:space="preserve"> que las unidades de transparencia de los Sujetos Obligados deberán garantizar las medidas y </w:t>
      </w:r>
      <w:r w:rsidRPr="000D77A7">
        <w:rPr>
          <w:rFonts w:ascii="Palatino Linotype" w:hAnsi="Palatino Linotype"/>
          <w:i/>
          <w:sz w:val="24"/>
        </w:rPr>
        <w:lastRenderedPageBreak/>
        <w:t>condiciones de accesibilidad para que toda persona pueda ejercer el derecho de acceso a la información, mediante solicitudes de información y deberá apoyar al solicitante en la elaboración de las mismas.</w:t>
      </w:r>
    </w:p>
    <w:p w14:paraId="670FEEEC" w14:textId="77777777" w:rsidR="00DD0FEA" w:rsidRPr="000D77A7" w:rsidRDefault="00DD0FEA" w:rsidP="00DD0FEA">
      <w:pPr>
        <w:pStyle w:val="Prrafodelista"/>
        <w:rPr>
          <w:rFonts w:ascii="Palatino Linotype" w:eastAsia="Calibri" w:hAnsi="Palatino Linotype" w:cs="Arial"/>
          <w:sz w:val="24"/>
        </w:rPr>
      </w:pPr>
    </w:p>
    <w:p w14:paraId="694DCDCA" w14:textId="6CECD158" w:rsidR="00DD0FEA" w:rsidRPr="000D77A7" w:rsidRDefault="00DD0FEA" w:rsidP="00DD0FEA">
      <w:pPr>
        <w:pStyle w:val="Prrafodelista"/>
        <w:numPr>
          <w:ilvl w:val="0"/>
          <w:numId w:val="2"/>
        </w:numPr>
        <w:spacing w:line="360" w:lineRule="auto"/>
        <w:ind w:left="0" w:firstLine="0"/>
        <w:jc w:val="both"/>
        <w:rPr>
          <w:rFonts w:ascii="Palatino Linotype" w:eastAsia="Calibri" w:hAnsi="Palatino Linotype" w:cs="Arial"/>
          <w:sz w:val="24"/>
        </w:rPr>
      </w:pPr>
      <w:r w:rsidRPr="000D77A7">
        <w:rPr>
          <w:rFonts w:ascii="Palatino Linotype" w:hAnsi="Palatino Linotype"/>
          <w:sz w:val="24"/>
        </w:rPr>
        <w:t>Por lo que</w:t>
      </w:r>
      <w:r>
        <w:rPr>
          <w:rFonts w:ascii="Palatino Linotype" w:hAnsi="Palatino Linotype"/>
          <w:sz w:val="24"/>
        </w:rPr>
        <w:t>,</w:t>
      </w:r>
      <w:r w:rsidRPr="000D77A7">
        <w:rPr>
          <w:rFonts w:ascii="Palatino Linotype" w:hAnsi="Palatino Linotype"/>
          <w:sz w:val="24"/>
        </w:rPr>
        <w:t xml:space="preserv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68DCBA76" w14:textId="77777777" w:rsidR="00DD0FEA" w:rsidRPr="000D77A7" w:rsidRDefault="00DD0FEA" w:rsidP="00DD0FEA">
      <w:pPr>
        <w:pStyle w:val="Prrafodelista"/>
        <w:rPr>
          <w:rFonts w:ascii="Palatino Linotype" w:hAnsi="Palatino Linotype"/>
          <w:sz w:val="24"/>
        </w:rPr>
      </w:pPr>
    </w:p>
    <w:p w14:paraId="76EA3946" w14:textId="77777777" w:rsidR="00DD0FEA" w:rsidRPr="000D77A7" w:rsidRDefault="00DD0FEA" w:rsidP="00DD0FEA">
      <w:pPr>
        <w:pStyle w:val="Prrafodelista"/>
        <w:numPr>
          <w:ilvl w:val="0"/>
          <w:numId w:val="2"/>
        </w:numPr>
        <w:spacing w:line="360" w:lineRule="auto"/>
        <w:ind w:left="0" w:firstLine="0"/>
        <w:jc w:val="both"/>
        <w:rPr>
          <w:rFonts w:ascii="Palatino Linotype" w:eastAsia="Calibri" w:hAnsi="Palatino Linotype" w:cs="Arial"/>
          <w:sz w:val="24"/>
        </w:rPr>
      </w:pPr>
      <w:r w:rsidRPr="000D77A7">
        <w:rPr>
          <w:rFonts w:ascii="Palatino Linotype" w:hAnsi="Palatino Linotype"/>
          <w:sz w:val="24"/>
        </w:rPr>
        <w:t xml:space="preserve">Es así que, su obligación es </w:t>
      </w:r>
      <w:r w:rsidRPr="000D77A7">
        <w:rPr>
          <w:rFonts w:ascii="Palatino Linotype" w:hAnsi="Palatino Linotype"/>
          <w:i/>
          <w:sz w:val="24"/>
        </w:rPr>
        <w:t>realizar, con efectividad, los trámites internos necesarios para la atención de las solicitudes de información</w:t>
      </w:r>
      <w:r w:rsidRPr="000D77A7">
        <w:rPr>
          <w:rStyle w:val="Refdenotaalpie"/>
          <w:rFonts w:ascii="Palatino Linotype" w:hAnsi="Palatino Linotype"/>
          <w:sz w:val="24"/>
        </w:rPr>
        <w:footnoteReference w:id="2"/>
      </w:r>
      <w:r w:rsidRPr="000D77A7">
        <w:rPr>
          <w:rFonts w:ascii="Palatino Linotype" w:hAnsi="Palatino Linotype"/>
          <w:sz w:val="24"/>
        </w:rPr>
        <w:t>, es decir, deben otorgar respuestas concisas, contundentes y sobre todo que den la certeza de los actos que realizan.</w:t>
      </w:r>
    </w:p>
    <w:p w14:paraId="12A42EAA" w14:textId="77777777" w:rsidR="00DD0FEA" w:rsidRPr="000D77A7" w:rsidRDefault="00DD0FEA" w:rsidP="00DD0FEA">
      <w:pPr>
        <w:pStyle w:val="Prrafodelista"/>
        <w:spacing w:line="360" w:lineRule="auto"/>
        <w:ind w:left="0"/>
        <w:jc w:val="both"/>
        <w:rPr>
          <w:rFonts w:ascii="Palatino Linotype" w:eastAsia="Calibri" w:hAnsi="Palatino Linotype" w:cs="Arial"/>
          <w:sz w:val="24"/>
        </w:rPr>
      </w:pPr>
    </w:p>
    <w:p w14:paraId="3F9EE987" w14:textId="747D8002" w:rsidR="00DD0FEA" w:rsidRPr="000D77A7" w:rsidRDefault="00DD0FEA" w:rsidP="00DD0FEA">
      <w:pPr>
        <w:pStyle w:val="Prrafodelista"/>
        <w:numPr>
          <w:ilvl w:val="0"/>
          <w:numId w:val="2"/>
        </w:numPr>
        <w:spacing w:line="360" w:lineRule="auto"/>
        <w:ind w:left="0" w:firstLine="0"/>
        <w:jc w:val="both"/>
        <w:rPr>
          <w:rFonts w:ascii="Palatino Linotype" w:eastAsia="Calibri" w:hAnsi="Palatino Linotype" w:cs="Arial"/>
          <w:sz w:val="24"/>
        </w:rPr>
      </w:pPr>
      <w:r w:rsidRPr="000D77A7">
        <w:rPr>
          <w:rFonts w:ascii="Palatino Linotype" w:eastAsia="Calibri" w:hAnsi="Palatino Linotype" w:cs="Arial"/>
          <w:sz w:val="24"/>
        </w:rPr>
        <w:t xml:space="preserve">En el presente asunto, se tiene que la solicitud de acceso a la información se presentó el día </w:t>
      </w:r>
      <w:r w:rsidR="00B647DE">
        <w:rPr>
          <w:rFonts w:ascii="Palatino Linotype" w:eastAsia="Calibri" w:hAnsi="Palatino Linotype" w:cs="Arial"/>
          <w:sz w:val="24"/>
        </w:rPr>
        <w:t>siete</w:t>
      </w:r>
      <w:r w:rsidRPr="000D77A7">
        <w:rPr>
          <w:rFonts w:ascii="Palatino Linotype" w:eastAsia="Calibri" w:hAnsi="Palatino Linotype" w:cs="Arial"/>
          <w:sz w:val="24"/>
        </w:rPr>
        <w:t xml:space="preserve"> (</w:t>
      </w:r>
      <w:r w:rsidR="00B647DE">
        <w:rPr>
          <w:rFonts w:ascii="Palatino Linotype" w:eastAsia="Calibri" w:hAnsi="Palatino Linotype" w:cs="Arial"/>
          <w:sz w:val="24"/>
        </w:rPr>
        <w:t>7</w:t>
      </w:r>
      <w:r w:rsidRPr="000D77A7">
        <w:rPr>
          <w:rFonts w:ascii="Palatino Linotype" w:eastAsia="Calibri" w:hAnsi="Palatino Linotype" w:cs="Arial"/>
          <w:sz w:val="24"/>
        </w:rPr>
        <w:t xml:space="preserve">) de </w:t>
      </w:r>
      <w:r w:rsidR="00B647DE">
        <w:rPr>
          <w:rFonts w:ascii="Palatino Linotype" w:eastAsia="Calibri" w:hAnsi="Palatino Linotype" w:cs="Arial"/>
          <w:sz w:val="24"/>
        </w:rPr>
        <w:t>julio</w:t>
      </w:r>
      <w:r w:rsidRPr="000D77A7">
        <w:rPr>
          <w:rFonts w:ascii="Palatino Linotype" w:eastAsia="Calibri" w:hAnsi="Palatino Linotype" w:cs="Arial"/>
          <w:sz w:val="24"/>
        </w:rPr>
        <w:t xml:space="preserve"> de dos mil veintiuno, y la declaración de incompetencia se efectuó el día </w:t>
      </w:r>
      <w:r w:rsidR="00B647DE">
        <w:rPr>
          <w:rFonts w:ascii="Palatino Linotype" w:eastAsia="Calibri" w:hAnsi="Palatino Linotype" w:cs="Arial"/>
          <w:sz w:val="24"/>
        </w:rPr>
        <w:t>doce</w:t>
      </w:r>
      <w:r w:rsidRPr="000D77A7">
        <w:rPr>
          <w:rFonts w:ascii="Palatino Linotype" w:eastAsia="Calibri" w:hAnsi="Palatino Linotype" w:cs="Arial"/>
          <w:sz w:val="24"/>
        </w:rPr>
        <w:t xml:space="preserve"> (</w:t>
      </w:r>
      <w:r w:rsidR="00B647DE">
        <w:rPr>
          <w:rFonts w:ascii="Palatino Linotype" w:eastAsia="Calibri" w:hAnsi="Palatino Linotype" w:cs="Arial"/>
          <w:sz w:val="24"/>
        </w:rPr>
        <w:t>12</w:t>
      </w:r>
      <w:r w:rsidRPr="000D77A7">
        <w:rPr>
          <w:rFonts w:ascii="Palatino Linotype" w:eastAsia="Calibri" w:hAnsi="Palatino Linotype" w:cs="Arial"/>
          <w:sz w:val="24"/>
        </w:rPr>
        <w:t xml:space="preserve">) de </w:t>
      </w:r>
      <w:r w:rsidR="00B647DE">
        <w:rPr>
          <w:rFonts w:ascii="Palatino Linotype" w:eastAsia="Calibri" w:hAnsi="Palatino Linotype" w:cs="Arial"/>
          <w:sz w:val="24"/>
        </w:rPr>
        <w:t>julio</w:t>
      </w:r>
      <w:r w:rsidRPr="000D77A7">
        <w:rPr>
          <w:rFonts w:ascii="Palatino Linotype" w:eastAsia="Calibri" w:hAnsi="Palatino Linotype" w:cs="Arial"/>
          <w:sz w:val="24"/>
        </w:rPr>
        <w:t xml:space="preserve"> del mismo año, </w:t>
      </w:r>
      <w:r w:rsidRPr="000D77A7">
        <w:rPr>
          <w:rFonts w:ascii="Palatino Linotype" w:hAnsi="Palatino Linotype" w:cs="Arial"/>
          <w:bCs/>
          <w:sz w:val="24"/>
        </w:rPr>
        <w:t xml:space="preserve">en consecuencia, se tiene que </w:t>
      </w:r>
      <w:r w:rsidRPr="000D77A7">
        <w:rPr>
          <w:rFonts w:ascii="Palatino Linotype" w:hAnsi="Palatino Linotype" w:cs="Arial"/>
          <w:bCs/>
          <w:sz w:val="24"/>
        </w:rPr>
        <w:lastRenderedPageBreak/>
        <w:t>estuvieron en estricto apego a lo dispuesto en el artículo 167 de la Ley de Transparencia y Acceso a la Información Pública del Estado de México y Municipios que establece lo siguiente:</w:t>
      </w:r>
    </w:p>
    <w:p w14:paraId="4E71BB9B" w14:textId="77777777" w:rsidR="00DD0FEA" w:rsidRPr="000D77A7" w:rsidRDefault="00DD0FEA" w:rsidP="00DD0FEA">
      <w:pPr>
        <w:pStyle w:val="Prrafodelista"/>
        <w:spacing w:line="360" w:lineRule="auto"/>
        <w:ind w:left="0"/>
        <w:jc w:val="both"/>
        <w:rPr>
          <w:rFonts w:ascii="Palatino Linotype" w:eastAsia="Calibri" w:hAnsi="Palatino Linotype" w:cs="Arial"/>
          <w:sz w:val="24"/>
        </w:rPr>
      </w:pPr>
    </w:p>
    <w:p w14:paraId="7C3701CC" w14:textId="77777777" w:rsidR="00DD0FEA" w:rsidRPr="000D77A7" w:rsidRDefault="00DD0FEA" w:rsidP="00DD0FEA">
      <w:pPr>
        <w:autoSpaceDE w:val="0"/>
        <w:autoSpaceDN w:val="0"/>
        <w:adjustRightInd w:val="0"/>
        <w:spacing w:line="360" w:lineRule="auto"/>
        <w:ind w:left="567" w:right="567"/>
        <w:jc w:val="both"/>
        <w:rPr>
          <w:rFonts w:ascii="Palatino Linotype" w:hAnsi="Palatino Linotype" w:cs="Bookman Old Style"/>
          <w:i/>
          <w:sz w:val="24"/>
          <w:szCs w:val="24"/>
        </w:rPr>
      </w:pPr>
      <w:r w:rsidRPr="000D77A7">
        <w:rPr>
          <w:rFonts w:ascii="Palatino Linotype" w:hAnsi="Palatino Linotype" w:cs="Bookman Old Style,Bold"/>
          <w:b/>
          <w:bCs/>
          <w:i/>
          <w:sz w:val="24"/>
          <w:szCs w:val="24"/>
        </w:rPr>
        <w:t xml:space="preserve">Artículo 167. </w:t>
      </w:r>
      <w:r w:rsidRPr="000D77A7">
        <w:rPr>
          <w:rFonts w:ascii="Palatino Linotype" w:hAnsi="Palatino Linotype" w:cs="Bookman Old Style"/>
          <w:i/>
          <w:sz w:val="24"/>
          <w:szCs w:val="24"/>
        </w:rPr>
        <w:t xml:space="preserve">Cuando las </w:t>
      </w:r>
      <w:r w:rsidRPr="000D77A7">
        <w:rPr>
          <w:rFonts w:ascii="Palatino Linotype" w:hAnsi="Palatino Linotype" w:cs="Bookman Old Style"/>
          <w:b/>
          <w:i/>
          <w:sz w:val="24"/>
          <w:szCs w:val="24"/>
        </w:rPr>
        <w:t>unidades de transparencia determinen la notoria incompetencia por parte de los sujetos obligado</w:t>
      </w:r>
      <w:r w:rsidRPr="000D77A7">
        <w:rPr>
          <w:rFonts w:ascii="Palatino Linotype" w:hAnsi="Palatino Linotype" w:cs="Bookman Old Style"/>
          <w:i/>
          <w:sz w:val="24"/>
          <w:szCs w:val="24"/>
        </w:rPr>
        <w:t xml:space="preserve">s, dentro del ámbito de aplicación, para atender la solicitud de acceso a la información, deberán comunicarlo al solicitante, dentro de los </w:t>
      </w:r>
      <w:r w:rsidRPr="000D77A7">
        <w:rPr>
          <w:rFonts w:ascii="Palatino Linotype" w:hAnsi="Palatino Linotype" w:cs="Bookman Old Style"/>
          <w:b/>
          <w:i/>
          <w:sz w:val="24"/>
          <w:szCs w:val="24"/>
          <w:u w:val="single"/>
        </w:rPr>
        <w:t>tres días hábiles posteriores a la recepción de la solicitud</w:t>
      </w:r>
      <w:r w:rsidRPr="000D77A7">
        <w:rPr>
          <w:rFonts w:ascii="Palatino Linotype" w:hAnsi="Palatino Linotype" w:cs="Bookman Old Style"/>
          <w:i/>
          <w:sz w:val="24"/>
          <w:szCs w:val="24"/>
        </w:rPr>
        <w:t xml:space="preserve"> y, en su caso orientar al solicitante, el o los sujetos obligados competentes. </w:t>
      </w:r>
    </w:p>
    <w:p w14:paraId="654CDCCD" w14:textId="77777777" w:rsidR="00DD0FEA" w:rsidRPr="000D77A7" w:rsidRDefault="00DD0FEA" w:rsidP="00DD0FEA">
      <w:pPr>
        <w:pStyle w:val="Prrafodelista"/>
        <w:spacing w:line="360" w:lineRule="auto"/>
        <w:ind w:left="0"/>
        <w:jc w:val="both"/>
        <w:rPr>
          <w:rFonts w:ascii="Palatino Linotype" w:eastAsia="Calibri" w:hAnsi="Palatino Linotype" w:cs="Arial"/>
          <w:sz w:val="24"/>
        </w:rPr>
      </w:pPr>
    </w:p>
    <w:p w14:paraId="5FB36F35" w14:textId="56813617" w:rsidR="00B647DE" w:rsidRDefault="00B647DE" w:rsidP="00DD0FEA">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rPr>
      </w:pPr>
      <w:r>
        <w:rPr>
          <w:rFonts w:ascii="Palatino Linotype" w:eastAsia="Calibri" w:hAnsi="Palatino Linotype" w:cs="Arial"/>
          <w:sz w:val="24"/>
        </w:rPr>
        <w:t>Tal y como se aprecia en líneas anteriores, la declaración de incompetencia que realizó el Sujeto Obligado se encuentra dentro de los límites temporales que establece la normatividad en materia para tal efecto; no obstante, se verificarán las atribuciones, funciones y competencias del Sujeto Obligado para determinar si cuenta o no con fuente obligacional para generar, administrar y/o poseer la información solicitada.</w:t>
      </w:r>
    </w:p>
    <w:p w14:paraId="4837AE85" w14:textId="77777777" w:rsidR="001A32CB" w:rsidRDefault="001A32CB" w:rsidP="001A32CB">
      <w:pPr>
        <w:pStyle w:val="Prrafodelista"/>
        <w:spacing w:before="100" w:beforeAutospacing="1" w:after="100" w:afterAutospacing="1" w:line="360" w:lineRule="auto"/>
        <w:ind w:left="0"/>
        <w:jc w:val="both"/>
        <w:rPr>
          <w:rFonts w:ascii="Palatino Linotype" w:eastAsia="Calibri" w:hAnsi="Palatino Linotype" w:cs="Arial"/>
          <w:sz w:val="24"/>
        </w:rPr>
      </w:pPr>
    </w:p>
    <w:p w14:paraId="07811473" w14:textId="3F1E87ED" w:rsidR="001A32CB" w:rsidRDefault="00C5509C" w:rsidP="00DD0FEA">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rPr>
      </w:pPr>
      <w:r>
        <w:rPr>
          <w:rFonts w:ascii="Palatino Linotype" w:eastAsia="Calibri" w:hAnsi="Palatino Linotype" w:cs="Arial"/>
          <w:sz w:val="24"/>
        </w:rPr>
        <w:t>Para tal efecto, l</w:t>
      </w:r>
      <w:r w:rsidR="001A32CB">
        <w:rPr>
          <w:rFonts w:ascii="Palatino Linotype" w:eastAsia="Calibri" w:hAnsi="Palatino Linotype" w:cs="Arial"/>
          <w:sz w:val="24"/>
        </w:rPr>
        <w:t>a Ley del Agua para el Estado de México y Municipios, en el artículo 33 y 34 establece lo siguiente:</w:t>
      </w:r>
    </w:p>
    <w:p w14:paraId="04DA5BC7" w14:textId="77777777" w:rsidR="001A32CB" w:rsidRPr="001A32CB" w:rsidRDefault="001A32CB" w:rsidP="001A32CB">
      <w:pPr>
        <w:pStyle w:val="Prrafodelista"/>
        <w:rPr>
          <w:rFonts w:ascii="Palatino Linotype" w:eastAsia="Calibri" w:hAnsi="Palatino Linotype" w:cs="Arial"/>
          <w:sz w:val="24"/>
        </w:rPr>
      </w:pPr>
    </w:p>
    <w:p w14:paraId="3270F181" w14:textId="63EA27F5" w:rsidR="001A32CB" w:rsidRPr="001A32CB" w:rsidRDefault="001A32CB" w:rsidP="001A32CB">
      <w:pPr>
        <w:pStyle w:val="Prrafodelista"/>
        <w:spacing w:before="100" w:beforeAutospacing="1" w:after="100" w:afterAutospacing="1" w:line="360" w:lineRule="auto"/>
        <w:ind w:left="567" w:right="822"/>
        <w:jc w:val="center"/>
        <w:rPr>
          <w:rFonts w:ascii="Palatino Linotype" w:hAnsi="Palatino Linotype"/>
          <w:b/>
          <w:i/>
        </w:rPr>
      </w:pPr>
      <w:r w:rsidRPr="001A32CB">
        <w:rPr>
          <w:rFonts w:ascii="Palatino Linotype" w:hAnsi="Palatino Linotype"/>
          <w:b/>
          <w:i/>
        </w:rPr>
        <w:t>SECCIÓN QUINTA</w:t>
      </w:r>
    </w:p>
    <w:p w14:paraId="0444883C" w14:textId="290BBDB8" w:rsidR="001A32CB" w:rsidRPr="001A32CB" w:rsidRDefault="001A32CB" w:rsidP="001A32CB">
      <w:pPr>
        <w:pStyle w:val="Prrafodelista"/>
        <w:spacing w:before="100" w:beforeAutospacing="1" w:after="100" w:afterAutospacing="1" w:line="360" w:lineRule="auto"/>
        <w:ind w:left="567" w:right="822"/>
        <w:jc w:val="center"/>
        <w:rPr>
          <w:rFonts w:ascii="Palatino Linotype" w:hAnsi="Palatino Linotype"/>
          <w:b/>
          <w:i/>
        </w:rPr>
      </w:pPr>
      <w:r w:rsidRPr="001A32CB">
        <w:rPr>
          <w:rFonts w:ascii="Palatino Linotype" w:hAnsi="Palatino Linotype"/>
          <w:b/>
          <w:i/>
        </w:rPr>
        <w:lastRenderedPageBreak/>
        <w:t>DE LOS MUNICIPIOS DEL ESTADO DE MÉXICO</w:t>
      </w:r>
    </w:p>
    <w:p w14:paraId="1666ADBB" w14:textId="77777777" w:rsidR="001A32CB" w:rsidRPr="001A32CB" w:rsidRDefault="001A32CB" w:rsidP="001A32CB">
      <w:pPr>
        <w:pStyle w:val="Prrafodelista"/>
        <w:spacing w:before="100" w:beforeAutospacing="1" w:after="100" w:afterAutospacing="1" w:line="360" w:lineRule="auto"/>
        <w:ind w:left="567" w:right="822"/>
        <w:jc w:val="both"/>
        <w:rPr>
          <w:rFonts w:ascii="Palatino Linotype" w:hAnsi="Palatino Linotype"/>
          <w:i/>
        </w:rPr>
      </w:pPr>
    </w:p>
    <w:p w14:paraId="52BB43E2" w14:textId="542B263C" w:rsidR="001A32CB" w:rsidRPr="001A32CB" w:rsidRDefault="001A32CB" w:rsidP="001A32CB">
      <w:pPr>
        <w:pStyle w:val="Prrafodelista"/>
        <w:spacing w:before="100" w:beforeAutospacing="1" w:after="100" w:afterAutospacing="1" w:line="360" w:lineRule="auto"/>
        <w:ind w:left="567" w:right="822"/>
        <w:jc w:val="both"/>
        <w:rPr>
          <w:rFonts w:ascii="Palatino Linotype" w:eastAsia="Calibri" w:hAnsi="Palatino Linotype" w:cs="Arial"/>
          <w:i/>
          <w:sz w:val="24"/>
        </w:rPr>
      </w:pPr>
      <w:r w:rsidRPr="001A32CB">
        <w:rPr>
          <w:rFonts w:ascii="Palatino Linotype" w:hAnsi="Palatino Linotype"/>
          <w:i/>
        </w:rPr>
        <w:t>Artículo 33.- Los municipios, en los términos de la Constitución Política de los Estados Unidos Mexicanos y la Constitución Política del Estado Libre y Soberano de México, prestarán los servicios a que se refiere la presente Ley, promoviendo las acciones necesarias para lograr su autosuficiencia técnica y financiera en esta materia.</w:t>
      </w:r>
    </w:p>
    <w:p w14:paraId="7528154E" w14:textId="77777777" w:rsidR="001A32CB" w:rsidRPr="001A32CB" w:rsidRDefault="001A32CB" w:rsidP="001A32CB">
      <w:pPr>
        <w:pStyle w:val="Prrafodelista"/>
        <w:ind w:left="567" w:right="822"/>
        <w:rPr>
          <w:rFonts w:ascii="Palatino Linotype" w:eastAsia="Calibri" w:hAnsi="Palatino Linotype" w:cs="Arial"/>
          <w:i/>
          <w:sz w:val="24"/>
        </w:rPr>
      </w:pPr>
    </w:p>
    <w:p w14:paraId="5C99F247" w14:textId="40542708" w:rsidR="001A32CB" w:rsidRPr="001A32CB" w:rsidRDefault="001A32CB" w:rsidP="001A32CB">
      <w:pPr>
        <w:pStyle w:val="Prrafodelista"/>
        <w:spacing w:before="100" w:beforeAutospacing="1" w:after="100" w:afterAutospacing="1" w:line="360" w:lineRule="auto"/>
        <w:ind w:left="567" w:right="822"/>
        <w:jc w:val="both"/>
        <w:rPr>
          <w:rFonts w:ascii="Palatino Linotype" w:hAnsi="Palatino Linotype"/>
          <w:i/>
        </w:rPr>
      </w:pPr>
      <w:r w:rsidRPr="001A32CB">
        <w:rPr>
          <w:rFonts w:ascii="Palatino Linotype" w:hAnsi="Palatino Linotype"/>
          <w:i/>
        </w:rPr>
        <w:t>Corresponde a los municipios otorgar las Concesiones relativas a las aguas de jurisdicción municipal.</w:t>
      </w:r>
    </w:p>
    <w:p w14:paraId="776A42C2" w14:textId="77777777" w:rsidR="001A32CB" w:rsidRPr="001A32CB" w:rsidRDefault="001A32CB" w:rsidP="001A32CB">
      <w:pPr>
        <w:pStyle w:val="Prrafodelista"/>
        <w:spacing w:before="100" w:beforeAutospacing="1" w:after="100" w:afterAutospacing="1" w:line="360" w:lineRule="auto"/>
        <w:ind w:left="567" w:right="822"/>
        <w:jc w:val="both"/>
        <w:rPr>
          <w:rFonts w:ascii="Palatino Linotype" w:hAnsi="Palatino Linotype"/>
          <w:i/>
        </w:rPr>
      </w:pPr>
    </w:p>
    <w:p w14:paraId="6D3E8490" w14:textId="77777777" w:rsidR="001A32CB" w:rsidRPr="003E1166" w:rsidRDefault="001A32CB" w:rsidP="001A32CB">
      <w:pPr>
        <w:pStyle w:val="Prrafodelista"/>
        <w:spacing w:before="100" w:beforeAutospacing="1" w:after="100" w:afterAutospacing="1" w:line="360" w:lineRule="auto"/>
        <w:ind w:left="567" w:right="822"/>
        <w:jc w:val="both"/>
        <w:rPr>
          <w:rFonts w:ascii="Palatino Linotype" w:hAnsi="Palatino Linotype"/>
          <w:b/>
          <w:i/>
        </w:rPr>
      </w:pPr>
      <w:r w:rsidRPr="001A32CB">
        <w:rPr>
          <w:rFonts w:ascii="Palatino Linotype" w:hAnsi="Palatino Linotype"/>
          <w:i/>
        </w:rPr>
        <w:t xml:space="preserve">Artículo 34.- </w:t>
      </w:r>
      <w:r w:rsidRPr="003E1166">
        <w:rPr>
          <w:rFonts w:ascii="Palatino Linotype" w:hAnsi="Palatino Linotype"/>
          <w:b/>
          <w:i/>
        </w:rPr>
        <w:t xml:space="preserve">Los municipios podrán prestar directamente los servicios a que se refiere la presente Ley, o bien por conducto de cualquiera de los siguientes prestadores de los servicios: </w:t>
      </w:r>
    </w:p>
    <w:p w14:paraId="7E832C1E" w14:textId="77777777" w:rsidR="001A32CB" w:rsidRPr="001A32CB" w:rsidRDefault="001A32CB" w:rsidP="001A32CB">
      <w:pPr>
        <w:pStyle w:val="Prrafodelista"/>
        <w:spacing w:before="100" w:beforeAutospacing="1" w:after="100" w:afterAutospacing="1" w:line="360" w:lineRule="auto"/>
        <w:ind w:left="567" w:right="822"/>
        <w:jc w:val="both"/>
        <w:rPr>
          <w:rFonts w:ascii="Palatino Linotype" w:hAnsi="Palatino Linotype"/>
          <w:i/>
        </w:rPr>
      </w:pPr>
    </w:p>
    <w:p w14:paraId="7C23A1EB" w14:textId="12706FF1" w:rsidR="001A32CB" w:rsidRPr="003E1166" w:rsidRDefault="001A32CB" w:rsidP="001A32CB">
      <w:pPr>
        <w:pStyle w:val="Prrafodelista"/>
        <w:spacing w:before="100" w:beforeAutospacing="1" w:after="100" w:afterAutospacing="1" w:line="360" w:lineRule="auto"/>
        <w:ind w:left="567" w:right="822"/>
        <w:jc w:val="both"/>
        <w:rPr>
          <w:rFonts w:ascii="Palatino Linotype" w:hAnsi="Palatino Linotype"/>
          <w:b/>
          <w:i/>
        </w:rPr>
      </w:pPr>
      <w:r w:rsidRPr="003E1166">
        <w:rPr>
          <w:rFonts w:ascii="Palatino Linotype" w:hAnsi="Palatino Linotype"/>
          <w:b/>
          <w:i/>
        </w:rPr>
        <w:t xml:space="preserve">I. Organismos descentralizados municipales o intermunicipales, que serán los organismos operadores; </w:t>
      </w:r>
    </w:p>
    <w:p w14:paraId="0520A5C3" w14:textId="77777777" w:rsidR="001A32CB" w:rsidRPr="001A32CB" w:rsidRDefault="001A32CB" w:rsidP="001A32CB">
      <w:pPr>
        <w:pStyle w:val="Prrafodelista"/>
        <w:spacing w:before="100" w:beforeAutospacing="1" w:after="100" w:afterAutospacing="1" w:line="360" w:lineRule="auto"/>
        <w:ind w:left="567" w:right="822"/>
        <w:jc w:val="both"/>
        <w:rPr>
          <w:rFonts w:ascii="Palatino Linotype" w:hAnsi="Palatino Linotype"/>
          <w:i/>
        </w:rPr>
      </w:pPr>
      <w:r w:rsidRPr="001A32CB">
        <w:rPr>
          <w:rFonts w:ascii="Palatino Linotype" w:hAnsi="Palatino Linotype"/>
          <w:i/>
        </w:rPr>
        <w:t xml:space="preserve">II. La Comisión; o </w:t>
      </w:r>
    </w:p>
    <w:p w14:paraId="428FF90C" w14:textId="5083D992" w:rsidR="001A32CB" w:rsidRPr="001A32CB" w:rsidRDefault="001A32CB" w:rsidP="001A32CB">
      <w:pPr>
        <w:pStyle w:val="Prrafodelista"/>
        <w:spacing w:before="100" w:beforeAutospacing="1" w:after="100" w:afterAutospacing="1" w:line="360" w:lineRule="auto"/>
        <w:ind w:left="567" w:right="822"/>
        <w:jc w:val="both"/>
        <w:rPr>
          <w:rFonts w:ascii="Palatino Linotype" w:eastAsia="Calibri" w:hAnsi="Palatino Linotype" w:cs="Arial"/>
          <w:i/>
          <w:sz w:val="24"/>
        </w:rPr>
      </w:pPr>
      <w:r w:rsidRPr="001A32CB">
        <w:rPr>
          <w:rFonts w:ascii="Palatino Linotype" w:hAnsi="Palatino Linotype"/>
          <w:i/>
        </w:rPr>
        <w:t>III. Personas jurídicas colectivas concesionarias. Cuando un municipio no tenga capacidad para prestar los servicios, podrá, previo acuerdo de cabildo aprobado por cuando menos las dos terceras partes de sus integrantes, convenir con la Comisión para que ésta, de manera temporal, los preste, en los términos de esta Ley, su Reglamento y otras disposiciones aplicables.</w:t>
      </w:r>
    </w:p>
    <w:p w14:paraId="58BF9560" w14:textId="77777777" w:rsidR="001A32CB" w:rsidRDefault="001A32CB" w:rsidP="001A32CB">
      <w:pPr>
        <w:pStyle w:val="Prrafodelista"/>
        <w:spacing w:before="100" w:beforeAutospacing="1" w:after="100" w:afterAutospacing="1" w:line="360" w:lineRule="auto"/>
        <w:ind w:left="0"/>
        <w:jc w:val="both"/>
        <w:rPr>
          <w:rFonts w:ascii="Palatino Linotype" w:eastAsia="Calibri" w:hAnsi="Palatino Linotype" w:cs="Arial"/>
          <w:sz w:val="24"/>
        </w:rPr>
      </w:pPr>
    </w:p>
    <w:p w14:paraId="48D25C24" w14:textId="77777777" w:rsidR="001A32CB" w:rsidRDefault="001A32CB" w:rsidP="001A32CB">
      <w:pPr>
        <w:pStyle w:val="Prrafodelista"/>
        <w:spacing w:before="100" w:beforeAutospacing="1" w:after="100" w:afterAutospacing="1" w:line="360" w:lineRule="auto"/>
        <w:ind w:left="0"/>
        <w:jc w:val="both"/>
        <w:rPr>
          <w:rFonts w:ascii="Palatino Linotype" w:eastAsia="Calibri" w:hAnsi="Palatino Linotype" w:cs="Arial"/>
          <w:sz w:val="24"/>
        </w:rPr>
      </w:pPr>
    </w:p>
    <w:p w14:paraId="413F7B36" w14:textId="45F1D01C" w:rsidR="003E1166" w:rsidRPr="00A90573" w:rsidRDefault="003E1166" w:rsidP="00920E85">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rPr>
      </w:pPr>
      <w:r w:rsidRPr="00A90573">
        <w:rPr>
          <w:rFonts w:ascii="Palatino Linotype" w:eastAsia="Calibri" w:hAnsi="Palatino Linotype" w:cs="Arial"/>
          <w:sz w:val="24"/>
        </w:rPr>
        <w:t>Es así que, la Ley de Agua del Estado de México reconoce como prestadores del servicio de agua potable a los Municipios y los Organismos Descentralizados, com</w:t>
      </w:r>
      <w:r w:rsidR="00A90573" w:rsidRPr="00A90573">
        <w:rPr>
          <w:rFonts w:ascii="Palatino Linotype" w:eastAsia="Calibri" w:hAnsi="Palatino Linotype" w:cs="Arial"/>
          <w:sz w:val="24"/>
        </w:rPr>
        <w:t>o lo son los Organismos de Agua y los faculta para otorgar el servicio de agua potable en los siguientes rubros:</w:t>
      </w:r>
    </w:p>
    <w:p w14:paraId="45C7ABB9" w14:textId="77777777" w:rsidR="00A90573" w:rsidRPr="00A90573" w:rsidRDefault="003E1166" w:rsidP="00A90573">
      <w:pPr>
        <w:spacing w:before="100" w:beforeAutospacing="1" w:after="100" w:afterAutospacing="1" w:line="360" w:lineRule="auto"/>
        <w:ind w:left="567" w:right="822"/>
        <w:jc w:val="both"/>
        <w:rPr>
          <w:rFonts w:ascii="Palatino Linotype" w:hAnsi="Palatino Linotype"/>
          <w:i/>
          <w:sz w:val="22"/>
          <w:szCs w:val="22"/>
        </w:rPr>
      </w:pPr>
      <w:r w:rsidRPr="00A90573">
        <w:rPr>
          <w:rFonts w:ascii="Palatino Linotype" w:hAnsi="Palatino Linotype"/>
          <w:i/>
          <w:sz w:val="22"/>
          <w:szCs w:val="22"/>
        </w:rPr>
        <w:t xml:space="preserve">Artículo 70.- Los prestadores de los servicios otorgarán el servicio de agua potable en su ámbito de competencia, considerando la siguiente prioridad en los usos: </w:t>
      </w:r>
    </w:p>
    <w:p w14:paraId="48B0505D" w14:textId="77777777" w:rsidR="00A90573" w:rsidRPr="00A90573" w:rsidRDefault="003E1166" w:rsidP="00A90573">
      <w:pPr>
        <w:spacing w:before="100" w:beforeAutospacing="1" w:after="100" w:afterAutospacing="1" w:line="360" w:lineRule="auto"/>
        <w:ind w:left="567" w:right="822"/>
        <w:jc w:val="both"/>
        <w:rPr>
          <w:rFonts w:ascii="Palatino Linotype" w:hAnsi="Palatino Linotype"/>
          <w:i/>
          <w:sz w:val="22"/>
          <w:szCs w:val="22"/>
        </w:rPr>
      </w:pPr>
      <w:r w:rsidRPr="00A90573">
        <w:rPr>
          <w:rFonts w:ascii="Palatino Linotype" w:hAnsi="Palatino Linotype"/>
          <w:i/>
          <w:sz w:val="22"/>
          <w:szCs w:val="22"/>
        </w:rPr>
        <w:t xml:space="preserve">I. Doméstico y público urbano; </w:t>
      </w:r>
    </w:p>
    <w:p w14:paraId="40AE3D86" w14:textId="77777777" w:rsidR="00A90573" w:rsidRPr="00A90573" w:rsidRDefault="003E1166" w:rsidP="00A90573">
      <w:pPr>
        <w:spacing w:before="100" w:beforeAutospacing="1" w:after="100" w:afterAutospacing="1" w:line="360" w:lineRule="auto"/>
        <w:ind w:left="567" w:right="822"/>
        <w:jc w:val="both"/>
        <w:rPr>
          <w:rFonts w:ascii="Palatino Linotype" w:hAnsi="Palatino Linotype"/>
          <w:i/>
          <w:sz w:val="22"/>
          <w:szCs w:val="22"/>
        </w:rPr>
      </w:pPr>
      <w:r w:rsidRPr="00A90573">
        <w:rPr>
          <w:rFonts w:ascii="Palatino Linotype" w:hAnsi="Palatino Linotype"/>
          <w:i/>
          <w:sz w:val="22"/>
          <w:szCs w:val="22"/>
        </w:rPr>
        <w:t xml:space="preserve">II. De servicios; </w:t>
      </w:r>
    </w:p>
    <w:p w14:paraId="491F7108" w14:textId="77777777" w:rsidR="00A90573" w:rsidRPr="00A90573" w:rsidRDefault="003E1166" w:rsidP="00A90573">
      <w:pPr>
        <w:spacing w:before="100" w:beforeAutospacing="1" w:after="100" w:afterAutospacing="1" w:line="360" w:lineRule="auto"/>
        <w:ind w:left="567" w:right="822"/>
        <w:jc w:val="both"/>
        <w:rPr>
          <w:rFonts w:ascii="Palatino Linotype" w:hAnsi="Palatino Linotype"/>
          <w:i/>
          <w:sz w:val="22"/>
          <w:szCs w:val="22"/>
        </w:rPr>
      </w:pPr>
      <w:r w:rsidRPr="00A90573">
        <w:rPr>
          <w:rFonts w:ascii="Palatino Linotype" w:hAnsi="Palatino Linotype"/>
          <w:i/>
          <w:sz w:val="22"/>
          <w:szCs w:val="22"/>
        </w:rPr>
        <w:t xml:space="preserve">III. Industrial; </w:t>
      </w:r>
    </w:p>
    <w:p w14:paraId="728A98AE" w14:textId="77777777" w:rsidR="00A90573" w:rsidRPr="00A90573" w:rsidRDefault="003E1166" w:rsidP="00A90573">
      <w:pPr>
        <w:spacing w:before="100" w:beforeAutospacing="1" w:after="100" w:afterAutospacing="1" w:line="360" w:lineRule="auto"/>
        <w:ind w:left="567" w:right="822"/>
        <w:jc w:val="both"/>
        <w:rPr>
          <w:rFonts w:ascii="Palatino Linotype" w:hAnsi="Palatino Linotype"/>
          <w:i/>
          <w:sz w:val="22"/>
          <w:szCs w:val="22"/>
        </w:rPr>
      </w:pPr>
      <w:r w:rsidRPr="00A90573">
        <w:rPr>
          <w:rFonts w:ascii="Palatino Linotype" w:hAnsi="Palatino Linotype"/>
          <w:i/>
          <w:sz w:val="22"/>
          <w:szCs w:val="22"/>
        </w:rPr>
        <w:t xml:space="preserve">IV. Agrícola y pecuario; </w:t>
      </w:r>
    </w:p>
    <w:p w14:paraId="6B0AD734" w14:textId="77777777" w:rsidR="00A90573" w:rsidRPr="00A90573" w:rsidRDefault="003E1166" w:rsidP="00A90573">
      <w:pPr>
        <w:spacing w:before="100" w:beforeAutospacing="1" w:after="100" w:afterAutospacing="1" w:line="360" w:lineRule="auto"/>
        <w:ind w:left="567" w:right="822"/>
        <w:jc w:val="both"/>
        <w:rPr>
          <w:rFonts w:ascii="Palatino Linotype" w:hAnsi="Palatino Linotype"/>
          <w:i/>
          <w:sz w:val="22"/>
          <w:szCs w:val="22"/>
        </w:rPr>
      </w:pPr>
      <w:r w:rsidRPr="00A90573">
        <w:rPr>
          <w:rFonts w:ascii="Palatino Linotype" w:hAnsi="Palatino Linotype"/>
          <w:i/>
          <w:sz w:val="22"/>
          <w:szCs w:val="22"/>
        </w:rPr>
        <w:t xml:space="preserve">V. Acuacultura; </w:t>
      </w:r>
    </w:p>
    <w:p w14:paraId="7D2ED630" w14:textId="77777777" w:rsidR="00A90573" w:rsidRPr="00A90573" w:rsidRDefault="003E1166" w:rsidP="00A90573">
      <w:pPr>
        <w:spacing w:before="100" w:beforeAutospacing="1" w:after="100" w:afterAutospacing="1" w:line="360" w:lineRule="auto"/>
        <w:ind w:left="567" w:right="822"/>
        <w:jc w:val="both"/>
        <w:rPr>
          <w:rFonts w:ascii="Palatino Linotype" w:hAnsi="Palatino Linotype"/>
          <w:i/>
          <w:sz w:val="22"/>
          <w:szCs w:val="22"/>
        </w:rPr>
      </w:pPr>
      <w:r w:rsidRPr="00A90573">
        <w:rPr>
          <w:rFonts w:ascii="Palatino Linotype" w:hAnsi="Palatino Linotype"/>
          <w:i/>
          <w:sz w:val="22"/>
          <w:szCs w:val="22"/>
        </w:rPr>
        <w:t xml:space="preserve">VI. Recreativo; </w:t>
      </w:r>
    </w:p>
    <w:p w14:paraId="7973CDAA" w14:textId="77777777" w:rsidR="00A90573" w:rsidRPr="00A90573" w:rsidRDefault="003E1166" w:rsidP="00A90573">
      <w:pPr>
        <w:spacing w:before="100" w:beforeAutospacing="1" w:after="100" w:afterAutospacing="1" w:line="360" w:lineRule="auto"/>
        <w:ind w:left="567" w:right="822"/>
        <w:jc w:val="both"/>
        <w:rPr>
          <w:rFonts w:ascii="Palatino Linotype" w:hAnsi="Palatino Linotype"/>
          <w:i/>
          <w:sz w:val="22"/>
          <w:szCs w:val="22"/>
        </w:rPr>
      </w:pPr>
      <w:r w:rsidRPr="00A90573">
        <w:rPr>
          <w:rFonts w:ascii="Palatino Linotype" w:hAnsi="Palatino Linotype"/>
          <w:i/>
          <w:sz w:val="22"/>
          <w:szCs w:val="22"/>
        </w:rPr>
        <w:t xml:space="preserve">VII. Conservación ecológica y ambiental; y </w:t>
      </w:r>
    </w:p>
    <w:p w14:paraId="3B66AB19" w14:textId="6AA5DD4E" w:rsidR="003E1166" w:rsidRPr="00A90573" w:rsidRDefault="003E1166" w:rsidP="00A90573">
      <w:pPr>
        <w:spacing w:before="100" w:beforeAutospacing="1" w:after="100" w:afterAutospacing="1" w:line="360" w:lineRule="auto"/>
        <w:ind w:left="567" w:right="822"/>
        <w:jc w:val="both"/>
        <w:rPr>
          <w:rFonts w:ascii="Palatino Linotype" w:hAnsi="Palatino Linotype"/>
          <w:i/>
          <w:sz w:val="22"/>
          <w:szCs w:val="22"/>
        </w:rPr>
      </w:pPr>
      <w:r w:rsidRPr="00A90573">
        <w:rPr>
          <w:rFonts w:ascii="Palatino Linotype" w:hAnsi="Palatino Linotype"/>
          <w:i/>
          <w:sz w:val="22"/>
          <w:szCs w:val="22"/>
        </w:rPr>
        <w:t>VIII. Los demás que determinen las autoridades del agua</w:t>
      </w:r>
    </w:p>
    <w:p w14:paraId="101DE1B0" w14:textId="12419E45" w:rsidR="00A90573" w:rsidRPr="00A90573" w:rsidRDefault="00A90573" w:rsidP="00A90573">
      <w:pPr>
        <w:spacing w:before="100" w:beforeAutospacing="1" w:after="100" w:afterAutospacing="1" w:line="360" w:lineRule="auto"/>
        <w:ind w:left="567" w:right="822"/>
        <w:jc w:val="both"/>
        <w:rPr>
          <w:rFonts w:ascii="Palatino Linotype" w:hAnsi="Palatino Linotype"/>
          <w:i/>
          <w:sz w:val="22"/>
          <w:szCs w:val="22"/>
        </w:rPr>
      </w:pPr>
      <w:r w:rsidRPr="00A90573">
        <w:rPr>
          <w:rFonts w:ascii="Palatino Linotype" w:hAnsi="Palatino Linotype"/>
          <w:i/>
          <w:sz w:val="22"/>
          <w:szCs w:val="22"/>
        </w:rPr>
        <w:t>…</w:t>
      </w:r>
    </w:p>
    <w:p w14:paraId="7A6169DF" w14:textId="1C62DC74" w:rsidR="00A90573" w:rsidRPr="00A90573" w:rsidRDefault="00A90573" w:rsidP="00A90573">
      <w:pPr>
        <w:spacing w:before="100" w:beforeAutospacing="1" w:after="100" w:afterAutospacing="1" w:line="360" w:lineRule="auto"/>
        <w:ind w:left="567" w:right="822"/>
        <w:jc w:val="both"/>
        <w:rPr>
          <w:rFonts w:ascii="Palatino Linotype" w:eastAsia="Calibri" w:hAnsi="Palatino Linotype" w:cs="Arial"/>
          <w:i/>
          <w:sz w:val="22"/>
          <w:szCs w:val="22"/>
        </w:rPr>
      </w:pPr>
      <w:r w:rsidRPr="00A90573">
        <w:rPr>
          <w:rFonts w:ascii="Palatino Linotype" w:hAnsi="Palatino Linotype"/>
          <w:i/>
          <w:sz w:val="22"/>
          <w:szCs w:val="22"/>
        </w:rPr>
        <w:lastRenderedPageBreak/>
        <w:t>Los prestadores de los servicios a que se refiere el artículo 34 de la presente Ley, están obligados a garantizar la calidad del agua suministrada para los diferentes usos, debiendo aplicar los procesos de desinfección con gas cloro o, en su caso hipoclorito de sodio, conforme a la Norma Oficial Mexicana.</w:t>
      </w:r>
    </w:p>
    <w:p w14:paraId="310CAFA1" w14:textId="77777777" w:rsidR="003E1166" w:rsidRPr="00A90573" w:rsidRDefault="003E1166" w:rsidP="00A90573">
      <w:pPr>
        <w:pStyle w:val="Prrafodelista"/>
        <w:spacing w:line="360" w:lineRule="auto"/>
        <w:ind w:left="567" w:right="822"/>
        <w:jc w:val="both"/>
        <w:rPr>
          <w:rFonts w:ascii="Palatino Linotype" w:eastAsia="Calibri" w:hAnsi="Palatino Linotype" w:cs="Arial"/>
          <w:i/>
          <w:szCs w:val="22"/>
        </w:rPr>
      </w:pPr>
    </w:p>
    <w:p w14:paraId="17B00032" w14:textId="3EC2E201" w:rsidR="00A90573" w:rsidRPr="00A90573" w:rsidRDefault="00A90573" w:rsidP="00A90573">
      <w:pPr>
        <w:pStyle w:val="Prrafodelista"/>
        <w:spacing w:line="360" w:lineRule="auto"/>
        <w:ind w:left="567" w:right="822"/>
        <w:jc w:val="both"/>
        <w:rPr>
          <w:rFonts w:ascii="Palatino Linotype" w:hAnsi="Palatino Linotype"/>
          <w:i/>
          <w:szCs w:val="22"/>
        </w:rPr>
      </w:pPr>
      <w:r w:rsidRPr="00A90573">
        <w:rPr>
          <w:rFonts w:ascii="Palatino Linotype" w:hAnsi="Palatino Linotype"/>
          <w:b/>
          <w:i/>
          <w:szCs w:val="22"/>
        </w:rPr>
        <w:t>Artículo 71.- Los propietarios o poseedores de inmuebles, con construcción o sin ella, deberán contratar el servicio de agua potable para los usos a que se refieren las fracciones I, II y III,</w:t>
      </w:r>
      <w:r w:rsidRPr="00A90573">
        <w:rPr>
          <w:rFonts w:ascii="Palatino Linotype" w:hAnsi="Palatino Linotype"/>
          <w:i/>
          <w:szCs w:val="22"/>
        </w:rPr>
        <w:t xml:space="preserve"> del artículo anterior, cuando al frente del inmueble exista infraestructura hidráulica para la prestación del servicio.</w:t>
      </w:r>
    </w:p>
    <w:p w14:paraId="556504B2" w14:textId="77777777" w:rsidR="00A90573" w:rsidRPr="00A90573" w:rsidRDefault="00A90573" w:rsidP="00A90573">
      <w:pPr>
        <w:pStyle w:val="Prrafodelista"/>
        <w:spacing w:line="360" w:lineRule="auto"/>
        <w:ind w:left="567" w:right="822"/>
        <w:jc w:val="both"/>
        <w:rPr>
          <w:rFonts w:ascii="Palatino Linotype" w:hAnsi="Palatino Linotype"/>
          <w:i/>
          <w:szCs w:val="22"/>
        </w:rPr>
      </w:pPr>
    </w:p>
    <w:p w14:paraId="51BDA219" w14:textId="6CBBC1E7" w:rsidR="007F5179" w:rsidRPr="007F5179" w:rsidRDefault="00A90573" w:rsidP="007F5179">
      <w:pPr>
        <w:pStyle w:val="Prrafodelista"/>
        <w:numPr>
          <w:ilvl w:val="0"/>
          <w:numId w:val="2"/>
        </w:numPr>
        <w:spacing w:line="360" w:lineRule="auto"/>
        <w:ind w:left="0" w:right="113" w:firstLine="0"/>
        <w:jc w:val="both"/>
        <w:rPr>
          <w:rFonts w:ascii="Palatino Linotype" w:hAnsi="Palatino Linotype"/>
          <w:sz w:val="24"/>
          <w:szCs w:val="22"/>
        </w:rPr>
      </w:pPr>
      <w:r w:rsidRPr="007F5179">
        <w:rPr>
          <w:rFonts w:ascii="Palatino Linotype" w:hAnsi="Palatino Linotype"/>
          <w:sz w:val="24"/>
          <w:szCs w:val="22"/>
        </w:rPr>
        <w:t xml:space="preserve">Tal y como se aprecia, la normatividad en materia establece la facultad de los municipios, a través de sus organismos de agua, para la prestación de servicio de agua potable, para tal efecto, los propietarios o poseedores de inmuebles </w:t>
      </w:r>
      <w:r w:rsidR="007F5179" w:rsidRPr="007F5179">
        <w:rPr>
          <w:rFonts w:ascii="Palatino Linotype" w:hAnsi="Palatino Linotype"/>
          <w:sz w:val="24"/>
          <w:szCs w:val="22"/>
        </w:rPr>
        <w:t>deberán de realizar l</w:t>
      </w:r>
      <w:r w:rsidR="00C5509C">
        <w:rPr>
          <w:rFonts w:ascii="Palatino Linotype" w:hAnsi="Palatino Linotype"/>
          <w:sz w:val="24"/>
          <w:szCs w:val="22"/>
        </w:rPr>
        <w:t xml:space="preserve">a debida contratación y, en cuanto a los </w:t>
      </w:r>
      <w:r w:rsidR="007F5179" w:rsidRPr="00C5509C">
        <w:rPr>
          <w:rFonts w:ascii="Palatino Linotype" w:hAnsi="Palatino Linotype"/>
          <w:b/>
          <w:sz w:val="24"/>
          <w:szCs w:val="22"/>
        </w:rPr>
        <w:t>desarrolladores de vivienda, constructores o propietarios de conjuntos habitacionales</w:t>
      </w:r>
      <w:r w:rsidR="007F5179">
        <w:rPr>
          <w:rFonts w:ascii="Palatino Linotype" w:hAnsi="Palatino Linotype"/>
          <w:sz w:val="24"/>
          <w:szCs w:val="22"/>
        </w:rPr>
        <w:t xml:space="preserve">, el artículo 73 </w:t>
      </w:r>
      <w:r w:rsidR="00137147">
        <w:rPr>
          <w:rFonts w:ascii="Palatino Linotype" w:hAnsi="Palatino Linotype"/>
          <w:sz w:val="24"/>
          <w:szCs w:val="22"/>
        </w:rPr>
        <w:t xml:space="preserve">y 76 </w:t>
      </w:r>
      <w:r w:rsidR="007F5179">
        <w:rPr>
          <w:rFonts w:ascii="Palatino Linotype" w:hAnsi="Palatino Linotype"/>
          <w:sz w:val="24"/>
          <w:szCs w:val="22"/>
        </w:rPr>
        <w:t>refiere</w:t>
      </w:r>
      <w:r w:rsidR="00137147">
        <w:rPr>
          <w:rFonts w:ascii="Palatino Linotype" w:hAnsi="Palatino Linotype"/>
          <w:sz w:val="24"/>
          <w:szCs w:val="22"/>
        </w:rPr>
        <w:t>n</w:t>
      </w:r>
      <w:r w:rsidR="007F5179">
        <w:rPr>
          <w:rFonts w:ascii="Palatino Linotype" w:hAnsi="Palatino Linotype"/>
          <w:sz w:val="24"/>
          <w:szCs w:val="22"/>
        </w:rPr>
        <w:t>:</w:t>
      </w:r>
    </w:p>
    <w:p w14:paraId="0ACD6CF1" w14:textId="77777777" w:rsidR="00A90573" w:rsidRPr="00A90573" w:rsidRDefault="00A90573" w:rsidP="00A90573">
      <w:pPr>
        <w:spacing w:line="360" w:lineRule="auto"/>
        <w:ind w:right="822"/>
        <w:jc w:val="both"/>
        <w:rPr>
          <w:rFonts w:ascii="Palatino Linotype" w:hAnsi="Palatino Linotype"/>
          <w:i/>
          <w:szCs w:val="22"/>
        </w:rPr>
      </w:pPr>
    </w:p>
    <w:p w14:paraId="1E5E5D8F" w14:textId="77777777" w:rsidR="00A90573" w:rsidRPr="00A90573" w:rsidRDefault="00A90573" w:rsidP="00A90573">
      <w:pPr>
        <w:pStyle w:val="Prrafodelista"/>
        <w:spacing w:line="360" w:lineRule="auto"/>
        <w:ind w:left="567" w:right="822"/>
        <w:jc w:val="both"/>
        <w:rPr>
          <w:rFonts w:ascii="Palatino Linotype" w:hAnsi="Palatino Linotype"/>
          <w:b/>
          <w:i/>
          <w:szCs w:val="22"/>
        </w:rPr>
      </w:pPr>
      <w:r w:rsidRPr="00A90573">
        <w:rPr>
          <w:rFonts w:ascii="Palatino Linotype" w:hAnsi="Palatino Linotype"/>
          <w:i/>
          <w:szCs w:val="22"/>
        </w:rPr>
        <w:t xml:space="preserve">Artículo 73.- </w:t>
      </w:r>
      <w:r w:rsidRPr="00A90573">
        <w:rPr>
          <w:rFonts w:ascii="Palatino Linotype" w:hAnsi="Palatino Linotype"/>
          <w:b/>
          <w:i/>
          <w:szCs w:val="22"/>
        </w:rPr>
        <w:t xml:space="preserve">Es obligación de los desarrolladores de vivienda, constructores o propietarios de conjuntos habitacionales, industriales o de servicios, la construcción de sus redes de distribución y sistemas de drenaje y alcantarillado de conformidad con la normatividad en la materia, así como la conexión de las mismas a la infraestructura hidráulica municipal. </w:t>
      </w:r>
    </w:p>
    <w:p w14:paraId="6FC12B65" w14:textId="77777777" w:rsidR="00A90573" w:rsidRPr="007F5179" w:rsidRDefault="00A90573" w:rsidP="00A90573">
      <w:pPr>
        <w:pStyle w:val="Prrafodelista"/>
        <w:spacing w:line="360" w:lineRule="auto"/>
        <w:ind w:left="567" w:right="822"/>
        <w:jc w:val="both"/>
        <w:rPr>
          <w:rFonts w:ascii="Palatino Linotype" w:hAnsi="Palatino Linotype"/>
          <w:b/>
          <w:i/>
          <w:szCs w:val="22"/>
        </w:rPr>
      </w:pPr>
    </w:p>
    <w:p w14:paraId="7669CD14" w14:textId="2537FBBC" w:rsidR="00A90573" w:rsidRDefault="00A90573" w:rsidP="00A90573">
      <w:pPr>
        <w:pStyle w:val="Prrafodelista"/>
        <w:spacing w:line="360" w:lineRule="auto"/>
        <w:ind w:left="567" w:right="822"/>
        <w:jc w:val="both"/>
        <w:rPr>
          <w:rFonts w:ascii="Palatino Linotype" w:hAnsi="Palatino Linotype"/>
          <w:i/>
          <w:szCs w:val="22"/>
        </w:rPr>
      </w:pPr>
      <w:r w:rsidRPr="007F5179">
        <w:rPr>
          <w:rFonts w:ascii="Palatino Linotype" w:hAnsi="Palatino Linotype"/>
          <w:b/>
          <w:i/>
          <w:szCs w:val="22"/>
        </w:rPr>
        <w:lastRenderedPageBreak/>
        <w:t>Asimismo correrá a su cargo el costo de los aparatos medidores de consumo de agua potable y su instalación en cada una de las tomas</w:t>
      </w:r>
      <w:r w:rsidRPr="00A90573">
        <w:rPr>
          <w:rFonts w:ascii="Palatino Linotype" w:hAnsi="Palatino Linotype"/>
          <w:i/>
          <w:szCs w:val="22"/>
        </w:rPr>
        <w:t>; es obligatorio el tratamiento de aguas residuales y, en su caso, pozos de absorción para el agua pluvial que cumplan con lo previsto en los ordenamientos federales y estatales. Dichas plantas y pozos de absorción deberán estar disponibles antes de la ocupación de los conjuntos. La Comisión podrá determinar mecanismos alternativos para el cumplimiento de esta obligación. El Reglamento establecerá los procedimientos aplicables.</w:t>
      </w:r>
    </w:p>
    <w:p w14:paraId="34CCEEAA" w14:textId="1D5D5DB6" w:rsidR="00A90573" w:rsidRDefault="00A90573" w:rsidP="00A90573">
      <w:pPr>
        <w:pStyle w:val="Prrafodelista"/>
        <w:spacing w:line="360" w:lineRule="auto"/>
        <w:ind w:left="567" w:right="822"/>
        <w:jc w:val="both"/>
        <w:rPr>
          <w:rFonts w:ascii="Palatino Linotype" w:hAnsi="Palatino Linotype"/>
          <w:i/>
          <w:szCs w:val="22"/>
        </w:rPr>
      </w:pPr>
      <w:r>
        <w:rPr>
          <w:rFonts w:ascii="Palatino Linotype" w:hAnsi="Palatino Linotype"/>
          <w:i/>
          <w:szCs w:val="22"/>
        </w:rPr>
        <w:t>…</w:t>
      </w:r>
    </w:p>
    <w:p w14:paraId="21E0CBE3" w14:textId="77777777" w:rsidR="00A90573" w:rsidRDefault="00A90573" w:rsidP="00A90573">
      <w:pPr>
        <w:pStyle w:val="Prrafodelista"/>
        <w:spacing w:line="360" w:lineRule="auto"/>
        <w:ind w:left="567" w:right="822"/>
        <w:jc w:val="both"/>
        <w:rPr>
          <w:rFonts w:ascii="Palatino Linotype" w:hAnsi="Palatino Linotype"/>
          <w:i/>
          <w:szCs w:val="22"/>
        </w:rPr>
      </w:pPr>
    </w:p>
    <w:p w14:paraId="3166A3EC" w14:textId="77777777" w:rsidR="00A90573" w:rsidRPr="007F5179" w:rsidRDefault="00A90573" w:rsidP="00A90573">
      <w:pPr>
        <w:pStyle w:val="Prrafodelista"/>
        <w:spacing w:line="360" w:lineRule="auto"/>
        <w:ind w:left="567" w:right="822"/>
        <w:jc w:val="both"/>
        <w:rPr>
          <w:rFonts w:ascii="Palatino Linotype" w:hAnsi="Palatino Linotype"/>
          <w:b/>
          <w:i/>
        </w:rPr>
      </w:pPr>
      <w:r w:rsidRPr="007F5179">
        <w:rPr>
          <w:rFonts w:ascii="Palatino Linotype" w:hAnsi="Palatino Linotype"/>
          <w:b/>
          <w:i/>
        </w:rPr>
        <w:t>Artículo 76. El municipio o, en su caso, el organismo operador determinará la factibilidad de otorgamiento del servicio de agua potable, drenaje, alcantarillado y tratamiento de aguas residuales a nuevos fraccionamientos, conjuntos habitacionales</w:t>
      </w:r>
      <w:r w:rsidRPr="00A90573">
        <w:rPr>
          <w:rFonts w:ascii="Palatino Linotype" w:hAnsi="Palatino Linotype"/>
          <w:i/>
        </w:rPr>
        <w:t xml:space="preserve">, comerciales, industriales, mixtos o de otro uso, así como en los casos de ampliación o modificación del uso o destino de inmuebles, previo la satisfacción de los requisitos que para ello señala el Reglamento de esta Ley, </w:t>
      </w:r>
      <w:r w:rsidRPr="007F5179">
        <w:rPr>
          <w:rFonts w:ascii="Palatino Linotype" w:hAnsi="Palatino Linotype"/>
          <w:b/>
          <w:i/>
        </w:rPr>
        <w:t xml:space="preserve">y considerando la infraestructura hidráulica para su prestación y la disponibilidad del agua. La Comisión emitirá la evaluación técnica de impacto en materia de distribución de agua, así como la de agua, drenaje, alcantarillado y tratamiento de aguas residuales, que incluirá la determinación de si el predio tiene vocación inundable. </w:t>
      </w:r>
    </w:p>
    <w:p w14:paraId="4E87888D" w14:textId="77777777" w:rsidR="00A90573" w:rsidRPr="00A90573" w:rsidRDefault="00A90573" w:rsidP="00A90573">
      <w:pPr>
        <w:pStyle w:val="Prrafodelista"/>
        <w:spacing w:line="360" w:lineRule="auto"/>
        <w:ind w:left="567" w:right="822"/>
        <w:jc w:val="both"/>
        <w:rPr>
          <w:rFonts w:ascii="Palatino Linotype" w:hAnsi="Palatino Linotype"/>
          <w:i/>
        </w:rPr>
      </w:pPr>
    </w:p>
    <w:p w14:paraId="408E68D5" w14:textId="6145C96B" w:rsidR="00A90573" w:rsidRPr="007F5179" w:rsidRDefault="00A90573" w:rsidP="00A90573">
      <w:pPr>
        <w:pStyle w:val="Prrafodelista"/>
        <w:spacing w:line="360" w:lineRule="auto"/>
        <w:ind w:left="567" w:right="822"/>
        <w:jc w:val="both"/>
        <w:rPr>
          <w:rFonts w:ascii="Palatino Linotype" w:hAnsi="Palatino Linotype"/>
          <w:b/>
          <w:i/>
        </w:rPr>
      </w:pPr>
      <w:r w:rsidRPr="007F5179">
        <w:rPr>
          <w:rFonts w:ascii="Palatino Linotype" w:hAnsi="Palatino Linotype"/>
          <w:b/>
          <w:i/>
        </w:rPr>
        <w:t xml:space="preserve">En el caso de otorgamiento de factibilidad, el municipio o, en su caso, el organismo operador determinará y, en su caso, aprobará, y supervisará, en los </w:t>
      </w:r>
      <w:r w:rsidRPr="007F5179">
        <w:rPr>
          <w:rFonts w:ascii="Palatino Linotype" w:hAnsi="Palatino Linotype"/>
          <w:b/>
          <w:i/>
        </w:rPr>
        <w:lastRenderedPageBreak/>
        <w:t>términos del Reglamento, las obras necesarias para la prestación del servicio a cargo del desarrollador, mismas que se considerarán para el cálculo del cobro de conexión a la red de distribución correspondiente, o en su caso condicionar la factibilidad al de</w:t>
      </w:r>
      <w:r w:rsidR="009021B9">
        <w:rPr>
          <w:rFonts w:ascii="Palatino Linotype" w:hAnsi="Palatino Linotype"/>
          <w:b/>
          <w:i/>
        </w:rPr>
        <w:t>sarrollo de la infraestructura.</w:t>
      </w:r>
    </w:p>
    <w:p w14:paraId="08E0FE05" w14:textId="77777777" w:rsidR="00A90573" w:rsidRPr="00A90573" w:rsidRDefault="00A90573" w:rsidP="00A90573">
      <w:pPr>
        <w:pStyle w:val="Prrafodelista"/>
        <w:spacing w:line="360" w:lineRule="auto"/>
        <w:ind w:left="567" w:right="822"/>
        <w:jc w:val="both"/>
        <w:rPr>
          <w:rFonts w:ascii="Palatino Linotype" w:hAnsi="Palatino Linotype"/>
          <w:i/>
        </w:rPr>
      </w:pPr>
    </w:p>
    <w:p w14:paraId="47FA82DB" w14:textId="32588487" w:rsidR="00A90573" w:rsidRPr="007F5179" w:rsidRDefault="00A90573" w:rsidP="00A90573">
      <w:pPr>
        <w:pStyle w:val="Prrafodelista"/>
        <w:spacing w:line="360" w:lineRule="auto"/>
        <w:ind w:left="567" w:right="822"/>
        <w:jc w:val="both"/>
        <w:rPr>
          <w:rFonts w:ascii="Palatino Linotype" w:eastAsia="Calibri" w:hAnsi="Palatino Linotype" w:cs="Arial"/>
          <w:b/>
          <w:i/>
          <w:szCs w:val="22"/>
        </w:rPr>
      </w:pPr>
      <w:r w:rsidRPr="007F5179">
        <w:rPr>
          <w:rFonts w:ascii="Palatino Linotype" w:hAnsi="Palatino Linotype"/>
          <w:b/>
          <w:i/>
        </w:rPr>
        <w:t>Para el otorgamiento de la factibilidad, el municipio o, en su caso, el organismo operador, deberá verificar que el desarrollo habitacional, no se encuentre en un predio cuya vocación natural sea inundable, en cuyo caso deberá negar la factibilidad o condicionarla a que se realicen las obras necesarias para evitar la inundación, conforme al procedimiento que determine la Comisión.</w:t>
      </w:r>
    </w:p>
    <w:p w14:paraId="56043E87" w14:textId="77777777" w:rsidR="00A90573" w:rsidRDefault="00A90573" w:rsidP="003E1166">
      <w:pPr>
        <w:pStyle w:val="Prrafodelista"/>
        <w:rPr>
          <w:rFonts w:ascii="Palatino Linotype" w:eastAsia="Calibri" w:hAnsi="Palatino Linotype" w:cs="Arial"/>
          <w:sz w:val="24"/>
        </w:rPr>
      </w:pPr>
    </w:p>
    <w:p w14:paraId="41E740CC" w14:textId="77777777" w:rsidR="00A90573" w:rsidRPr="003E1166" w:rsidRDefault="00A90573" w:rsidP="003E1166">
      <w:pPr>
        <w:pStyle w:val="Prrafodelista"/>
        <w:rPr>
          <w:rFonts w:ascii="Palatino Linotype" w:eastAsia="Calibri" w:hAnsi="Palatino Linotype" w:cs="Arial"/>
          <w:sz w:val="24"/>
        </w:rPr>
      </w:pPr>
    </w:p>
    <w:p w14:paraId="06648C61" w14:textId="06E75B2A" w:rsidR="003E1166" w:rsidRDefault="00C5509C" w:rsidP="00DD0FEA">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rPr>
      </w:pPr>
      <w:r>
        <w:rPr>
          <w:rFonts w:ascii="Palatino Linotype" w:eastAsia="Calibri" w:hAnsi="Palatino Linotype" w:cs="Arial"/>
          <w:sz w:val="24"/>
        </w:rPr>
        <w:t xml:space="preserve">Del contenido </w:t>
      </w:r>
      <w:r w:rsidR="00137147">
        <w:rPr>
          <w:rFonts w:ascii="Palatino Linotype" w:eastAsia="Calibri" w:hAnsi="Palatino Linotype" w:cs="Arial"/>
          <w:sz w:val="24"/>
        </w:rPr>
        <w:t xml:space="preserve">del precepto legal en cito, le corresponde la determinación de la factibilidad de otorgamiento del servicio de agua potable, drenaje, alcantarillado y tratamiento de aguas residuales </w:t>
      </w:r>
      <w:r>
        <w:rPr>
          <w:rFonts w:ascii="Palatino Linotype" w:eastAsia="Calibri" w:hAnsi="Palatino Linotype" w:cs="Arial"/>
          <w:sz w:val="24"/>
        </w:rPr>
        <w:t>a</w:t>
      </w:r>
      <w:r w:rsidR="00137147">
        <w:rPr>
          <w:rFonts w:ascii="Palatino Linotype" w:eastAsia="Calibri" w:hAnsi="Palatino Linotype" w:cs="Arial"/>
          <w:sz w:val="24"/>
        </w:rPr>
        <w:t xml:space="preserve"> nuevos fraccionamientos, conjuntos habitacionales, asimismo, en caso de otorgamiento de factibilidad, el municipio o el organismo operados aprobará y supervisará las obras necesarias para la prestación del servicio a cargo del desarrollador. Por su parte, el Reglamento de la Ley de Agua del Estado de México y Municipios</w:t>
      </w:r>
      <w:r w:rsidR="00BF799D">
        <w:rPr>
          <w:rStyle w:val="Refdenotaalpie"/>
          <w:rFonts w:ascii="Palatino Linotype" w:eastAsia="Calibri" w:hAnsi="Palatino Linotype" w:cs="Arial"/>
          <w:sz w:val="24"/>
        </w:rPr>
        <w:footnoteReference w:id="3"/>
      </w:r>
    </w:p>
    <w:p w14:paraId="4ED6A4C5" w14:textId="77777777" w:rsidR="001A32CB" w:rsidRDefault="001A32CB" w:rsidP="001A32CB">
      <w:pPr>
        <w:pStyle w:val="Prrafodelista"/>
        <w:spacing w:before="100" w:beforeAutospacing="1" w:after="100" w:afterAutospacing="1" w:line="360" w:lineRule="auto"/>
        <w:ind w:left="0"/>
        <w:jc w:val="both"/>
        <w:rPr>
          <w:rFonts w:ascii="Palatino Linotype" w:eastAsia="Calibri" w:hAnsi="Palatino Linotype" w:cs="Arial"/>
          <w:sz w:val="24"/>
        </w:rPr>
      </w:pPr>
    </w:p>
    <w:p w14:paraId="4F00CE01" w14:textId="77777777" w:rsidR="00BF799D" w:rsidRDefault="00BF799D" w:rsidP="001A32CB">
      <w:pPr>
        <w:pStyle w:val="Prrafodelista"/>
        <w:spacing w:before="100" w:beforeAutospacing="1" w:after="100" w:afterAutospacing="1" w:line="360" w:lineRule="auto"/>
        <w:ind w:left="0"/>
        <w:jc w:val="both"/>
        <w:rPr>
          <w:rFonts w:ascii="Palatino Linotype" w:eastAsia="Calibri" w:hAnsi="Palatino Linotype" w:cs="Arial"/>
          <w:sz w:val="24"/>
        </w:rPr>
      </w:pPr>
    </w:p>
    <w:p w14:paraId="1FDBBAA7" w14:textId="74A10BEF" w:rsidR="00BF799D" w:rsidRPr="006C79C0" w:rsidRDefault="00BF799D" w:rsidP="00C5509C">
      <w:pPr>
        <w:pStyle w:val="Prrafodelista"/>
        <w:spacing w:before="100" w:beforeAutospacing="1" w:after="100" w:afterAutospacing="1" w:line="360" w:lineRule="auto"/>
        <w:ind w:left="567" w:right="822"/>
        <w:jc w:val="center"/>
        <w:rPr>
          <w:rFonts w:ascii="Palatino Linotype" w:hAnsi="Palatino Linotype"/>
          <w:b/>
          <w:i/>
        </w:rPr>
      </w:pPr>
      <w:r w:rsidRPr="006C79C0">
        <w:rPr>
          <w:rFonts w:ascii="Palatino Linotype" w:hAnsi="Palatino Linotype"/>
          <w:b/>
          <w:i/>
        </w:rPr>
        <w:t>CAPÍTULO SEGUNDO</w:t>
      </w:r>
    </w:p>
    <w:p w14:paraId="20C0EC19" w14:textId="6153BA12" w:rsidR="00BF799D" w:rsidRPr="006C79C0" w:rsidRDefault="00BF799D" w:rsidP="00C5509C">
      <w:pPr>
        <w:pStyle w:val="Prrafodelista"/>
        <w:spacing w:before="100" w:beforeAutospacing="1" w:after="100" w:afterAutospacing="1" w:line="360" w:lineRule="auto"/>
        <w:ind w:left="567" w:right="822"/>
        <w:jc w:val="center"/>
        <w:rPr>
          <w:rFonts w:ascii="Palatino Linotype" w:hAnsi="Palatino Linotype"/>
          <w:b/>
          <w:i/>
        </w:rPr>
      </w:pPr>
      <w:r w:rsidRPr="006C79C0">
        <w:rPr>
          <w:rFonts w:ascii="Palatino Linotype" w:hAnsi="Palatino Linotype"/>
          <w:b/>
          <w:i/>
        </w:rPr>
        <w:t>DE LOS SERVICIOS DE AGUA POTABLE Y DE DRENAJE Y ALCANTARILLADO</w:t>
      </w:r>
    </w:p>
    <w:p w14:paraId="133FB8DC" w14:textId="77777777" w:rsidR="00BF799D" w:rsidRPr="006C79C0" w:rsidRDefault="00BF799D" w:rsidP="006C79C0">
      <w:pPr>
        <w:pStyle w:val="Prrafodelista"/>
        <w:spacing w:before="100" w:beforeAutospacing="1" w:after="100" w:afterAutospacing="1" w:line="360" w:lineRule="auto"/>
        <w:ind w:left="567" w:right="822"/>
        <w:jc w:val="both"/>
        <w:rPr>
          <w:rFonts w:ascii="Palatino Linotype" w:hAnsi="Palatino Linotype"/>
          <w:i/>
        </w:rPr>
      </w:pPr>
    </w:p>
    <w:p w14:paraId="6CEBD3CD" w14:textId="242E50BA" w:rsidR="00BF799D" w:rsidRPr="006C79C0" w:rsidRDefault="00BF799D" w:rsidP="006C79C0">
      <w:pPr>
        <w:pStyle w:val="Prrafodelista"/>
        <w:spacing w:before="100" w:beforeAutospacing="1" w:after="100" w:afterAutospacing="1" w:line="360" w:lineRule="auto"/>
        <w:ind w:left="567" w:right="822"/>
        <w:jc w:val="both"/>
        <w:rPr>
          <w:rFonts w:ascii="Palatino Linotype" w:eastAsia="Calibri" w:hAnsi="Palatino Linotype" w:cs="Arial"/>
          <w:i/>
          <w:sz w:val="24"/>
        </w:rPr>
      </w:pPr>
      <w:r w:rsidRPr="006C79C0">
        <w:rPr>
          <w:rFonts w:ascii="Palatino Linotype" w:hAnsi="Palatino Linotype"/>
          <w:i/>
        </w:rPr>
        <w:t>Artículo 106. El prestador del servicio deberá prestar conjuntamente los servicios de agua potable y de drenaje, excepto cuando en la zona geográfica de que se trate, el municipio no cuente con las obras hidráulicas necesarias para tal fin, en cuyo caso podrá suscribirse el Convenio respectivo con la Comisión. Artículo 107. En aquellos municipios donde se haya suscrito el Convenio para que la Comisión preste los servicios, esta deberá realizar las siguientes funciones:</w:t>
      </w:r>
    </w:p>
    <w:p w14:paraId="1B7BF91A" w14:textId="77777777" w:rsidR="001A32CB" w:rsidRPr="006C79C0" w:rsidRDefault="001A32CB" w:rsidP="006C79C0">
      <w:pPr>
        <w:pStyle w:val="Prrafodelista"/>
        <w:spacing w:before="100" w:beforeAutospacing="1" w:after="100" w:afterAutospacing="1" w:line="360" w:lineRule="auto"/>
        <w:ind w:left="567" w:right="822"/>
        <w:jc w:val="both"/>
        <w:rPr>
          <w:rFonts w:ascii="Palatino Linotype" w:eastAsia="Calibri" w:hAnsi="Palatino Linotype" w:cs="Arial"/>
          <w:i/>
          <w:sz w:val="24"/>
        </w:rPr>
      </w:pPr>
    </w:p>
    <w:p w14:paraId="74842512" w14:textId="18E43DB4" w:rsidR="00BF799D" w:rsidRPr="006C79C0" w:rsidRDefault="00BF799D" w:rsidP="006C79C0">
      <w:pPr>
        <w:pStyle w:val="Prrafodelista"/>
        <w:spacing w:before="100" w:beforeAutospacing="1" w:after="100" w:afterAutospacing="1" w:line="360" w:lineRule="auto"/>
        <w:ind w:left="567" w:right="822"/>
        <w:jc w:val="both"/>
        <w:rPr>
          <w:rFonts w:ascii="Palatino Linotype" w:eastAsia="Calibri" w:hAnsi="Palatino Linotype" w:cs="Arial"/>
          <w:i/>
          <w:sz w:val="24"/>
        </w:rPr>
      </w:pPr>
      <w:r w:rsidRPr="006C79C0">
        <w:rPr>
          <w:rFonts w:ascii="Palatino Linotype" w:hAnsi="Palatino Linotype"/>
          <w:i/>
        </w:rPr>
        <w:t>IV. Emitir las factibilidades para los desarrolladores de conjuntos urbanos y comerciales.</w:t>
      </w:r>
    </w:p>
    <w:p w14:paraId="7E10249F" w14:textId="77777777" w:rsidR="001A32CB" w:rsidRDefault="001A32CB" w:rsidP="001A32CB">
      <w:pPr>
        <w:pStyle w:val="Prrafodelista"/>
        <w:spacing w:before="100" w:beforeAutospacing="1" w:after="100" w:afterAutospacing="1" w:line="360" w:lineRule="auto"/>
        <w:ind w:left="0"/>
        <w:jc w:val="both"/>
        <w:rPr>
          <w:rFonts w:ascii="Palatino Linotype" w:eastAsia="Calibri" w:hAnsi="Palatino Linotype" w:cs="Arial"/>
          <w:sz w:val="24"/>
        </w:rPr>
      </w:pPr>
    </w:p>
    <w:p w14:paraId="267B67F6" w14:textId="77777777" w:rsidR="00B647DE" w:rsidRDefault="00B647DE" w:rsidP="00B647DE">
      <w:pPr>
        <w:pStyle w:val="Prrafodelista"/>
        <w:spacing w:before="100" w:beforeAutospacing="1" w:after="100" w:afterAutospacing="1" w:line="360" w:lineRule="auto"/>
        <w:ind w:left="0"/>
        <w:jc w:val="both"/>
        <w:rPr>
          <w:rFonts w:ascii="Palatino Linotype" w:eastAsia="Calibri" w:hAnsi="Palatino Linotype" w:cs="Arial"/>
          <w:sz w:val="24"/>
        </w:rPr>
      </w:pPr>
    </w:p>
    <w:p w14:paraId="0D852F72" w14:textId="77777777" w:rsidR="00BF799D" w:rsidRDefault="00BF799D" w:rsidP="00DD0FEA">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rPr>
      </w:pPr>
      <w:r>
        <w:rPr>
          <w:rFonts w:ascii="Palatino Linotype" w:eastAsia="Calibri" w:hAnsi="Palatino Linotype" w:cs="Arial"/>
          <w:sz w:val="24"/>
        </w:rPr>
        <w:t xml:space="preserve">Es así que, el Sujeto Obligado al ser un prestador de servicios tiene la facultad de </w:t>
      </w:r>
      <w:r w:rsidRPr="00BF799D">
        <w:rPr>
          <w:rFonts w:ascii="Palatino Linotype" w:eastAsia="Calibri" w:hAnsi="Palatino Linotype" w:cs="Arial"/>
          <w:b/>
          <w:sz w:val="24"/>
        </w:rPr>
        <w:t>emitir factibilidades</w:t>
      </w:r>
      <w:r>
        <w:rPr>
          <w:rFonts w:ascii="Palatino Linotype" w:eastAsia="Calibri" w:hAnsi="Palatino Linotype" w:cs="Arial"/>
          <w:sz w:val="24"/>
        </w:rPr>
        <w:t xml:space="preserve"> para los desarrolladores de conjuntos urbanos y comerciales, de acuerdo al Reglamento de la Ley de Agua para el Estado de México y Municipios, por lo que, de acuerdo al mismo ordenamiento legal, nos brinda el concepto, siendo el siguiente:</w:t>
      </w:r>
    </w:p>
    <w:p w14:paraId="60FBA242" w14:textId="77777777" w:rsidR="00BF799D" w:rsidRDefault="00BF799D" w:rsidP="00BF799D">
      <w:pPr>
        <w:pStyle w:val="Prrafodelista"/>
        <w:spacing w:before="100" w:beforeAutospacing="1" w:after="100" w:afterAutospacing="1" w:line="360" w:lineRule="auto"/>
        <w:ind w:left="0"/>
        <w:jc w:val="both"/>
        <w:rPr>
          <w:rFonts w:ascii="Palatino Linotype" w:eastAsia="Calibri" w:hAnsi="Palatino Linotype" w:cs="Arial"/>
          <w:sz w:val="24"/>
        </w:rPr>
      </w:pPr>
    </w:p>
    <w:p w14:paraId="21CD835E" w14:textId="768036D5" w:rsidR="00BF799D" w:rsidRPr="006C79C0" w:rsidRDefault="00BF799D" w:rsidP="006C79C0">
      <w:pPr>
        <w:pStyle w:val="Prrafodelista"/>
        <w:spacing w:before="100" w:beforeAutospacing="1" w:after="100" w:afterAutospacing="1" w:line="360" w:lineRule="auto"/>
        <w:ind w:left="567" w:right="822"/>
        <w:jc w:val="both"/>
        <w:rPr>
          <w:rFonts w:ascii="Palatino Linotype" w:hAnsi="Palatino Linotype"/>
          <w:i/>
        </w:rPr>
      </w:pPr>
      <w:r w:rsidRPr="006C79C0">
        <w:rPr>
          <w:rFonts w:ascii="Palatino Linotype" w:hAnsi="Palatino Linotype"/>
          <w:i/>
        </w:rPr>
        <w:lastRenderedPageBreak/>
        <w:t>Artículo 3. Además de los conceptos a que se refiere la Ley del Agua para el Estado de México y Municipios, para efectos de este Reglamento se entenderá por:</w:t>
      </w:r>
    </w:p>
    <w:p w14:paraId="2FC47248" w14:textId="3099E474" w:rsidR="00BF799D" w:rsidRPr="006C79C0" w:rsidRDefault="00BF799D" w:rsidP="006C79C0">
      <w:pPr>
        <w:pStyle w:val="Prrafodelista"/>
        <w:spacing w:before="100" w:beforeAutospacing="1" w:after="100" w:afterAutospacing="1" w:line="360" w:lineRule="auto"/>
        <w:ind w:left="567" w:right="822"/>
        <w:jc w:val="both"/>
        <w:rPr>
          <w:rFonts w:ascii="Palatino Linotype" w:hAnsi="Palatino Linotype"/>
          <w:i/>
        </w:rPr>
      </w:pPr>
      <w:r w:rsidRPr="006C79C0">
        <w:rPr>
          <w:rFonts w:ascii="Palatino Linotype" w:hAnsi="Palatino Linotype"/>
          <w:i/>
        </w:rPr>
        <w:t>…</w:t>
      </w:r>
    </w:p>
    <w:p w14:paraId="1ADDF096" w14:textId="6AEDEB37" w:rsidR="00BF799D" w:rsidRPr="006C79C0" w:rsidRDefault="00BF799D" w:rsidP="006C79C0">
      <w:pPr>
        <w:pStyle w:val="Prrafodelista"/>
        <w:spacing w:before="100" w:beforeAutospacing="1" w:after="100" w:afterAutospacing="1" w:line="360" w:lineRule="auto"/>
        <w:ind w:left="567" w:right="822"/>
        <w:jc w:val="both"/>
        <w:rPr>
          <w:rFonts w:ascii="Palatino Linotype" w:hAnsi="Palatino Linotype"/>
          <w:b/>
          <w:i/>
        </w:rPr>
      </w:pPr>
      <w:r w:rsidRPr="006C79C0">
        <w:rPr>
          <w:rFonts w:ascii="Palatino Linotype" w:hAnsi="Palatino Linotype"/>
          <w:b/>
          <w:i/>
        </w:rPr>
        <w:t>XXVIII. Factibilidad: al dictamen que emite la autoridad correspondiente, en los términos del presente Reglamento, por la que se determina que se cuenta con una fuente de abastecimiento de agua que hace material y jurídicamente viable la prestación del servicio de agua potable, así como la infraestructura adecuada para los servicios de drenaje, alcantarillado y saneamiento.</w:t>
      </w:r>
    </w:p>
    <w:p w14:paraId="44657BFD" w14:textId="1BA43BB2" w:rsidR="00BF799D" w:rsidRPr="006C79C0" w:rsidRDefault="00BF799D" w:rsidP="006C79C0">
      <w:pPr>
        <w:pStyle w:val="Prrafodelista"/>
        <w:spacing w:before="100" w:beforeAutospacing="1" w:after="100" w:afterAutospacing="1" w:line="360" w:lineRule="auto"/>
        <w:ind w:left="567" w:right="822"/>
        <w:jc w:val="both"/>
        <w:rPr>
          <w:rFonts w:ascii="Palatino Linotype" w:hAnsi="Palatino Linotype"/>
          <w:i/>
        </w:rPr>
      </w:pPr>
      <w:r w:rsidRPr="006C79C0">
        <w:rPr>
          <w:rFonts w:ascii="Palatino Linotype" w:hAnsi="Palatino Linotype"/>
          <w:i/>
        </w:rPr>
        <w:t>…</w:t>
      </w:r>
    </w:p>
    <w:p w14:paraId="0692DAAF" w14:textId="77777777" w:rsidR="00BF799D" w:rsidRDefault="00BF799D" w:rsidP="00BF799D">
      <w:pPr>
        <w:pStyle w:val="Prrafodelista"/>
        <w:spacing w:before="100" w:beforeAutospacing="1" w:after="100" w:afterAutospacing="1" w:line="360" w:lineRule="auto"/>
        <w:ind w:left="0"/>
        <w:jc w:val="both"/>
        <w:rPr>
          <w:rFonts w:ascii="Palatino Linotype" w:eastAsia="Calibri" w:hAnsi="Palatino Linotype" w:cs="Arial"/>
          <w:sz w:val="24"/>
        </w:rPr>
      </w:pPr>
    </w:p>
    <w:p w14:paraId="308CBA22" w14:textId="7D3FF4FA" w:rsidR="00BF799D" w:rsidRDefault="00EF1F54" w:rsidP="00DD0FEA">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rPr>
      </w:pPr>
      <w:r>
        <w:rPr>
          <w:rFonts w:ascii="Palatino Linotype" w:eastAsia="Calibri" w:hAnsi="Palatino Linotype" w:cs="Arial"/>
          <w:sz w:val="24"/>
        </w:rPr>
        <w:t>Robusteciendo lo anterior, el Capítulo Séptimo de dicho reglamento establece lo siguiente:</w:t>
      </w:r>
    </w:p>
    <w:p w14:paraId="7B648002" w14:textId="64163441" w:rsidR="00EF1F54" w:rsidRPr="00C5509C" w:rsidRDefault="00EF1F54" w:rsidP="00C5509C">
      <w:pPr>
        <w:spacing w:before="100" w:beforeAutospacing="1" w:after="100" w:afterAutospacing="1" w:line="360" w:lineRule="auto"/>
        <w:ind w:left="567" w:right="822"/>
        <w:jc w:val="center"/>
        <w:rPr>
          <w:rFonts w:ascii="Palatino Linotype" w:hAnsi="Palatino Linotype"/>
          <w:b/>
          <w:i/>
          <w:sz w:val="22"/>
        </w:rPr>
      </w:pPr>
      <w:r w:rsidRPr="00C5509C">
        <w:rPr>
          <w:rFonts w:ascii="Palatino Linotype" w:hAnsi="Palatino Linotype"/>
          <w:b/>
          <w:i/>
          <w:sz w:val="22"/>
        </w:rPr>
        <w:t>CAPÍTULO SÉPTIMO</w:t>
      </w:r>
    </w:p>
    <w:p w14:paraId="7E11687B" w14:textId="42DF9B26" w:rsidR="00EF1F54" w:rsidRPr="00C5509C" w:rsidRDefault="00EF1F54" w:rsidP="00C5509C">
      <w:pPr>
        <w:spacing w:before="100" w:beforeAutospacing="1" w:after="100" w:afterAutospacing="1" w:line="360" w:lineRule="auto"/>
        <w:ind w:left="567" w:right="822"/>
        <w:jc w:val="center"/>
        <w:rPr>
          <w:rFonts w:ascii="Palatino Linotype" w:hAnsi="Palatino Linotype"/>
          <w:b/>
          <w:i/>
          <w:sz w:val="22"/>
        </w:rPr>
      </w:pPr>
      <w:r w:rsidRPr="00C5509C">
        <w:rPr>
          <w:rFonts w:ascii="Palatino Linotype" w:hAnsi="Palatino Linotype"/>
          <w:b/>
          <w:i/>
          <w:sz w:val="22"/>
        </w:rPr>
        <w:t>DE LAS FACTIBILIDADES Y DICTÁMENES DE CONGRUENCIA</w:t>
      </w:r>
    </w:p>
    <w:p w14:paraId="35D165F0" w14:textId="7CE23682" w:rsidR="00EF1F54" w:rsidRPr="006C79C0" w:rsidRDefault="00EF1F54" w:rsidP="006C79C0">
      <w:pPr>
        <w:spacing w:before="100" w:beforeAutospacing="1" w:after="100" w:afterAutospacing="1" w:line="360" w:lineRule="auto"/>
        <w:ind w:left="567" w:right="822"/>
        <w:jc w:val="both"/>
        <w:rPr>
          <w:rFonts w:ascii="Palatino Linotype" w:eastAsia="Calibri" w:hAnsi="Palatino Linotype" w:cs="Arial"/>
          <w:b/>
          <w:i/>
          <w:sz w:val="28"/>
        </w:rPr>
      </w:pPr>
      <w:r w:rsidRPr="006C79C0">
        <w:rPr>
          <w:rFonts w:ascii="Palatino Linotype" w:hAnsi="Palatino Linotype"/>
          <w:i/>
          <w:sz w:val="22"/>
        </w:rPr>
        <w:t>Artículo 140</w:t>
      </w:r>
      <w:r w:rsidRPr="006C79C0">
        <w:rPr>
          <w:rFonts w:ascii="Palatino Linotype" w:hAnsi="Palatino Linotype"/>
          <w:b/>
          <w:i/>
          <w:sz w:val="22"/>
        </w:rPr>
        <w:t>. Para el otorgamiento de la factibilidades</w:t>
      </w:r>
      <w:r w:rsidRPr="006C79C0">
        <w:rPr>
          <w:rFonts w:ascii="Palatino Linotype" w:hAnsi="Palatino Linotype"/>
          <w:i/>
          <w:sz w:val="22"/>
        </w:rPr>
        <w:t xml:space="preserve"> y/o en su caso, un dictamen de congruencia u opinión técnica sobre aquellas </w:t>
      </w:r>
      <w:r w:rsidRPr="006C79C0">
        <w:rPr>
          <w:rFonts w:ascii="Palatino Linotype" w:hAnsi="Palatino Linotype"/>
          <w:b/>
          <w:i/>
          <w:sz w:val="22"/>
        </w:rPr>
        <w:t>para la prestación de los servicios a los desarrolladores, constructores o propietarios de nuevos fraccionamientos, conjuntos habitacionales</w:t>
      </w:r>
      <w:r w:rsidRPr="006C79C0">
        <w:rPr>
          <w:rFonts w:ascii="Palatino Linotype" w:hAnsi="Palatino Linotype"/>
          <w:i/>
          <w:sz w:val="22"/>
        </w:rPr>
        <w:t xml:space="preserve">, comerciales, industriales, mixtos o de otro uso, así como en los casos de ampliación o modificación del uso de inmuebles destinados a cualquiera de esos giros, los cuales requieran de un dictamen de impacto regional en los términos de la Ley de Fomento Económico para el Estado de México y/o estén contemplados en </w:t>
      </w:r>
      <w:r w:rsidRPr="006C79C0">
        <w:rPr>
          <w:rFonts w:ascii="Palatino Linotype" w:hAnsi="Palatino Linotype"/>
          <w:i/>
          <w:sz w:val="22"/>
        </w:rPr>
        <w:lastRenderedPageBreak/>
        <w:t xml:space="preserve">los supuestos del Libro Quinto del Código Administrativo, </w:t>
      </w:r>
      <w:r w:rsidRPr="006C79C0">
        <w:rPr>
          <w:rFonts w:ascii="Palatino Linotype" w:hAnsi="Palatino Linotype"/>
          <w:b/>
          <w:i/>
          <w:sz w:val="22"/>
        </w:rPr>
        <w:t>se aplicarán las disposiciones previstas en el presente Reglamento.</w:t>
      </w:r>
    </w:p>
    <w:p w14:paraId="035FE680" w14:textId="77777777" w:rsidR="00EF1F54" w:rsidRPr="006C79C0" w:rsidRDefault="00EF1F54"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t xml:space="preserve">Artículo 141. </w:t>
      </w:r>
      <w:r w:rsidRPr="006C79C0">
        <w:rPr>
          <w:rFonts w:ascii="Palatino Linotype" w:hAnsi="Palatino Linotype"/>
          <w:b/>
          <w:i/>
          <w:sz w:val="22"/>
        </w:rPr>
        <w:t>Los interesados en obtener las factibilidades</w:t>
      </w:r>
      <w:r w:rsidRPr="006C79C0">
        <w:rPr>
          <w:rFonts w:ascii="Palatino Linotype" w:hAnsi="Palatino Linotype"/>
          <w:i/>
          <w:sz w:val="22"/>
        </w:rPr>
        <w:t xml:space="preserve">, o bien, un dictamen de congruencia o una opinión técnica, </w:t>
      </w:r>
      <w:r w:rsidRPr="006C79C0">
        <w:rPr>
          <w:rFonts w:ascii="Palatino Linotype" w:hAnsi="Palatino Linotype"/>
          <w:b/>
          <w:i/>
          <w:sz w:val="22"/>
        </w:rPr>
        <w:t>presentarán la solicitud correspondiente al municipio, al organismo operador</w:t>
      </w:r>
      <w:r w:rsidRPr="006C79C0">
        <w:rPr>
          <w:rFonts w:ascii="Palatino Linotype" w:hAnsi="Palatino Linotype"/>
          <w:i/>
          <w:sz w:val="22"/>
        </w:rPr>
        <w:t xml:space="preserve"> o a la Comisión, </w:t>
      </w:r>
      <w:r w:rsidRPr="006C79C0">
        <w:rPr>
          <w:rFonts w:ascii="Palatino Linotype" w:hAnsi="Palatino Linotype"/>
          <w:b/>
          <w:i/>
          <w:sz w:val="22"/>
        </w:rPr>
        <w:t xml:space="preserve">según corresponda al supuesto de que se trate, </w:t>
      </w:r>
      <w:r w:rsidRPr="006C79C0">
        <w:rPr>
          <w:rFonts w:ascii="Palatino Linotype" w:hAnsi="Palatino Linotype"/>
          <w:i/>
          <w:sz w:val="22"/>
        </w:rPr>
        <w:t xml:space="preserve">o bien, por conducto de la Comisión Estatal de Desarrollo Urbano y Vivienda, o de la Comisión Estatal de Atención Empresarial, en los términos de las disposiciones legales aplicables. Dicha solicitud deberá contener: </w:t>
      </w:r>
    </w:p>
    <w:p w14:paraId="3BE536E9" w14:textId="77777777" w:rsidR="00EF1F54" w:rsidRPr="006C79C0" w:rsidRDefault="00EF1F54"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t xml:space="preserve">I. Nombre y firma del solicitante y/o de su representante legal. </w:t>
      </w:r>
    </w:p>
    <w:p w14:paraId="49D6A16D" w14:textId="77777777" w:rsidR="00EF1F54" w:rsidRPr="006C79C0" w:rsidRDefault="00EF1F54"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t xml:space="preserve">II. Domicilio del solicitante o de su representante legal con el señalamiento de una dirección válida de correo electrónico, para recibir notificaciones. </w:t>
      </w:r>
    </w:p>
    <w:p w14:paraId="56835CD3" w14:textId="77777777" w:rsidR="00EF1F54" w:rsidRPr="006C79C0" w:rsidRDefault="00EF1F54"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t xml:space="preserve">III. Nombre del proyecto. </w:t>
      </w:r>
    </w:p>
    <w:p w14:paraId="3D4066E7" w14:textId="088CF248" w:rsidR="00EF1F54" w:rsidRPr="006C79C0" w:rsidRDefault="00EF1F54"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t>IV. Tipo de desarrollo.</w:t>
      </w:r>
    </w:p>
    <w:p w14:paraId="0679ADAE" w14:textId="77777777" w:rsidR="00EF1F54" w:rsidRPr="006C79C0" w:rsidRDefault="00EF1F54"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t xml:space="preserve">V. Ubicación y dimensiones del predio involucrado en el proyecto. </w:t>
      </w:r>
    </w:p>
    <w:p w14:paraId="3561C5F1" w14:textId="77777777" w:rsidR="00EF1F54" w:rsidRPr="006C79C0" w:rsidRDefault="00EF1F54"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t xml:space="preserve">VI. En su caso, la indicación de la fuente de abastecimiento de agua que habrá de surtir al desarrollo de que se trata. </w:t>
      </w:r>
    </w:p>
    <w:p w14:paraId="5037DEDE" w14:textId="77777777" w:rsidR="00EF1F54" w:rsidRPr="006C79C0" w:rsidRDefault="00EF1F54"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t xml:space="preserve">VII. Lugar y fecha. </w:t>
      </w:r>
    </w:p>
    <w:p w14:paraId="2FB61C7C" w14:textId="77777777" w:rsidR="00EF1F54" w:rsidRPr="006C79C0" w:rsidRDefault="00EF1F54"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lastRenderedPageBreak/>
        <w:t xml:space="preserve">VIII. Plano de localización georeferenciado empleando coordenadas UTM. </w:t>
      </w:r>
    </w:p>
    <w:p w14:paraId="69290F94" w14:textId="77777777" w:rsidR="00EF1F54" w:rsidRPr="006C79C0" w:rsidRDefault="00EF1F54"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t xml:space="preserve">IX. Memoria descriptiva del proyecto, la cual deberá incluir la correspondiente a las obras para: </w:t>
      </w:r>
    </w:p>
    <w:p w14:paraId="408CEC10" w14:textId="77777777" w:rsidR="00EF1F54" w:rsidRPr="006C79C0" w:rsidRDefault="00EF1F54"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t xml:space="preserve">a) Las redes de distribución y sistemas de drenaje y alcantarillado y su conexión a la infraestructura hidráulica municipal. </w:t>
      </w:r>
    </w:p>
    <w:p w14:paraId="7D2DA6E4" w14:textId="77777777" w:rsidR="00EF1F54" w:rsidRPr="006C79C0" w:rsidRDefault="00EF1F54"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t xml:space="preserve">b) La instalación de medidores. </w:t>
      </w:r>
    </w:p>
    <w:p w14:paraId="5322EC34" w14:textId="77777777" w:rsidR="00EF1F54" w:rsidRPr="006C79C0" w:rsidRDefault="00EF1F54"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t xml:space="preserve">c) La recolección del agua pluvial, mediante pozos de absorción y/o la introducción de sistemas de naturación y/o para la captación y aprovechamiento de agua pluvial. </w:t>
      </w:r>
    </w:p>
    <w:p w14:paraId="24A4D7BD" w14:textId="77777777" w:rsidR="00EF1F54" w:rsidRPr="006C79C0" w:rsidRDefault="00EF1F54"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t xml:space="preserve">d) El tratamiento de las aguas residuales. </w:t>
      </w:r>
    </w:p>
    <w:p w14:paraId="7194C6EB" w14:textId="77777777" w:rsidR="00EF1F54" w:rsidRPr="006C79C0" w:rsidRDefault="00EF1F54"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t xml:space="preserve">X. Memoria de cálculo a nivel de planeación, respecto del volumen de agua que se pretende captar y aprovechar, volumen de agua servida a descargar y, en su caso, los volúmenes de agua ya aprovechados y descargados. </w:t>
      </w:r>
    </w:p>
    <w:p w14:paraId="22376FA7" w14:textId="73A016E2" w:rsidR="00EF1F54" w:rsidRPr="006C79C0" w:rsidRDefault="00EF1F54" w:rsidP="006C79C0">
      <w:pPr>
        <w:spacing w:before="100" w:beforeAutospacing="1" w:after="100" w:afterAutospacing="1" w:line="360" w:lineRule="auto"/>
        <w:ind w:left="567" w:right="822"/>
        <w:jc w:val="both"/>
        <w:rPr>
          <w:rFonts w:ascii="Palatino Linotype" w:eastAsia="Calibri" w:hAnsi="Palatino Linotype" w:cs="Arial"/>
          <w:i/>
          <w:sz w:val="28"/>
        </w:rPr>
      </w:pPr>
      <w:r w:rsidRPr="006C79C0">
        <w:rPr>
          <w:rFonts w:ascii="Palatino Linotype" w:hAnsi="Palatino Linotype"/>
          <w:i/>
          <w:sz w:val="22"/>
        </w:rPr>
        <w:t>XI. Tipo y alcance de los servicios respecto de los cuales solicita la factibilidad, el dictamen de congruencia o la opinión técnica, en su caso.</w:t>
      </w:r>
    </w:p>
    <w:p w14:paraId="532770E0" w14:textId="77777777" w:rsidR="006C79C0" w:rsidRDefault="00EF1F54" w:rsidP="006C79C0">
      <w:pPr>
        <w:spacing w:before="100" w:beforeAutospacing="1" w:after="100" w:afterAutospacing="1" w:line="360" w:lineRule="auto"/>
        <w:ind w:left="567" w:right="822"/>
        <w:jc w:val="both"/>
        <w:rPr>
          <w:rFonts w:ascii="Palatino Linotype" w:hAnsi="Palatino Linotype"/>
          <w:b/>
          <w:i/>
          <w:sz w:val="22"/>
        </w:rPr>
      </w:pPr>
      <w:r w:rsidRPr="006C79C0">
        <w:rPr>
          <w:rFonts w:ascii="Palatino Linotype" w:hAnsi="Palatino Linotype"/>
          <w:b/>
          <w:i/>
          <w:sz w:val="22"/>
        </w:rPr>
        <w:t xml:space="preserve">Artículo 143. Cuando el municipio y/o el organismo operador cuenten con una fuente de abastecimiento propia, debidamente autorizada por la CONAGUA, cuyas características técnicas y situación legal hagan viable la prestación de los servicios otorgarán la factibilidad respectiva. En este supuesto, para que la </w:t>
      </w:r>
      <w:r w:rsidRPr="006C79C0">
        <w:rPr>
          <w:rFonts w:ascii="Palatino Linotype" w:hAnsi="Palatino Linotype"/>
          <w:b/>
          <w:i/>
          <w:sz w:val="22"/>
        </w:rPr>
        <w:lastRenderedPageBreak/>
        <w:t>Comisión emita el dictamen de congruencia respectivo, la autoridad municipal correspondiente deberá acompañar a su factibilidad, copia de la documentación siguiente:</w:t>
      </w:r>
    </w:p>
    <w:p w14:paraId="7E9AD8FC" w14:textId="77777777" w:rsidR="006C79C0" w:rsidRDefault="006C79C0"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b/>
          <w:i/>
          <w:sz w:val="22"/>
        </w:rPr>
        <w:t>Artículo 144. Cuando el municipio o el organismo operador no cuenten con una fuente de abastecimiento propia y/o las obras hidráulicas adecuadas para prestar los servicios y la Comisión tenga la posibilidad física y operativa para hacerlo, el municipio o municipios involucrados emitirán la autorización correspondiente para que sea la Comisión quien otorgue las factibilidades</w:t>
      </w:r>
      <w:r w:rsidRPr="006C79C0">
        <w:rPr>
          <w:rFonts w:ascii="Palatino Linotype" w:hAnsi="Palatino Linotype"/>
          <w:i/>
          <w:sz w:val="22"/>
        </w:rPr>
        <w:t xml:space="preserve"> y, en su caso, preste los servicios en la zona de que se trate, mediante la suscripción del Convenio respectivo, quedando a cargo de la Comisión el ejercicio de las facultades que la Ley y el presente Reglamento otorgan a los municipios y/o a los organismos operadores. </w:t>
      </w:r>
    </w:p>
    <w:p w14:paraId="66B7A526" w14:textId="77777777" w:rsidR="006C79C0" w:rsidRDefault="006C79C0"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t xml:space="preserve">En este supuesto, los desarrolladores, constructores o propietarios, adicionalmente, presentarán a la Comisión, copia de la documentación siguiente: </w:t>
      </w:r>
    </w:p>
    <w:p w14:paraId="087FAC5E" w14:textId="77777777" w:rsidR="006C79C0" w:rsidRDefault="006C79C0"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t xml:space="preserve">I. La que acredite la propiedad del inmueble. </w:t>
      </w:r>
    </w:p>
    <w:p w14:paraId="5F7E3E30" w14:textId="77777777" w:rsidR="006C79C0" w:rsidRDefault="006C79C0"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t xml:space="preserve">II. En su caso acta constitutiva de la persona jurídica colectiva. </w:t>
      </w:r>
    </w:p>
    <w:p w14:paraId="5AA40570" w14:textId="77777777" w:rsidR="006C79C0" w:rsidRDefault="006C79C0"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t xml:space="preserve">III. Identificación oficial del solicitante. </w:t>
      </w:r>
    </w:p>
    <w:p w14:paraId="5B0D5552" w14:textId="77777777" w:rsidR="006C79C0" w:rsidRDefault="006C79C0" w:rsidP="006C79C0">
      <w:pPr>
        <w:spacing w:before="100" w:beforeAutospacing="1" w:after="100" w:afterAutospacing="1" w:line="360" w:lineRule="auto"/>
        <w:ind w:left="567" w:right="822"/>
        <w:jc w:val="both"/>
        <w:rPr>
          <w:rFonts w:ascii="Palatino Linotype" w:hAnsi="Palatino Linotype"/>
          <w:i/>
          <w:sz w:val="22"/>
        </w:rPr>
      </w:pPr>
      <w:r w:rsidRPr="006C79C0">
        <w:rPr>
          <w:rFonts w:ascii="Palatino Linotype" w:hAnsi="Palatino Linotype"/>
          <w:i/>
          <w:sz w:val="22"/>
        </w:rPr>
        <w:t xml:space="preserve">IV. En su caso, la que acredite la representación legal del solicitante. </w:t>
      </w:r>
    </w:p>
    <w:p w14:paraId="6C4E1A25" w14:textId="298F212D" w:rsidR="006C79C0" w:rsidRPr="006C79C0" w:rsidRDefault="006C79C0" w:rsidP="006C79C0">
      <w:pPr>
        <w:spacing w:before="100" w:beforeAutospacing="1" w:after="100" w:afterAutospacing="1" w:line="360" w:lineRule="auto"/>
        <w:ind w:left="567" w:right="822"/>
        <w:jc w:val="both"/>
        <w:rPr>
          <w:rFonts w:ascii="Palatino Linotype" w:hAnsi="Palatino Linotype"/>
          <w:b/>
          <w:i/>
          <w:sz w:val="24"/>
        </w:rPr>
      </w:pPr>
      <w:r w:rsidRPr="006C79C0">
        <w:rPr>
          <w:rFonts w:ascii="Palatino Linotype" w:hAnsi="Palatino Linotype"/>
          <w:i/>
          <w:sz w:val="22"/>
        </w:rPr>
        <w:lastRenderedPageBreak/>
        <w:t>V. Anuencia por escrito de la autoridad municipal, en la que se establezcan los términos técnicos, administrativos y legales necesarios para la aceptación de la obra de toma para el suministro de agua en bloque y/o descarga de aguas servidas en el momento oportuno, con los derechos y obligaciones correspondientes.</w:t>
      </w:r>
    </w:p>
    <w:p w14:paraId="53E7E804" w14:textId="4A64708D" w:rsidR="006C79C0" w:rsidRDefault="00EF1F54" w:rsidP="00DD0FEA">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rPr>
      </w:pPr>
      <w:r>
        <w:rPr>
          <w:rFonts w:ascii="Palatino Linotype" w:eastAsia="Calibri" w:hAnsi="Palatino Linotype" w:cs="Arial"/>
          <w:sz w:val="24"/>
        </w:rPr>
        <w:t xml:space="preserve">Esa así que, cuando el municipio o el organismo operador cuente </w:t>
      </w:r>
      <w:r w:rsidR="006C79C0">
        <w:rPr>
          <w:rFonts w:ascii="Palatino Linotype" w:eastAsia="Calibri" w:hAnsi="Palatino Linotype" w:cs="Arial"/>
          <w:sz w:val="24"/>
        </w:rPr>
        <w:t xml:space="preserve">con una fuente de abastecimiento propia, debidamente autorizada por la CONCAGUA, </w:t>
      </w:r>
      <w:r w:rsidR="006C79C0" w:rsidRPr="00860B59">
        <w:rPr>
          <w:rFonts w:ascii="Palatino Linotype" w:eastAsia="Calibri" w:hAnsi="Palatino Linotype" w:cs="Arial"/>
          <w:b/>
          <w:sz w:val="24"/>
        </w:rPr>
        <w:t>otorgará una factibilidad</w:t>
      </w:r>
      <w:r w:rsidR="006C79C0">
        <w:rPr>
          <w:rFonts w:ascii="Palatino Linotype" w:eastAsia="Calibri" w:hAnsi="Palatino Linotype" w:cs="Arial"/>
          <w:sz w:val="24"/>
        </w:rPr>
        <w:t>, en ese supuesto, l</w:t>
      </w:r>
      <w:r w:rsidR="006C79C0" w:rsidRPr="00860B59">
        <w:rPr>
          <w:rFonts w:ascii="Palatino Linotype" w:eastAsia="Calibri" w:hAnsi="Palatino Linotype" w:cs="Arial"/>
          <w:b/>
          <w:sz w:val="24"/>
        </w:rPr>
        <w:t>a Comisión emitirá el dictamen de congruencia respectivo</w:t>
      </w:r>
      <w:r w:rsidR="006C79C0">
        <w:rPr>
          <w:rFonts w:ascii="Palatino Linotype" w:eastAsia="Calibri" w:hAnsi="Palatino Linotype" w:cs="Arial"/>
          <w:sz w:val="24"/>
        </w:rPr>
        <w:t xml:space="preserve"> y, </w:t>
      </w:r>
      <w:r w:rsidR="006C79C0" w:rsidRPr="00860B59">
        <w:rPr>
          <w:rFonts w:ascii="Palatino Linotype" w:eastAsia="Calibri" w:hAnsi="Palatino Linotype" w:cs="Arial"/>
          <w:b/>
          <w:sz w:val="24"/>
        </w:rPr>
        <w:t>sólo en aquellos casos en los que el municipio o el organismo operador no cuenten con una fuente de abastecimiento propia y/o las obras hidráulicas adecuadas</w:t>
      </w:r>
      <w:r w:rsidR="006C79C0">
        <w:rPr>
          <w:rFonts w:ascii="Palatino Linotype" w:eastAsia="Calibri" w:hAnsi="Palatino Linotype" w:cs="Arial"/>
          <w:sz w:val="24"/>
        </w:rPr>
        <w:t xml:space="preserve"> para prestar el servicio y la Comisión tenga la posibilidad física y operativa para hacerlo, </w:t>
      </w:r>
      <w:r w:rsidR="006C79C0" w:rsidRPr="00860B59">
        <w:rPr>
          <w:rFonts w:ascii="Palatino Linotype" w:eastAsia="Calibri" w:hAnsi="Palatino Linotype" w:cs="Arial"/>
          <w:b/>
          <w:sz w:val="24"/>
        </w:rPr>
        <w:t>el municipio emitirá la autorización correspondiente para que sea la Comisión quien otorgue las factibilidades</w:t>
      </w:r>
      <w:r w:rsidR="006C79C0">
        <w:rPr>
          <w:rFonts w:ascii="Palatino Linotype" w:eastAsia="Calibri" w:hAnsi="Palatino Linotype" w:cs="Arial"/>
          <w:sz w:val="24"/>
        </w:rPr>
        <w:t xml:space="preserve"> y, en su caso, preste los servicios en la zona de que se trate, de acuerdo al artículo 144 del reglamento en cito.</w:t>
      </w:r>
    </w:p>
    <w:p w14:paraId="58BF0366" w14:textId="77777777" w:rsidR="006C79C0" w:rsidRDefault="006C79C0" w:rsidP="006C79C0">
      <w:pPr>
        <w:pStyle w:val="Prrafodelista"/>
        <w:spacing w:before="100" w:beforeAutospacing="1" w:after="100" w:afterAutospacing="1" w:line="360" w:lineRule="auto"/>
        <w:ind w:left="0"/>
        <w:jc w:val="both"/>
        <w:rPr>
          <w:rFonts w:ascii="Palatino Linotype" w:eastAsia="Calibri" w:hAnsi="Palatino Linotype" w:cs="Arial"/>
          <w:sz w:val="24"/>
        </w:rPr>
      </w:pPr>
    </w:p>
    <w:p w14:paraId="1165A47C" w14:textId="140265D9" w:rsidR="00860B59" w:rsidRPr="00E7233D" w:rsidRDefault="00C5509C" w:rsidP="00C5509C">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rPr>
      </w:pPr>
      <w:r w:rsidRPr="00C5509C">
        <w:rPr>
          <w:rFonts w:ascii="Palatino Linotype" w:eastAsia="Calibri" w:hAnsi="Palatino Linotype" w:cs="Arial"/>
          <w:sz w:val="24"/>
        </w:rPr>
        <w:t xml:space="preserve">En consecuencia, se determina que, aún y cuando el Sujeto Obligado haya manifestado la incompetencia dentro del lapso temporal que establece </w:t>
      </w:r>
      <w:r w:rsidR="00E7233D">
        <w:rPr>
          <w:rFonts w:ascii="Palatino Linotype" w:eastAsia="Calibri" w:hAnsi="Palatino Linotype" w:cs="Arial"/>
          <w:sz w:val="24"/>
        </w:rPr>
        <w:t>la normatividad en materia, es</w:t>
      </w:r>
      <w:r w:rsidRPr="00C5509C">
        <w:rPr>
          <w:rFonts w:ascii="Palatino Linotype" w:eastAsia="Calibri" w:hAnsi="Palatino Linotype" w:cs="Arial"/>
          <w:sz w:val="24"/>
        </w:rPr>
        <w:t xml:space="preserve"> improcedente en razón de que, de la verificación a las facultades, atribuciones y competencias del Sujeto Obligado, se logró apreciar que existe fuente obligacional para generar, administrar y poseer los documentos solicitados consistentes en las factibilidades, o en su caso, autorizaciones para el </w:t>
      </w:r>
      <w:r w:rsidRPr="00C5509C">
        <w:rPr>
          <w:rFonts w:ascii="Palatino Linotype" w:eastAsia="Calibri" w:hAnsi="Palatino Linotype" w:cs="Arial"/>
          <w:sz w:val="24"/>
        </w:rPr>
        <w:lastRenderedPageBreak/>
        <w:t xml:space="preserve">suministro de agua potable y alcantarillado </w:t>
      </w:r>
      <w:r w:rsidR="00860B59" w:rsidRPr="00C5509C">
        <w:rPr>
          <w:rFonts w:ascii="Palatino Linotype" w:eastAsia="Calibri" w:hAnsi="Palatino Linotype" w:cs="Arial"/>
          <w:sz w:val="24"/>
        </w:rPr>
        <w:t xml:space="preserve">para los </w:t>
      </w:r>
      <w:r w:rsidR="00860B59" w:rsidRPr="00C5509C">
        <w:rPr>
          <w:rFonts w:ascii="Palatino Linotype" w:hAnsi="Palatino Linotype"/>
          <w:sz w:val="24"/>
        </w:rPr>
        <w:t>desarrolladores de vivienda, constructores o propietarios de conjuntos habitacionales, en consecuencia, resultan fundadas las razones o motivos de inconformidad hechos valer por el Recurrente.</w:t>
      </w:r>
    </w:p>
    <w:p w14:paraId="0667EBF4" w14:textId="77777777" w:rsidR="00E7233D" w:rsidRPr="00E7233D" w:rsidRDefault="00E7233D" w:rsidP="00E7233D">
      <w:pPr>
        <w:pStyle w:val="Prrafodelista"/>
        <w:rPr>
          <w:rFonts w:ascii="Palatino Linotype" w:eastAsia="Calibri" w:hAnsi="Palatino Linotype" w:cs="Arial"/>
          <w:sz w:val="24"/>
        </w:rPr>
      </w:pPr>
    </w:p>
    <w:p w14:paraId="48EC200A" w14:textId="01B54F32" w:rsidR="00E7233D" w:rsidRDefault="00E7233D" w:rsidP="00E7233D">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rPr>
      </w:pPr>
      <w:r>
        <w:rPr>
          <w:rFonts w:ascii="Palatino Linotype" w:eastAsia="Calibri" w:hAnsi="Palatino Linotype" w:cs="Arial"/>
          <w:sz w:val="24"/>
        </w:rPr>
        <w:t>Si bien es cierto, el Recurrente solicitó los documentos con dictámenes de incorporación a los sistemas de aguas y alcantarillado, también lo es que, se determina que el documento que requiere es la factibilidad o la autorización que emitió el Sujeto Obligado a la empresa señalada en la solicitud.</w:t>
      </w:r>
    </w:p>
    <w:p w14:paraId="00D1C9C9" w14:textId="77777777" w:rsidR="00E7233D" w:rsidRPr="00E7233D" w:rsidRDefault="00E7233D" w:rsidP="00E7233D">
      <w:pPr>
        <w:pStyle w:val="Prrafodelista"/>
        <w:rPr>
          <w:rFonts w:ascii="Palatino Linotype" w:eastAsia="Calibri" w:hAnsi="Palatino Linotype" w:cs="Arial"/>
          <w:sz w:val="24"/>
        </w:rPr>
      </w:pPr>
    </w:p>
    <w:p w14:paraId="69807DD9" w14:textId="77777777" w:rsidR="00E7233D" w:rsidRPr="00A40364" w:rsidRDefault="00E7233D" w:rsidP="00E7233D">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40364">
        <w:rPr>
          <w:rFonts w:ascii="Palatino Linotype" w:eastAsia="MS Mincho" w:hAnsi="Palatino Linotype" w:cs="Arial"/>
          <w:color w:val="000000" w:themeColor="text1"/>
          <w:sz w:val="24"/>
        </w:rPr>
        <w:t xml:space="preserve">En repetidas ocasiones este Órgano Garante ha dejado en claro que </w:t>
      </w:r>
      <w:r w:rsidRPr="00A40364">
        <w:rPr>
          <w:rFonts w:ascii="Palatino Linotype" w:hAnsi="Palatino Linotype" w:cs="Arial"/>
          <w:bCs/>
          <w:iCs/>
          <w:color w:val="000000" w:themeColor="text1"/>
          <w:sz w:val="24"/>
        </w:rPr>
        <w:t xml:space="preserve">cuando en una solicitud de información no se identifique un documento en específico, </w:t>
      </w:r>
      <w:r w:rsidRPr="00A40364">
        <w:rPr>
          <w:rFonts w:ascii="Palatino Linotype" w:hAnsi="Palatino Linotype" w:cs="Arial"/>
          <w:b/>
          <w:bCs/>
          <w:iCs/>
          <w:color w:val="000000" w:themeColor="text1"/>
          <w:sz w:val="24"/>
          <w:u w:val="single"/>
        </w:rPr>
        <w:t>si ésta tiene una expresión documental</w:t>
      </w:r>
      <w:r w:rsidRPr="00A40364">
        <w:rPr>
          <w:rFonts w:ascii="Palatino Linotype" w:hAnsi="Palatino Linotype" w:cs="Arial"/>
          <w:bCs/>
          <w:iCs/>
          <w:color w:val="000000" w:themeColor="text1"/>
          <w:sz w:val="24"/>
        </w:rPr>
        <w:t>, el sujeto obligado deberá entregar al particular el documento mediante el cual se pueda colmar aquella.</w:t>
      </w:r>
    </w:p>
    <w:p w14:paraId="0168EBDE" w14:textId="77777777" w:rsidR="00E7233D" w:rsidRPr="00A40364" w:rsidRDefault="00E7233D" w:rsidP="00E7233D">
      <w:pPr>
        <w:pStyle w:val="Prrafodelista"/>
        <w:rPr>
          <w:rFonts w:ascii="Palatino Linotype" w:hAnsi="Palatino Linotype"/>
          <w:sz w:val="24"/>
          <w:lang w:val="es-ES"/>
        </w:rPr>
      </w:pPr>
    </w:p>
    <w:p w14:paraId="312D44B1" w14:textId="77777777" w:rsidR="00E7233D" w:rsidRPr="00A40364" w:rsidRDefault="00E7233D" w:rsidP="00E7233D">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40364">
        <w:rPr>
          <w:rFonts w:ascii="Palatino Linotype" w:eastAsia="MS Mincho" w:hAnsi="Palatino Linotype" w:cs="Arial"/>
          <w:sz w:val="24"/>
        </w:rPr>
        <w:t xml:space="preserve">En ese sentido el </w:t>
      </w:r>
      <w:r w:rsidRPr="00A40364">
        <w:rPr>
          <w:rFonts w:ascii="Palatino Linotype" w:eastAsia="MS Mincho" w:hAnsi="Palatino Linotype"/>
          <w:sz w:val="24"/>
        </w:rPr>
        <w:t>Criterio</w:t>
      </w:r>
      <w:r w:rsidRPr="00A40364">
        <w:rPr>
          <w:rFonts w:ascii="Palatino Linotype" w:eastAsia="MS Mincho" w:hAnsi="Palatino Linotype" w:cs="Arial"/>
          <w:sz w:val="24"/>
        </w:rPr>
        <w:t xml:space="preserve"> </w:t>
      </w:r>
      <w:r w:rsidRPr="00A40364">
        <w:rPr>
          <w:rFonts w:ascii="Palatino Linotype" w:eastAsia="MS Mincho" w:hAnsi="Palatino Linotype"/>
          <w:sz w:val="24"/>
        </w:rPr>
        <w:t>028</w:t>
      </w:r>
      <w:r w:rsidRPr="00A40364">
        <w:rPr>
          <w:rFonts w:ascii="Palatino Linotype" w:eastAsia="MS Mincho" w:hAnsi="Palatino Linotype" w:cs="Arial"/>
          <w:sz w:val="24"/>
        </w:rPr>
        <w:t>-</w:t>
      </w:r>
      <w:r w:rsidRPr="00A40364">
        <w:rPr>
          <w:rFonts w:ascii="Palatino Linotype" w:eastAsia="MS Mincho" w:hAnsi="Palatino Linotype"/>
          <w:sz w:val="24"/>
        </w:rPr>
        <w:t>10</w:t>
      </w:r>
      <w:r w:rsidRPr="00A40364">
        <w:rPr>
          <w:rFonts w:ascii="Palatino Linotype" w:eastAsia="MS Mincho" w:hAnsi="Palatino Linotype" w:cs="Arial"/>
          <w:sz w:val="24"/>
        </w:rPr>
        <w:t xml:space="preserve">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el particular lleve a cabo una </w:t>
      </w:r>
      <w:r w:rsidRPr="00A40364">
        <w:rPr>
          <w:rFonts w:ascii="Palatino Linotype" w:eastAsia="MS Mincho" w:hAnsi="Palatino Linotype" w:cs="Arial"/>
          <w:sz w:val="24"/>
        </w:rPr>
        <w:lastRenderedPageBreak/>
        <w:t>solicitud de información sin identificar de forma precisa la documentación, el Sujeto Obligado deberá entregar del mismo al solicitante mismo que a continuación se cita:</w:t>
      </w:r>
    </w:p>
    <w:p w14:paraId="30B1181D" w14:textId="77777777" w:rsidR="00E7233D" w:rsidRPr="001E3212" w:rsidRDefault="00E7233D" w:rsidP="00E7233D">
      <w:pPr>
        <w:pStyle w:val="m5907675151158779931gmail-msolistparagraph"/>
        <w:shd w:val="clear" w:color="auto" w:fill="FFFFFF"/>
        <w:spacing w:before="240" w:beforeAutospacing="0" w:after="360" w:afterAutospacing="0" w:line="276" w:lineRule="auto"/>
        <w:ind w:left="567" w:right="616"/>
        <w:jc w:val="both"/>
        <w:rPr>
          <w:rFonts w:ascii="Palatino Linotype" w:hAnsi="Palatino Linotype" w:cs="Arial"/>
          <w:color w:val="222222"/>
          <w:sz w:val="22"/>
        </w:rPr>
      </w:pPr>
      <w:r w:rsidRPr="001E3212">
        <w:rPr>
          <w:rFonts w:ascii="Palatino Linotype" w:hAnsi="Palatino Linotype" w:cs="Arial"/>
          <w:b/>
          <w:bCs/>
          <w:i/>
          <w:iCs/>
          <w:color w:val="222222"/>
          <w:sz w:val="22"/>
          <w:lang w:val="es-ES_tradnl"/>
        </w:rPr>
        <w:t>“Cuando en una solicitud de información no se identifique un documento en específico, si ésta tiene una expresión documental, el sujeto obligado deberá entregar al particular el documento en específico.</w:t>
      </w:r>
      <w:r w:rsidRPr="001E3212">
        <w:rPr>
          <w:rFonts w:ascii="Palatino Linotype" w:hAnsi="Palatino Linotype" w:cs="Arial"/>
          <w:i/>
          <w:iCs/>
          <w:color w:val="222222"/>
          <w:sz w:val="22"/>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14F6DF66" w14:textId="77777777" w:rsidR="00E7233D" w:rsidRPr="00A40364" w:rsidRDefault="00E7233D" w:rsidP="00E7233D">
      <w:pPr>
        <w:pStyle w:val="Prrafodelista"/>
        <w:numPr>
          <w:ilvl w:val="0"/>
          <w:numId w:val="2"/>
        </w:numPr>
        <w:spacing w:before="240" w:after="240" w:line="360" w:lineRule="auto"/>
        <w:ind w:left="0" w:right="49" w:firstLine="0"/>
        <w:jc w:val="both"/>
        <w:rPr>
          <w:rFonts w:ascii="Palatino Linotype" w:eastAsia="MS Mincho" w:hAnsi="Palatino Linotype" w:cs="Arial"/>
          <w:sz w:val="24"/>
        </w:rPr>
      </w:pPr>
      <w:r w:rsidRPr="00A40364">
        <w:rPr>
          <w:rFonts w:ascii="Palatino Linotype" w:eastAsia="MS Mincho" w:hAnsi="Palatino Linotype" w:cs="Arial"/>
          <w:sz w:val="24"/>
          <w:lang w:val="es-ES"/>
        </w:rPr>
        <w:t xml:space="preserve">Robustece lo anterior </w:t>
      </w:r>
      <w:r w:rsidRPr="00A40364">
        <w:rPr>
          <w:rFonts w:ascii="Palatino Linotype" w:eastAsia="MS Mincho" w:hAnsi="Palatino Linotype" w:cs="Arial"/>
          <w:sz w:val="24"/>
        </w:rPr>
        <w:t>el criterio orientador 16/17 emitido de igual forma por el Instituto Nacional de Transparencia, Acceso a la Información y Protección de Datos Personales que a la literalidad prevé:</w:t>
      </w:r>
    </w:p>
    <w:p w14:paraId="5DE5197E" w14:textId="77777777" w:rsidR="00E7233D" w:rsidRPr="001E3212" w:rsidRDefault="00E7233D" w:rsidP="00E7233D">
      <w:pPr>
        <w:spacing w:before="240" w:after="240" w:line="276" w:lineRule="auto"/>
        <w:ind w:left="567" w:right="616"/>
        <w:jc w:val="both"/>
        <w:rPr>
          <w:rFonts w:ascii="Palatino Linotype" w:eastAsia="MS Mincho" w:hAnsi="Palatino Linotype" w:cs="Arial"/>
          <w:i/>
          <w:sz w:val="22"/>
          <w:szCs w:val="24"/>
        </w:rPr>
      </w:pPr>
      <w:r w:rsidRPr="001E3212">
        <w:rPr>
          <w:rFonts w:ascii="Palatino Linotype" w:eastAsia="MS Mincho" w:hAnsi="Palatino Linotype" w:cs="Arial"/>
          <w:b/>
          <w:i/>
          <w:sz w:val="22"/>
          <w:szCs w:val="24"/>
        </w:rPr>
        <w:t>“Expresión documental</w:t>
      </w:r>
      <w:r w:rsidRPr="001E3212">
        <w:rPr>
          <w:rFonts w:ascii="Palatino Linotype" w:eastAsia="MS Mincho" w:hAnsi="Palatino Linotype" w:cs="Arial"/>
          <w:i/>
          <w:sz w:val="22"/>
          <w:szCs w:val="24"/>
        </w:rPr>
        <w:t xml:space="preserve">. Cuando los particulares presenten solicitudes de acceso a la información sin identificar de forma precisa la documentación que pudiera contener la información de su interés, o bien, la solicitud constituya una consulta, pero la respuesta </w:t>
      </w:r>
      <w:r w:rsidRPr="001E3212">
        <w:rPr>
          <w:rFonts w:ascii="Palatino Linotype" w:eastAsia="MS Mincho" w:hAnsi="Palatino Linotype" w:cs="Arial"/>
          <w:i/>
          <w:sz w:val="22"/>
          <w:szCs w:val="24"/>
        </w:rPr>
        <w:lastRenderedPageBreak/>
        <w:t xml:space="preserve">pudiera obrar en algún documento en poder de los sujetos obligados, éstos deben dar a dichas solicitudes una interpretación que les otorgue una expresión documental. </w:t>
      </w:r>
    </w:p>
    <w:p w14:paraId="390FD944" w14:textId="77777777" w:rsidR="00E7233D" w:rsidRPr="001E3212" w:rsidRDefault="00E7233D" w:rsidP="00E7233D">
      <w:pPr>
        <w:spacing w:before="240" w:after="240" w:line="276" w:lineRule="auto"/>
        <w:ind w:left="567" w:right="567"/>
        <w:jc w:val="both"/>
        <w:rPr>
          <w:rFonts w:ascii="Palatino Linotype" w:eastAsia="MS Mincho" w:hAnsi="Palatino Linotype" w:cs="Arial"/>
          <w:i/>
          <w:sz w:val="22"/>
          <w:szCs w:val="24"/>
        </w:rPr>
      </w:pPr>
      <w:r w:rsidRPr="001E3212">
        <w:rPr>
          <w:rFonts w:ascii="Palatino Linotype" w:eastAsia="MS Mincho" w:hAnsi="Palatino Linotype" w:cs="Arial"/>
          <w:i/>
          <w:sz w:val="22"/>
          <w:szCs w:val="24"/>
        </w:rPr>
        <w:t>Resoluciones:</w:t>
      </w:r>
    </w:p>
    <w:p w14:paraId="300EE9CF" w14:textId="77777777" w:rsidR="00E7233D" w:rsidRPr="001E3212" w:rsidRDefault="00E7233D" w:rsidP="00E7233D">
      <w:pPr>
        <w:spacing w:before="240" w:after="240" w:line="276" w:lineRule="auto"/>
        <w:ind w:left="567" w:right="567"/>
        <w:jc w:val="both"/>
        <w:rPr>
          <w:rFonts w:ascii="Palatino Linotype" w:eastAsia="MS Mincho" w:hAnsi="Palatino Linotype" w:cs="Arial"/>
          <w:i/>
          <w:sz w:val="22"/>
          <w:szCs w:val="24"/>
        </w:rPr>
      </w:pPr>
      <w:r w:rsidRPr="001E3212">
        <w:rPr>
          <w:rFonts w:ascii="Palatino Linotype" w:eastAsia="MS Mincho" w:hAnsi="Palatino Linotype" w:cs="Arial"/>
          <w:i/>
          <w:sz w:val="22"/>
          <w:szCs w:val="24"/>
        </w:rPr>
        <w:t>•</w:t>
      </w:r>
      <w:r w:rsidRPr="001E3212">
        <w:rPr>
          <w:rFonts w:ascii="Palatino Linotype" w:eastAsia="MS Mincho" w:hAnsi="Palatino Linotype" w:cs="Arial"/>
          <w:i/>
          <w:sz w:val="22"/>
          <w:szCs w:val="24"/>
        </w:rPr>
        <w:tab/>
        <w:t>RRA 0774/16. Secretaría de Salud. 31 de agosto de 2016. Por unanimidad. Comisionada Ponente María Patricia Kurczyn Villalobos.</w:t>
      </w:r>
    </w:p>
    <w:p w14:paraId="472C7773" w14:textId="77777777" w:rsidR="00E7233D" w:rsidRPr="001E3212" w:rsidRDefault="00E7233D" w:rsidP="00E7233D">
      <w:pPr>
        <w:spacing w:before="240" w:after="240" w:line="276" w:lineRule="auto"/>
        <w:ind w:left="567" w:right="567"/>
        <w:jc w:val="both"/>
        <w:rPr>
          <w:rFonts w:ascii="Palatino Linotype" w:eastAsia="MS Mincho" w:hAnsi="Palatino Linotype" w:cs="Arial"/>
          <w:i/>
          <w:sz w:val="22"/>
          <w:szCs w:val="24"/>
        </w:rPr>
      </w:pPr>
      <w:r w:rsidRPr="001E3212">
        <w:rPr>
          <w:rFonts w:ascii="Palatino Linotype" w:eastAsia="MS Mincho" w:hAnsi="Palatino Linotype" w:cs="Arial"/>
          <w:i/>
          <w:sz w:val="22"/>
          <w:szCs w:val="24"/>
        </w:rPr>
        <w:t>•</w:t>
      </w:r>
      <w:r w:rsidRPr="001E3212">
        <w:rPr>
          <w:rFonts w:ascii="Palatino Linotype" w:eastAsia="MS Mincho" w:hAnsi="Palatino Linotype" w:cs="Arial"/>
          <w:i/>
          <w:sz w:val="22"/>
          <w:szCs w:val="24"/>
        </w:rPr>
        <w:tab/>
        <w:t xml:space="preserve">RRA 0143/17. Universidad Autónoma Agraria Antonio Narro. 22 de febrero de 2017. Por unanimidad. Comisionado Ponente Oscar Mauricio Guerra Ford. </w:t>
      </w:r>
    </w:p>
    <w:p w14:paraId="0FEF5B09" w14:textId="77777777" w:rsidR="00E7233D" w:rsidRPr="001E3212" w:rsidRDefault="00E7233D" w:rsidP="00E7233D">
      <w:pPr>
        <w:spacing w:before="240" w:after="240" w:line="276" w:lineRule="auto"/>
        <w:ind w:left="567" w:right="567"/>
        <w:jc w:val="both"/>
        <w:rPr>
          <w:rFonts w:ascii="Palatino Linotype" w:eastAsia="MS Mincho" w:hAnsi="Palatino Linotype" w:cs="Arial"/>
          <w:i/>
          <w:sz w:val="22"/>
          <w:szCs w:val="24"/>
        </w:rPr>
      </w:pPr>
      <w:r w:rsidRPr="001E3212">
        <w:rPr>
          <w:rFonts w:ascii="Palatino Linotype" w:eastAsia="MS Mincho" w:hAnsi="Palatino Linotype" w:cs="Arial"/>
          <w:i/>
          <w:sz w:val="22"/>
          <w:szCs w:val="24"/>
        </w:rPr>
        <w:t>•</w:t>
      </w:r>
      <w:r w:rsidRPr="001E3212">
        <w:rPr>
          <w:rFonts w:ascii="Palatino Linotype" w:eastAsia="MS Mincho" w:hAnsi="Palatino Linotype" w:cs="Arial"/>
          <w:i/>
          <w:sz w:val="22"/>
          <w:szCs w:val="24"/>
        </w:rPr>
        <w:tab/>
        <w:t>RRA 0540/17. Secretaría de Economía. 08 de marzo del 2017. Por unanimidad. Comisionado Ponente Francisco Javier Acuña Llamas”</w:t>
      </w:r>
    </w:p>
    <w:p w14:paraId="6C841D17" w14:textId="4C06FBD5" w:rsidR="00E7233D" w:rsidRPr="00A40364" w:rsidRDefault="00E7233D" w:rsidP="00E7233D">
      <w:pPr>
        <w:pStyle w:val="Prrafodelista"/>
        <w:numPr>
          <w:ilvl w:val="0"/>
          <w:numId w:val="2"/>
        </w:numPr>
        <w:shd w:val="clear" w:color="auto" w:fill="FFFFFF"/>
        <w:spacing w:before="240" w:after="240" w:line="360" w:lineRule="auto"/>
        <w:ind w:left="0" w:firstLine="0"/>
        <w:jc w:val="both"/>
        <w:rPr>
          <w:rFonts w:ascii="Palatino Linotype" w:hAnsi="Palatino Linotype" w:cs="Arial"/>
          <w:sz w:val="24"/>
        </w:rPr>
      </w:pPr>
      <w:r w:rsidRPr="00A40364">
        <w:rPr>
          <w:rFonts w:ascii="Palatino Linotype" w:hAnsi="Palatino Linotype" w:cs="Arial"/>
          <w:color w:val="000000" w:themeColor="text1"/>
          <w:sz w:val="24"/>
          <w:lang w:val="es-ES"/>
        </w:rPr>
        <w:t xml:space="preserve">En esa tesitura si bien es cierto en la solicitud no se identifica con precisión un documento que de conformidad con las atribuciones del </w:t>
      </w:r>
      <w:r w:rsidRPr="00A40364">
        <w:rPr>
          <w:rFonts w:ascii="Palatino Linotype" w:hAnsi="Palatino Linotype" w:cs="Arial"/>
          <w:b/>
          <w:color w:val="000000" w:themeColor="text1"/>
          <w:sz w:val="24"/>
          <w:lang w:val="es-ES"/>
        </w:rPr>
        <w:t>SUJETO OBLIGADO</w:t>
      </w:r>
      <w:r w:rsidRPr="00A40364">
        <w:rPr>
          <w:rFonts w:ascii="Palatino Linotype" w:hAnsi="Palatino Linotype" w:cs="Arial"/>
          <w:color w:val="000000" w:themeColor="text1"/>
          <w:sz w:val="24"/>
          <w:lang w:val="es-ES"/>
        </w:rPr>
        <w:t xml:space="preserve"> deba generar, poseer o administrar </w:t>
      </w:r>
      <w:r w:rsidRPr="00A40364">
        <w:rPr>
          <w:rFonts w:ascii="Palatino Linotype" w:eastAsia="MS Mincho" w:hAnsi="Palatino Linotype" w:cs="Arial"/>
          <w:sz w:val="24"/>
        </w:rPr>
        <w:t>con antelación a que fuera presentada la solicitud de acceso a la información pública</w:t>
      </w:r>
      <w:r w:rsidRPr="00A40364">
        <w:rPr>
          <w:rFonts w:ascii="Palatino Linotype" w:hAnsi="Palatino Linotype" w:cs="Arial"/>
          <w:color w:val="000000" w:themeColor="text1"/>
          <w:sz w:val="24"/>
          <w:lang w:val="es-ES"/>
        </w:rPr>
        <w:t xml:space="preserve">, </w:t>
      </w:r>
      <w:r w:rsidRPr="00A40364">
        <w:rPr>
          <w:rFonts w:ascii="Palatino Linotype" w:eastAsia="Calibri" w:hAnsi="Palatino Linotype" w:cs="Arial"/>
          <w:b/>
          <w:sz w:val="24"/>
          <w:u w:val="single"/>
          <w:lang w:val="es-ES"/>
        </w:rPr>
        <w:t>también lo es</w:t>
      </w:r>
      <w:r w:rsidRPr="00A40364">
        <w:rPr>
          <w:rFonts w:ascii="Palatino Linotype" w:eastAsia="Calibri" w:hAnsi="Palatino Linotype" w:cs="Arial"/>
          <w:b/>
          <w:i/>
          <w:sz w:val="24"/>
          <w:lang w:val="es-ES"/>
        </w:rPr>
        <w:t xml:space="preserve"> </w:t>
      </w:r>
      <w:r w:rsidRPr="00A40364">
        <w:rPr>
          <w:rFonts w:ascii="Palatino Linotype" w:eastAsia="Calibri" w:hAnsi="Palatino Linotype" w:cs="Arial"/>
          <w:b/>
          <w:sz w:val="24"/>
          <w:lang w:val="es-ES"/>
        </w:rPr>
        <w:t xml:space="preserve">que, </w:t>
      </w:r>
      <w:r>
        <w:rPr>
          <w:rFonts w:ascii="Palatino Linotype" w:eastAsia="Calibri" w:hAnsi="Palatino Linotype" w:cs="Arial"/>
          <w:b/>
          <w:sz w:val="24"/>
          <w:lang w:val="es-ES"/>
        </w:rPr>
        <w:t xml:space="preserve">se debe realizar la suplencia a la deficiencia de la queja, en apego al principio de máxima publicidad </w:t>
      </w:r>
      <w:r w:rsidRPr="00E7233D">
        <w:rPr>
          <w:rFonts w:ascii="Palatino Linotype" w:eastAsia="Calibri" w:hAnsi="Palatino Linotype" w:cs="Arial"/>
          <w:sz w:val="24"/>
          <w:lang w:val="es-ES"/>
        </w:rPr>
        <w:t>y proporcionar los documentos en donde conste la información de interés para el particular, resultando así, los documentos idóneos la factibilidad o la autorización que emitió el Sujeto Obligado a la empresa señalada en la solicitud.</w:t>
      </w:r>
    </w:p>
    <w:p w14:paraId="12DB4424" w14:textId="0600D88E" w:rsidR="00E7233D" w:rsidRDefault="00E7233D" w:rsidP="00E7233D">
      <w:pPr>
        <w:pStyle w:val="Prrafodelista"/>
        <w:spacing w:before="100" w:beforeAutospacing="1" w:after="100" w:afterAutospacing="1" w:line="360" w:lineRule="auto"/>
        <w:ind w:left="0"/>
        <w:jc w:val="both"/>
        <w:rPr>
          <w:rFonts w:ascii="Palatino Linotype" w:eastAsia="Calibri" w:hAnsi="Palatino Linotype" w:cs="Arial"/>
          <w:sz w:val="24"/>
        </w:rPr>
      </w:pPr>
    </w:p>
    <w:p w14:paraId="7AD07415" w14:textId="77777777" w:rsidR="00E7233D" w:rsidRPr="00E7233D" w:rsidRDefault="00E7233D" w:rsidP="00E7233D">
      <w:pPr>
        <w:pStyle w:val="Prrafodelista"/>
        <w:rPr>
          <w:rFonts w:ascii="Palatino Linotype" w:eastAsia="Calibri" w:hAnsi="Palatino Linotype" w:cs="Arial"/>
          <w:sz w:val="24"/>
        </w:rPr>
      </w:pPr>
    </w:p>
    <w:p w14:paraId="4BAEE878" w14:textId="77777777" w:rsidR="00E7233D" w:rsidRDefault="00E7233D" w:rsidP="00E7233D">
      <w:pPr>
        <w:pStyle w:val="Prrafodelista"/>
        <w:spacing w:before="100" w:beforeAutospacing="1" w:after="100" w:afterAutospacing="1" w:line="360" w:lineRule="auto"/>
        <w:ind w:left="0"/>
        <w:jc w:val="both"/>
        <w:rPr>
          <w:rFonts w:ascii="Palatino Linotype" w:eastAsia="Calibri" w:hAnsi="Palatino Linotype" w:cs="Arial"/>
          <w:sz w:val="24"/>
        </w:rPr>
      </w:pPr>
    </w:p>
    <w:p w14:paraId="38D944CA" w14:textId="77777777" w:rsidR="00E7233D" w:rsidRDefault="00E7233D" w:rsidP="00E7233D">
      <w:pPr>
        <w:pStyle w:val="Prrafodelista"/>
        <w:spacing w:before="100" w:beforeAutospacing="1" w:after="100" w:afterAutospacing="1" w:line="360" w:lineRule="auto"/>
        <w:ind w:left="0"/>
        <w:jc w:val="both"/>
        <w:rPr>
          <w:rFonts w:ascii="Palatino Linotype" w:eastAsia="Calibri" w:hAnsi="Palatino Linotype" w:cs="Arial"/>
          <w:sz w:val="24"/>
        </w:rPr>
      </w:pPr>
    </w:p>
    <w:p w14:paraId="0363DE1A" w14:textId="61197617" w:rsidR="00860B59" w:rsidRPr="007E3507" w:rsidRDefault="007E3507" w:rsidP="007E3507">
      <w:pPr>
        <w:pStyle w:val="Ttulo2"/>
        <w:numPr>
          <w:ilvl w:val="0"/>
          <w:numId w:val="20"/>
        </w:numPr>
        <w:rPr>
          <w:rFonts w:ascii="Palatino Linotype" w:hAnsi="Palatino Linotype"/>
          <w:b/>
          <w:color w:val="auto"/>
          <w:sz w:val="24"/>
        </w:rPr>
      </w:pPr>
      <w:bookmarkStart w:id="16" w:name="_Toc83210171"/>
      <w:r w:rsidRPr="007E3507">
        <w:rPr>
          <w:rFonts w:ascii="Palatino Linotype" w:hAnsi="Palatino Linotype"/>
          <w:b/>
          <w:color w:val="auto"/>
          <w:sz w:val="24"/>
        </w:rPr>
        <w:lastRenderedPageBreak/>
        <w:t>De la búsqueda exhaustiva y razonable de la información.</w:t>
      </w:r>
      <w:bookmarkEnd w:id="16"/>
    </w:p>
    <w:p w14:paraId="7E6437DA" w14:textId="77777777" w:rsidR="007E3507" w:rsidRPr="007E3507" w:rsidRDefault="007E3507" w:rsidP="007E3507">
      <w:pPr>
        <w:pStyle w:val="Prrafodelista"/>
        <w:rPr>
          <w:rFonts w:ascii="Palatino Linotype" w:eastAsia="Calibri" w:hAnsi="Palatino Linotype" w:cs="Arial"/>
          <w:sz w:val="24"/>
        </w:rPr>
      </w:pPr>
    </w:p>
    <w:p w14:paraId="54D9D8FE" w14:textId="275CDBAC" w:rsidR="00B647DE" w:rsidRPr="00860B59" w:rsidRDefault="00860B59" w:rsidP="00920E85">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rPr>
      </w:pPr>
      <w:r w:rsidRPr="00860B59">
        <w:rPr>
          <w:rFonts w:ascii="Palatino Linotype" w:eastAsia="Calibri" w:hAnsi="Palatino Linotype" w:cs="Arial"/>
          <w:sz w:val="24"/>
        </w:rPr>
        <w:t>No debe pasar desapercibido que, quien dio respuesta a la solicitud fue el Director Jurídico del Sujeto Obligado.</w:t>
      </w:r>
      <w:r>
        <w:rPr>
          <w:rFonts w:ascii="Palatino Linotype" w:eastAsia="Calibri" w:hAnsi="Palatino Linotype" w:cs="Arial"/>
          <w:sz w:val="24"/>
        </w:rPr>
        <w:t xml:space="preserve"> Por tal motivo, e</w:t>
      </w:r>
      <w:r w:rsidR="00B647DE" w:rsidRPr="00860B59">
        <w:rPr>
          <w:rFonts w:ascii="Palatino Linotype" w:eastAsia="Calibri" w:hAnsi="Palatino Linotype" w:cs="Arial"/>
          <w:sz w:val="24"/>
        </w:rPr>
        <w:t>s necesario traer a contexto el Reglamento Interior del Sujeto Obligado</w:t>
      </w:r>
      <w:r w:rsidR="00B647DE">
        <w:rPr>
          <w:rStyle w:val="Refdenotaalpie"/>
          <w:rFonts w:ascii="Palatino Linotype" w:eastAsia="Calibri" w:hAnsi="Palatino Linotype" w:cs="Arial"/>
          <w:sz w:val="24"/>
        </w:rPr>
        <w:footnoteReference w:id="4"/>
      </w:r>
      <w:r w:rsidR="00B647DE" w:rsidRPr="00860B59">
        <w:rPr>
          <w:rFonts w:ascii="Palatino Linotype" w:eastAsia="Calibri" w:hAnsi="Palatino Linotype" w:cs="Arial"/>
          <w:sz w:val="24"/>
        </w:rPr>
        <w:t xml:space="preserve"> el cual tiene por objeto regular la organización y el funcionamiento del Organismo. El artículo 3 de dicho reglamento establece que </w:t>
      </w:r>
      <w:r w:rsidR="00B647DE" w:rsidRPr="00860B59">
        <w:rPr>
          <w:rFonts w:ascii="Palatino Linotype" w:eastAsia="Calibri" w:hAnsi="Palatino Linotype" w:cs="Arial"/>
          <w:i/>
        </w:rPr>
        <w:t xml:space="preserve">el Organismo forma parte de la Administración Pública Descentralizada del Municipio de Zumpango y </w:t>
      </w:r>
      <w:r w:rsidR="00B647DE" w:rsidRPr="00860B59">
        <w:rPr>
          <w:rFonts w:ascii="Palatino Linotype" w:eastAsia="Calibri" w:hAnsi="Palatino Linotype" w:cs="Arial"/>
          <w:b/>
          <w:i/>
        </w:rPr>
        <w:t>tiene la responsabilidad de organizar y administrar el funcionamiento, conservación y operación de los servicios públicos de agua potable, drenaje, alcantarillado y saneamiento del Municipio…</w:t>
      </w:r>
    </w:p>
    <w:p w14:paraId="103B859B" w14:textId="77777777" w:rsidR="00B647DE" w:rsidRDefault="00B647DE" w:rsidP="00B647DE">
      <w:pPr>
        <w:pStyle w:val="Prrafodelista"/>
        <w:spacing w:before="100" w:beforeAutospacing="1" w:after="100" w:afterAutospacing="1" w:line="360" w:lineRule="auto"/>
        <w:ind w:left="0"/>
        <w:jc w:val="both"/>
        <w:rPr>
          <w:rFonts w:ascii="Palatino Linotype" w:eastAsia="Calibri" w:hAnsi="Palatino Linotype" w:cs="Arial"/>
          <w:sz w:val="24"/>
        </w:rPr>
      </w:pPr>
    </w:p>
    <w:p w14:paraId="6EDBADF4" w14:textId="77777777" w:rsidR="00B647DE" w:rsidRDefault="00B647DE" w:rsidP="00DD0FEA">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rPr>
      </w:pPr>
      <w:r>
        <w:rPr>
          <w:rFonts w:ascii="Palatino Linotype" w:eastAsia="Calibri" w:hAnsi="Palatino Linotype" w:cs="Arial"/>
          <w:sz w:val="24"/>
        </w:rPr>
        <w:t>Asimismo, el ordenamiento en cito, ahora en el artículo 5 refiere que el Organismo se regirá por un Consejo Directivo y el Director General. La dirección general, de acuerdo al artículo 8 se auxiliará de las siguientes unidades administrativas:</w:t>
      </w:r>
    </w:p>
    <w:p w14:paraId="238BB79A" w14:textId="77777777" w:rsidR="00B647DE" w:rsidRDefault="00B647DE" w:rsidP="00B647DE">
      <w:pPr>
        <w:pStyle w:val="Prrafodelista"/>
        <w:spacing w:before="100" w:beforeAutospacing="1" w:after="100" w:afterAutospacing="1" w:line="360" w:lineRule="auto"/>
        <w:ind w:left="0"/>
        <w:jc w:val="both"/>
        <w:rPr>
          <w:rFonts w:ascii="Palatino Linotype" w:eastAsia="Calibri" w:hAnsi="Palatino Linotype" w:cs="Arial"/>
          <w:sz w:val="24"/>
        </w:rPr>
      </w:pPr>
    </w:p>
    <w:p w14:paraId="7462AB04" w14:textId="77777777" w:rsidR="00B647DE" w:rsidRPr="00860B59" w:rsidRDefault="00B647DE" w:rsidP="00860B59">
      <w:pPr>
        <w:pStyle w:val="Prrafodelista"/>
        <w:spacing w:before="100" w:beforeAutospacing="1" w:after="100" w:afterAutospacing="1" w:line="360" w:lineRule="auto"/>
        <w:ind w:left="567" w:right="822"/>
        <w:jc w:val="both"/>
        <w:rPr>
          <w:rFonts w:ascii="Palatino Linotype" w:hAnsi="Palatino Linotype"/>
          <w:i/>
        </w:rPr>
      </w:pPr>
      <w:r w:rsidRPr="00860B59">
        <w:rPr>
          <w:rFonts w:ascii="Palatino Linotype" w:hAnsi="Palatino Linotype"/>
          <w:i/>
        </w:rPr>
        <w:t xml:space="preserve">Artículo 8. Para el ejercicio de las atribuciones y responsabilidades y para el estudio, planeación y despacho de los asuntos en diversos ramos de la administración del Organismo, el Director General se auxiliará de las siguientes unidades administrativas: </w:t>
      </w:r>
    </w:p>
    <w:p w14:paraId="3E67C61D" w14:textId="77777777" w:rsidR="00B647DE" w:rsidRPr="00860B59" w:rsidRDefault="00B647DE" w:rsidP="00860B59">
      <w:pPr>
        <w:pStyle w:val="Prrafodelista"/>
        <w:spacing w:before="100" w:beforeAutospacing="1" w:after="100" w:afterAutospacing="1" w:line="360" w:lineRule="auto"/>
        <w:ind w:left="567" w:right="822"/>
        <w:jc w:val="both"/>
        <w:rPr>
          <w:rFonts w:ascii="Palatino Linotype" w:hAnsi="Palatino Linotype"/>
          <w:i/>
        </w:rPr>
      </w:pPr>
    </w:p>
    <w:p w14:paraId="2E280CAB" w14:textId="77777777" w:rsidR="00B647DE" w:rsidRPr="00860B59" w:rsidRDefault="00B647DE" w:rsidP="00860B59">
      <w:pPr>
        <w:pStyle w:val="Prrafodelista"/>
        <w:spacing w:before="100" w:beforeAutospacing="1" w:after="100" w:afterAutospacing="1" w:line="360" w:lineRule="auto"/>
        <w:ind w:left="567" w:right="822"/>
        <w:jc w:val="both"/>
        <w:rPr>
          <w:rFonts w:ascii="Palatino Linotype" w:hAnsi="Palatino Linotype"/>
          <w:i/>
        </w:rPr>
      </w:pPr>
      <w:r w:rsidRPr="00860B59">
        <w:rPr>
          <w:rFonts w:ascii="Palatino Linotype" w:hAnsi="Palatino Linotype"/>
          <w:i/>
        </w:rPr>
        <w:lastRenderedPageBreak/>
        <w:t xml:space="preserve">I. Oficinas de la Dirección General </w:t>
      </w:r>
    </w:p>
    <w:p w14:paraId="107C915C" w14:textId="77777777" w:rsidR="00B647DE" w:rsidRPr="00860B59" w:rsidRDefault="00B647DE" w:rsidP="00860B59">
      <w:pPr>
        <w:pStyle w:val="Prrafodelista"/>
        <w:spacing w:before="100" w:beforeAutospacing="1" w:after="100" w:afterAutospacing="1" w:line="360" w:lineRule="auto"/>
        <w:ind w:left="567" w:right="822"/>
        <w:jc w:val="both"/>
        <w:rPr>
          <w:rFonts w:ascii="Palatino Linotype" w:hAnsi="Palatino Linotype"/>
          <w:i/>
        </w:rPr>
      </w:pPr>
      <w:r w:rsidRPr="00860B59">
        <w:rPr>
          <w:rFonts w:ascii="Palatino Linotype" w:hAnsi="Palatino Linotype"/>
          <w:i/>
        </w:rPr>
        <w:t xml:space="preserve">II. Contraloría Interna. </w:t>
      </w:r>
    </w:p>
    <w:p w14:paraId="7B6A1EB4" w14:textId="77777777" w:rsidR="00B647DE" w:rsidRPr="00860B59" w:rsidRDefault="00B647DE" w:rsidP="00860B59">
      <w:pPr>
        <w:pStyle w:val="Prrafodelista"/>
        <w:spacing w:before="100" w:beforeAutospacing="1" w:after="100" w:afterAutospacing="1" w:line="360" w:lineRule="auto"/>
        <w:ind w:left="567" w:right="822"/>
        <w:jc w:val="both"/>
        <w:rPr>
          <w:rFonts w:ascii="Palatino Linotype" w:hAnsi="Palatino Linotype"/>
          <w:i/>
        </w:rPr>
      </w:pPr>
      <w:r w:rsidRPr="00860B59">
        <w:rPr>
          <w:rFonts w:ascii="Palatino Linotype" w:hAnsi="Palatino Linotype"/>
          <w:i/>
        </w:rPr>
        <w:t xml:space="preserve">III. Dirección de Finanzas </w:t>
      </w:r>
    </w:p>
    <w:p w14:paraId="08A65581" w14:textId="77777777" w:rsidR="00B647DE" w:rsidRPr="00860B59" w:rsidRDefault="00B647DE" w:rsidP="00860B59">
      <w:pPr>
        <w:pStyle w:val="Prrafodelista"/>
        <w:spacing w:before="100" w:beforeAutospacing="1" w:after="100" w:afterAutospacing="1" w:line="360" w:lineRule="auto"/>
        <w:ind w:left="567" w:right="822"/>
        <w:jc w:val="both"/>
        <w:rPr>
          <w:rFonts w:ascii="Palatino Linotype" w:hAnsi="Palatino Linotype"/>
          <w:i/>
        </w:rPr>
      </w:pPr>
      <w:r w:rsidRPr="00860B59">
        <w:rPr>
          <w:rFonts w:ascii="Palatino Linotype" w:hAnsi="Palatino Linotype"/>
          <w:i/>
        </w:rPr>
        <w:t xml:space="preserve">IV. Dirección de Administración </w:t>
      </w:r>
    </w:p>
    <w:p w14:paraId="381E6D99" w14:textId="77777777" w:rsidR="00B647DE" w:rsidRPr="00860B59" w:rsidRDefault="00B647DE" w:rsidP="00860B59">
      <w:pPr>
        <w:pStyle w:val="Prrafodelista"/>
        <w:spacing w:before="100" w:beforeAutospacing="1" w:after="100" w:afterAutospacing="1" w:line="360" w:lineRule="auto"/>
        <w:ind w:left="567" w:right="822"/>
        <w:jc w:val="both"/>
        <w:rPr>
          <w:rFonts w:ascii="Palatino Linotype" w:hAnsi="Palatino Linotype"/>
          <w:i/>
        </w:rPr>
      </w:pPr>
      <w:r w:rsidRPr="00860B59">
        <w:rPr>
          <w:rFonts w:ascii="Palatino Linotype" w:hAnsi="Palatino Linotype"/>
          <w:i/>
        </w:rPr>
        <w:t xml:space="preserve">V. Dirección de Comercialización </w:t>
      </w:r>
    </w:p>
    <w:p w14:paraId="771F1EAB" w14:textId="025F6286" w:rsidR="00B647DE" w:rsidRPr="00860B59" w:rsidRDefault="00B647DE" w:rsidP="00860B59">
      <w:pPr>
        <w:pStyle w:val="Prrafodelista"/>
        <w:spacing w:before="100" w:beforeAutospacing="1" w:after="100" w:afterAutospacing="1" w:line="360" w:lineRule="auto"/>
        <w:ind w:left="567" w:right="822"/>
        <w:jc w:val="both"/>
        <w:rPr>
          <w:rFonts w:ascii="Palatino Linotype" w:eastAsia="Calibri" w:hAnsi="Palatino Linotype" w:cs="Arial"/>
          <w:i/>
          <w:sz w:val="24"/>
        </w:rPr>
      </w:pPr>
      <w:r w:rsidRPr="00860B59">
        <w:rPr>
          <w:rFonts w:ascii="Palatino Linotype" w:hAnsi="Palatino Linotype"/>
          <w:i/>
        </w:rPr>
        <w:t xml:space="preserve">VI. Dirección Jurídica </w:t>
      </w:r>
      <w:r w:rsidRPr="00860B59">
        <w:rPr>
          <w:rFonts w:ascii="Palatino Linotype" w:eastAsia="Calibri" w:hAnsi="Palatino Linotype" w:cs="Arial"/>
          <w:i/>
          <w:sz w:val="24"/>
        </w:rPr>
        <w:t xml:space="preserve"> </w:t>
      </w:r>
    </w:p>
    <w:p w14:paraId="20535D4A" w14:textId="7F843602" w:rsidR="00B647DE" w:rsidRPr="00860B59" w:rsidRDefault="00B647DE" w:rsidP="00860B59">
      <w:pPr>
        <w:pStyle w:val="Prrafodelista"/>
        <w:spacing w:before="100" w:beforeAutospacing="1" w:after="100" w:afterAutospacing="1" w:line="360" w:lineRule="auto"/>
        <w:ind w:left="567" w:right="822"/>
        <w:jc w:val="both"/>
        <w:rPr>
          <w:rFonts w:ascii="Palatino Linotype" w:eastAsia="Calibri" w:hAnsi="Palatino Linotype" w:cs="Arial"/>
          <w:i/>
          <w:sz w:val="24"/>
        </w:rPr>
      </w:pPr>
      <w:r w:rsidRPr="00860B59">
        <w:rPr>
          <w:rFonts w:ascii="Palatino Linotype" w:hAnsi="Palatino Linotype"/>
          <w:i/>
        </w:rPr>
        <w:t>VII. Dirección de Operación, Construcción y Mantenimiento</w:t>
      </w:r>
    </w:p>
    <w:p w14:paraId="392E929D" w14:textId="77777777" w:rsidR="00B647DE" w:rsidRDefault="00B647DE" w:rsidP="00B647DE">
      <w:pPr>
        <w:pStyle w:val="Prrafodelista"/>
        <w:spacing w:before="100" w:beforeAutospacing="1" w:after="100" w:afterAutospacing="1" w:line="360" w:lineRule="auto"/>
        <w:ind w:left="0"/>
        <w:jc w:val="both"/>
        <w:rPr>
          <w:rFonts w:ascii="Palatino Linotype" w:eastAsia="Calibri" w:hAnsi="Palatino Linotype" w:cs="Arial"/>
          <w:sz w:val="24"/>
        </w:rPr>
      </w:pPr>
    </w:p>
    <w:p w14:paraId="6F6124E5" w14:textId="03EFE7AD" w:rsidR="00860B59" w:rsidRDefault="007E3507" w:rsidP="00DD0FEA">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rPr>
      </w:pPr>
      <w:r>
        <w:rPr>
          <w:rFonts w:ascii="Palatino Linotype" w:eastAsia="Calibri" w:hAnsi="Palatino Linotype" w:cs="Arial"/>
          <w:sz w:val="24"/>
        </w:rPr>
        <w:t>El artículo 7 de dicho ordenamiento legal establece lo siguiente:</w:t>
      </w:r>
    </w:p>
    <w:p w14:paraId="614292EF" w14:textId="7C3F964D" w:rsidR="007E3507" w:rsidRPr="007E3507" w:rsidRDefault="007E3507" w:rsidP="007E3507">
      <w:pPr>
        <w:spacing w:before="100" w:beforeAutospacing="1" w:after="100" w:afterAutospacing="1" w:line="360" w:lineRule="auto"/>
        <w:ind w:left="567" w:right="822"/>
        <w:jc w:val="center"/>
        <w:rPr>
          <w:rFonts w:ascii="Palatino Linotype" w:hAnsi="Palatino Linotype"/>
          <w:b/>
          <w:i/>
          <w:sz w:val="22"/>
          <w:szCs w:val="22"/>
        </w:rPr>
      </w:pPr>
      <w:r w:rsidRPr="007E3507">
        <w:rPr>
          <w:rFonts w:ascii="Palatino Linotype" w:hAnsi="Palatino Linotype"/>
          <w:b/>
          <w:i/>
          <w:sz w:val="22"/>
          <w:szCs w:val="22"/>
        </w:rPr>
        <w:t>SECCIÓN SEGUNDA</w:t>
      </w:r>
    </w:p>
    <w:p w14:paraId="73213F8E" w14:textId="77777777" w:rsidR="007E3507" w:rsidRPr="007E3507" w:rsidRDefault="007E3507" w:rsidP="007E3507">
      <w:pPr>
        <w:spacing w:before="100" w:beforeAutospacing="1" w:after="100" w:afterAutospacing="1" w:line="360" w:lineRule="auto"/>
        <w:ind w:left="567" w:right="822"/>
        <w:jc w:val="center"/>
        <w:rPr>
          <w:rFonts w:ascii="Palatino Linotype" w:hAnsi="Palatino Linotype"/>
          <w:b/>
          <w:i/>
          <w:sz w:val="22"/>
          <w:szCs w:val="22"/>
        </w:rPr>
      </w:pPr>
      <w:r w:rsidRPr="007E3507">
        <w:rPr>
          <w:rFonts w:ascii="Palatino Linotype" w:hAnsi="Palatino Linotype"/>
          <w:b/>
          <w:i/>
          <w:sz w:val="22"/>
          <w:szCs w:val="22"/>
        </w:rPr>
        <w:t>DE LA DIRECCIÓN GENERAL</w:t>
      </w:r>
    </w:p>
    <w:p w14:paraId="23C2D19B" w14:textId="5D9019EE" w:rsidR="007E3507" w:rsidRPr="007E3507" w:rsidRDefault="007E3507" w:rsidP="007E3507">
      <w:pPr>
        <w:spacing w:before="100" w:beforeAutospacing="1" w:after="100" w:afterAutospacing="1" w:line="360" w:lineRule="auto"/>
        <w:ind w:left="567" w:right="822"/>
        <w:jc w:val="both"/>
        <w:rPr>
          <w:rFonts w:ascii="Palatino Linotype" w:eastAsia="Calibri" w:hAnsi="Palatino Linotype" w:cs="Arial"/>
          <w:i/>
          <w:sz w:val="22"/>
          <w:szCs w:val="22"/>
        </w:rPr>
      </w:pPr>
      <w:r w:rsidRPr="007E3507">
        <w:rPr>
          <w:rFonts w:ascii="Palatino Linotype" w:hAnsi="Palatino Linotype"/>
          <w:i/>
          <w:sz w:val="22"/>
          <w:szCs w:val="22"/>
        </w:rPr>
        <w:t xml:space="preserve"> Artículo 7. El Director General, tendrá las siguientes obligaciones y facultades:</w:t>
      </w:r>
    </w:p>
    <w:p w14:paraId="775D13EA" w14:textId="6D38D021" w:rsidR="007E3507" w:rsidRPr="007E3507" w:rsidRDefault="007E3507" w:rsidP="007E3507">
      <w:pPr>
        <w:pStyle w:val="Prrafodelista"/>
        <w:spacing w:before="100" w:beforeAutospacing="1" w:after="100" w:afterAutospacing="1" w:line="360" w:lineRule="auto"/>
        <w:ind w:left="567" w:right="822"/>
        <w:jc w:val="both"/>
        <w:rPr>
          <w:rFonts w:ascii="Palatino Linotype" w:hAnsi="Palatino Linotype"/>
          <w:i/>
          <w:szCs w:val="22"/>
        </w:rPr>
      </w:pPr>
      <w:r w:rsidRPr="007E3507">
        <w:rPr>
          <w:rFonts w:ascii="Palatino Linotype" w:hAnsi="Palatino Linotype"/>
          <w:i/>
          <w:szCs w:val="22"/>
        </w:rPr>
        <w:t>…</w:t>
      </w:r>
    </w:p>
    <w:p w14:paraId="7CD16790" w14:textId="26ED442C" w:rsidR="00860B59" w:rsidRPr="007E3507" w:rsidRDefault="007E3507" w:rsidP="007E3507">
      <w:pPr>
        <w:pStyle w:val="Prrafodelista"/>
        <w:spacing w:before="100" w:beforeAutospacing="1" w:after="100" w:afterAutospacing="1" w:line="360" w:lineRule="auto"/>
        <w:ind w:left="567" w:right="822"/>
        <w:jc w:val="both"/>
        <w:rPr>
          <w:rFonts w:ascii="Palatino Linotype" w:hAnsi="Palatino Linotype"/>
          <w:b/>
          <w:i/>
          <w:szCs w:val="22"/>
        </w:rPr>
      </w:pPr>
      <w:r w:rsidRPr="007E3507">
        <w:rPr>
          <w:rFonts w:ascii="Palatino Linotype" w:hAnsi="Palatino Linotype"/>
          <w:b/>
          <w:i/>
          <w:szCs w:val="22"/>
        </w:rPr>
        <w:t>X. Emitir dictámenes de factibilidad</w:t>
      </w:r>
    </w:p>
    <w:p w14:paraId="37956DA9" w14:textId="3ACAA0E4" w:rsidR="007E3507" w:rsidRPr="007E3507" w:rsidRDefault="007E3507" w:rsidP="007E3507">
      <w:pPr>
        <w:pStyle w:val="Prrafodelista"/>
        <w:spacing w:before="100" w:beforeAutospacing="1" w:after="100" w:afterAutospacing="1" w:line="360" w:lineRule="auto"/>
        <w:ind w:left="567" w:right="822"/>
        <w:jc w:val="both"/>
        <w:rPr>
          <w:rFonts w:ascii="Palatino Linotype" w:hAnsi="Palatino Linotype"/>
          <w:i/>
          <w:szCs w:val="22"/>
        </w:rPr>
      </w:pPr>
      <w:r w:rsidRPr="007E3507">
        <w:rPr>
          <w:rFonts w:ascii="Palatino Linotype" w:hAnsi="Palatino Linotype"/>
          <w:i/>
          <w:szCs w:val="22"/>
        </w:rPr>
        <w:t>…</w:t>
      </w:r>
    </w:p>
    <w:p w14:paraId="0A8B1CE1" w14:textId="77777777" w:rsidR="007E3507" w:rsidRDefault="007E3507" w:rsidP="00860B59">
      <w:pPr>
        <w:pStyle w:val="Prrafodelista"/>
        <w:spacing w:before="100" w:beforeAutospacing="1" w:after="100" w:afterAutospacing="1" w:line="360" w:lineRule="auto"/>
        <w:ind w:left="0"/>
        <w:jc w:val="both"/>
      </w:pPr>
    </w:p>
    <w:p w14:paraId="5C388074" w14:textId="39A8A344" w:rsidR="007E3507" w:rsidRPr="007E3507" w:rsidRDefault="007E3507" w:rsidP="007E3507">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8"/>
        </w:rPr>
      </w:pPr>
      <w:r w:rsidRPr="007E3507">
        <w:rPr>
          <w:rFonts w:ascii="Palatino Linotype" w:hAnsi="Palatino Linotype"/>
          <w:sz w:val="24"/>
        </w:rPr>
        <w:t>Mientras que el artículo 4</w:t>
      </w:r>
      <w:r>
        <w:rPr>
          <w:rFonts w:ascii="Palatino Linotype" w:hAnsi="Palatino Linotype"/>
          <w:sz w:val="24"/>
        </w:rPr>
        <w:t>6</w:t>
      </w:r>
      <w:r w:rsidRPr="007E3507">
        <w:rPr>
          <w:rFonts w:ascii="Palatino Linotype" w:hAnsi="Palatino Linotype"/>
          <w:sz w:val="24"/>
        </w:rPr>
        <w:t xml:space="preserve"> </w:t>
      </w:r>
      <w:r>
        <w:rPr>
          <w:rFonts w:ascii="Palatino Linotype" w:hAnsi="Palatino Linotype"/>
          <w:sz w:val="24"/>
        </w:rPr>
        <w:t xml:space="preserve">fracción V </w:t>
      </w:r>
      <w:r w:rsidRPr="007E3507">
        <w:rPr>
          <w:rFonts w:ascii="Palatino Linotype" w:hAnsi="Palatino Linotype"/>
          <w:sz w:val="24"/>
        </w:rPr>
        <w:t xml:space="preserve">y </w:t>
      </w:r>
      <w:r>
        <w:rPr>
          <w:rFonts w:ascii="Palatino Linotype" w:hAnsi="Palatino Linotype"/>
          <w:sz w:val="24"/>
        </w:rPr>
        <w:t>47</w:t>
      </w:r>
      <w:r w:rsidRPr="007E3507">
        <w:rPr>
          <w:rFonts w:ascii="Palatino Linotype" w:hAnsi="Palatino Linotype"/>
          <w:sz w:val="24"/>
        </w:rPr>
        <w:t xml:space="preserve"> </w:t>
      </w:r>
      <w:r>
        <w:rPr>
          <w:rFonts w:ascii="Palatino Linotype" w:hAnsi="Palatino Linotype"/>
          <w:sz w:val="24"/>
        </w:rPr>
        <w:t xml:space="preserve">fracción IV </w:t>
      </w:r>
      <w:r w:rsidRPr="007E3507">
        <w:rPr>
          <w:rFonts w:ascii="Palatino Linotype" w:hAnsi="Palatino Linotype"/>
          <w:sz w:val="24"/>
        </w:rPr>
        <w:t>del mismo dispositivo legal refieren lo siguiente:</w:t>
      </w:r>
    </w:p>
    <w:p w14:paraId="0B6DB915" w14:textId="77777777" w:rsidR="00860B59" w:rsidRDefault="00860B59" w:rsidP="007E3507">
      <w:pPr>
        <w:pStyle w:val="Prrafodelista"/>
        <w:spacing w:before="100" w:beforeAutospacing="1" w:after="100" w:afterAutospacing="1" w:line="360" w:lineRule="auto"/>
        <w:ind w:left="0"/>
        <w:jc w:val="both"/>
        <w:rPr>
          <w:rFonts w:ascii="Palatino Linotype" w:eastAsia="Calibri" w:hAnsi="Palatino Linotype" w:cs="Arial"/>
          <w:sz w:val="24"/>
        </w:rPr>
      </w:pPr>
    </w:p>
    <w:p w14:paraId="4050E7F4" w14:textId="77777777" w:rsidR="007E3507" w:rsidRPr="007E3507" w:rsidRDefault="007E3507" w:rsidP="007E3507">
      <w:pPr>
        <w:pStyle w:val="Prrafodelista"/>
        <w:spacing w:before="100" w:beforeAutospacing="1" w:after="100" w:afterAutospacing="1" w:line="360" w:lineRule="auto"/>
        <w:ind w:left="567" w:right="822"/>
        <w:jc w:val="center"/>
        <w:rPr>
          <w:rFonts w:ascii="Palatino Linotype" w:hAnsi="Palatino Linotype"/>
          <w:b/>
          <w:i/>
        </w:rPr>
      </w:pPr>
      <w:r w:rsidRPr="007E3507">
        <w:rPr>
          <w:rFonts w:ascii="Palatino Linotype" w:hAnsi="Palatino Linotype"/>
          <w:b/>
          <w:i/>
        </w:rPr>
        <w:t>SECCIÓN SÉPTIMA</w:t>
      </w:r>
    </w:p>
    <w:p w14:paraId="600EC61B" w14:textId="7ADF540E" w:rsidR="007E3507" w:rsidRPr="007E3507" w:rsidRDefault="007E3507" w:rsidP="007E3507">
      <w:pPr>
        <w:pStyle w:val="Prrafodelista"/>
        <w:spacing w:before="100" w:beforeAutospacing="1" w:after="100" w:afterAutospacing="1" w:line="360" w:lineRule="auto"/>
        <w:ind w:left="567" w:right="822"/>
        <w:jc w:val="center"/>
        <w:rPr>
          <w:rFonts w:ascii="Palatino Linotype" w:hAnsi="Palatino Linotype"/>
          <w:b/>
          <w:i/>
        </w:rPr>
      </w:pPr>
      <w:r w:rsidRPr="007E3507">
        <w:rPr>
          <w:rFonts w:ascii="Palatino Linotype" w:hAnsi="Palatino Linotype"/>
          <w:b/>
          <w:i/>
        </w:rPr>
        <w:lastRenderedPageBreak/>
        <w:t>DE LA DIRECCIÓN DE OPERACIÓN, CONSTRUCCIÓN Y MANTENIMIENTO.</w:t>
      </w:r>
    </w:p>
    <w:p w14:paraId="03CB55C4" w14:textId="7D358561" w:rsidR="007E3507" w:rsidRPr="007E3507" w:rsidRDefault="007E3507" w:rsidP="007E3507">
      <w:pPr>
        <w:pStyle w:val="Prrafodelista"/>
        <w:spacing w:before="100" w:beforeAutospacing="1" w:after="100" w:afterAutospacing="1" w:line="360" w:lineRule="auto"/>
        <w:ind w:left="567" w:right="822"/>
        <w:jc w:val="both"/>
        <w:rPr>
          <w:rFonts w:ascii="Palatino Linotype" w:hAnsi="Palatino Linotype"/>
          <w:i/>
        </w:rPr>
      </w:pPr>
      <w:r w:rsidRPr="007E3507">
        <w:rPr>
          <w:rFonts w:ascii="Palatino Linotype" w:hAnsi="Palatino Linotype"/>
          <w:i/>
        </w:rPr>
        <w:t>…</w:t>
      </w:r>
    </w:p>
    <w:p w14:paraId="094AE0F7" w14:textId="007A3C4C" w:rsidR="007E3507" w:rsidRPr="007E3507" w:rsidRDefault="007E3507" w:rsidP="007E3507">
      <w:pPr>
        <w:pStyle w:val="Prrafodelista"/>
        <w:spacing w:before="100" w:beforeAutospacing="1" w:after="100" w:afterAutospacing="1" w:line="360" w:lineRule="auto"/>
        <w:ind w:left="567" w:right="822"/>
        <w:jc w:val="both"/>
        <w:rPr>
          <w:rFonts w:ascii="Palatino Linotype" w:hAnsi="Palatino Linotype"/>
          <w:i/>
        </w:rPr>
      </w:pPr>
      <w:r w:rsidRPr="007E3507">
        <w:rPr>
          <w:rFonts w:ascii="Palatino Linotype" w:hAnsi="Palatino Linotype"/>
          <w:b/>
          <w:i/>
        </w:rPr>
        <w:t>Artículo 46.</w:t>
      </w:r>
      <w:r w:rsidRPr="007E3507">
        <w:rPr>
          <w:rFonts w:ascii="Palatino Linotype" w:hAnsi="Palatino Linotype"/>
          <w:i/>
        </w:rPr>
        <w:t xml:space="preserve"> La Coordinación de Operación y Mantenimiento tendrá las siguientes atribuciones:</w:t>
      </w:r>
    </w:p>
    <w:p w14:paraId="3DF81311" w14:textId="77777777" w:rsidR="007E3507" w:rsidRPr="007E3507" w:rsidRDefault="007E3507" w:rsidP="007E3507">
      <w:pPr>
        <w:pStyle w:val="Prrafodelista"/>
        <w:spacing w:before="100" w:beforeAutospacing="1" w:after="100" w:afterAutospacing="1" w:line="360" w:lineRule="auto"/>
        <w:ind w:left="567" w:right="822"/>
        <w:jc w:val="both"/>
        <w:rPr>
          <w:rFonts w:ascii="Palatino Linotype" w:hAnsi="Palatino Linotype"/>
          <w:i/>
        </w:rPr>
      </w:pPr>
    </w:p>
    <w:p w14:paraId="7100358F" w14:textId="5EF690B5" w:rsidR="007E3507" w:rsidRDefault="007E3507" w:rsidP="007E3507">
      <w:pPr>
        <w:pStyle w:val="Prrafodelista"/>
        <w:spacing w:before="100" w:beforeAutospacing="1" w:after="100" w:afterAutospacing="1" w:line="360" w:lineRule="auto"/>
        <w:ind w:left="567" w:right="822"/>
        <w:jc w:val="both"/>
        <w:rPr>
          <w:rFonts w:ascii="Palatino Linotype" w:hAnsi="Palatino Linotype"/>
          <w:b/>
          <w:i/>
        </w:rPr>
      </w:pPr>
      <w:r w:rsidRPr="007E3507">
        <w:rPr>
          <w:rFonts w:ascii="Palatino Linotype" w:hAnsi="Palatino Linotype"/>
          <w:b/>
          <w:i/>
        </w:rPr>
        <w:t>V. Autorizar y realizar las factibilidades de las solicitudes de servicio.</w:t>
      </w:r>
    </w:p>
    <w:p w14:paraId="4E39DE7D" w14:textId="39FB2D8F" w:rsidR="007E3507" w:rsidRPr="007E3507" w:rsidRDefault="007E3507" w:rsidP="007E3507">
      <w:pPr>
        <w:pStyle w:val="Prrafodelista"/>
        <w:spacing w:before="100" w:beforeAutospacing="1" w:after="100" w:afterAutospacing="1" w:line="360" w:lineRule="auto"/>
        <w:ind w:left="567" w:right="822"/>
        <w:jc w:val="both"/>
        <w:rPr>
          <w:rFonts w:ascii="Palatino Linotype" w:hAnsi="Palatino Linotype"/>
          <w:b/>
          <w:i/>
        </w:rPr>
      </w:pPr>
      <w:r>
        <w:rPr>
          <w:rFonts w:ascii="Palatino Linotype" w:hAnsi="Palatino Linotype"/>
          <w:b/>
          <w:i/>
        </w:rPr>
        <w:t>…</w:t>
      </w:r>
      <w:r w:rsidR="006A5A3A">
        <w:rPr>
          <w:rFonts w:ascii="Palatino Linotype" w:hAnsi="Palatino Linotype"/>
          <w:b/>
          <w:i/>
        </w:rPr>
        <w:t xml:space="preserve"> </w:t>
      </w:r>
    </w:p>
    <w:p w14:paraId="341A5D60" w14:textId="77777777" w:rsidR="007E3507" w:rsidRPr="007E3507" w:rsidRDefault="007E3507" w:rsidP="007E3507">
      <w:pPr>
        <w:pStyle w:val="Prrafodelista"/>
        <w:spacing w:before="100" w:beforeAutospacing="1" w:after="100" w:afterAutospacing="1" w:line="360" w:lineRule="auto"/>
        <w:ind w:left="567" w:right="822"/>
        <w:jc w:val="both"/>
        <w:rPr>
          <w:rFonts w:ascii="Palatino Linotype" w:hAnsi="Palatino Linotype"/>
          <w:i/>
        </w:rPr>
      </w:pPr>
    </w:p>
    <w:p w14:paraId="727CFBBF" w14:textId="77777777" w:rsidR="007E3507" w:rsidRPr="007E3507" w:rsidRDefault="007E3507" w:rsidP="007E3507">
      <w:pPr>
        <w:pStyle w:val="Prrafodelista"/>
        <w:spacing w:before="100" w:beforeAutospacing="1" w:after="100" w:afterAutospacing="1" w:line="360" w:lineRule="auto"/>
        <w:ind w:left="567" w:right="822"/>
        <w:jc w:val="both"/>
        <w:rPr>
          <w:rFonts w:ascii="Palatino Linotype" w:hAnsi="Palatino Linotype"/>
          <w:i/>
        </w:rPr>
      </w:pPr>
    </w:p>
    <w:p w14:paraId="3FD2C05A" w14:textId="63F1016D" w:rsidR="007E3507" w:rsidRPr="007E3507" w:rsidRDefault="007E3507" w:rsidP="007E3507">
      <w:pPr>
        <w:pStyle w:val="Prrafodelista"/>
        <w:spacing w:before="100" w:beforeAutospacing="1" w:after="100" w:afterAutospacing="1" w:line="360" w:lineRule="auto"/>
        <w:ind w:left="567" w:right="822"/>
        <w:jc w:val="both"/>
        <w:rPr>
          <w:rFonts w:ascii="Palatino Linotype" w:hAnsi="Palatino Linotype"/>
          <w:i/>
        </w:rPr>
      </w:pPr>
      <w:r w:rsidRPr="007E3507">
        <w:rPr>
          <w:rFonts w:ascii="Palatino Linotype" w:hAnsi="Palatino Linotype"/>
          <w:b/>
          <w:i/>
        </w:rPr>
        <w:t>Artículo 47.</w:t>
      </w:r>
      <w:r w:rsidRPr="007E3507">
        <w:rPr>
          <w:rFonts w:ascii="Palatino Linotype" w:hAnsi="Palatino Linotype"/>
          <w:i/>
        </w:rPr>
        <w:t xml:space="preserve"> La Coordinación de Construcción y Logística tendrá las siguientes atribuciones:</w:t>
      </w:r>
    </w:p>
    <w:p w14:paraId="2FD0A29E" w14:textId="7232F2AD" w:rsidR="007E3507" w:rsidRPr="007E3507" w:rsidRDefault="007E3507" w:rsidP="007E3507">
      <w:pPr>
        <w:pStyle w:val="Prrafodelista"/>
        <w:spacing w:before="100" w:beforeAutospacing="1" w:after="100" w:afterAutospacing="1" w:line="360" w:lineRule="auto"/>
        <w:ind w:left="567" w:right="822"/>
        <w:jc w:val="both"/>
        <w:rPr>
          <w:rFonts w:ascii="Palatino Linotype" w:hAnsi="Palatino Linotype"/>
          <w:i/>
        </w:rPr>
      </w:pPr>
      <w:r>
        <w:rPr>
          <w:rFonts w:ascii="Palatino Linotype" w:hAnsi="Palatino Linotype"/>
          <w:i/>
        </w:rPr>
        <w:t>…</w:t>
      </w:r>
    </w:p>
    <w:p w14:paraId="71FB5013" w14:textId="50E40639" w:rsidR="007E3507" w:rsidRDefault="007E3507" w:rsidP="007E3507">
      <w:pPr>
        <w:pStyle w:val="Prrafodelista"/>
        <w:spacing w:before="100" w:beforeAutospacing="1" w:after="100" w:afterAutospacing="1" w:line="360" w:lineRule="auto"/>
        <w:ind w:left="567" w:right="822"/>
        <w:jc w:val="both"/>
        <w:rPr>
          <w:rFonts w:ascii="Palatino Linotype" w:hAnsi="Palatino Linotype"/>
          <w:b/>
          <w:i/>
        </w:rPr>
      </w:pPr>
      <w:r w:rsidRPr="007E3507">
        <w:rPr>
          <w:rFonts w:ascii="Palatino Linotype" w:hAnsi="Palatino Linotype"/>
          <w:b/>
          <w:i/>
        </w:rPr>
        <w:t>IV. Autorizar y realizar las factibilidades de las solicitudes de servicio.</w:t>
      </w:r>
    </w:p>
    <w:p w14:paraId="2794D986" w14:textId="2CA4ED8C" w:rsidR="007E3507" w:rsidRPr="007E3507" w:rsidRDefault="007E3507" w:rsidP="007E3507">
      <w:pPr>
        <w:pStyle w:val="Prrafodelista"/>
        <w:spacing w:before="100" w:beforeAutospacing="1" w:after="100" w:afterAutospacing="1" w:line="360" w:lineRule="auto"/>
        <w:ind w:left="567" w:right="822"/>
        <w:jc w:val="both"/>
        <w:rPr>
          <w:rFonts w:ascii="Palatino Linotype" w:eastAsia="Calibri" w:hAnsi="Palatino Linotype" w:cs="Arial"/>
          <w:b/>
          <w:i/>
          <w:sz w:val="24"/>
        </w:rPr>
      </w:pPr>
      <w:r>
        <w:rPr>
          <w:rFonts w:ascii="Palatino Linotype" w:hAnsi="Palatino Linotype"/>
          <w:b/>
          <w:i/>
        </w:rPr>
        <w:t>…</w:t>
      </w:r>
    </w:p>
    <w:p w14:paraId="31D2D632" w14:textId="77777777" w:rsidR="007E3507" w:rsidRDefault="007E3507" w:rsidP="007E3507">
      <w:pPr>
        <w:pStyle w:val="Prrafodelista"/>
        <w:spacing w:before="100" w:beforeAutospacing="1" w:after="100" w:afterAutospacing="1" w:line="360" w:lineRule="auto"/>
        <w:ind w:left="0"/>
        <w:jc w:val="both"/>
        <w:rPr>
          <w:rFonts w:ascii="Palatino Linotype" w:eastAsia="Calibri" w:hAnsi="Palatino Linotype" w:cs="Arial"/>
          <w:sz w:val="24"/>
        </w:rPr>
      </w:pPr>
    </w:p>
    <w:p w14:paraId="728F8C83" w14:textId="77777777" w:rsidR="005000AA" w:rsidRDefault="005000AA" w:rsidP="005000AA">
      <w:pPr>
        <w:pStyle w:val="Prrafodelista"/>
        <w:tabs>
          <w:tab w:val="left" w:pos="567"/>
        </w:tabs>
        <w:spacing w:line="360" w:lineRule="auto"/>
        <w:ind w:left="0"/>
        <w:jc w:val="both"/>
        <w:rPr>
          <w:rFonts w:ascii="Palatino Linotype" w:eastAsia="Calibri" w:hAnsi="Palatino Linotype" w:cs="Arial"/>
          <w:sz w:val="24"/>
        </w:rPr>
      </w:pPr>
    </w:p>
    <w:p w14:paraId="248D860F" w14:textId="77777777" w:rsidR="00806ABD" w:rsidRPr="00C5509C" w:rsidRDefault="00806ABD" w:rsidP="00806ABD">
      <w:pPr>
        <w:pStyle w:val="Prrafodelista"/>
        <w:numPr>
          <w:ilvl w:val="0"/>
          <w:numId w:val="2"/>
        </w:numPr>
        <w:spacing w:line="360" w:lineRule="auto"/>
        <w:ind w:left="0" w:firstLine="0"/>
        <w:jc w:val="both"/>
        <w:rPr>
          <w:rFonts w:ascii="Palatino Linotype" w:eastAsia="Calibri" w:hAnsi="Palatino Linotype" w:cs="Arial"/>
          <w:sz w:val="24"/>
        </w:rPr>
      </w:pPr>
      <w:r w:rsidRPr="00C5509C">
        <w:rPr>
          <w:rFonts w:ascii="Palatino Linotype" w:hAnsi="Palatino Linotype"/>
          <w:sz w:val="24"/>
        </w:rPr>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C5509C">
        <w:rPr>
          <w:rFonts w:ascii="Palatino Linotype" w:hAnsi="Palatino Linotype"/>
          <w:i/>
        </w:rPr>
        <w:t xml:space="preserve">realizar, con efectividad, los trámites internos necesarios para la atención </w:t>
      </w:r>
      <w:r w:rsidRPr="00C5509C">
        <w:rPr>
          <w:rFonts w:ascii="Palatino Linotype" w:hAnsi="Palatino Linotype"/>
          <w:i/>
        </w:rPr>
        <w:lastRenderedPageBreak/>
        <w:t>de las solicitudes de información</w:t>
      </w:r>
      <w:r w:rsidRPr="00C5509C">
        <w:rPr>
          <w:rStyle w:val="Refdenotaalpie"/>
          <w:rFonts w:ascii="Palatino Linotype" w:hAnsi="Palatino Linotype"/>
        </w:rPr>
        <w:footnoteReference w:id="5"/>
      </w:r>
      <w:r w:rsidRPr="00C5509C">
        <w:rPr>
          <w:rFonts w:ascii="Palatino Linotype" w:hAnsi="Palatino Linotype"/>
        </w:rPr>
        <w:t xml:space="preserve">, </w:t>
      </w:r>
      <w:r w:rsidRPr="00C5509C">
        <w:rPr>
          <w:rFonts w:ascii="Palatino Linotype" w:hAnsi="Palatino Linotype"/>
          <w:sz w:val="24"/>
        </w:rPr>
        <w:t>es decir, deben otorgar respuestas concisas, contundentes y certeras, además de estar en estricto apego a lo que la normatividad en la materia establece.</w:t>
      </w:r>
    </w:p>
    <w:p w14:paraId="645CBB26" w14:textId="77777777" w:rsidR="00806ABD" w:rsidRPr="00C5509C" w:rsidRDefault="00806ABD" w:rsidP="00806ABD">
      <w:pPr>
        <w:pStyle w:val="Prrafodelista"/>
        <w:rPr>
          <w:rFonts w:ascii="Palatino Linotype" w:eastAsia="Calibri" w:hAnsi="Palatino Linotype" w:cs="Arial"/>
          <w:sz w:val="24"/>
        </w:rPr>
      </w:pPr>
    </w:p>
    <w:p w14:paraId="54848881" w14:textId="6D1B4C14" w:rsidR="00806ABD" w:rsidRPr="00C5509C" w:rsidRDefault="00806ABD" w:rsidP="00806ABD">
      <w:pPr>
        <w:pStyle w:val="Prrafodelista"/>
        <w:numPr>
          <w:ilvl w:val="0"/>
          <w:numId w:val="2"/>
        </w:numPr>
        <w:spacing w:line="360" w:lineRule="auto"/>
        <w:ind w:left="0" w:firstLine="0"/>
        <w:jc w:val="both"/>
        <w:rPr>
          <w:rFonts w:ascii="Palatino Linotype" w:eastAsia="Calibri" w:hAnsi="Palatino Linotype" w:cs="Arial"/>
          <w:sz w:val="24"/>
        </w:rPr>
      </w:pPr>
      <w:r w:rsidRPr="00C5509C">
        <w:rPr>
          <w:rFonts w:ascii="Palatino Linotype" w:hAnsi="Palatino Linotype" w:cs="Arial"/>
          <w:sz w:val="24"/>
        </w:rPr>
        <w:t>En el presente asunto en particular, el Titular de la Unidad de Transparencia turnó la solicitud solamente a un área, misma que manife</w:t>
      </w:r>
      <w:r w:rsidR="000F58ED">
        <w:rPr>
          <w:rFonts w:ascii="Palatino Linotype" w:hAnsi="Palatino Linotype" w:cs="Arial"/>
          <w:sz w:val="24"/>
        </w:rPr>
        <w:t>stó no encontrar la información, omitiendo turnar la solicitud a la Dirección General y a la Dirección de Operación, Construcción y Mantenimiento.</w:t>
      </w:r>
    </w:p>
    <w:p w14:paraId="7B75A5AF" w14:textId="77777777" w:rsidR="00806ABD" w:rsidRPr="00C5509C" w:rsidRDefault="00806ABD" w:rsidP="00806ABD">
      <w:pPr>
        <w:pStyle w:val="Prrafodelista"/>
        <w:rPr>
          <w:rFonts w:ascii="Palatino Linotype" w:hAnsi="Palatino Linotype" w:cs="Arial"/>
          <w:sz w:val="24"/>
        </w:rPr>
      </w:pPr>
    </w:p>
    <w:p w14:paraId="6B622F32" w14:textId="77777777" w:rsidR="00806ABD" w:rsidRPr="00C5509C" w:rsidRDefault="00806ABD" w:rsidP="00806ABD">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t xml:space="preserve">Con la respuesta emitida, el Sujeto Obligado omitió el contenido de la Ley de Transparencia y Acceso a la Información Pública del Estado de México y Municipios, en el artículo 162, mismo del que se inserta su contenido: </w:t>
      </w:r>
    </w:p>
    <w:p w14:paraId="30B97E7C" w14:textId="77777777" w:rsidR="00806ABD" w:rsidRPr="00C5509C" w:rsidRDefault="00806ABD" w:rsidP="00806ABD">
      <w:pPr>
        <w:pStyle w:val="Prrafodelista"/>
        <w:rPr>
          <w:rFonts w:ascii="Palatino Linotype" w:hAnsi="Palatino Linotype"/>
        </w:rPr>
      </w:pPr>
    </w:p>
    <w:p w14:paraId="5736357C" w14:textId="77777777" w:rsidR="00806ABD" w:rsidRPr="00C5509C" w:rsidRDefault="00806ABD" w:rsidP="00806ABD">
      <w:pPr>
        <w:autoSpaceDE w:val="0"/>
        <w:autoSpaceDN w:val="0"/>
        <w:adjustRightInd w:val="0"/>
        <w:spacing w:line="360" w:lineRule="auto"/>
        <w:ind w:left="567" w:right="567"/>
        <w:jc w:val="both"/>
        <w:rPr>
          <w:rFonts w:ascii="Palatino Linotype" w:hAnsi="Palatino Linotype"/>
          <w:i/>
          <w:sz w:val="28"/>
        </w:rPr>
      </w:pPr>
      <w:r w:rsidRPr="00C5509C">
        <w:rPr>
          <w:rFonts w:ascii="Palatino Linotype" w:hAnsi="Palatino Linotype" w:cs="Bookman Old Style,Bold"/>
          <w:b/>
          <w:bCs/>
          <w:i/>
        </w:rPr>
        <w:t xml:space="preserve">Artículo 162. </w:t>
      </w:r>
      <w:r w:rsidRPr="00C5509C">
        <w:rPr>
          <w:rFonts w:ascii="Palatino Linotype" w:hAnsi="Palatino Linotype" w:cs="Bookman Old Style"/>
          <w:i/>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55AEB91A" w14:textId="77777777" w:rsidR="00806ABD" w:rsidRPr="00C5509C" w:rsidRDefault="00806ABD" w:rsidP="00806ABD">
      <w:pPr>
        <w:pStyle w:val="Prrafodelista"/>
        <w:spacing w:line="360" w:lineRule="auto"/>
        <w:ind w:left="0"/>
        <w:jc w:val="both"/>
        <w:rPr>
          <w:rFonts w:ascii="Palatino Linotype" w:hAnsi="Palatino Linotype"/>
        </w:rPr>
      </w:pPr>
      <w:r w:rsidRPr="00C5509C">
        <w:rPr>
          <w:rFonts w:ascii="Palatino Linotype" w:hAnsi="Palatino Linotype"/>
        </w:rPr>
        <w:t xml:space="preserve"> </w:t>
      </w:r>
    </w:p>
    <w:p w14:paraId="2AFFF93B" w14:textId="77777777" w:rsidR="00806ABD" w:rsidRPr="00C5509C" w:rsidRDefault="00806ABD" w:rsidP="00806ABD">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t xml:space="preserve">Las unidades de transparencia deberán turnar las solicitudes de acceso a la información a las áreas correspondientes para que estas a su vez, manifestarán lo </w:t>
      </w:r>
      <w:r w:rsidRPr="00C5509C">
        <w:rPr>
          <w:rFonts w:ascii="Palatino Linotype" w:hAnsi="Palatino Linotype"/>
          <w:sz w:val="24"/>
        </w:rPr>
        <w:lastRenderedPageBreak/>
        <w:t>conducente; situación que no se materializó, puesto que el Titular de la Unidad de Transparencia fue omiso en realizar tal acción.</w:t>
      </w:r>
    </w:p>
    <w:p w14:paraId="39091DA8" w14:textId="77777777" w:rsidR="00806ABD" w:rsidRPr="00C5509C" w:rsidRDefault="00806ABD" w:rsidP="00806ABD">
      <w:pPr>
        <w:pStyle w:val="Prrafodelista"/>
        <w:spacing w:line="360" w:lineRule="auto"/>
        <w:ind w:left="0"/>
        <w:jc w:val="both"/>
        <w:rPr>
          <w:rFonts w:ascii="Palatino Linotype" w:hAnsi="Palatino Linotype"/>
          <w:sz w:val="24"/>
        </w:rPr>
      </w:pPr>
    </w:p>
    <w:p w14:paraId="2DC38BFA" w14:textId="77777777" w:rsidR="00806ABD" w:rsidRPr="00C5509C" w:rsidRDefault="00806ABD" w:rsidP="00806ABD">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t xml:space="preserve">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 </w:t>
      </w:r>
    </w:p>
    <w:p w14:paraId="41DDB669" w14:textId="77777777" w:rsidR="00806ABD" w:rsidRPr="00C5509C" w:rsidRDefault="00806ABD" w:rsidP="00806ABD">
      <w:pPr>
        <w:pStyle w:val="Prrafodelista"/>
        <w:rPr>
          <w:rFonts w:ascii="Palatino Linotype" w:hAnsi="Palatino Linotype"/>
          <w:sz w:val="24"/>
        </w:rPr>
      </w:pPr>
    </w:p>
    <w:p w14:paraId="71ABA3A5" w14:textId="77777777" w:rsidR="00806ABD" w:rsidRPr="00C5509C" w:rsidRDefault="00806ABD" w:rsidP="00806ABD">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t>La falta de carteo o turno de las Unidades de Transparencia a las diferentes áreas que integran la estructura orgánica de los Sujetos Obligados, podrían causar una afectación o restricción al derecho ejercido por los particulares; tal y como sucedió en el presente asunto en particular.</w:t>
      </w:r>
    </w:p>
    <w:p w14:paraId="60B1F869" w14:textId="77777777" w:rsidR="00806ABD" w:rsidRPr="00C5509C" w:rsidRDefault="00806ABD" w:rsidP="00806ABD">
      <w:pPr>
        <w:pStyle w:val="Prrafodelista"/>
        <w:rPr>
          <w:rFonts w:ascii="Palatino Linotype" w:hAnsi="Palatino Linotype"/>
          <w:sz w:val="24"/>
        </w:rPr>
      </w:pPr>
    </w:p>
    <w:p w14:paraId="2693BD92" w14:textId="17FBFA00" w:rsidR="00806ABD" w:rsidRPr="00C5509C" w:rsidRDefault="00806ABD" w:rsidP="00806ABD">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t xml:space="preserve">Por lo anterior, a efecto de brindar la mayor certeza al recurrente, se ORDENA realizar una búsqueda exhaustiva y razonable a efecto de localizar y poner a disposición </w:t>
      </w:r>
      <w:r w:rsidR="00FC4367" w:rsidRPr="00C5509C">
        <w:rPr>
          <w:rFonts w:ascii="Palatino Linotype" w:hAnsi="Palatino Linotype"/>
          <w:sz w:val="24"/>
        </w:rPr>
        <w:t>los documentos en donde conste la factibilidad o la autorización a la empresa señalada en la solicitud para el servicio d</w:t>
      </w:r>
      <w:r w:rsidR="00BA10DC" w:rsidRPr="00C5509C">
        <w:rPr>
          <w:rFonts w:ascii="Palatino Linotype" w:hAnsi="Palatino Linotype"/>
          <w:sz w:val="24"/>
        </w:rPr>
        <w:t>e agua potable y alcantarillado.</w:t>
      </w:r>
    </w:p>
    <w:p w14:paraId="0CDC5353" w14:textId="77777777" w:rsidR="00806ABD" w:rsidRPr="00C5509C" w:rsidRDefault="00806ABD" w:rsidP="00806ABD">
      <w:pPr>
        <w:pStyle w:val="Prrafodelista"/>
        <w:rPr>
          <w:rFonts w:ascii="Palatino Linotype" w:hAnsi="Palatino Linotype"/>
          <w:sz w:val="24"/>
        </w:rPr>
      </w:pPr>
    </w:p>
    <w:p w14:paraId="7B753CFD" w14:textId="77777777" w:rsidR="00806ABD" w:rsidRPr="00C5509C" w:rsidRDefault="00806ABD" w:rsidP="00806ABD">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lastRenderedPageBreak/>
        <w:t>Si derivado de la búsqueda exhaustiva y razonable de la información, el Sujeto Obligado no cuenta con la información solicitada, deberá manifestar las razones que expliquen las causas por las cuales no se cuenta con la información.</w:t>
      </w:r>
    </w:p>
    <w:p w14:paraId="0871C873" w14:textId="77777777" w:rsidR="00C5509C" w:rsidRPr="00C5509C" w:rsidRDefault="00C5509C" w:rsidP="00C5509C">
      <w:pPr>
        <w:pStyle w:val="Prrafodelista"/>
        <w:rPr>
          <w:rFonts w:ascii="Palatino Linotype" w:hAnsi="Palatino Linotype"/>
          <w:sz w:val="24"/>
        </w:rPr>
      </w:pPr>
    </w:p>
    <w:p w14:paraId="5BB1ABB2" w14:textId="77777777" w:rsidR="00806ABD" w:rsidRPr="00C5509C" w:rsidRDefault="00806ABD" w:rsidP="00806ABD">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t>Ahora bien, de ser caso de que la información que se ordena contenga datos personales susceptibles de clasificarse como confidenciales, el Sujeto Obligado estará a lo dispuesto en el Considerando que a continuación se enuncia.</w:t>
      </w:r>
    </w:p>
    <w:p w14:paraId="010C1820" w14:textId="2654482B" w:rsidR="00CC4C0B" w:rsidRDefault="00DB2180" w:rsidP="00DB2180">
      <w:pPr>
        <w:pStyle w:val="Ttulo1"/>
        <w:rPr>
          <w:rFonts w:ascii="Palatino Linotype" w:eastAsia="Calibri" w:hAnsi="Palatino Linotype"/>
          <w:b/>
          <w:color w:val="auto"/>
          <w:sz w:val="24"/>
          <w:szCs w:val="24"/>
        </w:rPr>
      </w:pPr>
      <w:bookmarkStart w:id="17" w:name="_Toc83210172"/>
      <w:r w:rsidRPr="00624AAD">
        <w:rPr>
          <w:rFonts w:ascii="Palatino Linotype" w:eastAsia="Calibri" w:hAnsi="Palatino Linotype"/>
          <w:b/>
          <w:color w:val="auto"/>
          <w:sz w:val="24"/>
          <w:szCs w:val="24"/>
        </w:rPr>
        <w:t>QUINTO</w:t>
      </w:r>
      <w:r w:rsidR="005000AA" w:rsidRPr="00624AAD">
        <w:rPr>
          <w:rFonts w:ascii="Palatino Linotype" w:eastAsia="Calibri" w:hAnsi="Palatino Linotype"/>
          <w:b/>
          <w:color w:val="auto"/>
          <w:sz w:val="24"/>
          <w:szCs w:val="24"/>
        </w:rPr>
        <w:t xml:space="preserve">. </w:t>
      </w:r>
      <w:r w:rsidR="00CC4C0B">
        <w:rPr>
          <w:rFonts w:ascii="Palatino Linotype" w:eastAsia="Calibri" w:hAnsi="Palatino Linotype"/>
          <w:b/>
          <w:color w:val="auto"/>
          <w:sz w:val="24"/>
          <w:szCs w:val="24"/>
        </w:rPr>
        <w:t>VERSIÓN PÚBLICA.</w:t>
      </w:r>
      <w:bookmarkEnd w:id="17"/>
    </w:p>
    <w:p w14:paraId="5EDB8398" w14:textId="77777777" w:rsidR="00CC4C0B" w:rsidRDefault="00CC4C0B" w:rsidP="00CC4C0B">
      <w:pPr>
        <w:rPr>
          <w:rFonts w:eastAsia="Calibri"/>
        </w:rPr>
      </w:pPr>
    </w:p>
    <w:p w14:paraId="7285DD71" w14:textId="77777777" w:rsidR="00CC4C0B" w:rsidRDefault="00CC4C0B" w:rsidP="00C16D1C">
      <w:pPr>
        <w:pStyle w:val="Prrafodelista"/>
        <w:spacing w:line="360" w:lineRule="auto"/>
        <w:ind w:left="0"/>
        <w:rPr>
          <w:rFonts w:ascii="Palatino Linotype" w:eastAsia="Calibri" w:hAnsi="Palatino Linotype"/>
          <w:sz w:val="24"/>
        </w:rPr>
      </w:pPr>
    </w:p>
    <w:p w14:paraId="370462E1" w14:textId="77777777" w:rsidR="00806ABD" w:rsidRPr="000D77A7" w:rsidRDefault="00806ABD" w:rsidP="00806ABD">
      <w:pPr>
        <w:pStyle w:val="Ttulo1"/>
        <w:numPr>
          <w:ilvl w:val="0"/>
          <w:numId w:val="17"/>
        </w:numPr>
        <w:spacing w:before="0" w:line="360" w:lineRule="auto"/>
        <w:rPr>
          <w:rFonts w:ascii="Palatino Linotype" w:hAnsi="Palatino Linotype"/>
          <w:b/>
          <w:color w:val="000000" w:themeColor="text1"/>
          <w:sz w:val="24"/>
          <w:szCs w:val="24"/>
        </w:rPr>
      </w:pPr>
      <w:bookmarkStart w:id="18" w:name="_Toc48135362"/>
      <w:bookmarkStart w:id="19" w:name="_Toc82017070"/>
      <w:bookmarkStart w:id="20" w:name="_Toc83210173"/>
      <w:r w:rsidRPr="000D77A7">
        <w:rPr>
          <w:rFonts w:ascii="Palatino Linotype" w:hAnsi="Palatino Linotype" w:cs="Times New Roman"/>
          <w:b/>
          <w:color w:val="000000" w:themeColor="text1"/>
          <w:sz w:val="24"/>
          <w:szCs w:val="24"/>
          <w:lang w:eastAsia="es-ES_tradnl"/>
        </w:rPr>
        <w:t>Nociones generales.</w:t>
      </w:r>
      <w:bookmarkEnd w:id="18"/>
      <w:bookmarkEnd w:id="19"/>
      <w:bookmarkEnd w:id="20"/>
      <w:r w:rsidRPr="000D77A7">
        <w:rPr>
          <w:rFonts w:ascii="Palatino Linotype" w:hAnsi="Palatino Linotype" w:cs="Times New Roman"/>
          <w:b/>
          <w:color w:val="000000" w:themeColor="text1"/>
          <w:sz w:val="24"/>
          <w:szCs w:val="24"/>
          <w:lang w:eastAsia="es-ES_tradnl"/>
        </w:rPr>
        <w:t xml:space="preserve"> </w:t>
      </w:r>
    </w:p>
    <w:p w14:paraId="3E522549" w14:textId="77777777" w:rsidR="00806ABD" w:rsidRPr="000D77A7" w:rsidRDefault="00806ABD" w:rsidP="00806ABD">
      <w:pPr>
        <w:pStyle w:val="Prrafodelista"/>
        <w:tabs>
          <w:tab w:val="left" w:pos="426"/>
        </w:tabs>
        <w:spacing w:line="360" w:lineRule="auto"/>
        <w:ind w:left="0"/>
        <w:jc w:val="both"/>
        <w:rPr>
          <w:rFonts w:ascii="Palatino Linotype" w:eastAsia="MS Mincho" w:hAnsi="Palatino Linotype" w:cs="Arial"/>
          <w:color w:val="000000" w:themeColor="text1"/>
          <w:sz w:val="24"/>
        </w:rPr>
      </w:pPr>
    </w:p>
    <w:p w14:paraId="706D294C" w14:textId="77777777" w:rsidR="00806ABD" w:rsidRPr="000D77A7" w:rsidRDefault="00806ABD" w:rsidP="00806ABD">
      <w:pPr>
        <w:pStyle w:val="Prrafodelista"/>
        <w:numPr>
          <w:ilvl w:val="0"/>
          <w:numId w:val="2"/>
        </w:numPr>
        <w:spacing w:line="360" w:lineRule="auto"/>
        <w:ind w:left="0" w:right="49" w:firstLine="0"/>
        <w:jc w:val="both"/>
        <w:rPr>
          <w:rFonts w:ascii="Palatino Linotype" w:hAnsi="Palatino Linotype" w:cs="Arial"/>
          <w:color w:val="000000"/>
          <w:sz w:val="24"/>
        </w:rPr>
      </w:pPr>
      <w:r w:rsidRPr="000D77A7">
        <w:rPr>
          <w:rFonts w:ascii="Palatino Linotype" w:hAnsi="Palatino Linotype" w:cs="Arial"/>
          <w:color w:val="000000"/>
          <w:sz w:val="24"/>
        </w:rPr>
        <w:t>Debe destacarse que, debido a la naturaleza de la información solicitada</w:t>
      </w:r>
      <w:r w:rsidRPr="000D77A7">
        <w:rPr>
          <w:rFonts w:ascii="Palatino Linotype" w:hAnsi="Palatino Linotype" w:cs="Arial"/>
          <w:b/>
          <w:color w:val="000000"/>
          <w:sz w:val="24"/>
        </w:rPr>
        <w:t xml:space="preserve">, </w:t>
      </w:r>
      <w:r w:rsidRPr="000D77A7">
        <w:rPr>
          <w:rFonts w:ascii="Palatino Linotype" w:hAnsi="Palatino Linotype" w:cs="Arial"/>
          <w:color w:val="000000"/>
          <w:sz w:val="24"/>
        </w:rPr>
        <w:t xml:space="preserve">eventualmente pudiera obrar datos personales susceptibles de protegerse, el </w:t>
      </w:r>
      <w:r w:rsidRPr="000D77A7">
        <w:rPr>
          <w:rFonts w:ascii="Palatino Linotype" w:hAnsi="Palatino Linotype" w:cs="Arial"/>
          <w:b/>
          <w:bCs/>
          <w:color w:val="000000"/>
          <w:sz w:val="24"/>
        </w:rPr>
        <w:t xml:space="preserve">Sujeto Obligado </w:t>
      </w:r>
      <w:r w:rsidRPr="000D77A7">
        <w:rPr>
          <w:rFonts w:ascii="Palatino Linotype" w:hAnsi="Palatino Linotype" w:cs="Arial"/>
          <w:color w:val="000000"/>
          <w:sz w:val="24"/>
        </w:rPr>
        <w:t xml:space="preserve">deberá de hacer la adecuada versión pública, protegiendo los datos que no son susceptibles de ser proporcionados. </w:t>
      </w:r>
    </w:p>
    <w:p w14:paraId="26D64943" w14:textId="77777777" w:rsidR="00806ABD" w:rsidRPr="000D77A7" w:rsidRDefault="00806ABD" w:rsidP="00806ABD">
      <w:pPr>
        <w:pStyle w:val="Prrafodelista"/>
        <w:tabs>
          <w:tab w:val="left" w:pos="0"/>
        </w:tabs>
        <w:spacing w:line="360" w:lineRule="auto"/>
        <w:ind w:left="0" w:right="49"/>
        <w:jc w:val="both"/>
        <w:rPr>
          <w:rFonts w:ascii="Palatino Linotype" w:eastAsia="MS Mincho" w:hAnsi="Palatino Linotype"/>
          <w:sz w:val="24"/>
          <w:highlight w:val="yellow"/>
          <w:lang w:val="es-ES"/>
        </w:rPr>
      </w:pPr>
    </w:p>
    <w:p w14:paraId="05C5648A" w14:textId="77777777" w:rsidR="00806ABD" w:rsidRPr="000D77A7" w:rsidRDefault="00806ABD" w:rsidP="00806ABD">
      <w:pPr>
        <w:numPr>
          <w:ilvl w:val="0"/>
          <w:numId w:val="2"/>
        </w:numPr>
        <w:spacing w:line="360" w:lineRule="auto"/>
        <w:ind w:left="0" w:right="49" w:firstLine="0"/>
        <w:contextualSpacing/>
        <w:jc w:val="both"/>
        <w:rPr>
          <w:rFonts w:ascii="Palatino Linotype" w:hAnsi="Palatino Linotype" w:cs="Arial"/>
          <w:color w:val="000000"/>
          <w:sz w:val="24"/>
          <w:szCs w:val="24"/>
        </w:rPr>
      </w:pPr>
      <w:r w:rsidRPr="000D77A7">
        <w:rPr>
          <w:rFonts w:ascii="Palatino Linotype" w:hAnsi="Palatino Linotype" w:cs="Arial"/>
          <w:color w:val="000000"/>
          <w:sz w:val="24"/>
          <w:szCs w:val="24"/>
        </w:rPr>
        <w:t xml:space="preserve">No pasa desapercibido para este Órgano Garante que los </w:t>
      </w:r>
      <w:r w:rsidRPr="000D77A7">
        <w:rPr>
          <w:rFonts w:ascii="Palatino Linotype" w:hAnsi="Palatino Linotype" w:cs="Arial"/>
          <w:b/>
          <w:bCs/>
          <w:color w:val="000000"/>
          <w:sz w:val="24"/>
          <w:szCs w:val="24"/>
        </w:rPr>
        <w:t xml:space="preserve">Sujetos Obligados </w:t>
      </w:r>
      <w:r w:rsidRPr="000D77A7">
        <w:rPr>
          <w:rFonts w:ascii="Palatino Linotype" w:hAnsi="Palatino Linotype" w:cs="Arial"/>
          <w:color w:val="000000"/>
          <w:sz w:val="24"/>
          <w:szCs w:val="24"/>
        </w:rPr>
        <w:t xml:space="preserve">serán responsables de los datos personales en su posesión y que, en caso de localizarse datos concernientes a terceros, éstos no podrán difundir, distribuir o comercializar los datos personales.  Cabe destacar que, para la realización de la clasificación de la </w:t>
      </w:r>
      <w:r w:rsidRPr="000D77A7">
        <w:rPr>
          <w:rFonts w:ascii="Palatino Linotype" w:hAnsi="Palatino Linotype" w:cs="Arial"/>
          <w:color w:val="000000"/>
          <w:sz w:val="24"/>
          <w:szCs w:val="24"/>
        </w:rPr>
        <w:lastRenderedPageBreak/>
        <w:t>información, se deben seguir una serie de pasos y procedimientos, por lo que es menester reiterar los mismos:</w:t>
      </w:r>
    </w:p>
    <w:p w14:paraId="00AEA368" w14:textId="77777777" w:rsidR="00806ABD" w:rsidRPr="000D77A7" w:rsidRDefault="00806ABD" w:rsidP="00806ABD">
      <w:pPr>
        <w:spacing w:line="360" w:lineRule="auto"/>
        <w:ind w:right="49"/>
        <w:contextualSpacing/>
        <w:jc w:val="both"/>
        <w:rPr>
          <w:rFonts w:ascii="Palatino Linotype" w:hAnsi="Palatino Linotype" w:cs="Arial"/>
          <w:color w:val="000000"/>
          <w:sz w:val="24"/>
          <w:szCs w:val="24"/>
        </w:rPr>
      </w:pPr>
    </w:p>
    <w:tbl>
      <w:tblPr>
        <w:tblStyle w:val="Tablanormal1"/>
        <w:tblW w:w="0" w:type="auto"/>
        <w:tblLook w:val="04A0" w:firstRow="1" w:lastRow="0" w:firstColumn="1" w:lastColumn="0" w:noHBand="0" w:noVBand="1"/>
      </w:tblPr>
      <w:tblGrid>
        <w:gridCol w:w="1838"/>
        <w:gridCol w:w="6990"/>
      </w:tblGrid>
      <w:tr w:rsidR="00806ABD" w:rsidRPr="000D77A7" w14:paraId="7E670DF7" w14:textId="77777777" w:rsidTr="00920E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6BF72C5" w14:textId="77777777" w:rsidR="00806ABD" w:rsidRPr="008A44D6" w:rsidRDefault="00806ABD" w:rsidP="00920E85">
            <w:pPr>
              <w:spacing w:line="360" w:lineRule="auto"/>
              <w:rPr>
                <w:rFonts w:ascii="Palatino Linotype" w:hAnsi="Palatino Linotype"/>
                <w:bCs w:val="0"/>
                <w:szCs w:val="24"/>
              </w:rPr>
            </w:pPr>
            <w:r w:rsidRPr="008A44D6">
              <w:rPr>
                <w:rFonts w:ascii="Palatino Linotype" w:hAnsi="Palatino Linotype" w:cstheme="majorBidi"/>
                <w:bCs w:val="0"/>
                <w:szCs w:val="24"/>
              </w:rPr>
              <w:t>a) Requisitos previos.</w:t>
            </w:r>
          </w:p>
        </w:tc>
        <w:tc>
          <w:tcPr>
            <w:tcW w:w="6990" w:type="dxa"/>
            <w:hideMark/>
          </w:tcPr>
          <w:p w14:paraId="39A2CCEE" w14:textId="77777777" w:rsidR="00806ABD" w:rsidRPr="008A44D6" w:rsidRDefault="00806ABD" w:rsidP="00920E8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Cs w:val="24"/>
              </w:rPr>
            </w:pPr>
            <w:r w:rsidRPr="008A44D6">
              <w:rPr>
                <w:rFonts w:ascii="Palatino Linotype" w:hAnsi="Palatino Linotype" w:cs="Arial"/>
                <w:b w:val="0"/>
                <w:bCs w:val="0"/>
                <w:color w:val="000000"/>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59C91D7" w14:textId="77777777" w:rsidR="00806ABD" w:rsidRPr="008A44D6" w:rsidRDefault="00806ABD" w:rsidP="00920E8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Cs w:val="24"/>
              </w:rPr>
            </w:pPr>
            <w:r w:rsidRPr="008A44D6">
              <w:rPr>
                <w:rFonts w:ascii="Palatino Linotype" w:hAnsi="Palatino Linotype" w:cs="Arial"/>
                <w:b w:val="0"/>
                <w:bCs w:val="0"/>
                <w:color w:val="000000"/>
                <w:szCs w:val="24"/>
              </w:rPr>
              <w:t>Al hacerlo tienen que precisar de qué información se trata, señalando el supuesto de clasificación (confidencialidad o reserva).</w:t>
            </w:r>
          </w:p>
          <w:p w14:paraId="5293B49B" w14:textId="77777777" w:rsidR="00806ABD" w:rsidRPr="008A44D6" w:rsidRDefault="00806ABD" w:rsidP="00920E8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Cs w:val="24"/>
              </w:rPr>
            </w:pPr>
            <w:r w:rsidRPr="008A44D6">
              <w:rPr>
                <w:rFonts w:ascii="Palatino Linotype" w:hAnsi="Palatino Linotype" w:cs="Arial"/>
                <w:b w:val="0"/>
                <w:bCs w:val="0"/>
                <w:color w:val="000000"/>
                <w:szCs w:val="24"/>
              </w:rPr>
              <w:t>Además, se debe señalar el procedimiento, de los tres que establecen los artículos 132 y 106 de la Ley Estatal y General, respectivamente.</w:t>
            </w:r>
          </w:p>
          <w:p w14:paraId="07846D70" w14:textId="77777777" w:rsidR="00806ABD" w:rsidRPr="008A44D6" w:rsidRDefault="00806ABD" w:rsidP="00920E85">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Cs w:val="24"/>
              </w:rPr>
            </w:pPr>
            <w:r w:rsidRPr="008A44D6">
              <w:rPr>
                <w:rFonts w:ascii="Palatino Linotype" w:hAnsi="Palatino Linotype" w:cs="Arial"/>
                <w:b w:val="0"/>
                <w:bCs w:val="0"/>
                <w:color w:val="000000"/>
                <w:szCs w:val="24"/>
              </w:rPr>
              <w:t xml:space="preserve">El último de estos requisitos previos consiste en que no se pueden emitir acuerdos de carácter general ni particular, esto es, </w:t>
            </w:r>
            <w:r w:rsidRPr="008A44D6">
              <w:rPr>
                <w:rFonts w:ascii="Palatino Linotype" w:hAnsi="Palatino Linotype" w:cs="Arial"/>
                <w:b w:val="0"/>
                <w:bCs w:val="0"/>
                <w:color w:val="000000"/>
                <w:szCs w:val="24"/>
                <w:u w:val="single"/>
              </w:rPr>
              <w:t>no se puede hacer un acuerdo para clasificar de manera general todos los documentos de un expediente o área, sin</w:t>
            </w:r>
            <w:r w:rsidRPr="008A44D6">
              <w:rPr>
                <w:rFonts w:ascii="Palatino Linotype" w:hAnsi="Palatino Linotype" w:cs="Arial"/>
                <w:b w:val="0"/>
                <w:bCs w:val="0"/>
                <w:color w:val="000000"/>
                <w:szCs w:val="24"/>
              </w:rPr>
              <w:t xml:space="preserve"> individualizar su análisis y tampoco se puede hacer un acuerdo por cada dato que se vaya a clasificar dentro de un documento con diez datos, por ejemplo, susceptibles de ser clasificados.</w:t>
            </w:r>
          </w:p>
        </w:tc>
      </w:tr>
      <w:tr w:rsidR="00806ABD" w:rsidRPr="000D77A7" w14:paraId="0326AE05"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28FCA58" w14:textId="77777777" w:rsidR="00806ABD" w:rsidRPr="008A44D6" w:rsidRDefault="00806ABD" w:rsidP="00920E85">
            <w:pPr>
              <w:spacing w:line="360" w:lineRule="auto"/>
              <w:rPr>
                <w:rFonts w:ascii="Palatino Linotype" w:hAnsi="Palatino Linotype"/>
                <w:bCs w:val="0"/>
                <w:szCs w:val="24"/>
              </w:rPr>
            </w:pPr>
            <w:r w:rsidRPr="008A44D6">
              <w:rPr>
                <w:rFonts w:ascii="Palatino Linotype" w:hAnsi="Palatino Linotype" w:cstheme="majorBidi"/>
                <w:bCs w:val="0"/>
                <w:szCs w:val="24"/>
              </w:rPr>
              <w:t>b) Supuestos de clasificación.</w:t>
            </w:r>
          </w:p>
        </w:tc>
        <w:tc>
          <w:tcPr>
            <w:tcW w:w="6990" w:type="dxa"/>
            <w:hideMark/>
          </w:tcPr>
          <w:p w14:paraId="7152777E"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Las disposiciones constitucionales y legales en la materia establecen los dos supuestos generales para clasificar la información: por reserva y por confidencialidad.</w:t>
            </w:r>
          </w:p>
          <w:p w14:paraId="03BF21B3"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67C8C7E" w14:textId="77777777" w:rsidR="00806ABD" w:rsidRPr="008A44D6" w:rsidRDefault="00806ABD" w:rsidP="00920E8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Cs w:val="24"/>
              </w:rPr>
            </w:pPr>
            <w:r w:rsidRPr="008A44D6">
              <w:rPr>
                <w:rFonts w:ascii="Palatino Linotype" w:hAnsi="Palatino Linotype" w:cs="Arial"/>
                <w:color w:val="000000"/>
                <w:szCs w:val="24"/>
              </w:rPr>
              <w:t xml:space="preserve">El </w:t>
            </w:r>
            <w:r w:rsidRPr="008A44D6">
              <w:rPr>
                <w:rFonts w:ascii="Palatino Linotype" w:hAnsi="Palatino Linotype" w:cs="Arial"/>
                <w:b/>
                <w:color w:val="000000"/>
                <w:szCs w:val="24"/>
              </w:rPr>
              <w:t>Sujeto Obligado</w:t>
            </w:r>
            <w:r w:rsidRPr="008A44D6">
              <w:rPr>
                <w:rFonts w:ascii="Palatino Linotype" w:hAnsi="Palatino Linotype" w:cs="Arial"/>
                <w:color w:val="000000"/>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06ABD" w:rsidRPr="000D77A7" w14:paraId="454B28B4" w14:textId="77777777" w:rsidTr="00920E85">
        <w:tc>
          <w:tcPr>
            <w:cnfStyle w:val="001000000000" w:firstRow="0" w:lastRow="0" w:firstColumn="1" w:lastColumn="0" w:oddVBand="0" w:evenVBand="0" w:oddHBand="0" w:evenHBand="0" w:firstRowFirstColumn="0" w:firstRowLastColumn="0" w:lastRowFirstColumn="0" w:lastRowLastColumn="0"/>
            <w:tcW w:w="1838" w:type="dxa"/>
            <w:hideMark/>
          </w:tcPr>
          <w:p w14:paraId="7DEEAD09" w14:textId="77777777" w:rsidR="00806ABD" w:rsidRPr="008A44D6" w:rsidRDefault="00806ABD" w:rsidP="00920E85">
            <w:pPr>
              <w:spacing w:line="360" w:lineRule="auto"/>
              <w:rPr>
                <w:rFonts w:ascii="Palatino Linotype" w:hAnsi="Palatino Linotype"/>
                <w:bCs w:val="0"/>
                <w:szCs w:val="24"/>
              </w:rPr>
            </w:pPr>
            <w:r w:rsidRPr="008A44D6">
              <w:rPr>
                <w:rFonts w:ascii="Palatino Linotype" w:hAnsi="Palatino Linotype" w:cstheme="majorBidi"/>
                <w:bCs w:val="0"/>
                <w:szCs w:val="24"/>
              </w:rPr>
              <w:lastRenderedPageBreak/>
              <w:t>c) Formalidades para emitir el acuerdo de clasificación.</w:t>
            </w:r>
          </w:p>
        </w:tc>
        <w:tc>
          <w:tcPr>
            <w:tcW w:w="6990" w:type="dxa"/>
            <w:hideMark/>
          </w:tcPr>
          <w:p w14:paraId="48712D74" w14:textId="77777777" w:rsidR="00806ABD" w:rsidRPr="008A44D6" w:rsidRDefault="00806ABD" w:rsidP="00920E8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El Comité de Transparencia, según lo dispuesto en los artículos cuenta con las facultades para aprobar, modificar o revocar la clasificación de la información que haya propuesto. </w:t>
            </w:r>
          </w:p>
          <w:p w14:paraId="38E99D5F" w14:textId="77777777" w:rsidR="00806ABD" w:rsidRPr="008A44D6" w:rsidRDefault="00806ABD" w:rsidP="00920E8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Es necesario que </w:t>
            </w:r>
            <w:r w:rsidRPr="008A44D6">
              <w:rPr>
                <w:rFonts w:ascii="Palatino Linotype" w:hAnsi="Palatino Linotype" w:cs="Arial"/>
                <w:b/>
                <w:color w:val="000000"/>
                <w:szCs w:val="24"/>
                <w:u w:val="single"/>
              </w:rPr>
              <w:t>el acto reúna con los requisitos elementales</w:t>
            </w:r>
            <w:r w:rsidRPr="008A44D6">
              <w:rPr>
                <w:rFonts w:ascii="Palatino Linotype" w:hAnsi="Palatino Linotype" w:cs="Arial"/>
                <w:color w:val="000000"/>
                <w:szCs w:val="24"/>
              </w:rPr>
              <w:t>, entre ellos, que la autoridad que va a emitir el acto de autoridad sea la legalmente facultada para ello.</w:t>
            </w:r>
          </w:p>
          <w:p w14:paraId="7547245E" w14:textId="77777777" w:rsidR="00806ABD" w:rsidRPr="008A44D6" w:rsidRDefault="00806ABD" w:rsidP="00920E8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Cs w:val="24"/>
              </w:rPr>
            </w:pPr>
            <w:r w:rsidRPr="008A44D6">
              <w:rPr>
                <w:rFonts w:ascii="Palatino Linotype" w:hAnsi="Palatino Linotype" w:cs="Arial"/>
                <w:color w:val="000000"/>
                <w:szCs w:val="24"/>
              </w:rPr>
              <w:t xml:space="preserve">La decisión de aprobar, modificar o revocar la clasificación deberá de asentarse en un documento que registre la determinación a la que se llegue después de un análisis minucioso a partir de lo propuesto por </w:t>
            </w:r>
            <w:r w:rsidRPr="008A44D6">
              <w:rPr>
                <w:rFonts w:ascii="Palatino Linotype" w:hAnsi="Palatino Linotype" w:cs="Arial"/>
                <w:color w:val="000000"/>
                <w:szCs w:val="24"/>
              </w:rPr>
              <w:lastRenderedPageBreak/>
              <w:t>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06ABD" w:rsidRPr="000D77A7" w14:paraId="406A4479"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655349" w14:textId="77777777" w:rsidR="00806ABD" w:rsidRPr="008A44D6" w:rsidRDefault="00806ABD" w:rsidP="00920E85">
            <w:pPr>
              <w:spacing w:line="360" w:lineRule="auto"/>
              <w:rPr>
                <w:rFonts w:ascii="Palatino Linotype" w:hAnsi="Palatino Linotype"/>
                <w:b w:val="0"/>
                <w:szCs w:val="24"/>
              </w:rPr>
            </w:pPr>
          </w:p>
          <w:p w14:paraId="1D3905D1" w14:textId="77777777" w:rsidR="00806ABD" w:rsidRPr="008A44D6" w:rsidRDefault="00806ABD" w:rsidP="00920E85">
            <w:pPr>
              <w:spacing w:line="360" w:lineRule="auto"/>
              <w:jc w:val="both"/>
              <w:rPr>
                <w:rFonts w:ascii="Palatino Linotype" w:hAnsi="Palatino Linotype"/>
                <w:bCs w:val="0"/>
                <w:szCs w:val="24"/>
              </w:rPr>
            </w:pPr>
            <w:r w:rsidRPr="008A44D6">
              <w:rPr>
                <w:rFonts w:ascii="Palatino Linotype" w:hAnsi="Palatino Linotype" w:cs="Arial"/>
                <w:bCs w:val="0"/>
                <w:color w:val="000000"/>
                <w:szCs w:val="24"/>
              </w:rPr>
              <w:t xml:space="preserve">d) Requisitos de fondo del acuerdo de clasificación. </w:t>
            </w:r>
          </w:p>
        </w:tc>
        <w:tc>
          <w:tcPr>
            <w:tcW w:w="6990" w:type="dxa"/>
            <w:hideMark/>
          </w:tcPr>
          <w:p w14:paraId="2FA0E4CA"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A44D6">
              <w:rPr>
                <w:rFonts w:ascii="Palatino Linotype" w:hAnsi="Palatino Linotype" w:cs="Arial"/>
                <w:b/>
                <w:color w:val="000000"/>
                <w:szCs w:val="24"/>
              </w:rPr>
              <w:t>Sujetos Obligados</w:t>
            </w:r>
            <w:r w:rsidRPr="008A44D6">
              <w:rPr>
                <w:rFonts w:ascii="Palatino Linotype" w:hAnsi="Palatino Linotype" w:cs="Arial"/>
                <w:color w:val="000000"/>
                <w:szCs w:val="24"/>
              </w:rPr>
              <w:t xml:space="preserve">, por lo que deberán fundar y motivar debidamente la clasificación. </w:t>
            </w:r>
          </w:p>
          <w:p w14:paraId="4A75E642"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De lo anterior, se desprende que para una correcta </w:t>
            </w:r>
            <w:r w:rsidRPr="008A44D6">
              <w:rPr>
                <w:rFonts w:ascii="Palatino Linotype" w:hAnsi="Palatino Linotype" w:cs="Arial"/>
                <w:b/>
                <w:color w:val="000000"/>
                <w:szCs w:val="24"/>
              </w:rPr>
              <w:t>clasificación total o parcial</w:t>
            </w:r>
            <w:r w:rsidRPr="008A44D6">
              <w:rPr>
                <w:rFonts w:ascii="Palatino Linotype" w:hAnsi="Palatino Linotype" w:cs="Arial"/>
                <w:color w:val="000000"/>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80F59C1"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Así, en un acto de autoridad se cumple con la debida fundamentación cuando se cita el precepto legal aplicable al caso concreto y la debida motivación cuando se expresan las razones, motivos o circunstancias </w:t>
            </w:r>
            <w:r w:rsidRPr="008A44D6">
              <w:rPr>
                <w:rFonts w:ascii="Palatino Linotype" w:hAnsi="Palatino Linotype" w:cs="Arial"/>
                <w:color w:val="000000"/>
                <w:szCs w:val="24"/>
              </w:rPr>
              <w:lastRenderedPageBreak/>
              <w:t>que tomó en cuenta la autoridad para adecuar el hecho a los fundamentos de derecho. De este modo, la persona que se sienta afectada pueda impugnar la decisión, permitiéndole una real y auténtica defensa.</w:t>
            </w:r>
          </w:p>
          <w:p w14:paraId="6FF30A8A"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En ese mismo sentido, el numeral trigésimo tercero fracción V de los Lineamientos Generales, precisa que para motivar la clasificación se deben acreditar las circunstancias de tiempo, modo y lugar.</w:t>
            </w:r>
          </w:p>
          <w:p w14:paraId="59E850A2"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Ahora bien, </w:t>
            </w:r>
            <w:r w:rsidRPr="008A44D6">
              <w:rPr>
                <w:rFonts w:ascii="Palatino Linotype" w:hAnsi="Palatino Linotype" w:cs="Arial"/>
                <w:b/>
                <w:color w:val="000000"/>
                <w:szCs w:val="24"/>
                <w:u w:val="single"/>
              </w:rPr>
              <w:t>para cada caso además de fundar y motivar</w:t>
            </w:r>
            <w:r w:rsidRPr="008A44D6">
              <w:rPr>
                <w:rFonts w:ascii="Palatino Linotype" w:hAnsi="Palatino Linotype" w:cs="Arial"/>
                <w:color w:val="000000"/>
                <w:szCs w:val="24"/>
              </w:rPr>
              <w:t xml:space="preserve">, se debe identificar con claridad que datos contenidos en las documentales que son susceptibles de suprimirse, por ejemplo; </w:t>
            </w:r>
            <w:r w:rsidRPr="008A44D6">
              <w:rPr>
                <w:rFonts w:ascii="Palatino Linotype" w:hAnsi="Palatino Linotype" w:cs="Arial"/>
                <w:color w:val="000000"/>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06ABD" w:rsidRPr="00AF7502" w14:paraId="2E30042B" w14:textId="77777777" w:rsidTr="00920E85">
        <w:tc>
          <w:tcPr>
            <w:cnfStyle w:val="001000000000" w:firstRow="0" w:lastRow="0" w:firstColumn="1" w:lastColumn="0" w:oddVBand="0" w:evenVBand="0" w:oddHBand="0" w:evenHBand="0" w:firstRowFirstColumn="0" w:firstRowLastColumn="0" w:lastRowFirstColumn="0" w:lastRowLastColumn="0"/>
            <w:tcW w:w="1838" w:type="dxa"/>
          </w:tcPr>
          <w:p w14:paraId="47D1A5D5" w14:textId="77777777" w:rsidR="00806ABD" w:rsidRPr="00AF7502" w:rsidRDefault="00806ABD" w:rsidP="00920E85">
            <w:pPr>
              <w:spacing w:line="360" w:lineRule="auto"/>
              <w:ind w:right="49"/>
              <w:jc w:val="both"/>
              <w:rPr>
                <w:rFonts w:ascii="Palatino Linotype" w:hAnsi="Palatino Linotype" w:cs="Arial"/>
                <w:bCs w:val="0"/>
                <w:szCs w:val="24"/>
              </w:rPr>
            </w:pPr>
            <w:r w:rsidRPr="00AF7502">
              <w:rPr>
                <w:rFonts w:ascii="Palatino Linotype" w:eastAsia="MS Gothic" w:hAnsi="Palatino Linotype" w:cs="Times New Roman"/>
                <w:b w:val="0"/>
                <w:szCs w:val="24"/>
              </w:rPr>
              <w:lastRenderedPageBreak/>
              <w:t>e</w:t>
            </w:r>
            <w:r w:rsidRPr="00AF7502">
              <w:rPr>
                <w:rFonts w:ascii="Palatino Linotype" w:eastAsia="MS Gothic" w:hAnsi="Palatino Linotype" w:cs="Times New Roman"/>
                <w:bCs w:val="0"/>
                <w:szCs w:val="24"/>
              </w:rPr>
              <w:t xml:space="preserve">) Condiciones especiales de la clasificación de la información como confidencial. </w:t>
            </w:r>
          </w:p>
        </w:tc>
        <w:tc>
          <w:tcPr>
            <w:tcW w:w="6990" w:type="dxa"/>
            <w:hideMark/>
          </w:tcPr>
          <w:p w14:paraId="50D3A7FB" w14:textId="77777777" w:rsidR="00806ABD" w:rsidRPr="00AF7502" w:rsidRDefault="00806ABD" w:rsidP="00920E8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AF7502">
              <w:rPr>
                <w:rFonts w:ascii="Palatino Linotype" w:hAnsi="Palatino Linotype" w:cs="Arial"/>
                <w:color w:val="000000"/>
                <w:szCs w:val="24"/>
              </w:rPr>
              <w:t xml:space="preserve">Los artículos 148 y 120 de la Ley Estatal y de la Ley General, respectivamente, establecen que aun tratándose de datos personales, se podrán proporcionar, incluso sin solicitar el consentimiento de su titular. </w:t>
            </w:r>
          </w:p>
          <w:p w14:paraId="62E02C96" w14:textId="77777777" w:rsidR="00806ABD" w:rsidRPr="00AF7502" w:rsidRDefault="00806ABD" w:rsidP="00920E8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AF7502">
              <w:rPr>
                <w:rFonts w:ascii="Palatino Linotype" w:hAnsi="Palatino Linotype" w:cs="Arial"/>
                <w:color w:val="000000"/>
                <w:szCs w:val="24"/>
              </w:rPr>
              <w:t xml:space="preserve">En el caso de lo señalado en la fracción IV, será el Instituto quien deba aplicar la prueba de interés público, considerando también que como recientemente ha discutido la Suprema Corte de Justicia de la Nación, </w:t>
            </w:r>
            <w:r w:rsidRPr="00AF7502">
              <w:rPr>
                <w:rFonts w:ascii="Palatino Linotype" w:hAnsi="Palatino Linotype" w:cs="Arial"/>
                <w:color w:val="000000"/>
                <w:szCs w:val="24"/>
              </w:rPr>
              <w:lastRenderedPageBreak/>
              <w:t xml:space="preserve">los servidores públicos nos encontramos sujetos a un régimen menor de protección. </w:t>
            </w:r>
          </w:p>
          <w:p w14:paraId="4D1B5F9E" w14:textId="77777777" w:rsidR="00806ABD" w:rsidRPr="00AF7502" w:rsidRDefault="00806ABD" w:rsidP="00920E85">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Cs w:val="24"/>
              </w:rPr>
            </w:pPr>
            <w:r w:rsidRPr="00AF7502">
              <w:rPr>
                <w:rFonts w:ascii="Palatino Linotype" w:hAnsi="Palatino Linotype" w:cs="Arial"/>
                <w:color w:val="000000"/>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31CC250" w14:textId="77777777" w:rsidR="00806ABD" w:rsidRPr="00AF7502" w:rsidRDefault="00806ABD" w:rsidP="00806ABD">
      <w:pPr>
        <w:spacing w:line="360" w:lineRule="auto"/>
        <w:ind w:right="49"/>
        <w:contextualSpacing/>
        <w:jc w:val="both"/>
        <w:rPr>
          <w:rFonts w:ascii="Palatino Linotype" w:hAnsi="Palatino Linotype" w:cs="Arial"/>
          <w:color w:val="000000"/>
          <w:sz w:val="24"/>
          <w:szCs w:val="24"/>
        </w:rPr>
      </w:pPr>
    </w:p>
    <w:p w14:paraId="40629D59" w14:textId="37620ACB" w:rsidR="00945DBE" w:rsidRPr="00AF7502" w:rsidRDefault="00945DBE" w:rsidP="00945DBE">
      <w:pPr>
        <w:pStyle w:val="Ttulo2"/>
        <w:numPr>
          <w:ilvl w:val="0"/>
          <w:numId w:val="17"/>
        </w:numPr>
        <w:rPr>
          <w:rFonts w:ascii="Palatino Linotype" w:hAnsi="Palatino Linotype"/>
          <w:b/>
          <w:color w:val="auto"/>
          <w:sz w:val="24"/>
        </w:rPr>
      </w:pPr>
      <w:bookmarkStart w:id="21" w:name="_Toc83210174"/>
      <w:r w:rsidRPr="00AF7502">
        <w:rPr>
          <w:rFonts w:ascii="Palatino Linotype" w:hAnsi="Palatino Linotype"/>
          <w:b/>
          <w:color w:val="auto"/>
          <w:sz w:val="24"/>
        </w:rPr>
        <w:t>De la reserva de la información.</w:t>
      </w:r>
      <w:bookmarkEnd w:id="21"/>
    </w:p>
    <w:p w14:paraId="7C079286" w14:textId="77777777" w:rsidR="00945DBE" w:rsidRPr="00AF7502" w:rsidRDefault="00945DBE" w:rsidP="00945DBE">
      <w:pPr>
        <w:pStyle w:val="Prrafodelista"/>
        <w:shd w:val="clear" w:color="auto" w:fill="FFFFFF"/>
        <w:spacing w:after="200" w:line="360" w:lineRule="auto"/>
        <w:ind w:left="1080"/>
        <w:jc w:val="both"/>
        <w:rPr>
          <w:rFonts w:ascii="Palatino Linotype" w:hAnsi="Palatino Linotype" w:cs="Arial"/>
          <w:sz w:val="24"/>
        </w:rPr>
      </w:pPr>
    </w:p>
    <w:p w14:paraId="739DA01C"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s="Arial"/>
          <w:color w:val="000000" w:themeColor="text1"/>
        </w:rPr>
      </w:pPr>
      <w:r w:rsidRPr="00AF7502">
        <w:rPr>
          <w:rFonts w:ascii="Palatino Linotype" w:hAnsi="Palatino Linotype" w:cs="Arial"/>
          <w:color w:val="000000" w:themeColor="text1"/>
        </w:rPr>
        <w:t>Los artículos 140 y 113 de la Ley Estatal y de la Ley General, respectivamente, señalan los supuestos para que una información pueda considerarse como reservada, que son los siguientes:</w:t>
      </w:r>
    </w:p>
    <w:p w14:paraId="011446D7" w14:textId="77777777" w:rsidR="005502D2" w:rsidRPr="00AF7502" w:rsidRDefault="005502D2" w:rsidP="005502D2">
      <w:pPr>
        <w:spacing w:line="360" w:lineRule="auto"/>
        <w:contextualSpacing/>
        <w:jc w:val="both"/>
        <w:rPr>
          <w:rFonts w:ascii="Palatino Linotype" w:hAnsi="Palatino Linotype" w:cs="Arial"/>
          <w:color w:val="000000" w:themeColor="text1"/>
        </w:rPr>
      </w:pPr>
    </w:p>
    <w:tbl>
      <w:tblPr>
        <w:tblStyle w:val="Tablanormal11"/>
        <w:tblW w:w="8647" w:type="dxa"/>
        <w:tblInd w:w="-5" w:type="dxa"/>
        <w:tblLook w:val="04A0" w:firstRow="1" w:lastRow="0" w:firstColumn="1" w:lastColumn="0" w:noHBand="0" w:noVBand="1"/>
      </w:tblPr>
      <w:tblGrid>
        <w:gridCol w:w="4678"/>
        <w:gridCol w:w="3969"/>
      </w:tblGrid>
      <w:tr w:rsidR="005502D2" w:rsidRPr="00AF7502" w14:paraId="136C0DA4" w14:textId="77777777" w:rsidTr="00920E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01EE528B" w14:textId="77777777" w:rsidR="005502D2" w:rsidRPr="00AF7502" w:rsidRDefault="005502D2" w:rsidP="00920E85">
            <w:pPr>
              <w:autoSpaceDE w:val="0"/>
              <w:autoSpaceDN w:val="0"/>
              <w:adjustRightInd w:val="0"/>
              <w:jc w:val="center"/>
              <w:rPr>
                <w:rFonts w:ascii="Palatino Linotype" w:hAnsi="Palatino Linotype"/>
                <w:color w:val="000000" w:themeColor="text1"/>
                <w:sz w:val="16"/>
                <w:szCs w:val="16"/>
              </w:rPr>
            </w:pPr>
            <w:r w:rsidRPr="00AF7502">
              <w:rPr>
                <w:rFonts w:ascii="Palatino Linotype" w:hAnsi="Palatino Linotype" w:cs="Gill Sans,Bold"/>
                <w:color w:val="000000" w:themeColor="text1"/>
                <w:sz w:val="16"/>
                <w:szCs w:val="16"/>
              </w:rPr>
              <w:t>LEY ESTATAL</w:t>
            </w:r>
          </w:p>
        </w:tc>
        <w:tc>
          <w:tcPr>
            <w:tcW w:w="3969" w:type="dxa"/>
          </w:tcPr>
          <w:p w14:paraId="2EE146F6" w14:textId="77777777" w:rsidR="005502D2" w:rsidRPr="00AF7502" w:rsidRDefault="005502D2" w:rsidP="00920E85">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rPr>
            </w:pPr>
            <w:r w:rsidRPr="00AF7502">
              <w:rPr>
                <w:rFonts w:ascii="Palatino Linotype" w:hAnsi="Palatino Linotype"/>
                <w:color w:val="000000" w:themeColor="text1"/>
                <w:sz w:val="16"/>
                <w:szCs w:val="16"/>
              </w:rPr>
              <w:t>LEY GENERAL</w:t>
            </w:r>
          </w:p>
        </w:tc>
      </w:tr>
      <w:tr w:rsidR="005502D2" w:rsidRPr="00AF7502" w14:paraId="1E9A3E35"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33541599"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I. Comprometa la seguridad pública y cuente con un propósito genuino y un efecto demostrable;</w:t>
            </w:r>
          </w:p>
          <w:p w14:paraId="3BCD5594" w14:textId="77777777" w:rsidR="005502D2" w:rsidRPr="00AF7502" w:rsidRDefault="005502D2" w:rsidP="00920E85">
            <w:pPr>
              <w:jc w:val="both"/>
              <w:rPr>
                <w:rFonts w:ascii="Palatino Linotype" w:hAnsi="Palatino Linotype"/>
                <w:color w:val="000000" w:themeColor="text1"/>
                <w:sz w:val="16"/>
                <w:szCs w:val="16"/>
              </w:rPr>
            </w:pPr>
          </w:p>
        </w:tc>
        <w:tc>
          <w:tcPr>
            <w:tcW w:w="3969" w:type="dxa"/>
          </w:tcPr>
          <w:p w14:paraId="4F58D96E" w14:textId="77777777" w:rsidR="005502D2" w:rsidRPr="00AF7502" w:rsidRDefault="005502D2" w:rsidP="00920E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I.</w:t>
            </w:r>
            <w:r w:rsidRPr="00AF7502">
              <w:rPr>
                <w:rFonts w:ascii="Palatino Linotype" w:hAnsi="Palatino Linotype"/>
                <w:color w:val="000000" w:themeColor="text1"/>
                <w:sz w:val="16"/>
                <w:szCs w:val="16"/>
                <w:lang w:val="es-ES"/>
              </w:rPr>
              <w:tab/>
              <w:t>Comprometa la seguridad nacional, la seguridad pública o la defensa nacional y cuente con un propósito genuino y un efecto demostrable;</w:t>
            </w:r>
          </w:p>
        </w:tc>
      </w:tr>
      <w:tr w:rsidR="005502D2" w:rsidRPr="00AF7502" w14:paraId="19CC5E20" w14:textId="77777777" w:rsidTr="00920E85">
        <w:tc>
          <w:tcPr>
            <w:cnfStyle w:val="001000000000" w:firstRow="0" w:lastRow="0" w:firstColumn="1" w:lastColumn="0" w:oddVBand="0" w:evenVBand="0" w:oddHBand="0" w:evenHBand="0" w:firstRowFirstColumn="0" w:firstRowLastColumn="0" w:lastRowFirstColumn="0" w:lastRowLastColumn="0"/>
            <w:tcW w:w="4678" w:type="dxa"/>
          </w:tcPr>
          <w:p w14:paraId="1E514AA7"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II. Pueda menoscabar la conducción de las negociaciones y relaciones internacionales;</w:t>
            </w:r>
          </w:p>
        </w:tc>
        <w:tc>
          <w:tcPr>
            <w:tcW w:w="3969" w:type="dxa"/>
          </w:tcPr>
          <w:p w14:paraId="2FA9A284" w14:textId="77777777" w:rsidR="005502D2" w:rsidRPr="00AF7502" w:rsidRDefault="005502D2" w:rsidP="00920E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II.</w:t>
            </w:r>
            <w:r w:rsidRPr="00AF7502">
              <w:rPr>
                <w:rFonts w:ascii="Palatino Linotype" w:hAnsi="Palatino Linotype"/>
                <w:color w:val="000000" w:themeColor="text1"/>
                <w:sz w:val="16"/>
                <w:szCs w:val="16"/>
                <w:lang w:val="es-ES"/>
              </w:rPr>
              <w:tab/>
              <w:t>Pueda menoscabar la conducción de las negociaciones y relaciones internacionales;</w:t>
            </w:r>
          </w:p>
        </w:tc>
      </w:tr>
      <w:tr w:rsidR="005502D2" w:rsidRPr="00AF7502" w14:paraId="0A272E46"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50439FA1"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3969" w:type="dxa"/>
          </w:tcPr>
          <w:p w14:paraId="4D4FD18F" w14:textId="77777777" w:rsidR="005502D2" w:rsidRPr="00AF7502" w:rsidRDefault="005502D2" w:rsidP="00920E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III.</w:t>
            </w:r>
            <w:r w:rsidRPr="00AF7502">
              <w:rPr>
                <w:rFonts w:ascii="Palatino Linotype" w:hAnsi="Palatino Linotype"/>
                <w:color w:val="000000" w:themeColor="text1"/>
                <w:sz w:val="16"/>
                <w:szCs w:val="16"/>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5502D2" w:rsidRPr="00AF7502" w14:paraId="05BDD1E9" w14:textId="77777777" w:rsidTr="00920E85">
        <w:tc>
          <w:tcPr>
            <w:cnfStyle w:val="001000000000" w:firstRow="0" w:lastRow="0" w:firstColumn="1" w:lastColumn="0" w:oddVBand="0" w:evenVBand="0" w:oddHBand="0" w:evenHBand="0" w:firstRowFirstColumn="0" w:firstRowLastColumn="0" w:lastRowFirstColumn="0" w:lastRowLastColumn="0"/>
            <w:tcW w:w="4678" w:type="dxa"/>
          </w:tcPr>
          <w:p w14:paraId="1C26E64F"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p>
        </w:tc>
        <w:tc>
          <w:tcPr>
            <w:tcW w:w="3969" w:type="dxa"/>
          </w:tcPr>
          <w:p w14:paraId="1B5E24FE" w14:textId="77777777" w:rsidR="005502D2" w:rsidRPr="00AF7502" w:rsidRDefault="005502D2" w:rsidP="00920E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IV.</w:t>
            </w:r>
            <w:r w:rsidRPr="00AF7502">
              <w:rPr>
                <w:rFonts w:ascii="Palatino Linotype" w:hAnsi="Palatino Linotype"/>
                <w:color w:val="000000" w:themeColor="text1"/>
                <w:sz w:val="16"/>
                <w:szCs w:val="16"/>
                <w:lang w:val="es-ES"/>
              </w:rPr>
              <w:tab/>
              <w:t xml:space="preserve">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w:t>
            </w:r>
            <w:r w:rsidRPr="00AF7502">
              <w:rPr>
                <w:rFonts w:ascii="Palatino Linotype" w:hAnsi="Palatino Linotype"/>
                <w:color w:val="000000" w:themeColor="text1"/>
                <w:sz w:val="16"/>
                <w:szCs w:val="16"/>
                <w:lang w:val="es-ES"/>
              </w:rPr>
              <w:lastRenderedPageBreak/>
              <w:t>en la provisión de moneda nacional al país, o pueda incrementar el costo de operaciones financieras que realicen los sujetos obligados del sector público federal;</w:t>
            </w:r>
          </w:p>
        </w:tc>
      </w:tr>
      <w:tr w:rsidR="005502D2" w:rsidRPr="00AF7502" w14:paraId="1570028A"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5E2A7C82"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lastRenderedPageBreak/>
              <w:t>IV. Ponga en riesgo la vida, la seguridad o la salud de una persona física;</w:t>
            </w:r>
          </w:p>
        </w:tc>
        <w:tc>
          <w:tcPr>
            <w:tcW w:w="3969" w:type="dxa"/>
          </w:tcPr>
          <w:p w14:paraId="1EF76F28" w14:textId="77777777" w:rsidR="005502D2" w:rsidRPr="00AF7502" w:rsidRDefault="005502D2" w:rsidP="00920E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V.</w:t>
            </w:r>
            <w:r w:rsidRPr="00AF7502">
              <w:rPr>
                <w:rFonts w:ascii="Palatino Linotype" w:hAnsi="Palatino Linotype"/>
                <w:color w:val="000000" w:themeColor="text1"/>
                <w:sz w:val="16"/>
                <w:szCs w:val="16"/>
                <w:lang w:val="es-ES"/>
              </w:rPr>
              <w:tab/>
              <w:t>Pueda poner en riesgo la vida, seguridad o salud de una persona física;</w:t>
            </w:r>
          </w:p>
        </w:tc>
      </w:tr>
      <w:tr w:rsidR="005502D2" w:rsidRPr="00AF7502" w14:paraId="3C70DDDF" w14:textId="77777777" w:rsidTr="00920E85">
        <w:tc>
          <w:tcPr>
            <w:cnfStyle w:val="001000000000" w:firstRow="0" w:lastRow="0" w:firstColumn="1" w:lastColumn="0" w:oddVBand="0" w:evenVBand="0" w:oddHBand="0" w:evenHBand="0" w:firstRowFirstColumn="0" w:firstRowLastColumn="0" w:lastRowFirstColumn="0" w:lastRowLastColumn="0"/>
            <w:tcW w:w="4678" w:type="dxa"/>
          </w:tcPr>
          <w:p w14:paraId="051E13AC"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V. Aquella cuya divulgación obstruya o pueda causar un serio perjuicio a:</w:t>
            </w:r>
          </w:p>
          <w:p w14:paraId="6DE54F0D"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p>
          <w:p w14:paraId="11168DF3"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1. Las actividades de fiscalización, verificación, inspección, comprobación y auditoría sobre el cumplimiento de las Leyes; o</w:t>
            </w:r>
          </w:p>
          <w:p w14:paraId="2950703B"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p>
          <w:p w14:paraId="0DEE4FD1"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2. La recaudación de las contribuciones.</w:t>
            </w:r>
          </w:p>
        </w:tc>
        <w:tc>
          <w:tcPr>
            <w:tcW w:w="3969" w:type="dxa"/>
          </w:tcPr>
          <w:p w14:paraId="0A78CA3D" w14:textId="77777777" w:rsidR="005502D2" w:rsidRPr="00AF7502" w:rsidRDefault="005502D2" w:rsidP="00920E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VI.</w:t>
            </w:r>
            <w:r w:rsidRPr="00AF7502">
              <w:rPr>
                <w:rFonts w:ascii="Palatino Linotype" w:hAnsi="Palatino Linotype"/>
                <w:color w:val="000000" w:themeColor="text1"/>
                <w:sz w:val="16"/>
                <w:szCs w:val="16"/>
                <w:lang w:val="es-ES"/>
              </w:rPr>
              <w:tab/>
              <w:t>Obstruya las actividades de verificación, inspección y auditoría relativas al cumplimiento de las leyes o afecte la recaudación de contribuciones;</w:t>
            </w:r>
          </w:p>
          <w:p w14:paraId="56F33A4F" w14:textId="77777777" w:rsidR="005502D2" w:rsidRPr="00AF7502" w:rsidRDefault="005502D2" w:rsidP="00920E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p>
          <w:p w14:paraId="4C10D2B9" w14:textId="77777777" w:rsidR="005502D2" w:rsidRPr="00AF7502" w:rsidRDefault="005502D2" w:rsidP="00920E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rPr>
            </w:pPr>
          </w:p>
        </w:tc>
      </w:tr>
      <w:tr w:rsidR="005502D2" w:rsidRPr="00AF7502" w14:paraId="1ABA6017"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50FC859C"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3969" w:type="dxa"/>
          </w:tcPr>
          <w:p w14:paraId="029E8419" w14:textId="77777777" w:rsidR="005502D2" w:rsidRPr="00AF7502" w:rsidRDefault="005502D2" w:rsidP="00920E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VII.</w:t>
            </w:r>
            <w:r w:rsidRPr="00AF7502">
              <w:rPr>
                <w:rFonts w:ascii="Palatino Linotype" w:hAnsi="Palatino Linotype"/>
                <w:color w:val="000000" w:themeColor="text1"/>
                <w:sz w:val="16"/>
                <w:szCs w:val="16"/>
                <w:lang w:val="es-ES"/>
              </w:rPr>
              <w:tab/>
              <w:t>Obstruya la prevención o persecución de los delitos;</w:t>
            </w:r>
          </w:p>
          <w:p w14:paraId="163E5F11" w14:textId="77777777" w:rsidR="005502D2" w:rsidRPr="00AF7502" w:rsidRDefault="005502D2" w:rsidP="00920E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p>
          <w:p w14:paraId="71D1DA8E" w14:textId="77777777" w:rsidR="005502D2" w:rsidRPr="00AF7502" w:rsidRDefault="005502D2" w:rsidP="00920E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rPr>
            </w:pPr>
          </w:p>
        </w:tc>
      </w:tr>
      <w:tr w:rsidR="005502D2" w:rsidRPr="00AF7502" w14:paraId="7935F725" w14:textId="77777777" w:rsidTr="00920E85">
        <w:tc>
          <w:tcPr>
            <w:cnfStyle w:val="001000000000" w:firstRow="0" w:lastRow="0" w:firstColumn="1" w:lastColumn="0" w:oddVBand="0" w:evenVBand="0" w:oddHBand="0" w:evenHBand="0" w:firstRowFirstColumn="0" w:firstRowLastColumn="0" w:lastRowFirstColumn="0" w:lastRowLastColumn="0"/>
            <w:tcW w:w="4678" w:type="dxa"/>
          </w:tcPr>
          <w:p w14:paraId="7B051869"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VII. La que contengan las opiniones, recomendaciones o puntos de vista que formen parte del proceso deliberativo de los servidores públicos, hasta en tanto sea adoptada la decisión definitiva, la cual deberá estar documentada;</w:t>
            </w:r>
          </w:p>
        </w:tc>
        <w:tc>
          <w:tcPr>
            <w:tcW w:w="3969" w:type="dxa"/>
          </w:tcPr>
          <w:p w14:paraId="0D866DFB" w14:textId="77777777" w:rsidR="005502D2" w:rsidRPr="00AF7502" w:rsidRDefault="005502D2" w:rsidP="00920E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VIII.</w:t>
            </w:r>
            <w:r w:rsidRPr="00AF7502">
              <w:rPr>
                <w:rFonts w:ascii="Palatino Linotype" w:hAnsi="Palatino Linotype"/>
                <w:color w:val="000000" w:themeColor="text1"/>
                <w:sz w:val="16"/>
                <w:szCs w:val="16"/>
                <w:lang w:val="es-ES"/>
              </w:rPr>
              <w:tab/>
              <w:t>La que contenga las opiniones, recomendaciones o puntos de vista que formen parte del proceso deliberativo de los servidores públicos, hasta en tanto no sea adoptada la decisión definitiva, la cual deberá estar documentada;</w:t>
            </w:r>
          </w:p>
        </w:tc>
      </w:tr>
      <w:tr w:rsidR="005502D2" w:rsidRPr="00AF7502" w14:paraId="26BFF824"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265732CA"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p>
        </w:tc>
        <w:tc>
          <w:tcPr>
            <w:tcW w:w="3969" w:type="dxa"/>
          </w:tcPr>
          <w:p w14:paraId="7A443C08" w14:textId="77777777" w:rsidR="005502D2" w:rsidRPr="00AF7502" w:rsidRDefault="005502D2" w:rsidP="00920E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IX.</w:t>
            </w:r>
            <w:r w:rsidRPr="00AF7502">
              <w:rPr>
                <w:rFonts w:ascii="Palatino Linotype" w:hAnsi="Palatino Linotype"/>
                <w:color w:val="000000" w:themeColor="text1"/>
                <w:sz w:val="16"/>
                <w:szCs w:val="16"/>
                <w:lang w:val="es-ES"/>
              </w:rPr>
              <w:tab/>
              <w:t>Obstruya los procedimientos para fincar responsabilidad a los Servidores Públicos, en tanto no se haya dictado la resolución administrativa;</w:t>
            </w:r>
          </w:p>
        </w:tc>
      </w:tr>
      <w:tr w:rsidR="005502D2" w:rsidRPr="00AF7502" w14:paraId="5522C812" w14:textId="77777777" w:rsidTr="00920E85">
        <w:tc>
          <w:tcPr>
            <w:cnfStyle w:val="001000000000" w:firstRow="0" w:lastRow="0" w:firstColumn="1" w:lastColumn="0" w:oddVBand="0" w:evenVBand="0" w:oddHBand="0" w:evenHBand="0" w:firstRowFirstColumn="0" w:firstRowLastColumn="0" w:lastRowFirstColumn="0" w:lastRowLastColumn="0"/>
            <w:tcW w:w="4678" w:type="dxa"/>
          </w:tcPr>
          <w:p w14:paraId="2D9F5306"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p>
        </w:tc>
        <w:tc>
          <w:tcPr>
            <w:tcW w:w="3969" w:type="dxa"/>
          </w:tcPr>
          <w:p w14:paraId="5440CDC4" w14:textId="77777777" w:rsidR="005502D2" w:rsidRPr="00AF7502" w:rsidRDefault="005502D2" w:rsidP="00920E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X.</w:t>
            </w:r>
            <w:r w:rsidRPr="00AF7502">
              <w:rPr>
                <w:rFonts w:ascii="Palatino Linotype" w:hAnsi="Palatino Linotype"/>
                <w:color w:val="000000" w:themeColor="text1"/>
                <w:sz w:val="16"/>
                <w:szCs w:val="16"/>
                <w:lang w:val="es-ES"/>
              </w:rPr>
              <w:tab/>
              <w:t>Afecte los derechos del debido proceso;</w:t>
            </w:r>
          </w:p>
        </w:tc>
      </w:tr>
      <w:tr w:rsidR="005502D2" w:rsidRPr="00AF7502" w14:paraId="27A8696E"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32623BA6"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VIII. Vulnere la conducción de los expedientes judiciales o de los procedimientos administrativos seguidos en forma de juicio, en tanto no hayan quedado firmes;</w:t>
            </w:r>
          </w:p>
        </w:tc>
        <w:tc>
          <w:tcPr>
            <w:tcW w:w="3969" w:type="dxa"/>
          </w:tcPr>
          <w:p w14:paraId="7D97125D" w14:textId="77777777" w:rsidR="005502D2" w:rsidRPr="00AF7502" w:rsidRDefault="005502D2" w:rsidP="00920E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XI.</w:t>
            </w:r>
            <w:r w:rsidRPr="00AF7502">
              <w:rPr>
                <w:rFonts w:ascii="Palatino Linotype" w:hAnsi="Palatino Linotype"/>
                <w:color w:val="000000" w:themeColor="text1"/>
                <w:sz w:val="16"/>
                <w:szCs w:val="16"/>
                <w:lang w:val="es-ES"/>
              </w:rPr>
              <w:tab/>
              <w:t>Vulnere la conducción de los Expedientes judiciales o de los procedimientos administrativos seguidos en forma de juicio, en tanto no hayan causado estado;</w:t>
            </w:r>
          </w:p>
        </w:tc>
      </w:tr>
      <w:tr w:rsidR="005502D2" w:rsidRPr="00AF7502" w14:paraId="26F7DC84" w14:textId="77777777" w:rsidTr="00920E85">
        <w:tc>
          <w:tcPr>
            <w:cnfStyle w:val="001000000000" w:firstRow="0" w:lastRow="0" w:firstColumn="1" w:lastColumn="0" w:oddVBand="0" w:evenVBand="0" w:oddHBand="0" w:evenHBand="0" w:firstRowFirstColumn="0" w:firstRowLastColumn="0" w:lastRowFirstColumn="0" w:lastRowLastColumn="0"/>
            <w:tcW w:w="4678" w:type="dxa"/>
          </w:tcPr>
          <w:p w14:paraId="02E16D51"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IX. Se encuentre contenida dentro de las investigaciones de hechos que la Ley señale como delitos y se tramiten ante el Ministerio Público;</w:t>
            </w:r>
          </w:p>
        </w:tc>
        <w:tc>
          <w:tcPr>
            <w:tcW w:w="3969" w:type="dxa"/>
          </w:tcPr>
          <w:p w14:paraId="1D2B736D" w14:textId="77777777" w:rsidR="005502D2" w:rsidRPr="00AF7502" w:rsidRDefault="005502D2" w:rsidP="00920E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XII.</w:t>
            </w:r>
            <w:r w:rsidRPr="00AF7502">
              <w:rPr>
                <w:rFonts w:ascii="Palatino Linotype" w:hAnsi="Palatino Linotype"/>
                <w:color w:val="000000" w:themeColor="text1"/>
                <w:sz w:val="16"/>
                <w:szCs w:val="16"/>
                <w:lang w:val="es-ES"/>
              </w:rPr>
              <w:tab/>
              <w:t>Se encuentre contenida dentro de las investigaciones de hechos que la ley señale como delitos y se tramiten ante el Ministerio Público, y</w:t>
            </w:r>
          </w:p>
        </w:tc>
      </w:tr>
      <w:tr w:rsidR="005502D2" w:rsidRPr="00AF7502" w14:paraId="3A0CA8B6"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0DD37C1D" w14:textId="77777777" w:rsidR="005502D2" w:rsidRPr="00AF7502" w:rsidRDefault="005502D2" w:rsidP="00920E85">
            <w:pPr>
              <w:autoSpaceDE w:val="0"/>
              <w:autoSpaceDN w:val="0"/>
              <w:adjustRightInd w:val="0"/>
              <w:ind w:left="-108"/>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054D14F1"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lastRenderedPageBreak/>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3969" w:type="dxa"/>
          </w:tcPr>
          <w:p w14:paraId="79292210" w14:textId="77777777" w:rsidR="005502D2" w:rsidRPr="00AF7502" w:rsidRDefault="005502D2" w:rsidP="00920E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rPr>
            </w:pPr>
          </w:p>
        </w:tc>
      </w:tr>
      <w:tr w:rsidR="005502D2" w:rsidRPr="00AF7502" w14:paraId="6006AC9E" w14:textId="77777777" w:rsidTr="00920E85">
        <w:tc>
          <w:tcPr>
            <w:cnfStyle w:val="001000000000" w:firstRow="0" w:lastRow="0" w:firstColumn="1" w:lastColumn="0" w:oddVBand="0" w:evenVBand="0" w:oddHBand="0" w:evenHBand="0" w:firstRowFirstColumn="0" w:firstRowLastColumn="0" w:lastRowFirstColumn="0" w:lastRowLastColumn="0"/>
            <w:tcW w:w="4678" w:type="dxa"/>
          </w:tcPr>
          <w:p w14:paraId="12B13359" w14:textId="77777777" w:rsidR="005502D2" w:rsidRPr="00AF7502" w:rsidRDefault="005502D2" w:rsidP="00920E85">
            <w:pPr>
              <w:jc w:val="both"/>
              <w:rPr>
                <w:rFonts w:ascii="Palatino Linotype" w:hAnsi="Palatino Linotype"/>
                <w:color w:val="000000" w:themeColor="text1"/>
                <w:sz w:val="16"/>
                <w:szCs w:val="16"/>
              </w:rPr>
            </w:pPr>
            <w:r w:rsidRPr="00AF7502">
              <w:rPr>
                <w:rFonts w:ascii="Palatino Linotype" w:hAnsi="Palatino Linotype" w:cs="Arial"/>
                <w:color w:val="000000" w:themeColor="text1"/>
                <w:sz w:val="16"/>
                <w:szCs w:val="16"/>
              </w:rPr>
              <w:lastRenderedPageBreak/>
              <w:t>XI. Las que por disposición expresa de una ley tengan tal carácter, siempre que sean acordes con las bases, principios y disposiciones establecidos en esta Ley y no la contravengan; así como las previstas en tratados internacionales.</w:t>
            </w:r>
          </w:p>
        </w:tc>
        <w:tc>
          <w:tcPr>
            <w:tcW w:w="3969" w:type="dxa"/>
          </w:tcPr>
          <w:p w14:paraId="330BA005" w14:textId="77777777" w:rsidR="005502D2" w:rsidRPr="00AF7502" w:rsidRDefault="005502D2" w:rsidP="00920E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XIII.</w:t>
            </w:r>
            <w:r w:rsidRPr="00AF7502">
              <w:rPr>
                <w:rFonts w:ascii="Palatino Linotype" w:hAnsi="Palatino Linotype"/>
                <w:color w:val="000000" w:themeColor="text1"/>
                <w:sz w:val="16"/>
                <w:szCs w:val="16"/>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7B190A34" w14:textId="77777777" w:rsidR="005502D2" w:rsidRPr="00AF7502" w:rsidRDefault="005502D2" w:rsidP="005502D2">
      <w:pPr>
        <w:spacing w:line="360" w:lineRule="auto"/>
        <w:jc w:val="both"/>
        <w:rPr>
          <w:rFonts w:ascii="Palatino Linotype" w:hAnsi="Palatino Linotype" w:cs="Arial"/>
          <w:color w:val="000000" w:themeColor="text1"/>
        </w:rPr>
      </w:pPr>
    </w:p>
    <w:p w14:paraId="0AA960CF"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s="Arial"/>
          <w:color w:val="000000" w:themeColor="text1"/>
          <w:sz w:val="24"/>
        </w:rPr>
      </w:pPr>
      <w:r w:rsidRPr="00AF7502">
        <w:rPr>
          <w:rFonts w:ascii="Palatino Linotype" w:hAnsi="Palatino Linotype" w:cs="Arial"/>
          <w:color w:val="000000" w:themeColor="text1"/>
          <w:sz w:val="24"/>
        </w:rPr>
        <w:t>Se debe identificar claramente el tipo de información y hacer un juicio de subsunción o encaje</w:t>
      </w:r>
      <w:r w:rsidRPr="00AF7502">
        <w:rPr>
          <w:rFonts w:ascii="Palatino Linotype" w:hAnsi="Palatino Linotype" w:cs="Arial"/>
          <w:color w:val="000000" w:themeColor="text1"/>
          <w:sz w:val="24"/>
          <w:vertAlign w:val="superscript"/>
        </w:rPr>
        <w:footnoteReference w:id="6"/>
      </w:r>
      <w:r w:rsidRPr="00AF7502">
        <w:rPr>
          <w:rFonts w:ascii="Palatino Linotype" w:hAnsi="Palatino Linotype" w:cs="Arial"/>
          <w:color w:val="000000" w:themeColor="text1"/>
          <w:sz w:val="24"/>
        </w:rPr>
        <w:t xml:space="preserve"> para acreditar que el supuesto de hecho corresponde estrictamente con la hipótesis jurídica. </w:t>
      </w:r>
    </w:p>
    <w:p w14:paraId="3F0AD30B" w14:textId="77777777" w:rsidR="00416D4C" w:rsidRPr="00AF7502" w:rsidRDefault="00416D4C" w:rsidP="00416D4C">
      <w:pPr>
        <w:spacing w:after="160" w:line="360" w:lineRule="auto"/>
        <w:contextualSpacing/>
        <w:jc w:val="both"/>
        <w:rPr>
          <w:rFonts w:ascii="Palatino Linotype" w:hAnsi="Palatino Linotype" w:cs="Arial"/>
          <w:color w:val="000000" w:themeColor="text1"/>
          <w:sz w:val="24"/>
        </w:rPr>
      </w:pPr>
    </w:p>
    <w:p w14:paraId="605E39BE" w14:textId="77777777" w:rsidR="00416D4C" w:rsidRPr="00AF7502" w:rsidRDefault="00416D4C" w:rsidP="00416D4C">
      <w:pPr>
        <w:spacing w:after="160" w:line="360" w:lineRule="auto"/>
        <w:contextualSpacing/>
        <w:jc w:val="both"/>
        <w:rPr>
          <w:rFonts w:ascii="Palatino Linotype" w:hAnsi="Palatino Linotype" w:cs="Arial"/>
          <w:color w:val="000000" w:themeColor="text1"/>
          <w:sz w:val="24"/>
        </w:rPr>
      </w:pPr>
    </w:p>
    <w:p w14:paraId="19DA2278" w14:textId="77777777" w:rsidR="00416D4C" w:rsidRPr="00AF7502" w:rsidRDefault="00416D4C" w:rsidP="00416D4C">
      <w:pPr>
        <w:spacing w:after="160" w:line="360" w:lineRule="auto"/>
        <w:contextualSpacing/>
        <w:jc w:val="both"/>
        <w:rPr>
          <w:rFonts w:ascii="Palatino Linotype" w:hAnsi="Palatino Linotype" w:cs="Arial"/>
          <w:color w:val="000000" w:themeColor="text1"/>
          <w:sz w:val="24"/>
        </w:rPr>
      </w:pPr>
    </w:p>
    <w:p w14:paraId="1EF398AD" w14:textId="77777777" w:rsidR="005502D2" w:rsidRPr="00AF7502" w:rsidRDefault="005502D2" w:rsidP="005502D2">
      <w:pPr>
        <w:shd w:val="clear" w:color="auto" w:fill="FFFFFF"/>
        <w:spacing w:line="360" w:lineRule="auto"/>
        <w:contextualSpacing/>
        <w:jc w:val="both"/>
        <w:rPr>
          <w:rFonts w:ascii="Palatino Linotype" w:hAnsi="Palatino Linotype" w:cs="Arial"/>
          <w:color w:val="000000" w:themeColor="text1"/>
          <w:lang w:eastAsia="es-MX"/>
        </w:rPr>
      </w:pPr>
    </w:p>
    <w:p w14:paraId="0234F686" w14:textId="77777777" w:rsidR="005502D2" w:rsidRPr="00AF7502" w:rsidRDefault="005502D2" w:rsidP="005502D2">
      <w:pPr>
        <w:pStyle w:val="Ttulo3"/>
        <w:rPr>
          <w:rFonts w:ascii="Palatino Linotype" w:hAnsi="Palatino Linotype"/>
          <w:b/>
          <w:bCs/>
          <w:color w:val="auto"/>
        </w:rPr>
      </w:pPr>
      <w:bookmarkStart w:id="22" w:name="_Toc485631706"/>
      <w:bookmarkStart w:id="23" w:name="_Toc500756716"/>
      <w:bookmarkStart w:id="24" w:name="_Toc536691784"/>
      <w:bookmarkStart w:id="25" w:name="_Toc2267547"/>
      <w:bookmarkStart w:id="26" w:name="_Toc2856720"/>
      <w:bookmarkStart w:id="27" w:name="_Toc67668073"/>
      <w:bookmarkStart w:id="28" w:name="_Toc70599265"/>
      <w:bookmarkStart w:id="29" w:name="_Toc83210175"/>
      <w:r w:rsidRPr="00AF7502">
        <w:rPr>
          <w:rFonts w:ascii="Palatino Linotype" w:hAnsi="Palatino Linotype"/>
          <w:b/>
          <w:bCs/>
          <w:color w:val="auto"/>
        </w:rPr>
        <w:lastRenderedPageBreak/>
        <w:t>I. Condiciones especiales de la clasificación de la información como reservada</w:t>
      </w:r>
      <w:bookmarkEnd w:id="22"/>
      <w:bookmarkEnd w:id="23"/>
      <w:bookmarkEnd w:id="24"/>
      <w:bookmarkEnd w:id="25"/>
      <w:bookmarkEnd w:id="26"/>
      <w:bookmarkEnd w:id="27"/>
      <w:bookmarkEnd w:id="28"/>
      <w:bookmarkEnd w:id="29"/>
      <w:r w:rsidRPr="00AF7502">
        <w:rPr>
          <w:rFonts w:ascii="Palatino Linotype" w:hAnsi="Palatino Linotype"/>
          <w:b/>
          <w:bCs/>
          <w:color w:val="auto"/>
        </w:rPr>
        <w:t xml:space="preserve"> </w:t>
      </w:r>
    </w:p>
    <w:p w14:paraId="44E225B5" w14:textId="77777777" w:rsidR="005502D2" w:rsidRPr="00AF7502" w:rsidRDefault="005502D2" w:rsidP="005502D2">
      <w:pPr>
        <w:spacing w:line="360" w:lineRule="auto"/>
        <w:contextualSpacing/>
        <w:jc w:val="both"/>
        <w:rPr>
          <w:rFonts w:ascii="Palatino Linotype" w:hAnsi="Palatino Linotype" w:cs="Arial"/>
          <w:b/>
          <w:color w:val="000000" w:themeColor="text1"/>
        </w:rPr>
      </w:pPr>
    </w:p>
    <w:p w14:paraId="32CD5EFC" w14:textId="77777777" w:rsidR="005502D2" w:rsidRPr="00AF7502" w:rsidRDefault="005502D2" w:rsidP="005502D2">
      <w:pPr>
        <w:pStyle w:val="Prrafodelista"/>
        <w:numPr>
          <w:ilvl w:val="3"/>
          <w:numId w:val="2"/>
        </w:numPr>
        <w:ind w:left="851"/>
        <w:rPr>
          <w:rFonts w:ascii="Palatino Linotype" w:eastAsiaTheme="majorEastAsia" w:hAnsi="Palatino Linotype" w:cstheme="majorBidi"/>
          <w:b/>
          <w:color w:val="000000" w:themeColor="text1"/>
        </w:rPr>
      </w:pPr>
      <w:bookmarkStart w:id="30" w:name="_Toc485631707"/>
      <w:bookmarkStart w:id="31" w:name="_Toc500756717"/>
      <w:bookmarkStart w:id="32" w:name="_Toc536691785"/>
      <w:bookmarkStart w:id="33" w:name="_Toc2267548"/>
      <w:bookmarkStart w:id="34" w:name="_Toc2856721"/>
      <w:r w:rsidRPr="00AF7502">
        <w:rPr>
          <w:rFonts w:ascii="Palatino Linotype" w:eastAsiaTheme="majorEastAsia" w:hAnsi="Palatino Linotype" w:cstheme="majorBidi"/>
          <w:b/>
          <w:color w:val="000000" w:themeColor="text1"/>
        </w:rPr>
        <w:t>La fundamentación específica.</w:t>
      </w:r>
      <w:bookmarkEnd w:id="30"/>
      <w:bookmarkEnd w:id="31"/>
      <w:bookmarkEnd w:id="32"/>
      <w:bookmarkEnd w:id="33"/>
      <w:bookmarkEnd w:id="34"/>
    </w:p>
    <w:p w14:paraId="0BC1A5F1" w14:textId="77777777" w:rsidR="005502D2" w:rsidRPr="00AF7502" w:rsidRDefault="005502D2" w:rsidP="005502D2">
      <w:pPr>
        <w:rPr>
          <w:rFonts w:ascii="Palatino Linotype" w:eastAsiaTheme="majorEastAsia" w:hAnsi="Palatino Linotype" w:cstheme="majorBidi"/>
          <w:b/>
          <w:color w:val="000000" w:themeColor="text1"/>
        </w:rPr>
      </w:pPr>
    </w:p>
    <w:p w14:paraId="1F07D177" w14:textId="37CD31E0" w:rsidR="005502D2" w:rsidRPr="00AF7502" w:rsidRDefault="005502D2" w:rsidP="005502D2">
      <w:pPr>
        <w:numPr>
          <w:ilvl w:val="0"/>
          <w:numId w:val="2"/>
        </w:numPr>
        <w:spacing w:after="160" w:line="360" w:lineRule="auto"/>
        <w:ind w:left="0" w:firstLine="0"/>
        <w:contextualSpacing/>
        <w:jc w:val="both"/>
        <w:rPr>
          <w:rFonts w:ascii="Palatino Linotype" w:hAnsi="Palatino Linotype" w:cs="Arial"/>
          <w:color w:val="000000" w:themeColor="text1"/>
          <w:sz w:val="24"/>
        </w:rPr>
      </w:pPr>
      <w:r w:rsidRPr="00AF7502">
        <w:rPr>
          <w:rFonts w:ascii="Palatino Linotype" w:hAnsi="Palatino Linotype" w:cs="Arial"/>
          <w:color w:val="000000" w:themeColor="text1"/>
          <w:sz w:val="24"/>
        </w:rPr>
        <w:t>Los artículos 128 segundo párrafo y 103 segundo párrafo de las leyes estatal y general, respectivamente, señalan que, en el caso de la información reservada, se debe de señalar las razones, motivos o circunstancias especiales que llevan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w:t>
      </w:r>
      <w:r w:rsidR="00416D4C" w:rsidRPr="00AF7502">
        <w:rPr>
          <w:rFonts w:ascii="Palatino Linotype" w:hAnsi="Palatino Linotype" w:cs="Arial"/>
          <w:color w:val="000000" w:themeColor="text1"/>
          <w:sz w:val="24"/>
        </w:rPr>
        <w:t>.</w:t>
      </w:r>
    </w:p>
    <w:p w14:paraId="09FB7D94" w14:textId="77777777" w:rsidR="005502D2" w:rsidRPr="00AF7502" w:rsidRDefault="005502D2" w:rsidP="005502D2">
      <w:pPr>
        <w:spacing w:line="360" w:lineRule="auto"/>
        <w:contextualSpacing/>
        <w:jc w:val="both"/>
        <w:rPr>
          <w:rFonts w:ascii="Palatino Linotype" w:hAnsi="Palatino Linotype" w:cs="Arial"/>
          <w:b/>
          <w:color w:val="000000" w:themeColor="text1"/>
        </w:rPr>
      </w:pPr>
    </w:p>
    <w:p w14:paraId="100D44DA" w14:textId="77777777" w:rsidR="005502D2" w:rsidRPr="00AF7502" w:rsidRDefault="005502D2" w:rsidP="005502D2">
      <w:pPr>
        <w:ind w:left="709"/>
        <w:rPr>
          <w:rFonts w:ascii="Palatino Linotype" w:eastAsiaTheme="majorEastAsia" w:hAnsi="Palatino Linotype" w:cstheme="majorBidi"/>
          <w:b/>
          <w:color w:val="000000" w:themeColor="text1"/>
        </w:rPr>
      </w:pPr>
      <w:bookmarkStart w:id="35" w:name="_Toc485631708"/>
      <w:bookmarkStart w:id="36" w:name="_Toc500756718"/>
      <w:bookmarkStart w:id="37" w:name="_Toc536691786"/>
      <w:bookmarkStart w:id="38" w:name="_Toc2267549"/>
      <w:bookmarkStart w:id="39" w:name="_Toc2856722"/>
      <w:r w:rsidRPr="00AF7502">
        <w:rPr>
          <w:rFonts w:ascii="Palatino Linotype" w:eastAsiaTheme="majorEastAsia" w:hAnsi="Palatino Linotype" w:cstheme="majorBidi"/>
          <w:b/>
          <w:color w:val="000000" w:themeColor="text1"/>
        </w:rPr>
        <w:t>b) La prueba de daño.</w:t>
      </w:r>
      <w:bookmarkEnd w:id="35"/>
      <w:bookmarkEnd w:id="36"/>
      <w:bookmarkEnd w:id="37"/>
      <w:bookmarkEnd w:id="38"/>
      <w:bookmarkEnd w:id="39"/>
    </w:p>
    <w:p w14:paraId="68170781" w14:textId="77777777" w:rsidR="005502D2" w:rsidRPr="00AF7502" w:rsidRDefault="005502D2" w:rsidP="005502D2">
      <w:pPr>
        <w:spacing w:line="360" w:lineRule="auto"/>
        <w:contextualSpacing/>
        <w:jc w:val="both"/>
        <w:rPr>
          <w:rFonts w:ascii="Palatino Linotype" w:hAnsi="Palatino Linotype"/>
          <w:color w:val="000000" w:themeColor="text1"/>
        </w:rPr>
      </w:pPr>
    </w:p>
    <w:p w14:paraId="5687D56D"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w:t>
      </w:r>
      <w:r w:rsidRPr="00AF7502">
        <w:rPr>
          <w:rFonts w:ascii="Palatino Linotype" w:hAnsi="Palatino Linotype"/>
          <w:color w:val="000000" w:themeColor="text1"/>
          <w:sz w:val="24"/>
        </w:rPr>
        <w:lastRenderedPageBreak/>
        <w:t>caso, esto es, no se puede hacer una prueba de daño de un expediente completo, sino de cada uno de los documentos que lo integran.</w:t>
      </w:r>
    </w:p>
    <w:p w14:paraId="34139037" w14:textId="77777777" w:rsidR="005502D2" w:rsidRPr="00AF7502" w:rsidRDefault="005502D2" w:rsidP="005502D2">
      <w:pPr>
        <w:spacing w:line="360" w:lineRule="auto"/>
        <w:contextualSpacing/>
        <w:jc w:val="both"/>
        <w:rPr>
          <w:rFonts w:ascii="Palatino Linotype" w:hAnsi="Palatino Linotype"/>
          <w:color w:val="000000" w:themeColor="text1"/>
          <w:sz w:val="24"/>
        </w:rPr>
      </w:pPr>
    </w:p>
    <w:p w14:paraId="6D904ABF"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Para aplicar la prueba de daño, se deberán de precisar las razones objetivas por las que la apertura genera una afectación, acreditando que:</w:t>
      </w:r>
    </w:p>
    <w:p w14:paraId="53906723" w14:textId="77777777" w:rsidR="005502D2" w:rsidRPr="00AF7502" w:rsidRDefault="005502D2" w:rsidP="005502D2">
      <w:pPr>
        <w:spacing w:line="360" w:lineRule="auto"/>
        <w:contextualSpacing/>
        <w:jc w:val="both"/>
        <w:rPr>
          <w:rFonts w:ascii="Palatino Linotype" w:hAnsi="Palatino Linotype"/>
          <w:color w:val="000000" w:themeColor="text1"/>
          <w:sz w:val="24"/>
        </w:rPr>
      </w:pPr>
    </w:p>
    <w:p w14:paraId="65D19D54" w14:textId="77777777" w:rsidR="005502D2" w:rsidRPr="00AF7502" w:rsidRDefault="005502D2" w:rsidP="005502D2">
      <w:pPr>
        <w:widowControl w:val="0"/>
        <w:autoSpaceDE w:val="0"/>
        <w:autoSpaceDN w:val="0"/>
        <w:adjustRightInd w:val="0"/>
        <w:spacing w:after="240" w:line="360" w:lineRule="auto"/>
        <w:ind w:left="567" w:right="616"/>
        <w:jc w:val="both"/>
        <w:rPr>
          <w:rFonts w:ascii="Palatino Linotype" w:hAnsi="Palatino Linotype" w:cs="Times"/>
          <w:i/>
          <w:color w:val="000000" w:themeColor="text1"/>
          <w:sz w:val="24"/>
        </w:rPr>
      </w:pPr>
      <w:r w:rsidRPr="00AF7502">
        <w:rPr>
          <w:rFonts w:ascii="Palatino Linotype" w:hAnsi="Palatino Linotype" w:cs="Bookman Old Style"/>
          <w:bCs/>
          <w:i/>
          <w:color w:val="000000" w:themeColor="text1"/>
          <w:sz w:val="24"/>
        </w:rPr>
        <w:t xml:space="preserve">I. </w:t>
      </w:r>
      <w:r w:rsidRPr="00AF7502">
        <w:rPr>
          <w:rFonts w:ascii="Palatino Linotype" w:hAnsi="Palatino Linotype" w:cs="Bookman Old Style"/>
          <w:i/>
          <w:color w:val="000000" w:themeColor="text1"/>
          <w:sz w:val="24"/>
        </w:rPr>
        <w:t xml:space="preserve">La divulgación de la información representa un riesgo real, demostrable e identificable del perjuicio significativo al interés público o a la seguridad pública; </w:t>
      </w:r>
    </w:p>
    <w:p w14:paraId="358D83C5" w14:textId="77777777" w:rsidR="005502D2" w:rsidRPr="00AF7502" w:rsidRDefault="005502D2" w:rsidP="005502D2">
      <w:pPr>
        <w:widowControl w:val="0"/>
        <w:autoSpaceDE w:val="0"/>
        <w:autoSpaceDN w:val="0"/>
        <w:adjustRightInd w:val="0"/>
        <w:spacing w:after="240" w:line="360" w:lineRule="auto"/>
        <w:ind w:left="567" w:right="616"/>
        <w:jc w:val="both"/>
        <w:rPr>
          <w:rFonts w:ascii="Palatino Linotype" w:hAnsi="Palatino Linotype" w:cs="Times"/>
          <w:i/>
          <w:color w:val="000000" w:themeColor="text1"/>
          <w:sz w:val="24"/>
        </w:rPr>
      </w:pPr>
      <w:r w:rsidRPr="00AF7502">
        <w:rPr>
          <w:rFonts w:ascii="Palatino Linotype" w:hAnsi="Palatino Linotype" w:cs="Bookman Old Style"/>
          <w:bCs/>
          <w:i/>
          <w:color w:val="000000" w:themeColor="text1"/>
          <w:sz w:val="24"/>
        </w:rPr>
        <w:t xml:space="preserve">II. </w:t>
      </w:r>
      <w:r w:rsidRPr="00AF7502">
        <w:rPr>
          <w:rFonts w:ascii="Palatino Linotype" w:hAnsi="Palatino Linotype" w:cs="Bookman Old Style"/>
          <w:i/>
          <w:color w:val="000000" w:themeColor="text1"/>
          <w:sz w:val="24"/>
        </w:rPr>
        <w:t xml:space="preserve">El riesgo de perjuicio que supondría la divulgación supera el interés público general de que se difunda; y </w:t>
      </w:r>
    </w:p>
    <w:p w14:paraId="1104F7C2" w14:textId="77777777" w:rsidR="005502D2" w:rsidRPr="00AF7502" w:rsidRDefault="005502D2" w:rsidP="005502D2">
      <w:pPr>
        <w:widowControl w:val="0"/>
        <w:autoSpaceDE w:val="0"/>
        <w:autoSpaceDN w:val="0"/>
        <w:adjustRightInd w:val="0"/>
        <w:spacing w:after="240" w:line="360" w:lineRule="auto"/>
        <w:ind w:left="567" w:right="616"/>
        <w:jc w:val="both"/>
        <w:rPr>
          <w:rFonts w:ascii="Palatino Linotype" w:hAnsi="Palatino Linotype" w:cs="Times"/>
          <w:i/>
          <w:color w:val="000000" w:themeColor="text1"/>
          <w:sz w:val="24"/>
        </w:rPr>
      </w:pPr>
      <w:r w:rsidRPr="00AF7502">
        <w:rPr>
          <w:rFonts w:ascii="Palatino Linotype" w:hAnsi="Palatino Linotype" w:cs="Bookman Old Style"/>
          <w:bCs/>
          <w:i/>
          <w:color w:val="000000" w:themeColor="text1"/>
          <w:sz w:val="24"/>
        </w:rPr>
        <w:t xml:space="preserve">III. </w:t>
      </w:r>
      <w:r w:rsidRPr="00AF7502">
        <w:rPr>
          <w:rFonts w:ascii="Palatino Linotype" w:hAnsi="Palatino Linotype" w:cs="Bookman Old Style"/>
          <w:i/>
          <w:color w:val="000000" w:themeColor="text1"/>
          <w:sz w:val="24"/>
        </w:rPr>
        <w:t xml:space="preserve">La limitación se adecua al principio de proporcionalidad y representa el medio menos restrictivo disponible para evitar el perjuicio. </w:t>
      </w:r>
    </w:p>
    <w:p w14:paraId="06A18321" w14:textId="77777777" w:rsidR="005502D2" w:rsidRPr="00AF7502" w:rsidRDefault="005502D2" w:rsidP="005502D2">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hAnsi="Palatino Linotype"/>
          <w:color w:val="000000" w:themeColor="text1"/>
          <w:sz w:val="24"/>
          <w:lang w:eastAsia="es-ES_tradnl"/>
        </w:rPr>
      </w:pPr>
      <w:r w:rsidRPr="00AF7502">
        <w:rPr>
          <w:rFonts w:ascii="Palatino Linotype" w:hAnsi="Palatino Linotype"/>
          <w:color w:val="000000" w:themeColor="text1"/>
          <w:sz w:val="24"/>
          <w:lang w:eastAsia="es-ES_tradnl"/>
        </w:rPr>
        <w:t>Sobre el primer supuesto consideremos que según el diccionario del español jurídico, por riesgo podemos entender “la contingencia o proximidad de un daño”,</w:t>
      </w:r>
      <w:r w:rsidRPr="00AF7502">
        <w:rPr>
          <w:rFonts w:ascii="Palatino Linotype" w:hAnsi="Palatino Linotype"/>
          <w:color w:val="000000" w:themeColor="text1"/>
          <w:sz w:val="24"/>
          <w:vertAlign w:val="superscript"/>
          <w:lang w:eastAsia="es-ES_tradnl"/>
        </w:rPr>
        <w:footnoteReference w:id="7"/>
      </w:r>
      <w:r w:rsidRPr="00AF7502">
        <w:rPr>
          <w:rFonts w:ascii="Palatino Linotype" w:hAnsi="Palatino Linotype"/>
          <w:color w:val="000000" w:themeColor="text1"/>
          <w:sz w:val="24"/>
          <w:lang w:eastAsia="es-ES_tradnl"/>
        </w:rPr>
        <w:t xml:space="preserve"> mientras que el daño es considerado como un “perjuicio o lesión”</w:t>
      </w:r>
      <w:r w:rsidRPr="00AF7502">
        <w:rPr>
          <w:rFonts w:ascii="Palatino Linotype" w:hAnsi="Palatino Linotype"/>
          <w:color w:val="000000" w:themeColor="text1"/>
          <w:sz w:val="24"/>
          <w:vertAlign w:val="superscript"/>
          <w:lang w:eastAsia="es-ES_tradnl"/>
        </w:rPr>
        <w:footnoteReference w:id="8"/>
      </w:r>
      <w:r w:rsidRPr="00AF7502">
        <w:rPr>
          <w:rFonts w:ascii="Palatino Linotype" w:hAnsi="Palatino Linotype"/>
          <w:color w:val="000000" w:themeColor="text1"/>
          <w:sz w:val="24"/>
          <w:lang w:eastAsia="es-ES_tradnl"/>
        </w:rPr>
        <w:t>, mientras que según el Diccionario de la Lengua Española, lo real es</w:t>
      </w:r>
      <w:r w:rsidRPr="00AF7502">
        <w:rPr>
          <w:rFonts w:ascii="Palatino Linotype" w:eastAsia="Arial Unicode MS" w:hAnsi="Palatino Linotype" w:cs="Arial Unicode MS"/>
          <w:color w:val="000000" w:themeColor="text1"/>
          <w:spacing w:val="4"/>
          <w:sz w:val="24"/>
          <w:shd w:val="clear" w:color="auto" w:fill="FFFFFF"/>
          <w:lang w:eastAsia="es-ES_tradnl"/>
        </w:rPr>
        <w:t xml:space="preserve"> lo “</w:t>
      </w:r>
      <w:r w:rsidRPr="00AF7502">
        <w:rPr>
          <w:rFonts w:ascii="Palatino Linotype" w:hAnsi="Palatino Linotype"/>
          <w:color w:val="000000" w:themeColor="text1"/>
          <w:sz w:val="24"/>
          <w:lang w:eastAsia="es-ES_tradnl"/>
        </w:rPr>
        <w:t>(que</w:t>
      </w:r>
      <w:r w:rsidRPr="00AF7502">
        <w:rPr>
          <w:rFonts w:ascii="Palatino Linotype" w:eastAsia="Arial Unicode MS" w:hAnsi="Palatino Linotype" w:cs="Arial Unicode MS"/>
          <w:color w:val="000000" w:themeColor="text1"/>
          <w:spacing w:val="4"/>
          <w:sz w:val="24"/>
          <w:shd w:val="clear" w:color="auto" w:fill="FFFFFF"/>
          <w:lang w:eastAsia="es-ES_tradnl"/>
        </w:rPr>
        <w:t xml:space="preserve"> </w:t>
      </w:r>
      <w:r w:rsidRPr="00AF7502">
        <w:rPr>
          <w:rFonts w:ascii="Palatino Linotype" w:hAnsi="Palatino Linotype"/>
          <w:color w:val="000000" w:themeColor="text1"/>
          <w:sz w:val="24"/>
          <w:lang w:eastAsia="es-ES_tradnl"/>
        </w:rPr>
        <w:t>tiene</w:t>
      </w:r>
      <w:r w:rsidRPr="00AF7502">
        <w:rPr>
          <w:rFonts w:ascii="Palatino Linotype" w:eastAsia="Arial Unicode MS" w:hAnsi="Palatino Linotype" w:cs="Arial Unicode MS"/>
          <w:color w:val="000000" w:themeColor="text1"/>
          <w:spacing w:val="4"/>
          <w:sz w:val="24"/>
          <w:shd w:val="clear" w:color="auto" w:fill="FFFFFF"/>
          <w:lang w:eastAsia="es-ES_tradnl"/>
        </w:rPr>
        <w:t xml:space="preserve"> </w:t>
      </w:r>
      <w:r w:rsidRPr="00AF7502">
        <w:rPr>
          <w:rFonts w:ascii="Palatino Linotype" w:hAnsi="Palatino Linotype"/>
          <w:color w:val="000000" w:themeColor="text1"/>
          <w:sz w:val="24"/>
          <w:lang w:eastAsia="es-ES_tradnl"/>
        </w:rPr>
        <w:t>existencia</w:t>
      </w:r>
      <w:r w:rsidRPr="00AF7502">
        <w:rPr>
          <w:rFonts w:ascii="Palatino Linotype" w:eastAsia="Arial Unicode MS" w:hAnsi="Palatino Linotype" w:cs="Arial Unicode MS"/>
          <w:color w:val="000000" w:themeColor="text1"/>
          <w:spacing w:val="4"/>
          <w:sz w:val="24"/>
          <w:shd w:val="clear" w:color="auto" w:fill="FFFFFF"/>
          <w:lang w:eastAsia="es-ES_tradnl"/>
        </w:rPr>
        <w:t xml:space="preserve"> </w:t>
      </w:r>
      <w:r w:rsidRPr="00AF7502">
        <w:rPr>
          <w:rFonts w:ascii="Palatino Linotype" w:hAnsi="Palatino Linotype"/>
          <w:color w:val="000000" w:themeColor="text1"/>
          <w:sz w:val="24"/>
          <w:lang w:eastAsia="es-ES_tradnl"/>
        </w:rPr>
        <w:t>objetiva”,</w:t>
      </w:r>
      <w:r w:rsidRPr="00AF7502">
        <w:rPr>
          <w:rFonts w:ascii="Palatino Linotype" w:hAnsi="Palatino Linotype"/>
          <w:color w:val="000000" w:themeColor="text1"/>
          <w:sz w:val="24"/>
          <w:vertAlign w:val="superscript"/>
          <w:lang w:eastAsia="es-ES_tradnl"/>
        </w:rPr>
        <w:footnoteReference w:id="9"/>
      </w:r>
      <w:r w:rsidRPr="00AF7502">
        <w:rPr>
          <w:rFonts w:ascii="Palatino Linotype" w:hAnsi="Palatino Linotype"/>
          <w:color w:val="000000" w:themeColor="text1"/>
          <w:sz w:val="24"/>
          <w:lang w:eastAsia="es-ES_tradnl"/>
        </w:rPr>
        <w:t xml:space="preserve"> </w:t>
      </w:r>
      <w:r w:rsidRPr="00AF7502">
        <w:rPr>
          <w:rFonts w:ascii="Palatino Linotype" w:eastAsia="Arial Unicode MS" w:hAnsi="Palatino Linotype" w:cs="Arial Unicode MS"/>
          <w:color w:val="000000" w:themeColor="text1"/>
          <w:spacing w:val="4"/>
          <w:sz w:val="24"/>
          <w:shd w:val="clear" w:color="auto" w:fill="FFFFFF"/>
          <w:lang w:eastAsia="es-ES_tradnl"/>
        </w:rPr>
        <w:t xml:space="preserve">mientras que lo demostrables es, según la misma fuente, aquello que se puede </w:t>
      </w:r>
      <w:r w:rsidRPr="00AF7502">
        <w:rPr>
          <w:rFonts w:ascii="Palatino Linotype" w:eastAsia="Arial Unicode MS" w:hAnsi="Palatino Linotype" w:cs="Arial Unicode MS"/>
          <w:color w:val="000000" w:themeColor="text1"/>
          <w:spacing w:val="4"/>
          <w:sz w:val="24"/>
          <w:shd w:val="clear" w:color="auto" w:fill="FFFFFF"/>
          <w:lang w:eastAsia="es-ES_tradnl"/>
        </w:rPr>
        <w:lastRenderedPageBreak/>
        <w:t>demostrar,</w:t>
      </w:r>
      <w:r w:rsidRPr="00AF7502">
        <w:rPr>
          <w:rFonts w:ascii="Palatino Linotype" w:eastAsia="Arial Unicode MS" w:hAnsi="Palatino Linotype" w:cs="Arial Unicode MS"/>
          <w:color w:val="000000" w:themeColor="text1"/>
          <w:spacing w:val="4"/>
          <w:sz w:val="24"/>
          <w:shd w:val="clear" w:color="auto" w:fill="FFFFFF"/>
          <w:vertAlign w:val="superscript"/>
          <w:lang w:eastAsia="es-ES_tradnl"/>
        </w:rPr>
        <w:footnoteReference w:id="10"/>
      </w:r>
      <w:r w:rsidRPr="00AF7502">
        <w:rPr>
          <w:rFonts w:ascii="Palatino Linotype" w:eastAsia="Arial Unicode MS" w:hAnsi="Palatino Linotype" w:cs="Arial Unicode MS"/>
          <w:color w:val="000000" w:themeColor="text1"/>
          <w:spacing w:val="4"/>
          <w:sz w:val="24"/>
          <w:shd w:val="clear" w:color="auto" w:fill="FFFFFF"/>
          <w:lang w:eastAsia="es-ES_tradnl"/>
        </w:rPr>
        <w:t xml:space="preserve"> es decir, </w:t>
      </w:r>
      <w:r w:rsidRPr="00AF7502">
        <w:rPr>
          <w:rFonts w:ascii="Palatino Linotype" w:hAnsi="Palatino Linotype"/>
          <w:color w:val="000000" w:themeColor="text1"/>
          <w:sz w:val="24"/>
        </w:rPr>
        <w:t xml:space="preserve">“(manifestar, declarar. Probar, sirviéndose de cualquier género de demostración, </w:t>
      </w:r>
      <w:hyperlink r:id="rId14" w:anchor="6nAyKjE" w:history="1">
        <w:r w:rsidRPr="00AF7502">
          <w:rPr>
            <w:rFonts w:ascii="Palatino Linotype" w:hAnsi="Palatino Linotype"/>
            <w:color w:val="000000" w:themeColor="text1"/>
            <w:sz w:val="24"/>
          </w:rPr>
          <w:t>enseñar</w:t>
        </w:r>
      </w:hyperlink>
      <w:r w:rsidRPr="00AF7502">
        <w:rPr>
          <w:rFonts w:ascii="Palatino Linotype" w:hAnsi="Palatino Linotype"/>
          <w:color w:val="000000" w:themeColor="text1"/>
          <w:sz w:val="24"/>
        </w:rPr>
        <w:t xml:space="preserve"> mostrar o exponer algo)”.</w:t>
      </w:r>
      <w:r w:rsidRPr="00AF7502">
        <w:rPr>
          <w:rFonts w:ascii="Palatino Linotype" w:hAnsi="Palatino Linotype"/>
          <w:color w:val="000000" w:themeColor="text1"/>
          <w:sz w:val="24"/>
          <w:vertAlign w:val="superscript"/>
        </w:rPr>
        <w:footnoteReference w:id="11"/>
      </w:r>
      <w:r w:rsidRPr="00AF7502">
        <w:rPr>
          <w:rFonts w:ascii="Palatino Linotype" w:hAnsi="Palatino Linotype"/>
          <w:color w:val="000000" w:themeColor="text1"/>
          <w:sz w:val="24"/>
        </w:rPr>
        <w:t xml:space="preserve"> Mientras que lo identificable es lo que puede ser identificado,</w:t>
      </w:r>
      <w:r w:rsidRPr="00AF7502">
        <w:rPr>
          <w:rFonts w:ascii="Palatino Linotype" w:hAnsi="Palatino Linotype"/>
          <w:color w:val="000000" w:themeColor="text1"/>
          <w:sz w:val="24"/>
          <w:vertAlign w:val="superscript"/>
        </w:rPr>
        <w:footnoteReference w:id="12"/>
      </w:r>
      <w:r w:rsidRPr="00AF7502">
        <w:rPr>
          <w:rFonts w:ascii="Palatino Linotype" w:hAnsi="Palatino Linotype"/>
          <w:color w:val="000000" w:themeColor="text1"/>
          <w:sz w:val="24"/>
        </w:rPr>
        <w:t xml:space="preserve"> esto es,</w:t>
      </w:r>
      <w:r w:rsidRPr="00AF7502">
        <w:rPr>
          <w:rFonts w:ascii="Palatino Linotype" w:hAnsi="Palatino Linotype"/>
          <w:color w:val="000000" w:themeColor="text1"/>
          <w:sz w:val="24"/>
          <w:lang w:eastAsia="es-ES_tradnl"/>
        </w:rPr>
        <w:t xml:space="preserve"> “(dar los datos necesarios para ser reconocido”.</w:t>
      </w:r>
      <w:r w:rsidRPr="00AF7502">
        <w:rPr>
          <w:rFonts w:ascii="Palatino Linotype" w:hAnsi="Palatino Linotype"/>
          <w:color w:val="000000" w:themeColor="text1"/>
          <w:sz w:val="24"/>
          <w:vertAlign w:val="superscript"/>
          <w:lang w:eastAsia="es-ES_tradnl"/>
        </w:rPr>
        <w:footnoteReference w:id="13"/>
      </w:r>
    </w:p>
    <w:p w14:paraId="55FF3F55" w14:textId="77777777" w:rsidR="00416D4C" w:rsidRPr="00AF7502" w:rsidRDefault="00416D4C" w:rsidP="00416D4C">
      <w:pPr>
        <w:shd w:val="clear" w:color="auto" w:fill="FFFFFF"/>
        <w:suppressAutoHyphens/>
        <w:spacing w:before="100" w:beforeAutospacing="1" w:after="100" w:afterAutospacing="1" w:line="360" w:lineRule="auto"/>
        <w:jc w:val="both"/>
        <w:textAlignment w:val="baseline"/>
        <w:rPr>
          <w:rFonts w:ascii="Palatino Linotype" w:hAnsi="Palatino Linotype"/>
          <w:color w:val="000000" w:themeColor="text1"/>
          <w:sz w:val="24"/>
          <w:lang w:eastAsia="es-ES_tradnl"/>
        </w:rPr>
      </w:pPr>
    </w:p>
    <w:p w14:paraId="3EDCEF48"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3CD47665" w14:textId="77777777" w:rsidR="005502D2" w:rsidRPr="00AF7502" w:rsidRDefault="005502D2" w:rsidP="005502D2">
      <w:pPr>
        <w:spacing w:line="360" w:lineRule="auto"/>
        <w:contextualSpacing/>
        <w:jc w:val="both"/>
        <w:rPr>
          <w:rFonts w:ascii="Palatino Linotype" w:hAnsi="Palatino Linotype"/>
          <w:color w:val="000000" w:themeColor="text1"/>
          <w:sz w:val="24"/>
        </w:rPr>
      </w:pPr>
    </w:p>
    <w:p w14:paraId="3DCEE758"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 xml:space="preserve">Identificado ese riesgo, se debe demostrar que el mismo supera el interés público general porque se difunda dicha información. </w:t>
      </w:r>
    </w:p>
    <w:p w14:paraId="458DEEF7" w14:textId="77777777" w:rsidR="005502D2" w:rsidRPr="00AF7502" w:rsidRDefault="005502D2" w:rsidP="005502D2">
      <w:pPr>
        <w:spacing w:line="360" w:lineRule="auto"/>
        <w:contextualSpacing/>
        <w:jc w:val="both"/>
        <w:rPr>
          <w:rFonts w:ascii="Palatino Linotype" w:hAnsi="Palatino Linotype"/>
          <w:color w:val="000000" w:themeColor="text1"/>
          <w:sz w:val="24"/>
        </w:rPr>
      </w:pPr>
    </w:p>
    <w:p w14:paraId="711544F5"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 xml:space="preserve">Y, por último,  que la limitación es acorde con el principio de proporcionalidad, para ello, se sugiere emplear los tres juicios propuestos por la Corte Constitucional </w:t>
      </w:r>
      <w:r w:rsidRPr="00AF7502">
        <w:rPr>
          <w:rFonts w:ascii="Palatino Linotype" w:hAnsi="Palatino Linotype"/>
          <w:color w:val="000000" w:themeColor="text1"/>
          <w:sz w:val="24"/>
        </w:rPr>
        <w:lastRenderedPageBreak/>
        <w:t>Colombiana</w:t>
      </w:r>
      <w:r w:rsidRPr="00AF7502">
        <w:rPr>
          <w:rFonts w:ascii="Palatino Linotype" w:hAnsi="Palatino Linotype"/>
          <w:color w:val="000000" w:themeColor="text1"/>
          <w:sz w:val="24"/>
          <w:vertAlign w:val="superscript"/>
        </w:rPr>
        <w:footnoteReference w:id="14"/>
      </w:r>
      <w:r w:rsidRPr="00AF7502">
        <w:rPr>
          <w:rFonts w:ascii="Palatino Linotype" w:hAnsi="Palatino Linotype"/>
          <w:color w:val="000000" w:themeColor="text1"/>
          <w:sz w:val="24"/>
        </w:rPr>
        <w:t>, siguiendo el principio de ponderación propuesto por el Tribunal Constitucional Alemán,</w:t>
      </w:r>
      <w:r w:rsidRPr="00AF7502">
        <w:rPr>
          <w:rFonts w:ascii="Palatino Linotype" w:hAnsi="Palatino Linotype"/>
          <w:color w:val="000000" w:themeColor="text1"/>
          <w:sz w:val="24"/>
          <w:vertAlign w:val="superscript"/>
        </w:rPr>
        <w:footnoteReference w:id="15"/>
      </w:r>
      <w:r w:rsidRPr="00AF7502">
        <w:rPr>
          <w:rFonts w:ascii="Palatino Linotype" w:hAnsi="Palatino Linotype"/>
          <w:color w:val="000000" w:themeColor="text1"/>
          <w:sz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12914BE8" w14:textId="77777777" w:rsidR="005502D2" w:rsidRPr="00AF7502" w:rsidRDefault="005502D2" w:rsidP="005502D2">
      <w:pPr>
        <w:pStyle w:val="Prrafodelista"/>
        <w:keepNext/>
        <w:keepLines/>
        <w:pBdr>
          <w:top w:val="nil"/>
          <w:left w:val="nil"/>
          <w:bottom w:val="nil"/>
          <w:right w:val="nil"/>
          <w:between w:val="nil"/>
          <w:bar w:val="nil"/>
        </w:pBdr>
        <w:spacing w:before="240"/>
        <w:ind w:left="851" w:hanging="567"/>
        <w:rPr>
          <w:rFonts w:ascii="Palatino Linotype" w:eastAsiaTheme="majorEastAsia" w:hAnsi="Palatino Linotype" w:cstheme="majorBidi"/>
          <w:b/>
          <w:color w:val="000000" w:themeColor="text1"/>
        </w:rPr>
      </w:pPr>
      <w:bookmarkStart w:id="40" w:name="_Toc485631709"/>
      <w:bookmarkStart w:id="41" w:name="_Toc500756719"/>
      <w:bookmarkStart w:id="42" w:name="_Toc536691787"/>
      <w:bookmarkStart w:id="43" w:name="_Toc2267550"/>
      <w:bookmarkStart w:id="44" w:name="_Toc2856723"/>
      <w:r w:rsidRPr="00AF7502">
        <w:rPr>
          <w:rFonts w:ascii="Palatino Linotype" w:eastAsiaTheme="majorEastAsia" w:hAnsi="Palatino Linotype" w:cstheme="majorBidi"/>
          <w:b/>
          <w:color w:val="000000" w:themeColor="text1"/>
        </w:rPr>
        <w:t>c) La clasificación de la información reservada debe ser de manera temporal.</w:t>
      </w:r>
      <w:bookmarkEnd w:id="40"/>
      <w:bookmarkEnd w:id="41"/>
      <w:bookmarkEnd w:id="42"/>
      <w:bookmarkEnd w:id="43"/>
      <w:bookmarkEnd w:id="44"/>
    </w:p>
    <w:p w14:paraId="6B19B5C8" w14:textId="77777777" w:rsidR="005502D2" w:rsidRPr="00AF7502" w:rsidRDefault="005502D2" w:rsidP="005502D2">
      <w:pPr>
        <w:spacing w:line="360" w:lineRule="auto"/>
        <w:jc w:val="both"/>
        <w:rPr>
          <w:rFonts w:ascii="Palatino Linotype" w:hAnsi="Palatino Linotype"/>
          <w:b/>
          <w:color w:val="000000" w:themeColor="text1"/>
        </w:rPr>
      </w:pPr>
    </w:p>
    <w:p w14:paraId="545FA3D4"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 xml:space="preserve">La información que ha sido clasificada como reservada, tiene la cualidad de que esta debe ser de carácter temporal, es decir, no debe perpetuarse o petrificarse su </w:t>
      </w:r>
      <w:r w:rsidRPr="00AF7502">
        <w:rPr>
          <w:rFonts w:ascii="Palatino Linotype" w:hAnsi="Palatino Linotype"/>
          <w:color w:val="000000" w:themeColor="text1"/>
          <w:sz w:val="24"/>
        </w:rPr>
        <w:lastRenderedPageBreak/>
        <w:t>clasificación y que esto traiga como consecuencia el no acceso a la misma y por tanto pierda en definitiva su calidad de pública.</w:t>
      </w:r>
    </w:p>
    <w:p w14:paraId="741CE4B0" w14:textId="77777777" w:rsidR="005502D2" w:rsidRPr="00AF7502" w:rsidRDefault="005502D2" w:rsidP="005502D2">
      <w:pPr>
        <w:spacing w:line="360" w:lineRule="auto"/>
        <w:contextualSpacing/>
        <w:jc w:val="both"/>
        <w:rPr>
          <w:rFonts w:ascii="Palatino Linotype" w:hAnsi="Palatino Linotype"/>
          <w:color w:val="000000" w:themeColor="text1"/>
          <w:sz w:val="24"/>
        </w:rPr>
      </w:pPr>
    </w:p>
    <w:p w14:paraId="137E2AA1"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 xml:space="preserve">La temporalidad de la clasificación de la información se encuentra señalada en el artículo 125 de la Ley Estatal y en el 101 de la Ley General, artículos que contemplan que dicha información podrá permanecer con tal carácter </w:t>
      </w:r>
      <w:r w:rsidRPr="00AF7502">
        <w:rPr>
          <w:rFonts w:ascii="Palatino Linotype" w:hAnsi="Palatino Linotype"/>
          <w:b/>
          <w:color w:val="000000" w:themeColor="text1"/>
          <w:sz w:val="24"/>
        </w:rPr>
        <w:t>hasta por un periodo de cinco años,</w:t>
      </w:r>
      <w:r w:rsidRPr="00AF7502">
        <w:rPr>
          <w:rFonts w:ascii="Palatino Linotype" w:hAnsi="Palatino Linotype"/>
          <w:color w:val="000000" w:themeColor="text1"/>
          <w:sz w:val="24"/>
        </w:rPr>
        <w:t xml:space="preserve"> contados a partir de su clasificación, salvo que antes del cumplimiento del periodo de restricción, dejaran de existir los motivos de su reserva. </w:t>
      </w:r>
    </w:p>
    <w:p w14:paraId="6A360B2C" w14:textId="77777777" w:rsidR="005502D2" w:rsidRPr="00AF7502" w:rsidRDefault="005502D2" w:rsidP="005502D2">
      <w:pPr>
        <w:contextualSpacing/>
        <w:rPr>
          <w:rFonts w:ascii="Palatino Linotype" w:hAnsi="Palatino Linotype"/>
          <w:color w:val="000000" w:themeColor="text1"/>
          <w:sz w:val="24"/>
        </w:rPr>
      </w:pPr>
    </w:p>
    <w:p w14:paraId="36578907"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5730968D" w14:textId="77777777" w:rsidR="005502D2" w:rsidRPr="00AF7502" w:rsidRDefault="005502D2" w:rsidP="005502D2">
      <w:pPr>
        <w:contextualSpacing/>
        <w:rPr>
          <w:rFonts w:ascii="Palatino Linotype" w:hAnsi="Palatino Linotype"/>
          <w:b/>
          <w:color w:val="000000" w:themeColor="text1"/>
          <w:sz w:val="24"/>
        </w:rPr>
      </w:pPr>
    </w:p>
    <w:p w14:paraId="7E0C8439"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De</w:t>
      </w:r>
      <w:r w:rsidRPr="00AF7502">
        <w:rPr>
          <w:rFonts w:ascii="Palatino Linotype" w:hAnsi="Palatino Linotype"/>
          <w:b/>
          <w:color w:val="000000" w:themeColor="text1"/>
          <w:sz w:val="24"/>
        </w:rPr>
        <w:t xml:space="preserve"> </w:t>
      </w:r>
      <w:r w:rsidRPr="00AF7502">
        <w:rPr>
          <w:rFonts w:ascii="Palatino Linotype" w:hAnsi="Palatino Linotype"/>
          <w:color w:val="000000" w:themeColor="text1"/>
          <w:sz w:val="24"/>
        </w:rPr>
        <w:t xml:space="preserve">manera excepcional </w:t>
      </w:r>
      <w:r w:rsidRPr="00AF7502">
        <w:rPr>
          <w:rFonts w:ascii="Palatino Linotype" w:hAnsi="Palatino Linotype"/>
          <w:b/>
          <w:color w:val="000000" w:themeColor="text1"/>
          <w:sz w:val="24"/>
        </w:rPr>
        <w:t>los sujetos obligados</w:t>
      </w:r>
      <w:r w:rsidRPr="00AF7502">
        <w:rPr>
          <w:rFonts w:ascii="Palatino Linotype" w:hAnsi="Palatino Linotype"/>
          <w:color w:val="000000" w:themeColor="text1"/>
          <w:sz w:val="24"/>
        </w:rPr>
        <w:t xml:space="preserve"> con la aprobación de su Comité de Transparencia, </w:t>
      </w:r>
      <w:r w:rsidRPr="00AF7502">
        <w:rPr>
          <w:rFonts w:ascii="Palatino Linotype" w:hAnsi="Palatino Linotype"/>
          <w:b/>
          <w:color w:val="000000" w:themeColor="text1"/>
          <w:sz w:val="24"/>
        </w:rPr>
        <w:t>podrán ampliar el periodo de reserva hasta por un plazo de cinco años adicionales y por una sola vez</w:t>
      </w:r>
      <w:r w:rsidRPr="00AF7502">
        <w:rPr>
          <w:rFonts w:ascii="Palatino Linotype" w:hAnsi="Palatino Linotype"/>
          <w:color w:val="000000" w:themeColor="text1"/>
          <w:sz w:val="24"/>
        </w:rPr>
        <w:t xml:space="preserve">, siempre y cuando justifiquen que subsisten las causas que dieron origen a su clasificación, mediante la aplicación de una prueba de daño. </w:t>
      </w:r>
    </w:p>
    <w:p w14:paraId="41397937" w14:textId="77777777" w:rsidR="005502D2" w:rsidRPr="00AF7502" w:rsidRDefault="005502D2" w:rsidP="005502D2">
      <w:pPr>
        <w:contextualSpacing/>
        <w:rPr>
          <w:rFonts w:ascii="Palatino Linotype" w:hAnsi="Palatino Linotype"/>
          <w:color w:val="000000" w:themeColor="text1"/>
          <w:sz w:val="24"/>
        </w:rPr>
      </w:pPr>
    </w:p>
    <w:p w14:paraId="54EC0C38"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lastRenderedPageBreak/>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7E9DA6FE" w14:textId="77777777" w:rsidR="005502D2" w:rsidRPr="00AF7502" w:rsidRDefault="005502D2" w:rsidP="005502D2">
      <w:pPr>
        <w:shd w:val="clear" w:color="auto" w:fill="FFFFFF"/>
        <w:spacing w:before="240" w:afterAutospacing="1" w:line="360" w:lineRule="auto"/>
        <w:contextualSpacing/>
        <w:jc w:val="both"/>
        <w:textAlignment w:val="baseline"/>
        <w:rPr>
          <w:rFonts w:ascii="Palatino Linotype" w:hAnsi="Palatino Linotype"/>
          <w:color w:val="000000" w:themeColor="text1"/>
          <w:sz w:val="24"/>
        </w:rPr>
      </w:pPr>
    </w:p>
    <w:p w14:paraId="011C58A3" w14:textId="77777777" w:rsidR="005502D2" w:rsidRPr="00AF7502" w:rsidRDefault="005502D2" w:rsidP="005502D2">
      <w:pPr>
        <w:numPr>
          <w:ilvl w:val="0"/>
          <w:numId w:val="2"/>
        </w:numPr>
        <w:shd w:val="clear" w:color="auto" w:fill="FFFFFF"/>
        <w:spacing w:before="240" w:after="160" w:afterAutospacing="1" w:line="360" w:lineRule="auto"/>
        <w:ind w:left="0" w:firstLine="0"/>
        <w:contextualSpacing/>
        <w:jc w:val="both"/>
        <w:textAlignment w:val="baseline"/>
        <w:rPr>
          <w:rFonts w:ascii="Palatino Linotype" w:hAnsi="Palatino Linotype" w:cs="Arial"/>
          <w:color w:val="000000" w:themeColor="text1"/>
          <w:sz w:val="24"/>
          <w:lang w:eastAsia="es-MX"/>
        </w:rPr>
      </w:pPr>
      <w:r w:rsidRPr="00AF7502">
        <w:rPr>
          <w:rFonts w:ascii="Palatino Linotype" w:hAnsi="Palatino Linotype"/>
          <w:color w:val="000000" w:themeColor="text1"/>
          <w:sz w:val="24"/>
        </w:rPr>
        <w:t xml:space="preserve">Los elementos que brevemente se han señalado son todos los que deben de integrar el proceso de clasificación total o parcial de la información para, especialmente, responder a las solicitudes. La falta de cualquiera de ellos puede provocar que el acto que limita o restringe el acceso a la información sea considerada infundado y se proceda a ordenar la desclasificación de la información por el incumplimiento de las formalidades, es decir, por vicios de legalidad o a la reposición del acto.  </w:t>
      </w:r>
    </w:p>
    <w:p w14:paraId="37810A28" w14:textId="77777777" w:rsidR="005502D2" w:rsidRPr="00AF7502" w:rsidRDefault="005502D2" w:rsidP="005502D2">
      <w:pPr>
        <w:shd w:val="clear" w:color="auto" w:fill="FFFFFF"/>
        <w:spacing w:before="240" w:line="360" w:lineRule="auto"/>
        <w:contextualSpacing/>
        <w:jc w:val="both"/>
        <w:rPr>
          <w:rFonts w:ascii="Palatino Linotype" w:hAnsi="Palatino Linotype" w:cs="Arial"/>
          <w:color w:val="000000" w:themeColor="text1"/>
          <w:lang w:eastAsia="es-MX"/>
        </w:rPr>
      </w:pPr>
    </w:p>
    <w:p w14:paraId="6C6F6910" w14:textId="7656FA35" w:rsidR="005502D2" w:rsidRPr="00AF7502" w:rsidRDefault="005502D2" w:rsidP="005502D2">
      <w:pPr>
        <w:pStyle w:val="Ttulo3"/>
        <w:rPr>
          <w:rFonts w:ascii="Palatino Linotype" w:eastAsiaTheme="minorEastAsia" w:hAnsi="Palatino Linotype"/>
          <w:b/>
          <w:bCs/>
          <w:color w:val="auto"/>
        </w:rPr>
      </w:pPr>
      <w:bookmarkStart w:id="45" w:name="_Toc67668074"/>
      <w:bookmarkStart w:id="46" w:name="_Toc70599266"/>
      <w:bookmarkStart w:id="47" w:name="_Toc83210176"/>
      <w:r w:rsidRPr="00AF7502">
        <w:rPr>
          <w:rFonts w:ascii="Palatino Linotype" w:eastAsiaTheme="minorEastAsia" w:hAnsi="Palatino Linotype"/>
          <w:b/>
          <w:bCs/>
          <w:color w:val="auto"/>
        </w:rPr>
        <w:t xml:space="preserve">II. </w:t>
      </w:r>
      <w:r w:rsidR="001F2768" w:rsidRPr="00AF7502">
        <w:rPr>
          <w:rFonts w:ascii="Palatino Linotype" w:eastAsiaTheme="minorEastAsia" w:hAnsi="Palatino Linotype"/>
          <w:b/>
          <w:bCs/>
          <w:color w:val="auto"/>
        </w:rPr>
        <w:t>Lineamientos Generales en materia de Clasificación y desclasificación de la información</w:t>
      </w:r>
      <w:bookmarkEnd w:id="45"/>
      <w:bookmarkEnd w:id="46"/>
      <w:r w:rsidR="001F2768" w:rsidRPr="00AF7502">
        <w:rPr>
          <w:rFonts w:ascii="Palatino Linotype" w:eastAsiaTheme="minorEastAsia" w:hAnsi="Palatino Linotype"/>
          <w:b/>
          <w:bCs/>
          <w:color w:val="auto"/>
        </w:rPr>
        <w:t>, así como para la elaboración de versiones públicas.</w:t>
      </w:r>
      <w:bookmarkEnd w:id="47"/>
    </w:p>
    <w:p w14:paraId="091E6987" w14:textId="77777777" w:rsidR="005502D2" w:rsidRPr="00AF7502" w:rsidRDefault="005502D2" w:rsidP="005502D2">
      <w:pPr>
        <w:pStyle w:val="Prrafodelista"/>
        <w:rPr>
          <w:rFonts w:ascii="Palatino Linotype" w:eastAsia="Calibri" w:hAnsi="Palatino Linotype" w:cs="Arial"/>
        </w:rPr>
      </w:pPr>
    </w:p>
    <w:p w14:paraId="6EC303EE" w14:textId="350009CE" w:rsidR="005502D2" w:rsidRPr="00AF7502" w:rsidRDefault="005502D2" w:rsidP="005502D2">
      <w:pPr>
        <w:pStyle w:val="Prrafodelista"/>
        <w:numPr>
          <w:ilvl w:val="0"/>
          <w:numId w:val="2"/>
        </w:numPr>
        <w:spacing w:line="360" w:lineRule="auto"/>
        <w:ind w:left="0" w:firstLine="0"/>
        <w:jc w:val="both"/>
        <w:rPr>
          <w:rFonts w:ascii="Palatino Linotype" w:hAnsi="Palatino Linotype" w:cs="Arial"/>
          <w:sz w:val="24"/>
        </w:rPr>
      </w:pPr>
      <w:r w:rsidRPr="00AF7502">
        <w:rPr>
          <w:rFonts w:ascii="Palatino Linotype" w:hAnsi="Palatino Linotype"/>
          <w:color w:val="000000" w:themeColor="text1"/>
          <w:sz w:val="24"/>
        </w:rPr>
        <w:lastRenderedPageBreak/>
        <w:t xml:space="preserve">Para aplicar la prueba de daño, es necesario traer a contexto </w:t>
      </w:r>
      <w:r w:rsidRPr="00AF7502">
        <w:rPr>
          <w:rFonts w:ascii="Palatino Linotype" w:hAnsi="Palatino Linotype" w:cs="Arial"/>
          <w:sz w:val="24"/>
        </w:rPr>
        <w:t xml:space="preserve">los </w:t>
      </w:r>
      <w:r w:rsidRPr="00AF7502">
        <w:rPr>
          <w:rFonts w:ascii="Palatino Linotype" w:hAnsi="Palatino Linotype"/>
          <w:sz w:val="24"/>
        </w:rPr>
        <w:t>Lineamientos Generales en materia de clasificación y desclasificación de la información, así como para la elaboración de versiones públicas.</w:t>
      </w:r>
      <w:r w:rsidR="001F2768" w:rsidRPr="00AF7502">
        <w:rPr>
          <w:rStyle w:val="Refdenotaalpie"/>
          <w:rFonts w:ascii="Palatino Linotype" w:hAnsi="Palatino Linotype"/>
          <w:sz w:val="24"/>
        </w:rPr>
        <w:footnoteReference w:id="16"/>
      </w:r>
    </w:p>
    <w:p w14:paraId="4A7AC1E3" w14:textId="77777777" w:rsidR="005502D2" w:rsidRPr="00AF7502" w:rsidRDefault="005502D2" w:rsidP="005502D2">
      <w:pPr>
        <w:pStyle w:val="Prrafodelista"/>
        <w:spacing w:line="360" w:lineRule="auto"/>
        <w:ind w:left="0"/>
        <w:jc w:val="both"/>
        <w:rPr>
          <w:rFonts w:ascii="Palatino Linotype" w:hAnsi="Palatino Linotype" w:cs="Arial"/>
        </w:rPr>
      </w:pPr>
    </w:p>
    <w:p w14:paraId="626D0831" w14:textId="77777777" w:rsidR="005502D2" w:rsidRPr="00AF7502" w:rsidRDefault="005502D2" w:rsidP="005502D2">
      <w:pPr>
        <w:spacing w:line="360" w:lineRule="auto"/>
        <w:ind w:left="567" w:right="616"/>
        <w:jc w:val="center"/>
        <w:rPr>
          <w:rFonts w:ascii="Palatino Linotype" w:hAnsi="Palatino Linotype"/>
          <w:b/>
          <w:bCs/>
          <w:i/>
          <w:iCs/>
        </w:rPr>
      </w:pPr>
      <w:r w:rsidRPr="00AF7502">
        <w:rPr>
          <w:rFonts w:ascii="Palatino Linotype" w:hAnsi="Palatino Linotype"/>
          <w:b/>
          <w:bCs/>
          <w:i/>
          <w:iCs/>
        </w:rPr>
        <w:t>TÍTULO SEXTO</w:t>
      </w:r>
    </w:p>
    <w:p w14:paraId="0BE01AC4" w14:textId="77777777" w:rsidR="005502D2" w:rsidRPr="00AF7502" w:rsidRDefault="005502D2" w:rsidP="005502D2">
      <w:pPr>
        <w:spacing w:line="360" w:lineRule="auto"/>
        <w:ind w:left="567" w:right="616"/>
        <w:jc w:val="center"/>
        <w:rPr>
          <w:rFonts w:ascii="Palatino Linotype" w:hAnsi="Palatino Linotype"/>
          <w:b/>
          <w:bCs/>
          <w:i/>
          <w:iCs/>
        </w:rPr>
      </w:pPr>
      <w:r w:rsidRPr="00AF7502">
        <w:rPr>
          <w:rFonts w:ascii="Palatino Linotype" w:hAnsi="Palatino Linotype"/>
          <w:b/>
          <w:bCs/>
          <w:i/>
          <w:iCs/>
        </w:rPr>
        <w:t>INFORMACIÓN CLASIFICADA</w:t>
      </w:r>
    </w:p>
    <w:p w14:paraId="2F6F9850" w14:textId="77777777" w:rsidR="005502D2" w:rsidRPr="00AF7502" w:rsidRDefault="005502D2" w:rsidP="005502D2">
      <w:pPr>
        <w:spacing w:line="360" w:lineRule="auto"/>
        <w:ind w:left="567" w:right="616"/>
        <w:jc w:val="center"/>
        <w:rPr>
          <w:rFonts w:ascii="Palatino Linotype" w:hAnsi="Palatino Linotype"/>
          <w:b/>
          <w:bCs/>
          <w:i/>
          <w:iCs/>
        </w:rPr>
      </w:pPr>
      <w:r w:rsidRPr="00AF7502">
        <w:rPr>
          <w:rFonts w:ascii="Palatino Linotype" w:hAnsi="Palatino Linotype"/>
          <w:b/>
          <w:bCs/>
          <w:i/>
          <w:iCs/>
        </w:rPr>
        <w:t>Capítulo I</w:t>
      </w:r>
    </w:p>
    <w:p w14:paraId="6732F6FF" w14:textId="77777777" w:rsidR="005502D2" w:rsidRPr="00AF7502" w:rsidRDefault="005502D2" w:rsidP="005502D2">
      <w:pPr>
        <w:spacing w:line="360" w:lineRule="auto"/>
        <w:ind w:left="567" w:right="616"/>
        <w:jc w:val="center"/>
        <w:rPr>
          <w:rFonts w:ascii="Palatino Linotype" w:hAnsi="Palatino Linotype"/>
          <w:b/>
          <w:bCs/>
          <w:i/>
          <w:iCs/>
        </w:rPr>
      </w:pPr>
      <w:r w:rsidRPr="00AF7502">
        <w:rPr>
          <w:rFonts w:ascii="Palatino Linotype" w:hAnsi="Palatino Linotype"/>
          <w:b/>
          <w:bCs/>
          <w:i/>
          <w:iCs/>
        </w:rPr>
        <w:t>De las disposiciones generales de la clasificación y desclasificación de la información</w:t>
      </w:r>
    </w:p>
    <w:p w14:paraId="293A8ED9" w14:textId="77777777" w:rsidR="005502D2" w:rsidRPr="00AF7502" w:rsidRDefault="005502D2" w:rsidP="005502D2">
      <w:pPr>
        <w:spacing w:line="360" w:lineRule="auto"/>
        <w:ind w:left="567" w:right="616"/>
        <w:jc w:val="center"/>
        <w:rPr>
          <w:rFonts w:ascii="Palatino Linotype" w:hAnsi="Palatino Linotype"/>
          <w:i/>
          <w:iCs/>
        </w:rPr>
      </w:pPr>
    </w:p>
    <w:p w14:paraId="4686D820" w14:textId="77777777" w:rsidR="005502D2" w:rsidRPr="00AF7502" w:rsidRDefault="005502D2" w:rsidP="005502D2">
      <w:pPr>
        <w:spacing w:line="360" w:lineRule="auto"/>
        <w:ind w:left="567" w:right="616"/>
        <w:jc w:val="both"/>
        <w:rPr>
          <w:rFonts w:ascii="Palatino Linotype" w:hAnsi="Palatino Linotype"/>
          <w:i/>
          <w:iCs/>
        </w:rPr>
      </w:pPr>
      <w:r w:rsidRPr="00AF7502">
        <w:rPr>
          <w:rFonts w:ascii="Palatino Linotype" w:hAnsi="Palatino Linotype"/>
          <w:i/>
          <w:iCs/>
        </w:rPr>
        <w:t>Artículo 104. En la aplicación de la prueba de daño, el sujeto obligado deberá justificar que: I. La divulgación de la información representa un riesgo real, demostrable e identificable de perjuicio significativo al interés público o a la seguridad nacional; II. El riesgo de perjuicio que supondría la divulgación supera el interés público general de que se difunda, y III. La limitación se adecua al principio de proporcionalidad y representa el medio menos restrictivo disponible para evitar el perjuicio.</w:t>
      </w:r>
    </w:p>
    <w:p w14:paraId="3E1E0D6E" w14:textId="77777777" w:rsidR="005502D2" w:rsidRPr="00AF7502" w:rsidRDefault="005502D2" w:rsidP="005502D2">
      <w:pPr>
        <w:spacing w:line="360" w:lineRule="auto"/>
        <w:ind w:left="567" w:right="616"/>
        <w:jc w:val="both"/>
        <w:rPr>
          <w:rFonts w:ascii="Palatino Linotype" w:hAnsi="Palatino Linotype"/>
          <w:i/>
          <w:iCs/>
        </w:rPr>
      </w:pPr>
    </w:p>
    <w:p w14:paraId="21F60B95" w14:textId="77777777" w:rsidR="005502D2" w:rsidRPr="00AF7502" w:rsidRDefault="005502D2" w:rsidP="005502D2">
      <w:pPr>
        <w:shd w:val="clear" w:color="auto" w:fill="FFFFFF"/>
        <w:spacing w:line="360" w:lineRule="auto"/>
        <w:ind w:left="567" w:right="616"/>
        <w:jc w:val="center"/>
        <w:rPr>
          <w:rFonts w:ascii="Palatino Linotype" w:hAnsi="Palatino Linotype" w:cs="Arial"/>
          <w:i/>
          <w:iCs/>
          <w:color w:val="2F2F2F"/>
          <w:lang w:eastAsia="es-MX"/>
        </w:rPr>
      </w:pPr>
      <w:r w:rsidRPr="00AF7502">
        <w:rPr>
          <w:rFonts w:ascii="Palatino Linotype" w:hAnsi="Palatino Linotype" w:cs="Helvetica"/>
          <w:b/>
          <w:bCs/>
          <w:i/>
          <w:iCs/>
          <w:color w:val="2F2F2F"/>
          <w:lang w:eastAsia="es-MX"/>
        </w:rPr>
        <w:t>CAPÍTULO V</w:t>
      </w:r>
    </w:p>
    <w:p w14:paraId="772705B4" w14:textId="77777777" w:rsidR="005502D2" w:rsidRPr="00AF7502" w:rsidRDefault="005502D2" w:rsidP="005502D2">
      <w:pPr>
        <w:shd w:val="clear" w:color="auto" w:fill="FFFFFF"/>
        <w:spacing w:line="360" w:lineRule="auto"/>
        <w:ind w:left="567" w:right="616"/>
        <w:jc w:val="center"/>
        <w:rPr>
          <w:rFonts w:ascii="Palatino Linotype" w:hAnsi="Palatino Linotype" w:cs="Arial"/>
          <w:i/>
          <w:iCs/>
          <w:color w:val="2F2F2F"/>
          <w:lang w:eastAsia="es-MX"/>
        </w:rPr>
      </w:pPr>
      <w:r w:rsidRPr="00AF7502">
        <w:rPr>
          <w:rFonts w:ascii="Palatino Linotype" w:hAnsi="Palatino Linotype" w:cs="Helvetica"/>
          <w:b/>
          <w:bCs/>
          <w:i/>
          <w:iCs/>
          <w:color w:val="2F2F2F"/>
          <w:lang w:eastAsia="es-MX"/>
        </w:rPr>
        <w:t>DE LA INFORMACIÓN RESERVADA</w:t>
      </w:r>
    </w:p>
    <w:p w14:paraId="2F12BB89" w14:textId="77777777" w:rsidR="005502D2" w:rsidRPr="00AF7502" w:rsidRDefault="005502D2" w:rsidP="005502D2">
      <w:pPr>
        <w:spacing w:line="360" w:lineRule="auto"/>
        <w:ind w:left="567" w:right="616"/>
        <w:jc w:val="both"/>
        <w:rPr>
          <w:rFonts w:ascii="Palatino Linotype" w:hAnsi="Palatino Linotype"/>
          <w:i/>
          <w:iCs/>
        </w:rPr>
      </w:pPr>
    </w:p>
    <w:p w14:paraId="7CB13508" w14:textId="77777777" w:rsidR="005502D2" w:rsidRPr="00AF7502" w:rsidRDefault="005502D2" w:rsidP="005502D2">
      <w:pPr>
        <w:shd w:val="clear" w:color="auto" w:fill="FFFFFF"/>
        <w:spacing w:after="82" w:line="360" w:lineRule="auto"/>
        <w:ind w:left="567" w:right="616"/>
        <w:jc w:val="both"/>
        <w:rPr>
          <w:rFonts w:ascii="Palatino Linotype" w:hAnsi="Palatino Linotype" w:cs="Arial"/>
          <w:i/>
          <w:iCs/>
          <w:color w:val="2F2F2F"/>
          <w:lang w:eastAsia="es-MX"/>
        </w:rPr>
      </w:pPr>
      <w:r w:rsidRPr="00AF7502">
        <w:rPr>
          <w:rFonts w:ascii="Palatino Linotype" w:hAnsi="Palatino Linotype" w:cs="Helvetica"/>
          <w:b/>
          <w:bCs/>
          <w:i/>
          <w:iCs/>
          <w:color w:val="2F2F2F"/>
          <w:lang w:eastAsia="es-MX"/>
        </w:rPr>
        <w:t>Trigésimo tercero. </w:t>
      </w:r>
      <w:r w:rsidRPr="00AF7502">
        <w:rPr>
          <w:rFonts w:ascii="Palatino Linotype" w:hAnsi="Palatino Linotype" w:cs="Helvetica"/>
          <w:i/>
          <w:iCs/>
          <w:color w:val="2F2F2F"/>
          <w:lang w:eastAsia="es-MX"/>
        </w:rPr>
        <w:t>Para la aplicación de la prueba de daño a la que hace referencia el artículo 104 de la Ley General, los sujetos obligados atenderán lo siguiente:</w:t>
      </w:r>
    </w:p>
    <w:p w14:paraId="354C71F0" w14:textId="77777777" w:rsidR="005502D2" w:rsidRPr="00AF7502" w:rsidRDefault="005502D2" w:rsidP="005502D2">
      <w:pPr>
        <w:shd w:val="clear" w:color="auto" w:fill="FFFFFF"/>
        <w:spacing w:after="82" w:line="360" w:lineRule="auto"/>
        <w:ind w:left="567" w:right="616"/>
        <w:jc w:val="both"/>
        <w:rPr>
          <w:rFonts w:ascii="Palatino Linotype" w:hAnsi="Palatino Linotype" w:cs="Arial"/>
          <w:i/>
          <w:iCs/>
          <w:color w:val="2F2F2F"/>
          <w:lang w:eastAsia="es-MX"/>
        </w:rPr>
      </w:pPr>
      <w:r w:rsidRPr="00AF7502">
        <w:rPr>
          <w:rFonts w:ascii="Palatino Linotype" w:hAnsi="Palatino Linotype" w:cs="Helvetica"/>
          <w:b/>
          <w:bCs/>
          <w:i/>
          <w:iCs/>
          <w:color w:val="2F2F2F"/>
          <w:lang w:eastAsia="es-MX"/>
        </w:rPr>
        <w:t>I.</w:t>
      </w:r>
      <w:r w:rsidRPr="00AF7502">
        <w:rPr>
          <w:rFonts w:ascii="Palatino Linotype" w:hAnsi="Palatino Linotype" w:cs="Arial"/>
          <w:i/>
          <w:iCs/>
          <w:color w:val="2F2F2F"/>
          <w:lang w:eastAsia="es-MX"/>
        </w:rPr>
        <w:t>        </w:t>
      </w:r>
      <w:r w:rsidRPr="00AF7502">
        <w:rPr>
          <w:rFonts w:ascii="Palatino Linotype" w:hAnsi="Palatino Linotype" w:cs="Helvetica"/>
          <w:i/>
          <w:iCs/>
          <w:color w:val="2F2F2F"/>
          <w:lang w:eastAsia="es-MX"/>
        </w:rPr>
        <w:t xml:space="preserve">Se deberá citar la fracción y, en su caso, la causal aplicable del artículo 113 de la Ley General, vinculándola con el Lineamiento específico del presente ordenamiento y, cuando </w:t>
      </w:r>
      <w:r w:rsidRPr="00AF7502">
        <w:rPr>
          <w:rFonts w:ascii="Palatino Linotype" w:hAnsi="Palatino Linotype" w:cs="Helvetica"/>
          <w:i/>
          <w:iCs/>
          <w:color w:val="2F2F2F"/>
          <w:lang w:eastAsia="es-MX"/>
        </w:rPr>
        <w:lastRenderedPageBreak/>
        <w:t>corresponda, el supuesto normativo que expresamente le otorga el carácter de información reservada;</w:t>
      </w:r>
    </w:p>
    <w:p w14:paraId="50BBCBBE" w14:textId="77777777" w:rsidR="005502D2" w:rsidRPr="00AF7502" w:rsidRDefault="005502D2" w:rsidP="005502D2">
      <w:pPr>
        <w:shd w:val="clear" w:color="auto" w:fill="FFFFFF"/>
        <w:spacing w:after="82" w:line="360" w:lineRule="auto"/>
        <w:ind w:left="567" w:right="616"/>
        <w:jc w:val="both"/>
        <w:rPr>
          <w:rFonts w:ascii="Palatino Linotype" w:hAnsi="Palatino Linotype" w:cs="Arial"/>
          <w:i/>
          <w:iCs/>
          <w:color w:val="2F2F2F"/>
          <w:lang w:eastAsia="es-MX"/>
        </w:rPr>
      </w:pPr>
      <w:r w:rsidRPr="00AF7502">
        <w:rPr>
          <w:rFonts w:ascii="Palatino Linotype" w:hAnsi="Palatino Linotype" w:cs="Helvetica"/>
          <w:b/>
          <w:bCs/>
          <w:i/>
          <w:iCs/>
          <w:color w:val="2F2F2F"/>
          <w:lang w:eastAsia="es-MX"/>
        </w:rPr>
        <w:t>II.</w:t>
      </w:r>
      <w:r w:rsidRPr="00AF7502">
        <w:rPr>
          <w:rFonts w:ascii="Palatino Linotype" w:hAnsi="Palatino Linotype" w:cs="Arial"/>
          <w:i/>
          <w:iCs/>
          <w:color w:val="2F2F2F"/>
          <w:lang w:eastAsia="es-MX"/>
        </w:rPr>
        <w:t>       </w:t>
      </w:r>
      <w:r w:rsidRPr="00AF7502">
        <w:rPr>
          <w:rFonts w:ascii="Palatino Linotype" w:hAnsi="Palatino Linotype" w:cs="Helvetica"/>
          <w:i/>
          <w:iCs/>
          <w:color w:val="2F2F2F"/>
          <w:lang w:eastAsia="es-MX"/>
        </w:rPr>
        <w:t>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14:paraId="4F8423C5" w14:textId="77777777" w:rsidR="005502D2" w:rsidRPr="00AF7502" w:rsidRDefault="005502D2" w:rsidP="005502D2">
      <w:pPr>
        <w:shd w:val="clear" w:color="auto" w:fill="FFFFFF"/>
        <w:spacing w:after="82" w:line="360" w:lineRule="auto"/>
        <w:ind w:left="567" w:right="616"/>
        <w:jc w:val="both"/>
        <w:rPr>
          <w:rFonts w:ascii="Palatino Linotype" w:hAnsi="Palatino Linotype" w:cs="Arial"/>
          <w:i/>
          <w:iCs/>
          <w:color w:val="2F2F2F"/>
          <w:lang w:eastAsia="es-MX"/>
        </w:rPr>
      </w:pPr>
      <w:r w:rsidRPr="00AF7502">
        <w:rPr>
          <w:rFonts w:ascii="Palatino Linotype" w:hAnsi="Palatino Linotype" w:cs="Helvetica"/>
          <w:b/>
          <w:bCs/>
          <w:i/>
          <w:iCs/>
          <w:color w:val="2F2F2F"/>
          <w:lang w:eastAsia="es-MX"/>
        </w:rPr>
        <w:t>III.</w:t>
      </w:r>
      <w:r w:rsidRPr="00AF7502">
        <w:rPr>
          <w:rFonts w:ascii="Palatino Linotype" w:hAnsi="Palatino Linotype" w:cs="Arial"/>
          <w:i/>
          <w:iCs/>
          <w:color w:val="2F2F2F"/>
          <w:lang w:eastAsia="es-MX"/>
        </w:rPr>
        <w:t>      </w:t>
      </w:r>
      <w:r w:rsidRPr="00AF7502">
        <w:rPr>
          <w:rFonts w:ascii="Palatino Linotype" w:hAnsi="Palatino Linotype" w:cs="Helvetica"/>
          <w:i/>
          <w:iCs/>
          <w:color w:val="2F2F2F"/>
          <w:lang w:eastAsia="es-MX"/>
        </w:rPr>
        <w:t>Se debe de acreditar el vínculo entre la difusión de la información y la afectación del interés jurídico tutelado de que se trate;</w:t>
      </w:r>
    </w:p>
    <w:p w14:paraId="1B5D1E0D" w14:textId="77777777" w:rsidR="005502D2" w:rsidRPr="00AF7502" w:rsidRDefault="005502D2" w:rsidP="005502D2">
      <w:pPr>
        <w:shd w:val="clear" w:color="auto" w:fill="FFFFFF"/>
        <w:spacing w:after="82" w:line="360" w:lineRule="auto"/>
        <w:ind w:left="567" w:right="616"/>
        <w:jc w:val="both"/>
        <w:rPr>
          <w:rFonts w:ascii="Palatino Linotype" w:hAnsi="Palatino Linotype" w:cs="Arial"/>
          <w:i/>
          <w:iCs/>
          <w:color w:val="2F2F2F"/>
          <w:lang w:eastAsia="es-MX"/>
        </w:rPr>
      </w:pPr>
      <w:r w:rsidRPr="00AF7502">
        <w:rPr>
          <w:rFonts w:ascii="Palatino Linotype" w:hAnsi="Palatino Linotype" w:cs="Helvetica"/>
          <w:b/>
          <w:bCs/>
          <w:i/>
          <w:iCs/>
          <w:color w:val="2F2F2F"/>
          <w:lang w:eastAsia="es-MX"/>
        </w:rPr>
        <w:t>IV.</w:t>
      </w:r>
      <w:r w:rsidRPr="00AF7502">
        <w:rPr>
          <w:rFonts w:ascii="Palatino Linotype" w:hAnsi="Palatino Linotype" w:cs="Arial"/>
          <w:i/>
          <w:iCs/>
          <w:color w:val="2F2F2F"/>
          <w:lang w:eastAsia="es-MX"/>
        </w:rPr>
        <w:t>      </w:t>
      </w:r>
      <w:r w:rsidRPr="00AF7502">
        <w:rPr>
          <w:rFonts w:ascii="Palatino Linotype" w:hAnsi="Palatino Linotype" w:cs="Helvetica"/>
          <w:i/>
          <w:iCs/>
          <w:color w:val="2F2F2F"/>
          <w:lang w:eastAsia="es-MX"/>
        </w:rPr>
        <w:t>Precisar las razones objetivas por las que la apertura de la información generaría una afectación, a través de los elementos de un riesgo real, demostrable e identificable;</w:t>
      </w:r>
    </w:p>
    <w:p w14:paraId="5E569843" w14:textId="77777777" w:rsidR="005502D2" w:rsidRPr="00AF7502" w:rsidRDefault="005502D2" w:rsidP="005502D2">
      <w:pPr>
        <w:shd w:val="clear" w:color="auto" w:fill="FFFFFF"/>
        <w:spacing w:after="82" w:line="360" w:lineRule="auto"/>
        <w:ind w:left="567" w:right="616"/>
        <w:jc w:val="both"/>
        <w:rPr>
          <w:rFonts w:ascii="Palatino Linotype" w:hAnsi="Palatino Linotype" w:cs="Arial"/>
          <w:i/>
          <w:iCs/>
          <w:color w:val="2F2F2F"/>
          <w:lang w:eastAsia="es-MX"/>
        </w:rPr>
      </w:pPr>
      <w:r w:rsidRPr="00AF7502">
        <w:rPr>
          <w:rFonts w:ascii="Palatino Linotype" w:hAnsi="Palatino Linotype" w:cs="Helvetica"/>
          <w:b/>
          <w:bCs/>
          <w:i/>
          <w:iCs/>
          <w:color w:val="2F2F2F"/>
          <w:lang w:eastAsia="es-MX"/>
        </w:rPr>
        <w:t>V.</w:t>
      </w:r>
      <w:r w:rsidRPr="00AF7502">
        <w:rPr>
          <w:rFonts w:ascii="Palatino Linotype" w:hAnsi="Palatino Linotype" w:cs="Arial"/>
          <w:i/>
          <w:iCs/>
          <w:color w:val="2F2F2F"/>
          <w:lang w:eastAsia="es-MX"/>
        </w:rPr>
        <w:t>       </w:t>
      </w:r>
      <w:r w:rsidRPr="00AF7502">
        <w:rPr>
          <w:rFonts w:ascii="Palatino Linotype" w:hAnsi="Palatino Linotype" w:cs="Helvetica"/>
          <w:i/>
          <w:iCs/>
          <w:color w:val="2F2F2F"/>
          <w:lang w:eastAsia="es-MX"/>
        </w:rPr>
        <w:t>En la motivación de la clasificación, el sujeto obligado deberá acreditar las circunstancias de modo, tiempo y lugar del daño, y</w:t>
      </w:r>
    </w:p>
    <w:p w14:paraId="3B1C1D61" w14:textId="77777777" w:rsidR="005502D2" w:rsidRPr="00AF7502" w:rsidRDefault="005502D2" w:rsidP="005502D2">
      <w:pPr>
        <w:shd w:val="clear" w:color="auto" w:fill="FFFFFF"/>
        <w:spacing w:after="82" w:line="360" w:lineRule="auto"/>
        <w:ind w:left="567" w:right="616"/>
        <w:jc w:val="both"/>
        <w:rPr>
          <w:rFonts w:ascii="Palatino Linotype" w:hAnsi="Palatino Linotype" w:cs="Arial"/>
          <w:i/>
          <w:iCs/>
          <w:color w:val="2F2F2F"/>
          <w:lang w:eastAsia="es-MX"/>
        </w:rPr>
      </w:pPr>
      <w:r w:rsidRPr="00AF7502">
        <w:rPr>
          <w:rFonts w:ascii="Palatino Linotype" w:hAnsi="Palatino Linotype" w:cs="Helvetica"/>
          <w:b/>
          <w:bCs/>
          <w:i/>
          <w:iCs/>
          <w:color w:val="2F2F2F"/>
          <w:lang w:eastAsia="es-MX"/>
        </w:rPr>
        <w:t>VI.</w:t>
      </w:r>
      <w:r w:rsidRPr="00AF7502">
        <w:rPr>
          <w:rFonts w:ascii="Palatino Linotype" w:hAnsi="Palatino Linotype" w:cs="Arial"/>
          <w:i/>
          <w:iCs/>
          <w:color w:val="2F2F2F"/>
          <w:lang w:eastAsia="es-MX"/>
        </w:rPr>
        <w:t>      </w:t>
      </w:r>
      <w:r w:rsidRPr="00AF7502">
        <w:rPr>
          <w:rFonts w:ascii="Palatino Linotype" w:hAnsi="Palatino Linotype" w:cs="Helvetica"/>
          <w:i/>
          <w:iCs/>
          <w:color w:val="2F2F2F"/>
          <w:lang w:eastAsia="es-MX"/>
        </w:rPr>
        <w:t>Deberán elegir la opción de excepción al acceso a la información que menos lo restrinja, la cual será adecuada y proporcional para la protección del interés público, y deberá interferir lo menos</w:t>
      </w:r>
      <w:r w:rsidRPr="00AF7502">
        <w:rPr>
          <w:rFonts w:ascii="Palatino Linotype" w:hAnsi="Palatino Linotype" w:cs="Arial"/>
          <w:i/>
          <w:iCs/>
          <w:color w:val="2F2F2F"/>
          <w:lang w:eastAsia="es-MX"/>
        </w:rPr>
        <w:t xml:space="preserve"> </w:t>
      </w:r>
      <w:r w:rsidRPr="00AF7502">
        <w:rPr>
          <w:rFonts w:ascii="Palatino Linotype" w:hAnsi="Palatino Linotype" w:cs="Helvetica"/>
          <w:i/>
          <w:iCs/>
          <w:color w:val="2F2F2F"/>
          <w:lang w:eastAsia="es-MX"/>
        </w:rPr>
        <w:t>posible en el ejercicio efectivo del derecho de acceso a la información.</w:t>
      </w:r>
    </w:p>
    <w:p w14:paraId="506D413E" w14:textId="53167AD0" w:rsidR="005502D2" w:rsidRPr="00AF7502" w:rsidRDefault="00F24CE9" w:rsidP="005502D2">
      <w:pPr>
        <w:pStyle w:val="Ttulo4"/>
        <w:numPr>
          <w:ilvl w:val="0"/>
          <w:numId w:val="24"/>
        </w:numPr>
        <w:jc w:val="both"/>
        <w:rPr>
          <w:rFonts w:ascii="Palatino Linotype" w:eastAsiaTheme="minorEastAsia" w:hAnsi="Palatino Linotype"/>
          <w:i w:val="0"/>
          <w:iCs w:val="0"/>
          <w:sz w:val="22"/>
          <w:szCs w:val="22"/>
        </w:rPr>
      </w:pPr>
      <w:r w:rsidRPr="00AF7502">
        <w:rPr>
          <w:rFonts w:ascii="Palatino Linotype" w:eastAsia="Times New Roman" w:hAnsi="Palatino Linotype" w:cs="Helvetica"/>
          <w:b/>
          <w:bCs/>
          <w:i w:val="0"/>
          <w:iCs w:val="0"/>
          <w:color w:val="2F2F2F"/>
          <w:sz w:val="22"/>
          <w:szCs w:val="22"/>
          <w:lang w:eastAsia="es-MX"/>
        </w:rPr>
        <w:t>Actualización de la causal de reserva de la información</w:t>
      </w:r>
    </w:p>
    <w:p w14:paraId="0A6CBBBF" w14:textId="77777777" w:rsidR="005502D2" w:rsidRPr="00AF7502" w:rsidRDefault="005502D2" w:rsidP="005502D2">
      <w:pPr>
        <w:pStyle w:val="Prrafodelista"/>
        <w:spacing w:before="240" w:after="240" w:line="360" w:lineRule="auto"/>
        <w:ind w:left="0" w:right="49"/>
        <w:jc w:val="both"/>
        <w:rPr>
          <w:rFonts w:ascii="Palatino Linotype" w:hAnsi="Palatino Linotype" w:cs="Bookman Old Style"/>
        </w:rPr>
      </w:pPr>
    </w:p>
    <w:p w14:paraId="086B4829" w14:textId="77777777" w:rsidR="005502D2" w:rsidRPr="00AF7502" w:rsidRDefault="005502D2" w:rsidP="005502D2">
      <w:pPr>
        <w:pStyle w:val="Prrafodelista"/>
        <w:numPr>
          <w:ilvl w:val="0"/>
          <w:numId w:val="2"/>
        </w:numPr>
        <w:spacing w:before="240" w:after="240" w:line="360" w:lineRule="auto"/>
        <w:ind w:left="0" w:right="49" w:firstLine="0"/>
        <w:jc w:val="both"/>
        <w:rPr>
          <w:rFonts w:ascii="Palatino Linotype" w:hAnsi="Palatino Linotype" w:cs="Bookman Old Style"/>
        </w:rPr>
      </w:pPr>
      <w:r w:rsidRPr="00AF7502">
        <w:rPr>
          <w:rFonts w:ascii="Palatino Linotype" w:eastAsia="Calibri" w:hAnsi="Palatino Linotype" w:cs="Arial"/>
          <w:sz w:val="24"/>
        </w:rPr>
        <w:t xml:space="preserve">El artículo 113, fracción V </w:t>
      </w:r>
      <w:r w:rsidRPr="00AF7502">
        <w:rPr>
          <w:rFonts w:ascii="Palatino Linotype" w:hAnsi="Palatino Linotype"/>
          <w:color w:val="000000" w:themeColor="text1"/>
          <w:sz w:val="24"/>
        </w:rPr>
        <w:t>de la Ley General de Transparencia y Acceso a la Información Pública</w:t>
      </w:r>
      <w:r w:rsidRPr="00AF7502">
        <w:rPr>
          <w:rFonts w:ascii="Palatino Linotype" w:eastAsia="Calibri" w:hAnsi="Palatino Linotype" w:cs="Arial"/>
          <w:sz w:val="24"/>
        </w:rPr>
        <w:t xml:space="preserve">, así como el artículo 140, fracción IV, de la Ley de Transparencia y Acceso a la Información Pública del Estado de México y Municipios, </w:t>
      </w:r>
      <w:r w:rsidRPr="00AF7502">
        <w:rPr>
          <w:rFonts w:ascii="Palatino Linotype" w:hAnsi="Palatino Linotype" w:cs="Arial"/>
          <w:sz w:val="24"/>
        </w:rPr>
        <w:t>Municipios, en relación con el Lineamiento Vigésimo Tercero de los Lineamientos Generales en Materia de Clasificación, Desclasificación de la Información, así como para la Elaboración de Versiones Públicas establecen lo siguiente:</w:t>
      </w:r>
    </w:p>
    <w:p w14:paraId="16BC0219" w14:textId="77777777" w:rsidR="005502D2" w:rsidRPr="00AF7502" w:rsidRDefault="005502D2" w:rsidP="005502D2">
      <w:pPr>
        <w:spacing w:line="360" w:lineRule="auto"/>
        <w:ind w:left="567" w:right="567"/>
        <w:jc w:val="both"/>
        <w:rPr>
          <w:rFonts w:ascii="Palatino Linotype" w:hAnsi="Palatino Linotype"/>
          <w:b/>
          <w:bCs/>
          <w:i/>
          <w:iCs/>
        </w:rPr>
      </w:pPr>
      <w:r w:rsidRPr="00AF7502">
        <w:rPr>
          <w:rFonts w:ascii="Palatino Linotype" w:hAnsi="Palatino Linotype"/>
          <w:b/>
          <w:bCs/>
          <w:i/>
          <w:iCs/>
          <w:color w:val="000000" w:themeColor="text1"/>
          <w:sz w:val="22"/>
          <w:szCs w:val="22"/>
        </w:rPr>
        <w:lastRenderedPageBreak/>
        <w:t>Ley General de Transparencia y Acceso a la Información Pública</w:t>
      </w:r>
      <w:r w:rsidRPr="00AF7502">
        <w:rPr>
          <w:rFonts w:ascii="Palatino Linotype" w:hAnsi="Palatino Linotype"/>
          <w:b/>
          <w:bCs/>
          <w:i/>
          <w:iCs/>
        </w:rPr>
        <w:t xml:space="preserve"> </w:t>
      </w:r>
    </w:p>
    <w:p w14:paraId="45A92B36" w14:textId="77777777" w:rsidR="005502D2" w:rsidRPr="00AF7502" w:rsidRDefault="005502D2" w:rsidP="005502D2">
      <w:pPr>
        <w:spacing w:line="360" w:lineRule="auto"/>
        <w:ind w:left="567" w:right="567"/>
        <w:jc w:val="center"/>
        <w:rPr>
          <w:rFonts w:ascii="Palatino Linotype" w:hAnsi="Palatino Linotype"/>
          <w:i/>
          <w:iCs/>
          <w:sz w:val="22"/>
          <w:szCs w:val="22"/>
        </w:rPr>
      </w:pPr>
      <w:r w:rsidRPr="00AF7502">
        <w:rPr>
          <w:rFonts w:ascii="Palatino Linotype" w:hAnsi="Palatino Linotype"/>
          <w:i/>
          <w:iCs/>
          <w:sz w:val="22"/>
          <w:szCs w:val="22"/>
        </w:rPr>
        <w:t>Capítulo II</w:t>
      </w:r>
    </w:p>
    <w:p w14:paraId="05EB7DF4" w14:textId="77777777" w:rsidR="005502D2" w:rsidRPr="00AF7502" w:rsidRDefault="005502D2" w:rsidP="005502D2">
      <w:pPr>
        <w:spacing w:line="360" w:lineRule="auto"/>
        <w:ind w:left="567" w:right="567"/>
        <w:jc w:val="center"/>
        <w:rPr>
          <w:rFonts w:ascii="Palatino Linotype" w:hAnsi="Palatino Linotype"/>
          <w:i/>
          <w:iCs/>
          <w:sz w:val="22"/>
          <w:szCs w:val="22"/>
        </w:rPr>
      </w:pPr>
      <w:r w:rsidRPr="00AF7502">
        <w:rPr>
          <w:rFonts w:ascii="Palatino Linotype" w:hAnsi="Palatino Linotype"/>
          <w:i/>
          <w:iCs/>
          <w:sz w:val="22"/>
          <w:szCs w:val="22"/>
        </w:rPr>
        <w:t>De la Información Reservada</w:t>
      </w:r>
    </w:p>
    <w:p w14:paraId="364BAA1F" w14:textId="77777777" w:rsidR="005502D2" w:rsidRPr="00AF7502" w:rsidRDefault="005502D2" w:rsidP="005502D2">
      <w:pPr>
        <w:spacing w:line="360" w:lineRule="auto"/>
        <w:ind w:left="567" w:right="567"/>
        <w:jc w:val="both"/>
        <w:rPr>
          <w:rFonts w:ascii="Palatino Linotype" w:hAnsi="Palatino Linotype" w:cs="Arial"/>
          <w:i/>
          <w:iCs/>
          <w:sz w:val="22"/>
          <w:szCs w:val="22"/>
        </w:rPr>
      </w:pPr>
      <w:r w:rsidRPr="00AF7502">
        <w:rPr>
          <w:rFonts w:ascii="Palatino Linotype" w:hAnsi="Palatino Linotype"/>
          <w:i/>
          <w:iCs/>
          <w:sz w:val="22"/>
          <w:szCs w:val="22"/>
        </w:rPr>
        <w:t>Artículo 113. Como información reservada podrá clasificarse aquella cuya publicación:</w:t>
      </w:r>
    </w:p>
    <w:p w14:paraId="0FCA2EBF" w14:textId="77777777" w:rsidR="005502D2" w:rsidRPr="00AF7502" w:rsidRDefault="005502D2" w:rsidP="005502D2">
      <w:pPr>
        <w:spacing w:line="360" w:lineRule="auto"/>
        <w:ind w:left="567" w:right="567"/>
        <w:jc w:val="both"/>
        <w:rPr>
          <w:rFonts w:ascii="Palatino Linotype" w:hAnsi="Palatino Linotype" w:cs="Arial"/>
          <w:i/>
          <w:iCs/>
          <w:sz w:val="22"/>
          <w:szCs w:val="22"/>
        </w:rPr>
      </w:pPr>
      <w:r w:rsidRPr="00AF7502">
        <w:rPr>
          <w:rFonts w:ascii="Palatino Linotype" w:hAnsi="Palatino Linotype" w:cs="Arial"/>
          <w:i/>
          <w:iCs/>
          <w:sz w:val="22"/>
          <w:szCs w:val="22"/>
        </w:rPr>
        <w:t>…</w:t>
      </w:r>
    </w:p>
    <w:p w14:paraId="5A7013CD" w14:textId="77777777" w:rsidR="005502D2" w:rsidRPr="00AF7502" w:rsidRDefault="005502D2" w:rsidP="005502D2">
      <w:pPr>
        <w:spacing w:line="360" w:lineRule="auto"/>
        <w:ind w:left="567" w:right="567"/>
        <w:jc w:val="both"/>
        <w:rPr>
          <w:rFonts w:ascii="Palatino Linotype" w:hAnsi="Palatino Linotype"/>
          <w:i/>
          <w:iCs/>
          <w:sz w:val="22"/>
          <w:szCs w:val="22"/>
        </w:rPr>
      </w:pPr>
      <w:r w:rsidRPr="00AF7502">
        <w:rPr>
          <w:rFonts w:ascii="Palatino Linotype" w:hAnsi="Palatino Linotype"/>
          <w:i/>
          <w:iCs/>
          <w:sz w:val="22"/>
          <w:szCs w:val="22"/>
        </w:rPr>
        <w:t>V. Pueda poner en riesgo la vida, seguridad o salud de una persona física;</w:t>
      </w:r>
    </w:p>
    <w:p w14:paraId="18B48514" w14:textId="77777777" w:rsidR="005502D2" w:rsidRPr="00AF7502" w:rsidRDefault="005502D2" w:rsidP="005502D2">
      <w:pPr>
        <w:spacing w:line="360" w:lineRule="auto"/>
        <w:ind w:left="567" w:right="567"/>
        <w:jc w:val="both"/>
        <w:rPr>
          <w:rFonts w:ascii="Palatino Linotype" w:hAnsi="Palatino Linotype"/>
          <w:i/>
          <w:iCs/>
          <w:sz w:val="22"/>
          <w:szCs w:val="22"/>
        </w:rPr>
      </w:pPr>
      <w:r w:rsidRPr="00AF7502">
        <w:rPr>
          <w:rFonts w:ascii="Palatino Linotype" w:hAnsi="Palatino Linotype"/>
          <w:i/>
          <w:iCs/>
          <w:sz w:val="22"/>
          <w:szCs w:val="22"/>
        </w:rPr>
        <w:t>…</w:t>
      </w:r>
    </w:p>
    <w:p w14:paraId="60620F6E" w14:textId="77777777" w:rsidR="005502D2" w:rsidRPr="00AF7502" w:rsidRDefault="005502D2" w:rsidP="005502D2">
      <w:pPr>
        <w:pStyle w:val="Prrafodelista"/>
        <w:widowControl w:val="0"/>
        <w:autoSpaceDE w:val="0"/>
        <w:autoSpaceDN w:val="0"/>
        <w:adjustRightInd w:val="0"/>
        <w:spacing w:before="360" w:after="240" w:line="276" w:lineRule="auto"/>
        <w:ind w:left="567" w:right="567"/>
        <w:jc w:val="center"/>
        <w:rPr>
          <w:rFonts w:ascii="Palatino Linotype" w:hAnsi="Palatino Linotype"/>
          <w:b/>
          <w:i/>
        </w:rPr>
      </w:pPr>
      <w:r w:rsidRPr="00AF7502">
        <w:rPr>
          <w:rFonts w:ascii="Palatino Linotype" w:hAnsi="Palatino Linotype"/>
          <w:b/>
          <w:i/>
        </w:rPr>
        <w:t>LEY DE TRANSPARENCIA Y ACCESO A LA INFORMACIÓN PÚBLICA DEL ESTADO DE MÉXICO Y MUNICIPIOS</w:t>
      </w:r>
    </w:p>
    <w:p w14:paraId="2CF6CD86" w14:textId="77777777" w:rsidR="005502D2" w:rsidRPr="00AF7502" w:rsidRDefault="005502D2" w:rsidP="005502D2">
      <w:pPr>
        <w:pStyle w:val="Prrafodelista"/>
        <w:widowControl w:val="0"/>
        <w:autoSpaceDE w:val="0"/>
        <w:autoSpaceDN w:val="0"/>
        <w:adjustRightInd w:val="0"/>
        <w:spacing w:before="360" w:after="240" w:line="276" w:lineRule="auto"/>
        <w:ind w:left="567" w:right="567"/>
        <w:jc w:val="both"/>
        <w:rPr>
          <w:rFonts w:ascii="Palatino Linotype" w:hAnsi="Palatino Linotype"/>
          <w:i/>
        </w:rPr>
      </w:pPr>
      <w:r w:rsidRPr="00AF7502">
        <w:rPr>
          <w:rFonts w:ascii="Palatino Linotype" w:hAnsi="Palatino Linotype"/>
          <w:i/>
        </w:rPr>
        <w:t>“</w:t>
      </w:r>
      <w:r w:rsidRPr="00AF7502">
        <w:rPr>
          <w:rFonts w:ascii="Palatino Linotype" w:hAnsi="Palatino Linotype"/>
          <w:b/>
          <w:i/>
        </w:rPr>
        <w:t>Artículo 140.</w:t>
      </w:r>
      <w:r w:rsidRPr="00AF7502">
        <w:rPr>
          <w:rFonts w:ascii="Palatino Linotype" w:hAnsi="Palatino Linotype"/>
          <w:i/>
        </w:rPr>
        <w:t xml:space="preserve"> </w:t>
      </w:r>
      <w:r w:rsidRPr="00AF7502">
        <w:rPr>
          <w:rFonts w:ascii="Palatino Linotype" w:hAnsi="Palatino Linotype"/>
          <w:b/>
          <w:i/>
        </w:rPr>
        <w:t>El acceso a la información pública será restringido</w:t>
      </w:r>
      <w:r w:rsidRPr="00AF7502">
        <w:rPr>
          <w:rFonts w:ascii="Palatino Linotype" w:hAnsi="Palatino Linotype"/>
          <w:i/>
        </w:rPr>
        <w:t xml:space="preserve"> excepcionalmente, </w:t>
      </w:r>
      <w:r w:rsidRPr="00AF7502">
        <w:rPr>
          <w:rFonts w:ascii="Palatino Linotype" w:hAnsi="Palatino Linotype"/>
          <w:b/>
          <w:i/>
        </w:rPr>
        <w:t>cuando</w:t>
      </w:r>
      <w:r w:rsidRPr="00AF7502">
        <w:rPr>
          <w:rFonts w:ascii="Palatino Linotype" w:hAnsi="Palatino Linotype"/>
          <w:i/>
        </w:rPr>
        <w:t xml:space="preserve"> por razones de interés público, </w:t>
      </w:r>
      <w:r w:rsidRPr="00AF7502">
        <w:rPr>
          <w:rFonts w:ascii="Palatino Linotype" w:hAnsi="Palatino Linotype"/>
          <w:b/>
          <w:i/>
        </w:rPr>
        <w:t xml:space="preserve">ésta sea </w:t>
      </w:r>
      <w:r w:rsidRPr="00AF7502">
        <w:rPr>
          <w:rFonts w:ascii="Palatino Linotype" w:hAnsi="Palatino Linotype"/>
          <w:b/>
          <w:i/>
          <w:u w:val="single"/>
        </w:rPr>
        <w:t>clasificada como reservada</w:t>
      </w:r>
      <w:r w:rsidRPr="00AF7502">
        <w:rPr>
          <w:rFonts w:ascii="Palatino Linotype" w:hAnsi="Palatino Linotype"/>
          <w:b/>
          <w:i/>
        </w:rPr>
        <w:t>, conforme a los criterios siguientes</w:t>
      </w:r>
      <w:r w:rsidRPr="00AF7502">
        <w:rPr>
          <w:rFonts w:ascii="Palatino Linotype" w:hAnsi="Palatino Linotype"/>
          <w:i/>
        </w:rPr>
        <w:t>:</w:t>
      </w:r>
    </w:p>
    <w:p w14:paraId="13374A00" w14:textId="77777777" w:rsidR="005502D2" w:rsidRPr="00AF7502" w:rsidRDefault="005502D2" w:rsidP="005502D2">
      <w:pPr>
        <w:pStyle w:val="Prrafodelista"/>
        <w:widowControl w:val="0"/>
        <w:autoSpaceDE w:val="0"/>
        <w:autoSpaceDN w:val="0"/>
        <w:adjustRightInd w:val="0"/>
        <w:spacing w:before="360" w:after="240" w:line="276" w:lineRule="auto"/>
        <w:ind w:left="567" w:right="567"/>
        <w:jc w:val="both"/>
        <w:rPr>
          <w:rFonts w:ascii="Palatino Linotype" w:hAnsi="Palatino Linotype"/>
          <w:i/>
        </w:rPr>
      </w:pPr>
      <w:r w:rsidRPr="00AF7502">
        <w:rPr>
          <w:rFonts w:ascii="Palatino Linotype" w:hAnsi="Palatino Linotype"/>
          <w:i/>
        </w:rPr>
        <w:t>(…)</w:t>
      </w:r>
    </w:p>
    <w:p w14:paraId="4B1E9DF1" w14:textId="77777777" w:rsidR="005502D2" w:rsidRPr="00AF7502" w:rsidRDefault="005502D2" w:rsidP="005502D2">
      <w:pPr>
        <w:pStyle w:val="Prrafodelista"/>
        <w:widowControl w:val="0"/>
        <w:autoSpaceDE w:val="0"/>
        <w:autoSpaceDN w:val="0"/>
        <w:adjustRightInd w:val="0"/>
        <w:spacing w:before="360" w:after="240" w:line="276" w:lineRule="auto"/>
        <w:ind w:left="567" w:right="567"/>
        <w:jc w:val="both"/>
        <w:rPr>
          <w:rFonts w:ascii="Palatino Linotype" w:hAnsi="Palatino Linotype"/>
          <w:i/>
        </w:rPr>
      </w:pPr>
      <w:r w:rsidRPr="00AF7502">
        <w:rPr>
          <w:rFonts w:ascii="Palatino Linotype" w:hAnsi="Palatino Linotype"/>
          <w:b/>
          <w:i/>
        </w:rPr>
        <w:t>IV.  Ponga en riesgo la vida, la seguridad o la salud de una persona física;</w:t>
      </w:r>
      <w:r w:rsidRPr="00AF7502">
        <w:rPr>
          <w:rFonts w:ascii="Palatino Linotype" w:hAnsi="Palatino Linotype"/>
          <w:i/>
        </w:rPr>
        <w:t>”</w:t>
      </w:r>
    </w:p>
    <w:p w14:paraId="709E0C60" w14:textId="77777777" w:rsidR="005502D2" w:rsidRPr="00AF7502" w:rsidRDefault="005502D2" w:rsidP="005502D2">
      <w:pPr>
        <w:pStyle w:val="Prrafodelista"/>
        <w:widowControl w:val="0"/>
        <w:autoSpaceDE w:val="0"/>
        <w:autoSpaceDN w:val="0"/>
        <w:adjustRightInd w:val="0"/>
        <w:spacing w:before="360" w:after="240" w:line="276" w:lineRule="auto"/>
        <w:ind w:left="567" w:right="567"/>
        <w:jc w:val="both"/>
        <w:rPr>
          <w:rFonts w:ascii="Palatino Linotype" w:hAnsi="Palatino Linotype"/>
          <w:i/>
        </w:rPr>
      </w:pPr>
    </w:p>
    <w:p w14:paraId="7A4DB94E" w14:textId="77777777" w:rsidR="005502D2" w:rsidRPr="00AF7502" w:rsidRDefault="005502D2" w:rsidP="005502D2">
      <w:pPr>
        <w:pStyle w:val="Prrafodelista"/>
        <w:widowControl w:val="0"/>
        <w:autoSpaceDE w:val="0"/>
        <w:autoSpaceDN w:val="0"/>
        <w:adjustRightInd w:val="0"/>
        <w:spacing w:before="360" w:after="240" w:line="276" w:lineRule="auto"/>
        <w:ind w:left="567" w:right="567"/>
        <w:jc w:val="center"/>
        <w:rPr>
          <w:rFonts w:ascii="Palatino Linotype" w:hAnsi="Palatino Linotype" w:cs="Arial"/>
          <w:b/>
          <w:i/>
        </w:rPr>
      </w:pPr>
      <w:r w:rsidRPr="00AF7502">
        <w:rPr>
          <w:rFonts w:ascii="Palatino Linotype" w:hAnsi="Palatino Linotype" w:cs="Arial"/>
          <w:b/>
          <w:i/>
        </w:rPr>
        <w:t>LINEAMIENTOS GENERALES EN MATERIA DE CLASIFICACIÓN, DESCLASIFICACIÓN DE LA INFORMACIÓN, ASÍ COMO PARA LA ELABORACIÓN DE VERSIONES PÚBLICAS</w:t>
      </w:r>
    </w:p>
    <w:p w14:paraId="12CADE0C" w14:textId="77777777" w:rsidR="005502D2" w:rsidRPr="00AF7502" w:rsidRDefault="005502D2" w:rsidP="005502D2">
      <w:pPr>
        <w:pStyle w:val="Prrafodelista"/>
        <w:widowControl w:val="0"/>
        <w:autoSpaceDE w:val="0"/>
        <w:autoSpaceDN w:val="0"/>
        <w:adjustRightInd w:val="0"/>
        <w:spacing w:before="360" w:after="240" w:line="276" w:lineRule="auto"/>
        <w:ind w:left="567" w:right="567"/>
        <w:jc w:val="both"/>
        <w:rPr>
          <w:rFonts w:ascii="Palatino Linotype" w:hAnsi="Palatino Linotype" w:cs="Arial"/>
          <w:i/>
        </w:rPr>
      </w:pPr>
      <w:r w:rsidRPr="00AF7502">
        <w:rPr>
          <w:rFonts w:ascii="Palatino Linotype" w:hAnsi="Palatino Linotype" w:cs="Arial"/>
          <w:i/>
        </w:rPr>
        <w:t>“</w:t>
      </w:r>
      <w:r w:rsidRPr="00AF7502">
        <w:rPr>
          <w:rFonts w:ascii="Palatino Linotype" w:hAnsi="Palatino Linotype" w:cs="Arial"/>
          <w:b/>
          <w:i/>
        </w:rPr>
        <w:t xml:space="preserve">Vigésimo tercero. </w:t>
      </w:r>
      <w:r w:rsidRPr="00AF7502">
        <w:rPr>
          <w:rFonts w:ascii="Palatino Linotype" w:hAnsi="Palatino Linotype" w:cs="Arial"/>
          <w:bCs/>
          <w:i/>
        </w:rPr>
        <w:t>Para clasificar la información como reservada, de conformidad con el artículo 113, fracción V de la Ley General, será necesario acreditar un vínculo, entre la persona física y la información que pueda poner en riesgo su vida, seguridad o salud.”</w:t>
      </w:r>
    </w:p>
    <w:p w14:paraId="0BB53DD1" w14:textId="77777777" w:rsidR="005502D2" w:rsidRPr="00AF7502" w:rsidRDefault="005502D2" w:rsidP="005502D2">
      <w:pPr>
        <w:pStyle w:val="Prrafodelista"/>
        <w:widowControl w:val="0"/>
        <w:autoSpaceDE w:val="0"/>
        <w:autoSpaceDN w:val="0"/>
        <w:adjustRightInd w:val="0"/>
        <w:spacing w:before="360" w:after="240" w:line="276" w:lineRule="auto"/>
        <w:ind w:left="567" w:right="567"/>
        <w:jc w:val="both"/>
        <w:rPr>
          <w:rFonts w:ascii="Palatino Linotype" w:hAnsi="Palatino Linotype" w:cs="Arial"/>
        </w:rPr>
      </w:pPr>
      <w:r w:rsidRPr="00AF7502">
        <w:rPr>
          <w:rFonts w:ascii="Palatino Linotype" w:hAnsi="Palatino Linotype" w:cs="Arial"/>
        </w:rPr>
        <w:t>(Énfasis añadido)</w:t>
      </w:r>
    </w:p>
    <w:p w14:paraId="43112B08" w14:textId="77777777" w:rsidR="005502D2" w:rsidRPr="00AF7502" w:rsidRDefault="005502D2" w:rsidP="005502D2">
      <w:pPr>
        <w:pStyle w:val="Prrafodelista"/>
        <w:widowControl w:val="0"/>
        <w:autoSpaceDE w:val="0"/>
        <w:autoSpaceDN w:val="0"/>
        <w:adjustRightInd w:val="0"/>
        <w:spacing w:before="360" w:after="240" w:line="276" w:lineRule="auto"/>
        <w:ind w:left="567" w:right="567"/>
        <w:jc w:val="both"/>
        <w:rPr>
          <w:rFonts w:ascii="Palatino Linotype" w:hAnsi="Palatino Linotype" w:cs="Arial"/>
        </w:rPr>
      </w:pPr>
    </w:p>
    <w:p w14:paraId="283AFEF4" w14:textId="4DA3887D" w:rsidR="00AF7502" w:rsidRPr="00AF7502" w:rsidRDefault="00AF7502" w:rsidP="00AF7502">
      <w:pPr>
        <w:pStyle w:val="Prrafodelista"/>
        <w:numPr>
          <w:ilvl w:val="0"/>
          <w:numId w:val="2"/>
        </w:numPr>
        <w:spacing w:before="240" w:after="240" w:line="360" w:lineRule="auto"/>
        <w:ind w:left="0" w:right="49" w:firstLine="0"/>
        <w:jc w:val="both"/>
        <w:rPr>
          <w:rFonts w:ascii="Palatino Linotype" w:hAnsi="Palatino Linotype" w:cs="Bookman Old Style"/>
          <w:sz w:val="24"/>
        </w:rPr>
      </w:pPr>
      <w:r>
        <w:rPr>
          <w:rFonts w:ascii="Palatino Linotype" w:hAnsi="Palatino Linotype" w:cs="Bookman Old Style"/>
          <w:sz w:val="24"/>
        </w:rPr>
        <w:t xml:space="preserve">Asimismo, </w:t>
      </w:r>
      <w:r w:rsidRPr="00AF7502">
        <w:rPr>
          <w:rFonts w:ascii="Palatino Linotype" w:hAnsi="Palatino Linotype" w:cs="Bookman Old Style"/>
        </w:rPr>
        <w:t xml:space="preserve">la información encuadra en la causal de reserva contenida en el artículo 113 fracción I de la Ley General de Transparencia y Acceso a la Información Pública, artículo 140 fracción I de la Ley de Transparencia y Acceso a la Información Pública del Estado de </w:t>
      </w:r>
      <w:r w:rsidRPr="00AF7502">
        <w:rPr>
          <w:rFonts w:ascii="Palatino Linotype" w:hAnsi="Palatino Linotype" w:cs="Bookman Old Style"/>
        </w:rPr>
        <w:lastRenderedPageBreak/>
        <w:t xml:space="preserve">México y Municipios, ambos en relación con el lineamiento décimo séptimo fracción VIII de los Lineamientos </w:t>
      </w:r>
    </w:p>
    <w:p w14:paraId="7A53ADB4" w14:textId="77777777" w:rsidR="00AF7502" w:rsidRPr="00AF7502" w:rsidRDefault="00AF7502" w:rsidP="00AF7502">
      <w:pPr>
        <w:pStyle w:val="Prrafodelista"/>
        <w:spacing w:before="240" w:after="240" w:line="360" w:lineRule="auto"/>
        <w:ind w:left="0" w:right="49"/>
        <w:jc w:val="both"/>
        <w:rPr>
          <w:rFonts w:ascii="Palatino Linotype" w:hAnsi="Palatino Linotype" w:cs="Bookman Old Style"/>
        </w:rPr>
      </w:pPr>
    </w:p>
    <w:p w14:paraId="773BD523" w14:textId="77777777" w:rsidR="00AF7502" w:rsidRPr="00AF7502" w:rsidRDefault="00AF7502" w:rsidP="00AF7502">
      <w:pPr>
        <w:pStyle w:val="Prrafodelista"/>
        <w:spacing w:before="240" w:after="240" w:line="360" w:lineRule="auto"/>
        <w:ind w:left="567" w:right="822"/>
        <w:jc w:val="center"/>
        <w:rPr>
          <w:rFonts w:ascii="Palatino Linotype" w:hAnsi="Palatino Linotype" w:cs="Bookman Old Style"/>
          <w:b/>
          <w:i/>
          <w:szCs w:val="22"/>
        </w:rPr>
      </w:pPr>
      <w:r w:rsidRPr="00AF7502">
        <w:rPr>
          <w:rFonts w:ascii="Palatino Linotype" w:hAnsi="Palatino Linotype" w:cs="Bookman Old Style"/>
          <w:b/>
          <w:i/>
          <w:szCs w:val="22"/>
        </w:rPr>
        <w:t>Ley General de Transparencia y Acceso a la Información Pública</w:t>
      </w:r>
    </w:p>
    <w:p w14:paraId="4D6C9E91" w14:textId="77777777" w:rsidR="00AF7502" w:rsidRPr="00AF7502" w:rsidRDefault="00AF7502" w:rsidP="00AF7502">
      <w:pPr>
        <w:pStyle w:val="Prrafodelista"/>
        <w:spacing w:before="240" w:after="240" w:line="360" w:lineRule="auto"/>
        <w:ind w:left="567" w:right="822"/>
        <w:jc w:val="center"/>
        <w:rPr>
          <w:rFonts w:ascii="Palatino Linotype" w:hAnsi="Palatino Linotype"/>
          <w:b/>
          <w:i/>
          <w:szCs w:val="22"/>
        </w:rPr>
      </w:pPr>
      <w:r w:rsidRPr="00AF7502">
        <w:rPr>
          <w:rFonts w:ascii="Palatino Linotype" w:hAnsi="Palatino Linotype"/>
          <w:b/>
          <w:i/>
          <w:szCs w:val="22"/>
        </w:rPr>
        <w:t>Capítulo II</w:t>
      </w:r>
    </w:p>
    <w:p w14:paraId="5B0C0E72" w14:textId="77777777" w:rsidR="00AF7502" w:rsidRPr="00AF7502" w:rsidRDefault="00AF7502" w:rsidP="00AF7502">
      <w:pPr>
        <w:pStyle w:val="Prrafodelista"/>
        <w:spacing w:before="240" w:after="240" w:line="360" w:lineRule="auto"/>
        <w:ind w:left="567" w:right="822"/>
        <w:jc w:val="center"/>
        <w:rPr>
          <w:rFonts w:ascii="Palatino Linotype" w:hAnsi="Palatino Linotype"/>
          <w:b/>
          <w:i/>
          <w:szCs w:val="22"/>
        </w:rPr>
      </w:pPr>
      <w:r w:rsidRPr="00AF7502">
        <w:rPr>
          <w:rFonts w:ascii="Palatino Linotype" w:hAnsi="Palatino Linotype"/>
          <w:b/>
          <w:i/>
          <w:szCs w:val="22"/>
        </w:rPr>
        <w:t>De la Información Reservada</w:t>
      </w:r>
    </w:p>
    <w:p w14:paraId="78930939" w14:textId="77777777" w:rsidR="00AF7502" w:rsidRPr="00AF7502" w:rsidRDefault="00AF7502" w:rsidP="00AF7502">
      <w:pPr>
        <w:pStyle w:val="Prrafodelista"/>
        <w:spacing w:before="240" w:after="240" w:line="360" w:lineRule="auto"/>
        <w:ind w:left="567" w:right="822"/>
        <w:jc w:val="both"/>
        <w:rPr>
          <w:rFonts w:ascii="Palatino Linotype" w:hAnsi="Palatino Linotype"/>
          <w:i/>
          <w:szCs w:val="22"/>
        </w:rPr>
      </w:pPr>
      <w:r w:rsidRPr="00AF7502">
        <w:rPr>
          <w:rFonts w:ascii="Palatino Linotype" w:hAnsi="Palatino Linotype"/>
          <w:i/>
          <w:szCs w:val="22"/>
        </w:rPr>
        <w:t xml:space="preserve">Artículo 113. Como información reservada podrá clasificarse aquella cuya publicación: </w:t>
      </w:r>
    </w:p>
    <w:p w14:paraId="3BD5B96E" w14:textId="77777777" w:rsidR="00AF7502" w:rsidRPr="00AF7502" w:rsidRDefault="00AF7502" w:rsidP="00AF7502">
      <w:pPr>
        <w:pStyle w:val="Prrafodelista"/>
        <w:spacing w:before="240" w:after="240" w:line="360" w:lineRule="auto"/>
        <w:ind w:left="567" w:right="822"/>
        <w:jc w:val="both"/>
        <w:rPr>
          <w:rFonts w:ascii="Palatino Linotype" w:hAnsi="Palatino Linotype"/>
          <w:i/>
          <w:szCs w:val="22"/>
        </w:rPr>
      </w:pPr>
    </w:p>
    <w:p w14:paraId="11379631" w14:textId="77777777" w:rsidR="00AF7502" w:rsidRPr="00AF7502" w:rsidRDefault="00AF7502" w:rsidP="00AF7502">
      <w:pPr>
        <w:pStyle w:val="Prrafodelista"/>
        <w:spacing w:before="240" w:after="240" w:line="360" w:lineRule="auto"/>
        <w:ind w:left="567" w:right="822"/>
        <w:jc w:val="both"/>
        <w:rPr>
          <w:rFonts w:ascii="Palatino Linotype" w:hAnsi="Palatino Linotype"/>
          <w:i/>
          <w:szCs w:val="22"/>
        </w:rPr>
      </w:pPr>
      <w:r w:rsidRPr="00AF7502">
        <w:rPr>
          <w:rFonts w:ascii="Palatino Linotype" w:hAnsi="Palatino Linotype"/>
          <w:i/>
          <w:szCs w:val="22"/>
        </w:rPr>
        <w:t>I. Comprometa la seguridad nacional, la seguridad pública o la defensa nacional y cuente con un propósito genuino y un efecto demostrable;</w:t>
      </w:r>
    </w:p>
    <w:p w14:paraId="1C89987D" w14:textId="77777777" w:rsidR="00AF7502" w:rsidRPr="00AF7502" w:rsidRDefault="00AF7502" w:rsidP="00AF7502">
      <w:pPr>
        <w:pStyle w:val="Prrafodelista"/>
        <w:spacing w:before="240" w:after="240" w:line="360" w:lineRule="auto"/>
        <w:ind w:left="567" w:right="822"/>
        <w:jc w:val="both"/>
        <w:rPr>
          <w:rFonts w:ascii="Palatino Linotype" w:hAnsi="Palatino Linotype" w:cs="Bookman Old Style"/>
          <w:i/>
          <w:szCs w:val="22"/>
        </w:rPr>
      </w:pPr>
      <w:r w:rsidRPr="00AF7502">
        <w:rPr>
          <w:rFonts w:ascii="Palatino Linotype" w:hAnsi="Palatino Linotype"/>
          <w:i/>
          <w:szCs w:val="22"/>
        </w:rPr>
        <w:t>…</w:t>
      </w:r>
    </w:p>
    <w:p w14:paraId="65ABC036" w14:textId="77777777" w:rsidR="00AF7502" w:rsidRPr="00AF7502" w:rsidRDefault="00AF7502" w:rsidP="00AF7502">
      <w:pPr>
        <w:pStyle w:val="Prrafodelista"/>
        <w:spacing w:before="240" w:after="240" w:line="360" w:lineRule="auto"/>
        <w:ind w:left="567" w:right="822"/>
        <w:jc w:val="both"/>
        <w:rPr>
          <w:rFonts w:ascii="Palatino Linotype" w:hAnsi="Palatino Linotype" w:cs="Bookman Old Style"/>
          <w:i/>
          <w:szCs w:val="22"/>
        </w:rPr>
      </w:pPr>
    </w:p>
    <w:p w14:paraId="08F9B86E" w14:textId="77777777" w:rsidR="00AF7502" w:rsidRPr="00AF7502" w:rsidRDefault="00AF7502" w:rsidP="00AF7502">
      <w:pPr>
        <w:pStyle w:val="Prrafodelista"/>
        <w:spacing w:before="240" w:after="240" w:line="360" w:lineRule="auto"/>
        <w:ind w:left="567" w:right="822"/>
        <w:jc w:val="center"/>
        <w:rPr>
          <w:rFonts w:ascii="Palatino Linotype" w:hAnsi="Palatino Linotype" w:cs="Bookman Old Style"/>
          <w:b/>
          <w:i/>
          <w:szCs w:val="22"/>
        </w:rPr>
      </w:pPr>
      <w:r w:rsidRPr="00AF7502">
        <w:rPr>
          <w:rFonts w:ascii="Palatino Linotype" w:hAnsi="Palatino Linotype" w:cs="Bookman Old Style"/>
          <w:b/>
          <w:i/>
          <w:szCs w:val="22"/>
        </w:rPr>
        <w:t>Ley de Transparencia y Acceso a la Información Pública del Estado de México y Municipios</w:t>
      </w:r>
    </w:p>
    <w:p w14:paraId="6F24FB25" w14:textId="77777777" w:rsidR="00AF7502" w:rsidRPr="00AF7502" w:rsidRDefault="00AF7502" w:rsidP="00AF7502">
      <w:pPr>
        <w:pStyle w:val="Prrafodelista"/>
        <w:spacing w:before="240" w:after="240" w:line="360" w:lineRule="auto"/>
        <w:ind w:left="567" w:right="822"/>
        <w:jc w:val="center"/>
        <w:rPr>
          <w:rFonts w:ascii="Palatino Linotype" w:hAnsi="Palatino Linotype"/>
          <w:b/>
          <w:i/>
          <w:szCs w:val="22"/>
        </w:rPr>
      </w:pPr>
      <w:r w:rsidRPr="00AF7502">
        <w:rPr>
          <w:rFonts w:ascii="Palatino Linotype" w:hAnsi="Palatino Linotype"/>
          <w:b/>
          <w:i/>
          <w:szCs w:val="22"/>
        </w:rPr>
        <w:t>Capítulo II</w:t>
      </w:r>
    </w:p>
    <w:p w14:paraId="78C3BA91" w14:textId="77777777" w:rsidR="00AF7502" w:rsidRPr="00AF7502" w:rsidRDefault="00AF7502" w:rsidP="00AF7502">
      <w:pPr>
        <w:pStyle w:val="Prrafodelista"/>
        <w:spacing w:before="240" w:after="240" w:line="360" w:lineRule="auto"/>
        <w:ind w:left="567" w:right="822"/>
        <w:jc w:val="center"/>
        <w:rPr>
          <w:rFonts w:ascii="Palatino Linotype" w:hAnsi="Palatino Linotype" w:cs="Bookman Old Style"/>
          <w:b/>
          <w:i/>
          <w:szCs w:val="22"/>
        </w:rPr>
      </w:pPr>
      <w:r w:rsidRPr="00AF7502">
        <w:rPr>
          <w:rFonts w:ascii="Palatino Linotype" w:hAnsi="Palatino Linotype"/>
          <w:b/>
          <w:i/>
          <w:szCs w:val="22"/>
        </w:rPr>
        <w:t>De la Información Reservada</w:t>
      </w:r>
    </w:p>
    <w:p w14:paraId="07D93DE5" w14:textId="77777777" w:rsidR="00AF7502" w:rsidRPr="00AF7502" w:rsidRDefault="00AF7502" w:rsidP="00AF7502">
      <w:pPr>
        <w:pStyle w:val="Prrafodelista"/>
        <w:spacing w:before="240" w:after="240" w:line="360" w:lineRule="auto"/>
        <w:ind w:left="567" w:right="822"/>
        <w:jc w:val="both"/>
        <w:rPr>
          <w:rFonts w:ascii="Palatino Linotype" w:hAnsi="Palatino Linotype" w:cs="Bookman Old Style"/>
          <w:i/>
          <w:szCs w:val="22"/>
        </w:rPr>
      </w:pPr>
    </w:p>
    <w:p w14:paraId="34283F5A" w14:textId="77777777" w:rsidR="00AF7502" w:rsidRPr="00AF7502" w:rsidRDefault="00AF7502" w:rsidP="00AF7502">
      <w:pPr>
        <w:pStyle w:val="Prrafodelista"/>
        <w:spacing w:before="240" w:after="240" w:line="360" w:lineRule="auto"/>
        <w:ind w:left="567" w:right="822"/>
        <w:jc w:val="both"/>
        <w:rPr>
          <w:rFonts w:ascii="Palatino Linotype" w:hAnsi="Palatino Linotype"/>
          <w:i/>
          <w:szCs w:val="22"/>
        </w:rPr>
      </w:pPr>
      <w:r w:rsidRPr="00AF7502">
        <w:rPr>
          <w:rFonts w:ascii="Palatino Linotype" w:hAnsi="Palatino Linotype"/>
          <w:b/>
          <w:i/>
          <w:szCs w:val="22"/>
        </w:rPr>
        <w:t>Artículo 140.</w:t>
      </w:r>
      <w:r w:rsidRPr="00AF7502">
        <w:rPr>
          <w:rFonts w:ascii="Palatino Linotype" w:hAnsi="Palatino Linotype"/>
          <w:i/>
          <w:szCs w:val="22"/>
        </w:rPr>
        <w:t xml:space="preserve"> El acceso a la información pública será restringido excepcionalmente, cuando por razones de interés público, ésta sea clasificada como reservada, conforme a los criterios siguientes: </w:t>
      </w:r>
    </w:p>
    <w:p w14:paraId="07132C47" w14:textId="77777777" w:rsidR="00AF7502" w:rsidRPr="00AF7502" w:rsidRDefault="00AF7502" w:rsidP="00AF7502">
      <w:pPr>
        <w:pStyle w:val="Prrafodelista"/>
        <w:spacing w:before="240" w:after="240" w:line="360" w:lineRule="auto"/>
        <w:ind w:left="567" w:right="822"/>
        <w:jc w:val="both"/>
        <w:rPr>
          <w:rFonts w:ascii="Palatino Linotype" w:hAnsi="Palatino Linotype"/>
          <w:i/>
          <w:szCs w:val="22"/>
        </w:rPr>
      </w:pPr>
    </w:p>
    <w:p w14:paraId="05964556" w14:textId="77777777" w:rsidR="00AF7502" w:rsidRPr="00AF7502" w:rsidRDefault="00AF7502" w:rsidP="00AF7502">
      <w:pPr>
        <w:pStyle w:val="Prrafodelista"/>
        <w:spacing w:before="240" w:after="240" w:line="360" w:lineRule="auto"/>
        <w:ind w:left="567" w:right="822"/>
        <w:jc w:val="both"/>
        <w:rPr>
          <w:rFonts w:ascii="Palatino Linotype" w:hAnsi="Palatino Linotype" w:cs="Bookman Old Style"/>
          <w:i/>
          <w:szCs w:val="22"/>
        </w:rPr>
      </w:pPr>
      <w:r w:rsidRPr="00AF7502">
        <w:rPr>
          <w:rFonts w:ascii="Palatino Linotype" w:hAnsi="Palatino Linotype"/>
          <w:i/>
          <w:szCs w:val="22"/>
        </w:rPr>
        <w:t>I. Comprometa la seguridad pública y cuente con un propósito genuino y un efecto demostrable;</w:t>
      </w:r>
    </w:p>
    <w:p w14:paraId="70EEA7CA" w14:textId="77777777" w:rsidR="00AF7502" w:rsidRPr="00AF7502" w:rsidRDefault="00AF7502" w:rsidP="00AF7502">
      <w:pPr>
        <w:pStyle w:val="Prrafodelista"/>
        <w:spacing w:before="240" w:after="240" w:line="360" w:lineRule="auto"/>
        <w:ind w:left="567" w:right="822"/>
        <w:jc w:val="both"/>
        <w:rPr>
          <w:rFonts w:ascii="Palatino Linotype" w:hAnsi="Palatino Linotype" w:cs="Bookman Old Style"/>
          <w:i/>
          <w:szCs w:val="22"/>
        </w:rPr>
      </w:pPr>
    </w:p>
    <w:p w14:paraId="0EA7EF64" w14:textId="77777777" w:rsidR="00AF7502" w:rsidRPr="00AF7502" w:rsidRDefault="00AF7502" w:rsidP="00AF7502">
      <w:pPr>
        <w:shd w:val="clear" w:color="auto" w:fill="FFFFFF"/>
        <w:spacing w:line="360" w:lineRule="auto"/>
        <w:ind w:left="567" w:right="822"/>
        <w:jc w:val="center"/>
        <w:rPr>
          <w:rFonts w:ascii="Palatino Linotype" w:hAnsi="Palatino Linotype" w:cs="Arial"/>
          <w:b/>
          <w:i/>
          <w:color w:val="2F2F2F"/>
          <w:sz w:val="22"/>
          <w:szCs w:val="22"/>
          <w:lang w:eastAsia="es-MX"/>
        </w:rPr>
      </w:pPr>
      <w:r w:rsidRPr="00AF7502">
        <w:rPr>
          <w:rFonts w:ascii="Palatino Linotype" w:hAnsi="Palatino Linotype" w:cs="Arial"/>
          <w:b/>
          <w:i/>
          <w:color w:val="2F2F2F"/>
          <w:sz w:val="22"/>
          <w:szCs w:val="22"/>
          <w:lang w:eastAsia="es-MX"/>
        </w:rPr>
        <w:t>Lineamientos generales en materia de clasificación y desclasificación de la información, así como para la elaboración de versiones públicas.</w:t>
      </w:r>
    </w:p>
    <w:p w14:paraId="5B977E4F" w14:textId="77777777" w:rsidR="00AF7502" w:rsidRPr="00AF7502" w:rsidRDefault="00AF7502" w:rsidP="00AF7502">
      <w:pPr>
        <w:shd w:val="clear" w:color="auto" w:fill="FFFFFF"/>
        <w:spacing w:line="360" w:lineRule="auto"/>
        <w:ind w:left="567" w:right="822"/>
        <w:jc w:val="center"/>
        <w:rPr>
          <w:rFonts w:ascii="Palatino Linotype" w:hAnsi="Palatino Linotype" w:cs="Arial"/>
          <w:b/>
          <w:i/>
          <w:color w:val="2F2F2F"/>
          <w:sz w:val="22"/>
          <w:szCs w:val="22"/>
          <w:lang w:eastAsia="es-MX"/>
        </w:rPr>
      </w:pPr>
    </w:p>
    <w:p w14:paraId="5DD57244" w14:textId="77777777" w:rsidR="00AF7502" w:rsidRPr="00AF7502" w:rsidRDefault="00AF7502" w:rsidP="00AF7502">
      <w:pPr>
        <w:shd w:val="clear" w:color="auto" w:fill="FFFFFF"/>
        <w:spacing w:line="360" w:lineRule="auto"/>
        <w:ind w:left="567" w:right="822"/>
        <w:jc w:val="center"/>
        <w:rPr>
          <w:rFonts w:ascii="Palatino Linotype" w:hAnsi="Palatino Linotype" w:cs="Arial"/>
          <w:b/>
          <w:i/>
          <w:color w:val="2F2F2F"/>
          <w:sz w:val="22"/>
          <w:szCs w:val="22"/>
          <w:lang w:eastAsia="es-MX"/>
        </w:rPr>
      </w:pPr>
      <w:r w:rsidRPr="00AF7502">
        <w:rPr>
          <w:rFonts w:ascii="Palatino Linotype" w:hAnsi="Palatino Linotype" w:cs="Helvetica"/>
          <w:b/>
          <w:bCs/>
          <w:i/>
          <w:color w:val="2F2F2F"/>
          <w:sz w:val="22"/>
          <w:szCs w:val="22"/>
          <w:lang w:eastAsia="es-MX"/>
        </w:rPr>
        <w:t>CAPÍTULO V</w:t>
      </w:r>
    </w:p>
    <w:p w14:paraId="608D852D" w14:textId="77777777" w:rsidR="00AF7502" w:rsidRPr="00AF7502" w:rsidRDefault="00AF7502" w:rsidP="00AF7502">
      <w:pPr>
        <w:shd w:val="clear" w:color="auto" w:fill="FFFFFF"/>
        <w:spacing w:line="360" w:lineRule="auto"/>
        <w:ind w:left="567" w:right="822"/>
        <w:jc w:val="center"/>
        <w:rPr>
          <w:rFonts w:ascii="Palatino Linotype" w:hAnsi="Palatino Linotype" w:cs="Helvetica"/>
          <w:b/>
          <w:bCs/>
          <w:i/>
          <w:color w:val="2F2F2F"/>
          <w:sz w:val="22"/>
          <w:szCs w:val="22"/>
          <w:lang w:eastAsia="es-MX"/>
        </w:rPr>
      </w:pPr>
      <w:r w:rsidRPr="00AF7502">
        <w:rPr>
          <w:rFonts w:ascii="Palatino Linotype" w:hAnsi="Palatino Linotype" w:cs="Helvetica"/>
          <w:b/>
          <w:bCs/>
          <w:i/>
          <w:color w:val="2F2F2F"/>
          <w:sz w:val="22"/>
          <w:szCs w:val="22"/>
          <w:lang w:eastAsia="es-MX"/>
        </w:rPr>
        <w:t>DE LA INFORMACIÓN RESERVADA</w:t>
      </w:r>
    </w:p>
    <w:p w14:paraId="303AED75" w14:textId="77777777" w:rsidR="00AF7502" w:rsidRPr="00AF7502" w:rsidRDefault="00AF7502" w:rsidP="00AF7502">
      <w:pPr>
        <w:shd w:val="clear" w:color="auto" w:fill="FFFFFF"/>
        <w:spacing w:line="360" w:lineRule="auto"/>
        <w:ind w:left="567" w:right="822"/>
        <w:jc w:val="both"/>
        <w:rPr>
          <w:rFonts w:ascii="Palatino Linotype" w:hAnsi="Palatino Linotype" w:cs="Helvetica"/>
          <w:i/>
          <w:color w:val="2F2F2F"/>
          <w:sz w:val="22"/>
          <w:szCs w:val="22"/>
          <w:lang w:eastAsia="es-MX"/>
        </w:rPr>
      </w:pPr>
      <w:r w:rsidRPr="00AF7502">
        <w:rPr>
          <w:rFonts w:ascii="Palatino Linotype" w:hAnsi="Palatino Linotype" w:cs="Helvetica"/>
          <w:b/>
          <w:bCs/>
          <w:i/>
          <w:color w:val="2F2F2F"/>
          <w:sz w:val="22"/>
          <w:szCs w:val="22"/>
          <w:lang w:eastAsia="es-MX"/>
        </w:rPr>
        <w:t>Décimo séptimo.</w:t>
      </w:r>
      <w:r w:rsidRPr="00AF7502">
        <w:rPr>
          <w:rFonts w:ascii="Palatino Linotype" w:hAnsi="Palatino Linotype" w:cs="Helvetica"/>
          <w:i/>
          <w:color w:val="2F2F2F"/>
          <w:sz w:val="22"/>
          <w:szCs w:val="22"/>
          <w:lang w:eastAsia="es-MX"/>
        </w:rPr>
        <w:t> De conformidad con el artículo 113, fracción I de la Ley General, podrá considerarse como información reservada, aquella que de difundirse actualice o potencialice un riesgo o amenaza a la seguridad nacional cuando:</w:t>
      </w:r>
    </w:p>
    <w:p w14:paraId="5FB480BC" w14:textId="77777777" w:rsidR="00AF7502" w:rsidRPr="00AF7502" w:rsidRDefault="00AF7502" w:rsidP="00AF7502">
      <w:pPr>
        <w:shd w:val="clear" w:color="auto" w:fill="FFFFFF"/>
        <w:spacing w:line="360" w:lineRule="auto"/>
        <w:ind w:left="567" w:right="822"/>
        <w:jc w:val="both"/>
        <w:rPr>
          <w:rFonts w:ascii="Palatino Linotype" w:hAnsi="Palatino Linotype" w:cs="Arial"/>
          <w:i/>
          <w:color w:val="2F2F2F"/>
          <w:sz w:val="22"/>
          <w:szCs w:val="22"/>
          <w:lang w:eastAsia="es-MX"/>
        </w:rPr>
      </w:pPr>
      <w:r w:rsidRPr="00AF7502">
        <w:rPr>
          <w:rFonts w:ascii="Palatino Linotype" w:hAnsi="Palatino Linotype" w:cs="Helvetica"/>
          <w:i/>
          <w:color w:val="2F2F2F"/>
          <w:sz w:val="22"/>
          <w:szCs w:val="22"/>
          <w:lang w:eastAsia="es-MX"/>
        </w:rPr>
        <w:t>…</w:t>
      </w:r>
    </w:p>
    <w:p w14:paraId="2ABBA755" w14:textId="77777777" w:rsidR="00AF7502" w:rsidRPr="00AF7502" w:rsidRDefault="00AF7502" w:rsidP="00AF7502">
      <w:pPr>
        <w:pStyle w:val="Prrafodelista"/>
        <w:spacing w:before="240" w:after="240" w:line="360" w:lineRule="auto"/>
        <w:ind w:left="567" w:right="822"/>
        <w:jc w:val="both"/>
        <w:rPr>
          <w:rFonts w:ascii="Palatino Linotype" w:hAnsi="Palatino Linotype" w:cs="Bookman Old Style"/>
          <w:i/>
          <w:szCs w:val="22"/>
        </w:rPr>
      </w:pPr>
      <w:r w:rsidRPr="00AF7502">
        <w:rPr>
          <w:rFonts w:ascii="Palatino Linotype" w:hAnsi="Palatino Linotype" w:cs="Helvetica"/>
          <w:b/>
          <w:bCs/>
          <w:i/>
          <w:color w:val="2F2F2F"/>
          <w:szCs w:val="22"/>
          <w:shd w:val="clear" w:color="auto" w:fill="FFFFFF"/>
        </w:rPr>
        <w:t>VIII.</w:t>
      </w:r>
      <w:r w:rsidRPr="00AF7502">
        <w:rPr>
          <w:rFonts w:ascii="Palatino Linotype" w:hAnsi="Palatino Linotype" w:cs="Arial"/>
          <w:i/>
          <w:color w:val="2F2F2F"/>
          <w:szCs w:val="22"/>
          <w:shd w:val="clear" w:color="auto" w:fill="FFFFFF"/>
        </w:rPr>
        <w:t>    </w:t>
      </w:r>
      <w:r w:rsidRPr="00AF7502">
        <w:rPr>
          <w:rFonts w:ascii="Palatino Linotype" w:hAnsi="Palatino Linotype" w:cs="Helvetica"/>
          <w:i/>
          <w:color w:val="2F2F2F"/>
          <w:szCs w:val="22"/>
          <w:shd w:val="clear" w:color="auto" w:fill="FFFFFF"/>
        </w:rPr>
        <w:t>Se posibilite la destrucción, inhabilitación o sabotaje de cualquier infraestructura de carácter estratégico o prioritario, así como la indispensable para la provisión de bienes o servicios públicos de agua potable, de emergencia, vías generales de comunicación o de cualquier tipo de infraestructura que represente tal importancia para el Estado que su destrucción o incapacidad tenga un impacto debilitador en la seguridad nacional;</w:t>
      </w:r>
    </w:p>
    <w:p w14:paraId="7D2DAE15" w14:textId="77777777" w:rsidR="00AF7502" w:rsidRDefault="00AF7502" w:rsidP="00AF7502">
      <w:pPr>
        <w:pStyle w:val="Prrafodelista"/>
        <w:spacing w:before="240" w:after="240" w:line="360" w:lineRule="auto"/>
        <w:ind w:left="0" w:right="49"/>
        <w:jc w:val="both"/>
        <w:rPr>
          <w:rFonts w:ascii="Palatino Linotype" w:hAnsi="Palatino Linotype" w:cs="Bookman Old Style"/>
          <w:sz w:val="24"/>
        </w:rPr>
      </w:pPr>
    </w:p>
    <w:p w14:paraId="6C3CDA14" w14:textId="0ED1CF4C" w:rsidR="00AF7502" w:rsidRPr="00AF7502" w:rsidRDefault="00EA7E07" w:rsidP="00AF7502">
      <w:pPr>
        <w:pStyle w:val="Prrafodelista"/>
        <w:numPr>
          <w:ilvl w:val="0"/>
          <w:numId w:val="2"/>
        </w:numPr>
        <w:spacing w:before="240" w:after="240" w:line="360" w:lineRule="auto"/>
        <w:ind w:left="0" w:right="49" w:firstLine="0"/>
        <w:jc w:val="both"/>
        <w:rPr>
          <w:rFonts w:ascii="Palatino Linotype" w:hAnsi="Palatino Linotype" w:cs="Bookman Old Style"/>
          <w:sz w:val="24"/>
        </w:rPr>
      </w:pPr>
      <w:r w:rsidRPr="00AF7502">
        <w:rPr>
          <w:rFonts w:ascii="Palatino Linotype" w:hAnsi="Palatino Linotype" w:cs="Bookman Old Style"/>
          <w:sz w:val="24"/>
        </w:rPr>
        <w:t>Es así que, la información solicitada actualiza una causal de clasificación como información reservada, en el sentido de que, la publicidad de los puntos de conexión de agua potable y alcantarillado supone un riesgo para la vida o la salud de las personas que se sirven del mismo,</w:t>
      </w:r>
      <w:r w:rsidR="00AF7502">
        <w:rPr>
          <w:rFonts w:ascii="Palatino Linotype" w:hAnsi="Palatino Linotype" w:cs="Bookman Old Style"/>
          <w:sz w:val="24"/>
        </w:rPr>
        <w:t xml:space="preserve"> así como la posibilidad de destrucción, </w:t>
      </w:r>
      <w:r w:rsidR="00AF7502">
        <w:rPr>
          <w:rFonts w:ascii="Palatino Linotype" w:hAnsi="Palatino Linotype" w:cs="Bookman Old Style"/>
          <w:sz w:val="24"/>
        </w:rPr>
        <w:lastRenderedPageBreak/>
        <w:t xml:space="preserve">inhabilitación o sabotaje de la infraestructura indispensable </w:t>
      </w:r>
      <w:r w:rsidR="00AF7502" w:rsidRPr="00AF7502">
        <w:rPr>
          <w:rFonts w:ascii="Palatino Linotype" w:hAnsi="Palatino Linotype" w:cs="Helvetica"/>
          <w:color w:val="2F2F2F"/>
          <w:szCs w:val="22"/>
          <w:shd w:val="clear" w:color="auto" w:fill="FFFFFF"/>
        </w:rPr>
        <w:t>para la provisión de bienes o servicios públicos de agua potable,</w:t>
      </w:r>
    </w:p>
    <w:p w14:paraId="7D2721B8" w14:textId="77777777" w:rsidR="004B1CC2" w:rsidRPr="00AF7502" w:rsidRDefault="004B1CC2" w:rsidP="004B1CC2">
      <w:pPr>
        <w:pStyle w:val="Prrafodelista"/>
        <w:shd w:val="clear" w:color="auto" w:fill="FFFFFF"/>
        <w:spacing w:after="200" w:line="360" w:lineRule="auto"/>
        <w:ind w:left="0"/>
        <w:jc w:val="both"/>
        <w:rPr>
          <w:rFonts w:ascii="Palatino Linotype" w:hAnsi="Palatino Linotype" w:cs="Arial"/>
          <w:sz w:val="24"/>
        </w:rPr>
      </w:pPr>
    </w:p>
    <w:p w14:paraId="61C926BD" w14:textId="015A1585" w:rsidR="00B077ED" w:rsidRPr="00AF7502" w:rsidRDefault="004B1CC2" w:rsidP="00B077ED">
      <w:pPr>
        <w:pStyle w:val="Prrafodelista"/>
        <w:numPr>
          <w:ilvl w:val="0"/>
          <w:numId w:val="2"/>
        </w:numPr>
        <w:shd w:val="clear" w:color="auto" w:fill="FFFFFF"/>
        <w:spacing w:after="200" w:line="360" w:lineRule="auto"/>
        <w:ind w:left="0" w:firstLine="0"/>
        <w:jc w:val="both"/>
        <w:rPr>
          <w:rFonts w:ascii="Palatino Linotype" w:eastAsia="MS Mincho" w:hAnsi="Palatino Linotype" w:cs="Arial"/>
          <w:bCs/>
          <w:sz w:val="24"/>
        </w:rPr>
      </w:pPr>
      <w:r w:rsidRPr="00AF7502">
        <w:rPr>
          <w:rFonts w:ascii="Palatino Linotype" w:hAnsi="Palatino Linotype" w:cs="Arial"/>
          <w:sz w:val="24"/>
        </w:rPr>
        <w:t>Es necesario mencionar que</w:t>
      </w:r>
      <w:r w:rsidR="00B077ED" w:rsidRPr="00AF7502">
        <w:rPr>
          <w:rFonts w:ascii="Palatino Linotype" w:hAnsi="Palatino Linotype" w:cs="Arial"/>
          <w:sz w:val="24"/>
        </w:rPr>
        <w:t>,</w:t>
      </w:r>
      <w:r w:rsidRPr="00AF7502">
        <w:rPr>
          <w:rFonts w:ascii="Palatino Linotype" w:hAnsi="Palatino Linotype" w:cs="Arial"/>
          <w:sz w:val="24"/>
        </w:rPr>
        <w:t xml:space="preserve"> </w:t>
      </w:r>
      <w:r w:rsidR="00B077ED" w:rsidRPr="00AF7502">
        <w:rPr>
          <w:rFonts w:ascii="Palatino Linotype" w:eastAsia="MS Mincho" w:hAnsi="Palatino Linotype" w:cs="Arial"/>
          <w:bCs/>
          <w:sz w:val="24"/>
        </w:rPr>
        <w:t xml:space="preserve">la </w:t>
      </w:r>
      <w:r w:rsidR="00B077ED" w:rsidRPr="00AF7502">
        <w:rPr>
          <w:rFonts w:ascii="Palatino Linotype" w:eastAsia="MS Mincho" w:hAnsi="Palatino Linotype" w:cs="Arial"/>
          <w:b/>
          <w:bCs/>
          <w:sz w:val="24"/>
        </w:rPr>
        <w:t>Organización Mundial de la Salud</w:t>
      </w:r>
      <w:r w:rsidR="00B077ED" w:rsidRPr="00AF7502">
        <w:rPr>
          <w:rFonts w:ascii="Palatino Linotype" w:eastAsia="MS Mincho" w:hAnsi="Palatino Linotype" w:cs="Arial"/>
          <w:bCs/>
          <w:sz w:val="24"/>
        </w:rPr>
        <w:t xml:space="preserve"> en Ginebra, Suiza, el 27 de noviembre de 2002 </w:t>
      </w:r>
      <w:r w:rsidR="00B077ED" w:rsidRPr="00AF7502">
        <w:rPr>
          <w:rFonts w:ascii="Palatino Linotype" w:hAnsi="Palatino Linotype" w:cs="Helvetica"/>
          <w:sz w:val="24"/>
          <w:bdr w:val="none" w:sz="0" w:space="0" w:color="auto" w:frame="1"/>
        </w:rPr>
        <w:t>el Comité de Derechos Económicos, Culturales y Sociales, de las Naciones Unidas</w:t>
      </w:r>
      <w:r w:rsidR="00B077ED" w:rsidRPr="00AF7502">
        <w:rPr>
          <w:rFonts w:ascii="Palatino Linotype" w:eastAsia="MS Mincho" w:hAnsi="Palatino Linotype" w:cs="Arial"/>
          <w:bCs/>
          <w:sz w:val="24"/>
        </w:rPr>
        <w:t xml:space="preserve"> </w:t>
      </w:r>
      <w:r w:rsidR="00B077ED" w:rsidRPr="00AF7502">
        <w:rPr>
          <w:rFonts w:ascii="Palatino Linotype" w:eastAsia="MS Mincho" w:hAnsi="Palatino Linotype" w:cs="Arial"/>
          <w:b/>
          <w:bCs/>
          <w:sz w:val="24"/>
        </w:rPr>
        <w:t xml:space="preserve">determinó que el </w:t>
      </w:r>
      <w:r w:rsidR="00B077ED" w:rsidRPr="00AF7502">
        <w:rPr>
          <w:rFonts w:ascii="Palatino Linotype" w:hAnsi="Palatino Linotype" w:cs="Helvetica"/>
          <w:b/>
          <w:sz w:val="24"/>
          <w:bdr w:val="none" w:sz="0" w:space="0" w:color="auto" w:frame="1"/>
        </w:rPr>
        <w:t>agua es fundamental para la vida y la salud.</w:t>
      </w:r>
      <w:r w:rsidR="00B077ED" w:rsidRPr="00AF7502">
        <w:rPr>
          <w:rFonts w:ascii="Palatino Linotype" w:hAnsi="Palatino Linotype" w:cs="Helvetica"/>
          <w:sz w:val="24"/>
          <w:bdr w:val="none" w:sz="0" w:space="0" w:color="auto" w:frame="1"/>
        </w:rPr>
        <w:t xml:space="preserve"> La realización del derecho humano a disponer de agua es imprescindible para llevar una vida saludable, que respete la dignidad humana. Es un requisito para la realización de todos los demás derechos humanos, esto como consecuencia de aprobar una observación general</w:t>
      </w:r>
      <w:r w:rsidR="000F0C82" w:rsidRPr="00AF7502">
        <w:rPr>
          <w:rFonts w:ascii="Palatino Linotype" w:hAnsi="Palatino Linotype" w:cs="Helvetica"/>
          <w:sz w:val="24"/>
          <w:bdr w:val="none" w:sz="0" w:space="0" w:color="auto" w:frame="1"/>
        </w:rPr>
        <w:t xml:space="preserve"> </w:t>
      </w:r>
      <w:r w:rsidR="00B077ED" w:rsidRPr="00AF7502">
        <w:rPr>
          <w:rFonts w:ascii="Palatino Linotype" w:hAnsi="Palatino Linotype" w:cs="Helvetica"/>
          <w:sz w:val="24"/>
          <w:bdr w:val="none" w:sz="0" w:space="0" w:color="auto" w:frame="1"/>
        </w:rPr>
        <w:t>(</w:t>
      </w:r>
      <w:r w:rsidR="00B077ED" w:rsidRPr="00AF7502">
        <w:rPr>
          <w:rFonts w:ascii="Palatino Linotype" w:hAnsi="Palatino Linotype" w:cs="Helvetica"/>
          <w:i/>
          <w:iCs/>
          <w:sz w:val="24"/>
          <w:bdr w:val="none" w:sz="0" w:space="0" w:color="auto" w:frame="1"/>
        </w:rPr>
        <w:t>es una interpretación de las disposiciones del Pacto Internacional de Derechos Económicos, Sociales y Culturales</w:t>
      </w:r>
      <w:r w:rsidR="00B077ED" w:rsidRPr="00AF7502">
        <w:rPr>
          <w:rFonts w:ascii="Palatino Linotype" w:hAnsi="Palatino Linotype" w:cs="Helvetica"/>
          <w:sz w:val="24"/>
          <w:bdr w:val="none" w:sz="0" w:space="0" w:color="auto" w:frame="1"/>
        </w:rPr>
        <w:t>.) sobre el agua como derecho humano, en donde los países que han ratificado el Pacto tendrán que velar por que la población entera tenga progresivamente acceso a agua de bebida potable y segura y a instalaciones de saneamiento, de forma equitativa y sin discriminación.</w:t>
      </w:r>
    </w:p>
    <w:p w14:paraId="086B1E08" w14:textId="77777777" w:rsidR="00EA7E07" w:rsidRPr="00AF7502" w:rsidRDefault="00EA7E07" w:rsidP="00EA7E07">
      <w:pPr>
        <w:pStyle w:val="Prrafodelista"/>
        <w:rPr>
          <w:rFonts w:ascii="Palatino Linotype" w:eastAsia="MS Mincho" w:hAnsi="Palatino Linotype" w:cs="Arial"/>
          <w:bCs/>
          <w:sz w:val="24"/>
        </w:rPr>
      </w:pPr>
    </w:p>
    <w:p w14:paraId="5D839555" w14:textId="5FDBF3C1" w:rsidR="00B077ED" w:rsidRPr="00AF7502" w:rsidRDefault="00B077ED" w:rsidP="00B077ED">
      <w:pPr>
        <w:pStyle w:val="Prrafodelista"/>
        <w:numPr>
          <w:ilvl w:val="0"/>
          <w:numId w:val="2"/>
        </w:numPr>
        <w:shd w:val="clear" w:color="auto" w:fill="FFFFFF"/>
        <w:spacing w:after="200" w:line="360" w:lineRule="auto"/>
        <w:ind w:left="0" w:firstLine="0"/>
        <w:jc w:val="both"/>
        <w:rPr>
          <w:rFonts w:ascii="Palatino Linotype" w:eastAsia="MS Mincho" w:hAnsi="Palatino Linotype" w:cs="Arial"/>
          <w:bCs/>
          <w:sz w:val="24"/>
        </w:rPr>
      </w:pPr>
      <w:r w:rsidRPr="00AF7502">
        <w:rPr>
          <w:rFonts w:ascii="Palatino Linotype" w:hAnsi="Palatino Linotype" w:cs="Arial"/>
          <w:sz w:val="24"/>
        </w:rPr>
        <w:t xml:space="preserve">La Organización Mundial de la Salud refiere: </w:t>
      </w:r>
    </w:p>
    <w:p w14:paraId="7EE5DE89" w14:textId="77777777" w:rsidR="00B077ED" w:rsidRPr="00AF7502" w:rsidRDefault="00B077ED" w:rsidP="00B077ED">
      <w:pPr>
        <w:pStyle w:val="Prrafodelista"/>
        <w:shd w:val="clear" w:color="auto" w:fill="FFFFFF"/>
        <w:spacing w:after="200" w:line="360" w:lineRule="auto"/>
        <w:ind w:left="0"/>
        <w:jc w:val="both"/>
        <w:rPr>
          <w:rFonts w:ascii="Palatino Linotype" w:hAnsi="Palatino Linotype" w:cs="Arial"/>
          <w:sz w:val="24"/>
        </w:rPr>
      </w:pPr>
    </w:p>
    <w:p w14:paraId="6466EE86" w14:textId="1C04CAD4" w:rsidR="00B077ED" w:rsidRPr="00AF7502" w:rsidRDefault="00B077ED" w:rsidP="00B077ED">
      <w:pPr>
        <w:pStyle w:val="Prrafodelista"/>
        <w:shd w:val="clear" w:color="auto" w:fill="FFFFFF"/>
        <w:spacing w:after="200" w:line="360" w:lineRule="auto"/>
        <w:ind w:left="567" w:right="822"/>
        <w:jc w:val="both"/>
        <w:rPr>
          <w:rFonts w:ascii="Palatino Linotype" w:hAnsi="Palatino Linotype" w:cs="Arial"/>
          <w:i/>
          <w:szCs w:val="22"/>
        </w:rPr>
      </w:pPr>
      <w:r w:rsidRPr="00AF7502">
        <w:rPr>
          <w:rFonts w:ascii="Palatino Linotype" w:hAnsi="Palatino Linotype" w:cs="Arial"/>
          <w:b/>
          <w:i/>
          <w:szCs w:val="22"/>
        </w:rPr>
        <w:t>El agua salubre y fácilmente accesible es importante para la salud pública</w:t>
      </w:r>
      <w:r w:rsidRPr="00AF7502">
        <w:rPr>
          <w:rFonts w:ascii="Palatino Linotype" w:hAnsi="Palatino Linotype" w:cs="Arial"/>
          <w:i/>
          <w:szCs w:val="22"/>
        </w:rPr>
        <w:t>, ya sea que se utilice para beber, para uso doméstico, para producir alimentos o para fines recreativos. La mejora del abastecimiento de agua, del saneamiento y de la gestión de los recursos hídricos puede impulsar el crecimiento económico de los países y contribuir en gran medida a la reducción de la pobreza.</w:t>
      </w:r>
    </w:p>
    <w:p w14:paraId="5BD96AA9" w14:textId="14231A71" w:rsidR="00B077ED" w:rsidRPr="00AF7502" w:rsidRDefault="00B077ED" w:rsidP="00B077ED">
      <w:pPr>
        <w:pStyle w:val="NormalWeb"/>
        <w:spacing w:line="360" w:lineRule="atLeast"/>
        <w:ind w:left="567" w:right="822"/>
        <w:jc w:val="both"/>
        <w:rPr>
          <w:rFonts w:ascii="Palatino Linotype" w:hAnsi="Palatino Linotype" w:cs="Arial"/>
          <w:i/>
          <w:sz w:val="22"/>
          <w:szCs w:val="22"/>
        </w:rPr>
      </w:pPr>
      <w:r w:rsidRPr="00AF7502">
        <w:rPr>
          <w:rFonts w:ascii="Palatino Linotype" w:hAnsi="Palatino Linotype" w:cs="Arial"/>
          <w:b/>
          <w:i/>
          <w:sz w:val="22"/>
          <w:szCs w:val="22"/>
        </w:rPr>
        <w:lastRenderedPageBreak/>
        <w:t>En 2010, la Asamblea General de las Naciones Unidas reconoció explícitamente el derecho humano al abastecimiento de agua y al saneamiento</w:t>
      </w:r>
      <w:r w:rsidRPr="00AF7502">
        <w:rPr>
          <w:rFonts w:ascii="Palatino Linotype" w:hAnsi="Palatino Linotype" w:cs="Arial"/>
          <w:i/>
          <w:sz w:val="22"/>
          <w:szCs w:val="22"/>
        </w:rPr>
        <w:t xml:space="preserve">. </w:t>
      </w:r>
      <w:r w:rsidRPr="00AF7502">
        <w:rPr>
          <w:rFonts w:ascii="Palatino Linotype" w:hAnsi="Palatino Linotype" w:cs="Arial"/>
          <w:b/>
          <w:i/>
          <w:sz w:val="22"/>
          <w:szCs w:val="22"/>
        </w:rPr>
        <w:t>Todas las personas tienen derecho a disponer de forma continuada de agua suficiente, salubre, físicamente accesible, asequible y de una calidad aceptable, para uso personal y doméstico.</w:t>
      </w:r>
      <w:r w:rsidRPr="00AF7502">
        <w:rPr>
          <w:rStyle w:val="Refdenotaalpie"/>
          <w:rFonts w:ascii="Palatino Linotype" w:hAnsi="Palatino Linotype" w:cs="Arial"/>
          <w:b/>
          <w:i/>
          <w:sz w:val="22"/>
          <w:szCs w:val="22"/>
        </w:rPr>
        <w:footnoteReference w:id="17"/>
      </w:r>
    </w:p>
    <w:p w14:paraId="4C47419A" w14:textId="77777777" w:rsidR="00B077ED" w:rsidRPr="00AF7502" w:rsidRDefault="00B077ED" w:rsidP="00945DBE">
      <w:pPr>
        <w:pStyle w:val="Prrafodelista"/>
        <w:shd w:val="clear" w:color="auto" w:fill="FFFFFF"/>
        <w:spacing w:after="200" w:line="360" w:lineRule="auto"/>
        <w:ind w:left="0"/>
        <w:jc w:val="both"/>
        <w:rPr>
          <w:rFonts w:ascii="Palatino Linotype" w:hAnsi="Palatino Linotype" w:cs="Arial"/>
          <w:sz w:val="24"/>
        </w:rPr>
      </w:pPr>
    </w:p>
    <w:p w14:paraId="60E9511A" w14:textId="77A7005B" w:rsidR="00EA7E07" w:rsidRPr="00AF7502" w:rsidRDefault="00B077ED" w:rsidP="00EA7E07">
      <w:pPr>
        <w:pStyle w:val="Prrafodelista"/>
        <w:numPr>
          <w:ilvl w:val="0"/>
          <w:numId w:val="2"/>
        </w:numPr>
        <w:shd w:val="clear" w:color="auto" w:fill="FFFFFF"/>
        <w:spacing w:after="200" w:line="360" w:lineRule="auto"/>
        <w:ind w:left="0" w:firstLine="0"/>
        <w:jc w:val="both"/>
        <w:rPr>
          <w:rFonts w:ascii="Palatino Linotype" w:hAnsi="Palatino Linotype" w:cs="Arial"/>
          <w:sz w:val="24"/>
        </w:rPr>
      </w:pPr>
      <w:r w:rsidRPr="00AF7502">
        <w:rPr>
          <w:rFonts w:ascii="Palatino Linotype" w:hAnsi="Palatino Linotype" w:cs="Arial"/>
          <w:sz w:val="24"/>
        </w:rPr>
        <w:t>Es así que, el derecho al agua comprende también el derecho al abastecimiento, el cual, a su vez, debe ser suficiente, salubre, físicamente accesible, asequible y de una calidad aceptable.</w:t>
      </w:r>
      <w:r w:rsidR="00EA7E07" w:rsidRPr="00AF7502">
        <w:rPr>
          <w:rFonts w:ascii="Palatino Linotype" w:hAnsi="Palatino Linotype" w:cs="Arial"/>
          <w:sz w:val="24"/>
        </w:rPr>
        <w:t xml:space="preserve"> Existe un riesgo real, demostrable e identificable tan es así que, la Organización Mundial de la Salud </w:t>
      </w:r>
    </w:p>
    <w:p w14:paraId="4963FC21" w14:textId="77777777" w:rsidR="00B077ED" w:rsidRPr="00AF7502" w:rsidRDefault="00B077ED" w:rsidP="00B077ED">
      <w:pPr>
        <w:pStyle w:val="Prrafodelista"/>
        <w:shd w:val="clear" w:color="auto" w:fill="FFFFFF"/>
        <w:spacing w:after="200" w:line="360" w:lineRule="auto"/>
        <w:ind w:left="0"/>
        <w:jc w:val="both"/>
        <w:rPr>
          <w:rFonts w:ascii="Palatino Linotype" w:hAnsi="Palatino Linotype" w:cs="Arial"/>
          <w:sz w:val="24"/>
        </w:rPr>
      </w:pPr>
    </w:p>
    <w:p w14:paraId="2AACFED1" w14:textId="77777777" w:rsidR="00EA7E07" w:rsidRPr="00AF7502" w:rsidRDefault="00EA7E07" w:rsidP="00EA7E07">
      <w:pPr>
        <w:numPr>
          <w:ilvl w:val="0"/>
          <w:numId w:val="25"/>
        </w:numPr>
        <w:spacing w:before="100" w:beforeAutospacing="1" w:after="75"/>
        <w:jc w:val="both"/>
        <w:rPr>
          <w:rFonts w:ascii="Palatino Linotype" w:hAnsi="Palatino Linotype" w:cs="Arial"/>
          <w:b/>
          <w:bCs/>
          <w:i/>
          <w:color w:val="3C4245"/>
          <w:sz w:val="22"/>
          <w:szCs w:val="24"/>
          <w:lang w:eastAsia="es-MX"/>
        </w:rPr>
      </w:pPr>
      <w:r w:rsidRPr="00AF7502">
        <w:rPr>
          <w:rFonts w:ascii="Palatino Linotype" w:hAnsi="Palatino Linotype" w:cs="Arial"/>
          <w:bCs/>
          <w:i/>
          <w:color w:val="3C4245"/>
          <w:sz w:val="22"/>
          <w:szCs w:val="24"/>
          <w:lang w:eastAsia="es-MX"/>
        </w:rPr>
        <w:t>En 2015, el 71% de la población mundial (5200 millones de personas) utilizaba un servicio de suministro de agua potable gestionado de forma segura —</w:t>
      </w:r>
      <w:r w:rsidRPr="00AF7502">
        <w:rPr>
          <w:rFonts w:ascii="Palatino Linotype" w:hAnsi="Palatino Linotype" w:cs="Arial"/>
          <w:b/>
          <w:bCs/>
          <w:i/>
          <w:color w:val="3C4245"/>
          <w:sz w:val="22"/>
          <w:szCs w:val="24"/>
          <w:lang w:eastAsia="es-MX"/>
        </w:rPr>
        <w:t>es decir, ubicado en el lugar de uso, disponible cuando se necesita y no contaminado.</w:t>
      </w:r>
    </w:p>
    <w:p w14:paraId="547BB0ED" w14:textId="77777777" w:rsidR="00EA7E07" w:rsidRPr="00AF7502" w:rsidRDefault="00EA7E07" w:rsidP="00EA7E07">
      <w:pPr>
        <w:numPr>
          <w:ilvl w:val="0"/>
          <w:numId w:val="25"/>
        </w:numPr>
        <w:spacing w:before="100" w:beforeAutospacing="1" w:after="75"/>
        <w:jc w:val="both"/>
        <w:rPr>
          <w:rFonts w:ascii="Palatino Linotype" w:hAnsi="Palatino Linotype" w:cs="Arial"/>
          <w:b/>
          <w:bCs/>
          <w:i/>
          <w:color w:val="3C4245"/>
          <w:sz w:val="22"/>
          <w:szCs w:val="24"/>
          <w:lang w:eastAsia="es-MX"/>
        </w:rPr>
      </w:pPr>
      <w:r w:rsidRPr="00AF7502">
        <w:rPr>
          <w:rFonts w:ascii="Palatino Linotype" w:hAnsi="Palatino Linotype" w:cs="Arial"/>
          <w:b/>
          <w:bCs/>
          <w:i/>
          <w:color w:val="3C4245"/>
          <w:sz w:val="22"/>
          <w:szCs w:val="24"/>
          <w:lang w:eastAsia="es-MX"/>
        </w:rPr>
        <w:t>En todo el mundo, al menos 2000 millones de personas se abastecen de una fuente de agua potable que está contaminada por heces.</w:t>
      </w:r>
    </w:p>
    <w:p w14:paraId="283F4AA4" w14:textId="77777777" w:rsidR="00EA7E07" w:rsidRPr="00AF7502" w:rsidRDefault="00EA7E07" w:rsidP="00EA7E07">
      <w:pPr>
        <w:numPr>
          <w:ilvl w:val="0"/>
          <w:numId w:val="25"/>
        </w:numPr>
        <w:spacing w:before="100" w:beforeAutospacing="1" w:after="75"/>
        <w:jc w:val="both"/>
        <w:rPr>
          <w:rFonts w:ascii="Palatino Linotype" w:hAnsi="Palatino Linotype" w:cs="Arial"/>
          <w:b/>
          <w:bCs/>
          <w:i/>
          <w:color w:val="3C4245"/>
          <w:sz w:val="22"/>
          <w:szCs w:val="24"/>
          <w:lang w:eastAsia="es-MX"/>
        </w:rPr>
      </w:pPr>
      <w:r w:rsidRPr="00AF7502">
        <w:rPr>
          <w:rFonts w:ascii="Palatino Linotype" w:hAnsi="Palatino Linotype" w:cs="Arial"/>
          <w:b/>
          <w:bCs/>
          <w:i/>
          <w:color w:val="3C4245"/>
          <w:sz w:val="22"/>
          <w:szCs w:val="24"/>
          <w:lang w:eastAsia="es-MX"/>
        </w:rPr>
        <w:t>El agua contaminada puede transmitir enfermedades como la diarrea, el cólera, la disentería, la fiebre tifoidea y la poliomielitis. Se calcula que la contaminación del agua potable provoca más de 502 000 muertes por diarrea al año.</w:t>
      </w:r>
    </w:p>
    <w:p w14:paraId="0E08BB20" w14:textId="77777777" w:rsidR="00EA7E07" w:rsidRPr="00AF7502" w:rsidRDefault="00EA7E07" w:rsidP="00EA7E07">
      <w:pPr>
        <w:numPr>
          <w:ilvl w:val="0"/>
          <w:numId w:val="25"/>
        </w:numPr>
        <w:spacing w:before="100" w:beforeAutospacing="1" w:after="75"/>
        <w:jc w:val="both"/>
        <w:rPr>
          <w:rFonts w:ascii="Palatino Linotype" w:hAnsi="Palatino Linotype" w:cs="Arial"/>
          <w:b/>
          <w:bCs/>
          <w:i/>
          <w:color w:val="3C4245"/>
          <w:sz w:val="22"/>
          <w:szCs w:val="24"/>
          <w:lang w:eastAsia="es-MX"/>
        </w:rPr>
      </w:pPr>
      <w:r w:rsidRPr="00AF7502">
        <w:rPr>
          <w:rFonts w:ascii="Palatino Linotype" w:hAnsi="Palatino Linotype" w:cs="Arial"/>
          <w:b/>
          <w:bCs/>
          <w:i/>
          <w:color w:val="3C4245"/>
          <w:sz w:val="22"/>
          <w:szCs w:val="24"/>
          <w:lang w:eastAsia="es-MX"/>
        </w:rPr>
        <w:t>En los países menos adelantados, el 22% de los centros sanitarios carecen de fuentes de agua, el 21% de servicios de saneamiento, y el 22% de servicios de gestión de desechos.</w:t>
      </w:r>
    </w:p>
    <w:p w14:paraId="30FD4957" w14:textId="2B2FB96D" w:rsidR="00B077ED" w:rsidRPr="00AF7502" w:rsidRDefault="00B077ED" w:rsidP="00EA7E07">
      <w:pPr>
        <w:pStyle w:val="Prrafodelista"/>
        <w:shd w:val="clear" w:color="auto" w:fill="FFFFFF"/>
        <w:spacing w:after="200" w:line="360" w:lineRule="auto"/>
        <w:ind w:left="0"/>
        <w:jc w:val="both"/>
        <w:rPr>
          <w:rFonts w:ascii="Palatino Linotype" w:hAnsi="Palatino Linotype" w:cs="Arial"/>
          <w:sz w:val="24"/>
        </w:rPr>
      </w:pPr>
    </w:p>
    <w:p w14:paraId="05779551" w14:textId="5E252DB8" w:rsidR="00EA7E07" w:rsidRPr="00AF7502" w:rsidRDefault="00EA7E07" w:rsidP="00806ABD">
      <w:pPr>
        <w:pStyle w:val="Prrafodelista"/>
        <w:numPr>
          <w:ilvl w:val="0"/>
          <w:numId w:val="2"/>
        </w:numPr>
        <w:shd w:val="clear" w:color="auto" w:fill="FFFFFF"/>
        <w:spacing w:after="200" w:line="360" w:lineRule="auto"/>
        <w:ind w:left="0" w:firstLine="0"/>
        <w:jc w:val="both"/>
        <w:rPr>
          <w:rFonts w:ascii="Palatino Linotype" w:hAnsi="Palatino Linotype" w:cs="Arial"/>
          <w:sz w:val="24"/>
        </w:rPr>
      </w:pPr>
      <w:r w:rsidRPr="00AF7502">
        <w:rPr>
          <w:rFonts w:ascii="Palatino Linotype" w:hAnsi="Palatino Linotype" w:cs="Arial"/>
          <w:sz w:val="24"/>
          <w:lang w:eastAsia="en-US"/>
        </w:rPr>
        <w:lastRenderedPageBreak/>
        <w:t>La Organización Mundial de la Salud ha advertido sobre el consumo de agua contaminada, lo cual ha sido un factor potencial de transmisión de enfermedades como la diarrea, el cólera, la disentería, la fiebre tifoidea y la poliomielitis. Calculando un aproximado de 502 000 muertes por diarrea al año, sin duda es una cifra alarmante, tomando en consideración que es por el acceso a</w:t>
      </w:r>
      <w:r w:rsidR="00F24CE9" w:rsidRPr="00AF7502">
        <w:rPr>
          <w:rFonts w:ascii="Palatino Linotype" w:hAnsi="Palatino Linotype" w:cs="Arial"/>
          <w:sz w:val="24"/>
          <w:lang w:eastAsia="en-US"/>
        </w:rPr>
        <w:t>l agua es</w:t>
      </w:r>
      <w:r w:rsidRPr="00AF7502">
        <w:rPr>
          <w:rFonts w:ascii="Palatino Linotype" w:hAnsi="Palatino Linotype" w:cs="Arial"/>
          <w:sz w:val="24"/>
          <w:lang w:eastAsia="en-US"/>
        </w:rPr>
        <w:t xml:space="preserve"> un derecho humano y de acceso público, razón por la cual, al ser un l</w:t>
      </w:r>
      <w:r w:rsidR="00F24CE9" w:rsidRPr="00AF7502">
        <w:rPr>
          <w:rFonts w:ascii="Palatino Linotype" w:hAnsi="Palatino Linotype" w:cs="Arial"/>
          <w:sz w:val="24"/>
          <w:lang w:eastAsia="en-US"/>
        </w:rPr>
        <w:t>íquido vital debe ser tratado como tal y guardar todo el sigilo y protección adecuada para la salva guarda de la salud y la vida de los consumidores del mismo.</w:t>
      </w:r>
    </w:p>
    <w:p w14:paraId="6B11ECE8" w14:textId="77777777" w:rsidR="00F24CE9" w:rsidRPr="00AF7502" w:rsidRDefault="00F24CE9" w:rsidP="00F24CE9">
      <w:pPr>
        <w:pStyle w:val="Prrafodelista"/>
        <w:shd w:val="clear" w:color="auto" w:fill="FFFFFF"/>
        <w:spacing w:after="200" w:line="360" w:lineRule="auto"/>
        <w:ind w:left="0"/>
        <w:jc w:val="both"/>
        <w:rPr>
          <w:rFonts w:ascii="Palatino Linotype" w:hAnsi="Palatino Linotype" w:cs="Arial"/>
          <w:sz w:val="24"/>
        </w:rPr>
      </w:pPr>
    </w:p>
    <w:p w14:paraId="4C61B70C" w14:textId="53B3C05C" w:rsidR="00AB51B1" w:rsidRPr="00AF7502" w:rsidRDefault="00AB51B1" w:rsidP="00806ABD">
      <w:pPr>
        <w:pStyle w:val="Prrafodelista"/>
        <w:numPr>
          <w:ilvl w:val="0"/>
          <w:numId w:val="2"/>
        </w:numPr>
        <w:shd w:val="clear" w:color="auto" w:fill="FFFFFF"/>
        <w:spacing w:after="200" w:line="360" w:lineRule="auto"/>
        <w:ind w:left="0" w:firstLine="0"/>
        <w:jc w:val="both"/>
        <w:rPr>
          <w:rFonts w:ascii="Palatino Linotype" w:hAnsi="Palatino Linotype" w:cs="Arial"/>
          <w:sz w:val="24"/>
        </w:rPr>
      </w:pPr>
      <w:r w:rsidRPr="00AF7502">
        <w:rPr>
          <w:rFonts w:ascii="Palatino Linotype" w:hAnsi="Palatino Linotype" w:cs="Arial"/>
          <w:sz w:val="24"/>
          <w:lang w:eastAsia="en-US"/>
        </w:rPr>
        <w:t>El Reglamento de la Ley del Agua para el Estado de México y Municipios en los artículos 108, 110 y 111 establecen lo siguiente:</w:t>
      </w:r>
    </w:p>
    <w:p w14:paraId="403DA5F4" w14:textId="77777777" w:rsidR="00AB51B1" w:rsidRPr="00AF7502" w:rsidRDefault="00AB51B1" w:rsidP="00AB51B1">
      <w:pPr>
        <w:pStyle w:val="Prrafodelista"/>
        <w:rPr>
          <w:rFonts w:ascii="Palatino Linotype" w:hAnsi="Palatino Linotype" w:cs="Arial"/>
          <w:sz w:val="24"/>
          <w:lang w:eastAsia="en-US"/>
        </w:rPr>
      </w:pPr>
    </w:p>
    <w:p w14:paraId="1F629F9D" w14:textId="77777777" w:rsidR="00AB51B1" w:rsidRPr="00AF7502" w:rsidRDefault="00AB51B1" w:rsidP="00AB51B1">
      <w:pPr>
        <w:pStyle w:val="Prrafodelista"/>
        <w:shd w:val="clear" w:color="auto" w:fill="FFFFFF"/>
        <w:spacing w:after="200" w:line="360" w:lineRule="auto"/>
        <w:ind w:left="567" w:right="822"/>
        <w:jc w:val="both"/>
        <w:rPr>
          <w:rFonts w:ascii="Palatino Linotype" w:hAnsi="Palatino Linotype"/>
          <w:i/>
        </w:rPr>
      </w:pPr>
      <w:r w:rsidRPr="00AF7502">
        <w:rPr>
          <w:rFonts w:ascii="Palatino Linotype" w:hAnsi="Palatino Linotype"/>
          <w:i/>
        </w:rPr>
        <w:t xml:space="preserve">Artículo 108. </w:t>
      </w:r>
      <w:r w:rsidRPr="00AF7502">
        <w:rPr>
          <w:rFonts w:ascii="Palatino Linotype" w:hAnsi="Palatino Linotype"/>
          <w:b/>
          <w:i/>
        </w:rPr>
        <w:t>En cada predio individual</w:t>
      </w:r>
      <w:r w:rsidRPr="00AF7502">
        <w:rPr>
          <w:rFonts w:ascii="Palatino Linotype" w:hAnsi="Palatino Linotype"/>
          <w:i/>
        </w:rPr>
        <w:t xml:space="preserve">, sea que se trate de una vivienda o viviendas, o de un establecimiento comercial, industrial y/o de servicios, </w:t>
      </w:r>
      <w:r w:rsidRPr="00AF7502">
        <w:rPr>
          <w:rFonts w:ascii="Palatino Linotype" w:hAnsi="Palatino Linotype"/>
          <w:b/>
          <w:i/>
        </w:rPr>
        <w:t>deberá instalarse una toma domiciliaria independiente</w:t>
      </w:r>
      <w:r w:rsidRPr="00AF7502">
        <w:rPr>
          <w:rFonts w:ascii="Palatino Linotype" w:hAnsi="Palatino Linotype"/>
          <w:i/>
        </w:rPr>
        <w:t xml:space="preserve">, </w:t>
      </w:r>
      <w:r w:rsidRPr="00AF7502">
        <w:rPr>
          <w:rFonts w:ascii="Palatino Linotype" w:hAnsi="Palatino Linotype"/>
          <w:b/>
          <w:i/>
        </w:rPr>
        <w:t>así como la infraestructura domiciliaria necesaria para la descarga de sus aguas residuales</w:t>
      </w:r>
      <w:r w:rsidRPr="00AF7502">
        <w:rPr>
          <w:rFonts w:ascii="Palatino Linotype" w:hAnsi="Palatino Linotype"/>
          <w:i/>
        </w:rPr>
        <w:t xml:space="preserve">. Por cada uno de ellos deberá celebrarse un contrato para la prestación del servicio, en ningún caso podrá un predio abastecer a otro, aun cuando ambos sean del mismo propietario o poseedor. </w:t>
      </w:r>
    </w:p>
    <w:p w14:paraId="6C6C9F9F" w14:textId="77777777" w:rsidR="00AB51B1" w:rsidRPr="00AF7502" w:rsidRDefault="00AB51B1" w:rsidP="00AB51B1">
      <w:pPr>
        <w:pStyle w:val="Prrafodelista"/>
        <w:shd w:val="clear" w:color="auto" w:fill="FFFFFF"/>
        <w:spacing w:after="200" w:line="360" w:lineRule="auto"/>
        <w:ind w:left="567" w:right="822"/>
        <w:jc w:val="both"/>
        <w:rPr>
          <w:rFonts w:ascii="Palatino Linotype" w:hAnsi="Palatino Linotype"/>
          <w:i/>
        </w:rPr>
      </w:pPr>
    </w:p>
    <w:p w14:paraId="63F79047" w14:textId="6259C921" w:rsidR="00AB51B1" w:rsidRPr="00AF7502" w:rsidRDefault="00AB51B1" w:rsidP="00AB51B1">
      <w:pPr>
        <w:pStyle w:val="Prrafodelista"/>
        <w:spacing w:line="360" w:lineRule="auto"/>
        <w:jc w:val="both"/>
        <w:rPr>
          <w:rFonts w:ascii="Palatino Linotype" w:hAnsi="Palatino Linotype"/>
          <w:b/>
          <w:i/>
        </w:rPr>
      </w:pPr>
      <w:r w:rsidRPr="00AF7502">
        <w:rPr>
          <w:rFonts w:ascii="Palatino Linotype" w:hAnsi="Palatino Linotype"/>
          <w:b/>
          <w:i/>
        </w:rPr>
        <w:t>…</w:t>
      </w:r>
    </w:p>
    <w:p w14:paraId="1282EED2" w14:textId="77777777" w:rsidR="00AB51B1" w:rsidRPr="00AF7502" w:rsidRDefault="00AB51B1" w:rsidP="00AB51B1">
      <w:pPr>
        <w:pStyle w:val="Prrafodelista"/>
        <w:spacing w:line="360" w:lineRule="auto"/>
        <w:jc w:val="both"/>
        <w:rPr>
          <w:rFonts w:ascii="Palatino Linotype" w:hAnsi="Palatino Linotype"/>
          <w:b/>
          <w:i/>
        </w:rPr>
      </w:pPr>
    </w:p>
    <w:p w14:paraId="31E77193" w14:textId="77777777" w:rsidR="00AB51B1" w:rsidRPr="00AF7502" w:rsidRDefault="00AB51B1" w:rsidP="00AB51B1">
      <w:pPr>
        <w:pStyle w:val="Prrafodelista"/>
        <w:spacing w:line="360" w:lineRule="auto"/>
        <w:jc w:val="both"/>
        <w:rPr>
          <w:rFonts w:ascii="Palatino Linotype" w:hAnsi="Palatino Linotype"/>
          <w:i/>
        </w:rPr>
      </w:pPr>
      <w:r w:rsidRPr="00AF7502">
        <w:rPr>
          <w:rFonts w:ascii="Palatino Linotype" w:hAnsi="Palatino Linotype"/>
          <w:b/>
          <w:i/>
        </w:rPr>
        <w:lastRenderedPageBreak/>
        <w:t>Artículo 110. Las conexiones a las redes de distribución y al drenaje deberán sujetarse a las disposiciones del presente Reglamento</w:t>
      </w:r>
      <w:r w:rsidRPr="00AF7502">
        <w:rPr>
          <w:rFonts w:ascii="Palatino Linotype" w:hAnsi="Palatino Linotype"/>
          <w:i/>
        </w:rPr>
        <w:t xml:space="preserve"> y, en su caso, a las condiciones específicas que el prestador del servicio establezca al autorizar una solicitud. </w:t>
      </w:r>
      <w:r w:rsidRPr="00AF7502">
        <w:rPr>
          <w:rFonts w:ascii="Palatino Linotype" w:hAnsi="Palatino Linotype"/>
          <w:b/>
          <w:i/>
        </w:rPr>
        <w:t xml:space="preserve">El prestador del servicio podrá ordenar visitas de inspección de la infraestructura domiciliaria para comprobar que se ajusta a las disposiciones legales y reglamentarias aplicables y podrá abstenerse de realizar la conexión respectiva hasta en tanto el usuario corrija las irregularidades. </w:t>
      </w:r>
    </w:p>
    <w:p w14:paraId="7D4FF498" w14:textId="77777777" w:rsidR="00AB51B1" w:rsidRPr="00AF7502" w:rsidRDefault="00AB51B1" w:rsidP="00AB51B1">
      <w:pPr>
        <w:pStyle w:val="Prrafodelista"/>
        <w:spacing w:line="360" w:lineRule="auto"/>
        <w:jc w:val="both"/>
        <w:rPr>
          <w:rFonts w:ascii="Palatino Linotype" w:hAnsi="Palatino Linotype"/>
          <w:i/>
        </w:rPr>
      </w:pPr>
    </w:p>
    <w:p w14:paraId="7F675AA2" w14:textId="77777777" w:rsidR="00AB51B1" w:rsidRPr="00AF7502" w:rsidRDefault="00AB51B1" w:rsidP="00AB51B1">
      <w:pPr>
        <w:pStyle w:val="Prrafodelista"/>
        <w:spacing w:line="360" w:lineRule="auto"/>
        <w:jc w:val="both"/>
        <w:rPr>
          <w:rFonts w:ascii="Palatino Linotype" w:hAnsi="Palatino Linotype"/>
          <w:b/>
          <w:i/>
        </w:rPr>
      </w:pPr>
      <w:r w:rsidRPr="00AF7502">
        <w:rPr>
          <w:rFonts w:ascii="Palatino Linotype" w:hAnsi="Palatino Linotype"/>
          <w:b/>
          <w:i/>
        </w:rPr>
        <w:t xml:space="preserve">Corresponde únicamente al prestador del servicio ejecutar las obras de conexión desde las redes de distribución y drenaje a la infraestructura domiciliaria. </w:t>
      </w:r>
    </w:p>
    <w:p w14:paraId="7C50D91B" w14:textId="77777777" w:rsidR="00AB51B1" w:rsidRPr="00AF7502" w:rsidRDefault="00AB51B1" w:rsidP="00AB51B1">
      <w:pPr>
        <w:pStyle w:val="Prrafodelista"/>
        <w:spacing w:line="360" w:lineRule="auto"/>
        <w:jc w:val="both"/>
        <w:rPr>
          <w:rFonts w:ascii="Palatino Linotype" w:hAnsi="Palatino Linotype"/>
          <w:i/>
        </w:rPr>
      </w:pPr>
    </w:p>
    <w:p w14:paraId="44A5D10D" w14:textId="77777777" w:rsidR="00AB51B1" w:rsidRPr="00AF7502" w:rsidRDefault="00AB51B1" w:rsidP="00AB51B1">
      <w:pPr>
        <w:pStyle w:val="Prrafodelista"/>
        <w:spacing w:line="360" w:lineRule="auto"/>
        <w:jc w:val="both"/>
        <w:rPr>
          <w:rFonts w:ascii="Palatino Linotype" w:hAnsi="Palatino Linotype"/>
          <w:b/>
          <w:i/>
        </w:rPr>
      </w:pPr>
      <w:r w:rsidRPr="00AF7502">
        <w:rPr>
          <w:rFonts w:ascii="Palatino Linotype" w:hAnsi="Palatino Linotype"/>
          <w:b/>
          <w:i/>
        </w:rPr>
        <w:t xml:space="preserve">Artículo 111. Por cada toma domiciliaria se instalará un medidor de consumo de agua potable, cuyo costo quedará a cargo del usuario, con las excepciones que establezcan las disposiciones jurídicas. </w:t>
      </w:r>
    </w:p>
    <w:p w14:paraId="62DE1442" w14:textId="77777777" w:rsidR="00AB51B1" w:rsidRPr="00AF7502" w:rsidRDefault="00AB51B1" w:rsidP="00AB51B1">
      <w:pPr>
        <w:pStyle w:val="Prrafodelista"/>
        <w:spacing w:line="360" w:lineRule="auto"/>
        <w:jc w:val="both"/>
        <w:rPr>
          <w:rFonts w:ascii="Palatino Linotype" w:hAnsi="Palatino Linotype"/>
          <w:i/>
        </w:rPr>
      </w:pPr>
    </w:p>
    <w:p w14:paraId="0442E0DB" w14:textId="2851BD76" w:rsidR="00AB51B1" w:rsidRPr="00AF7502" w:rsidRDefault="00AB51B1" w:rsidP="00AB51B1">
      <w:pPr>
        <w:pStyle w:val="Prrafodelista"/>
        <w:spacing w:line="360" w:lineRule="auto"/>
        <w:jc w:val="both"/>
        <w:rPr>
          <w:rFonts w:ascii="Palatino Linotype" w:hAnsi="Palatino Linotype"/>
          <w:b/>
          <w:i/>
        </w:rPr>
      </w:pPr>
      <w:r w:rsidRPr="00AF7502">
        <w:rPr>
          <w:rFonts w:ascii="Palatino Linotype" w:hAnsi="Palatino Linotype"/>
          <w:b/>
          <w:i/>
        </w:rPr>
        <w:t>En los predios sujetos al régimen de propiedad condominal</w:t>
      </w:r>
      <w:r w:rsidRPr="00AF7502">
        <w:rPr>
          <w:rFonts w:ascii="Palatino Linotype" w:hAnsi="Palatino Linotype"/>
          <w:i/>
        </w:rPr>
        <w:t xml:space="preserve">, en los que exista pluralidad de usuarios, </w:t>
      </w:r>
      <w:r w:rsidRPr="00AF7502">
        <w:rPr>
          <w:rFonts w:ascii="Palatino Linotype" w:hAnsi="Palatino Linotype"/>
          <w:b/>
          <w:i/>
        </w:rPr>
        <w:t>se instalará una sola toma principal con un medidor para el servicio común</w:t>
      </w:r>
      <w:r w:rsidRPr="00AF7502">
        <w:rPr>
          <w:rFonts w:ascii="Palatino Linotype" w:hAnsi="Palatino Linotype"/>
          <w:i/>
        </w:rPr>
        <w:t xml:space="preserve"> del propio condominio y un medidor individual para cada usuario. El costo del medidor y del servicio para uso común del condominio correrá a cargo de los condóminos.</w:t>
      </w:r>
    </w:p>
    <w:p w14:paraId="4410B818" w14:textId="77777777" w:rsidR="00AB51B1" w:rsidRPr="00AF7502" w:rsidRDefault="00AB51B1" w:rsidP="00AB51B1">
      <w:pPr>
        <w:pStyle w:val="Prrafodelista"/>
        <w:rPr>
          <w:rFonts w:ascii="Palatino Linotype" w:hAnsi="Palatino Linotype"/>
          <w:b/>
          <w:i/>
        </w:rPr>
      </w:pPr>
    </w:p>
    <w:p w14:paraId="7184872E" w14:textId="77777777" w:rsidR="00AB51B1" w:rsidRPr="00AF7502" w:rsidRDefault="00AB51B1" w:rsidP="00AB51B1">
      <w:pPr>
        <w:pStyle w:val="Prrafodelista"/>
        <w:rPr>
          <w:rFonts w:ascii="Palatino Linotype" w:hAnsi="Palatino Linotype" w:cs="Arial"/>
          <w:sz w:val="24"/>
          <w:lang w:eastAsia="en-US"/>
        </w:rPr>
      </w:pPr>
    </w:p>
    <w:p w14:paraId="4CE12A69" w14:textId="3983E070" w:rsidR="00AB51B1" w:rsidRPr="00AF7502" w:rsidRDefault="00AB51B1" w:rsidP="00806ABD">
      <w:pPr>
        <w:pStyle w:val="Prrafodelista"/>
        <w:numPr>
          <w:ilvl w:val="0"/>
          <w:numId w:val="2"/>
        </w:numPr>
        <w:shd w:val="clear" w:color="auto" w:fill="FFFFFF"/>
        <w:spacing w:after="200" w:line="360" w:lineRule="auto"/>
        <w:ind w:left="0" w:firstLine="0"/>
        <w:jc w:val="both"/>
        <w:rPr>
          <w:rFonts w:ascii="Palatino Linotype" w:hAnsi="Palatino Linotype" w:cs="Arial"/>
          <w:sz w:val="24"/>
        </w:rPr>
      </w:pPr>
      <w:r w:rsidRPr="00AF7502">
        <w:rPr>
          <w:rFonts w:ascii="Palatino Linotype" w:hAnsi="Palatino Linotype" w:cs="Arial"/>
          <w:sz w:val="24"/>
          <w:lang w:eastAsia="en-US"/>
        </w:rPr>
        <w:t xml:space="preserve">Es sí que, los propietarios o poseedores de los predios en los que se vaya a realizar una conexión de los servicios de agua potable y alcantarillado deben de solicitarlo al Municipio y cumplir con todos los requisitos que para tal efecto se </w:t>
      </w:r>
      <w:r w:rsidRPr="00AF7502">
        <w:rPr>
          <w:rFonts w:ascii="Palatino Linotype" w:hAnsi="Palatino Linotype" w:cs="Arial"/>
          <w:sz w:val="24"/>
          <w:lang w:eastAsia="en-US"/>
        </w:rPr>
        <w:lastRenderedPageBreak/>
        <w:t>establezcan, asimismo, será el prestador de servicios el que realice las obras hidráulicas para la correspondiente conexión</w:t>
      </w:r>
      <w:r w:rsidR="000F0C82" w:rsidRPr="00AF7502">
        <w:rPr>
          <w:rFonts w:ascii="Palatino Linotype" w:hAnsi="Palatino Linotype" w:cs="Arial"/>
          <w:sz w:val="24"/>
          <w:lang w:eastAsia="en-US"/>
        </w:rPr>
        <w:t xml:space="preserve"> desde las redes de distribución y drenaje a la infraestructura hidráulica.</w:t>
      </w:r>
    </w:p>
    <w:p w14:paraId="2FF67653" w14:textId="77777777" w:rsidR="000F0C82" w:rsidRPr="00AF7502" w:rsidRDefault="000F0C82" w:rsidP="000F0C82">
      <w:pPr>
        <w:pStyle w:val="Prrafodelista"/>
        <w:shd w:val="clear" w:color="auto" w:fill="FFFFFF"/>
        <w:spacing w:after="200" w:line="360" w:lineRule="auto"/>
        <w:ind w:left="0"/>
        <w:jc w:val="both"/>
        <w:rPr>
          <w:rFonts w:ascii="Palatino Linotype" w:hAnsi="Palatino Linotype" w:cs="Arial"/>
          <w:sz w:val="24"/>
        </w:rPr>
      </w:pPr>
    </w:p>
    <w:p w14:paraId="77F83753" w14:textId="2224687E" w:rsidR="000F0C82" w:rsidRPr="00AF7502" w:rsidRDefault="000F0C82" w:rsidP="00C22A40">
      <w:pPr>
        <w:pStyle w:val="Prrafodelista"/>
        <w:numPr>
          <w:ilvl w:val="0"/>
          <w:numId w:val="2"/>
        </w:numPr>
        <w:shd w:val="clear" w:color="auto" w:fill="FFFFFF"/>
        <w:spacing w:before="240" w:after="200" w:line="360" w:lineRule="auto"/>
        <w:ind w:left="0" w:right="49" w:firstLine="0"/>
        <w:jc w:val="both"/>
        <w:rPr>
          <w:rFonts w:ascii="Palatino Linotype" w:hAnsi="Palatino Linotype" w:cs="Arial"/>
          <w:sz w:val="24"/>
        </w:rPr>
      </w:pPr>
      <w:r w:rsidRPr="00AF7502">
        <w:rPr>
          <w:rFonts w:ascii="Palatino Linotype" w:hAnsi="Palatino Linotype" w:cs="Arial"/>
          <w:sz w:val="24"/>
          <w:lang w:eastAsia="en-US"/>
        </w:rPr>
        <w:t xml:space="preserve">En conclusión, al ser información que únicamente es de conocimiento del prestador de los servicios de agua potable y alcantarillado y la persona interesada en recibir el servicio, se determina que la divulgación de la información correspondiente a los puntos de conexión supone un riesgo a la salud y a la vida de las personas que se sirven del líquido vital, </w:t>
      </w:r>
      <w:r w:rsidR="00AF7502" w:rsidRPr="00AF7502">
        <w:rPr>
          <w:rFonts w:ascii="Palatino Linotype" w:hAnsi="Palatino Linotype" w:cs="Arial"/>
          <w:sz w:val="24"/>
          <w:lang w:eastAsia="en-US"/>
        </w:rPr>
        <w:t xml:space="preserve">así como el riesgo ante la </w:t>
      </w:r>
      <w:r w:rsidR="00AF7502" w:rsidRPr="00AF7502">
        <w:rPr>
          <w:rFonts w:ascii="Palatino Linotype" w:hAnsi="Palatino Linotype" w:cs="Bookman Old Style"/>
          <w:sz w:val="24"/>
        </w:rPr>
        <w:t xml:space="preserve">posibilidad de destrucción, inhabilitación o sabotaje de la infraestructura indispensable </w:t>
      </w:r>
      <w:r w:rsidR="00AF7502" w:rsidRPr="00AF7502">
        <w:rPr>
          <w:rFonts w:ascii="Palatino Linotype" w:hAnsi="Palatino Linotype" w:cs="Helvetica"/>
          <w:color w:val="2F2F2F"/>
          <w:szCs w:val="22"/>
          <w:shd w:val="clear" w:color="auto" w:fill="FFFFFF"/>
        </w:rPr>
        <w:t>para la provisión de bienes o servicios públicos de agua potable,</w:t>
      </w:r>
      <w:r w:rsidR="00AF7502">
        <w:rPr>
          <w:rFonts w:ascii="Palatino Linotype" w:hAnsi="Palatino Linotype" w:cs="Helvetica"/>
          <w:color w:val="2F2F2F"/>
          <w:szCs w:val="22"/>
          <w:shd w:val="clear" w:color="auto" w:fill="FFFFFF"/>
        </w:rPr>
        <w:t xml:space="preserve"> </w:t>
      </w:r>
      <w:r w:rsidRPr="00AF7502">
        <w:rPr>
          <w:rFonts w:ascii="Palatino Linotype" w:hAnsi="Palatino Linotype" w:cs="Arial"/>
          <w:sz w:val="24"/>
          <w:lang w:eastAsia="en-US"/>
        </w:rPr>
        <w:t>t</w:t>
      </w:r>
      <w:r w:rsidR="00AF7502">
        <w:rPr>
          <w:rFonts w:ascii="Palatino Linotype" w:hAnsi="Palatino Linotype" w:cs="Arial"/>
          <w:sz w:val="24"/>
          <w:lang w:eastAsia="en-US"/>
        </w:rPr>
        <w:t>oda vez que, releva l</w:t>
      </w:r>
      <w:r w:rsidRPr="00AF7502">
        <w:rPr>
          <w:rFonts w:ascii="Palatino Linotype" w:hAnsi="Palatino Linotype" w:cs="Arial"/>
          <w:sz w:val="24"/>
          <w:lang w:eastAsia="en-US"/>
        </w:rPr>
        <w:t>a ubicación exacta de los puntos en donde se realizan las conexiones para su posible atentado o incluso la restricción del agua, por lo que, el Sujeto Obligado deberá proporcionar la factibilidad o la autorización emitida a favor de la empresa señalada en la solicitud, clasificando como reservada la información relacionada con los puntos de conexión de agua potable, alcantarillado y descarga de aguas residuales, en su caso.</w:t>
      </w:r>
    </w:p>
    <w:p w14:paraId="215ECC6F" w14:textId="77777777" w:rsidR="00AB51B1" w:rsidRPr="00AF7502" w:rsidRDefault="00AB51B1" w:rsidP="00AB51B1">
      <w:pPr>
        <w:pStyle w:val="Prrafodelista"/>
        <w:shd w:val="clear" w:color="auto" w:fill="FFFFFF"/>
        <w:spacing w:after="200" w:line="360" w:lineRule="auto"/>
        <w:ind w:left="0"/>
        <w:jc w:val="both"/>
        <w:rPr>
          <w:rFonts w:ascii="Palatino Linotype" w:hAnsi="Palatino Linotype" w:cs="Arial"/>
          <w:sz w:val="24"/>
          <w:lang w:eastAsia="en-US"/>
        </w:rPr>
      </w:pPr>
    </w:p>
    <w:p w14:paraId="01571EA1" w14:textId="57A808E9" w:rsidR="00806ABD" w:rsidRPr="00AF7502" w:rsidRDefault="00806ABD" w:rsidP="00806ABD">
      <w:pPr>
        <w:pStyle w:val="Prrafodelista"/>
        <w:numPr>
          <w:ilvl w:val="0"/>
          <w:numId w:val="2"/>
        </w:numPr>
        <w:shd w:val="clear" w:color="auto" w:fill="FFFFFF"/>
        <w:spacing w:after="200" w:line="360" w:lineRule="auto"/>
        <w:ind w:left="0" w:firstLine="0"/>
        <w:jc w:val="both"/>
        <w:rPr>
          <w:rFonts w:ascii="Palatino Linotype" w:hAnsi="Palatino Linotype" w:cs="Arial"/>
          <w:sz w:val="24"/>
        </w:rPr>
      </w:pPr>
      <w:r w:rsidRPr="00AF7502">
        <w:rPr>
          <w:rFonts w:ascii="Palatino Linotype" w:hAnsi="Palatino Linotype" w:cs="Arial"/>
          <w:sz w:val="24"/>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CF73DC6" w14:textId="3009E2CD" w:rsidR="005000AA" w:rsidRPr="00624AAD" w:rsidRDefault="00CC4C0B" w:rsidP="00DB2180">
      <w:pPr>
        <w:pStyle w:val="Ttulo1"/>
        <w:rPr>
          <w:rFonts w:ascii="Palatino Linotype" w:eastAsia="Calibri" w:hAnsi="Palatino Linotype"/>
          <w:b/>
          <w:color w:val="auto"/>
          <w:sz w:val="24"/>
          <w:szCs w:val="24"/>
        </w:rPr>
      </w:pPr>
      <w:bookmarkStart w:id="48" w:name="_Toc83210177"/>
      <w:r>
        <w:rPr>
          <w:rFonts w:ascii="Palatino Linotype" w:eastAsia="Calibri" w:hAnsi="Palatino Linotype"/>
          <w:b/>
          <w:color w:val="auto"/>
          <w:sz w:val="24"/>
          <w:szCs w:val="24"/>
        </w:rPr>
        <w:lastRenderedPageBreak/>
        <w:t xml:space="preserve">SEXTO. </w:t>
      </w:r>
      <w:r w:rsidR="005000AA" w:rsidRPr="00624AAD">
        <w:rPr>
          <w:rFonts w:ascii="Palatino Linotype" w:eastAsia="Calibri" w:hAnsi="Palatino Linotype"/>
          <w:b/>
          <w:color w:val="auto"/>
          <w:sz w:val="24"/>
          <w:szCs w:val="24"/>
        </w:rPr>
        <w:t>DECISIÓN.</w:t>
      </w:r>
      <w:bookmarkEnd w:id="48"/>
    </w:p>
    <w:p w14:paraId="24099BD0" w14:textId="77777777" w:rsidR="005000AA" w:rsidRPr="00624AAD" w:rsidRDefault="005000AA" w:rsidP="005000AA">
      <w:pPr>
        <w:pStyle w:val="Prrafodelista"/>
        <w:rPr>
          <w:rFonts w:ascii="Palatino Linotype" w:eastAsia="Calibri" w:hAnsi="Palatino Linotype" w:cs="Arial"/>
          <w:sz w:val="24"/>
        </w:rPr>
      </w:pPr>
    </w:p>
    <w:p w14:paraId="513E5C74" w14:textId="16BD9290" w:rsidR="00FC4367" w:rsidRDefault="00FC4367"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El Titular de la Unidad de Transparencia no turnó la solicitud a todas las áreas que de acuerdo a sus funciones, atribuciones y competencias deban generar, administrar y poseer la información, lo que tiene por consecuencia que no se haya realizado una correcta búsqueda exhaustiva y razonable de la información, causando una afectación al derecho accionado.</w:t>
      </w:r>
    </w:p>
    <w:p w14:paraId="6A2B35D8" w14:textId="77777777" w:rsidR="00FC4367" w:rsidRDefault="00FC4367" w:rsidP="00FC4367">
      <w:pPr>
        <w:pStyle w:val="Prrafodelista"/>
        <w:tabs>
          <w:tab w:val="left" w:pos="567"/>
        </w:tabs>
        <w:spacing w:line="360" w:lineRule="auto"/>
        <w:ind w:left="0"/>
        <w:jc w:val="both"/>
        <w:rPr>
          <w:rFonts w:ascii="Palatino Linotype" w:eastAsia="Calibri" w:hAnsi="Palatino Linotype" w:cs="Arial"/>
          <w:sz w:val="24"/>
        </w:rPr>
      </w:pPr>
    </w:p>
    <w:p w14:paraId="73A7072B" w14:textId="43791453" w:rsidR="00BA10DC"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624AAD">
        <w:rPr>
          <w:rFonts w:ascii="Palatino Linotype" w:eastAsia="Calibri" w:hAnsi="Palatino Linotype" w:cs="Arial"/>
          <w:sz w:val="24"/>
        </w:rPr>
        <w:t xml:space="preserve">La respuesta que emitió el Sujeto Obligado </w:t>
      </w:r>
      <w:r w:rsidR="00BA10DC">
        <w:rPr>
          <w:rFonts w:ascii="Palatino Linotype" w:eastAsia="Calibri" w:hAnsi="Palatino Linotype" w:cs="Arial"/>
          <w:sz w:val="24"/>
        </w:rPr>
        <w:t>no es suficiente para satisfacer el requerimiento del particular, toda vez que se carece de búsqueda exhaustiva y razonable de la información para dar certeza al Recurrente de que la información no ha sido generada, administrada o poseída.</w:t>
      </w:r>
    </w:p>
    <w:p w14:paraId="2AF320BE" w14:textId="77777777" w:rsidR="00BA10DC" w:rsidRPr="00BA10DC" w:rsidRDefault="00BA10DC" w:rsidP="00BA10DC">
      <w:pPr>
        <w:pStyle w:val="Prrafodelista"/>
        <w:rPr>
          <w:rFonts w:ascii="Palatino Linotype" w:eastAsia="Calibri" w:hAnsi="Palatino Linotype" w:cs="Arial"/>
          <w:sz w:val="24"/>
        </w:rPr>
      </w:pPr>
    </w:p>
    <w:p w14:paraId="4EEC15AF" w14:textId="7599D819" w:rsidR="000F0C82" w:rsidRPr="000F0C82" w:rsidRDefault="000F0C82" w:rsidP="00BA10DC">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D</w:t>
      </w:r>
      <w:r w:rsidR="00BA10DC">
        <w:rPr>
          <w:rFonts w:ascii="Palatino Linotype" w:eastAsia="Calibri" w:hAnsi="Palatino Linotype" w:cs="Arial"/>
          <w:sz w:val="24"/>
        </w:rPr>
        <w:t xml:space="preserve">e la estructura orgánica del Sujeto Obligado, se </w:t>
      </w:r>
      <w:r>
        <w:rPr>
          <w:rFonts w:ascii="Palatino Linotype" w:eastAsia="Calibri" w:hAnsi="Palatino Linotype" w:cs="Arial"/>
          <w:sz w:val="24"/>
        </w:rPr>
        <w:t xml:space="preserve">aprecia que </w:t>
      </w:r>
      <w:r w:rsidR="00BA10DC">
        <w:rPr>
          <w:rFonts w:ascii="Palatino Linotype" w:eastAsia="Calibri" w:hAnsi="Palatino Linotype" w:cs="Arial"/>
          <w:sz w:val="24"/>
        </w:rPr>
        <w:t xml:space="preserve">cuenta con áreas </w:t>
      </w:r>
      <w:r>
        <w:rPr>
          <w:rFonts w:ascii="Palatino Linotype" w:eastAsia="Calibri" w:hAnsi="Palatino Linotype" w:cs="Arial"/>
          <w:sz w:val="24"/>
        </w:rPr>
        <w:t xml:space="preserve">con atribuciones </w:t>
      </w:r>
      <w:r w:rsidR="00BA10DC">
        <w:rPr>
          <w:rFonts w:ascii="Palatino Linotype" w:eastAsia="Calibri" w:hAnsi="Palatino Linotype" w:cs="Arial"/>
          <w:sz w:val="24"/>
        </w:rPr>
        <w:t xml:space="preserve">para emitir factibilidades </w:t>
      </w:r>
      <w:r w:rsidR="00BA10DC" w:rsidRPr="00BA10DC">
        <w:rPr>
          <w:rFonts w:ascii="Palatino Linotype" w:hAnsi="Palatino Linotype"/>
          <w:sz w:val="24"/>
        </w:rPr>
        <w:t xml:space="preserve">para el servicio de agua potable y alcantarillado a </w:t>
      </w:r>
      <w:r w:rsidR="00BA10DC" w:rsidRPr="00BA10DC">
        <w:rPr>
          <w:rFonts w:ascii="Palatino Linotype" w:hAnsi="Palatino Linotype"/>
          <w:sz w:val="24"/>
          <w:szCs w:val="22"/>
        </w:rPr>
        <w:t>constructores o propietarios de conjuntos habitacionales</w:t>
      </w:r>
      <w:r w:rsidR="00BA10DC">
        <w:rPr>
          <w:rFonts w:ascii="Palatino Linotype" w:hAnsi="Palatino Linotype"/>
          <w:sz w:val="24"/>
          <w:szCs w:val="22"/>
        </w:rPr>
        <w:t xml:space="preserve">, </w:t>
      </w:r>
      <w:r>
        <w:rPr>
          <w:rFonts w:ascii="Palatino Linotype" w:hAnsi="Palatino Linotype"/>
          <w:sz w:val="24"/>
          <w:szCs w:val="22"/>
        </w:rPr>
        <w:t>no obstante, se determinó que no toda la información que solicitó el Recurrente tiene el carácter de información pública. Si bien, las factibilidades o autorizaciones si deben ser públicas, también lo es que, los puntos de conexión de agua potable y alcantarillado, es información que debe clasificarse como reservada</w:t>
      </w:r>
      <w:r w:rsidR="00E155D8">
        <w:rPr>
          <w:rFonts w:ascii="Palatino Linotype" w:hAnsi="Palatino Linotype"/>
          <w:sz w:val="24"/>
          <w:szCs w:val="22"/>
        </w:rPr>
        <w:t>,</w:t>
      </w:r>
      <w:r>
        <w:rPr>
          <w:rFonts w:ascii="Palatino Linotype" w:hAnsi="Palatino Linotype"/>
          <w:sz w:val="24"/>
          <w:szCs w:val="22"/>
        </w:rPr>
        <w:t xml:space="preserve"> por el hecho de que su divulgación representa un riesgo para la salud y la vida de las personas que se sirven de dichas </w:t>
      </w:r>
      <w:r>
        <w:rPr>
          <w:rFonts w:ascii="Palatino Linotype" w:hAnsi="Palatino Linotype"/>
          <w:sz w:val="24"/>
          <w:szCs w:val="22"/>
        </w:rPr>
        <w:lastRenderedPageBreak/>
        <w:t>conexiones, en consecuencia, se debe proporcionar la información a través de una versión pública.</w:t>
      </w:r>
    </w:p>
    <w:p w14:paraId="349C058F" w14:textId="77777777" w:rsidR="000F0C82" w:rsidRPr="000F0C82" w:rsidRDefault="000F0C82" w:rsidP="000F0C82">
      <w:pPr>
        <w:pStyle w:val="Prrafodelista"/>
        <w:rPr>
          <w:rFonts w:ascii="Palatino Linotype" w:hAnsi="Palatino Linotype"/>
          <w:sz w:val="24"/>
          <w:szCs w:val="22"/>
        </w:rPr>
      </w:pPr>
    </w:p>
    <w:p w14:paraId="5994A267" w14:textId="2DDD21AA" w:rsidR="00BA10DC" w:rsidRPr="00BA10DC" w:rsidRDefault="00E155D8" w:rsidP="00BA10DC">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hAnsi="Palatino Linotype"/>
          <w:sz w:val="24"/>
          <w:szCs w:val="22"/>
        </w:rPr>
        <w:t xml:space="preserve">Se </w:t>
      </w:r>
      <w:r w:rsidR="00BA10DC">
        <w:rPr>
          <w:rFonts w:ascii="Palatino Linotype" w:hAnsi="Palatino Linotype"/>
          <w:sz w:val="24"/>
          <w:szCs w:val="22"/>
        </w:rPr>
        <w:t>ordenó realizar una correcta búsqueda exhaustiva y razonable a efecto de localizar y poner a disposición los documentos correspondientes, resultando</w:t>
      </w:r>
      <w:r>
        <w:rPr>
          <w:rFonts w:ascii="Palatino Linotype" w:hAnsi="Palatino Linotype"/>
          <w:sz w:val="24"/>
          <w:szCs w:val="22"/>
        </w:rPr>
        <w:t xml:space="preserve"> así</w:t>
      </w:r>
      <w:r w:rsidR="00BA10DC">
        <w:rPr>
          <w:rFonts w:ascii="Palatino Linotype" w:hAnsi="Palatino Linotype"/>
          <w:sz w:val="24"/>
          <w:szCs w:val="22"/>
        </w:rPr>
        <w:t xml:space="preserve"> fundados los motivos o razones de inconformidad</w:t>
      </w:r>
      <w:r>
        <w:rPr>
          <w:rFonts w:ascii="Palatino Linotype" w:hAnsi="Palatino Linotype"/>
          <w:sz w:val="24"/>
          <w:szCs w:val="22"/>
        </w:rPr>
        <w:t xml:space="preserve"> hechos valer por el Recurrente, lo conducente es </w:t>
      </w:r>
      <w:r w:rsidR="00BA10DC">
        <w:rPr>
          <w:rFonts w:ascii="Palatino Linotype" w:hAnsi="Palatino Linotype"/>
          <w:sz w:val="24"/>
          <w:szCs w:val="22"/>
        </w:rPr>
        <w:t>REVOCA</w:t>
      </w:r>
      <w:r>
        <w:rPr>
          <w:rFonts w:ascii="Palatino Linotype" w:hAnsi="Palatino Linotype"/>
          <w:sz w:val="24"/>
          <w:szCs w:val="22"/>
        </w:rPr>
        <w:t>R</w:t>
      </w:r>
      <w:r w:rsidR="00BA10DC">
        <w:rPr>
          <w:rFonts w:ascii="Palatino Linotype" w:hAnsi="Palatino Linotype"/>
          <w:sz w:val="24"/>
          <w:szCs w:val="22"/>
        </w:rPr>
        <w:t xml:space="preserve"> la respuesta</w:t>
      </w:r>
      <w:r>
        <w:rPr>
          <w:rFonts w:ascii="Palatino Linotype" w:hAnsi="Palatino Linotype"/>
          <w:sz w:val="24"/>
          <w:szCs w:val="22"/>
        </w:rPr>
        <w:t xml:space="preserve"> emitida por el Sujeto Obligado y ORDENAR la entrega de la información.</w:t>
      </w:r>
    </w:p>
    <w:p w14:paraId="20869EA6" w14:textId="77777777" w:rsidR="00BA10DC" w:rsidRPr="00BA10DC" w:rsidRDefault="00BA10DC" w:rsidP="00BA10DC">
      <w:pPr>
        <w:pStyle w:val="Prrafodelista"/>
        <w:rPr>
          <w:rFonts w:ascii="Palatino Linotype" w:eastAsia="Calibri" w:hAnsi="Palatino Linotype" w:cs="Arial"/>
          <w:sz w:val="24"/>
        </w:rPr>
      </w:pPr>
    </w:p>
    <w:p w14:paraId="17B8682D" w14:textId="77777777" w:rsidR="005000AA" w:rsidRPr="00624AAD" w:rsidRDefault="005000AA" w:rsidP="005000AA">
      <w:pPr>
        <w:pStyle w:val="Prrafodelista"/>
        <w:rPr>
          <w:rFonts w:ascii="Palatino Linotype" w:eastAsia="Calibri" w:hAnsi="Palatino Linotype" w:cs="Arial"/>
          <w:sz w:val="24"/>
        </w:rPr>
      </w:pPr>
    </w:p>
    <w:bookmarkEnd w:id="15"/>
    <w:p w14:paraId="18814E0F" w14:textId="77777777" w:rsidR="005000AA" w:rsidRPr="00624AAD"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624AAD">
        <w:rPr>
          <w:rFonts w:ascii="Palatino Linotype" w:hAnsi="Palatino Linotype" w:cs="Arial"/>
          <w:color w:val="222222"/>
          <w:sz w:val="24"/>
          <w:lang w:eastAsia="es-MX"/>
        </w:rPr>
        <w:t xml:space="preserve">Por lo anteriormente expuesto y fundado, este </w:t>
      </w:r>
      <w:r w:rsidRPr="00624AAD">
        <w:rPr>
          <w:rFonts w:ascii="Palatino Linotype" w:hAnsi="Palatino Linotype" w:cs="Arial"/>
          <w:b/>
          <w:bCs/>
          <w:color w:val="222222"/>
          <w:sz w:val="24"/>
          <w:lang w:eastAsia="es-MX"/>
        </w:rPr>
        <w:t>ÓRGANO GARANTE</w:t>
      </w:r>
      <w:r w:rsidRPr="00624AAD">
        <w:rPr>
          <w:rFonts w:ascii="Palatino Linotype" w:hAnsi="Palatino Linotype" w:cs="Arial"/>
          <w:color w:val="222222"/>
          <w:sz w:val="24"/>
          <w:lang w:eastAsia="es-MX"/>
        </w:rPr>
        <w:t xml:space="preserve"> emite los siguientes:</w:t>
      </w:r>
    </w:p>
    <w:p w14:paraId="339C4268" w14:textId="2B2AF30F" w:rsidR="005000AA" w:rsidRPr="00624AAD" w:rsidRDefault="005000AA" w:rsidP="005000AA">
      <w:pPr>
        <w:pStyle w:val="Prrafodelista"/>
        <w:rPr>
          <w:rFonts w:ascii="Palatino Linotype" w:eastAsia="Calibri" w:hAnsi="Palatino Linotype" w:cs="Arial"/>
          <w:sz w:val="24"/>
        </w:rPr>
      </w:pPr>
      <w:r w:rsidRPr="00624AAD">
        <w:rPr>
          <w:rFonts w:ascii="Palatino Linotype" w:eastAsiaTheme="minorEastAsia" w:hAnsi="Palatino Linotype" w:cstheme="minorBidi"/>
          <w:noProof/>
          <w:sz w:val="24"/>
          <w:lang w:eastAsia="es-MX"/>
        </w:rPr>
        <mc:AlternateContent>
          <mc:Choice Requires="wps">
            <w:drawing>
              <wp:anchor distT="0" distB="0" distL="114300" distR="114300" simplePos="0" relativeHeight="251659264" behindDoc="0" locked="0" layoutInCell="1" allowOverlap="1" wp14:anchorId="5CA0E9CD" wp14:editId="365B53DE">
                <wp:simplePos x="0" y="0"/>
                <wp:positionH relativeFrom="column">
                  <wp:posOffset>15202</wp:posOffset>
                </wp:positionH>
                <wp:positionV relativeFrom="paragraph">
                  <wp:posOffset>41843</wp:posOffset>
                </wp:positionV>
                <wp:extent cx="5724525" cy="2333767"/>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724525" cy="23337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BE29F28"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pt,3.3pt" to="451.9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" strokecolor="#4472c4 [3204]" strokeweight=".5pt">
                <v:stroke joinstyle="miter"/>
              </v:line>
            </w:pict>
          </mc:Fallback>
        </mc:AlternateContent>
      </w:r>
    </w:p>
    <w:p w14:paraId="0CAC6906" w14:textId="77777777" w:rsidR="005000AA" w:rsidRPr="00624AAD" w:rsidRDefault="005000AA" w:rsidP="005000AA">
      <w:pPr>
        <w:tabs>
          <w:tab w:val="left" w:pos="567"/>
        </w:tabs>
        <w:spacing w:line="360" w:lineRule="auto"/>
        <w:jc w:val="both"/>
        <w:rPr>
          <w:rFonts w:ascii="Palatino Linotype" w:eastAsia="Calibri" w:hAnsi="Palatino Linotype" w:cs="Arial"/>
          <w:sz w:val="24"/>
          <w:szCs w:val="24"/>
        </w:rPr>
      </w:pPr>
    </w:p>
    <w:p w14:paraId="4D45CB78" w14:textId="77777777" w:rsidR="005000AA" w:rsidRPr="00624AAD" w:rsidRDefault="005000AA" w:rsidP="005000AA">
      <w:pPr>
        <w:tabs>
          <w:tab w:val="left" w:pos="567"/>
        </w:tabs>
        <w:spacing w:line="360" w:lineRule="auto"/>
        <w:jc w:val="both"/>
        <w:rPr>
          <w:rFonts w:ascii="Palatino Linotype" w:eastAsia="Calibri" w:hAnsi="Palatino Linotype" w:cs="Arial"/>
          <w:sz w:val="24"/>
          <w:szCs w:val="24"/>
        </w:rPr>
      </w:pPr>
    </w:p>
    <w:p w14:paraId="099B8E98" w14:textId="77777777" w:rsidR="005000AA" w:rsidRPr="00624AAD" w:rsidRDefault="005000AA" w:rsidP="005000AA">
      <w:pPr>
        <w:tabs>
          <w:tab w:val="left" w:pos="567"/>
        </w:tabs>
        <w:spacing w:line="360" w:lineRule="auto"/>
        <w:jc w:val="both"/>
        <w:rPr>
          <w:rFonts w:ascii="Palatino Linotype" w:eastAsia="Calibri" w:hAnsi="Palatino Linotype" w:cs="Arial"/>
          <w:sz w:val="24"/>
          <w:szCs w:val="24"/>
        </w:rPr>
      </w:pPr>
    </w:p>
    <w:p w14:paraId="2FBA0216" w14:textId="77777777" w:rsidR="005000AA" w:rsidRDefault="005000AA" w:rsidP="005000AA">
      <w:pPr>
        <w:tabs>
          <w:tab w:val="left" w:pos="567"/>
        </w:tabs>
        <w:spacing w:line="360" w:lineRule="auto"/>
        <w:jc w:val="both"/>
        <w:rPr>
          <w:rFonts w:ascii="Palatino Linotype" w:eastAsia="Calibri" w:hAnsi="Palatino Linotype" w:cs="Arial"/>
          <w:sz w:val="24"/>
          <w:szCs w:val="24"/>
        </w:rPr>
      </w:pPr>
    </w:p>
    <w:p w14:paraId="7518165D" w14:textId="77777777" w:rsidR="00FC1EEB" w:rsidRPr="00624AAD" w:rsidRDefault="00FC1EEB" w:rsidP="005000AA">
      <w:pPr>
        <w:tabs>
          <w:tab w:val="left" w:pos="567"/>
        </w:tabs>
        <w:spacing w:line="360" w:lineRule="auto"/>
        <w:jc w:val="both"/>
        <w:rPr>
          <w:rFonts w:ascii="Palatino Linotype" w:eastAsia="Calibri" w:hAnsi="Palatino Linotype" w:cs="Arial"/>
          <w:sz w:val="24"/>
          <w:szCs w:val="24"/>
        </w:rPr>
      </w:pPr>
    </w:p>
    <w:p w14:paraId="15F72B0A" w14:textId="77777777" w:rsidR="005000AA" w:rsidRPr="00624AAD" w:rsidRDefault="005000AA" w:rsidP="00DB2180">
      <w:pPr>
        <w:pStyle w:val="Ttulo1"/>
        <w:jc w:val="center"/>
        <w:rPr>
          <w:rFonts w:ascii="Palatino Linotype" w:hAnsi="Palatino Linotype"/>
          <w:b/>
          <w:color w:val="auto"/>
          <w:sz w:val="24"/>
          <w:szCs w:val="24"/>
        </w:rPr>
      </w:pPr>
      <w:bookmarkStart w:id="49" w:name="_Toc4061692"/>
      <w:bookmarkStart w:id="50" w:name="_Toc486525261"/>
      <w:bookmarkStart w:id="51" w:name="_Toc445745148"/>
      <w:bookmarkStart w:id="52" w:name="_Toc447699324"/>
      <w:bookmarkStart w:id="53" w:name="_Toc83210178"/>
      <w:r w:rsidRPr="00624AAD">
        <w:rPr>
          <w:rFonts w:ascii="Palatino Linotype" w:hAnsi="Palatino Linotype"/>
          <w:b/>
          <w:color w:val="auto"/>
          <w:sz w:val="24"/>
          <w:szCs w:val="24"/>
        </w:rPr>
        <w:lastRenderedPageBreak/>
        <w:t>R E S O L U T I V O S</w:t>
      </w:r>
      <w:bookmarkEnd w:id="49"/>
      <w:bookmarkEnd w:id="50"/>
      <w:bookmarkEnd w:id="51"/>
      <w:bookmarkEnd w:id="52"/>
      <w:bookmarkEnd w:id="53"/>
    </w:p>
    <w:p w14:paraId="463AEB82" w14:textId="77777777" w:rsidR="005000AA" w:rsidRPr="00624AAD" w:rsidRDefault="005000AA" w:rsidP="005000AA">
      <w:pPr>
        <w:keepNext/>
        <w:keepLines/>
        <w:spacing w:line="360" w:lineRule="auto"/>
        <w:jc w:val="center"/>
        <w:outlineLvl w:val="0"/>
        <w:rPr>
          <w:rFonts w:ascii="Palatino Linotype" w:hAnsi="Palatino Linotype" w:cstheme="majorBidi"/>
          <w:b/>
          <w:bCs/>
          <w:sz w:val="24"/>
          <w:szCs w:val="24"/>
        </w:rPr>
      </w:pPr>
    </w:p>
    <w:p w14:paraId="326A6824" w14:textId="130DBA0F" w:rsidR="00806ABD" w:rsidRPr="000D77A7" w:rsidRDefault="00806ABD" w:rsidP="00806ABD">
      <w:pPr>
        <w:spacing w:line="360" w:lineRule="auto"/>
        <w:jc w:val="both"/>
        <w:rPr>
          <w:rFonts w:ascii="Palatino Linotype" w:hAnsi="Palatino Linotype"/>
          <w:sz w:val="24"/>
          <w:szCs w:val="24"/>
        </w:rPr>
      </w:pPr>
      <w:r w:rsidRPr="000D77A7">
        <w:rPr>
          <w:rFonts w:ascii="Palatino Linotype" w:hAnsi="Palatino Linotype" w:cs="Arial"/>
          <w:b/>
          <w:sz w:val="24"/>
          <w:szCs w:val="24"/>
        </w:rPr>
        <w:t xml:space="preserve">PRIMERO. </w:t>
      </w:r>
      <w:r w:rsidRPr="000D77A7">
        <w:rPr>
          <w:rFonts w:ascii="Palatino Linotype" w:hAnsi="Palatino Linotype" w:cs="Arial"/>
          <w:sz w:val="24"/>
          <w:szCs w:val="24"/>
        </w:rPr>
        <w:t>Resultan fundadas las</w:t>
      </w:r>
      <w:r w:rsidRPr="000D77A7">
        <w:rPr>
          <w:rFonts w:ascii="Palatino Linotype" w:hAnsi="Palatino Linotype" w:cs="Arial"/>
          <w:b/>
          <w:sz w:val="24"/>
          <w:szCs w:val="24"/>
        </w:rPr>
        <w:t xml:space="preserve"> </w:t>
      </w:r>
      <w:r w:rsidRPr="000D77A7">
        <w:rPr>
          <w:rFonts w:ascii="Palatino Linotype" w:hAnsi="Palatino Linotype" w:cs="Arial"/>
          <w:sz w:val="24"/>
          <w:szCs w:val="24"/>
          <w:lang w:val="es-ES"/>
        </w:rPr>
        <w:t xml:space="preserve">razones o motivos de inconformidad hechos valer </w:t>
      </w:r>
      <w:r w:rsidRPr="000D77A7">
        <w:rPr>
          <w:rFonts w:ascii="Palatino Linotype" w:eastAsia="Calibri" w:hAnsi="Palatino Linotype" w:cs="Arial"/>
          <w:sz w:val="24"/>
          <w:szCs w:val="24"/>
          <w:lang w:val="es-ES"/>
        </w:rPr>
        <w:t xml:space="preserve">en el recurso de revisión </w:t>
      </w:r>
      <w:r w:rsidRPr="004A2825">
        <w:rPr>
          <w:rFonts w:ascii="Palatino Linotype" w:eastAsia="Calibri" w:hAnsi="Palatino Linotype" w:cs="Tahoma"/>
          <w:b/>
          <w:bCs/>
          <w:sz w:val="24"/>
          <w:szCs w:val="22"/>
          <w:lang w:eastAsia="en-US"/>
        </w:rPr>
        <w:t>03</w:t>
      </w:r>
      <w:r>
        <w:rPr>
          <w:rFonts w:ascii="Palatino Linotype" w:eastAsia="Calibri" w:hAnsi="Palatino Linotype" w:cs="Tahoma"/>
          <w:b/>
          <w:bCs/>
          <w:sz w:val="24"/>
          <w:szCs w:val="22"/>
          <w:lang w:eastAsia="en-US"/>
        </w:rPr>
        <w:t>88</w:t>
      </w:r>
      <w:r w:rsidRPr="004A2825">
        <w:rPr>
          <w:rFonts w:ascii="Palatino Linotype" w:eastAsia="Calibri" w:hAnsi="Palatino Linotype" w:cs="Tahoma"/>
          <w:b/>
          <w:bCs/>
          <w:sz w:val="24"/>
          <w:szCs w:val="22"/>
          <w:lang w:eastAsia="en-US"/>
        </w:rPr>
        <w:t>8/INFOEM/IP/RR/2021</w:t>
      </w:r>
      <w:r w:rsidRPr="000D77A7">
        <w:rPr>
          <w:rFonts w:ascii="Palatino Linotype" w:hAnsi="Palatino Linotype" w:cs="Arial"/>
          <w:b/>
          <w:bCs/>
          <w:sz w:val="24"/>
          <w:szCs w:val="24"/>
        </w:rPr>
        <w:t xml:space="preserve">, </w:t>
      </w:r>
      <w:r w:rsidRPr="000D77A7">
        <w:rPr>
          <w:rFonts w:ascii="Palatino Linotype" w:hAnsi="Palatino Linotype" w:cs="Arial"/>
          <w:bCs/>
          <w:sz w:val="24"/>
          <w:szCs w:val="24"/>
        </w:rPr>
        <w:t xml:space="preserve">en términos de los considerandos </w:t>
      </w:r>
      <w:r w:rsidRPr="000D77A7">
        <w:rPr>
          <w:rFonts w:ascii="Palatino Linotype" w:hAnsi="Palatino Linotype" w:cs="Arial"/>
          <w:b/>
          <w:bCs/>
          <w:sz w:val="24"/>
          <w:szCs w:val="24"/>
        </w:rPr>
        <w:t>CUARTO</w:t>
      </w:r>
      <w:r w:rsidRPr="000D77A7">
        <w:rPr>
          <w:rFonts w:ascii="Palatino Linotype" w:hAnsi="Palatino Linotype" w:cs="Arial"/>
          <w:bCs/>
          <w:sz w:val="24"/>
          <w:szCs w:val="24"/>
        </w:rPr>
        <w:t xml:space="preserve"> y </w:t>
      </w:r>
      <w:r w:rsidRPr="000D77A7">
        <w:rPr>
          <w:rFonts w:ascii="Palatino Linotype" w:hAnsi="Palatino Linotype" w:cs="Arial"/>
          <w:b/>
          <w:bCs/>
          <w:sz w:val="24"/>
          <w:szCs w:val="24"/>
        </w:rPr>
        <w:t xml:space="preserve">QUINTO </w:t>
      </w:r>
      <w:r w:rsidRPr="000D77A7">
        <w:rPr>
          <w:rFonts w:ascii="Palatino Linotype" w:hAnsi="Palatino Linotype" w:cs="Arial"/>
          <w:bCs/>
          <w:sz w:val="24"/>
          <w:szCs w:val="24"/>
        </w:rPr>
        <w:t>de la presente resolución.</w:t>
      </w:r>
    </w:p>
    <w:p w14:paraId="372A0DBD" w14:textId="104FF19C" w:rsidR="00806ABD" w:rsidRPr="000D77A7" w:rsidRDefault="00806ABD" w:rsidP="00806ABD">
      <w:pPr>
        <w:spacing w:before="240" w:after="240" w:line="360" w:lineRule="auto"/>
        <w:jc w:val="both"/>
        <w:rPr>
          <w:rFonts w:ascii="Palatino Linotype" w:hAnsi="Palatino Linotype" w:cs="Arial"/>
          <w:sz w:val="24"/>
          <w:szCs w:val="24"/>
          <w:lang w:val="es-ES"/>
        </w:rPr>
      </w:pPr>
      <w:r w:rsidRPr="000D77A7">
        <w:rPr>
          <w:rFonts w:ascii="Palatino Linotype" w:hAnsi="Palatino Linotype"/>
          <w:b/>
          <w:sz w:val="24"/>
          <w:szCs w:val="24"/>
        </w:rPr>
        <w:t>SEGUNDO.</w:t>
      </w:r>
      <w:r w:rsidRPr="000D77A7">
        <w:rPr>
          <w:rStyle w:val="Ttulo2Car"/>
          <w:rFonts w:ascii="Palatino Linotype" w:hAnsi="Palatino Linotype"/>
          <w:b/>
          <w:sz w:val="24"/>
          <w:szCs w:val="24"/>
        </w:rPr>
        <w:t xml:space="preserve"> </w:t>
      </w:r>
      <w:r w:rsidRPr="000D77A7">
        <w:rPr>
          <w:rFonts w:ascii="Palatino Linotype" w:eastAsia="Calibri" w:hAnsi="Palatino Linotype" w:cs="Arial"/>
          <w:sz w:val="24"/>
          <w:szCs w:val="24"/>
          <w:lang w:val="es-ES"/>
        </w:rPr>
        <w:t xml:space="preserve">Se </w:t>
      </w:r>
      <w:r w:rsidRPr="007043ED">
        <w:rPr>
          <w:rFonts w:ascii="Palatino Linotype" w:eastAsia="Calibri" w:hAnsi="Palatino Linotype" w:cs="Arial"/>
          <w:b/>
          <w:sz w:val="24"/>
          <w:szCs w:val="24"/>
          <w:lang w:val="es-ES"/>
        </w:rPr>
        <w:t>REVOCA</w:t>
      </w:r>
      <w:r w:rsidRPr="000D77A7">
        <w:rPr>
          <w:rFonts w:ascii="Palatino Linotype" w:eastAsia="Calibri" w:hAnsi="Palatino Linotype" w:cs="Arial"/>
          <w:sz w:val="24"/>
          <w:szCs w:val="24"/>
          <w:lang w:val="es-ES"/>
        </w:rPr>
        <w:t xml:space="preserve"> la respuesta emitida por el </w:t>
      </w:r>
      <w:r w:rsidRPr="00806ABD">
        <w:rPr>
          <w:rFonts w:ascii="Palatino Linotype" w:eastAsia="Calibri" w:hAnsi="Palatino Linotype" w:cs="Tahoma"/>
          <w:b/>
          <w:sz w:val="24"/>
          <w:szCs w:val="22"/>
          <w:lang w:eastAsia="en-US"/>
        </w:rPr>
        <w:t>Organismo Público Descentralizado</w:t>
      </w:r>
      <w:r w:rsidRPr="00806ABD">
        <w:rPr>
          <w:rFonts w:ascii="Palatino Linotype" w:eastAsia="Calibri" w:hAnsi="Palatino Linotype" w:cs="Arial"/>
          <w:b/>
          <w:sz w:val="24"/>
          <w:szCs w:val="24"/>
          <w:lang w:val="es-ES"/>
        </w:rPr>
        <w:t xml:space="preserve"> para la Prestación de los Servicios de Agua Potable, Alcantarillado y Saneamiento del Municipio de Zumpango </w:t>
      </w:r>
      <w:r w:rsidRPr="000D77A7">
        <w:rPr>
          <w:rFonts w:ascii="Palatino Linotype" w:eastAsia="Calibri" w:hAnsi="Palatino Linotype" w:cs="Arial"/>
          <w:sz w:val="24"/>
          <w:szCs w:val="24"/>
          <w:lang w:val="es-ES"/>
        </w:rPr>
        <w:t xml:space="preserve">y se </w:t>
      </w:r>
      <w:r w:rsidRPr="000D77A7">
        <w:rPr>
          <w:rFonts w:ascii="Palatino Linotype" w:eastAsia="Calibri" w:hAnsi="Palatino Linotype" w:cs="Arial"/>
          <w:b/>
          <w:bCs/>
          <w:sz w:val="24"/>
          <w:szCs w:val="24"/>
          <w:lang w:val="es-ES"/>
        </w:rPr>
        <w:t>ORDENA</w:t>
      </w:r>
      <w:r w:rsidRPr="000D77A7">
        <w:rPr>
          <w:rFonts w:ascii="Palatino Linotype" w:eastAsia="Calibri" w:hAnsi="Palatino Linotype" w:cs="Arial"/>
          <w:sz w:val="24"/>
          <w:szCs w:val="24"/>
          <w:lang w:val="es-ES"/>
        </w:rPr>
        <w:t xml:space="preserve"> entregar, vía </w:t>
      </w:r>
      <w:r w:rsidRPr="000D77A7">
        <w:rPr>
          <w:rFonts w:ascii="Palatino Linotype" w:hAnsi="Palatino Linotype" w:cs="Arial"/>
          <w:bCs/>
          <w:sz w:val="24"/>
          <w:szCs w:val="24"/>
          <w:lang w:val="es-ES"/>
        </w:rPr>
        <w:t>Sistema de Acceso a la Información Mexiquense</w:t>
      </w:r>
      <w:r w:rsidRPr="000D77A7">
        <w:rPr>
          <w:rFonts w:ascii="Palatino Linotype" w:hAnsi="Palatino Linotype" w:cs="Arial"/>
          <w:b/>
          <w:sz w:val="24"/>
          <w:szCs w:val="24"/>
          <w:lang w:val="es-ES"/>
        </w:rPr>
        <w:t xml:space="preserve"> (SAIMEX)</w:t>
      </w:r>
      <w:r w:rsidRPr="000D77A7">
        <w:rPr>
          <w:rFonts w:ascii="Palatino Linotype" w:hAnsi="Palatino Linotype" w:cs="Arial"/>
          <w:sz w:val="24"/>
          <w:szCs w:val="24"/>
          <w:lang w:val="es-ES"/>
        </w:rPr>
        <w:t xml:space="preserve">, </w:t>
      </w:r>
      <w:r>
        <w:rPr>
          <w:rFonts w:ascii="Palatino Linotype" w:hAnsi="Palatino Linotype" w:cs="Arial"/>
          <w:sz w:val="24"/>
          <w:szCs w:val="24"/>
          <w:lang w:val="es-ES"/>
        </w:rPr>
        <w:t xml:space="preserve">previa búsqueda exhaustiva y razonable, </w:t>
      </w:r>
      <w:r w:rsidRPr="000D77A7">
        <w:rPr>
          <w:rFonts w:ascii="Palatino Linotype" w:hAnsi="Palatino Linotype" w:cs="Arial"/>
          <w:sz w:val="24"/>
          <w:szCs w:val="24"/>
          <w:lang w:val="es-ES"/>
        </w:rPr>
        <w:t>de ser el caso en versión pública, l</w:t>
      </w:r>
      <w:r>
        <w:rPr>
          <w:rFonts w:ascii="Palatino Linotype" w:hAnsi="Palatino Linotype" w:cs="Arial"/>
          <w:sz w:val="24"/>
          <w:szCs w:val="24"/>
          <w:lang w:val="es-ES"/>
        </w:rPr>
        <w:t>a</w:t>
      </w:r>
      <w:r w:rsidRPr="000D77A7">
        <w:rPr>
          <w:rFonts w:ascii="Palatino Linotype" w:hAnsi="Palatino Linotype" w:cs="Arial"/>
          <w:sz w:val="24"/>
          <w:szCs w:val="24"/>
          <w:lang w:val="es-ES"/>
        </w:rPr>
        <w:t xml:space="preserve"> siguiente</w:t>
      </w:r>
      <w:r>
        <w:rPr>
          <w:rFonts w:ascii="Palatino Linotype" w:hAnsi="Palatino Linotype" w:cs="Arial"/>
          <w:sz w:val="24"/>
          <w:szCs w:val="24"/>
          <w:lang w:val="es-ES"/>
        </w:rPr>
        <w:t xml:space="preserve"> información</w:t>
      </w:r>
      <w:r w:rsidRPr="000D77A7">
        <w:rPr>
          <w:rFonts w:ascii="Palatino Linotype" w:hAnsi="Palatino Linotype" w:cs="Arial"/>
          <w:sz w:val="24"/>
          <w:szCs w:val="24"/>
          <w:lang w:val="es-ES"/>
        </w:rPr>
        <w:t>:</w:t>
      </w:r>
    </w:p>
    <w:p w14:paraId="3EB706C1" w14:textId="12615AED" w:rsidR="00806ABD" w:rsidRPr="006B490F" w:rsidRDefault="00806ABD" w:rsidP="00806ABD">
      <w:pPr>
        <w:pStyle w:val="Prrafodelista"/>
        <w:numPr>
          <w:ilvl w:val="0"/>
          <w:numId w:val="16"/>
        </w:numPr>
        <w:spacing w:before="240" w:after="240" w:line="360" w:lineRule="auto"/>
        <w:ind w:left="851" w:right="49"/>
        <w:jc w:val="both"/>
        <w:rPr>
          <w:rFonts w:ascii="Palatino Linotype" w:hAnsi="Palatino Linotype" w:cs="Arial"/>
          <w:b/>
          <w:bCs/>
          <w:sz w:val="24"/>
        </w:rPr>
      </w:pPr>
      <w:r w:rsidRPr="00806ABD">
        <w:rPr>
          <w:rFonts w:ascii="Palatino Linotype" w:hAnsi="Palatino Linotype" w:cs="Arial"/>
          <w:b/>
          <w:sz w:val="24"/>
        </w:rPr>
        <w:t>Factibilidad o autorización emitida a favor de la e</w:t>
      </w:r>
      <w:r>
        <w:rPr>
          <w:rFonts w:ascii="Palatino Linotype" w:hAnsi="Palatino Linotype" w:cs="Arial"/>
          <w:b/>
          <w:sz w:val="24"/>
        </w:rPr>
        <w:t>mpresa señalada en la solicitud para el servicio de agua potable y alcantarillado.</w:t>
      </w:r>
    </w:p>
    <w:p w14:paraId="099F1C6A" w14:textId="77777777" w:rsidR="006B490F" w:rsidRPr="00E155D8" w:rsidRDefault="006B490F" w:rsidP="006B490F">
      <w:pPr>
        <w:pStyle w:val="Prrafodelista"/>
        <w:spacing w:before="240" w:after="240" w:line="360" w:lineRule="auto"/>
        <w:ind w:left="851" w:right="49"/>
        <w:jc w:val="both"/>
        <w:rPr>
          <w:rFonts w:ascii="Palatino Linotype" w:hAnsi="Palatino Linotype" w:cs="Arial"/>
          <w:b/>
          <w:bCs/>
          <w:sz w:val="24"/>
        </w:rPr>
      </w:pPr>
    </w:p>
    <w:p w14:paraId="0DB043BA" w14:textId="54554C14" w:rsidR="00E155D8" w:rsidRPr="00FC1EEB" w:rsidRDefault="00E155D8" w:rsidP="00806ABD">
      <w:pPr>
        <w:pStyle w:val="Prrafodelista"/>
        <w:numPr>
          <w:ilvl w:val="0"/>
          <w:numId w:val="16"/>
        </w:numPr>
        <w:spacing w:before="240" w:after="240" w:line="360" w:lineRule="auto"/>
        <w:ind w:left="851" w:right="49"/>
        <w:jc w:val="both"/>
        <w:rPr>
          <w:rFonts w:ascii="Palatino Linotype" w:hAnsi="Palatino Linotype" w:cs="Arial"/>
          <w:b/>
          <w:bCs/>
          <w:sz w:val="24"/>
        </w:rPr>
      </w:pPr>
      <w:r w:rsidRPr="00FC1EEB">
        <w:rPr>
          <w:rFonts w:ascii="Palatino Linotype" w:hAnsi="Palatino Linotype" w:cs="Arial"/>
          <w:b/>
          <w:sz w:val="24"/>
        </w:rPr>
        <w:t xml:space="preserve">Acuerdo emitido por el Comité de Transparencia mediante el cual se clasifique como reservada la información correspondiente a los puntos de conexión </w:t>
      </w:r>
      <w:r w:rsidRPr="00FC1EEB">
        <w:rPr>
          <w:rFonts w:ascii="Palatino Linotype" w:hAnsi="Palatino Linotype"/>
          <w:b/>
          <w:color w:val="222222"/>
          <w:sz w:val="24"/>
          <w:shd w:val="clear" w:color="auto" w:fill="FFFFFF"/>
        </w:rPr>
        <w:t>de</w:t>
      </w:r>
      <w:r w:rsidR="006B490F" w:rsidRPr="00FC1EEB">
        <w:rPr>
          <w:rFonts w:ascii="Palatino Linotype" w:hAnsi="Palatino Linotype"/>
          <w:b/>
          <w:color w:val="222222"/>
          <w:sz w:val="24"/>
          <w:shd w:val="clear" w:color="auto" w:fill="FFFFFF"/>
        </w:rPr>
        <w:t xml:space="preserve"> agua potable, alcantarillado y, en su caso, </w:t>
      </w:r>
      <w:r w:rsidRPr="00FC1EEB">
        <w:rPr>
          <w:rFonts w:ascii="Palatino Linotype" w:hAnsi="Palatino Linotype"/>
          <w:b/>
          <w:color w:val="222222"/>
          <w:sz w:val="24"/>
          <w:shd w:val="clear" w:color="auto" w:fill="FFFFFF"/>
        </w:rPr>
        <w:t>descarga de agua</w:t>
      </w:r>
      <w:r w:rsidR="006B490F" w:rsidRPr="00FC1EEB">
        <w:rPr>
          <w:rFonts w:ascii="Palatino Linotype" w:hAnsi="Palatino Linotype"/>
          <w:b/>
          <w:color w:val="222222"/>
          <w:sz w:val="24"/>
          <w:shd w:val="clear" w:color="auto" w:fill="FFFFFF"/>
        </w:rPr>
        <w:t>s</w:t>
      </w:r>
      <w:r w:rsidRPr="00FC1EEB">
        <w:rPr>
          <w:rFonts w:ascii="Palatino Linotype" w:hAnsi="Palatino Linotype"/>
          <w:b/>
          <w:color w:val="222222"/>
          <w:sz w:val="24"/>
          <w:shd w:val="clear" w:color="auto" w:fill="FFFFFF"/>
        </w:rPr>
        <w:t xml:space="preserve"> residuales</w:t>
      </w:r>
      <w:r w:rsidR="006B490F" w:rsidRPr="00FC1EEB">
        <w:rPr>
          <w:rFonts w:ascii="Palatino Linotype" w:hAnsi="Palatino Linotype"/>
          <w:b/>
          <w:color w:val="222222"/>
          <w:sz w:val="24"/>
          <w:shd w:val="clear" w:color="auto" w:fill="FFFFFF"/>
        </w:rPr>
        <w:t xml:space="preserve"> de la empresa señalada en la solicitud.</w:t>
      </w:r>
    </w:p>
    <w:p w14:paraId="204C1E70" w14:textId="77777777" w:rsidR="00806ABD" w:rsidRDefault="00806ABD" w:rsidP="00806ABD">
      <w:pPr>
        <w:spacing w:line="360" w:lineRule="auto"/>
        <w:jc w:val="both"/>
        <w:rPr>
          <w:rFonts w:ascii="Palatino Linotype" w:eastAsia="Calibri" w:hAnsi="Palatino Linotype" w:cs="Arial"/>
          <w:sz w:val="24"/>
          <w:szCs w:val="24"/>
        </w:rPr>
      </w:pPr>
      <w:r w:rsidRPr="000D77A7">
        <w:rPr>
          <w:rFonts w:ascii="Palatino Linotype" w:eastAsia="Calibri" w:hAnsi="Palatino Linotype" w:cs="Arial"/>
          <w:sz w:val="24"/>
          <w:szCs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w:t>
      </w:r>
      <w:r w:rsidRPr="000D77A7">
        <w:rPr>
          <w:rFonts w:ascii="Palatino Linotype" w:eastAsia="Calibri" w:hAnsi="Palatino Linotype" w:cs="Arial"/>
          <w:sz w:val="24"/>
          <w:szCs w:val="24"/>
        </w:rPr>
        <w:lastRenderedPageBreak/>
        <w:t>y motive las razones sobre los datos que se supriman o eliminen dentro del soporte documental respectivo objeto de las versiones públicas que se formulen.</w:t>
      </w:r>
    </w:p>
    <w:p w14:paraId="17696E1C" w14:textId="77777777" w:rsidR="00E155D8" w:rsidRDefault="00E155D8" w:rsidP="00806ABD">
      <w:pPr>
        <w:spacing w:line="360" w:lineRule="auto"/>
        <w:jc w:val="both"/>
        <w:rPr>
          <w:rFonts w:ascii="Palatino Linotype" w:eastAsia="Calibri" w:hAnsi="Palatino Linotype" w:cs="Arial"/>
          <w:sz w:val="24"/>
          <w:szCs w:val="24"/>
        </w:rPr>
      </w:pPr>
    </w:p>
    <w:p w14:paraId="48791022" w14:textId="77777777" w:rsidR="00806ABD" w:rsidRPr="000D77A7" w:rsidRDefault="00806ABD" w:rsidP="00806ABD">
      <w:pPr>
        <w:tabs>
          <w:tab w:val="left" w:pos="8080"/>
        </w:tabs>
        <w:spacing w:line="360" w:lineRule="auto"/>
        <w:ind w:right="49"/>
        <w:contextualSpacing/>
        <w:jc w:val="both"/>
        <w:rPr>
          <w:rFonts w:ascii="Palatino Linotype" w:hAnsi="Palatino Linotype"/>
          <w:color w:val="222222"/>
          <w:sz w:val="24"/>
          <w:szCs w:val="24"/>
          <w:shd w:val="clear" w:color="auto" w:fill="FFFFFF"/>
        </w:rPr>
      </w:pPr>
      <w:r w:rsidRPr="000D77A7">
        <w:rPr>
          <w:rFonts w:ascii="Palatino Linotype" w:eastAsia="Palatino Linotype" w:hAnsi="Palatino Linotype" w:cs="Palatino Linotype"/>
          <w:b/>
          <w:sz w:val="24"/>
          <w:szCs w:val="24"/>
        </w:rPr>
        <w:t xml:space="preserve">TERCERO. Notifíquese </w:t>
      </w:r>
      <w:r w:rsidRPr="000D77A7">
        <w:rPr>
          <w:rFonts w:ascii="Palatino Linotype" w:eastAsia="Palatino Linotype" w:hAnsi="Palatino Linotype" w:cs="Palatino Linotype"/>
          <w:sz w:val="24"/>
          <w:szCs w:val="24"/>
        </w:rPr>
        <w:t xml:space="preserve">al Titular de la Unidad de Transparencia del </w:t>
      </w:r>
      <w:r w:rsidRPr="000D77A7">
        <w:rPr>
          <w:rFonts w:ascii="Palatino Linotype" w:eastAsia="Palatino Linotype" w:hAnsi="Palatino Linotype" w:cs="Palatino Linotype"/>
          <w:b/>
          <w:sz w:val="24"/>
          <w:szCs w:val="24"/>
        </w:rPr>
        <w:t>SUJETO OBLIGADO</w:t>
      </w:r>
      <w:r w:rsidRPr="000D77A7">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Estado de México y Municipios, </w:t>
      </w:r>
      <w:r w:rsidRPr="000D77A7">
        <w:rPr>
          <w:rFonts w:ascii="Palatino Linotype" w:hAnsi="Palatino Linotype"/>
          <w:color w:val="222222"/>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14:paraId="676CB90C" w14:textId="77777777" w:rsidR="00806ABD" w:rsidRPr="000D77A7" w:rsidRDefault="00806ABD" w:rsidP="00806ABD">
      <w:pPr>
        <w:tabs>
          <w:tab w:val="left" w:pos="8080"/>
        </w:tabs>
        <w:spacing w:line="360" w:lineRule="auto"/>
        <w:ind w:right="49"/>
        <w:contextualSpacing/>
        <w:jc w:val="both"/>
        <w:rPr>
          <w:rFonts w:ascii="Palatino Linotype" w:hAnsi="Palatino Linotype"/>
          <w:color w:val="222222"/>
          <w:sz w:val="24"/>
          <w:szCs w:val="24"/>
          <w:shd w:val="clear" w:color="auto" w:fill="FFFFFF"/>
        </w:rPr>
      </w:pPr>
    </w:p>
    <w:p w14:paraId="5103F340" w14:textId="77777777" w:rsidR="00806ABD" w:rsidRPr="000D77A7" w:rsidRDefault="00806ABD" w:rsidP="00806ABD">
      <w:pPr>
        <w:spacing w:line="360" w:lineRule="auto"/>
        <w:jc w:val="both"/>
        <w:rPr>
          <w:rFonts w:ascii="Palatino Linotype" w:eastAsia="Calibri" w:hAnsi="Palatino Linotype" w:cs="Arial"/>
          <w:bCs/>
          <w:sz w:val="24"/>
          <w:szCs w:val="24"/>
        </w:rPr>
      </w:pPr>
      <w:r w:rsidRPr="000D77A7">
        <w:rPr>
          <w:rFonts w:ascii="Palatino Linotype" w:hAnsi="Palatino Linotype" w:cs="Arial"/>
          <w:b/>
          <w:sz w:val="24"/>
          <w:szCs w:val="24"/>
        </w:rPr>
        <w:t xml:space="preserve">CUARTO. </w:t>
      </w:r>
      <w:r w:rsidRPr="000D77A7">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F97BBB0" w14:textId="77777777" w:rsidR="00806ABD" w:rsidRPr="000D77A7" w:rsidRDefault="00806ABD" w:rsidP="00806ABD">
      <w:pPr>
        <w:tabs>
          <w:tab w:val="left" w:pos="8080"/>
        </w:tabs>
        <w:spacing w:line="360" w:lineRule="auto"/>
        <w:ind w:right="49"/>
        <w:contextualSpacing/>
        <w:jc w:val="both"/>
        <w:rPr>
          <w:rFonts w:ascii="Palatino Linotype" w:eastAsia="Palatino Linotype" w:hAnsi="Palatino Linotype" w:cs="Palatino Linotype"/>
          <w:b/>
          <w:sz w:val="24"/>
          <w:szCs w:val="24"/>
        </w:rPr>
      </w:pPr>
    </w:p>
    <w:p w14:paraId="1B0815D2" w14:textId="478D1DF3" w:rsidR="00806ABD" w:rsidRPr="000D77A7" w:rsidRDefault="00806ABD" w:rsidP="00806ABD">
      <w:pPr>
        <w:shd w:val="clear" w:color="auto" w:fill="FFFFFF"/>
        <w:spacing w:line="360" w:lineRule="auto"/>
        <w:jc w:val="both"/>
        <w:rPr>
          <w:rFonts w:ascii="Palatino Linotype" w:hAnsi="Palatino Linotype"/>
          <w:sz w:val="24"/>
          <w:szCs w:val="24"/>
        </w:rPr>
      </w:pPr>
      <w:r w:rsidRPr="000D77A7">
        <w:rPr>
          <w:rFonts w:ascii="Palatino Linotype" w:hAnsi="Palatino Linotype" w:cs="Arial"/>
          <w:b/>
          <w:sz w:val="24"/>
          <w:szCs w:val="24"/>
        </w:rPr>
        <w:t xml:space="preserve">QUINTO. </w:t>
      </w:r>
      <w:r w:rsidRPr="000D77A7">
        <w:rPr>
          <w:rFonts w:ascii="Palatino Linotype" w:hAnsi="Palatino Linotype"/>
          <w:b/>
          <w:bCs/>
          <w:color w:val="222222"/>
          <w:sz w:val="24"/>
          <w:szCs w:val="24"/>
          <w:lang w:val="es-ES"/>
        </w:rPr>
        <w:t xml:space="preserve">Notifíquese </w:t>
      </w:r>
      <w:r w:rsidRPr="000D77A7">
        <w:rPr>
          <w:rFonts w:ascii="Palatino Linotype" w:hAnsi="Palatino Linotype"/>
          <w:color w:val="222222"/>
          <w:sz w:val="24"/>
          <w:szCs w:val="24"/>
          <w:lang w:val="es-ES"/>
        </w:rPr>
        <w:t>a</w:t>
      </w:r>
      <w:r>
        <w:rPr>
          <w:rFonts w:ascii="Palatino Linotype" w:hAnsi="Palatino Linotype"/>
          <w:color w:val="222222"/>
          <w:sz w:val="24"/>
          <w:szCs w:val="24"/>
          <w:lang w:val="es-ES"/>
        </w:rPr>
        <w:t xml:space="preserve">l </w:t>
      </w:r>
      <w:r w:rsidRPr="00806ABD">
        <w:rPr>
          <w:rFonts w:ascii="Palatino Linotype" w:hAnsi="Palatino Linotype"/>
          <w:b/>
          <w:color w:val="222222"/>
          <w:sz w:val="24"/>
          <w:szCs w:val="24"/>
          <w:lang w:val="es-ES"/>
        </w:rPr>
        <w:t>RECURRENTE</w:t>
      </w:r>
      <w:r w:rsidRPr="000D77A7">
        <w:rPr>
          <w:rFonts w:ascii="Palatino Linotype" w:hAnsi="Palatino Linotype"/>
          <w:sz w:val="24"/>
          <w:szCs w:val="24"/>
        </w:rPr>
        <w:t xml:space="preserve"> la presente resolución.</w:t>
      </w:r>
    </w:p>
    <w:p w14:paraId="2039ECB0" w14:textId="77777777" w:rsidR="00806ABD" w:rsidRPr="000D77A7" w:rsidRDefault="00806ABD" w:rsidP="00806ABD">
      <w:pPr>
        <w:shd w:val="clear" w:color="auto" w:fill="FFFFFF"/>
        <w:spacing w:line="360" w:lineRule="auto"/>
        <w:jc w:val="both"/>
        <w:rPr>
          <w:rFonts w:ascii="Palatino Linotype" w:hAnsi="Palatino Linotype"/>
          <w:sz w:val="24"/>
          <w:szCs w:val="24"/>
        </w:rPr>
      </w:pPr>
    </w:p>
    <w:p w14:paraId="2B538C75" w14:textId="1A82B73C" w:rsidR="002A5191" w:rsidRPr="002A5191" w:rsidRDefault="00806ABD" w:rsidP="002A5191">
      <w:pPr>
        <w:spacing w:line="360" w:lineRule="auto"/>
        <w:jc w:val="both"/>
        <w:rPr>
          <w:rFonts w:ascii="Palatino Linotype" w:eastAsia="MS Mincho" w:hAnsi="Palatino Linotype"/>
          <w:sz w:val="24"/>
          <w:szCs w:val="24"/>
          <w:lang w:val="es-ES"/>
        </w:rPr>
      </w:pPr>
      <w:r w:rsidRPr="000D77A7">
        <w:rPr>
          <w:rFonts w:ascii="Palatino Linotype" w:eastAsia="MS Mincho" w:hAnsi="Palatino Linotype"/>
          <w:b/>
          <w:sz w:val="24"/>
          <w:szCs w:val="24"/>
        </w:rPr>
        <w:t>SEXTO.</w:t>
      </w:r>
      <w:r w:rsidRPr="000D77A7">
        <w:rPr>
          <w:rFonts w:ascii="Palatino Linotype" w:eastAsia="MS Mincho" w:hAnsi="Palatino Linotype"/>
          <w:sz w:val="24"/>
          <w:szCs w:val="24"/>
        </w:rPr>
        <w:t xml:space="preserve"> </w:t>
      </w:r>
      <w:r w:rsidRPr="002A5191">
        <w:rPr>
          <w:rFonts w:ascii="Palatino Linotype" w:eastAsia="MS Mincho" w:hAnsi="Palatino Linotype"/>
          <w:sz w:val="24"/>
          <w:szCs w:val="24"/>
          <w:lang w:val="es-ES"/>
        </w:rPr>
        <w:t xml:space="preserve">Se hace del conocimiento del </w:t>
      </w:r>
      <w:r w:rsidRPr="002A5191">
        <w:rPr>
          <w:rFonts w:ascii="Palatino Linotype" w:eastAsia="MS Mincho" w:hAnsi="Palatino Linotype"/>
          <w:b/>
          <w:sz w:val="24"/>
          <w:szCs w:val="24"/>
          <w:lang w:val="es-ES"/>
        </w:rPr>
        <w:t>RECURRENTE</w:t>
      </w:r>
      <w:r w:rsidRPr="002A5191">
        <w:rPr>
          <w:rFonts w:ascii="Palatino Linotype" w:eastAsia="MS Mincho" w:hAnsi="Palatino Linotype"/>
          <w:sz w:val="24"/>
          <w:szCs w:val="24"/>
          <w:lang w:val="es-ES"/>
        </w:rPr>
        <w:t xml:space="preserve"> que, de conformidad con lo establecido en el artículo 196 de la Ley de Transparencia y Acceso a la Información Pública del</w:t>
      </w:r>
      <w:r w:rsidR="002A5191" w:rsidRPr="002A5191">
        <w:rPr>
          <w:rFonts w:ascii="Palatino Linotype" w:eastAsia="MS Mincho" w:hAnsi="Palatino Linotype"/>
          <w:sz w:val="24"/>
          <w:szCs w:val="24"/>
          <w:lang w:val="es-ES"/>
        </w:rPr>
        <w:t xml:space="preserve"> Estado de México y Municipios </w:t>
      </w:r>
      <w:r w:rsidR="002A5191" w:rsidRPr="00FC1EEB">
        <w:rPr>
          <w:rFonts w:ascii="Palatino Linotype" w:eastAsia="MS Mincho" w:hAnsi="Palatino Linotype"/>
          <w:sz w:val="24"/>
          <w:szCs w:val="24"/>
          <w:lang w:val="es-ES"/>
        </w:rPr>
        <w:t xml:space="preserve">y </w:t>
      </w:r>
      <w:r w:rsidR="002A5191" w:rsidRPr="00FC1EEB">
        <w:rPr>
          <w:rFonts w:ascii="Palatino Linotype" w:hAnsi="Palatino Linotype"/>
          <w:color w:val="000000"/>
          <w:sz w:val="24"/>
          <w:szCs w:val="24"/>
          <w:shd w:val="clear" w:color="auto" w:fill="FFFFFF"/>
        </w:rPr>
        <w:t xml:space="preserve">en lo dispuesto en los artículos 159 y 160 de la Ley General de Transparencia y Acceso a la Información Pública, en caso de que </w:t>
      </w:r>
      <w:r w:rsidR="002A5191" w:rsidRPr="00FC1EEB">
        <w:rPr>
          <w:rFonts w:ascii="Palatino Linotype" w:hAnsi="Palatino Linotype"/>
          <w:color w:val="000000"/>
          <w:sz w:val="24"/>
          <w:szCs w:val="24"/>
          <w:shd w:val="clear" w:color="auto" w:fill="FFFFFF"/>
        </w:rPr>
        <w:lastRenderedPageBreak/>
        <w:t>considere que la resolución le cause algún perjuicio podrá impugnarla vía recurso de inconformidad ante el Instituto Nacional de Transparencia, Acceso a la Información y Protección de Datos Personales</w:t>
      </w:r>
      <w:r w:rsidR="002A5191" w:rsidRPr="00FC1EEB">
        <w:rPr>
          <w:rFonts w:ascii="Palatino Linotype" w:hAnsi="Palatino Linotype"/>
          <w:color w:val="222222"/>
          <w:sz w:val="24"/>
          <w:szCs w:val="24"/>
          <w:shd w:val="clear" w:color="auto" w:fill="FFFFFF"/>
          <w:lang w:val="es-ES"/>
        </w:rPr>
        <w:t>, o bien, vía juicio de amparo en los términos de las leyes aplicables.</w:t>
      </w:r>
    </w:p>
    <w:p w14:paraId="335C0AA3" w14:textId="71EFCB26" w:rsidR="005000AA" w:rsidRPr="00624AAD" w:rsidRDefault="005000AA" w:rsidP="005000AA">
      <w:pPr>
        <w:spacing w:before="240" w:after="240" w:line="360" w:lineRule="auto"/>
        <w:ind w:firstLine="1"/>
        <w:jc w:val="both"/>
        <w:rPr>
          <w:rFonts w:ascii="Palatino Linotype" w:hAnsi="Palatino Linotype"/>
          <w:sz w:val="24"/>
          <w:szCs w:val="24"/>
        </w:rPr>
      </w:pPr>
      <w:r w:rsidRPr="00624AAD">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94447F">
        <w:rPr>
          <w:rFonts w:ascii="Palatino Linotype" w:hAnsi="Palatino Linotype"/>
          <w:sz w:val="24"/>
          <w:szCs w:val="24"/>
        </w:rPr>
        <w:t xml:space="preserve"> EMITIENDO VOTO PARTICULAR</w:t>
      </w:r>
      <w:r w:rsidRPr="00624AAD">
        <w:rPr>
          <w:rFonts w:ascii="Palatino Linotype" w:hAnsi="Palatino Linotype"/>
          <w:sz w:val="24"/>
          <w:szCs w:val="24"/>
        </w:rPr>
        <w:t xml:space="preserve">; Y GUADALUPE RAMÍREZ PEÑA EN LA </w:t>
      </w:r>
      <w:r w:rsidR="00DF54E4">
        <w:rPr>
          <w:rFonts w:ascii="Palatino Linotype" w:hAnsi="Palatino Linotype"/>
          <w:sz w:val="24"/>
          <w:szCs w:val="24"/>
        </w:rPr>
        <w:t xml:space="preserve">TRIGÉSIMA TERCERA </w:t>
      </w:r>
      <w:r w:rsidRPr="00624AAD">
        <w:rPr>
          <w:rFonts w:ascii="Palatino Linotype" w:hAnsi="Palatino Linotype"/>
          <w:sz w:val="24"/>
          <w:szCs w:val="24"/>
        </w:rPr>
        <w:t>SESIÓN ORDINARIA CELEBRADA EL VEINTI</w:t>
      </w:r>
      <w:r w:rsidR="000F58ED">
        <w:rPr>
          <w:rFonts w:ascii="Palatino Linotype" w:hAnsi="Palatino Linotype"/>
          <w:sz w:val="24"/>
          <w:szCs w:val="24"/>
        </w:rPr>
        <w:t>DOS</w:t>
      </w:r>
      <w:r w:rsidRPr="00624AAD">
        <w:rPr>
          <w:rFonts w:ascii="Palatino Linotype" w:hAnsi="Palatino Linotype"/>
          <w:sz w:val="24"/>
          <w:szCs w:val="24"/>
        </w:rPr>
        <w:t xml:space="preserve"> DE </w:t>
      </w:r>
      <w:r w:rsidR="000F58ED">
        <w:rPr>
          <w:rFonts w:ascii="Palatino Linotype" w:hAnsi="Palatino Linotype"/>
          <w:sz w:val="24"/>
          <w:szCs w:val="24"/>
        </w:rPr>
        <w:t>SEPTIEMBRE</w:t>
      </w:r>
      <w:r w:rsidRPr="00624AAD">
        <w:rPr>
          <w:rFonts w:ascii="Palatino Linotype" w:hAnsi="Palatino Linotype"/>
          <w:sz w:val="24"/>
          <w:szCs w:val="24"/>
        </w:rPr>
        <w:t xml:space="preserve"> DE DOS MIL VEINTIUNO, ANTE EL SECRETARIO TÉCNICO DEL PLENO ALEXIS TAPIA RAMÍREZ </w:t>
      </w:r>
    </w:p>
    <w:p w14:paraId="6D10D57F" w14:textId="77777777" w:rsidR="005000AA"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4441D51F"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C99DBE8"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5961E5D"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B17896A" w14:textId="77777777" w:rsidR="00DF54E4" w:rsidRPr="00624AAD" w:rsidRDefault="00DF54E4" w:rsidP="005000AA">
      <w:pPr>
        <w:spacing w:before="240" w:after="360" w:line="360" w:lineRule="auto"/>
        <w:jc w:val="both"/>
        <w:rPr>
          <w:rFonts w:ascii="Palatino Linotype" w:hAnsi="Palatino Linotype"/>
          <w:color w:val="222222"/>
          <w:sz w:val="24"/>
          <w:szCs w:val="24"/>
          <w:lang w:val="es-ES" w:eastAsia="es-MX"/>
        </w:rPr>
      </w:pPr>
    </w:p>
    <w:p w14:paraId="56249395" w14:textId="77777777" w:rsidR="00871738" w:rsidRPr="00624AAD" w:rsidRDefault="00871738" w:rsidP="005000AA">
      <w:pPr>
        <w:rPr>
          <w:rFonts w:ascii="Palatino Linotype" w:eastAsia="Calibri" w:hAnsi="Palatino Linotype"/>
          <w:sz w:val="24"/>
          <w:szCs w:val="24"/>
        </w:rPr>
      </w:pPr>
    </w:p>
    <w:sectPr w:rsidR="00871738" w:rsidRPr="00624AAD">
      <w:headerReference w:type="even" r:id="rId15"/>
      <w:headerReference w:type="default" r:id="rId16"/>
      <w:footerReference w:type="default" r:id="rId17"/>
      <w:headerReference w:type="first" r:id="rId18"/>
      <w:footerReference w:type="first" r:id="rId19"/>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FE8A6" w14:textId="77777777" w:rsidR="00BA1586" w:rsidRDefault="00BA1586">
      <w:r>
        <w:separator/>
      </w:r>
    </w:p>
  </w:endnote>
  <w:endnote w:type="continuationSeparator" w:id="0">
    <w:p w14:paraId="4734B076" w14:textId="77777777" w:rsidR="00BA1586" w:rsidRDefault="00BA1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等线 Light">
    <w:panose1 w:val="00000000000000000000"/>
    <w:charset w:val="8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ill Sans,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F533AB" w:rsidRDefault="00F533AB">
            <w:pPr>
              <w:pStyle w:val="Piedepgina"/>
              <w:jc w:val="right"/>
            </w:pPr>
          </w:p>
          <w:p w14:paraId="1F7A191C" w14:textId="2A69F491" w:rsidR="00F533AB" w:rsidRDefault="00F533A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F4640">
              <w:rPr>
                <w:b/>
                <w:bCs/>
                <w:noProof/>
              </w:rPr>
              <w:t>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F4640">
              <w:rPr>
                <w:b/>
                <w:bCs/>
                <w:noProof/>
              </w:rPr>
              <w:t>66</w:t>
            </w:r>
            <w:r>
              <w:rPr>
                <w:b/>
                <w:bCs/>
                <w:sz w:val="24"/>
                <w:szCs w:val="24"/>
              </w:rPr>
              <w:fldChar w:fldCharType="end"/>
            </w:r>
          </w:p>
        </w:sdtContent>
      </w:sdt>
    </w:sdtContent>
  </w:sdt>
  <w:p w14:paraId="2A221972" w14:textId="77777777" w:rsidR="00F533AB" w:rsidRDefault="00F533AB">
    <w:pPr>
      <w:pStyle w:val="Piedepgina"/>
    </w:pPr>
  </w:p>
  <w:p w14:paraId="1D6FF208" w14:textId="77777777" w:rsidR="00F533AB" w:rsidRDefault="00F533A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F533AB" w:rsidRDefault="00F533A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56F9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56F90">
              <w:rPr>
                <w:b/>
                <w:bCs/>
                <w:noProof/>
              </w:rPr>
              <w:t>66</w:t>
            </w:r>
            <w:r>
              <w:rPr>
                <w:b/>
                <w:bCs/>
                <w:sz w:val="24"/>
                <w:szCs w:val="24"/>
              </w:rPr>
              <w:fldChar w:fldCharType="end"/>
            </w:r>
          </w:p>
        </w:sdtContent>
      </w:sdt>
    </w:sdtContent>
  </w:sdt>
  <w:p w14:paraId="2D12AEB2" w14:textId="77777777" w:rsidR="00F533AB" w:rsidRDefault="00F533AB">
    <w:pPr>
      <w:pStyle w:val="Piedepgina"/>
    </w:pPr>
  </w:p>
  <w:p w14:paraId="54227169" w14:textId="77777777" w:rsidR="00F533AB" w:rsidRDefault="00F533A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3A5991" w14:textId="77777777" w:rsidR="00BA1586" w:rsidRDefault="00BA1586">
      <w:r>
        <w:separator/>
      </w:r>
    </w:p>
  </w:footnote>
  <w:footnote w:type="continuationSeparator" w:id="0">
    <w:p w14:paraId="0093B4FD" w14:textId="77777777" w:rsidR="00BA1586" w:rsidRDefault="00BA1586">
      <w:r>
        <w:continuationSeparator/>
      </w:r>
    </w:p>
  </w:footnote>
  <w:footnote w:id="1">
    <w:p w14:paraId="665200FB" w14:textId="77777777" w:rsidR="00F533AB" w:rsidRDefault="00F533AB" w:rsidP="00DD0FEA">
      <w:pPr>
        <w:pStyle w:val="Textonotapie"/>
      </w:pPr>
      <w:r>
        <w:rPr>
          <w:rStyle w:val="Refdenotaalpie"/>
        </w:rPr>
        <w:footnoteRef/>
      </w:r>
      <w:r>
        <w:t xml:space="preserve"> Artículo 150. Ley de Transparencia y Acceso a la Información Pública del Estado de México y Municipios.</w:t>
      </w:r>
    </w:p>
    <w:p w14:paraId="72FC86D4" w14:textId="77777777" w:rsidR="00F533AB" w:rsidRDefault="00F533AB" w:rsidP="00DD0FEA">
      <w:pPr>
        <w:pStyle w:val="Textonotapie"/>
      </w:pPr>
      <w:r>
        <w:t>Artículo 151. Ibídem.</w:t>
      </w:r>
    </w:p>
  </w:footnote>
  <w:footnote w:id="2">
    <w:p w14:paraId="5CCD7790" w14:textId="77777777" w:rsidR="00F533AB" w:rsidRDefault="00F533AB" w:rsidP="00DD0FEA">
      <w:pPr>
        <w:pStyle w:val="Textonotapie"/>
      </w:pPr>
      <w:r>
        <w:rPr>
          <w:rStyle w:val="Refdenotaalpie"/>
        </w:rPr>
        <w:footnoteRef/>
      </w:r>
      <w:r>
        <w:t xml:space="preserve"> Fracción IV. Artículo 53. Ibídem.</w:t>
      </w:r>
    </w:p>
  </w:footnote>
  <w:footnote w:id="3">
    <w:p w14:paraId="4DC820F3" w14:textId="22C954A4" w:rsidR="00F533AB" w:rsidRDefault="00F533AB">
      <w:pPr>
        <w:pStyle w:val="Textonotapie"/>
      </w:pPr>
      <w:r>
        <w:rPr>
          <w:rStyle w:val="Refdenotaalpie"/>
        </w:rPr>
        <w:footnoteRef/>
      </w:r>
      <w:r>
        <w:t xml:space="preserve"> Disponible para su consulta en </w:t>
      </w:r>
      <w:hyperlink r:id="rId1" w:history="1">
        <w:r w:rsidRPr="006C4311">
          <w:rPr>
            <w:rStyle w:val="Hipervnculo"/>
          </w:rPr>
          <w:t>https://legislacion.edomex.gob.mx/sites/legislacion.edomex.gob.mx/files/files/pdf/rgl/vig/rglvig048.pdf</w:t>
        </w:r>
      </w:hyperlink>
    </w:p>
  </w:footnote>
  <w:footnote w:id="4">
    <w:p w14:paraId="734BADAB" w14:textId="4C462867" w:rsidR="00F533AB" w:rsidRDefault="00F533AB">
      <w:pPr>
        <w:pStyle w:val="Textonotapie"/>
      </w:pPr>
      <w:r>
        <w:rPr>
          <w:rStyle w:val="Refdenotaalpie"/>
        </w:rPr>
        <w:footnoteRef/>
      </w:r>
      <w:hyperlink r:id="rId2" w:history="1">
        <w:r w:rsidRPr="000C291F">
          <w:rPr>
            <w:rStyle w:val="Hipervnculo"/>
          </w:rPr>
          <w:t>https://www.ipomex.org.mx/recursos/ipo/files_ipo3/2019/42897/11/a5d845431bc924437f4470d9a6045adf.pdf</w:t>
        </w:r>
      </w:hyperlink>
    </w:p>
    <w:p w14:paraId="04FA794D" w14:textId="77777777" w:rsidR="00F533AB" w:rsidRDefault="00F533AB">
      <w:pPr>
        <w:pStyle w:val="Textonotapie"/>
      </w:pPr>
    </w:p>
  </w:footnote>
  <w:footnote w:id="5">
    <w:p w14:paraId="4A14BA2F" w14:textId="77777777" w:rsidR="00F533AB" w:rsidRDefault="00F533AB" w:rsidP="00806ABD">
      <w:pPr>
        <w:pStyle w:val="Textonotapie"/>
      </w:pPr>
      <w:r>
        <w:rPr>
          <w:rStyle w:val="Refdenotaalpie"/>
        </w:rPr>
        <w:footnoteRef/>
      </w:r>
      <w:r>
        <w:t xml:space="preserve"> Fracción IV. Artículo 53. Ibídem.</w:t>
      </w:r>
    </w:p>
  </w:footnote>
  <w:footnote w:id="6">
    <w:p w14:paraId="5073036C" w14:textId="77777777" w:rsidR="00F533AB" w:rsidRDefault="00F533AB" w:rsidP="005502D2">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757259E" w14:textId="77777777" w:rsidR="00F533AB" w:rsidRDefault="00F533AB" w:rsidP="005502D2">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54B0102" w14:textId="77777777" w:rsidR="00F533AB" w:rsidRPr="001E1F95" w:rsidRDefault="00F533AB" w:rsidP="005502D2">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7">
    <w:p w14:paraId="79725EB3" w14:textId="77777777" w:rsidR="00F533AB" w:rsidRPr="00ED2A04" w:rsidRDefault="00F533AB" w:rsidP="005502D2">
      <w:pPr>
        <w:pStyle w:val="Textonotapie"/>
        <w:jc w:val="both"/>
        <w:rPr>
          <w:lang w:val="es-ES"/>
        </w:rPr>
      </w:pPr>
      <w:r>
        <w:rPr>
          <w:rStyle w:val="Refdenotaalpie"/>
        </w:rPr>
        <w:footnoteRef/>
      </w:r>
      <w:r>
        <w:t xml:space="preserve"> </w:t>
      </w:r>
      <w:hyperlink r:id="rId3" w:anchor="/entry-id/E216930" w:history="1">
        <w:r w:rsidRPr="00AA2458">
          <w:rPr>
            <w:rStyle w:val="Hipervnculo"/>
          </w:rPr>
          <w:t>http://dej.rae.es/#/entry-id/E216930</w:t>
        </w:r>
      </w:hyperlink>
      <w:r>
        <w:t xml:space="preserve"> </w:t>
      </w:r>
    </w:p>
  </w:footnote>
  <w:footnote w:id="8">
    <w:p w14:paraId="33A7E2FA" w14:textId="77777777" w:rsidR="00F533AB" w:rsidRPr="00ED2A04" w:rsidRDefault="00F533AB" w:rsidP="005502D2">
      <w:pPr>
        <w:pStyle w:val="Textonotapie"/>
        <w:jc w:val="both"/>
        <w:rPr>
          <w:lang w:val="es-ES"/>
        </w:rPr>
      </w:pPr>
      <w:r>
        <w:rPr>
          <w:rStyle w:val="Refdenotaalpie"/>
        </w:rPr>
        <w:footnoteRef/>
      </w:r>
      <w:r>
        <w:t xml:space="preserve"> </w:t>
      </w:r>
      <w:hyperlink r:id="rId4" w:anchor="/entry-id/E87450" w:history="1">
        <w:r w:rsidRPr="00AA2458">
          <w:rPr>
            <w:rStyle w:val="Hipervnculo"/>
          </w:rPr>
          <w:t>http://dej.rae.es/#/entry-id/E87450</w:t>
        </w:r>
      </w:hyperlink>
      <w:r>
        <w:t xml:space="preserve"> </w:t>
      </w:r>
    </w:p>
  </w:footnote>
  <w:footnote w:id="9">
    <w:p w14:paraId="4ABB64AA" w14:textId="77777777" w:rsidR="00F533AB" w:rsidRPr="000406A4" w:rsidRDefault="00F533AB" w:rsidP="005502D2">
      <w:pPr>
        <w:pStyle w:val="Textonotapie"/>
        <w:jc w:val="both"/>
        <w:rPr>
          <w:lang w:val="es-ES"/>
        </w:rPr>
      </w:pPr>
      <w:r>
        <w:rPr>
          <w:rStyle w:val="Refdenotaalpie"/>
        </w:rPr>
        <w:footnoteRef/>
      </w:r>
      <w:r>
        <w:t xml:space="preserve"> </w:t>
      </w:r>
      <w:hyperlink r:id="rId5" w:history="1">
        <w:r w:rsidRPr="00AA2458">
          <w:rPr>
            <w:rStyle w:val="Hipervnculo"/>
          </w:rPr>
          <w:t>http://dle.rae.es/?id=VGqyuLj|VGtxgAo|VGuc9Wg</w:t>
        </w:r>
      </w:hyperlink>
      <w:r>
        <w:t xml:space="preserve"> </w:t>
      </w:r>
    </w:p>
  </w:footnote>
  <w:footnote w:id="10">
    <w:p w14:paraId="1211B16A" w14:textId="77777777" w:rsidR="00F533AB" w:rsidRPr="000406A4" w:rsidRDefault="00F533AB" w:rsidP="005502D2">
      <w:pPr>
        <w:pStyle w:val="Textonotapie"/>
        <w:jc w:val="both"/>
        <w:rPr>
          <w:lang w:val="es-ES"/>
        </w:rPr>
      </w:pPr>
      <w:r>
        <w:rPr>
          <w:rStyle w:val="Refdenotaalpie"/>
        </w:rPr>
        <w:footnoteRef/>
      </w:r>
      <w:r>
        <w:t xml:space="preserve"> </w:t>
      </w:r>
      <w:hyperlink r:id="rId6" w:history="1">
        <w:r w:rsidRPr="00AA2458">
          <w:rPr>
            <w:rStyle w:val="Hipervnculo"/>
          </w:rPr>
          <w:t>http://dle.rae.es/?id=CAjNzMR</w:t>
        </w:r>
      </w:hyperlink>
      <w:r>
        <w:t xml:space="preserve"> </w:t>
      </w:r>
    </w:p>
  </w:footnote>
  <w:footnote w:id="11">
    <w:p w14:paraId="4BCFF950" w14:textId="77777777" w:rsidR="00F533AB" w:rsidRPr="000406A4" w:rsidRDefault="00F533AB" w:rsidP="005502D2">
      <w:pPr>
        <w:pStyle w:val="Textonotapie"/>
        <w:jc w:val="both"/>
        <w:rPr>
          <w:lang w:val="es-ES"/>
        </w:rPr>
      </w:pPr>
      <w:r>
        <w:rPr>
          <w:rStyle w:val="Refdenotaalpie"/>
        </w:rPr>
        <w:footnoteRef/>
      </w:r>
      <w:r>
        <w:t xml:space="preserve"> </w:t>
      </w:r>
      <w:hyperlink r:id="rId7" w:history="1">
        <w:r w:rsidRPr="00AA2458">
          <w:rPr>
            <w:rStyle w:val="Hipervnculo"/>
          </w:rPr>
          <w:t>http://dle.rae.es/?id=CAqWkEB</w:t>
        </w:r>
      </w:hyperlink>
      <w:r>
        <w:t xml:space="preserve"> </w:t>
      </w:r>
    </w:p>
  </w:footnote>
  <w:footnote w:id="12">
    <w:p w14:paraId="049C48AF" w14:textId="77777777" w:rsidR="00F533AB" w:rsidRPr="000406A4" w:rsidRDefault="00F533AB" w:rsidP="005502D2">
      <w:pPr>
        <w:pStyle w:val="Textonotapie"/>
        <w:jc w:val="both"/>
        <w:rPr>
          <w:lang w:val="es-ES"/>
        </w:rPr>
      </w:pPr>
      <w:r>
        <w:rPr>
          <w:rStyle w:val="Refdenotaalpie"/>
        </w:rPr>
        <w:footnoteRef/>
      </w:r>
      <w:r>
        <w:t xml:space="preserve"> </w:t>
      </w:r>
      <w:hyperlink r:id="rId8" w:history="1">
        <w:r w:rsidRPr="00AA2458">
          <w:rPr>
            <w:rStyle w:val="Hipervnculo"/>
          </w:rPr>
          <w:t>http://dle.rae.es/?id=KtnHLLd</w:t>
        </w:r>
      </w:hyperlink>
      <w:r>
        <w:t xml:space="preserve"> </w:t>
      </w:r>
    </w:p>
  </w:footnote>
  <w:footnote w:id="13">
    <w:p w14:paraId="7A9D1426" w14:textId="77777777" w:rsidR="00F533AB" w:rsidRPr="000406A4" w:rsidRDefault="00F533AB" w:rsidP="005502D2">
      <w:pPr>
        <w:pStyle w:val="Textonotapie"/>
        <w:jc w:val="both"/>
        <w:rPr>
          <w:lang w:val="es-ES"/>
        </w:rPr>
      </w:pPr>
      <w:r>
        <w:rPr>
          <w:rStyle w:val="Refdenotaalpie"/>
        </w:rPr>
        <w:footnoteRef/>
      </w:r>
      <w:r>
        <w:t xml:space="preserve"> </w:t>
      </w:r>
      <w:hyperlink r:id="rId9" w:history="1">
        <w:r w:rsidRPr="00AA2458">
          <w:rPr>
            <w:rStyle w:val="Hipervnculo"/>
          </w:rPr>
          <w:t>http://dle.rae.es/?id=KtpfgjV</w:t>
        </w:r>
      </w:hyperlink>
      <w:r>
        <w:t xml:space="preserve"> </w:t>
      </w:r>
    </w:p>
  </w:footnote>
  <w:footnote w:id="14">
    <w:p w14:paraId="771AE6F2" w14:textId="77777777" w:rsidR="00F533AB" w:rsidRPr="00042E67" w:rsidRDefault="00F533AB" w:rsidP="005502D2">
      <w:pPr>
        <w:jc w:val="both"/>
        <w:rPr>
          <w:color w:val="000000" w:themeColor="text1"/>
          <w:lang w:eastAsia="es-ES_tradnl"/>
        </w:rPr>
      </w:pPr>
      <w:r>
        <w:rPr>
          <w:rStyle w:val="Refdenotaalpie"/>
        </w:rPr>
        <w:footnoteRef/>
      </w:r>
      <w:r>
        <w:t xml:space="preserve"> </w:t>
      </w:r>
      <w:r>
        <w:rPr>
          <w:lang w:val="es-ES"/>
        </w:rPr>
        <w:t>“</w:t>
      </w:r>
      <w:r w:rsidRPr="00042E67">
        <w:rPr>
          <w:color w:val="000000" w:themeColor="text1"/>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w:t>
      </w:r>
      <w:r w:rsidRPr="00716066">
        <w:rPr>
          <w:color w:val="000000" w:themeColor="text1"/>
          <w:lang w:eastAsia="es-ES_tradnl"/>
        </w:rPr>
        <w:t>Caso</w:t>
      </w:r>
      <w:r w:rsidRPr="00042E67">
        <w:rPr>
          <w:color w:val="000000" w:themeColor="text1"/>
          <w:lang w:eastAsia="es-ES_tradnl"/>
        </w:rPr>
        <w:t xml:space="preserve"> Gonzales Lluy y otros contra Ecuador. Excepciones preliminares, fondo, reparaciones y costas. Sentencia del 01 de septiembre de 2015. Párr. 256. </w:t>
      </w:r>
    </w:p>
  </w:footnote>
  <w:footnote w:id="15">
    <w:p w14:paraId="5E1AB68B" w14:textId="77777777" w:rsidR="00F533AB" w:rsidRPr="00A4142C" w:rsidRDefault="00F533AB" w:rsidP="005502D2">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16">
    <w:p w14:paraId="63AE17E6" w14:textId="041CF316" w:rsidR="00F533AB" w:rsidRDefault="00F533AB">
      <w:pPr>
        <w:pStyle w:val="Textonotapie"/>
      </w:pPr>
      <w:r>
        <w:rPr>
          <w:rStyle w:val="Refdenotaalpie"/>
        </w:rPr>
        <w:footnoteRef/>
      </w:r>
      <w:r>
        <w:t xml:space="preserve"> </w:t>
      </w:r>
      <w:hyperlink r:id="rId10" w:history="1">
        <w:r w:rsidRPr="00495724">
          <w:rPr>
            <w:rStyle w:val="Hipervnculo"/>
          </w:rPr>
          <w:t>https://www.dof.gob.mx/nota_detalle.php?codigo=5433280&amp;fecha=15/04/2016</w:t>
        </w:r>
      </w:hyperlink>
    </w:p>
  </w:footnote>
  <w:footnote w:id="17">
    <w:p w14:paraId="22F44D64" w14:textId="053285AB" w:rsidR="00F533AB" w:rsidRDefault="00F533AB">
      <w:pPr>
        <w:pStyle w:val="Textonotapie"/>
      </w:pPr>
      <w:r>
        <w:rPr>
          <w:rStyle w:val="Refdenotaalpie"/>
        </w:rPr>
        <w:footnoteRef/>
      </w:r>
      <w:r>
        <w:t xml:space="preserve"> Disponible para su consulta en </w:t>
      </w:r>
      <w:hyperlink r:id="rId11" w:history="1">
        <w:r w:rsidRPr="00495724">
          <w:rPr>
            <w:rStyle w:val="Hipervnculo"/>
          </w:rPr>
          <w:t>https://www.who.int/es/news-room/fact-sheets/detail/drinking-water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F533AB" w:rsidRDefault="00BA1586">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F533AB" w:rsidRDefault="00F533A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F533AB" w14:paraId="6255E3A4" w14:textId="77777777" w:rsidTr="00814079">
      <w:trPr>
        <w:trHeight w:val="1435"/>
      </w:trPr>
      <w:tc>
        <w:tcPr>
          <w:tcW w:w="1843" w:type="dxa"/>
          <w:shd w:val="clear" w:color="auto" w:fill="auto"/>
        </w:tcPr>
        <w:p w14:paraId="3E05202F" w14:textId="4A7C9DF8" w:rsidR="00F533AB" w:rsidRDefault="00F533AB">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F533AB" w:rsidRDefault="00F533AB"/>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F533AB" w14:paraId="727F90BF" w14:textId="77777777" w:rsidTr="00483482">
            <w:trPr>
              <w:trHeight w:val="338"/>
            </w:trPr>
            <w:tc>
              <w:tcPr>
                <w:tcW w:w="2551" w:type="dxa"/>
              </w:tcPr>
              <w:p w14:paraId="23087CD5" w14:textId="77777777" w:rsidR="00F533AB" w:rsidRDefault="00F533AB">
                <w:pPr>
                  <w:tabs>
                    <w:tab w:val="right" w:pos="8838"/>
                  </w:tabs>
                  <w:ind w:right="-105"/>
                  <w:rPr>
                    <w:rFonts w:ascii="Palatino Linotype" w:eastAsia="Calibri" w:hAnsi="Palatino Linotype" w:cs="Tahoma"/>
                    <w:b/>
                    <w:sz w:val="22"/>
                    <w:szCs w:val="22"/>
                    <w:lang w:eastAsia="en-US"/>
                  </w:rPr>
                </w:pPr>
              </w:p>
              <w:p w14:paraId="410A3741" w14:textId="535C9D39" w:rsidR="00F533AB" w:rsidRDefault="00F533AB">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F533AB" w:rsidRDefault="00F533AB" w:rsidP="00427B6E">
                <w:pPr>
                  <w:tabs>
                    <w:tab w:val="right" w:pos="8838"/>
                  </w:tabs>
                  <w:ind w:right="-105" w:hanging="101"/>
                  <w:jc w:val="both"/>
                  <w:rPr>
                    <w:rFonts w:ascii="Palatino Linotype" w:eastAsia="Calibri" w:hAnsi="Palatino Linotype" w:cs="Tahoma"/>
                    <w:bCs/>
                    <w:sz w:val="22"/>
                    <w:szCs w:val="22"/>
                    <w:lang w:eastAsia="en-US"/>
                  </w:rPr>
                </w:pPr>
              </w:p>
              <w:p w14:paraId="3FF69A05" w14:textId="284A90A3" w:rsidR="00F533AB" w:rsidRDefault="00F533AB" w:rsidP="008E6432">
                <w:pPr>
                  <w:tabs>
                    <w:tab w:val="right" w:pos="8838"/>
                  </w:tabs>
                  <w:ind w:right="-105" w:hanging="10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03888/INFOEM/IP/RR/2021 </w:t>
                </w:r>
              </w:p>
            </w:tc>
          </w:tr>
          <w:tr w:rsidR="00F533AB" w14:paraId="1389436A" w14:textId="4EB800AC" w:rsidTr="00483482">
            <w:trPr>
              <w:trHeight w:val="283"/>
            </w:trPr>
            <w:tc>
              <w:tcPr>
                <w:tcW w:w="2551" w:type="dxa"/>
              </w:tcPr>
              <w:p w14:paraId="22E0F4E9" w14:textId="77777777" w:rsidR="00F533AB" w:rsidRDefault="00F533AB">
                <w:pPr>
                  <w:tabs>
                    <w:tab w:val="right" w:pos="8838"/>
                  </w:tabs>
                  <w:ind w:right="-105"/>
                  <w:rPr>
                    <w:rFonts w:ascii="Palatino Linotype" w:eastAsia="Calibri" w:hAnsi="Palatino Linotype" w:cs="Tahoma"/>
                    <w:b/>
                    <w:sz w:val="22"/>
                    <w:szCs w:val="22"/>
                    <w:lang w:eastAsia="en-US"/>
                  </w:rPr>
                </w:pPr>
                <w:bookmarkStart w:id="54" w:name="_Hlk33010189"/>
                <w:r>
                  <w:rPr>
                    <w:rFonts w:ascii="Palatino Linotype" w:eastAsia="Calibri" w:hAnsi="Palatino Linotype" w:cs="Tahoma"/>
                    <w:b/>
                    <w:sz w:val="22"/>
                    <w:szCs w:val="22"/>
                    <w:lang w:eastAsia="en-US"/>
                  </w:rPr>
                  <w:t>Sujeto Obligado:</w:t>
                </w:r>
              </w:p>
            </w:tc>
            <w:tc>
              <w:tcPr>
                <w:tcW w:w="4544" w:type="dxa"/>
              </w:tcPr>
              <w:p w14:paraId="2B205C7F" w14:textId="7436D0FD" w:rsidR="00F533AB" w:rsidRPr="00A8015B" w:rsidRDefault="00F533AB" w:rsidP="00806ABD">
                <w:pPr>
                  <w:tabs>
                    <w:tab w:val="left" w:pos="2834"/>
                    <w:tab w:val="right" w:pos="8838"/>
                  </w:tabs>
                  <w:ind w:left="-113" w:right="1318"/>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Organismo Público Descentralizado para la Prestación de los Servicios de Agua Potable Alcantarillado y Saneamiento del Municipio de Zumpango</w:t>
                </w:r>
              </w:p>
            </w:tc>
          </w:tr>
          <w:bookmarkEnd w:id="54"/>
          <w:tr w:rsidR="00F533AB" w14:paraId="28CCE4E5" w14:textId="77777777" w:rsidTr="00483482">
            <w:trPr>
              <w:trHeight w:val="283"/>
            </w:trPr>
            <w:tc>
              <w:tcPr>
                <w:tcW w:w="2551" w:type="dxa"/>
              </w:tcPr>
              <w:p w14:paraId="13EBF3BB" w14:textId="77777777" w:rsidR="00F533AB" w:rsidRDefault="00F533AB">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 Ponente:</w:t>
                </w:r>
              </w:p>
            </w:tc>
            <w:tc>
              <w:tcPr>
                <w:tcW w:w="4544" w:type="dxa"/>
              </w:tcPr>
              <w:p w14:paraId="5DF20594" w14:textId="1A6CDEA4" w:rsidR="00F533AB" w:rsidRDefault="00F533AB"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F533AB" w:rsidRDefault="00F533AB">
          <w:pPr>
            <w:tabs>
              <w:tab w:val="right" w:pos="8838"/>
            </w:tabs>
            <w:ind w:left="-28"/>
            <w:jc w:val="both"/>
            <w:rPr>
              <w:rFonts w:ascii="Arial" w:eastAsia="Calibri" w:hAnsi="Arial" w:cs="Arial"/>
              <w:b/>
              <w:sz w:val="22"/>
              <w:szCs w:val="22"/>
              <w:lang w:eastAsia="en-US"/>
            </w:rPr>
          </w:pPr>
        </w:p>
      </w:tc>
    </w:tr>
  </w:tbl>
  <w:p w14:paraId="07EF2D29" w14:textId="1620A8B4" w:rsidR="00F533AB" w:rsidRDefault="00BA1586"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F533AB" w:rsidRDefault="00F533A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F533AB" w14:paraId="61517A1D" w14:textId="77777777" w:rsidTr="003A6126">
      <w:trPr>
        <w:trHeight w:val="1435"/>
      </w:trPr>
      <w:tc>
        <w:tcPr>
          <w:tcW w:w="1560" w:type="dxa"/>
          <w:shd w:val="clear" w:color="auto" w:fill="auto"/>
        </w:tcPr>
        <w:p w14:paraId="4B74E846" w14:textId="1E0D62B9" w:rsidR="00F533AB" w:rsidRDefault="00F533AB">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F533AB" w14:paraId="7F59E1EF" w14:textId="77777777" w:rsidTr="00483482">
            <w:trPr>
              <w:trHeight w:val="144"/>
            </w:trPr>
            <w:tc>
              <w:tcPr>
                <w:tcW w:w="2444" w:type="dxa"/>
              </w:tcPr>
              <w:p w14:paraId="5EFF942E" w14:textId="77777777" w:rsidR="00F533AB" w:rsidRDefault="00F533AB" w:rsidP="000D485D">
                <w:pPr>
                  <w:tabs>
                    <w:tab w:val="right" w:pos="8838"/>
                  </w:tabs>
                  <w:ind w:left="-74" w:right="-105"/>
                  <w:rPr>
                    <w:rFonts w:ascii="Palatino Linotype" w:eastAsia="Calibri" w:hAnsi="Palatino Linotype" w:cs="Tahoma"/>
                    <w:b/>
                    <w:sz w:val="22"/>
                    <w:szCs w:val="22"/>
                    <w:lang w:eastAsia="en-US"/>
                  </w:rPr>
                </w:pPr>
                <w:bookmarkStart w:id="55" w:name="_Hlk12526980"/>
                <w:r>
                  <w:rPr>
                    <w:rFonts w:ascii="Palatino Linotype" w:eastAsia="Calibri" w:hAnsi="Palatino Linotype" w:cs="Tahoma"/>
                    <w:b/>
                    <w:sz w:val="22"/>
                    <w:szCs w:val="22"/>
                    <w:lang w:eastAsia="en-US"/>
                  </w:rPr>
                  <w:t>Recurso de Revisión:</w:t>
                </w:r>
              </w:p>
            </w:tc>
            <w:tc>
              <w:tcPr>
                <w:tcW w:w="4646" w:type="dxa"/>
              </w:tcPr>
              <w:p w14:paraId="0DE47EE2" w14:textId="6438248B" w:rsidR="00F533AB" w:rsidRDefault="00F533AB" w:rsidP="00DB2180">
                <w:pPr>
                  <w:tabs>
                    <w:tab w:val="right" w:pos="8838"/>
                  </w:tabs>
                  <w:ind w:left="-3"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03888/INFOEM/IP/RR/2021</w:t>
                </w:r>
              </w:p>
            </w:tc>
            <w:tc>
              <w:tcPr>
                <w:tcW w:w="3402" w:type="dxa"/>
              </w:tcPr>
              <w:p w14:paraId="11E4533C" w14:textId="3B21362A" w:rsidR="00F533AB" w:rsidRDefault="00F533AB">
                <w:pPr>
                  <w:tabs>
                    <w:tab w:val="right" w:pos="8838"/>
                  </w:tabs>
                  <w:ind w:left="-74" w:right="-105"/>
                  <w:jc w:val="both"/>
                  <w:rPr>
                    <w:rFonts w:ascii="Palatino Linotype" w:eastAsia="Calibri" w:hAnsi="Palatino Linotype" w:cs="Tahoma"/>
                    <w:bCs/>
                    <w:sz w:val="22"/>
                    <w:szCs w:val="22"/>
                    <w:lang w:eastAsia="en-US"/>
                  </w:rPr>
                </w:pPr>
              </w:p>
            </w:tc>
          </w:tr>
          <w:tr w:rsidR="00F533AB" w14:paraId="3FC4FA7D" w14:textId="77777777" w:rsidTr="00483482">
            <w:trPr>
              <w:trHeight w:val="144"/>
            </w:trPr>
            <w:tc>
              <w:tcPr>
                <w:tcW w:w="2444" w:type="dxa"/>
              </w:tcPr>
              <w:p w14:paraId="363D966B" w14:textId="77777777" w:rsidR="00F533AB" w:rsidRDefault="00F533AB" w:rsidP="000D485D">
                <w:pPr>
                  <w:tabs>
                    <w:tab w:val="right" w:pos="8838"/>
                  </w:tabs>
                  <w:ind w:left="-74" w:right="-105"/>
                  <w:rPr>
                    <w:rFonts w:ascii="Palatino Linotype" w:eastAsia="Calibri" w:hAnsi="Palatino Linotype" w:cs="Tahoma"/>
                    <w:b/>
                    <w:sz w:val="22"/>
                    <w:szCs w:val="22"/>
                    <w:lang w:eastAsia="en-US"/>
                  </w:rPr>
                </w:pPr>
                <w:bookmarkStart w:id="56" w:name="_Hlk10641523"/>
                <w:bookmarkEnd w:id="55"/>
                <w:r>
                  <w:rPr>
                    <w:rFonts w:ascii="Palatino Linotype" w:eastAsia="Calibri" w:hAnsi="Palatino Linotype" w:cs="Tahoma"/>
                    <w:b/>
                    <w:sz w:val="22"/>
                    <w:szCs w:val="22"/>
                    <w:lang w:eastAsia="en-US"/>
                  </w:rPr>
                  <w:t>Recurrente:</w:t>
                </w:r>
              </w:p>
            </w:tc>
            <w:tc>
              <w:tcPr>
                <w:tcW w:w="4646" w:type="dxa"/>
              </w:tcPr>
              <w:p w14:paraId="73C065CD" w14:textId="6FDE3945" w:rsidR="00F533AB" w:rsidRPr="000A7E5D" w:rsidRDefault="00A56F90" w:rsidP="00A36BE2">
                <w:pPr>
                  <w:tabs>
                    <w:tab w:val="left" w:pos="3122"/>
                    <w:tab w:val="right" w:pos="8838"/>
                  </w:tabs>
                  <w:ind w:right="1457"/>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XXXXXXXXXXXXXXXXXXXXXXXXX</w:t>
                </w:r>
              </w:p>
            </w:tc>
            <w:tc>
              <w:tcPr>
                <w:tcW w:w="3402" w:type="dxa"/>
              </w:tcPr>
              <w:p w14:paraId="370E6EFF" w14:textId="3B7EABB6" w:rsidR="00F533AB" w:rsidRDefault="00F533AB" w:rsidP="003037E1">
                <w:pPr>
                  <w:tabs>
                    <w:tab w:val="left" w:pos="3122"/>
                    <w:tab w:val="right" w:pos="8838"/>
                  </w:tabs>
                  <w:ind w:right="-105"/>
                  <w:jc w:val="both"/>
                  <w:rPr>
                    <w:rFonts w:ascii="Palatino Linotype" w:eastAsia="Calibri" w:hAnsi="Palatino Linotype" w:cs="Tahoma"/>
                    <w:sz w:val="22"/>
                    <w:szCs w:val="22"/>
                    <w:lang w:eastAsia="en-US"/>
                  </w:rPr>
                </w:pPr>
              </w:p>
            </w:tc>
          </w:tr>
          <w:bookmarkEnd w:id="56"/>
          <w:tr w:rsidR="00F533AB" w14:paraId="4D832A43" w14:textId="77777777" w:rsidTr="00483482">
            <w:trPr>
              <w:trHeight w:val="283"/>
            </w:trPr>
            <w:tc>
              <w:tcPr>
                <w:tcW w:w="2444" w:type="dxa"/>
              </w:tcPr>
              <w:p w14:paraId="02CA5CB0" w14:textId="77777777" w:rsidR="00F533AB" w:rsidRDefault="00F533AB"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71E46812" w:rsidR="00F533AB" w:rsidRDefault="00F533AB" w:rsidP="00DB2180">
                <w:pPr>
                  <w:tabs>
                    <w:tab w:val="left" w:pos="2834"/>
                    <w:tab w:val="right" w:pos="8838"/>
                  </w:tabs>
                  <w:ind w:left="-3" w:right="131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Organismo Público Descentralizado para la Prestación de los Servicios de Agua Potable Alcantarillado y Saneamiento del Municipio de Zumpango</w:t>
                </w:r>
              </w:p>
            </w:tc>
            <w:tc>
              <w:tcPr>
                <w:tcW w:w="3402" w:type="dxa"/>
              </w:tcPr>
              <w:p w14:paraId="00F18B8C" w14:textId="77777777" w:rsidR="00F533AB" w:rsidRDefault="00F533AB">
                <w:pPr>
                  <w:tabs>
                    <w:tab w:val="left" w:pos="2834"/>
                    <w:tab w:val="right" w:pos="8838"/>
                  </w:tabs>
                  <w:ind w:left="-74" w:right="-105"/>
                  <w:jc w:val="both"/>
                  <w:rPr>
                    <w:rFonts w:ascii="Palatino Linotype" w:eastAsia="Calibri" w:hAnsi="Palatino Linotype" w:cs="Tahoma"/>
                    <w:sz w:val="22"/>
                    <w:szCs w:val="22"/>
                    <w:lang w:eastAsia="en-US"/>
                  </w:rPr>
                </w:pPr>
              </w:p>
            </w:tc>
          </w:tr>
          <w:tr w:rsidR="00F533AB" w14:paraId="7BC74D7A" w14:textId="77777777" w:rsidTr="00483482">
            <w:trPr>
              <w:trHeight w:val="283"/>
            </w:trPr>
            <w:tc>
              <w:tcPr>
                <w:tcW w:w="2444" w:type="dxa"/>
              </w:tcPr>
              <w:p w14:paraId="3BF93338" w14:textId="77777777" w:rsidR="00F533AB" w:rsidRDefault="00F533AB"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 Ponente:</w:t>
                </w:r>
              </w:p>
            </w:tc>
            <w:tc>
              <w:tcPr>
                <w:tcW w:w="4646" w:type="dxa"/>
              </w:tcPr>
              <w:p w14:paraId="3589422E" w14:textId="64278750" w:rsidR="00F533AB" w:rsidRPr="003037E1" w:rsidRDefault="00F533AB"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F533AB" w:rsidRDefault="00F533AB">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F533AB" w:rsidRDefault="00F533AB">
          <w:pPr>
            <w:tabs>
              <w:tab w:val="right" w:pos="8838"/>
            </w:tabs>
            <w:ind w:left="-28"/>
            <w:jc w:val="both"/>
            <w:rPr>
              <w:rFonts w:ascii="Arial" w:eastAsia="Calibri" w:hAnsi="Arial" w:cs="Arial"/>
              <w:b/>
              <w:sz w:val="22"/>
              <w:szCs w:val="22"/>
              <w:lang w:eastAsia="en-US"/>
            </w:rPr>
          </w:pPr>
        </w:p>
      </w:tc>
    </w:tr>
  </w:tbl>
  <w:p w14:paraId="5F654A99" w14:textId="6CB7D4AE" w:rsidR="00F533AB" w:rsidRDefault="00BA1586"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0859FD"/>
    <w:multiLevelType w:val="hybridMultilevel"/>
    <w:tmpl w:val="CB4490F8"/>
    <w:lvl w:ilvl="0" w:tplc="21088A32">
      <w:start w:val="1"/>
      <w:numFmt w:val="decimal"/>
      <w:lvlText w:val="%1."/>
      <w:lvlJc w:val="left"/>
      <w:pPr>
        <w:ind w:left="1080" w:hanging="720"/>
      </w:pPr>
      <w:rPr>
        <w:rFonts w:ascii="Palatino Linotype" w:eastAsia="Times New Roman" w:hAnsi="Palatino Linotype"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5F4D6F"/>
    <w:multiLevelType w:val="hybridMultilevel"/>
    <w:tmpl w:val="AED8149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8266D9"/>
    <w:multiLevelType w:val="hybridMultilevel"/>
    <w:tmpl w:val="C63C7D8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7A53E6"/>
    <w:multiLevelType w:val="multilevel"/>
    <w:tmpl w:val="F01E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44291F"/>
    <w:multiLevelType w:val="hybridMultilevel"/>
    <w:tmpl w:val="7D1E6D54"/>
    <w:lvl w:ilvl="0" w:tplc="080A0013">
      <w:start w:val="1"/>
      <w:numFmt w:val="upperRoman"/>
      <w:lvlText w:val="%1."/>
      <w:lvlJc w:val="right"/>
      <w:pPr>
        <w:ind w:left="1080" w:hanging="72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9671CD"/>
    <w:multiLevelType w:val="hybridMultilevel"/>
    <w:tmpl w:val="169CCF94"/>
    <w:lvl w:ilvl="0" w:tplc="88CA20FE">
      <w:start w:val="2"/>
      <w:numFmt w:val="bullet"/>
      <w:lvlText w:val="-"/>
      <w:lvlJc w:val="left"/>
      <w:pPr>
        <w:ind w:left="720" w:hanging="360"/>
      </w:pPr>
      <w:rPr>
        <w:rFonts w:ascii="Palatino Linotype" w:eastAsia="Calibr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E686DB2"/>
    <w:multiLevelType w:val="hybridMultilevel"/>
    <w:tmpl w:val="4FA4A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402229FD"/>
    <w:multiLevelType w:val="hybridMultilevel"/>
    <w:tmpl w:val="931C32B8"/>
    <w:lvl w:ilvl="0" w:tplc="2C40DCDC">
      <w:start w:val="1"/>
      <w:numFmt w:val="upperLetter"/>
      <w:lvlText w:val="%1."/>
      <w:lvlJc w:val="left"/>
      <w:pPr>
        <w:ind w:left="720" w:hanging="360"/>
      </w:pPr>
      <w:rPr>
        <w:rFonts w:hint="default"/>
        <w:b/>
        <w:bCs/>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03E53D4"/>
    <w:multiLevelType w:val="hybridMultilevel"/>
    <w:tmpl w:val="9FF059D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5">
    <w:nsid w:val="430F6334"/>
    <w:multiLevelType w:val="hybridMultilevel"/>
    <w:tmpl w:val="DD8251BE"/>
    <w:lvl w:ilvl="0" w:tplc="2334F8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879167B"/>
    <w:multiLevelType w:val="hybridMultilevel"/>
    <w:tmpl w:val="3CC490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F9B26C9"/>
    <w:multiLevelType w:val="hybridMultilevel"/>
    <w:tmpl w:val="65B07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2CA5C14"/>
    <w:multiLevelType w:val="hybridMultilevel"/>
    <w:tmpl w:val="9F7039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55270159"/>
    <w:multiLevelType w:val="hybridMultilevel"/>
    <w:tmpl w:val="B2A61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87F14CE"/>
    <w:multiLevelType w:val="hybridMultilevel"/>
    <w:tmpl w:val="FEE8D14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B5C56A3"/>
    <w:multiLevelType w:val="hybridMultilevel"/>
    <w:tmpl w:val="74F0A3C2"/>
    <w:lvl w:ilvl="0" w:tplc="73668F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7C981D22"/>
    <w:multiLevelType w:val="hybridMultilevel"/>
    <w:tmpl w:val="71962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CDA0965"/>
    <w:multiLevelType w:val="hybridMultilevel"/>
    <w:tmpl w:val="BCBAC0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1"/>
  </w:num>
  <w:num w:numId="3">
    <w:abstractNumId w:val="1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0"/>
  </w:num>
  <w:num w:numId="6">
    <w:abstractNumId w:val="7"/>
  </w:num>
  <w:num w:numId="7">
    <w:abstractNumId w:val="1"/>
  </w:num>
  <w:num w:numId="8">
    <w:abstractNumId w:val="8"/>
  </w:num>
  <w:num w:numId="9">
    <w:abstractNumId w:val="17"/>
  </w:num>
  <w:num w:numId="10">
    <w:abstractNumId w:val="23"/>
  </w:num>
  <w:num w:numId="11">
    <w:abstractNumId w:val="21"/>
  </w:num>
  <w:num w:numId="12">
    <w:abstractNumId w:val="19"/>
  </w:num>
  <w:num w:numId="13">
    <w:abstractNumId w:val="9"/>
  </w:num>
  <w:num w:numId="14">
    <w:abstractNumId w:val="4"/>
  </w:num>
  <w:num w:numId="15">
    <w:abstractNumId w:val="16"/>
  </w:num>
  <w:num w:numId="16">
    <w:abstractNumId w:val="15"/>
  </w:num>
  <w:num w:numId="17">
    <w:abstractNumId w:val="5"/>
  </w:num>
  <w:num w:numId="18">
    <w:abstractNumId w:val="14"/>
  </w:num>
  <w:num w:numId="19">
    <w:abstractNumId w:val="1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0"/>
  </w:num>
  <w:num w:numId="23">
    <w:abstractNumId w:val="22"/>
  </w:num>
  <w:num w:numId="24">
    <w:abstractNumId w:val="13"/>
  </w:num>
  <w:num w:numId="2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485"/>
    <w:rsid w:val="000027EB"/>
    <w:rsid w:val="00002B33"/>
    <w:rsid w:val="0000485A"/>
    <w:rsid w:val="000048DD"/>
    <w:rsid w:val="00006543"/>
    <w:rsid w:val="00006EB8"/>
    <w:rsid w:val="000077E8"/>
    <w:rsid w:val="00012CD0"/>
    <w:rsid w:val="00013A19"/>
    <w:rsid w:val="00013DD9"/>
    <w:rsid w:val="000143FA"/>
    <w:rsid w:val="00014465"/>
    <w:rsid w:val="000159F0"/>
    <w:rsid w:val="00015A4E"/>
    <w:rsid w:val="00017348"/>
    <w:rsid w:val="00017858"/>
    <w:rsid w:val="00017D26"/>
    <w:rsid w:val="00020818"/>
    <w:rsid w:val="00020CAE"/>
    <w:rsid w:val="000212E5"/>
    <w:rsid w:val="000217A4"/>
    <w:rsid w:val="00021C64"/>
    <w:rsid w:val="000241C5"/>
    <w:rsid w:val="00024D74"/>
    <w:rsid w:val="00025941"/>
    <w:rsid w:val="00025F1B"/>
    <w:rsid w:val="00025F5D"/>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C4B"/>
    <w:rsid w:val="000441A1"/>
    <w:rsid w:val="000441C4"/>
    <w:rsid w:val="000446B3"/>
    <w:rsid w:val="0004646B"/>
    <w:rsid w:val="00050224"/>
    <w:rsid w:val="000527B4"/>
    <w:rsid w:val="000528E6"/>
    <w:rsid w:val="00053EEF"/>
    <w:rsid w:val="000542F8"/>
    <w:rsid w:val="0005574A"/>
    <w:rsid w:val="00057250"/>
    <w:rsid w:val="00057E50"/>
    <w:rsid w:val="0006017B"/>
    <w:rsid w:val="00060323"/>
    <w:rsid w:val="000605D1"/>
    <w:rsid w:val="00060855"/>
    <w:rsid w:val="00061502"/>
    <w:rsid w:val="000620E1"/>
    <w:rsid w:val="00064855"/>
    <w:rsid w:val="00064EC4"/>
    <w:rsid w:val="00065B48"/>
    <w:rsid w:val="00066328"/>
    <w:rsid w:val="000663F6"/>
    <w:rsid w:val="00066AD8"/>
    <w:rsid w:val="000677C5"/>
    <w:rsid w:val="00071A4A"/>
    <w:rsid w:val="00071F02"/>
    <w:rsid w:val="00072BFF"/>
    <w:rsid w:val="000741E2"/>
    <w:rsid w:val="000758B2"/>
    <w:rsid w:val="0008033A"/>
    <w:rsid w:val="000813B0"/>
    <w:rsid w:val="0008148B"/>
    <w:rsid w:val="00082026"/>
    <w:rsid w:val="000827E1"/>
    <w:rsid w:val="00082B18"/>
    <w:rsid w:val="00084E6C"/>
    <w:rsid w:val="0009197A"/>
    <w:rsid w:val="00092475"/>
    <w:rsid w:val="00092518"/>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5550"/>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76AB"/>
    <w:rsid w:val="000F7A45"/>
    <w:rsid w:val="000F7FD8"/>
    <w:rsid w:val="00100BAC"/>
    <w:rsid w:val="001011E4"/>
    <w:rsid w:val="001017B7"/>
    <w:rsid w:val="001024F2"/>
    <w:rsid w:val="001034C6"/>
    <w:rsid w:val="001036BF"/>
    <w:rsid w:val="0010415F"/>
    <w:rsid w:val="001049B0"/>
    <w:rsid w:val="00104ADB"/>
    <w:rsid w:val="001057BC"/>
    <w:rsid w:val="001058B8"/>
    <w:rsid w:val="0010687C"/>
    <w:rsid w:val="00106FD4"/>
    <w:rsid w:val="00107D2F"/>
    <w:rsid w:val="00107EB6"/>
    <w:rsid w:val="001112C9"/>
    <w:rsid w:val="001133D5"/>
    <w:rsid w:val="001139FD"/>
    <w:rsid w:val="00114068"/>
    <w:rsid w:val="00114BD2"/>
    <w:rsid w:val="001150E9"/>
    <w:rsid w:val="001166C8"/>
    <w:rsid w:val="001171BD"/>
    <w:rsid w:val="00117E18"/>
    <w:rsid w:val="001221B8"/>
    <w:rsid w:val="001237D5"/>
    <w:rsid w:val="00127757"/>
    <w:rsid w:val="001279BF"/>
    <w:rsid w:val="00127E43"/>
    <w:rsid w:val="00127FF6"/>
    <w:rsid w:val="001301F3"/>
    <w:rsid w:val="001313F8"/>
    <w:rsid w:val="00132573"/>
    <w:rsid w:val="00132A80"/>
    <w:rsid w:val="00132F95"/>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2AE6"/>
    <w:rsid w:val="0019361B"/>
    <w:rsid w:val="0019389B"/>
    <w:rsid w:val="00194CDF"/>
    <w:rsid w:val="00195BA5"/>
    <w:rsid w:val="00196522"/>
    <w:rsid w:val="001A0C96"/>
    <w:rsid w:val="001A1B94"/>
    <w:rsid w:val="001A22F5"/>
    <w:rsid w:val="001A32CB"/>
    <w:rsid w:val="001A3EA6"/>
    <w:rsid w:val="001A4B83"/>
    <w:rsid w:val="001A7FD2"/>
    <w:rsid w:val="001B0041"/>
    <w:rsid w:val="001B01AD"/>
    <w:rsid w:val="001B107D"/>
    <w:rsid w:val="001B1108"/>
    <w:rsid w:val="001B1E95"/>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43DB"/>
    <w:rsid w:val="001D4965"/>
    <w:rsid w:val="001D4A5C"/>
    <w:rsid w:val="001D51A3"/>
    <w:rsid w:val="001D67AC"/>
    <w:rsid w:val="001D7012"/>
    <w:rsid w:val="001D7BD2"/>
    <w:rsid w:val="001E0C62"/>
    <w:rsid w:val="001E2A4D"/>
    <w:rsid w:val="001E53C2"/>
    <w:rsid w:val="001E57C1"/>
    <w:rsid w:val="001E6927"/>
    <w:rsid w:val="001E6FC5"/>
    <w:rsid w:val="001F0E9C"/>
    <w:rsid w:val="001F0EB8"/>
    <w:rsid w:val="001F1540"/>
    <w:rsid w:val="001F176D"/>
    <w:rsid w:val="001F2768"/>
    <w:rsid w:val="001F2DB2"/>
    <w:rsid w:val="001F2FF9"/>
    <w:rsid w:val="001F652C"/>
    <w:rsid w:val="001F67A1"/>
    <w:rsid w:val="001F7690"/>
    <w:rsid w:val="001F78D9"/>
    <w:rsid w:val="0020044B"/>
    <w:rsid w:val="00201349"/>
    <w:rsid w:val="00202DB8"/>
    <w:rsid w:val="00204265"/>
    <w:rsid w:val="00205F0B"/>
    <w:rsid w:val="002060B4"/>
    <w:rsid w:val="0020681A"/>
    <w:rsid w:val="00207736"/>
    <w:rsid w:val="00207CD6"/>
    <w:rsid w:val="00210A50"/>
    <w:rsid w:val="002122CB"/>
    <w:rsid w:val="00212460"/>
    <w:rsid w:val="002127CA"/>
    <w:rsid w:val="002127E0"/>
    <w:rsid w:val="00215D0D"/>
    <w:rsid w:val="00215E41"/>
    <w:rsid w:val="00217551"/>
    <w:rsid w:val="00217AEF"/>
    <w:rsid w:val="00217ED8"/>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6863"/>
    <w:rsid w:val="00236B3F"/>
    <w:rsid w:val="00237C1F"/>
    <w:rsid w:val="00237D0D"/>
    <w:rsid w:val="00241116"/>
    <w:rsid w:val="002417D7"/>
    <w:rsid w:val="00242711"/>
    <w:rsid w:val="002432D8"/>
    <w:rsid w:val="002433A4"/>
    <w:rsid w:val="002435DC"/>
    <w:rsid w:val="0024366B"/>
    <w:rsid w:val="00243EAA"/>
    <w:rsid w:val="00246501"/>
    <w:rsid w:val="00247B17"/>
    <w:rsid w:val="00250389"/>
    <w:rsid w:val="00251FF7"/>
    <w:rsid w:val="00252669"/>
    <w:rsid w:val="00254209"/>
    <w:rsid w:val="00254288"/>
    <w:rsid w:val="0025469C"/>
    <w:rsid w:val="0025667F"/>
    <w:rsid w:val="002579CE"/>
    <w:rsid w:val="00260FEC"/>
    <w:rsid w:val="002613A0"/>
    <w:rsid w:val="00261DD6"/>
    <w:rsid w:val="002657E2"/>
    <w:rsid w:val="00271D68"/>
    <w:rsid w:val="00271E0B"/>
    <w:rsid w:val="002727CC"/>
    <w:rsid w:val="00273679"/>
    <w:rsid w:val="00275CC4"/>
    <w:rsid w:val="002767EE"/>
    <w:rsid w:val="00277521"/>
    <w:rsid w:val="00281A35"/>
    <w:rsid w:val="00281AD9"/>
    <w:rsid w:val="00281DA5"/>
    <w:rsid w:val="00282956"/>
    <w:rsid w:val="00283568"/>
    <w:rsid w:val="00284486"/>
    <w:rsid w:val="00285118"/>
    <w:rsid w:val="00285644"/>
    <w:rsid w:val="0028581E"/>
    <w:rsid w:val="00287034"/>
    <w:rsid w:val="00287DB9"/>
    <w:rsid w:val="00291497"/>
    <w:rsid w:val="0029209D"/>
    <w:rsid w:val="00293491"/>
    <w:rsid w:val="002934DF"/>
    <w:rsid w:val="00294301"/>
    <w:rsid w:val="00295F53"/>
    <w:rsid w:val="00296AE5"/>
    <w:rsid w:val="00296D46"/>
    <w:rsid w:val="00297D7D"/>
    <w:rsid w:val="002A0FB8"/>
    <w:rsid w:val="002A19D4"/>
    <w:rsid w:val="002A1B97"/>
    <w:rsid w:val="002A1FC1"/>
    <w:rsid w:val="002A3A25"/>
    <w:rsid w:val="002A42EA"/>
    <w:rsid w:val="002A5191"/>
    <w:rsid w:val="002A57D2"/>
    <w:rsid w:val="002A6193"/>
    <w:rsid w:val="002A66CD"/>
    <w:rsid w:val="002A7BD4"/>
    <w:rsid w:val="002A7F32"/>
    <w:rsid w:val="002B1648"/>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C1A"/>
    <w:rsid w:val="002F0CE9"/>
    <w:rsid w:val="002F0FC5"/>
    <w:rsid w:val="002F3BD0"/>
    <w:rsid w:val="002F3DBF"/>
    <w:rsid w:val="002F58D8"/>
    <w:rsid w:val="002F5FCB"/>
    <w:rsid w:val="002F69C1"/>
    <w:rsid w:val="002F6F44"/>
    <w:rsid w:val="002F77DA"/>
    <w:rsid w:val="0030032A"/>
    <w:rsid w:val="00300A0B"/>
    <w:rsid w:val="003014A1"/>
    <w:rsid w:val="00301F46"/>
    <w:rsid w:val="003026E8"/>
    <w:rsid w:val="003037E1"/>
    <w:rsid w:val="00303CAD"/>
    <w:rsid w:val="00303CD6"/>
    <w:rsid w:val="00303E71"/>
    <w:rsid w:val="00304E7C"/>
    <w:rsid w:val="00306418"/>
    <w:rsid w:val="003074B3"/>
    <w:rsid w:val="003100F3"/>
    <w:rsid w:val="003107D9"/>
    <w:rsid w:val="00310C11"/>
    <w:rsid w:val="00310FA6"/>
    <w:rsid w:val="00311D8B"/>
    <w:rsid w:val="00312456"/>
    <w:rsid w:val="00315604"/>
    <w:rsid w:val="00315651"/>
    <w:rsid w:val="00316600"/>
    <w:rsid w:val="0031664C"/>
    <w:rsid w:val="00316EEE"/>
    <w:rsid w:val="003172EC"/>
    <w:rsid w:val="00320F16"/>
    <w:rsid w:val="0032170B"/>
    <w:rsid w:val="00321C43"/>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6353"/>
    <w:rsid w:val="00367F82"/>
    <w:rsid w:val="00370CB0"/>
    <w:rsid w:val="00372798"/>
    <w:rsid w:val="00372803"/>
    <w:rsid w:val="00373387"/>
    <w:rsid w:val="003749EC"/>
    <w:rsid w:val="003756AF"/>
    <w:rsid w:val="00375815"/>
    <w:rsid w:val="003758FD"/>
    <w:rsid w:val="00375E9B"/>
    <w:rsid w:val="00377383"/>
    <w:rsid w:val="003778BD"/>
    <w:rsid w:val="00380441"/>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7543"/>
    <w:rsid w:val="00397BC9"/>
    <w:rsid w:val="003A0927"/>
    <w:rsid w:val="003A0E17"/>
    <w:rsid w:val="003A0EBA"/>
    <w:rsid w:val="003A24F5"/>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52A2"/>
    <w:rsid w:val="003C5327"/>
    <w:rsid w:val="003C5C01"/>
    <w:rsid w:val="003C6934"/>
    <w:rsid w:val="003C798E"/>
    <w:rsid w:val="003C7FD0"/>
    <w:rsid w:val="003D0268"/>
    <w:rsid w:val="003D118A"/>
    <w:rsid w:val="003D1A43"/>
    <w:rsid w:val="003D1A64"/>
    <w:rsid w:val="003D1BFF"/>
    <w:rsid w:val="003D5FF4"/>
    <w:rsid w:val="003D624F"/>
    <w:rsid w:val="003D75E8"/>
    <w:rsid w:val="003D778F"/>
    <w:rsid w:val="003E1166"/>
    <w:rsid w:val="003E31E5"/>
    <w:rsid w:val="003E32ED"/>
    <w:rsid w:val="003E3A39"/>
    <w:rsid w:val="003E58C9"/>
    <w:rsid w:val="003E5AD4"/>
    <w:rsid w:val="003E61DD"/>
    <w:rsid w:val="003E655E"/>
    <w:rsid w:val="003E68B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48A"/>
    <w:rsid w:val="00460BA0"/>
    <w:rsid w:val="00463AE9"/>
    <w:rsid w:val="00463D81"/>
    <w:rsid w:val="004641EB"/>
    <w:rsid w:val="00465C75"/>
    <w:rsid w:val="00466346"/>
    <w:rsid w:val="00466604"/>
    <w:rsid w:val="004702B0"/>
    <w:rsid w:val="00472003"/>
    <w:rsid w:val="0047317B"/>
    <w:rsid w:val="004751D6"/>
    <w:rsid w:val="00475E6B"/>
    <w:rsid w:val="00476BA1"/>
    <w:rsid w:val="004777D3"/>
    <w:rsid w:val="00477DBA"/>
    <w:rsid w:val="00477E20"/>
    <w:rsid w:val="00480707"/>
    <w:rsid w:val="00480BB8"/>
    <w:rsid w:val="00481D51"/>
    <w:rsid w:val="00483482"/>
    <w:rsid w:val="00483936"/>
    <w:rsid w:val="00483AAE"/>
    <w:rsid w:val="0048519E"/>
    <w:rsid w:val="004851D5"/>
    <w:rsid w:val="00485C4A"/>
    <w:rsid w:val="00485E3E"/>
    <w:rsid w:val="00485EC7"/>
    <w:rsid w:val="004860BD"/>
    <w:rsid w:val="00487430"/>
    <w:rsid w:val="00490CC6"/>
    <w:rsid w:val="00492B02"/>
    <w:rsid w:val="00492B6A"/>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E1DCE"/>
    <w:rsid w:val="004E2126"/>
    <w:rsid w:val="004E345F"/>
    <w:rsid w:val="004E3BBA"/>
    <w:rsid w:val="004E401B"/>
    <w:rsid w:val="004E41C7"/>
    <w:rsid w:val="004E4274"/>
    <w:rsid w:val="004E59B8"/>
    <w:rsid w:val="004E5EAD"/>
    <w:rsid w:val="004E6A3B"/>
    <w:rsid w:val="004E7DB7"/>
    <w:rsid w:val="004F1A6A"/>
    <w:rsid w:val="004F2D88"/>
    <w:rsid w:val="004F3D21"/>
    <w:rsid w:val="004F583D"/>
    <w:rsid w:val="004F60EF"/>
    <w:rsid w:val="004F66B6"/>
    <w:rsid w:val="004F7B6E"/>
    <w:rsid w:val="005000AA"/>
    <w:rsid w:val="005034EE"/>
    <w:rsid w:val="00506429"/>
    <w:rsid w:val="00506E71"/>
    <w:rsid w:val="005070C3"/>
    <w:rsid w:val="00507A11"/>
    <w:rsid w:val="00507C00"/>
    <w:rsid w:val="0051276F"/>
    <w:rsid w:val="005130AC"/>
    <w:rsid w:val="005130CC"/>
    <w:rsid w:val="005178F8"/>
    <w:rsid w:val="00520212"/>
    <w:rsid w:val="005220BE"/>
    <w:rsid w:val="00522CC8"/>
    <w:rsid w:val="005244D0"/>
    <w:rsid w:val="005248FB"/>
    <w:rsid w:val="00526575"/>
    <w:rsid w:val="00531DFA"/>
    <w:rsid w:val="00532546"/>
    <w:rsid w:val="005334E8"/>
    <w:rsid w:val="00533B79"/>
    <w:rsid w:val="00533FD4"/>
    <w:rsid w:val="00534258"/>
    <w:rsid w:val="00534815"/>
    <w:rsid w:val="00536006"/>
    <w:rsid w:val="005411EA"/>
    <w:rsid w:val="00541AD6"/>
    <w:rsid w:val="00542B5F"/>
    <w:rsid w:val="00542D5F"/>
    <w:rsid w:val="005435DE"/>
    <w:rsid w:val="00543AD3"/>
    <w:rsid w:val="005441AD"/>
    <w:rsid w:val="00544916"/>
    <w:rsid w:val="00544C28"/>
    <w:rsid w:val="005452AA"/>
    <w:rsid w:val="0054589F"/>
    <w:rsid w:val="00546769"/>
    <w:rsid w:val="00546998"/>
    <w:rsid w:val="00546BAE"/>
    <w:rsid w:val="00546C4E"/>
    <w:rsid w:val="00547C2B"/>
    <w:rsid w:val="005502D2"/>
    <w:rsid w:val="005525C5"/>
    <w:rsid w:val="00552623"/>
    <w:rsid w:val="00552EBD"/>
    <w:rsid w:val="00553827"/>
    <w:rsid w:val="00553943"/>
    <w:rsid w:val="00553988"/>
    <w:rsid w:val="00554B85"/>
    <w:rsid w:val="00555F71"/>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655A"/>
    <w:rsid w:val="00586586"/>
    <w:rsid w:val="00586FA8"/>
    <w:rsid w:val="00587A4C"/>
    <w:rsid w:val="00587F23"/>
    <w:rsid w:val="0059068D"/>
    <w:rsid w:val="00591E3A"/>
    <w:rsid w:val="00592977"/>
    <w:rsid w:val="00593CB4"/>
    <w:rsid w:val="00593E68"/>
    <w:rsid w:val="00594652"/>
    <w:rsid w:val="005948CA"/>
    <w:rsid w:val="0059552A"/>
    <w:rsid w:val="00597B3C"/>
    <w:rsid w:val="005A0362"/>
    <w:rsid w:val="005A11E2"/>
    <w:rsid w:val="005A237B"/>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37A0"/>
    <w:rsid w:val="005C3851"/>
    <w:rsid w:val="005C4034"/>
    <w:rsid w:val="005C483A"/>
    <w:rsid w:val="005C5FED"/>
    <w:rsid w:val="005C651C"/>
    <w:rsid w:val="005C656A"/>
    <w:rsid w:val="005C7FA3"/>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750A"/>
    <w:rsid w:val="005F001D"/>
    <w:rsid w:val="005F03DB"/>
    <w:rsid w:val="005F2C8A"/>
    <w:rsid w:val="005F3B37"/>
    <w:rsid w:val="005F48F1"/>
    <w:rsid w:val="005F605D"/>
    <w:rsid w:val="005F71AB"/>
    <w:rsid w:val="005F761F"/>
    <w:rsid w:val="0060008D"/>
    <w:rsid w:val="0060077A"/>
    <w:rsid w:val="00601011"/>
    <w:rsid w:val="00601E59"/>
    <w:rsid w:val="006034C1"/>
    <w:rsid w:val="00603A46"/>
    <w:rsid w:val="00606194"/>
    <w:rsid w:val="0061115C"/>
    <w:rsid w:val="00611550"/>
    <w:rsid w:val="00611A49"/>
    <w:rsid w:val="00613017"/>
    <w:rsid w:val="00613A54"/>
    <w:rsid w:val="00614EBF"/>
    <w:rsid w:val="00615C0E"/>
    <w:rsid w:val="00616189"/>
    <w:rsid w:val="006170EF"/>
    <w:rsid w:val="006172A0"/>
    <w:rsid w:val="006174B6"/>
    <w:rsid w:val="00617E7B"/>
    <w:rsid w:val="0062078C"/>
    <w:rsid w:val="00620868"/>
    <w:rsid w:val="00620E8F"/>
    <w:rsid w:val="00621760"/>
    <w:rsid w:val="006217BB"/>
    <w:rsid w:val="00623CC7"/>
    <w:rsid w:val="0062404F"/>
    <w:rsid w:val="00624AAD"/>
    <w:rsid w:val="00625BD5"/>
    <w:rsid w:val="00625DFB"/>
    <w:rsid w:val="006277B7"/>
    <w:rsid w:val="00627A01"/>
    <w:rsid w:val="00630438"/>
    <w:rsid w:val="00632139"/>
    <w:rsid w:val="006325E4"/>
    <w:rsid w:val="006342A2"/>
    <w:rsid w:val="00634D1A"/>
    <w:rsid w:val="00637179"/>
    <w:rsid w:val="00637D3A"/>
    <w:rsid w:val="006407AA"/>
    <w:rsid w:val="00640BD8"/>
    <w:rsid w:val="00640EF8"/>
    <w:rsid w:val="00641804"/>
    <w:rsid w:val="006418ED"/>
    <w:rsid w:val="00642A9E"/>
    <w:rsid w:val="00642B13"/>
    <w:rsid w:val="006431FF"/>
    <w:rsid w:val="00643390"/>
    <w:rsid w:val="0064345F"/>
    <w:rsid w:val="00643C2B"/>
    <w:rsid w:val="00645F7D"/>
    <w:rsid w:val="00646100"/>
    <w:rsid w:val="006476CA"/>
    <w:rsid w:val="006544EC"/>
    <w:rsid w:val="006552AE"/>
    <w:rsid w:val="00655773"/>
    <w:rsid w:val="00656364"/>
    <w:rsid w:val="006563CA"/>
    <w:rsid w:val="006578FC"/>
    <w:rsid w:val="00657AAB"/>
    <w:rsid w:val="006608AB"/>
    <w:rsid w:val="0066143F"/>
    <w:rsid w:val="006620DA"/>
    <w:rsid w:val="00662C42"/>
    <w:rsid w:val="0066370E"/>
    <w:rsid w:val="00664587"/>
    <w:rsid w:val="00666F25"/>
    <w:rsid w:val="00667C1C"/>
    <w:rsid w:val="0067001F"/>
    <w:rsid w:val="00670A43"/>
    <w:rsid w:val="006725FC"/>
    <w:rsid w:val="0067273A"/>
    <w:rsid w:val="00673510"/>
    <w:rsid w:val="00673A41"/>
    <w:rsid w:val="00673B95"/>
    <w:rsid w:val="00673DD4"/>
    <w:rsid w:val="00674AEB"/>
    <w:rsid w:val="0067655A"/>
    <w:rsid w:val="0067785F"/>
    <w:rsid w:val="006811F2"/>
    <w:rsid w:val="006828D8"/>
    <w:rsid w:val="00682AD1"/>
    <w:rsid w:val="0068455C"/>
    <w:rsid w:val="00684887"/>
    <w:rsid w:val="006850CE"/>
    <w:rsid w:val="006867FA"/>
    <w:rsid w:val="00687C4D"/>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B0298"/>
    <w:rsid w:val="006B0E83"/>
    <w:rsid w:val="006B2A0C"/>
    <w:rsid w:val="006B490F"/>
    <w:rsid w:val="006B49BC"/>
    <w:rsid w:val="006B4CDA"/>
    <w:rsid w:val="006B5493"/>
    <w:rsid w:val="006B72E4"/>
    <w:rsid w:val="006B7584"/>
    <w:rsid w:val="006B77E2"/>
    <w:rsid w:val="006C10C0"/>
    <w:rsid w:val="006C1136"/>
    <w:rsid w:val="006C1B1D"/>
    <w:rsid w:val="006C32BB"/>
    <w:rsid w:val="006C3747"/>
    <w:rsid w:val="006C41A8"/>
    <w:rsid w:val="006C7015"/>
    <w:rsid w:val="006C7760"/>
    <w:rsid w:val="006C7776"/>
    <w:rsid w:val="006C79C0"/>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4723"/>
    <w:rsid w:val="006E477D"/>
    <w:rsid w:val="006E695D"/>
    <w:rsid w:val="006E716F"/>
    <w:rsid w:val="006E7D89"/>
    <w:rsid w:val="006E7DA9"/>
    <w:rsid w:val="006E7DEE"/>
    <w:rsid w:val="006F01E7"/>
    <w:rsid w:val="006F13AA"/>
    <w:rsid w:val="006F1F3A"/>
    <w:rsid w:val="006F20CD"/>
    <w:rsid w:val="006F3C5E"/>
    <w:rsid w:val="006F4640"/>
    <w:rsid w:val="006F70DE"/>
    <w:rsid w:val="006F785E"/>
    <w:rsid w:val="006F7EB8"/>
    <w:rsid w:val="007003A9"/>
    <w:rsid w:val="0070094A"/>
    <w:rsid w:val="00700AA4"/>
    <w:rsid w:val="00702DD7"/>
    <w:rsid w:val="007047D3"/>
    <w:rsid w:val="00705663"/>
    <w:rsid w:val="00705C40"/>
    <w:rsid w:val="007102EC"/>
    <w:rsid w:val="00710757"/>
    <w:rsid w:val="0071087E"/>
    <w:rsid w:val="00714066"/>
    <w:rsid w:val="007147C2"/>
    <w:rsid w:val="00716894"/>
    <w:rsid w:val="007169A8"/>
    <w:rsid w:val="00717A74"/>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E5B"/>
    <w:rsid w:val="00736FF2"/>
    <w:rsid w:val="00736FF9"/>
    <w:rsid w:val="007372A8"/>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2298"/>
    <w:rsid w:val="00793090"/>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5DF"/>
    <w:rsid w:val="007B0CD9"/>
    <w:rsid w:val="007B0E33"/>
    <w:rsid w:val="007B0E89"/>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D1E16"/>
    <w:rsid w:val="007D2F75"/>
    <w:rsid w:val="007D3839"/>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EF1"/>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10F06"/>
    <w:rsid w:val="008115EE"/>
    <w:rsid w:val="0081283F"/>
    <w:rsid w:val="00812C0C"/>
    <w:rsid w:val="00813194"/>
    <w:rsid w:val="00813257"/>
    <w:rsid w:val="0081347B"/>
    <w:rsid w:val="008139F1"/>
    <w:rsid w:val="00814079"/>
    <w:rsid w:val="0081480A"/>
    <w:rsid w:val="008169C5"/>
    <w:rsid w:val="00817774"/>
    <w:rsid w:val="008202EB"/>
    <w:rsid w:val="008205C0"/>
    <w:rsid w:val="00820F86"/>
    <w:rsid w:val="008233F6"/>
    <w:rsid w:val="008242C5"/>
    <w:rsid w:val="00824600"/>
    <w:rsid w:val="0082664E"/>
    <w:rsid w:val="00827F88"/>
    <w:rsid w:val="008315CE"/>
    <w:rsid w:val="008336A5"/>
    <w:rsid w:val="00833DE9"/>
    <w:rsid w:val="00835474"/>
    <w:rsid w:val="00836DF1"/>
    <w:rsid w:val="008373C0"/>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6919"/>
    <w:rsid w:val="00857E1C"/>
    <w:rsid w:val="00857FF2"/>
    <w:rsid w:val="00860941"/>
    <w:rsid w:val="00860B59"/>
    <w:rsid w:val="0086155C"/>
    <w:rsid w:val="00861AD3"/>
    <w:rsid w:val="00862771"/>
    <w:rsid w:val="008633B1"/>
    <w:rsid w:val="00863A1C"/>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2ED2"/>
    <w:rsid w:val="008935AA"/>
    <w:rsid w:val="0089384F"/>
    <w:rsid w:val="00894E66"/>
    <w:rsid w:val="008951CA"/>
    <w:rsid w:val="008963F0"/>
    <w:rsid w:val="00897444"/>
    <w:rsid w:val="008978CF"/>
    <w:rsid w:val="008A03A5"/>
    <w:rsid w:val="008A0DF3"/>
    <w:rsid w:val="008A12E2"/>
    <w:rsid w:val="008A1919"/>
    <w:rsid w:val="008A1B76"/>
    <w:rsid w:val="008A282C"/>
    <w:rsid w:val="008A3765"/>
    <w:rsid w:val="008A4138"/>
    <w:rsid w:val="008A44D6"/>
    <w:rsid w:val="008A4DB1"/>
    <w:rsid w:val="008A5D96"/>
    <w:rsid w:val="008A6E96"/>
    <w:rsid w:val="008A7BB5"/>
    <w:rsid w:val="008B0922"/>
    <w:rsid w:val="008B1DF8"/>
    <w:rsid w:val="008B2357"/>
    <w:rsid w:val="008B4826"/>
    <w:rsid w:val="008B5AB3"/>
    <w:rsid w:val="008B5CCB"/>
    <w:rsid w:val="008B666C"/>
    <w:rsid w:val="008B6765"/>
    <w:rsid w:val="008B6848"/>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C6E"/>
    <w:rsid w:val="008D7E0D"/>
    <w:rsid w:val="008D7EDB"/>
    <w:rsid w:val="008E019E"/>
    <w:rsid w:val="008E0927"/>
    <w:rsid w:val="008E1829"/>
    <w:rsid w:val="008E1A61"/>
    <w:rsid w:val="008E2327"/>
    <w:rsid w:val="008E2D66"/>
    <w:rsid w:val="008E35D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6C2"/>
    <w:rsid w:val="008F5209"/>
    <w:rsid w:val="008F6F29"/>
    <w:rsid w:val="008F7068"/>
    <w:rsid w:val="009021B9"/>
    <w:rsid w:val="00902912"/>
    <w:rsid w:val="00902D00"/>
    <w:rsid w:val="0090360E"/>
    <w:rsid w:val="00903D37"/>
    <w:rsid w:val="00906F91"/>
    <w:rsid w:val="009079D1"/>
    <w:rsid w:val="0091055D"/>
    <w:rsid w:val="00911958"/>
    <w:rsid w:val="00912F1D"/>
    <w:rsid w:val="009141C6"/>
    <w:rsid w:val="0091468B"/>
    <w:rsid w:val="00914C61"/>
    <w:rsid w:val="00916923"/>
    <w:rsid w:val="00917B3F"/>
    <w:rsid w:val="00917D6F"/>
    <w:rsid w:val="0092007F"/>
    <w:rsid w:val="0092073B"/>
    <w:rsid w:val="00920E85"/>
    <w:rsid w:val="00921B1A"/>
    <w:rsid w:val="00921B7F"/>
    <w:rsid w:val="00921DDA"/>
    <w:rsid w:val="00921EBC"/>
    <w:rsid w:val="00922DE1"/>
    <w:rsid w:val="00923A73"/>
    <w:rsid w:val="00925941"/>
    <w:rsid w:val="0092600D"/>
    <w:rsid w:val="009264D6"/>
    <w:rsid w:val="009276AD"/>
    <w:rsid w:val="00930345"/>
    <w:rsid w:val="0093039D"/>
    <w:rsid w:val="00931E4F"/>
    <w:rsid w:val="0093364D"/>
    <w:rsid w:val="009337E6"/>
    <w:rsid w:val="009340E4"/>
    <w:rsid w:val="0093429F"/>
    <w:rsid w:val="009347EC"/>
    <w:rsid w:val="00935ED9"/>
    <w:rsid w:val="00936574"/>
    <w:rsid w:val="00937EC5"/>
    <w:rsid w:val="00937EE1"/>
    <w:rsid w:val="00943BCE"/>
    <w:rsid w:val="0094447F"/>
    <w:rsid w:val="00945DBE"/>
    <w:rsid w:val="009508A0"/>
    <w:rsid w:val="00953EDC"/>
    <w:rsid w:val="00953FF0"/>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3E6"/>
    <w:rsid w:val="009A347A"/>
    <w:rsid w:val="009A3F45"/>
    <w:rsid w:val="009A54B4"/>
    <w:rsid w:val="009A620E"/>
    <w:rsid w:val="009A6606"/>
    <w:rsid w:val="009A6658"/>
    <w:rsid w:val="009B33A1"/>
    <w:rsid w:val="009B3DF9"/>
    <w:rsid w:val="009B610E"/>
    <w:rsid w:val="009B6452"/>
    <w:rsid w:val="009B6A6F"/>
    <w:rsid w:val="009C031C"/>
    <w:rsid w:val="009C0CAA"/>
    <w:rsid w:val="009C1AFE"/>
    <w:rsid w:val="009C295D"/>
    <w:rsid w:val="009C3E33"/>
    <w:rsid w:val="009C5F24"/>
    <w:rsid w:val="009D00D2"/>
    <w:rsid w:val="009D047D"/>
    <w:rsid w:val="009D048B"/>
    <w:rsid w:val="009D1B5D"/>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70E7"/>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7F30"/>
    <w:rsid w:val="00A07F71"/>
    <w:rsid w:val="00A10699"/>
    <w:rsid w:val="00A11CAD"/>
    <w:rsid w:val="00A1620D"/>
    <w:rsid w:val="00A16AC0"/>
    <w:rsid w:val="00A16DC1"/>
    <w:rsid w:val="00A2035C"/>
    <w:rsid w:val="00A2054B"/>
    <w:rsid w:val="00A228D6"/>
    <w:rsid w:val="00A23D31"/>
    <w:rsid w:val="00A24C9B"/>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BE2"/>
    <w:rsid w:val="00A37891"/>
    <w:rsid w:val="00A37A88"/>
    <w:rsid w:val="00A40503"/>
    <w:rsid w:val="00A40A51"/>
    <w:rsid w:val="00A415BA"/>
    <w:rsid w:val="00A43816"/>
    <w:rsid w:val="00A43CD2"/>
    <w:rsid w:val="00A4594F"/>
    <w:rsid w:val="00A47054"/>
    <w:rsid w:val="00A47916"/>
    <w:rsid w:val="00A47B0A"/>
    <w:rsid w:val="00A5088B"/>
    <w:rsid w:val="00A536DA"/>
    <w:rsid w:val="00A53E11"/>
    <w:rsid w:val="00A5406C"/>
    <w:rsid w:val="00A54720"/>
    <w:rsid w:val="00A54801"/>
    <w:rsid w:val="00A55271"/>
    <w:rsid w:val="00A5596D"/>
    <w:rsid w:val="00A56F39"/>
    <w:rsid w:val="00A56F90"/>
    <w:rsid w:val="00A571CD"/>
    <w:rsid w:val="00A57C3D"/>
    <w:rsid w:val="00A60A2E"/>
    <w:rsid w:val="00A64F18"/>
    <w:rsid w:val="00A66808"/>
    <w:rsid w:val="00A6697B"/>
    <w:rsid w:val="00A67022"/>
    <w:rsid w:val="00A67F68"/>
    <w:rsid w:val="00A719AA"/>
    <w:rsid w:val="00A73DE3"/>
    <w:rsid w:val="00A74C2D"/>
    <w:rsid w:val="00A74D33"/>
    <w:rsid w:val="00A7564A"/>
    <w:rsid w:val="00A76B34"/>
    <w:rsid w:val="00A8015B"/>
    <w:rsid w:val="00A83487"/>
    <w:rsid w:val="00A84A8E"/>
    <w:rsid w:val="00A852AC"/>
    <w:rsid w:val="00A854FF"/>
    <w:rsid w:val="00A86DF4"/>
    <w:rsid w:val="00A86E30"/>
    <w:rsid w:val="00A87035"/>
    <w:rsid w:val="00A8745D"/>
    <w:rsid w:val="00A90573"/>
    <w:rsid w:val="00A908DA"/>
    <w:rsid w:val="00A90F9B"/>
    <w:rsid w:val="00A918FA"/>
    <w:rsid w:val="00A92694"/>
    <w:rsid w:val="00A93072"/>
    <w:rsid w:val="00A9629C"/>
    <w:rsid w:val="00A96514"/>
    <w:rsid w:val="00A966F6"/>
    <w:rsid w:val="00A96E80"/>
    <w:rsid w:val="00A97448"/>
    <w:rsid w:val="00AA2289"/>
    <w:rsid w:val="00AA2AFF"/>
    <w:rsid w:val="00AA2E00"/>
    <w:rsid w:val="00AA35D5"/>
    <w:rsid w:val="00AA417B"/>
    <w:rsid w:val="00AA533F"/>
    <w:rsid w:val="00AA5A86"/>
    <w:rsid w:val="00AA6CCD"/>
    <w:rsid w:val="00AA7F48"/>
    <w:rsid w:val="00AB0073"/>
    <w:rsid w:val="00AB010D"/>
    <w:rsid w:val="00AB0749"/>
    <w:rsid w:val="00AB273B"/>
    <w:rsid w:val="00AB51B1"/>
    <w:rsid w:val="00AB5239"/>
    <w:rsid w:val="00AB61AD"/>
    <w:rsid w:val="00AB75E2"/>
    <w:rsid w:val="00AB76D8"/>
    <w:rsid w:val="00AB76F6"/>
    <w:rsid w:val="00AB7A1A"/>
    <w:rsid w:val="00AB7ABB"/>
    <w:rsid w:val="00AB7E6A"/>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E0B4B"/>
    <w:rsid w:val="00AE0CDB"/>
    <w:rsid w:val="00AE3BE3"/>
    <w:rsid w:val="00AE47BF"/>
    <w:rsid w:val="00AE489D"/>
    <w:rsid w:val="00AE4BD1"/>
    <w:rsid w:val="00AE552E"/>
    <w:rsid w:val="00AF08DA"/>
    <w:rsid w:val="00AF0A77"/>
    <w:rsid w:val="00AF19F2"/>
    <w:rsid w:val="00AF28C8"/>
    <w:rsid w:val="00AF3B03"/>
    <w:rsid w:val="00AF4C29"/>
    <w:rsid w:val="00AF51A8"/>
    <w:rsid w:val="00AF6432"/>
    <w:rsid w:val="00AF6D3D"/>
    <w:rsid w:val="00AF6DED"/>
    <w:rsid w:val="00AF7502"/>
    <w:rsid w:val="00AF79BD"/>
    <w:rsid w:val="00AF7DB8"/>
    <w:rsid w:val="00B007F7"/>
    <w:rsid w:val="00B01191"/>
    <w:rsid w:val="00B01BB6"/>
    <w:rsid w:val="00B04CD6"/>
    <w:rsid w:val="00B06882"/>
    <w:rsid w:val="00B077ED"/>
    <w:rsid w:val="00B07F12"/>
    <w:rsid w:val="00B07FE3"/>
    <w:rsid w:val="00B103D7"/>
    <w:rsid w:val="00B10BAE"/>
    <w:rsid w:val="00B116CC"/>
    <w:rsid w:val="00B1369F"/>
    <w:rsid w:val="00B14154"/>
    <w:rsid w:val="00B1415B"/>
    <w:rsid w:val="00B15278"/>
    <w:rsid w:val="00B16975"/>
    <w:rsid w:val="00B200CA"/>
    <w:rsid w:val="00B222A2"/>
    <w:rsid w:val="00B234EC"/>
    <w:rsid w:val="00B235FB"/>
    <w:rsid w:val="00B2564D"/>
    <w:rsid w:val="00B274AE"/>
    <w:rsid w:val="00B274BF"/>
    <w:rsid w:val="00B27BE1"/>
    <w:rsid w:val="00B31222"/>
    <w:rsid w:val="00B318C9"/>
    <w:rsid w:val="00B31FDB"/>
    <w:rsid w:val="00B330C9"/>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68D8"/>
    <w:rsid w:val="00B56F24"/>
    <w:rsid w:val="00B577A3"/>
    <w:rsid w:val="00B5785F"/>
    <w:rsid w:val="00B60C10"/>
    <w:rsid w:val="00B6144B"/>
    <w:rsid w:val="00B6170F"/>
    <w:rsid w:val="00B643AF"/>
    <w:rsid w:val="00B64641"/>
    <w:rsid w:val="00B647DE"/>
    <w:rsid w:val="00B65BC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1099"/>
    <w:rsid w:val="00BA10DC"/>
    <w:rsid w:val="00BA1586"/>
    <w:rsid w:val="00BA1732"/>
    <w:rsid w:val="00BA4CE5"/>
    <w:rsid w:val="00BA688A"/>
    <w:rsid w:val="00BB18B8"/>
    <w:rsid w:val="00BB1B3C"/>
    <w:rsid w:val="00BB375D"/>
    <w:rsid w:val="00BB391B"/>
    <w:rsid w:val="00BB3D85"/>
    <w:rsid w:val="00BB49A0"/>
    <w:rsid w:val="00BB515F"/>
    <w:rsid w:val="00BB532B"/>
    <w:rsid w:val="00BB545D"/>
    <w:rsid w:val="00BC0924"/>
    <w:rsid w:val="00BC1FA5"/>
    <w:rsid w:val="00BC2592"/>
    <w:rsid w:val="00BC2C0C"/>
    <w:rsid w:val="00BC4DAC"/>
    <w:rsid w:val="00BC732A"/>
    <w:rsid w:val="00BC758B"/>
    <w:rsid w:val="00BD2EAC"/>
    <w:rsid w:val="00BD4059"/>
    <w:rsid w:val="00BD455F"/>
    <w:rsid w:val="00BD4617"/>
    <w:rsid w:val="00BD4BB3"/>
    <w:rsid w:val="00BD782A"/>
    <w:rsid w:val="00BD798E"/>
    <w:rsid w:val="00BE17C6"/>
    <w:rsid w:val="00BE2BD3"/>
    <w:rsid w:val="00BE4843"/>
    <w:rsid w:val="00BE4865"/>
    <w:rsid w:val="00BE5595"/>
    <w:rsid w:val="00BE5735"/>
    <w:rsid w:val="00BE69BF"/>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76CE"/>
    <w:rsid w:val="00C10FCF"/>
    <w:rsid w:val="00C12810"/>
    <w:rsid w:val="00C145CF"/>
    <w:rsid w:val="00C14B76"/>
    <w:rsid w:val="00C14EE1"/>
    <w:rsid w:val="00C15903"/>
    <w:rsid w:val="00C16B4B"/>
    <w:rsid w:val="00C16D1C"/>
    <w:rsid w:val="00C16E51"/>
    <w:rsid w:val="00C17427"/>
    <w:rsid w:val="00C20A16"/>
    <w:rsid w:val="00C20C00"/>
    <w:rsid w:val="00C210FD"/>
    <w:rsid w:val="00C22183"/>
    <w:rsid w:val="00C22901"/>
    <w:rsid w:val="00C25238"/>
    <w:rsid w:val="00C2734F"/>
    <w:rsid w:val="00C305F2"/>
    <w:rsid w:val="00C31AF4"/>
    <w:rsid w:val="00C32A89"/>
    <w:rsid w:val="00C3345C"/>
    <w:rsid w:val="00C3426A"/>
    <w:rsid w:val="00C36BB3"/>
    <w:rsid w:val="00C40653"/>
    <w:rsid w:val="00C407E5"/>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09C"/>
    <w:rsid w:val="00C55151"/>
    <w:rsid w:val="00C5575D"/>
    <w:rsid w:val="00C558FF"/>
    <w:rsid w:val="00C560FA"/>
    <w:rsid w:val="00C56772"/>
    <w:rsid w:val="00C57C74"/>
    <w:rsid w:val="00C57FF9"/>
    <w:rsid w:val="00C60B87"/>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72A0"/>
    <w:rsid w:val="00C80751"/>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C27"/>
    <w:rsid w:val="00C939E8"/>
    <w:rsid w:val="00C93F1B"/>
    <w:rsid w:val="00C94EF0"/>
    <w:rsid w:val="00C95093"/>
    <w:rsid w:val="00C95AB0"/>
    <w:rsid w:val="00C96DFE"/>
    <w:rsid w:val="00C976D1"/>
    <w:rsid w:val="00C97851"/>
    <w:rsid w:val="00CA123D"/>
    <w:rsid w:val="00CA2DFC"/>
    <w:rsid w:val="00CA308F"/>
    <w:rsid w:val="00CA6F0D"/>
    <w:rsid w:val="00CA71D4"/>
    <w:rsid w:val="00CA7CCC"/>
    <w:rsid w:val="00CA7D7D"/>
    <w:rsid w:val="00CB1A0D"/>
    <w:rsid w:val="00CB5D29"/>
    <w:rsid w:val="00CB675A"/>
    <w:rsid w:val="00CB6EC8"/>
    <w:rsid w:val="00CB782B"/>
    <w:rsid w:val="00CC082B"/>
    <w:rsid w:val="00CC0E77"/>
    <w:rsid w:val="00CC2092"/>
    <w:rsid w:val="00CC285C"/>
    <w:rsid w:val="00CC34C5"/>
    <w:rsid w:val="00CC4C0B"/>
    <w:rsid w:val="00CC5595"/>
    <w:rsid w:val="00CC5E76"/>
    <w:rsid w:val="00CC69E7"/>
    <w:rsid w:val="00CC6C08"/>
    <w:rsid w:val="00CD049D"/>
    <w:rsid w:val="00CD1770"/>
    <w:rsid w:val="00CD3A5D"/>
    <w:rsid w:val="00CD51ED"/>
    <w:rsid w:val="00CD5FD4"/>
    <w:rsid w:val="00CD6A36"/>
    <w:rsid w:val="00CE0A60"/>
    <w:rsid w:val="00CE0DCE"/>
    <w:rsid w:val="00CE1BC9"/>
    <w:rsid w:val="00CE321D"/>
    <w:rsid w:val="00CE33C1"/>
    <w:rsid w:val="00CE4DD6"/>
    <w:rsid w:val="00CE597A"/>
    <w:rsid w:val="00CE6763"/>
    <w:rsid w:val="00CE76FF"/>
    <w:rsid w:val="00CF1CF7"/>
    <w:rsid w:val="00CF2954"/>
    <w:rsid w:val="00CF3BFD"/>
    <w:rsid w:val="00CF3C35"/>
    <w:rsid w:val="00CF4012"/>
    <w:rsid w:val="00CF43D5"/>
    <w:rsid w:val="00CF474E"/>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64E"/>
    <w:rsid w:val="00D36EF4"/>
    <w:rsid w:val="00D371D0"/>
    <w:rsid w:val="00D4062A"/>
    <w:rsid w:val="00D407D3"/>
    <w:rsid w:val="00D40BC3"/>
    <w:rsid w:val="00D41A35"/>
    <w:rsid w:val="00D42F2E"/>
    <w:rsid w:val="00D434EC"/>
    <w:rsid w:val="00D43E69"/>
    <w:rsid w:val="00D44E9D"/>
    <w:rsid w:val="00D454A6"/>
    <w:rsid w:val="00D466D0"/>
    <w:rsid w:val="00D472A7"/>
    <w:rsid w:val="00D51515"/>
    <w:rsid w:val="00D538C7"/>
    <w:rsid w:val="00D54BD5"/>
    <w:rsid w:val="00D575F0"/>
    <w:rsid w:val="00D575F1"/>
    <w:rsid w:val="00D603BA"/>
    <w:rsid w:val="00D60578"/>
    <w:rsid w:val="00D61A0E"/>
    <w:rsid w:val="00D62B63"/>
    <w:rsid w:val="00D634BD"/>
    <w:rsid w:val="00D63FD4"/>
    <w:rsid w:val="00D71685"/>
    <w:rsid w:val="00D71CF9"/>
    <w:rsid w:val="00D72264"/>
    <w:rsid w:val="00D731A8"/>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839"/>
    <w:rsid w:val="00DA12C3"/>
    <w:rsid w:val="00DA22B5"/>
    <w:rsid w:val="00DA267B"/>
    <w:rsid w:val="00DA495D"/>
    <w:rsid w:val="00DA4F15"/>
    <w:rsid w:val="00DA5DCA"/>
    <w:rsid w:val="00DA7095"/>
    <w:rsid w:val="00DA70B4"/>
    <w:rsid w:val="00DA7BA0"/>
    <w:rsid w:val="00DB2180"/>
    <w:rsid w:val="00DB42F5"/>
    <w:rsid w:val="00DB469A"/>
    <w:rsid w:val="00DB4B8A"/>
    <w:rsid w:val="00DB52C3"/>
    <w:rsid w:val="00DB5454"/>
    <w:rsid w:val="00DB5DA3"/>
    <w:rsid w:val="00DB7E5F"/>
    <w:rsid w:val="00DC10B0"/>
    <w:rsid w:val="00DC1246"/>
    <w:rsid w:val="00DC1594"/>
    <w:rsid w:val="00DC2884"/>
    <w:rsid w:val="00DC4770"/>
    <w:rsid w:val="00DC4BCD"/>
    <w:rsid w:val="00DC6770"/>
    <w:rsid w:val="00DC68D6"/>
    <w:rsid w:val="00DC770A"/>
    <w:rsid w:val="00DC7ECE"/>
    <w:rsid w:val="00DD086D"/>
    <w:rsid w:val="00DD0FEA"/>
    <w:rsid w:val="00DD1107"/>
    <w:rsid w:val="00DD178F"/>
    <w:rsid w:val="00DD1A82"/>
    <w:rsid w:val="00DD1FE4"/>
    <w:rsid w:val="00DD2332"/>
    <w:rsid w:val="00DD30C6"/>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54E4"/>
    <w:rsid w:val="00DF6537"/>
    <w:rsid w:val="00DF6A00"/>
    <w:rsid w:val="00DF72D9"/>
    <w:rsid w:val="00DF7C06"/>
    <w:rsid w:val="00DF7DF3"/>
    <w:rsid w:val="00DF7EC8"/>
    <w:rsid w:val="00E00EC3"/>
    <w:rsid w:val="00E028ED"/>
    <w:rsid w:val="00E02A5D"/>
    <w:rsid w:val="00E0499F"/>
    <w:rsid w:val="00E0682E"/>
    <w:rsid w:val="00E104F6"/>
    <w:rsid w:val="00E10748"/>
    <w:rsid w:val="00E109BD"/>
    <w:rsid w:val="00E11282"/>
    <w:rsid w:val="00E123CC"/>
    <w:rsid w:val="00E12ED3"/>
    <w:rsid w:val="00E12F57"/>
    <w:rsid w:val="00E14282"/>
    <w:rsid w:val="00E155D8"/>
    <w:rsid w:val="00E156F2"/>
    <w:rsid w:val="00E17436"/>
    <w:rsid w:val="00E17728"/>
    <w:rsid w:val="00E17FA7"/>
    <w:rsid w:val="00E2250E"/>
    <w:rsid w:val="00E22FE4"/>
    <w:rsid w:val="00E24BF5"/>
    <w:rsid w:val="00E25494"/>
    <w:rsid w:val="00E256C4"/>
    <w:rsid w:val="00E25982"/>
    <w:rsid w:val="00E2674B"/>
    <w:rsid w:val="00E272DC"/>
    <w:rsid w:val="00E27DDF"/>
    <w:rsid w:val="00E27E01"/>
    <w:rsid w:val="00E30469"/>
    <w:rsid w:val="00E30A90"/>
    <w:rsid w:val="00E32DBA"/>
    <w:rsid w:val="00E34B25"/>
    <w:rsid w:val="00E3553C"/>
    <w:rsid w:val="00E35655"/>
    <w:rsid w:val="00E40B85"/>
    <w:rsid w:val="00E4236F"/>
    <w:rsid w:val="00E433BE"/>
    <w:rsid w:val="00E43469"/>
    <w:rsid w:val="00E4369C"/>
    <w:rsid w:val="00E43A0F"/>
    <w:rsid w:val="00E445DA"/>
    <w:rsid w:val="00E45379"/>
    <w:rsid w:val="00E465CB"/>
    <w:rsid w:val="00E47C0D"/>
    <w:rsid w:val="00E47D4C"/>
    <w:rsid w:val="00E50B22"/>
    <w:rsid w:val="00E51E18"/>
    <w:rsid w:val="00E5287B"/>
    <w:rsid w:val="00E52F9B"/>
    <w:rsid w:val="00E533BD"/>
    <w:rsid w:val="00E53706"/>
    <w:rsid w:val="00E56FE1"/>
    <w:rsid w:val="00E57CE2"/>
    <w:rsid w:val="00E60E5A"/>
    <w:rsid w:val="00E617BD"/>
    <w:rsid w:val="00E61CA8"/>
    <w:rsid w:val="00E61E05"/>
    <w:rsid w:val="00E64BD9"/>
    <w:rsid w:val="00E6519C"/>
    <w:rsid w:val="00E660AA"/>
    <w:rsid w:val="00E661F3"/>
    <w:rsid w:val="00E67E50"/>
    <w:rsid w:val="00E705B4"/>
    <w:rsid w:val="00E71C8B"/>
    <w:rsid w:val="00E7233D"/>
    <w:rsid w:val="00E72967"/>
    <w:rsid w:val="00E75472"/>
    <w:rsid w:val="00E77E5E"/>
    <w:rsid w:val="00E8155D"/>
    <w:rsid w:val="00E82615"/>
    <w:rsid w:val="00E84132"/>
    <w:rsid w:val="00E84A66"/>
    <w:rsid w:val="00E84AD7"/>
    <w:rsid w:val="00E85CC0"/>
    <w:rsid w:val="00E861B4"/>
    <w:rsid w:val="00E905B8"/>
    <w:rsid w:val="00E90627"/>
    <w:rsid w:val="00E9193D"/>
    <w:rsid w:val="00E958AD"/>
    <w:rsid w:val="00E96E1A"/>
    <w:rsid w:val="00EA0E04"/>
    <w:rsid w:val="00EA1A98"/>
    <w:rsid w:val="00EA200D"/>
    <w:rsid w:val="00EA220D"/>
    <w:rsid w:val="00EA3156"/>
    <w:rsid w:val="00EA34A1"/>
    <w:rsid w:val="00EA40A2"/>
    <w:rsid w:val="00EA4CD5"/>
    <w:rsid w:val="00EA5D2C"/>
    <w:rsid w:val="00EA5D8E"/>
    <w:rsid w:val="00EA7E07"/>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0D7"/>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BFB"/>
    <w:rsid w:val="00EE2EEA"/>
    <w:rsid w:val="00EE5F2E"/>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608F"/>
    <w:rsid w:val="00F1684C"/>
    <w:rsid w:val="00F16DC0"/>
    <w:rsid w:val="00F20633"/>
    <w:rsid w:val="00F21A93"/>
    <w:rsid w:val="00F21DD6"/>
    <w:rsid w:val="00F225C9"/>
    <w:rsid w:val="00F24372"/>
    <w:rsid w:val="00F249E5"/>
    <w:rsid w:val="00F24CE9"/>
    <w:rsid w:val="00F251E7"/>
    <w:rsid w:val="00F25CFE"/>
    <w:rsid w:val="00F26CC2"/>
    <w:rsid w:val="00F302FE"/>
    <w:rsid w:val="00F31CC8"/>
    <w:rsid w:val="00F321B1"/>
    <w:rsid w:val="00F33758"/>
    <w:rsid w:val="00F35243"/>
    <w:rsid w:val="00F36E9F"/>
    <w:rsid w:val="00F41B19"/>
    <w:rsid w:val="00F41BBB"/>
    <w:rsid w:val="00F41BDB"/>
    <w:rsid w:val="00F425D5"/>
    <w:rsid w:val="00F42AB5"/>
    <w:rsid w:val="00F42F01"/>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CD4"/>
    <w:rsid w:val="00F60105"/>
    <w:rsid w:val="00F60B07"/>
    <w:rsid w:val="00F60BC0"/>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2D5"/>
    <w:rsid w:val="00F779B0"/>
    <w:rsid w:val="00F80F33"/>
    <w:rsid w:val="00F84001"/>
    <w:rsid w:val="00F846D6"/>
    <w:rsid w:val="00F86059"/>
    <w:rsid w:val="00F86997"/>
    <w:rsid w:val="00F86C20"/>
    <w:rsid w:val="00F871D7"/>
    <w:rsid w:val="00F9173A"/>
    <w:rsid w:val="00F91800"/>
    <w:rsid w:val="00F93469"/>
    <w:rsid w:val="00F93AF9"/>
    <w:rsid w:val="00F94E99"/>
    <w:rsid w:val="00F9540C"/>
    <w:rsid w:val="00F960D5"/>
    <w:rsid w:val="00F9650A"/>
    <w:rsid w:val="00F967C7"/>
    <w:rsid w:val="00FA0437"/>
    <w:rsid w:val="00FA206B"/>
    <w:rsid w:val="00FA233F"/>
    <w:rsid w:val="00FA2E05"/>
    <w:rsid w:val="00FA3DF0"/>
    <w:rsid w:val="00FA7547"/>
    <w:rsid w:val="00FA7D57"/>
    <w:rsid w:val="00FB0008"/>
    <w:rsid w:val="00FB029E"/>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dle.rae.es/?id=FdI00O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nHLLd" TargetMode="External"/><Relationship Id="rId3" Type="http://schemas.openxmlformats.org/officeDocument/2006/relationships/hyperlink" Target="http://dej.rae.es/" TargetMode="External"/><Relationship Id="rId7" Type="http://schemas.openxmlformats.org/officeDocument/2006/relationships/hyperlink" Target="http://dle.rae.es/?id=CAqWkEB" TargetMode="External"/><Relationship Id="rId2" Type="http://schemas.openxmlformats.org/officeDocument/2006/relationships/hyperlink" Target="https://www.ipomex.org.mx/recursos/ipo/files_ipo3/2019/42897/11/a5d845431bc924437f4470d9a6045adf.pdf" TargetMode="External"/><Relationship Id="rId1" Type="http://schemas.openxmlformats.org/officeDocument/2006/relationships/hyperlink" Target="https://legislacion.edomex.gob.mx/sites/legislacion.edomex.gob.mx/files/files/pdf/rgl/vig/rglvig048.pdf" TargetMode="External"/><Relationship Id="rId6" Type="http://schemas.openxmlformats.org/officeDocument/2006/relationships/hyperlink" Target="http://dle.rae.es/?id=CAjNzMR" TargetMode="External"/><Relationship Id="rId11" Type="http://schemas.openxmlformats.org/officeDocument/2006/relationships/hyperlink" Target="https://www.who.int/es/news-room/fact-sheets/detail/drinking-water" TargetMode="External"/><Relationship Id="rId5" Type="http://schemas.openxmlformats.org/officeDocument/2006/relationships/hyperlink" Target="http://dle.rae.es/?id=VGqyuLj|VGtxgAo|VGuc9Wg" TargetMode="External"/><Relationship Id="rId10" Type="http://schemas.openxmlformats.org/officeDocument/2006/relationships/hyperlink" Target="https://www.dof.gob.mx/nota_detalle.php?codigo=5433280&amp;fecha=15/04/2016" TargetMode="External"/><Relationship Id="rId4" Type="http://schemas.openxmlformats.org/officeDocument/2006/relationships/hyperlink" Target="http://dej.rae.es/" TargetMode="External"/><Relationship Id="rId9" Type="http://schemas.openxmlformats.org/officeDocument/2006/relationships/hyperlink" Target="http://dle.rae.es/?id=Ktpfgj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967A61-E4FE-4FF9-B5A0-7A9AB9DB6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11555</Words>
  <Characters>63553</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74959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2</cp:revision>
  <cp:lastPrinted>2021-08-18T17:12:00Z</cp:lastPrinted>
  <dcterms:created xsi:type="dcterms:W3CDTF">2021-10-15T18:06:00Z</dcterms:created>
  <dcterms:modified xsi:type="dcterms:W3CDTF">2021-10-15T18:06:00Z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