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4B4713" w:rsidRDefault="00DA7E2F" w:rsidP="004B4713">
          <w:pPr>
            <w:pStyle w:val="TtuloTDC"/>
            <w:spacing w:before="0" w:line="276" w:lineRule="auto"/>
            <w:ind w:right="333"/>
            <w:jc w:val="both"/>
            <w:rPr>
              <w:b/>
              <w:bCs/>
              <w:color w:val="000000" w:themeColor="text1"/>
              <w:szCs w:val="24"/>
            </w:rPr>
          </w:pPr>
        </w:p>
        <w:p w14:paraId="390E99B3" w14:textId="77777777" w:rsidR="004B4713" w:rsidRPr="004B4713" w:rsidRDefault="00DA7E2F" w:rsidP="004B4713">
          <w:pPr>
            <w:pStyle w:val="TDC1"/>
            <w:spacing w:line="276" w:lineRule="auto"/>
            <w:rPr>
              <w:rFonts w:ascii="Palatino Linotype" w:hAnsi="Palatino Linotype"/>
              <w:b/>
              <w:noProof/>
              <w:sz w:val="22"/>
              <w:szCs w:val="22"/>
              <w:lang w:eastAsia="es-MX"/>
            </w:rPr>
          </w:pPr>
          <w:r w:rsidRPr="004B4713">
            <w:rPr>
              <w:rFonts w:ascii="Palatino Linotype" w:hAnsi="Palatino Linotype"/>
              <w:b/>
              <w:bCs/>
              <w:color w:val="000000" w:themeColor="text1"/>
            </w:rPr>
            <w:fldChar w:fldCharType="begin"/>
          </w:r>
          <w:r w:rsidRPr="004B4713">
            <w:rPr>
              <w:rFonts w:ascii="Palatino Linotype" w:hAnsi="Palatino Linotype"/>
              <w:b/>
              <w:bCs/>
              <w:color w:val="000000" w:themeColor="text1"/>
            </w:rPr>
            <w:instrText xml:space="preserve"> TOC \o "1-3" \h \z \u </w:instrText>
          </w:r>
          <w:r w:rsidRPr="004B4713">
            <w:rPr>
              <w:rFonts w:ascii="Palatino Linotype" w:hAnsi="Palatino Linotype"/>
              <w:b/>
              <w:bCs/>
              <w:color w:val="000000" w:themeColor="text1"/>
            </w:rPr>
            <w:fldChar w:fldCharType="separate"/>
          </w:r>
          <w:hyperlink w:anchor="_Toc85029714" w:history="1">
            <w:r w:rsidR="004B4713" w:rsidRPr="004B4713">
              <w:rPr>
                <w:rStyle w:val="Hipervnculo"/>
                <w:rFonts w:ascii="Palatino Linotype" w:hAnsi="Palatino Linotype"/>
                <w:b/>
                <w:noProof/>
              </w:rPr>
              <w:t>ANTECEDENTES</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_Toc85029714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2</w:t>
            </w:r>
            <w:r w:rsidR="004B4713" w:rsidRPr="004B4713">
              <w:rPr>
                <w:rFonts w:ascii="Palatino Linotype" w:hAnsi="Palatino Linotype"/>
                <w:b/>
                <w:noProof/>
                <w:webHidden/>
              </w:rPr>
              <w:fldChar w:fldCharType="end"/>
            </w:r>
          </w:hyperlink>
        </w:p>
        <w:p w14:paraId="002B3D3A" w14:textId="77777777" w:rsidR="004B4713" w:rsidRPr="004B4713" w:rsidRDefault="002C2569" w:rsidP="004B4713">
          <w:pPr>
            <w:pStyle w:val="TDC1"/>
            <w:spacing w:line="276" w:lineRule="auto"/>
            <w:rPr>
              <w:rFonts w:ascii="Palatino Linotype" w:hAnsi="Palatino Linotype"/>
              <w:b/>
              <w:noProof/>
              <w:sz w:val="22"/>
              <w:szCs w:val="22"/>
              <w:lang w:eastAsia="es-MX"/>
            </w:rPr>
          </w:pPr>
          <w:hyperlink w:anchor="_Toc85029715" w:history="1">
            <w:r w:rsidR="004B4713" w:rsidRPr="004B4713">
              <w:rPr>
                <w:rStyle w:val="Hipervnculo"/>
                <w:rFonts w:ascii="Palatino Linotype" w:hAnsi="Palatino Linotype"/>
                <w:b/>
                <w:noProof/>
              </w:rPr>
              <w:t>CONSIDERANDO</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_Toc85029715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8</w:t>
            </w:r>
            <w:r w:rsidR="004B4713" w:rsidRPr="004B4713">
              <w:rPr>
                <w:rFonts w:ascii="Palatino Linotype" w:hAnsi="Palatino Linotype"/>
                <w:b/>
                <w:noProof/>
                <w:webHidden/>
              </w:rPr>
              <w:fldChar w:fldCharType="end"/>
            </w:r>
          </w:hyperlink>
        </w:p>
        <w:p w14:paraId="15D87B57"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16" w:history="1">
            <w:r w:rsidR="004B4713" w:rsidRPr="004B4713">
              <w:rPr>
                <w:rStyle w:val="Hipervnculo"/>
                <w:rFonts w:ascii="Palatino Linotype" w:hAnsi="Palatino Linotype"/>
                <w:b/>
                <w:noProof/>
              </w:rPr>
              <w:t>PRIMERO. De la competencia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_Toc85029716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8</w:t>
            </w:r>
            <w:r w:rsidR="004B4713" w:rsidRPr="004B4713">
              <w:rPr>
                <w:rFonts w:ascii="Palatino Linotype" w:hAnsi="Palatino Linotype"/>
                <w:b/>
                <w:noProof/>
                <w:webHidden/>
              </w:rPr>
              <w:fldChar w:fldCharType="end"/>
            </w:r>
          </w:hyperlink>
        </w:p>
        <w:p w14:paraId="2D0084F6"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17" w:history="1">
            <w:r w:rsidR="004B4713" w:rsidRPr="004B4713">
              <w:rPr>
                <w:rStyle w:val="Hipervnculo"/>
                <w:rFonts w:ascii="Palatino Linotype" w:hAnsi="Palatino Linotype"/>
                <w:b/>
                <w:noProof/>
              </w:rPr>
              <w:t>SEGUNDO. De la oportunidad y procedencia.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_Toc85029717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9</w:t>
            </w:r>
            <w:r w:rsidR="004B4713" w:rsidRPr="004B4713">
              <w:rPr>
                <w:rFonts w:ascii="Palatino Linotype" w:hAnsi="Palatino Linotype"/>
                <w:b/>
                <w:noProof/>
                <w:webHidden/>
              </w:rPr>
              <w:fldChar w:fldCharType="end"/>
            </w:r>
          </w:hyperlink>
        </w:p>
        <w:p w14:paraId="07F996BC"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18" w:history="1">
            <w:r w:rsidR="004B4713" w:rsidRPr="004B4713">
              <w:rPr>
                <w:rStyle w:val="Hipervnculo"/>
                <w:rFonts w:ascii="Palatino Linotype" w:hAnsi="Palatino Linotype"/>
                <w:b/>
                <w:noProof/>
              </w:rPr>
              <w:t>TERCERO. Cuestiones de previo y especial pronunciamiento.</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_Toc85029718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12</w:t>
            </w:r>
            <w:r w:rsidR="004B4713" w:rsidRPr="004B4713">
              <w:rPr>
                <w:rFonts w:ascii="Palatino Linotype" w:hAnsi="Palatino Linotype"/>
                <w:b/>
                <w:noProof/>
                <w:webHidden/>
              </w:rPr>
              <w:fldChar w:fldCharType="end"/>
            </w:r>
          </w:hyperlink>
        </w:p>
        <w:p w14:paraId="0D186D49"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19" w:history="1">
            <w:r w:rsidR="004B4713" w:rsidRPr="004B4713">
              <w:rPr>
                <w:rStyle w:val="Hipervnculo"/>
                <w:rFonts w:ascii="Palatino Linotype" w:hAnsi="Palatino Linotype"/>
                <w:b/>
                <w:noProof/>
              </w:rPr>
              <w:t>I. De las pruebas aportadas por las partes.</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_Toc85029719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12</w:t>
            </w:r>
            <w:r w:rsidR="004B4713" w:rsidRPr="004B4713">
              <w:rPr>
                <w:rFonts w:ascii="Palatino Linotype" w:hAnsi="Palatino Linotype"/>
                <w:b/>
                <w:noProof/>
                <w:webHidden/>
              </w:rPr>
              <w:fldChar w:fldCharType="end"/>
            </w:r>
          </w:hyperlink>
        </w:p>
        <w:p w14:paraId="7D254BD4"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0" w:history="1">
            <w:r w:rsidR="004B4713" w:rsidRPr="004B4713">
              <w:rPr>
                <w:rStyle w:val="Hipervnculo"/>
                <w:rFonts w:ascii="Palatino Linotype" w:hAnsi="Palatino Linotype"/>
                <w:b/>
                <w:noProof/>
              </w:rPr>
              <w:t>II. De la inmatriculación administrativa.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_Toc85029720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16</w:t>
            </w:r>
            <w:r w:rsidR="004B4713" w:rsidRPr="004B4713">
              <w:rPr>
                <w:rFonts w:ascii="Palatino Linotype" w:hAnsi="Palatino Linotype"/>
                <w:b/>
                <w:noProof/>
                <w:webHidden/>
              </w:rPr>
              <w:fldChar w:fldCharType="end"/>
            </w:r>
          </w:hyperlink>
        </w:p>
        <w:p w14:paraId="1ADAFAB4"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21" w:history="1">
            <w:r w:rsidR="004B4713" w:rsidRPr="004B4713">
              <w:rPr>
                <w:rStyle w:val="Hipervnculo"/>
                <w:rFonts w:ascii="Palatino Linotype" w:hAnsi="Palatino Linotype"/>
                <w:b/>
                <w:noProof/>
              </w:rPr>
              <w:t xml:space="preserve">CUARTO. Del planteamiento de la </w:t>
            </w:r>
            <w:r w:rsidR="004B4713" w:rsidRPr="004B4713">
              <w:rPr>
                <w:rStyle w:val="Hipervnculo"/>
                <w:rFonts w:ascii="Palatino Linotype" w:hAnsi="Palatino Linotype"/>
                <w:b/>
                <w:i/>
                <w:noProof/>
              </w:rPr>
              <w:t>Litis</w:t>
            </w:r>
            <w:r w:rsidR="004B4713" w:rsidRPr="004B4713">
              <w:rPr>
                <w:rStyle w:val="Hipervnculo"/>
                <w:rFonts w:ascii="Palatino Linotype" w:hAnsi="Palatino Linotype"/>
                <w:b/>
                <w:noProof/>
              </w:rPr>
              <w:t>.</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_Toc85029721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17</w:t>
            </w:r>
            <w:r w:rsidR="004B4713" w:rsidRPr="004B4713">
              <w:rPr>
                <w:rFonts w:ascii="Palatino Linotype" w:hAnsi="Palatino Linotype"/>
                <w:b/>
                <w:noProof/>
                <w:webHidden/>
              </w:rPr>
              <w:fldChar w:fldCharType="end"/>
            </w:r>
          </w:hyperlink>
        </w:p>
        <w:p w14:paraId="5DD09A70"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22" w:history="1">
            <w:r w:rsidR="004B4713" w:rsidRPr="004B4713">
              <w:rPr>
                <w:rStyle w:val="Hipervnculo"/>
                <w:rFonts w:ascii="Palatino Linotype" w:hAnsi="Palatino Linotype" w:cs="Arial"/>
                <w:b/>
                <w:noProof/>
              </w:rPr>
              <w:t>QUINTO. Estudio y Resolución del asunto.</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_Toc85029722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18</w:t>
            </w:r>
            <w:r w:rsidR="004B4713" w:rsidRPr="004B4713">
              <w:rPr>
                <w:rFonts w:ascii="Palatino Linotype" w:hAnsi="Palatino Linotype"/>
                <w:b/>
                <w:noProof/>
                <w:webHidden/>
              </w:rPr>
              <w:fldChar w:fldCharType="end"/>
            </w:r>
          </w:hyperlink>
        </w:p>
        <w:p w14:paraId="26C1ACBB"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3" w:history="1">
            <w:r w:rsidR="004B4713" w:rsidRPr="004B4713">
              <w:rPr>
                <w:rStyle w:val="Hipervnculo"/>
                <w:rFonts w:ascii="Palatino Linotype" w:hAnsi="Palatino Linotype"/>
                <w:b/>
                <w:noProof/>
              </w:rPr>
              <w:t>I. Del deber de las autoridades de promover, respetar, proteger y garantizar el derecho de acceso a la información pública.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_Toc85029723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18</w:t>
            </w:r>
            <w:r w:rsidR="004B4713" w:rsidRPr="004B4713">
              <w:rPr>
                <w:rFonts w:ascii="Palatino Linotype" w:hAnsi="Palatino Linotype"/>
                <w:b/>
                <w:noProof/>
                <w:webHidden/>
              </w:rPr>
              <w:fldChar w:fldCharType="end"/>
            </w:r>
          </w:hyperlink>
        </w:p>
        <w:p w14:paraId="6F0C46F1"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4" w:history="1">
            <w:r w:rsidR="004B4713" w:rsidRPr="004B4713">
              <w:rPr>
                <w:rStyle w:val="Hipervnculo"/>
                <w:rFonts w:ascii="Palatino Linotype" w:hAnsi="Palatino Linotype"/>
                <w:b/>
                <w:noProof/>
              </w:rPr>
              <w:t>II. De la atención a la solicitud de información.</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_Toc85029724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20</w:t>
            </w:r>
            <w:r w:rsidR="004B4713" w:rsidRPr="004B4713">
              <w:rPr>
                <w:rFonts w:ascii="Palatino Linotype" w:hAnsi="Palatino Linotype"/>
                <w:b/>
                <w:noProof/>
                <w:webHidden/>
              </w:rPr>
              <w:fldChar w:fldCharType="end"/>
            </w:r>
          </w:hyperlink>
        </w:p>
        <w:p w14:paraId="450A708E"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5" w:history="1">
            <w:r w:rsidR="004B4713" w:rsidRPr="004B4713">
              <w:rPr>
                <w:rStyle w:val="Hipervnculo"/>
                <w:rFonts w:ascii="Palatino Linotype" w:hAnsi="Palatino Linotype"/>
                <w:b/>
                <w:noProof/>
              </w:rPr>
              <w:t>III. Del documento que acredite la propiedad de los inmuebles señalados en la solicitud.</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_Toc85029725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22</w:t>
            </w:r>
            <w:r w:rsidR="004B4713" w:rsidRPr="004B4713">
              <w:rPr>
                <w:rFonts w:ascii="Palatino Linotype" w:hAnsi="Palatino Linotype"/>
                <w:b/>
                <w:noProof/>
                <w:webHidden/>
              </w:rPr>
              <w:fldChar w:fldCharType="end"/>
            </w:r>
          </w:hyperlink>
        </w:p>
        <w:p w14:paraId="3C8CCBBB"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6" w:history="1">
            <w:r w:rsidR="004B4713" w:rsidRPr="004B4713">
              <w:rPr>
                <w:rStyle w:val="Hipervnculo"/>
                <w:rFonts w:ascii="Palatino Linotype" w:hAnsi="Palatino Linotype"/>
                <w:b/>
                <w:noProof/>
              </w:rPr>
              <w:t>IV. De los antecedentes de los inmuebles.</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_Toc85029726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35</w:t>
            </w:r>
            <w:r w:rsidR="004B4713" w:rsidRPr="004B4713">
              <w:rPr>
                <w:rFonts w:ascii="Palatino Linotype" w:hAnsi="Palatino Linotype"/>
                <w:b/>
                <w:noProof/>
                <w:webHidden/>
              </w:rPr>
              <w:fldChar w:fldCharType="end"/>
            </w:r>
          </w:hyperlink>
        </w:p>
        <w:p w14:paraId="00709E1A"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27" w:history="1">
            <w:r w:rsidR="004B4713" w:rsidRPr="004B4713">
              <w:rPr>
                <w:rStyle w:val="Hipervnculo"/>
                <w:rFonts w:ascii="Palatino Linotype" w:hAnsi="Palatino Linotype"/>
                <w:b/>
                <w:noProof/>
              </w:rPr>
              <w:t>SEXTO. De la versión pública.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_Toc85029727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41</w:t>
            </w:r>
            <w:r w:rsidR="004B4713" w:rsidRPr="004B4713">
              <w:rPr>
                <w:rFonts w:ascii="Palatino Linotype" w:hAnsi="Palatino Linotype"/>
                <w:b/>
                <w:noProof/>
                <w:webHidden/>
              </w:rPr>
              <w:fldChar w:fldCharType="end"/>
            </w:r>
          </w:hyperlink>
        </w:p>
        <w:p w14:paraId="7B6E04C3"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8" w:history="1">
            <w:r w:rsidR="004B4713" w:rsidRPr="004B4713">
              <w:rPr>
                <w:rStyle w:val="Hipervnculo"/>
                <w:rFonts w:ascii="Palatino Linotype" w:hAnsi="Palatino Linotype"/>
                <w:b/>
                <w:noProof/>
              </w:rPr>
              <w:t>I. Requisitos previos.</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_Toc85029728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42</w:t>
            </w:r>
            <w:r w:rsidR="004B4713" w:rsidRPr="004B4713">
              <w:rPr>
                <w:rFonts w:ascii="Palatino Linotype" w:hAnsi="Palatino Linotype"/>
                <w:b/>
                <w:noProof/>
                <w:webHidden/>
              </w:rPr>
              <w:fldChar w:fldCharType="end"/>
            </w:r>
          </w:hyperlink>
        </w:p>
        <w:p w14:paraId="46B9AB52"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29" w:history="1">
            <w:r w:rsidR="004B4713" w:rsidRPr="004B4713">
              <w:rPr>
                <w:rStyle w:val="Hipervnculo"/>
                <w:rFonts w:ascii="Palatino Linotype" w:hAnsi="Palatino Linotype"/>
                <w:b/>
                <w:noProof/>
              </w:rPr>
              <w:t>II. Supuestos de clasificación.</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_Toc85029729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43</w:t>
            </w:r>
            <w:r w:rsidR="004B4713" w:rsidRPr="004B4713">
              <w:rPr>
                <w:rFonts w:ascii="Palatino Linotype" w:hAnsi="Palatino Linotype"/>
                <w:b/>
                <w:noProof/>
                <w:webHidden/>
              </w:rPr>
              <w:fldChar w:fldCharType="end"/>
            </w:r>
          </w:hyperlink>
        </w:p>
        <w:p w14:paraId="5BEE3F2E" w14:textId="77777777" w:rsidR="004B4713" w:rsidRPr="004B4713" w:rsidRDefault="002C2569" w:rsidP="004B4713">
          <w:pPr>
            <w:pStyle w:val="TDC3"/>
            <w:tabs>
              <w:tab w:val="right" w:leader="dot" w:pos="8828"/>
            </w:tabs>
            <w:spacing w:line="276" w:lineRule="auto"/>
            <w:rPr>
              <w:rFonts w:ascii="Palatino Linotype" w:hAnsi="Palatino Linotype"/>
              <w:b/>
              <w:noProof/>
              <w:sz w:val="22"/>
              <w:szCs w:val="22"/>
              <w:lang w:eastAsia="es-MX"/>
            </w:rPr>
          </w:pPr>
          <w:hyperlink w:anchor="_Toc85029730" w:history="1">
            <w:r w:rsidR="004B4713" w:rsidRPr="004B4713">
              <w:rPr>
                <w:rStyle w:val="Hipervnculo"/>
                <w:rFonts w:ascii="Palatino Linotype" w:hAnsi="Palatino Linotype"/>
                <w:b/>
                <w:noProof/>
              </w:rPr>
              <w:t>III. La intervención del Comité de Transparencia.</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_Toc85029730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46</w:t>
            </w:r>
            <w:r w:rsidR="004B4713" w:rsidRPr="004B4713">
              <w:rPr>
                <w:rFonts w:ascii="Palatino Linotype" w:hAnsi="Palatino Linotype"/>
                <w:b/>
                <w:noProof/>
                <w:webHidden/>
              </w:rPr>
              <w:fldChar w:fldCharType="end"/>
            </w:r>
          </w:hyperlink>
        </w:p>
        <w:p w14:paraId="5DFAB21C" w14:textId="77777777" w:rsidR="004B4713" w:rsidRPr="004B4713" w:rsidRDefault="002C2569" w:rsidP="004B4713">
          <w:pPr>
            <w:pStyle w:val="TDC2"/>
            <w:spacing w:line="276" w:lineRule="auto"/>
            <w:rPr>
              <w:rFonts w:ascii="Palatino Linotype" w:hAnsi="Palatino Linotype"/>
              <w:b/>
              <w:noProof/>
              <w:sz w:val="22"/>
              <w:szCs w:val="22"/>
              <w:lang w:eastAsia="es-MX"/>
            </w:rPr>
          </w:pPr>
          <w:hyperlink w:anchor="_Toc85029731" w:history="1">
            <w:r w:rsidR="004B4713" w:rsidRPr="004B4713">
              <w:rPr>
                <w:rStyle w:val="Hipervnculo"/>
                <w:rFonts w:ascii="Palatino Linotype" w:hAnsi="Palatino Linotype"/>
                <w:b/>
                <w:bCs/>
                <w:noProof/>
              </w:rPr>
              <w:t>SÉPTIMO. Decisión</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_Toc85029731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50</w:t>
            </w:r>
            <w:r w:rsidR="004B4713" w:rsidRPr="004B4713">
              <w:rPr>
                <w:rFonts w:ascii="Palatino Linotype" w:hAnsi="Palatino Linotype"/>
                <w:b/>
                <w:noProof/>
                <w:webHidden/>
              </w:rPr>
              <w:fldChar w:fldCharType="end"/>
            </w:r>
          </w:hyperlink>
        </w:p>
        <w:p w14:paraId="758FB34F" w14:textId="77777777" w:rsidR="004B4713" w:rsidRPr="004B4713" w:rsidRDefault="002C2569" w:rsidP="004B4713">
          <w:pPr>
            <w:pStyle w:val="TDC1"/>
            <w:spacing w:line="276" w:lineRule="auto"/>
            <w:rPr>
              <w:rFonts w:ascii="Palatino Linotype" w:hAnsi="Palatino Linotype"/>
              <w:b/>
              <w:noProof/>
              <w:sz w:val="22"/>
              <w:szCs w:val="22"/>
              <w:lang w:eastAsia="es-MX"/>
            </w:rPr>
          </w:pPr>
          <w:hyperlink w:anchor="_Toc85029732" w:history="1">
            <w:r w:rsidR="004B4713" w:rsidRPr="004B4713">
              <w:rPr>
                <w:rStyle w:val="Hipervnculo"/>
                <w:rFonts w:ascii="Palatino Linotype" w:hAnsi="Palatino Linotype"/>
                <w:b/>
                <w:noProof/>
              </w:rPr>
              <w:t>R E S O L U T I V O S</w:t>
            </w:r>
            <w:r w:rsidR="004B4713" w:rsidRPr="004B4713">
              <w:rPr>
                <w:rFonts w:ascii="Palatino Linotype" w:hAnsi="Palatino Linotype"/>
                <w:b/>
                <w:noProof/>
                <w:webHidden/>
              </w:rPr>
              <w:tab/>
            </w:r>
            <w:r w:rsidR="004B4713" w:rsidRPr="004B4713">
              <w:rPr>
                <w:rFonts w:ascii="Palatino Linotype" w:hAnsi="Palatino Linotype"/>
                <w:b/>
                <w:noProof/>
                <w:webHidden/>
              </w:rPr>
              <w:fldChar w:fldCharType="begin"/>
            </w:r>
            <w:r w:rsidR="004B4713" w:rsidRPr="004B4713">
              <w:rPr>
                <w:rFonts w:ascii="Palatino Linotype" w:hAnsi="Palatino Linotype"/>
                <w:b/>
                <w:noProof/>
                <w:webHidden/>
              </w:rPr>
              <w:instrText xml:space="preserve"> PAGEREF _Toc85029732 \h </w:instrText>
            </w:r>
            <w:r w:rsidR="004B4713" w:rsidRPr="004B4713">
              <w:rPr>
                <w:rFonts w:ascii="Palatino Linotype" w:hAnsi="Palatino Linotype"/>
                <w:b/>
                <w:noProof/>
                <w:webHidden/>
              </w:rPr>
            </w:r>
            <w:r w:rsidR="004B4713" w:rsidRPr="004B4713">
              <w:rPr>
                <w:rFonts w:ascii="Palatino Linotype" w:hAnsi="Palatino Linotype"/>
                <w:b/>
                <w:noProof/>
                <w:webHidden/>
              </w:rPr>
              <w:fldChar w:fldCharType="separate"/>
            </w:r>
            <w:r w:rsidR="003B3E00">
              <w:rPr>
                <w:rFonts w:ascii="Palatino Linotype" w:hAnsi="Palatino Linotype"/>
                <w:b/>
                <w:noProof/>
                <w:webHidden/>
              </w:rPr>
              <w:t>52</w:t>
            </w:r>
            <w:r w:rsidR="004B4713" w:rsidRPr="004B4713">
              <w:rPr>
                <w:rFonts w:ascii="Palatino Linotype" w:hAnsi="Palatino Linotype"/>
                <w:b/>
                <w:noProof/>
                <w:webHidden/>
              </w:rPr>
              <w:fldChar w:fldCharType="end"/>
            </w:r>
          </w:hyperlink>
        </w:p>
        <w:p w14:paraId="07A9A973" w14:textId="129DE285" w:rsidR="00DA7E2F" w:rsidRPr="004B4713" w:rsidRDefault="00DA7E2F" w:rsidP="004B4713">
          <w:pPr>
            <w:tabs>
              <w:tab w:val="left" w:pos="2350"/>
            </w:tabs>
            <w:spacing w:line="276" w:lineRule="auto"/>
            <w:ind w:right="333"/>
            <w:jc w:val="both"/>
            <w:rPr>
              <w:rFonts w:ascii="Palatino Linotype" w:hAnsi="Palatino Linotype"/>
              <w:b/>
              <w:bCs/>
              <w:color w:val="000000" w:themeColor="text1"/>
            </w:rPr>
          </w:pPr>
          <w:r w:rsidRPr="004B4713">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702CD26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9B0E35">
        <w:rPr>
          <w:rFonts w:ascii="Palatino Linotype" w:hAnsi="Palatino Linotype"/>
          <w:color w:val="000000" w:themeColor="text1"/>
        </w:rPr>
        <w:t>veinte (20</w:t>
      </w:r>
      <w:r w:rsidR="00F96460">
        <w:rPr>
          <w:rFonts w:ascii="Palatino Linotype" w:hAnsi="Palatino Linotype"/>
          <w:color w:val="000000" w:themeColor="text1"/>
        </w:rPr>
        <w:t>) de octubre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651BCE63"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9B0E35">
        <w:rPr>
          <w:rFonts w:ascii="Palatino Linotype" w:hAnsi="Palatino Linotype"/>
          <w:b/>
          <w:bCs/>
          <w:color w:val="000000" w:themeColor="text1"/>
        </w:rPr>
        <w:t>04058/INFOEM/IP/RR/2021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E92215">
        <w:rPr>
          <w:rFonts w:ascii="Palatino Linotype" w:eastAsia="Times New Roman" w:hAnsi="Palatino Linotype" w:cs="Times New Roman"/>
          <w:color w:val="000000" w:themeColor="text1"/>
        </w:rPr>
        <w:t>un usuario del Sistema de Acceso a la Información Mexiquense (SAIMEX) quien no señaló su nombre, seudónimo o carácter para ser identificado, por lo que en lo sucesivo será reconocido como 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w:t>
      </w:r>
      <w:r w:rsidR="009B0E3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9B0E3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9B0E35">
        <w:rPr>
          <w:rFonts w:ascii="Palatino Linotype" w:eastAsia="Times New Roman" w:hAnsi="Palatino Linotype" w:cs="Arial"/>
          <w:b/>
          <w:color w:val="000000" w:themeColor="text1"/>
        </w:rPr>
        <w:t>Secretaría de Finanzas</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5029714"/>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17839CD"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B0E35">
        <w:rPr>
          <w:rFonts w:ascii="Palatino Linotype" w:eastAsia="Calibri" w:hAnsi="Palatino Linotype" w:cs="Arial"/>
          <w:color w:val="000000" w:themeColor="text1"/>
          <w:lang w:val="es-ES"/>
        </w:rPr>
        <w:t>uno (01) de julio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9B0E35">
        <w:rPr>
          <w:rFonts w:ascii="Palatino Linotype" w:hAnsi="Palatino Linotype"/>
          <w:b/>
          <w:bCs/>
          <w:color w:val="000000" w:themeColor="text1"/>
        </w:rPr>
        <w:t>00300/SF/IP/2021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1E1A646"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9B0E35" w:rsidRPr="009B0E35">
        <w:rPr>
          <w:rFonts w:ascii="Palatino Linotype" w:hAnsi="Palatino Linotype"/>
          <w:i/>
          <w:iCs/>
          <w:color w:val="000000" w:themeColor="text1"/>
          <w:sz w:val="22"/>
          <w:szCs w:val="22"/>
        </w:rPr>
        <w:t>Atentamente solicito los documentos por virtud de los cuales se acredita la propiedad o posesión de los inmuebles señalados en el archivo adjunto. De igual manera los antecedentes de dichos inmuebles, es decir y por ejemplo si fueron o son propiedad del Ayuntamiento de Tecámac y los donó, están en comodato u otra figura jurídica al Gobierno del Estado de México o por ejemplo si son resultado de una subdivisón.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5BC8BEFE" w14:textId="3369CE56" w:rsidR="009A1E9E" w:rsidRPr="009A1E9E" w:rsidRDefault="009A1E9E" w:rsidP="009A1E9E">
      <w:pPr>
        <w:pStyle w:val="Prrafodelista"/>
        <w:numPr>
          <w:ilvl w:val="0"/>
          <w:numId w:val="1"/>
        </w:numPr>
        <w:tabs>
          <w:tab w:val="left" w:pos="426"/>
        </w:tabs>
        <w:spacing w:line="360" w:lineRule="auto"/>
        <w:jc w:val="both"/>
        <w:rPr>
          <w:rFonts w:ascii="Palatino Linotype" w:eastAsia="MS Mincho" w:hAnsi="Palatino Linotype" w:cs="Times New Roman"/>
          <w:b/>
          <w:i/>
          <w:color w:val="000000" w:themeColor="text1"/>
        </w:rPr>
      </w:pPr>
      <w:r w:rsidRPr="009A1E9E">
        <w:rPr>
          <w:rFonts w:ascii="Palatino Linotype" w:eastAsia="MS Mincho" w:hAnsi="Palatino Linotype" w:cs="Times New Roman"/>
          <w:color w:val="000000" w:themeColor="text1"/>
        </w:rPr>
        <w:t xml:space="preserve">Adjunto a su solicitud de información el particular presentó el archivo electrónico denominado </w:t>
      </w:r>
      <w:r w:rsidRPr="009A1E9E">
        <w:rPr>
          <w:rFonts w:ascii="Palatino Linotype" w:eastAsia="MS Mincho" w:hAnsi="Palatino Linotype" w:cs="Times New Roman"/>
          <w:b/>
          <w:i/>
          <w:color w:val="000000" w:themeColor="text1"/>
        </w:rPr>
        <w:t>“Atlahutenco_San Francisco Cuautliquixca.docx</w:t>
      </w:r>
      <w:r>
        <w:rPr>
          <w:rFonts w:ascii="Palatino Linotype" w:eastAsia="MS Mincho" w:hAnsi="Palatino Linotype" w:cs="Times New Roman"/>
          <w:b/>
          <w:i/>
          <w:color w:val="000000" w:themeColor="text1"/>
        </w:rPr>
        <w:t>”</w:t>
      </w:r>
      <w:r>
        <w:rPr>
          <w:rFonts w:ascii="Palatino Linotype" w:eastAsia="MS Mincho" w:hAnsi="Palatino Linotype" w:cs="Times New Roman"/>
          <w:color w:val="000000" w:themeColor="text1"/>
        </w:rPr>
        <w:t>, cuyo contenido consiste en una lista de tres inmuebles en la que se muestra su folio, nombre, ubicación, localidad, municipio, dependencia, unidad administrativa y zona.</w:t>
      </w:r>
    </w:p>
    <w:p w14:paraId="470FC5B4" w14:textId="77777777" w:rsidR="009B0E35" w:rsidRDefault="009B0E35" w:rsidP="009B0E35">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E16921E" w14:textId="49C6F589" w:rsidR="009A1E9E" w:rsidRDefault="009A1E9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0411E2">
        <w:rPr>
          <w:rFonts w:ascii="Palatino Linotype" w:eastAsia="MS Mincho" w:hAnsi="Palatino Linotype" w:cs="Times New Roman"/>
          <w:color w:val="000000" w:themeColor="text1"/>
          <w:lang w:val="es-ES_tradnl"/>
        </w:rPr>
        <w:t>cinco (05) de agosto</w:t>
      </w:r>
      <w:r w:rsidRPr="009A1E9E">
        <w:rPr>
          <w:rFonts w:ascii="Palatino Linotype" w:eastAsia="MS Mincho" w:hAnsi="Palatino Linotype" w:cs="Times New Roman"/>
          <w:color w:val="000000" w:themeColor="text1"/>
          <w:lang w:val="es-ES_tradnl"/>
        </w:rPr>
        <w:t xml:space="preserve"> de dos mil veintiuno, el </w:t>
      </w:r>
      <w:r w:rsidRPr="009A1E9E">
        <w:rPr>
          <w:rFonts w:ascii="Palatino Linotype" w:eastAsia="MS Mincho" w:hAnsi="Palatino Linotype" w:cs="Times New Roman"/>
          <w:b/>
          <w:color w:val="000000" w:themeColor="text1"/>
          <w:lang w:val="es-ES_tradnl"/>
        </w:rPr>
        <w:t>SUJETO OBLIGADO</w:t>
      </w:r>
      <w:r w:rsidRPr="009A1E9E">
        <w:rPr>
          <w:rFonts w:ascii="Palatino Linotype" w:eastAsia="MS Mincho" w:hAnsi="Palatino Linotype" w:cs="Times New Roman"/>
          <w:color w:val="000000" w:themeColor="text1"/>
          <w:lang w:val="es-ES_tradnl"/>
        </w:rPr>
        <w:t xml:space="preserve"> notificó </w:t>
      </w:r>
      <w:r w:rsidRPr="009A1E9E">
        <w:rPr>
          <w:rFonts w:ascii="Palatino Linotype" w:eastAsia="MS Mincho" w:hAnsi="Palatino Linotype" w:cs="Times New Roman"/>
          <w:color w:val="000000" w:themeColor="text1"/>
          <w:lang w:val="es-ES"/>
        </w:rPr>
        <w:t xml:space="preserve">al entonces </w:t>
      </w:r>
      <w:r w:rsidRPr="009A1E9E">
        <w:rPr>
          <w:rFonts w:ascii="Palatino Linotype" w:eastAsia="MS Mincho" w:hAnsi="Palatino Linotype" w:cs="Times New Roman"/>
          <w:b/>
          <w:bCs/>
          <w:color w:val="000000" w:themeColor="text1"/>
          <w:lang w:val="es-ES"/>
        </w:rPr>
        <w:t>SOLICITANTE</w:t>
      </w:r>
      <w:r w:rsidRPr="009A1E9E">
        <w:rPr>
          <w:rFonts w:ascii="Palatino Linotype" w:eastAsia="MS Mincho" w:hAnsi="Palatino Linotype" w:cs="Times New Roman"/>
          <w:color w:val="000000" w:themeColor="text1"/>
          <w:lang w:val="es-ES"/>
        </w:rPr>
        <w:t xml:space="preserve"> que el plazo de quince (15) días hábiles para atender la solicitud de información sería ampliado por siete (07) días adicionales. Sin embargo, de las actuaciones que obran en el expediente digital del SAIMEX, se hace constar que la prórroga no cumple con las formalidades legales establecidas en el artículo 163 de la Ley de Transparencia y Acceso a la Información Pública del Estado de México y Municipios.</w:t>
      </w:r>
    </w:p>
    <w:p w14:paraId="72F06BBA" w14:textId="77777777" w:rsidR="009A1E9E" w:rsidRDefault="009A1E9E" w:rsidP="009A1E9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0E8C705"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0411E2">
        <w:rPr>
          <w:rFonts w:ascii="Palatino Linotype" w:eastAsia="MS Mincho" w:hAnsi="Palatino Linotype" w:cs="Times New Roman"/>
          <w:color w:val="000000" w:themeColor="text1"/>
        </w:rPr>
        <w:t>dieciséis (16)</w:t>
      </w:r>
      <w:r w:rsidR="00F96460">
        <w:rPr>
          <w:rFonts w:ascii="Palatino Linotype" w:eastAsia="MS Mincho" w:hAnsi="Palatino Linotype" w:cs="Times New Roman"/>
          <w:color w:val="000000" w:themeColor="text1"/>
        </w:rPr>
        <w:t xml:space="preserve"> de agosto</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A37F71B" w14:textId="5375C2D5" w:rsidR="000411E2" w:rsidRPr="000411E2" w:rsidRDefault="005F1362" w:rsidP="00041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0411E2" w:rsidRPr="000411E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C044E9" w14:textId="77777777" w:rsidR="000411E2" w:rsidRDefault="000411E2" w:rsidP="00041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00FABBE" w14:textId="77777777" w:rsidR="000411E2" w:rsidRPr="000411E2" w:rsidRDefault="000411E2" w:rsidP="00041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411E2">
        <w:rPr>
          <w:rFonts w:ascii="Palatino Linotype" w:hAnsi="Palatino Linotype"/>
          <w:i/>
          <w:noProof/>
          <w:color w:val="000000" w:themeColor="text1"/>
          <w:sz w:val="22"/>
          <w:szCs w:val="22"/>
          <w:lang w:val="es-MX" w:eastAsia="es-MX"/>
        </w:rPr>
        <w:t xml:space="preserve">Sobre el particular, sírvase encontrar en archivo adjunto copia del oficio de notificación número 20700004S/UT-1260/2021 mediante el cual se detalla lo referente a su solicitud. Asimismo, se hace de su conocimiento que el Comité de Transparencia mediante Acuerdo </w:t>
      </w:r>
      <w:r w:rsidRPr="000411E2">
        <w:rPr>
          <w:rFonts w:ascii="Palatino Linotype" w:hAnsi="Palatino Linotype"/>
          <w:i/>
          <w:noProof/>
          <w:color w:val="000000" w:themeColor="text1"/>
          <w:sz w:val="22"/>
          <w:szCs w:val="22"/>
          <w:lang w:val="es-MX" w:eastAsia="es-MX"/>
        </w:rPr>
        <w:lastRenderedPageBreak/>
        <w:t>CT-2021-0079 ha tenido a bien confirmar la clasificación como información confidencial de los datos personales que obran en los documentos señalados.</w:t>
      </w:r>
    </w:p>
    <w:p w14:paraId="56208F30" w14:textId="77777777" w:rsidR="000411E2" w:rsidRDefault="000411E2" w:rsidP="00041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43C3ED6" w14:textId="77777777" w:rsidR="000411E2" w:rsidRPr="000411E2" w:rsidRDefault="000411E2" w:rsidP="00041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411E2">
        <w:rPr>
          <w:rFonts w:ascii="Palatino Linotype" w:hAnsi="Palatino Linotype"/>
          <w:i/>
          <w:noProof/>
          <w:color w:val="000000" w:themeColor="text1"/>
          <w:sz w:val="22"/>
          <w:szCs w:val="22"/>
          <w:lang w:val="es-MX" w:eastAsia="es-MX"/>
        </w:rPr>
        <w:t>ATENTAMENTE</w:t>
      </w:r>
    </w:p>
    <w:p w14:paraId="35A36DE0" w14:textId="56437507" w:rsidR="0039142B" w:rsidRPr="009A593A" w:rsidRDefault="000411E2" w:rsidP="000411E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411E2">
        <w:rPr>
          <w:rFonts w:ascii="Palatino Linotype" w:hAnsi="Palatino Linotype"/>
          <w:i/>
          <w:noProof/>
          <w:color w:val="000000" w:themeColor="text1"/>
          <w:sz w:val="22"/>
          <w:szCs w:val="22"/>
          <w:lang w:val="es-MX" w:eastAsia="es-MX"/>
        </w:rPr>
        <w:t>Lic. Rodolfo Esteban Rivadeneyra Hernández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337C075"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0411E2">
        <w:rPr>
          <w:rFonts w:ascii="Palatino Linotype" w:hAnsi="Palatino Linotype"/>
          <w:color w:val="000000" w:themeColor="text1"/>
          <w:szCs w:val="22"/>
        </w:rPr>
        <w:t>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0411E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0411E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0411E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2C96932A" w14:textId="49F6C27F" w:rsidR="00563FC3" w:rsidRDefault="006B31E7"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w:t>
      </w:r>
      <w:r w:rsidR="000411E2">
        <w:rPr>
          <w:rFonts w:ascii="Palatino Linotype" w:hAnsi="Palatino Linotype" w:cs="Arial"/>
          <w:b/>
          <w:i/>
        </w:rPr>
        <w:t>UIPPE 300</w:t>
      </w:r>
      <w:r>
        <w:rPr>
          <w:rFonts w:ascii="Palatino Linotype" w:hAnsi="Palatino Linotype" w:cs="Arial"/>
          <w:b/>
          <w:i/>
        </w:rPr>
        <w:t>.pdf”</w:t>
      </w:r>
      <w:r>
        <w:rPr>
          <w:rFonts w:ascii="Palatino Linotype" w:hAnsi="Palatino Linotype" w:cs="Arial"/>
        </w:rPr>
        <w:t>: Documento</w:t>
      </w:r>
      <w:r w:rsidR="000411E2">
        <w:rPr>
          <w:rFonts w:ascii="Palatino Linotype" w:hAnsi="Palatino Linotype" w:cs="Arial"/>
        </w:rPr>
        <w:t xml:space="preserve"> </w:t>
      </w:r>
      <w:r w:rsidR="003F0769">
        <w:rPr>
          <w:rFonts w:ascii="Palatino Linotype" w:hAnsi="Palatino Linotype" w:cs="Arial"/>
        </w:rPr>
        <w:t xml:space="preserve">de una foja consistente en el oficio número 20700004S/UT-1260/2021, de seis (06) de agosto de dos mil veintiuno, signado por el Jefe de la UIPPE y Titular de la Unidad de Transparencia del </w:t>
      </w:r>
      <w:r w:rsidR="003F0769">
        <w:rPr>
          <w:rFonts w:ascii="Palatino Linotype" w:hAnsi="Palatino Linotype" w:cs="Arial"/>
          <w:b/>
        </w:rPr>
        <w:t>SUJETO OBLIGADO</w:t>
      </w:r>
      <w:r w:rsidR="003F0769">
        <w:rPr>
          <w:rFonts w:ascii="Palatino Linotype" w:hAnsi="Palatino Linotype" w:cs="Arial"/>
        </w:rPr>
        <w:t>, por el que presenta la respuesta proveída por la Dirección General de Recursos Materiales.</w:t>
      </w:r>
    </w:p>
    <w:p w14:paraId="66CCECEB" w14:textId="07928CA4" w:rsidR="000411E2" w:rsidRDefault="000411E2"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“300-DGRM.pdf”</w:t>
      </w:r>
      <w:r w:rsidR="003F0769">
        <w:rPr>
          <w:rFonts w:ascii="Palatino Linotype" w:hAnsi="Palatino Linotype" w:cs="Arial"/>
        </w:rPr>
        <w:t xml:space="preserve">: Documento de dos fojas consistente en el oficio número 20706005000200S-0252/2021, de cinco (05) de agosto de dos mil veintiuno, emitido por el Servidor Público Habilitado de la Dirección General de Recursos Materiales, por el que manifiesta adjuntar los instrumentos que acreditan la propiedad de los inmuebles referidos por el particular en la solicitud </w:t>
      </w:r>
      <w:r w:rsidR="003F0769">
        <w:rPr>
          <w:rFonts w:ascii="Palatino Linotype" w:hAnsi="Palatino Linotype" w:cs="Arial"/>
          <w:b/>
        </w:rPr>
        <w:t>00300/SF/IP/2021</w:t>
      </w:r>
      <w:r w:rsidR="003F0769">
        <w:rPr>
          <w:rFonts w:ascii="Palatino Linotype" w:hAnsi="Palatino Linotype" w:cs="Arial"/>
        </w:rPr>
        <w:t>.</w:t>
      </w:r>
    </w:p>
    <w:p w14:paraId="32D34D33" w14:textId="0B726C43" w:rsidR="000411E2" w:rsidRDefault="000411E2"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“300 Anexo 1.pdf”</w:t>
      </w:r>
      <w:r>
        <w:rPr>
          <w:rFonts w:ascii="Palatino Linotype" w:hAnsi="Palatino Linotype" w:cs="Arial"/>
        </w:rPr>
        <w:t xml:space="preserve">: Documento </w:t>
      </w:r>
      <w:r w:rsidR="003F0769">
        <w:rPr>
          <w:rFonts w:ascii="Palatino Linotype" w:hAnsi="Palatino Linotype" w:cs="Arial"/>
        </w:rPr>
        <w:t>de 10 fojas consistente en la copia digitalizada del contrato de donación y cesión de derechos celebrado entre el Gobierno Federal y el Gobierno del Estado de México, el veinticinco (25) de febrero de mil novecientos noventa y siete, respecto del inmueble ubicado en Av. Sebastián Lerdo de Tejada, Número 300, Poniente, Colonia Centro, Toluca, Estado de México.</w:t>
      </w:r>
    </w:p>
    <w:p w14:paraId="226A09FC" w14:textId="20392AF6" w:rsidR="000411E2" w:rsidRDefault="000411E2"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lastRenderedPageBreak/>
        <w:t>“300 Anexo 2.pdf”</w:t>
      </w:r>
      <w:r>
        <w:rPr>
          <w:rFonts w:ascii="Palatino Linotype" w:hAnsi="Palatino Linotype" w:cs="Arial"/>
        </w:rPr>
        <w:t xml:space="preserve">: Documento </w:t>
      </w:r>
      <w:r w:rsidR="003F0769">
        <w:rPr>
          <w:rFonts w:ascii="Palatino Linotype" w:hAnsi="Palatino Linotype" w:cs="Arial"/>
        </w:rPr>
        <w:t xml:space="preserve">de dos fojas consistente en la copia digitalizada de la inmatriculación administrativa de veintinueve (29) de abril de mil </w:t>
      </w:r>
      <w:r w:rsidR="00330E47">
        <w:rPr>
          <w:rFonts w:ascii="Palatino Linotype" w:hAnsi="Palatino Linotype" w:cs="Arial"/>
        </w:rPr>
        <w:t>novecientos</w:t>
      </w:r>
      <w:r w:rsidR="003F0769">
        <w:rPr>
          <w:rFonts w:ascii="Palatino Linotype" w:hAnsi="Palatino Linotype" w:cs="Arial"/>
        </w:rPr>
        <w:t xml:space="preserve"> ochenta y seis, </w:t>
      </w:r>
      <w:r w:rsidR="00330E47">
        <w:rPr>
          <w:rFonts w:ascii="Palatino Linotype" w:hAnsi="Palatino Linotype" w:cs="Arial"/>
        </w:rPr>
        <w:t>respecto del inmueble denominado “Atlahutenco”.</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1B7D0E0C"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330E47">
        <w:rPr>
          <w:rFonts w:ascii="Palatino Linotype" w:eastAsia="Times New Roman" w:hAnsi="Palatino Linotype" w:cs="Arial"/>
          <w:color w:val="000000" w:themeColor="text1"/>
          <w:lang w:val="es-ES"/>
        </w:rPr>
        <w:t>diecisiete (17</w:t>
      </w:r>
      <w:r w:rsidR="005C45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9B0E35">
        <w:rPr>
          <w:rFonts w:ascii="Palatino Linotype" w:eastAsia="Calibri" w:hAnsi="Palatino Linotype" w:cs="Arial"/>
          <w:b/>
          <w:color w:val="000000" w:themeColor="text1"/>
          <w:lang w:val="es-ES"/>
        </w:rPr>
        <w:t>04058/INFOEM/IP/RR/2021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C6EDA9E"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330E47" w:rsidRPr="00330E47">
        <w:rPr>
          <w:rFonts w:ascii="Palatino Linotype" w:eastAsia="Times New Roman" w:hAnsi="Palatino Linotype" w:cs="Arial"/>
          <w:i/>
          <w:color w:val="000000" w:themeColor="text1"/>
        </w:rPr>
        <w:t>La respuesta a la solicitud de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401735E"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330E47" w:rsidRPr="00330E47">
        <w:rPr>
          <w:rFonts w:ascii="Palatino Linotype" w:hAnsi="Palatino Linotype"/>
          <w:i/>
          <w:iCs/>
          <w:color w:val="000000"/>
        </w:rPr>
        <w:t>a) El contrato de donación y de cesión de derechos posesorios que celebran por una parte del Gobierno Federal y el Gobierno del Estado de México se encuentra incompleto, es decir, por mencionar algunas características de los incompleto de tal documento: 1: Hojas con texto cortado en la parte inferior, 2. en el apartado de antecedentes falta una parte del inciso "II" y la primera parte del inciso "III", por lo que se puede inferir que faltan hojas intermedias, 3. En la parte de declaraciones del "Gobierno del Estado falta el inciso "II" y la primera parte del inciso "III" y 4. Falta el "Anexo" que se señla en el cuerpo del contrato de donación y cesión de derechos posesorios. Debido a lo anterior, del documento no se desprende si corresponde a los inmuebles sobre los que se solicito la información. b) Respecto a la inmatriculación administrativa de fecha 28 de abril de 1986, de igual manera faltan los documentos/expediente de dicho documento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CF8ACF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D12402">
        <w:rPr>
          <w:rFonts w:ascii="Palatino Linotype" w:eastAsia="Calibri" w:hAnsi="Palatino Linotype" w:cs="Arial"/>
          <w:color w:val="000000" w:themeColor="text1"/>
          <w:lang w:val="es-ES"/>
        </w:rPr>
        <w:t>veintiséis (26</w:t>
      </w:r>
      <w:r w:rsidR="005C450C">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3206908C"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B37930">
        <w:rPr>
          <w:rFonts w:ascii="Palatino Linotype" w:eastAsia="Calibri" w:hAnsi="Palatino Linotype" w:cs="Arial"/>
          <w:color w:val="000000" w:themeColor="text1"/>
          <w:lang w:val="es-ES"/>
        </w:rPr>
        <w:t>treinta y uno (31) de agosto</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w:t>
      </w:r>
      <w:r w:rsidR="00894767">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w:t>
      </w:r>
      <w:r w:rsidR="00894767">
        <w:rPr>
          <w:rFonts w:ascii="Palatino Linotype" w:eastAsia="Calibri" w:hAnsi="Palatino Linotype" w:cs="Arial"/>
          <w:color w:val="000000" w:themeColor="text1"/>
          <w:lang w:val="es-ES"/>
        </w:rPr>
        <w:t>os</w:t>
      </w:r>
      <w:r w:rsidRPr="0096234B">
        <w:rPr>
          <w:rFonts w:ascii="Palatino Linotype" w:eastAsia="Calibri" w:hAnsi="Palatino Linotype" w:cs="Arial"/>
          <w:color w:val="000000" w:themeColor="text1"/>
          <w:lang w:val="es-ES"/>
        </w:rPr>
        <w:t xml:space="preserve"> descrito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523FC70D" w14:textId="30717AB6" w:rsidR="001E4152" w:rsidRPr="00330E47" w:rsidRDefault="00894767" w:rsidP="00330E47">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Pr="00894767">
        <w:rPr>
          <w:rFonts w:ascii="Palatino Linotype" w:eastAsia="Calibri" w:hAnsi="Palatino Linotype" w:cs="Arial"/>
          <w:b/>
          <w:i/>
          <w:color w:val="000000" w:themeColor="text1"/>
          <w:lang w:val="es-ES"/>
        </w:rPr>
        <w:t xml:space="preserve">Informe </w:t>
      </w:r>
      <w:r w:rsidR="00330E47" w:rsidRPr="00894767">
        <w:rPr>
          <w:rFonts w:ascii="Palatino Linotype" w:eastAsia="Calibri" w:hAnsi="Palatino Linotype" w:cs="Arial"/>
          <w:b/>
          <w:i/>
          <w:color w:val="000000" w:themeColor="text1"/>
          <w:lang w:val="es-ES"/>
        </w:rPr>
        <w:t xml:space="preserve">Justificado </w:t>
      </w:r>
      <w:r w:rsidR="00330E47">
        <w:rPr>
          <w:rFonts w:ascii="Palatino Linotype" w:eastAsia="Calibri" w:hAnsi="Palatino Linotype" w:cs="Arial"/>
          <w:b/>
          <w:i/>
          <w:color w:val="000000" w:themeColor="text1"/>
          <w:lang w:val="es-ES"/>
        </w:rPr>
        <w:t>4058</w:t>
      </w:r>
      <w:r w:rsidRPr="00894767">
        <w:rPr>
          <w:rFonts w:ascii="Palatino Linotype" w:eastAsia="Calibri" w:hAnsi="Palatino Linotype" w:cs="Arial"/>
          <w:b/>
          <w:i/>
          <w:color w:val="000000" w:themeColor="text1"/>
          <w:lang w:val="es-ES"/>
        </w:rPr>
        <w:t>-2021.pdf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330E47">
        <w:rPr>
          <w:rFonts w:ascii="Palatino Linotype" w:eastAsia="Calibri" w:hAnsi="Palatino Linotype" w:cs="Arial"/>
          <w:color w:val="000000" w:themeColor="text1"/>
          <w:lang w:val="es-ES"/>
        </w:rPr>
        <w:t xml:space="preserve">de cinco fojas consistente en el Informe Justificado presentado por el Titular de la Unidad de Transparencia del </w:t>
      </w:r>
      <w:r w:rsidR="00330E47">
        <w:rPr>
          <w:rFonts w:ascii="Palatino Linotype" w:eastAsia="Calibri" w:hAnsi="Palatino Linotype" w:cs="Arial"/>
          <w:b/>
          <w:color w:val="000000" w:themeColor="text1"/>
          <w:lang w:val="es-ES"/>
        </w:rPr>
        <w:t>SUJETO OBLIGADO</w:t>
      </w:r>
      <w:r w:rsidR="00B37930">
        <w:rPr>
          <w:rFonts w:ascii="Palatino Linotype" w:eastAsia="Calibri" w:hAnsi="Palatino Linotype" w:cs="Arial"/>
          <w:color w:val="000000" w:themeColor="text1"/>
          <w:lang w:val="es-ES"/>
        </w:rPr>
        <w:t>, por vía del cual, ratifica su respuesta inicial.</w:t>
      </w:r>
    </w:p>
    <w:p w14:paraId="4374002E" w14:textId="10FCE65C" w:rsidR="00330E47" w:rsidRPr="00330E47" w:rsidRDefault="00330E47" w:rsidP="00330E47">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lastRenderedPageBreak/>
        <w:t>“RR 4058-2021 DGRM.pdf”</w:t>
      </w:r>
      <w:r>
        <w:rPr>
          <w:rFonts w:ascii="Palatino Linotype" w:eastAsia="Calibri" w:hAnsi="Palatino Linotype" w:cs="Arial"/>
          <w:color w:val="000000" w:themeColor="text1"/>
          <w:lang w:val="es-ES"/>
        </w:rPr>
        <w:t xml:space="preserve">: Documento </w:t>
      </w:r>
      <w:r w:rsidR="00B37930">
        <w:rPr>
          <w:rFonts w:ascii="Palatino Linotype" w:eastAsia="Calibri" w:hAnsi="Palatino Linotype" w:cs="Arial"/>
          <w:color w:val="000000" w:themeColor="text1"/>
          <w:lang w:val="es-ES"/>
        </w:rPr>
        <w:t>de dos fojas consistente en el oficio número 20706005000200S-0279/2021, de veinticuatro (24) de agosto de dos mil veintiuno, emitido por el Servidor Público Habilitado de la Dirección General de Recursos Materiales, por el que, esencialmente, ratifica su respuesta inicial.</w:t>
      </w:r>
    </w:p>
    <w:p w14:paraId="32EF9A1D" w14:textId="31FD0922" w:rsidR="00330E47" w:rsidRPr="00330E47" w:rsidRDefault="00330E47" w:rsidP="00330E47">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“RR 4058-2021 ANEXO I.pdf”</w:t>
      </w:r>
      <w:r>
        <w:rPr>
          <w:rFonts w:ascii="Palatino Linotype" w:eastAsia="Calibri" w:hAnsi="Palatino Linotype" w:cs="Arial"/>
          <w:color w:val="000000" w:themeColor="text1"/>
          <w:lang w:val="es-ES"/>
        </w:rPr>
        <w:t xml:space="preserve">: Documento </w:t>
      </w:r>
      <w:r w:rsidR="00B37930">
        <w:rPr>
          <w:rFonts w:ascii="Palatino Linotype" w:eastAsia="Calibri" w:hAnsi="Palatino Linotype" w:cs="Arial"/>
          <w:color w:val="000000" w:themeColor="text1"/>
          <w:lang w:val="es-ES"/>
        </w:rPr>
        <w:t>de tres hojas consistente en el catálogo de escuelas de preescolar, inmuebles escolares de educación primaria e, inmuebles escolares de educación secundaria, de la Subdirección de Planeación Educativa, cuyo contenido resulta preponderantemente ilegible.</w:t>
      </w:r>
    </w:p>
    <w:p w14:paraId="28C9EB44" w14:textId="77777777" w:rsidR="00330E47" w:rsidRPr="00330E47" w:rsidRDefault="00330E47" w:rsidP="00330E47">
      <w:pPr>
        <w:tabs>
          <w:tab w:val="left" w:pos="426"/>
        </w:tabs>
        <w:spacing w:line="360" w:lineRule="auto"/>
        <w:jc w:val="both"/>
        <w:rPr>
          <w:rFonts w:ascii="Palatino Linotype" w:hAnsi="Palatino Linotype"/>
          <w:color w:val="000000" w:themeColor="text1"/>
        </w:rPr>
      </w:pPr>
    </w:p>
    <w:p w14:paraId="23BE587A" w14:textId="2014E690"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Pr="0096234B">
        <w:rPr>
          <w:rFonts w:ascii="Palatino Linotype" w:hAnsi="Palatino Linotype"/>
          <w:color w:val="000000" w:themeColor="text1"/>
        </w:rPr>
        <w:t>l</w:t>
      </w:r>
      <w:r w:rsidR="00774AB3">
        <w:rPr>
          <w:rFonts w:ascii="Palatino Linotype" w:hAnsi="Palatino Linotype"/>
          <w:color w:val="000000" w:themeColor="text1"/>
        </w:rPr>
        <w:t>os</w:t>
      </w:r>
      <w:r w:rsidRPr="0096234B">
        <w:rPr>
          <w:rFonts w:ascii="Palatino Linotype" w:hAnsi="Palatino Linotype"/>
          <w:color w:val="000000" w:themeColor="text1"/>
        </w:rPr>
        <w:t xml:space="preserve"> archivo</w:t>
      </w:r>
      <w:r w:rsidR="00774AB3">
        <w:rPr>
          <w:rFonts w:ascii="Palatino Linotype" w:hAnsi="Palatino Linotype"/>
          <w:color w:val="000000" w:themeColor="text1"/>
        </w:rPr>
        <w:t>s</w:t>
      </w:r>
      <w:r w:rsidRPr="0096234B">
        <w:rPr>
          <w:rFonts w:ascii="Palatino Linotype" w:hAnsi="Palatino Linotype"/>
          <w:color w:val="000000" w:themeColor="text1"/>
        </w:rPr>
        <w:t xml:space="preserve"> remitido</w:t>
      </w:r>
      <w:r w:rsidR="00774AB3">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la Ponen</w:t>
      </w:r>
      <w:r w:rsidR="00774AB3">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sidR="00774AB3">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sidR="00774AB3">
        <w:rPr>
          <w:rFonts w:ascii="Palatino Linotype" w:hAnsi="Palatino Linotype"/>
          <w:color w:val="000000" w:themeColor="text1"/>
        </w:rPr>
        <w:t>ron</w:t>
      </w:r>
      <w:r w:rsidRPr="0096234B">
        <w:rPr>
          <w:rFonts w:ascii="Palatino Linotype" w:hAnsi="Palatino Linotype"/>
          <w:color w:val="000000" w:themeColor="text1"/>
        </w:rPr>
        <w:t xml:space="preserve"> puesto</w:t>
      </w:r>
      <w:r w:rsidR="00774AB3">
        <w:rPr>
          <w:rFonts w:ascii="Palatino Linotype" w:hAnsi="Palatino Linotype"/>
          <w:color w:val="000000" w:themeColor="text1"/>
        </w:rPr>
        <w:t>s</w:t>
      </w:r>
      <w:r w:rsidRPr="0096234B">
        <w:rPr>
          <w:rFonts w:ascii="Palatino Linotype" w:hAnsi="Palatino Linotype"/>
          <w:color w:val="000000" w:themeColor="text1"/>
        </w:rPr>
        <w:t xml:space="preserve"> a la vista del particular el </w:t>
      </w:r>
      <w:r w:rsidR="00B37930">
        <w:rPr>
          <w:rFonts w:ascii="Palatino Linotype" w:hAnsi="Palatino Linotype"/>
          <w:color w:val="000000" w:themeColor="text1"/>
        </w:rPr>
        <w:t>siete (07)</w:t>
      </w:r>
      <w:r w:rsidR="005C450C">
        <w:rPr>
          <w:rFonts w:ascii="Palatino Linotype" w:hAnsi="Palatino Linotype"/>
          <w:color w:val="000000" w:themeColor="text1"/>
        </w:rPr>
        <w:t xml:space="preserve"> de septiembre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sidR="00774AB3">
        <w:rPr>
          <w:rFonts w:ascii="Palatino Linotype" w:hAnsi="Palatino Linotype"/>
          <w:color w:val="000000" w:themeColor="text1"/>
        </w:rPr>
        <w:t>; no obstante, el particular no ejerció su derecho de réplica sobre los nuevos contenidos.</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5CDDEF43" w14:textId="420CA1F0" w:rsidR="00B37930" w:rsidRDefault="00B37930"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siete (07) de septiembre de dos mil veintiuno, el </w:t>
      </w:r>
      <w:r>
        <w:rPr>
          <w:rFonts w:ascii="Palatino Linotype" w:hAnsi="Palatino Linotype"/>
          <w:b/>
          <w:color w:val="000000" w:themeColor="text1"/>
        </w:rPr>
        <w:t>RECURRENTE</w:t>
      </w:r>
      <w:r>
        <w:rPr>
          <w:rFonts w:ascii="Palatino Linotype" w:hAnsi="Palatino Linotype"/>
          <w:color w:val="000000" w:themeColor="text1"/>
        </w:rPr>
        <w:t xml:space="preserve"> presentó en vía de alegatos, el archivo electrónico siguiente:</w:t>
      </w:r>
    </w:p>
    <w:p w14:paraId="6033E608" w14:textId="523A677E" w:rsidR="00B37930" w:rsidRDefault="00B37930" w:rsidP="00B37930">
      <w:pPr>
        <w:pStyle w:val="Prrafodelista"/>
        <w:numPr>
          <w:ilvl w:val="1"/>
          <w:numId w:val="44"/>
        </w:numPr>
        <w:tabs>
          <w:tab w:val="left" w:pos="426"/>
        </w:tabs>
        <w:spacing w:line="360" w:lineRule="auto"/>
        <w:ind w:left="993"/>
        <w:jc w:val="both"/>
        <w:rPr>
          <w:rFonts w:ascii="Palatino Linotype" w:hAnsi="Palatino Linotype"/>
          <w:color w:val="000000" w:themeColor="text1"/>
        </w:rPr>
      </w:pPr>
      <w:r>
        <w:rPr>
          <w:rFonts w:ascii="Palatino Linotype" w:hAnsi="Palatino Linotype"/>
          <w:b/>
          <w:i/>
          <w:color w:val="000000" w:themeColor="text1"/>
        </w:rPr>
        <w:lastRenderedPageBreak/>
        <w:t>“Manifestaciones 07.09.2021_SF.pdf”</w:t>
      </w:r>
      <w:r>
        <w:rPr>
          <w:rFonts w:ascii="Palatino Linotype" w:hAnsi="Palatino Linotype"/>
          <w:color w:val="000000" w:themeColor="text1"/>
        </w:rPr>
        <w:t xml:space="preserve">: Documento de tres fojas, por medio del cual, a través de texto e imágenes, el </w:t>
      </w:r>
      <w:r>
        <w:rPr>
          <w:rFonts w:ascii="Palatino Linotype" w:hAnsi="Palatino Linotype"/>
          <w:b/>
          <w:color w:val="000000" w:themeColor="text1"/>
        </w:rPr>
        <w:t>RECURRENTE</w:t>
      </w:r>
      <w:r>
        <w:rPr>
          <w:rFonts w:ascii="Palatino Linotype" w:hAnsi="Palatino Linotype"/>
          <w:color w:val="000000" w:themeColor="text1"/>
        </w:rPr>
        <w:t xml:space="preserve"> refuta la respuesta e informe justificado del </w:t>
      </w:r>
      <w:r>
        <w:rPr>
          <w:rFonts w:ascii="Palatino Linotype" w:hAnsi="Palatino Linotype"/>
          <w:b/>
          <w:color w:val="000000" w:themeColor="text1"/>
        </w:rPr>
        <w:t>SUJETO OBLIGADO</w:t>
      </w:r>
      <w:r>
        <w:rPr>
          <w:rFonts w:ascii="Palatino Linotype" w:hAnsi="Palatino Linotype"/>
          <w:color w:val="000000" w:themeColor="text1"/>
        </w:rPr>
        <w:t>.</w:t>
      </w:r>
    </w:p>
    <w:p w14:paraId="4930CC15" w14:textId="77777777" w:rsidR="00B37930" w:rsidRPr="00B37930" w:rsidRDefault="00B37930" w:rsidP="00B37930">
      <w:pPr>
        <w:pStyle w:val="Prrafodelista"/>
        <w:tabs>
          <w:tab w:val="left" w:pos="426"/>
        </w:tabs>
        <w:spacing w:line="360" w:lineRule="auto"/>
        <w:ind w:left="0"/>
        <w:jc w:val="both"/>
        <w:rPr>
          <w:rFonts w:ascii="Palatino Linotype" w:hAnsi="Palatino Linotype"/>
          <w:color w:val="000000" w:themeColor="text1"/>
        </w:rPr>
      </w:pPr>
    </w:p>
    <w:p w14:paraId="7FB95849" w14:textId="6FA7F45E"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B76C73">
        <w:rPr>
          <w:rFonts w:ascii="Palatino Linotype" w:eastAsia="Calibri" w:hAnsi="Palatino Linotype" w:cs="Arial"/>
          <w:color w:val="000000" w:themeColor="text1"/>
          <w:lang w:val="es-ES"/>
        </w:rPr>
        <w:t>trece (13)</w:t>
      </w:r>
      <w:r w:rsidR="003F0DDA">
        <w:rPr>
          <w:rFonts w:ascii="Palatino Linotype" w:eastAsia="Calibri" w:hAnsi="Palatino Linotype" w:cs="Arial"/>
          <w:color w:val="000000" w:themeColor="text1"/>
          <w:lang w:val="es-ES"/>
        </w:rPr>
        <w:t xml:space="preserve"> de septiembre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0098F686"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774AB3">
        <w:rPr>
          <w:rFonts w:ascii="Palatino Linotype" w:hAnsi="Palatino Linotype" w:cs="Arial"/>
          <w:color w:val="000000" w:themeColor="text1"/>
        </w:rPr>
        <w:t>cinco (05) de octubre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r w:rsidR="00774AB3">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5029715"/>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5029716"/>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 xml:space="preserve">Ley de </w:t>
      </w:r>
      <w:r w:rsidRPr="00A85CB7">
        <w:rPr>
          <w:rFonts w:ascii="Palatino Linotype" w:eastAsia="Calibri" w:hAnsi="Palatino Linotype" w:cs="Arial"/>
          <w:b/>
          <w:color w:val="000000" w:themeColor="text1"/>
          <w:lang w:val="es-ES"/>
        </w:rPr>
        <w:lastRenderedPageBreak/>
        <w:t>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5029717"/>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16482601"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B76C73">
        <w:rPr>
          <w:rFonts w:ascii="Palatino Linotype" w:eastAsia="Calibri" w:hAnsi="Palatino Linotype" w:cs="Arial"/>
          <w:color w:val="000000" w:themeColor="text1"/>
        </w:rPr>
        <w:t>dieciséis (16</w:t>
      </w:r>
      <w:r w:rsidR="003F0DDA">
        <w:rPr>
          <w:rFonts w:ascii="Palatino Linotype" w:eastAsia="Calibri" w:hAnsi="Palatino Linotype" w:cs="Arial"/>
          <w:color w:val="000000" w:themeColor="text1"/>
        </w:rPr>
        <w:t>)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B76C73">
        <w:rPr>
          <w:rFonts w:ascii="Palatino Linotype" w:eastAsia="Calibri" w:hAnsi="Palatino Linotype" w:cs="Arial"/>
          <w:color w:val="000000" w:themeColor="text1"/>
        </w:rPr>
        <w:t>diecisiete (17</w:t>
      </w:r>
      <w:r w:rsidR="00774AB3">
        <w:rPr>
          <w:rFonts w:ascii="Palatino Linotype" w:eastAsia="Calibri" w:hAnsi="Palatino Linotype" w:cs="Arial"/>
          <w:color w:val="000000" w:themeColor="text1"/>
        </w:rPr>
        <w:t xml:space="preserve">) de agosto al </w:t>
      </w:r>
      <w:r w:rsidR="00B76C73">
        <w:rPr>
          <w:rFonts w:ascii="Palatino Linotype" w:eastAsia="Calibri" w:hAnsi="Palatino Linotype" w:cs="Arial"/>
          <w:color w:val="000000" w:themeColor="text1"/>
        </w:rPr>
        <w:t>seis (06</w:t>
      </w:r>
      <w:r w:rsidR="00774AB3">
        <w:rPr>
          <w:rFonts w:ascii="Palatino Linotype" w:eastAsia="Calibri" w:hAnsi="Palatino Linotype" w:cs="Arial"/>
          <w:color w:val="000000" w:themeColor="text1"/>
        </w:rPr>
        <w:t>) de septiembre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774AB3">
        <w:rPr>
          <w:rFonts w:ascii="Palatino Linotype" w:eastAsia="Calibri" w:hAnsi="Palatino Linotype" w:cs="Arial"/>
          <w:color w:val="000000" w:themeColor="text1"/>
        </w:rPr>
        <w:t xml:space="preserve"> veintiuno (21),</w:t>
      </w:r>
      <w:r w:rsidR="008570EB">
        <w:rPr>
          <w:rFonts w:ascii="Palatino Linotype" w:eastAsia="Calibri" w:hAnsi="Palatino Linotype" w:cs="Arial"/>
          <w:color w:val="000000" w:themeColor="text1"/>
        </w:rPr>
        <w:t xml:space="preserve"> veintidós (22)</w:t>
      </w:r>
      <w:r w:rsidR="00774AB3">
        <w:rPr>
          <w:rFonts w:ascii="Palatino Linotype" w:eastAsia="Calibri" w:hAnsi="Palatino Linotype" w:cs="Arial"/>
          <w:color w:val="000000" w:themeColor="text1"/>
        </w:rPr>
        <w:t>, veintiocho (28) y veintinueve (29) de agosto</w:t>
      </w:r>
      <w:r w:rsidR="00B76C73">
        <w:rPr>
          <w:rFonts w:ascii="Palatino Linotype" w:eastAsia="Calibri" w:hAnsi="Palatino Linotype" w:cs="Arial"/>
          <w:color w:val="000000" w:themeColor="text1"/>
        </w:rPr>
        <w:t>, así como el cuatro (04) y cinco (05) de septiembre</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4D7B605"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B76C73">
        <w:rPr>
          <w:rFonts w:ascii="Palatino Linotype" w:hAnsi="Palatino Linotype"/>
          <w:color w:val="000000" w:themeColor="text1"/>
        </w:rPr>
        <w:t>diecisiete (17</w:t>
      </w:r>
      <w:r w:rsidR="008570EB">
        <w:rPr>
          <w:rFonts w:ascii="Palatino Linotype" w:hAnsi="Palatino Linotype"/>
          <w:color w:val="000000" w:themeColor="text1"/>
        </w:rPr>
        <w:t>)</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1CA3BBBF"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w:t>
      </w:r>
      <w:r w:rsidRPr="006B31E7">
        <w:rPr>
          <w:rFonts w:ascii="Palatino Linotype" w:hAnsi="Palatino Linotype" w:cs="Arial"/>
          <w:color w:val="000000" w:themeColor="text1"/>
          <w:lang w:val="es-ES"/>
        </w:rPr>
        <w:lastRenderedPageBreak/>
        <w:t xml:space="preserve">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F43C60">
        <w:rPr>
          <w:rFonts w:ascii="Palatino Linotype" w:eastAsia="Times New Roman" w:hAnsi="Palatino Linotype" w:cs="Arial"/>
          <w:color w:val="000000" w:themeColor="text1"/>
          <w:lang w:val="es-ES" w:eastAsia="es-MX"/>
        </w:rPr>
        <w:lastRenderedPageBreak/>
        <w:t>permite la posibilidad de que inclusive, la solicitud de acceso a la información pueda ser anónima o no contener un nombre que identifique al Solicitante o que permita tener certeza sobre su identidad.</w:t>
      </w:r>
    </w:p>
    <w:p w14:paraId="348D8D9D"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292171A5"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w:t>
      </w:r>
      <w:r w:rsidR="00540208" w:rsidRPr="00A85CB7">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78AB2845"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029718"/>
      <w:r>
        <w:rPr>
          <w:rFonts w:ascii="Palatino Linotype" w:hAnsi="Palatino Linotype"/>
          <w:b/>
          <w:color w:val="000000" w:themeColor="text1"/>
        </w:rPr>
        <w:t>TERCERO. Cuestiones de previo y especial pronunciamiento.</w:t>
      </w:r>
      <w:bookmarkEnd w:id="12"/>
    </w:p>
    <w:p w14:paraId="411FB68D" w14:textId="6C625B44" w:rsidR="00710B50" w:rsidRPr="00CA62D4" w:rsidRDefault="00CA62D4" w:rsidP="00CA62D4">
      <w:pPr>
        <w:pStyle w:val="Prrafodelista"/>
        <w:tabs>
          <w:tab w:val="left" w:pos="426"/>
        </w:tabs>
        <w:spacing w:line="360" w:lineRule="auto"/>
        <w:ind w:left="0"/>
        <w:jc w:val="both"/>
        <w:outlineLvl w:val="2"/>
        <w:rPr>
          <w:rFonts w:ascii="Palatino Linotype" w:hAnsi="Palatino Linotype"/>
          <w:b/>
          <w:color w:val="000000" w:themeColor="text1"/>
        </w:rPr>
      </w:pPr>
      <w:bookmarkStart w:id="13" w:name="_Toc85029719"/>
      <w:r>
        <w:rPr>
          <w:rFonts w:ascii="Palatino Linotype" w:hAnsi="Palatino Linotype"/>
          <w:b/>
          <w:color w:val="000000" w:themeColor="text1"/>
        </w:rPr>
        <w:t>I. De las pruebas aportadas por las partes.</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0A803EC2" w14:textId="5E5BB9C9" w:rsidR="00710B50" w:rsidRPr="00710B50" w:rsidRDefault="00CA62D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La </w:t>
      </w:r>
      <w:r>
        <w:rPr>
          <w:rFonts w:ascii="Palatino Linotype" w:hAnsi="Palatino Linotype"/>
          <w:color w:val="000000" w:themeColor="text1"/>
        </w:rPr>
        <w:t>Ley de Transparencia y Acceso a la Información Pública del Estado de México y Municipios, en sus artículos 180 y 185, establece lo siguiente:</w:t>
      </w:r>
    </w:p>
    <w:p w14:paraId="3293F046"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3DF05F01"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785321">
        <w:rPr>
          <w:rFonts w:ascii="Palatino Linotype" w:hAnsi="Palatino Linotype"/>
          <w:b/>
          <w:i/>
          <w:sz w:val="22"/>
        </w:rPr>
        <w:t>Artículo 180.</w:t>
      </w:r>
      <w:r w:rsidRPr="00785321">
        <w:rPr>
          <w:rFonts w:ascii="Palatino Linotype" w:hAnsi="Palatino Linotype"/>
          <w:i/>
          <w:sz w:val="22"/>
        </w:rPr>
        <w:t xml:space="preserve"> El recurso de revisión contendrá: </w:t>
      </w:r>
    </w:p>
    <w:p w14:paraId="49796DD9"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w:t>
      </w:r>
      <w:r w:rsidRPr="00785321">
        <w:rPr>
          <w:rFonts w:ascii="Palatino Linotype" w:hAnsi="Palatino Linotype"/>
          <w:i/>
          <w:sz w:val="22"/>
        </w:rPr>
        <w:t xml:space="preserve"> El sujeto obligado ante la cual se presentó la solicitud; </w:t>
      </w:r>
    </w:p>
    <w:p w14:paraId="5277F86B"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w:t>
      </w:r>
      <w:r w:rsidRPr="00785321">
        <w:rPr>
          <w:rFonts w:ascii="Palatino Linotype" w:hAnsi="Palatino Linotype"/>
          <w:i/>
          <w:sz w:val="22"/>
        </w:rPr>
        <w:t xml:space="preserve"> El nombre del solicitante que recurre o de su representante y, en su caso, del tercero interesado, así como la dirección o medio que señale para recibir notificaciones; </w:t>
      </w:r>
    </w:p>
    <w:p w14:paraId="5F8211DD"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III.</w:t>
      </w:r>
      <w:r w:rsidRPr="00785321">
        <w:rPr>
          <w:rFonts w:ascii="Palatino Linotype" w:hAnsi="Palatino Linotype"/>
          <w:i/>
          <w:sz w:val="22"/>
        </w:rPr>
        <w:t xml:space="preserve"> El número de folio de respuesta de la solicitud de acceso; </w:t>
      </w:r>
    </w:p>
    <w:p w14:paraId="1BF421D4"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IV.</w:t>
      </w:r>
      <w:r w:rsidRPr="00785321">
        <w:rPr>
          <w:rFonts w:ascii="Palatino Linotype" w:hAnsi="Palatino Linotype"/>
          <w:i/>
          <w:sz w:val="22"/>
        </w:rPr>
        <w:t xml:space="preserve"> La fecha en que fue notificada la respuesta al solicitante o tuvo conocimiento del acto reclamado, o de presentación de la solicitud, en caso de falta de respuesta; </w:t>
      </w:r>
    </w:p>
    <w:p w14:paraId="7FC293FC"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w:t>
      </w:r>
      <w:r w:rsidRPr="00785321">
        <w:rPr>
          <w:rFonts w:ascii="Palatino Linotype" w:hAnsi="Palatino Linotype"/>
          <w:i/>
          <w:sz w:val="22"/>
        </w:rPr>
        <w:t xml:space="preserve"> El acto que se recurre; </w:t>
      </w:r>
    </w:p>
    <w:p w14:paraId="66B41FCF"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w:t>
      </w:r>
      <w:r w:rsidRPr="00785321">
        <w:rPr>
          <w:rFonts w:ascii="Palatino Linotype" w:hAnsi="Palatino Linotype"/>
          <w:i/>
          <w:sz w:val="22"/>
        </w:rPr>
        <w:t xml:space="preserve"> Las razones o motivos de inconformidad; </w:t>
      </w:r>
    </w:p>
    <w:p w14:paraId="27352C61"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w:t>
      </w:r>
      <w:r w:rsidRPr="00785321">
        <w:rPr>
          <w:rFonts w:ascii="Palatino Linotype" w:hAnsi="Palatino Linotype"/>
          <w:i/>
          <w:sz w:val="22"/>
        </w:rPr>
        <w:t xml:space="preserve"> La copia de la respuesta que se impugna y, en su caso, de la notificación correspondiente, en el caso de respuesta de la solicitud; y </w:t>
      </w:r>
    </w:p>
    <w:p w14:paraId="3DF45975"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VIII.</w:t>
      </w:r>
      <w:r w:rsidRPr="00785321">
        <w:rPr>
          <w:rFonts w:ascii="Palatino Linotype" w:hAnsi="Palatino Linotype"/>
          <w:i/>
          <w:sz w:val="22"/>
        </w:rPr>
        <w:t xml:space="preserve"> Firma del recurrente, en su caso, cuando se presente por escrito, requisito sin el cual se dará trámite al recurso. </w:t>
      </w:r>
    </w:p>
    <w:p w14:paraId="6218BDA3"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785321">
        <w:rPr>
          <w:rFonts w:ascii="Palatino Linotype" w:hAnsi="Palatino Linotype"/>
          <w:b/>
          <w:i/>
          <w:sz w:val="22"/>
        </w:rPr>
        <w:t>Adicionalmente, se podrán anexar las pruebas y demás elementos que considere procedentes someter a juicio del Instituto.</w:t>
      </w:r>
    </w:p>
    <w:p w14:paraId="7FF332A6"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695D73C2"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p>
    <w:p w14:paraId="5483D3D8"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CA62D4">
        <w:rPr>
          <w:rFonts w:ascii="Palatino Linotype" w:hAnsi="Palatino Linotype"/>
          <w:b/>
          <w:i/>
          <w:sz w:val="22"/>
        </w:rPr>
        <w:t xml:space="preserve">Artículo 185. </w:t>
      </w:r>
      <w:r w:rsidRPr="00CA62D4">
        <w:rPr>
          <w:rFonts w:ascii="Palatino Linotype" w:hAnsi="Palatino Linotype"/>
          <w:i/>
          <w:sz w:val="22"/>
        </w:rPr>
        <w:t xml:space="preserve">El Instituto resolverá el recurso de revisión conforme a lo siguiente: </w:t>
      </w:r>
    </w:p>
    <w:p w14:paraId="000BFB8B"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1982A4B7" w14:textId="77777777" w:rsid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sidRPr="00CA62D4">
        <w:rPr>
          <w:rFonts w:ascii="Palatino Linotype" w:hAnsi="Palatino Linotype"/>
          <w:b/>
          <w:i/>
          <w:sz w:val="22"/>
        </w:rPr>
        <w:t xml:space="preserve"> II.</w:t>
      </w:r>
      <w:r w:rsidRPr="00CA62D4">
        <w:rPr>
          <w:rFonts w:ascii="Palatino Linotype" w:hAnsi="Palatino Linotype"/>
          <w:i/>
          <w:sz w:val="22"/>
        </w:rPr>
        <w:t xml:space="preserve"> Admitido el recurso de revisión, la o el Comisionado ponente deberá integrar un expediente y ponerlo a disposición de las partes, para que, en un plazo máximo de siete días hábiles, manifiesten lo que a su derecho convenga; </w:t>
      </w:r>
    </w:p>
    <w:p w14:paraId="474CE9EA" w14:textId="3686DDDB" w:rsidR="00CA62D4" w:rsidRPr="00CA62D4" w:rsidRDefault="00CA62D4" w:rsidP="00CA62D4">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lastRenderedPageBreak/>
        <w:t>(…)</w:t>
      </w:r>
    </w:p>
    <w:p w14:paraId="6A2FF1C6" w14:textId="6CB6814F" w:rsidR="00CA62D4" w:rsidRPr="00785321" w:rsidRDefault="00CA62D4" w:rsidP="00CA62D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A62D4">
        <w:rPr>
          <w:rFonts w:ascii="Palatino Linotype" w:hAnsi="Palatino Linotype"/>
          <w:b/>
          <w:i/>
          <w:sz w:val="22"/>
        </w:rPr>
        <w:t>IV. Dentro del plazo mencionado en la fracción II, las partes podrán ofrecer todo tipo de pruebas o alegatos</w:t>
      </w:r>
      <w:r w:rsidRPr="00CA62D4">
        <w:rPr>
          <w:rFonts w:ascii="Palatino Linotype" w:hAnsi="Palatino Linotype"/>
          <w:i/>
          <w:sz w:val="22"/>
        </w:rPr>
        <w:t xml:space="preserve"> excepto la confesional por parte de los sujetos obligados y aquéllas que sean contrarias a derecho;</w:t>
      </w:r>
      <w:r>
        <w:rPr>
          <w:rFonts w:ascii="Palatino Linotype" w:hAnsi="Palatino Linotype"/>
          <w:i/>
          <w:sz w:val="22"/>
        </w:rPr>
        <w:t>”</w:t>
      </w:r>
    </w:p>
    <w:p w14:paraId="0135074C"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4F43DA3" w14:textId="47DB8414" w:rsidR="00710B50" w:rsidRPr="00710B50" w:rsidRDefault="00CA62D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De </w:t>
      </w:r>
      <w:r>
        <w:rPr>
          <w:rFonts w:ascii="Palatino Linotype" w:hAnsi="Palatino Linotype"/>
          <w:color w:val="000000" w:themeColor="text1"/>
        </w:rPr>
        <w:t xml:space="preserve">la lectura al dispositivo normativo inserto </w:t>
      </w:r>
      <w:r>
        <w:rPr>
          <w:rFonts w:ascii="Palatino Linotype" w:hAnsi="Palatino Linotype"/>
          <w:i/>
          <w:color w:val="000000" w:themeColor="text1"/>
        </w:rPr>
        <w:t>supra</w:t>
      </w:r>
      <w:r>
        <w:rPr>
          <w:rFonts w:ascii="Palatino Linotype" w:hAnsi="Palatino Linotype"/>
          <w:color w:val="000000" w:themeColor="text1"/>
        </w:rPr>
        <w:t xml:space="preserve"> se identifican los elementos esenciales que deberá contener el recurso de revisión para que éste sea procedente; así mismo, se señala que, adicionalmente, el </w:t>
      </w:r>
      <w:r>
        <w:rPr>
          <w:rFonts w:ascii="Palatino Linotype" w:hAnsi="Palatino Linotype"/>
          <w:b/>
          <w:color w:val="000000" w:themeColor="text1"/>
        </w:rPr>
        <w:t>RECURRENTE</w:t>
      </w:r>
      <w:r>
        <w:rPr>
          <w:rFonts w:ascii="Palatino Linotype" w:hAnsi="Palatino Linotype"/>
          <w:color w:val="000000" w:themeColor="text1"/>
        </w:rPr>
        <w:t xml:space="preserve"> podrá adjuntar las pruebas y demás elementos que considere procedentes para que sean sometidos a juicio de este Órgano Garante, resultando en el mismo sentido en favor del </w:t>
      </w:r>
      <w:r>
        <w:rPr>
          <w:rFonts w:ascii="Palatino Linotype" w:hAnsi="Palatino Linotype"/>
          <w:b/>
          <w:color w:val="000000" w:themeColor="text1"/>
        </w:rPr>
        <w:t>SUJETO OBLIGADO</w:t>
      </w:r>
      <w:r>
        <w:rPr>
          <w:rFonts w:ascii="Palatino Linotype" w:hAnsi="Palatino Linotype"/>
          <w:color w:val="000000" w:themeColor="text1"/>
        </w:rPr>
        <w:t>, ya que dentro de la etapa de instrucción del recurso de revisión, también podrá aportar todo tipo de pruebas o alegatos.</w:t>
      </w:r>
    </w:p>
    <w:p w14:paraId="70757090" w14:textId="77777777" w:rsidR="00710B50" w:rsidRP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2E3A5269" w14:textId="5FF94494" w:rsidR="00710B50" w:rsidRPr="00710B50" w:rsidRDefault="00CA62D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Dicho </w:t>
      </w:r>
      <w:r>
        <w:rPr>
          <w:rFonts w:ascii="Palatino Linotype" w:hAnsi="Palatino Linotype"/>
          <w:color w:val="000000" w:themeColor="text1"/>
        </w:rPr>
        <w:t xml:space="preserve">lo anterior, si bien es cierto que la Ley de la materia no considera </w:t>
      </w:r>
      <w:r>
        <w:rPr>
          <w:rFonts w:ascii="Palatino Linotype" w:hAnsi="Palatino Linotype"/>
          <w:i/>
          <w:color w:val="000000" w:themeColor="text1"/>
        </w:rPr>
        <w:t>per se</w:t>
      </w:r>
      <w:r>
        <w:rPr>
          <w:rFonts w:ascii="Palatino Linotype" w:hAnsi="Palatino Linotype"/>
          <w:color w:val="000000" w:themeColor="text1"/>
        </w:rPr>
        <w:t xml:space="preserve"> un apartado específico relativo a la valoración de las pruebas que presenten las partes, también lo es que reconoce, expresamente, que durante la </w:t>
      </w:r>
      <w:r w:rsidRPr="002D28CB">
        <w:rPr>
          <w:rFonts w:ascii="Palatino Linotype" w:hAnsi="Palatino Linotype"/>
          <w:color w:val="000000" w:themeColor="text1"/>
        </w:rPr>
        <w:t>tramitación del recurso de revisión se aplicarán supletoriamente las disposiciones contenidas en el Código de Procedimientos Administrativos del Estado de México</w:t>
      </w:r>
      <w:r>
        <w:rPr>
          <w:rStyle w:val="Refdenotaalpie"/>
          <w:rFonts w:ascii="Palatino Linotype" w:hAnsi="Palatino Linotype"/>
          <w:color w:val="000000" w:themeColor="text1"/>
        </w:rPr>
        <w:footnoteReference w:id="1"/>
      </w:r>
      <w:r w:rsidRPr="002D28CB">
        <w:rPr>
          <w:rFonts w:ascii="Palatino Linotype" w:hAnsi="Palatino Linotype"/>
          <w:color w:val="000000" w:themeColor="text1"/>
        </w:rPr>
        <w:t>.</w:t>
      </w:r>
    </w:p>
    <w:p w14:paraId="646C3AEC" w14:textId="77777777" w:rsidR="00710B50" w:rsidRP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3B1B3750" w14:textId="27541F4A" w:rsidR="00710B50" w:rsidRDefault="00CA62D4"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Al </w:t>
      </w:r>
      <w:r>
        <w:rPr>
          <w:rFonts w:ascii="Palatino Linotype" w:hAnsi="Palatino Linotype"/>
          <w:color w:val="000000" w:themeColor="text1"/>
        </w:rPr>
        <w:t>respecto, el Código de Procedimientos Administrativos del Estado de México, en su numeral 38, enlista y reconoce los medios de prueba admisibles en el procedimiento administrativo, a saber:</w:t>
      </w:r>
    </w:p>
    <w:p w14:paraId="3962B726"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Pr>
          <w:rFonts w:ascii="Palatino Linotype" w:hAnsi="Palatino Linotype"/>
          <w:color w:val="000000" w:themeColor="text1"/>
        </w:rPr>
        <w:t>Confesional</w:t>
      </w:r>
      <w:r w:rsidRPr="002D28CB">
        <w:rPr>
          <w:rFonts w:ascii="Palatino Linotype" w:hAnsi="Palatino Linotype"/>
          <w:color w:val="000000" w:themeColor="text1"/>
        </w:rPr>
        <w:t>;</w:t>
      </w:r>
    </w:p>
    <w:p w14:paraId="1B18F424"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t>Documentos públicos y privados;</w:t>
      </w:r>
    </w:p>
    <w:p w14:paraId="275AB98F"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lastRenderedPageBreak/>
        <w:t>Testimonial;</w:t>
      </w:r>
    </w:p>
    <w:p w14:paraId="5E8D6A6E"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t>Inspección;</w:t>
      </w:r>
    </w:p>
    <w:p w14:paraId="7238E2BD"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t>Pericial;</w:t>
      </w:r>
    </w:p>
    <w:p w14:paraId="0B5F5244"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t>Presuncional;</w:t>
      </w:r>
    </w:p>
    <w:p w14:paraId="62E3B9DE" w14:textId="77777777" w:rsidR="00CA62D4" w:rsidRPr="002D28CB" w:rsidRDefault="00CA62D4" w:rsidP="00CA62D4">
      <w:pPr>
        <w:pStyle w:val="Prrafodelista"/>
        <w:numPr>
          <w:ilvl w:val="1"/>
          <w:numId w:val="46"/>
        </w:numPr>
        <w:tabs>
          <w:tab w:val="left" w:pos="426"/>
        </w:tabs>
        <w:spacing w:before="240" w:after="240" w:line="276" w:lineRule="auto"/>
        <w:ind w:left="1134" w:right="51"/>
        <w:jc w:val="both"/>
        <w:rPr>
          <w:rFonts w:ascii="Palatino Linotype" w:hAnsi="Palatino Linotype"/>
          <w:color w:val="000000" w:themeColor="text1"/>
        </w:rPr>
      </w:pPr>
      <w:r w:rsidRPr="002D28CB">
        <w:rPr>
          <w:rFonts w:ascii="Palatino Linotype" w:hAnsi="Palatino Linotype"/>
          <w:color w:val="000000" w:themeColor="text1"/>
        </w:rPr>
        <w:t>Instrumental; y</w:t>
      </w:r>
    </w:p>
    <w:p w14:paraId="61411C0B" w14:textId="555E5835" w:rsidR="00CA62D4" w:rsidRPr="00710B50" w:rsidRDefault="00CA62D4" w:rsidP="00CA62D4">
      <w:pPr>
        <w:pStyle w:val="Prrafodelista"/>
        <w:numPr>
          <w:ilvl w:val="1"/>
          <w:numId w:val="46"/>
        </w:numPr>
        <w:tabs>
          <w:tab w:val="left" w:pos="426"/>
        </w:tabs>
        <w:spacing w:line="360" w:lineRule="auto"/>
        <w:ind w:left="1134"/>
        <w:jc w:val="both"/>
        <w:rPr>
          <w:rFonts w:ascii="Palatino Linotype" w:hAnsi="Palatino Linotype"/>
          <w:color w:val="000000" w:themeColor="text1"/>
        </w:rPr>
      </w:pPr>
      <w:r w:rsidRPr="002D28CB">
        <w:rPr>
          <w:rFonts w:ascii="Palatino Linotype" w:hAnsi="Palatino Linotype"/>
          <w:color w:val="000000" w:themeColor="text1"/>
        </w:rPr>
        <w:t>Fotografías y demás elementos aportados por la ciencia.</w:t>
      </w:r>
    </w:p>
    <w:p w14:paraId="271D5E41" w14:textId="77777777" w:rsidR="00710B50" w:rsidRP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2D4E2CF1" w14:textId="66102DC8" w:rsidR="00710B50" w:rsidRPr="00710B50" w:rsidRDefault="002617DC"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Siendo de especial interés la </w:t>
      </w:r>
      <w:r>
        <w:rPr>
          <w:rFonts w:ascii="Palatino Linotype" w:eastAsia="Calibri" w:hAnsi="Palatino Linotype" w:cs="Arial"/>
          <w:b/>
          <w:color w:val="000000" w:themeColor="text1"/>
        </w:rPr>
        <w:t>documental</w:t>
      </w:r>
      <w:r>
        <w:rPr>
          <w:rFonts w:ascii="Palatino Linotype" w:eastAsia="Calibri" w:hAnsi="Palatino Linotype" w:cs="Arial"/>
          <w:color w:val="000000" w:themeColor="text1"/>
        </w:rPr>
        <w:t xml:space="preserve">, </w:t>
      </w:r>
      <w:r>
        <w:rPr>
          <w:rFonts w:ascii="Palatino Linotype" w:eastAsia="Calibri" w:hAnsi="Palatino Linotype" w:cs="Arial"/>
          <w:b/>
          <w:color w:val="000000" w:themeColor="text1"/>
        </w:rPr>
        <w:t>presuncional</w:t>
      </w:r>
      <w:r>
        <w:rPr>
          <w:rFonts w:ascii="Palatino Linotype" w:eastAsia="Calibri" w:hAnsi="Palatino Linotype" w:cs="Arial"/>
          <w:color w:val="000000" w:themeColor="text1"/>
        </w:rPr>
        <w:t xml:space="preserve">, y la </w:t>
      </w:r>
      <w:r>
        <w:rPr>
          <w:rFonts w:ascii="Palatino Linotype" w:eastAsia="Calibri" w:hAnsi="Palatino Linotype" w:cs="Arial"/>
          <w:b/>
          <w:color w:val="000000" w:themeColor="text1"/>
        </w:rPr>
        <w:t>instrumental</w:t>
      </w:r>
      <w:r>
        <w:rPr>
          <w:rFonts w:ascii="Palatino Linotype" w:eastAsia="Calibri" w:hAnsi="Palatino Linotype" w:cs="Arial"/>
          <w:color w:val="000000" w:themeColor="text1"/>
        </w:rPr>
        <w:t xml:space="preserve">, las cuales fueron señaladas por el </w:t>
      </w:r>
      <w:r>
        <w:rPr>
          <w:rFonts w:ascii="Palatino Linotype" w:eastAsia="Calibri" w:hAnsi="Palatino Linotype" w:cs="Arial"/>
          <w:b/>
          <w:color w:val="000000" w:themeColor="text1"/>
        </w:rPr>
        <w:t>SUJETO OBLIGADO</w:t>
      </w:r>
      <w:r>
        <w:rPr>
          <w:rFonts w:ascii="Palatino Linotype" w:eastAsia="Calibri" w:hAnsi="Palatino Linotype" w:cs="Arial"/>
          <w:color w:val="000000" w:themeColor="text1"/>
        </w:rPr>
        <w:t xml:space="preserve"> dentro de su recurso de revisión; así como las </w:t>
      </w:r>
      <w:r>
        <w:rPr>
          <w:rFonts w:ascii="Palatino Linotype" w:eastAsia="Calibri" w:hAnsi="Palatino Linotype" w:cs="Arial"/>
          <w:b/>
          <w:color w:val="000000" w:themeColor="text1"/>
        </w:rPr>
        <w:t>fotografías y demás elementos aportados por la ciencia</w:t>
      </w:r>
      <w:r>
        <w:rPr>
          <w:rFonts w:ascii="Palatino Linotype" w:eastAsia="Calibri" w:hAnsi="Palatino Linotype" w:cs="Arial"/>
          <w:color w:val="000000" w:themeColor="text1"/>
        </w:rPr>
        <w:t xml:space="preserve">, ya que los alegatos del </w:t>
      </w:r>
      <w:r>
        <w:rPr>
          <w:rFonts w:ascii="Palatino Linotype" w:eastAsia="Calibri" w:hAnsi="Palatino Linotype" w:cs="Arial"/>
          <w:b/>
          <w:color w:val="000000" w:themeColor="text1"/>
        </w:rPr>
        <w:t>RECURRENTE</w:t>
      </w:r>
      <w:r>
        <w:rPr>
          <w:rFonts w:ascii="Palatino Linotype" w:eastAsia="Calibri" w:hAnsi="Palatino Linotype" w:cs="Arial"/>
          <w:color w:val="000000" w:themeColor="text1"/>
        </w:rPr>
        <w:t xml:space="preserve"> devienen de una serie de capturas de pantalla realizadas a los documentos entregados en la respuesta inicialmente proveída a su solicitud de información.</w:t>
      </w:r>
    </w:p>
    <w:p w14:paraId="2CB5BA62" w14:textId="77777777" w:rsidR="00710B50" w:rsidRP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5D5DB5A5" w14:textId="45E21B37" w:rsidR="00710B50" w:rsidRPr="002617DC" w:rsidRDefault="002617DC"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Al respecto, el Código de Procedimientos Administrativos del Estado de México, en su artículo 57, reconoce por </w:t>
      </w:r>
      <w:r>
        <w:rPr>
          <w:rFonts w:ascii="Palatino Linotype" w:eastAsia="Calibri" w:hAnsi="Palatino Linotype" w:cs="Arial"/>
          <w:b/>
          <w:color w:val="000000" w:themeColor="text1"/>
        </w:rPr>
        <w:t>documentos públicos</w:t>
      </w:r>
      <w:r>
        <w:rPr>
          <w:rFonts w:ascii="Palatino Linotype" w:eastAsia="Calibri" w:hAnsi="Palatino Linotype" w:cs="Arial"/>
          <w:color w:val="000000" w:themeColor="text1"/>
        </w:rPr>
        <w:t xml:space="preserve"> </w:t>
      </w:r>
      <w:r w:rsidRPr="002617DC">
        <w:rPr>
          <w:rFonts w:ascii="Palatino Linotype" w:eastAsia="Calibri" w:hAnsi="Palatino Linotype" w:cs="Arial"/>
          <w:color w:val="000000" w:themeColor="text1"/>
        </w:rPr>
        <w:t>aquéllos cuya formulación está encomendada por ley, dentro de los límites de sus facultades, a las personas dotadas de fe pública y los expedidos por servidores públicos en</w:t>
      </w:r>
      <w:r>
        <w:rPr>
          <w:rFonts w:ascii="Palatino Linotype" w:eastAsia="Calibri" w:hAnsi="Palatino Linotype" w:cs="Arial"/>
          <w:color w:val="000000" w:themeColor="text1"/>
        </w:rPr>
        <w:t xml:space="preserve"> el ejercicio de sus funciones; asimismo, refiere que la </w:t>
      </w:r>
      <w:r w:rsidRPr="002617DC">
        <w:rPr>
          <w:rFonts w:ascii="Palatino Linotype" w:eastAsia="Calibri" w:hAnsi="Palatino Linotype" w:cs="Arial"/>
          <w:color w:val="000000" w:themeColor="text1"/>
        </w:rPr>
        <w:t>calidad de públicos se demuestra por la existencia regular, sobre los documentos, de sellos, firmas u otros signos exteriores que, en su caso, prevengan las leyes, salvo prueba en contrario.</w:t>
      </w:r>
      <w:r>
        <w:rPr>
          <w:rFonts w:ascii="Palatino Linotype" w:eastAsia="Calibri" w:hAnsi="Palatino Linotype" w:cs="Arial"/>
          <w:color w:val="000000" w:themeColor="text1"/>
        </w:rPr>
        <w:t xml:space="preserve"> Por otro lado, identifica a los </w:t>
      </w:r>
      <w:r>
        <w:rPr>
          <w:rFonts w:ascii="Palatino Linotype" w:eastAsia="Calibri" w:hAnsi="Palatino Linotype" w:cs="Arial"/>
          <w:b/>
          <w:color w:val="000000" w:themeColor="text1"/>
        </w:rPr>
        <w:t>documentos privados</w:t>
      </w:r>
      <w:r>
        <w:rPr>
          <w:rFonts w:ascii="Palatino Linotype" w:eastAsia="Calibri" w:hAnsi="Palatino Linotype" w:cs="Arial"/>
          <w:color w:val="000000" w:themeColor="text1"/>
        </w:rPr>
        <w:t xml:space="preserve"> a aquéllos que no reúnan las condiciones previstas para los públicos</w:t>
      </w:r>
      <w:r>
        <w:rPr>
          <w:rStyle w:val="Refdenotaalpie"/>
          <w:rFonts w:ascii="Palatino Linotype" w:eastAsia="Calibri" w:hAnsi="Palatino Linotype" w:cs="Arial"/>
          <w:color w:val="000000" w:themeColor="text1"/>
        </w:rPr>
        <w:footnoteReference w:id="2"/>
      </w:r>
      <w:r>
        <w:rPr>
          <w:rFonts w:ascii="Palatino Linotype" w:eastAsia="Calibri" w:hAnsi="Palatino Linotype" w:cs="Arial"/>
          <w:color w:val="000000" w:themeColor="text1"/>
        </w:rPr>
        <w:t>.</w:t>
      </w:r>
    </w:p>
    <w:p w14:paraId="0CF6F467" w14:textId="77777777" w:rsidR="002617DC" w:rsidRPr="002617DC" w:rsidRDefault="002617DC" w:rsidP="002617DC">
      <w:pPr>
        <w:pStyle w:val="Prrafodelista"/>
        <w:tabs>
          <w:tab w:val="left" w:pos="426"/>
        </w:tabs>
        <w:spacing w:line="360" w:lineRule="auto"/>
        <w:ind w:left="0"/>
        <w:jc w:val="both"/>
        <w:rPr>
          <w:rFonts w:ascii="Palatino Linotype" w:hAnsi="Palatino Linotype"/>
          <w:color w:val="000000" w:themeColor="text1"/>
        </w:rPr>
      </w:pPr>
    </w:p>
    <w:p w14:paraId="15B93FCE" w14:textId="15E8ED78" w:rsidR="002617DC" w:rsidRPr="002617DC" w:rsidRDefault="002617DC"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lastRenderedPageBreak/>
        <w:t xml:space="preserve">Por cuanto hace a la prueba </w:t>
      </w:r>
      <w:r w:rsidRPr="004B4713">
        <w:rPr>
          <w:rFonts w:ascii="Palatino Linotype" w:eastAsia="Calibri" w:hAnsi="Palatino Linotype" w:cs="Arial"/>
          <w:b/>
          <w:color w:val="000000" w:themeColor="text1"/>
        </w:rPr>
        <w:t>presuncional</w:t>
      </w:r>
      <w:r>
        <w:rPr>
          <w:rFonts w:ascii="Palatino Linotype" w:eastAsia="Calibri" w:hAnsi="Palatino Linotype" w:cs="Arial"/>
          <w:color w:val="000000" w:themeColor="text1"/>
        </w:rPr>
        <w:t xml:space="preserve">, se establece como </w:t>
      </w:r>
      <w:r>
        <w:rPr>
          <w:rFonts w:ascii="Palatino Linotype" w:eastAsia="Calibri" w:hAnsi="Palatino Linotype" w:cs="Arial"/>
          <w:i/>
          <w:color w:val="000000" w:themeColor="text1"/>
        </w:rPr>
        <w:t>presunción</w:t>
      </w:r>
      <w:r>
        <w:rPr>
          <w:rFonts w:ascii="Palatino Linotype" w:eastAsia="Calibri" w:hAnsi="Palatino Linotype" w:cs="Arial"/>
          <w:color w:val="000000" w:themeColor="text1"/>
        </w:rPr>
        <w:t xml:space="preserve"> como la </w:t>
      </w:r>
      <w:r w:rsidRPr="002617DC">
        <w:rPr>
          <w:rFonts w:ascii="Palatino Linotype" w:eastAsia="Calibri" w:hAnsi="Palatino Linotype" w:cs="Arial"/>
          <w:color w:val="000000" w:themeColor="text1"/>
        </w:rPr>
        <w:t>consecuencia que la ley, autoridad administrativa o el Tribunal</w:t>
      </w:r>
      <w:r>
        <w:rPr>
          <w:rFonts w:ascii="Palatino Linotype" w:eastAsia="Calibri" w:hAnsi="Palatino Linotype" w:cs="Arial"/>
          <w:color w:val="000000" w:themeColor="text1"/>
        </w:rPr>
        <w:t xml:space="preserve"> de Justicia Administrativa del Estado de México</w:t>
      </w:r>
      <w:r w:rsidRPr="002617DC">
        <w:rPr>
          <w:rFonts w:ascii="Palatino Linotype" w:eastAsia="Calibri" w:hAnsi="Palatino Linotype" w:cs="Arial"/>
          <w:color w:val="000000" w:themeColor="text1"/>
        </w:rPr>
        <w:t xml:space="preserve"> deducen de un hecho conocido para averiguar la verdad de otro desconocido; la primera se llama legal y la segunda humana. </w:t>
      </w:r>
      <w:r>
        <w:rPr>
          <w:rFonts w:ascii="Palatino Linotype" w:eastAsia="Calibri" w:hAnsi="Palatino Linotype" w:cs="Arial"/>
          <w:color w:val="000000" w:themeColor="text1"/>
        </w:rPr>
        <w:t>en ese sentido, h</w:t>
      </w:r>
      <w:r w:rsidRPr="002617DC">
        <w:rPr>
          <w:rFonts w:ascii="Palatino Linotype" w:eastAsia="Calibri" w:hAnsi="Palatino Linotype" w:cs="Arial"/>
          <w:color w:val="000000" w:themeColor="text1"/>
        </w:rPr>
        <w:t>ay presunción legal cuando la</w:t>
      </w:r>
      <w:r>
        <w:rPr>
          <w:rFonts w:ascii="Palatino Linotype" w:eastAsia="Calibri" w:hAnsi="Palatino Linotype" w:cs="Arial"/>
          <w:color w:val="000000" w:themeColor="text1"/>
        </w:rPr>
        <w:t xml:space="preserve"> ley la establece expresamente; por su parte, hay </w:t>
      </w:r>
      <w:r w:rsidRPr="002617DC">
        <w:rPr>
          <w:rFonts w:ascii="Palatino Linotype" w:eastAsia="Calibri" w:hAnsi="Palatino Linotype" w:cs="Arial"/>
          <w:color w:val="000000" w:themeColor="text1"/>
        </w:rPr>
        <w:t>presunción humana cuando de un hecho debidamente probado se deduce otro que es consecuencia ordinaria de aquél</w:t>
      </w:r>
      <w:r>
        <w:rPr>
          <w:rStyle w:val="Refdenotaalpie"/>
          <w:rFonts w:ascii="Palatino Linotype" w:eastAsia="Calibri" w:hAnsi="Palatino Linotype" w:cs="Arial"/>
          <w:color w:val="000000" w:themeColor="text1"/>
        </w:rPr>
        <w:footnoteReference w:id="3"/>
      </w:r>
      <w:r w:rsidRPr="002617DC">
        <w:rPr>
          <w:rFonts w:ascii="Palatino Linotype" w:eastAsia="Calibri" w:hAnsi="Palatino Linotype" w:cs="Arial"/>
          <w:color w:val="000000" w:themeColor="text1"/>
        </w:rPr>
        <w:t>.</w:t>
      </w:r>
    </w:p>
    <w:p w14:paraId="790ABEB9" w14:textId="77777777" w:rsidR="002617DC" w:rsidRPr="002617DC" w:rsidRDefault="002617DC" w:rsidP="002617DC">
      <w:pPr>
        <w:pStyle w:val="Prrafodelista"/>
        <w:tabs>
          <w:tab w:val="left" w:pos="426"/>
        </w:tabs>
        <w:spacing w:line="360" w:lineRule="auto"/>
        <w:ind w:left="0"/>
        <w:jc w:val="both"/>
        <w:rPr>
          <w:rFonts w:ascii="Palatino Linotype" w:hAnsi="Palatino Linotype"/>
          <w:color w:val="000000" w:themeColor="text1"/>
        </w:rPr>
      </w:pPr>
    </w:p>
    <w:p w14:paraId="7ED175C2" w14:textId="093A58FD" w:rsidR="002617DC" w:rsidRPr="002617DC" w:rsidRDefault="002617DC"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En lo que corresponde a la prueba </w:t>
      </w:r>
      <w:r w:rsidRPr="004B4713">
        <w:rPr>
          <w:rFonts w:ascii="Palatino Linotype" w:eastAsia="Calibri" w:hAnsi="Palatino Linotype" w:cs="Arial"/>
          <w:b/>
          <w:color w:val="000000" w:themeColor="text1"/>
        </w:rPr>
        <w:t>instrumental</w:t>
      </w:r>
      <w:r>
        <w:rPr>
          <w:rFonts w:ascii="Palatino Linotype" w:eastAsia="Calibri" w:hAnsi="Palatino Linotype" w:cs="Arial"/>
          <w:color w:val="000000" w:themeColor="text1"/>
        </w:rPr>
        <w:t xml:space="preserve">, ésta es el </w:t>
      </w:r>
      <w:r w:rsidRPr="002617DC">
        <w:rPr>
          <w:rFonts w:ascii="Palatino Linotype" w:eastAsia="Calibri" w:hAnsi="Palatino Linotype" w:cs="Arial"/>
          <w:color w:val="000000" w:themeColor="text1"/>
        </w:rPr>
        <w:t>conjunto de actuaciones que obren en el expediente formado con motivo del asunto</w:t>
      </w:r>
      <w:r>
        <w:rPr>
          <w:rStyle w:val="Refdenotaalpie"/>
          <w:rFonts w:ascii="Palatino Linotype" w:eastAsia="Calibri" w:hAnsi="Palatino Linotype" w:cs="Arial"/>
          <w:color w:val="000000" w:themeColor="text1"/>
        </w:rPr>
        <w:footnoteReference w:id="4"/>
      </w:r>
      <w:r w:rsidRPr="002617DC">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En razón de lo anterior, la </w:t>
      </w:r>
      <w:r w:rsidRPr="002617DC">
        <w:rPr>
          <w:rFonts w:ascii="Palatino Linotype" w:eastAsia="Calibri" w:hAnsi="Palatino Linotype" w:cs="Arial"/>
          <w:color w:val="000000" w:themeColor="text1"/>
        </w:rPr>
        <w:t>autoridad administrativa o el Tribunal están obligados a tomar en cuenta las actuaciones que obren en el expediente</w:t>
      </w:r>
      <w:r>
        <w:rPr>
          <w:rStyle w:val="Refdenotaalpie"/>
          <w:rFonts w:ascii="Palatino Linotype" w:eastAsia="Calibri" w:hAnsi="Palatino Linotype" w:cs="Arial"/>
          <w:color w:val="000000" w:themeColor="text1"/>
        </w:rPr>
        <w:footnoteReference w:id="5"/>
      </w:r>
      <w:r w:rsidRPr="002617DC">
        <w:rPr>
          <w:rFonts w:ascii="Palatino Linotype" w:eastAsia="Calibri" w:hAnsi="Palatino Linotype" w:cs="Arial"/>
          <w:color w:val="000000" w:themeColor="text1"/>
        </w:rPr>
        <w:t>.</w:t>
      </w:r>
    </w:p>
    <w:p w14:paraId="2C43BEF6" w14:textId="77777777" w:rsidR="002617DC" w:rsidRPr="002617DC" w:rsidRDefault="002617DC" w:rsidP="002617DC">
      <w:pPr>
        <w:pStyle w:val="Prrafodelista"/>
        <w:tabs>
          <w:tab w:val="left" w:pos="426"/>
        </w:tabs>
        <w:spacing w:line="360" w:lineRule="auto"/>
        <w:ind w:left="0"/>
        <w:jc w:val="both"/>
        <w:rPr>
          <w:rFonts w:ascii="Palatino Linotype" w:hAnsi="Palatino Linotype"/>
          <w:color w:val="000000" w:themeColor="text1"/>
        </w:rPr>
      </w:pPr>
    </w:p>
    <w:p w14:paraId="383C3408" w14:textId="42C53BC3" w:rsidR="002617DC" w:rsidRPr="002617DC" w:rsidRDefault="004B4713"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Finalmente, por cuanto hace a las </w:t>
      </w:r>
      <w:r>
        <w:rPr>
          <w:rFonts w:ascii="Palatino Linotype" w:hAnsi="Palatino Linotype"/>
          <w:color w:val="000000" w:themeColor="text1"/>
        </w:rPr>
        <w:t xml:space="preserve">pruebas relacionadas con </w:t>
      </w:r>
      <w:r w:rsidRPr="00C47F06">
        <w:rPr>
          <w:rFonts w:ascii="Palatino Linotype" w:hAnsi="Palatino Linotype"/>
          <w:b/>
          <w:color w:val="000000" w:themeColor="text1"/>
        </w:rPr>
        <w:t>fotografías</w:t>
      </w:r>
      <w:r>
        <w:rPr>
          <w:rFonts w:ascii="Palatino Linotype" w:hAnsi="Palatino Linotype"/>
          <w:color w:val="000000" w:themeColor="text1"/>
        </w:rPr>
        <w:t xml:space="preserve"> y demás elementos aportados por la ciencia, el Código de Procedimientos Administrativos del Estado de México señala que, </w:t>
      </w:r>
      <w:r w:rsidRPr="002D28CB">
        <w:rPr>
          <w:rFonts w:ascii="Palatino Linotype" w:hAnsi="Palatino Linotype"/>
          <w:b/>
          <w:color w:val="000000" w:themeColor="text1"/>
        </w:rPr>
        <w:t>para acreditar hechos o circunstancias que tengan relación con el asunto que se ventile</w:t>
      </w:r>
      <w:r w:rsidRPr="002D28CB">
        <w:rPr>
          <w:rFonts w:ascii="Palatino Linotype" w:hAnsi="Palatino Linotype"/>
          <w:color w:val="000000" w:themeColor="text1"/>
        </w:rPr>
        <w:t xml:space="preserve">, las partes pueden presentar </w:t>
      </w:r>
      <w:r w:rsidRPr="00C47F06">
        <w:rPr>
          <w:rFonts w:ascii="Palatino Linotype" w:hAnsi="Palatino Linotype"/>
          <w:b/>
          <w:color w:val="000000" w:themeColor="text1"/>
        </w:rPr>
        <w:t>fotografías</w:t>
      </w:r>
      <w:r w:rsidRPr="002D28CB">
        <w:rPr>
          <w:rFonts w:ascii="Palatino Linotype" w:hAnsi="Palatino Linotype"/>
          <w:color w:val="000000" w:themeColor="text1"/>
        </w:rPr>
        <w:t xml:space="preserve"> o copias fotostáticas, </w:t>
      </w:r>
      <w:r w:rsidRPr="00C47F06">
        <w:rPr>
          <w:rFonts w:ascii="Palatino Linotype" w:hAnsi="Palatino Linotype"/>
          <w:color w:val="000000" w:themeColor="text1"/>
        </w:rPr>
        <w:t>videos</w:t>
      </w:r>
      <w:r w:rsidRPr="002D28CB">
        <w:rPr>
          <w:rFonts w:ascii="Palatino Linotype" w:hAnsi="Palatino Linotype"/>
          <w:color w:val="000000" w:themeColor="text1"/>
        </w:rPr>
        <w:t>, cintas cinematográficas y cualquier otra producción de imágenes</w:t>
      </w:r>
      <w:r>
        <w:rPr>
          <w:rStyle w:val="Refdenotaalpie"/>
          <w:rFonts w:ascii="Palatino Linotype" w:hAnsi="Palatino Linotype"/>
          <w:color w:val="000000" w:themeColor="text1"/>
        </w:rPr>
        <w:footnoteReference w:id="6"/>
      </w:r>
      <w:r w:rsidRPr="002D28CB">
        <w:rPr>
          <w:rFonts w:ascii="Palatino Linotype" w:hAnsi="Palatino Linotype"/>
          <w:color w:val="000000" w:themeColor="text1"/>
        </w:rPr>
        <w:t>.</w:t>
      </w:r>
      <w:r>
        <w:rPr>
          <w:rFonts w:ascii="Palatino Linotype" w:hAnsi="Palatino Linotype"/>
          <w:color w:val="000000" w:themeColor="text1"/>
        </w:rPr>
        <w:t xml:space="preserve"> Cabe señalar que este tipo de pruebas, </w:t>
      </w:r>
      <w:r w:rsidRPr="002D28CB">
        <w:rPr>
          <w:rFonts w:ascii="Palatino Linotype" w:hAnsi="Palatino Linotype"/>
          <w:b/>
          <w:color w:val="000000" w:themeColor="text1"/>
        </w:rPr>
        <w:t>quedarán a la prudente calificación de la autoridad administrativa o del Tribunal</w:t>
      </w:r>
      <w:r>
        <w:rPr>
          <w:rStyle w:val="Refdenotaalpie"/>
          <w:rFonts w:ascii="Palatino Linotype" w:hAnsi="Palatino Linotype"/>
          <w:b/>
          <w:color w:val="000000" w:themeColor="text1"/>
        </w:rPr>
        <w:footnoteReference w:id="7"/>
      </w:r>
      <w:r>
        <w:rPr>
          <w:rFonts w:ascii="Palatino Linotype" w:hAnsi="Palatino Linotype"/>
          <w:color w:val="000000" w:themeColor="text1"/>
        </w:rPr>
        <w:t>, o bien, de este Órgano Garante</w:t>
      </w:r>
      <w:r w:rsidRPr="002D28CB">
        <w:rPr>
          <w:rFonts w:ascii="Palatino Linotype" w:hAnsi="Palatino Linotype"/>
          <w:color w:val="000000" w:themeColor="text1"/>
        </w:rPr>
        <w:t>.</w:t>
      </w:r>
    </w:p>
    <w:p w14:paraId="3E01B1AB" w14:textId="77777777" w:rsidR="002617DC" w:rsidRPr="002617DC" w:rsidRDefault="002617DC" w:rsidP="002617DC">
      <w:pPr>
        <w:pStyle w:val="Prrafodelista"/>
        <w:tabs>
          <w:tab w:val="left" w:pos="426"/>
        </w:tabs>
        <w:spacing w:line="360" w:lineRule="auto"/>
        <w:ind w:left="0"/>
        <w:jc w:val="both"/>
        <w:rPr>
          <w:rFonts w:ascii="Palatino Linotype" w:hAnsi="Palatino Linotype"/>
          <w:color w:val="000000" w:themeColor="text1"/>
        </w:rPr>
      </w:pPr>
    </w:p>
    <w:p w14:paraId="694D5139" w14:textId="5B1B51BE" w:rsidR="002617DC" w:rsidRPr="004B4713" w:rsidRDefault="004B4713"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Cada uno de los medios de prueba aportados por las partes serán analizados dentro del estudio de la presente resolución, y permitirán que esta Ponencia Resolutora se haga de tantos elementos posibles para llegar a una determinación apegada a derecho en estricta tutela del derecho de acceso a la información ejercido por el particular.</w:t>
      </w:r>
    </w:p>
    <w:p w14:paraId="578A8DB9" w14:textId="77777777" w:rsidR="004B4713" w:rsidRDefault="004B4713" w:rsidP="004B4713">
      <w:pPr>
        <w:pStyle w:val="Prrafodelista"/>
        <w:tabs>
          <w:tab w:val="left" w:pos="426"/>
        </w:tabs>
        <w:spacing w:line="360" w:lineRule="auto"/>
        <w:ind w:left="0"/>
        <w:jc w:val="both"/>
        <w:rPr>
          <w:rFonts w:ascii="Palatino Linotype" w:hAnsi="Palatino Linotype"/>
          <w:color w:val="000000" w:themeColor="text1"/>
        </w:rPr>
      </w:pPr>
    </w:p>
    <w:p w14:paraId="421BD4B1" w14:textId="62A2BB49" w:rsidR="004B4713" w:rsidRPr="004B4713" w:rsidRDefault="004B4713" w:rsidP="004B4713">
      <w:pPr>
        <w:pStyle w:val="Prrafodelista"/>
        <w:tabs>
          <w:tab w:val="left" w:pos="426"/>
        </w:tabs>
        <w:spacing w:line="360" w:lineRule="auto"/>
        <w:ind w:left="0"/>
        <w:jc w:val="both"/>
        <w:outlineLvl w:val="2"/>
        <w:rPr>
          <w:rFonts w:ascii="Palatino Linotype" w:hAnsi="Palatino Linotype"/>
          <w:b/>
          <w:color w:val="000000" w:themeColor="text1"/>
        </w:rPr>
      </w:pPr>
      <w:bookmarkStart w:id="14" w:name="_Toc85029720"/>
      <w:r>
        <w:rPr>
          <w:rFonts w:ascii="Palatino Linotype" w:hAnsi="Palatino Linotype"/>
          <w:b/>
          <w:color w:val="000000" w:themeColor="text1"/>
        </w:rPr>
        <w:t>II. De la inmatriculación administrativa.</w:t>
      </w:r>
      <w:bookmarkEnd w:id="14"/>
    </w:p>
    <w:p w14:paraId="40BB6F01" w14:textId="77777777" w:rsidR="004B4713" w:rsidRPr="004B4713" w:rsidRDefault="004B4713" w:rsidP="004B4713">
      <w:pPr>
        <w:pStyle w:val="Prrafodelista"/>
        <w:tabs>
          <w:tab w:val="left" w:pos="426"/>
        </w:tabs>
        <w:spacing w:line="360" w:lineRule="auto"/>
        <w:ind w:left="0"/>
        <w:jc w:val="both"/>
        <w:rPr>
          <w:rFonts w:ascii="Palatino Linotype" w:hAnsi="Palatino Linotype"/>
          <w:color w:val="000000" w:themeColor="text1"/>
        </w:rPr>
      </w:pPr>
    </w:p>
    <w:p w14:paraId="23928B6C" w14:textId="139A62FB" w:rsidR="004B4713" w:rsidRPr="004B4713" w:rsidRDefault="004B4713"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Por otro lado, cabe señalar que del análisis a la solicitud de información </w:t>
      </w:r>
      <w:r>
        <w:rPr>
          <w:rFonts w:ascii="Palatino Linotype" w:eastAsia="Calibri" w:hAnsi="Palatino Linotype" w:cs="Arial"/>
          <w:b/>
          <w:color w:val="000000" w:themeColor="text1"/>
        </w:rPr>
        <w:t>00300/SF/IP/2021</w:t>
      </w:r>
      <w:r>
        <w:rPr>
          <w:rFonts w:ascii="Palatino Linotype" w:eastAsia="Calibri" w:hAnsi="Palatino Linotype" w:cs="Arial"/>
          <w:color w:val="000000" w:themeColor="text1"/>
        </w:rPr>
        <w:t xml:space="preserve">, así como su documento anexo, se aprecia que el interés del particular radicar en acceder a información relacionada con tres inmuebles identificados con los números de folio </w:t>
      </w:r>
      <w:r w:rsidRPr="008C33F9">
        <w:rPr>
          <w:rFonts w:ascii="Palatino Linotype" w:hAnsi="Palatino Linotype"/>
          <w:b/>
          <w:color w:val="000000" w:themeColor="text1"/>
        </w:rPr>
        <w:t>DES003-A</w:t>
      </w:r>
      <w:r w:rsidRPr="008C33F9">
        <w:rPr>
          <w:rFonts w:ascii="Palatino Linotype" w:hAnsi="Palatino Linotype"/>
          <w:color w:val="000000" w:themeColor="text1"/>
        </w:rPr>
        <w:t>,</w:t>
      </w:r>
      <w:r w:rsidRPr="008C33F9">
        <w:rPr>
          <w:rFonts w:ascii="Palatino Linotype" w:hAnsi="Palatino Linotype"/>
          <w:b/>
          <w:color w:val="000000" w:themeColor="text1"/>
        </w:rPr>
        <w:t xml:space="preserve"> 047DJN011-A </w:t>
      </w:r>
      <w:r w:rsidRPr="008C33F9">
        <w:rPr>
          <w:rFonts w:ascii="Palatino Linotype" w:hAnsi="Palatino Linotype"/>
          <w:color w:val="000000" w:themeColor="text1"/>
        </w:rPr>
        <w:t>y</w:t>
      </w:r>
      <w:r w:rsidRPr="008C33F9">
        <w:rPr>
          <w:rFonts w:ascii="Palatino Linotype" w:hAnsi="Palatino Linotype"/>
          <w:b/>
          <w:color w:val="000000" w:themeColor="text1"/>
        </w:rPr>
        <w:t xml:space="preserve"> 047DPR012-A</w:t>
      </w:r>
      <w:r>
        <w:rPr>
          <w:rFonts w:ascii="Palatino Linotype" w:hAnsi="Palatino Linotype"/>
          <w:color w:val="000000" w:themeColor="text1"/>
        </w:rPr>
        <w:t xml:space="preserve">. En su respuesta, el </w:t>
      </w:r>
      <w:r>
        <w:rPr>
          <w:rFonts w:ascii="Palatino Linotype" w:hAnsi="Palatino Linotype"/>
          <w:b/>
          <w:color w:val="000000" w:themeColor="text1"/>
        </w:rPr>
        <w:t>SUJETO OBLIGADO</w:t>
      </w:r>
      <w:r>
        <w:rPr>
          <w:rFonts w:ascii="Palatino Linotype" w:hAnsi="Palatino Linotype"/>
          <w:color w:val="000000" w:themeColor="text1"/>
        </w:rPr>
        <w:t xml:space="preserve"> presentó un contrato de donación y cesión de derechos posesorios que reconoce como el documento que acredita la propiedad de estos bienes, así como una inmatriculación administrativa relacionada con el inmueble identificado con el folio </w:t>
      </w:r>
      <w:r>
        <w:rPr>
          <w:rFonts w:ascii="Palatino Linotype" w:hAnsi="Palatino Linotype"/>
          <w:b/>
          <w:color w:val="000000" w:themeColor="text1"/>
        </w:rPr>
        <w:t>224D00470001</w:t>
      </w:r>
      <w:r>
        <w:rPr>
          <w:rFonts w:ascii="Palatino Linotype" w:hAnsi="Palatino Linotype"/>
          <w:color w:val="000000" w:themeColor="text1"/>
        </w:rPr>
        <w:t>, la cual no fue requerida por el particular.</w:t>
      </w:r>
    </w:p>
    <w:p w14:paraId="7B52D38B" w14:textId="77777777" w:rsidR="004B4713" w:rsidRPr="004B4713" w:rsidRDefault="004B4713" w:rsidP="004B4713">
      <w:pPr>
        <w:pStyle w:val="Prrafodelista"/>
        <w:tabs>
          <w:tab w:val="left" w:pos="426"/>
        </w:tabs>
        <w:spacing w:line="360" w:lineRule="auto"/>
        <w:ind w:left="0"/>
        <w:jc w:val="both"/>
        <w:rPr>
          <w:rFonts w:ascii="Palatino Linotype" w:hAnsi="Palatino Linotype"/>
          <w:color w:val="000000" w:themeColor="text1"/>
        </w:rPr>
      </w:pPr>
    </w:p>
    <w:p w14:paraId="17F7BDDB" w14:textId="08C1321A" w:rsidR="004B4713" w:rsidRPr="004B4713" w:rsidRDefault="004B4713"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 xml:space="preserve">Razón de lo anterior, el estudio del presente asunto versará en analizar los documentos y manifestaciones vertidas por el </w:t>
      </w:r>
      <w:r>
        <w:rPr>
          <w:rFonts w:ascii="Palatino Linotype" w:eastAsia="Calibri" w:hAnsi="Palatino Linotype" w:cs="Arial"/>
          <w:b/>
          <w:color w:val="000000" w:themeColor="text1"/>
        </w:rPr>
        <w:t>SUJETO OBLIGADO</w:t>
      </w:r>
      <w:r>
        <w:rPr>
          <w:rFonts w:ascii="Palatino Linotype" w:eastAsia="Calibri" w:hAnsi="Palatino Linotype" w:cs="Arial"/>
          <w:color w:val="000000" w:themeColor="text1"/>
        </w:rPr>
        <w:t xml:space="preserve"> en relación con los tres bienes inmuebles referidos por el </w:t>
      </w:r>
      <w:r>
        <w:rPr>
          <w:rFonts w:ascii="Palatino Linotype" w:eastAsia="Calibri" w:hAnsi="Palatino Linotype" w:cs="Arial"/>
          <w:b/>
          <w:color w:val="000000" w:themeColor="text1"/>
        </w:rPr>
        <w:t>RECURRENTE</w:t>
      </w:r>
      <w:r>
        <w:rPr>
          <w:rFonts w:ascii="Palatino Linotype" w:eastAsia="Calibri" w:hAnsi="Palatino Linotype" w:cs="Arial"/>
          <w:color w:val="000000" w:themeColor="text1"/>
        </w:rPr>
        <w:t xml:space="preserve"> en la solicitud de información primigenia.</w:t>
      </w: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13C86967" w:rsidR="00540208" w:rsidRPr="00A85CB7" w:rsidRDefault="00710B50" w:rsidP="00B31E90">
      <w:pPr>
        <w:pStyle w:val="Ttulo2"/>
        <w:spacing w:before="0"/>
        <w:rPr>
          <w:rFonts w:ascii="Palatino Linotype" w:hAnsi="Palatino Linotype"/>
          <w:b/>
          <w:color w:val="000000" w:themeColor="text1"/>
          <w:sz w:val="24"/>
          <w:szCs w:val="24"/>
        </w:rPr>
      </w:pPr>
      <w:bookmarkStart w:id="15" w:name="_Toc500360400"/>
      <w:bookmarkStart w:id="16" w:name="_Toc500786931"/>
      <w:bookmarkStart w:id="17" w:name="_Toc85029721"/>
      <w:bookmarkStart w:id="18" w:name="_Toc495427545"/>
      <w:bookmarkStart w:id="19" w:name="_Toc499296549"/>
      <w:bookmarkStart w:id="20" w:name="_Toc459174366"/>
      <w:bookmarkStart w:id="21" w:name="_Toc459659884"/>
      <w:bookmarkStart w:id="22" w:name="_Toc461687280"/>
      <w:bookmarkStart w:id="23" w:name="_Toc462771051"/>
      <w:bookmarkStart w:id="24" w:name="_Toc464139201"/>
      <w:r>
        <w:rPr>
          <w:rFonts w:ascii="Palatino Linotype" w:hAnsi="Palatino Linotype"/>
          <w:b/>
          <w:color w:val="000000" w:themeColor="text1"/>
          <w:sz w:val="24"/>
          <w:szCs w:val="24"/>
        </w:rPr>
        <w:lastRenderedPageBreak/>
        <w:t>CUARTO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5"/>
      <w:bookmarkEnd w:id="16"/>
      <w:bookmarkEnd w:id="17"/>
    </w:p>
    <w:p w14:paraId="4231B8D5" w14:textId="77777777" w:rsidR="00540208" w:rsidRPr="00A85CB7" w:rsidRDefault="00540208" w:rsidP="00B31E90">
      <w:pPr>
        <w:rPr>
          <w:rFonts w:ascii="Palatino Linotype" w:hAnsi="Palatino Linotype"/>
          <w:color w:val="000000" w:themeColor="text1"/>
          <w:lang w:eastAsia="en-US"/>
        </w:rPr>
      </w:pPr>
    </w:p>
    <w:bookmarkEnd w:id="18"/>
    <w:bookmarkEnd w:id="19"/>
    <w:p w14:paraId="26137E4C" w14:textId="577F5906" w:rsidR="0056788F" w:rsidRPr="00CA0640" w:rsidRDefault="00E503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tres bienes inmuebles específicos, se requirieron los documentos que acrediten su propiedad o posesión, sus antecedentes y, señalar si éstos se encuentran en comodato o alguna otra figura jurídica</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w:t>
      </w:r>
      <w:r>
        <w:rPr>
          <w:rFonts w:ascii="Palatino Linotype" w:hAnsi="Palatino Linotype" w:cs="Arial"/>
          <w:color w:val="000000" w:themeColor="text1"/>
        </w:rPr>
        <w:t xml:space="preserve">En su respuesta,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presentó un contrato de donación y cesión de derechos suscrito entre el Gobierno Federal y el Gobierno del Estado de México el veinticinco (25) de febrero de mil novecientos noventa y siete, así como una inmatriculación administrativa expedida el veintinueve (29) de abril de mil novecientos ochenta y seis</w:t>
      </w:r>
      <w:r w:rsidR="007E64B6">
        <w:rPr>
          <w:rFonts w:ascii="Palatino Linotype" w:hAnsi="Palatino Linotype" w:cs="Arial"/>
          <w:color w:val="000000" w:themeColor="text1"/>
        </w:rPr>
        <w:t>.</w:t>
      </w:r>
      <w:r w:rsidR="007758D3">
        <w:rPr>
          <w:rFonts w:ascii="Palatino Linotype" w:hAnsi="Palatino Linotype" w:cs="Arial"/>
          <w:color w:val="000000" w:themeColor="text1"/>
        </w:rPr>
        <w:t xml:space="preserve"> </w:t>
      </w:r>
      <w:r>
        <w:rPr>
          <w:rFonts w:ascii="Palatino Linotype" w:hAnsi="Palatino Linotype" w:cs="Arial"/>
          <w:color w:val="000000" w:themeColor="text1"/>
        </w:rPr>
        <w:t>El</w:t>
      </w:r>
      <w:r w:rsidR="007758D3">
        <w:rPr>
          <w:rFonts w:ascii="Palatino Linotype" w:hAnsi="Palatino Linotype" w:cs="Arial"/>
          <w:color w:val="000000" w:themeColor="text1"/>
        </w:rPr>
        <w:t xml:space="preserve"> particular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 en el que señaló, por agravios, </w:t>
      </w:r>
      <w:r>
        <w:rPr>
          <w:rFonts w:ascii="Palatino Linotype" w:hAnsi="Palatino Linotype" w:cs="Arial"/>
          <w:color w:val="000000" w:themeColor="text1"/>
        </w:rPr>
        <w:t>que los documentos proveídos por la Secretaría de Finanzas estaban incompletos</w:t>
      </w:r>
      <w:r w:rsidR="007758D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F11BB4A"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E50385">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7520442"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6AEE2E23"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w:t>
      </w:r>
      <w:r>
        <w:rPr>
          <w:rFonts w:ascii="Palatino Linotype" w:hAnsi="Palatino Linotype"/>
          <w:i/>
          <w:color w:val="000000" w:themeColor="text1"/>
          <w:sz w:val="22"/>
        </w:rPr>
        <w:t xml:space="preserve"> La </w:t>
      </w:r>
      <w:r w:rsidR="001848C0">
        <w:rPr>
          <w:rFonts w:ascii="Palatino Linotype" w:hAnsi="Palatino Linotype"/>
          <w:i/>
          <w:color w:val="000000" w:themeColor="text1"/>
          <w:sz w:val="22"/>
        </w:rPr>
        <w:t>entrega de información incompleta</w:t>
      </w:r>
      <w:r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0C8456BB" w:rsidR="00EF014A" w:rsidRPr="00A85CB7" w:rsidRDefault="00710B50" w:rsidP="00F96156">
      <w:pPr>
        <w:pStyle w:val="Ttulo2"/>
        <w:tabs>
          <w:tab w:val="left" w:pos="426"/>
        </w:tabs>
        <w:rPr>
          <w:rFonts w:ascii="Palatino Linotype" w:hAnsi="Palatino Linotype" w:cs="Arial"/>
          <w:b/>
          <w:color w:val="000000" w:themeColor="text1"/>
          <w:sz w:val="24"/>
        </w:rPr>
      </w:pPr>
      <w:bookmarkStart w:id="25" w:name="_Toc85029722"/>
      <w:r>
        <w:rPr>
          <w:rFonts w:ascii="Palatino Linotype" w:hAnsi="Palatino Linotype" w:cs="Arial"/>
          <w:b/>
          <w:color w:val="000000" w:themeColor="text1"/>
          <w:sz w:val="24"/>
        </w:rPr>
        <w:t>QUINTO</w:t>
      </w:r>
      <w:r w:rsidR="00EF014A" w:rsidRPr="00A85CB7">
        <w:rPr>
          <w:rFonts w:ascii="Palatino Linotype" w:hAnsi="Palatino Linotype" w:cs="Arial"/>
          <w:b/>
          <w:color w:val="000000" w:themeColor="text1"/>
          <w:sz w:val="24"/>
        </w:rPr>
        <w:t>. Estudio y Resolución del asunto.</w:t>
      </w:r>
      <w:bookmarkEnd w:id="25"/>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6" w:name="_Toc466371865"/>
      <w:bookmarkStart w:id="27" w:name="_Toc466377653"/>
      <w:bookmarkEnd w:id="20"/>
      <w:bookmarkEnd w:id="21"/>
      <w:bookmarkEnd w:id="22"/>
      <w:bookmarkEnd w:id="23"/>
      <w:bookmarkEnd w:id="24"/>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8" w:name="_Toc85029723"/>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8"/>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8"/>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9"/>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10"/>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11"/>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2D5C9B20"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 xml:space="preserve">la Ley de Transparencia y Acceso a la Información Pública del Estado de México y Municipios, cuyo objeto es establecer principios, bases generales </w:t>
      </w:r>
      <w:r w:rsidRPr="0055159A">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1BA9C2"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21DB185" w:rsidR="009E260E" w:rsidRPr="009E260E" w:rsidRDefault="009E260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5029724"/>
      <w:r>
        <w:rPr>
          <w:rFonts w:ascii="Palatino Linotype" w:hAnsi="Palatino Linotype"/>
          <w:b/>
          <w:color w:val="000000" w:themeColor="text1"/>
        </w:rPr>
        <w:t>II. De la atención a la solicitud de información.</w:t>
      </w:r>
      <w:bookmarkEnd w:id="29"/>
    </w:p>
    <w:p w14:paraId="685478C4" w14:textId="77777777" w:rsidR="009E260E" w:rsidRDefault="009E260E"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2321BB0" w:rsidR="009E260E" w:rsidRPr="00910076" w:rsidRDefault="008C33F9"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w:t>
      </w:r>
      <w:r w:rsidR="009E260E" w:rsidRPr="0053687A">
        <w:rPr>
          <w:rFonts w:ascii="Palatino Linotype" w:hAnsi="Palatino Linotype"/>
        </w:rPr>
        <w:t xml:space="preserve">, </w:t>
      </w:r>
      <w:r w:rsidR="009E260E">
        <w:rPr>
          <w:rFonts w:ascii="Palatino Linotype" w:hAnsi="Palatino Linotype"/>
        </w:rPr>
        <w:t xml:space="preserve">de la lectura a la solicitud de información </w:t>
      </w:r>
      <w:r w:rsidR="009E260E">
        <w:rPr>
          <w:rFonts w:ascii="Palatino Linotype" w:hAnsi="Palatino Linotype"/>
          <w:b/>
          <w:bCs/>
        </w:rPr>
        <w:t>00300/SF/IP/2021</w:t>
      </w:r>
      <w:r w:rsidR="009E260E">
        <w:rPr>
          <w:rFonts w:ascii="Palatino Linotype" w:hAnsi="Palatino Linotype"/>
        </w:rPr>
        <w:t xml:space="preserve">, y 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 de tres inmuebles específicos:</w:t>
      </w:r>
    </w:p>
    <w:p w14:paraId="1C88F5BA" w14:textId="42DF51DD" w:rsidR="009E260E" w:rsidRDefault="009E260E" w:rsidP="009E260E">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Documentos que acrediten la propiedad o posesión;</w:t>
      </w:r>
      <w:r w:rsidR="00F3117D">
        <w:rPr>
          <w:rFonts w:ascii="Palatino Linotype" w:hAnsi="Palatino Linotype"/>
          <w:color w:val="000000" w:themeColor="text1"/>
        </w:rPr>
        <w:t xml:space="preserve"> y</w:t>
      </w:r>
    </w:p>
    <w:p w14:paraId="4D47AECC" w14:textId="36D09FAD" w:rsidR="009E260E" w:rsidRDefault="00F3117D" w:rsidP="009E260E">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Antecedentes de uso, enajenación o asignación.</w:t>
      </w:r>
    </w:p>
    <w:p w14:paraId="380D2512" w14:textId="77777777" w:rsidR="00F3117D" w:rsidRDefault="00F3117D" w:rsidP="00F3117D">
      <w:pPr>
        <w:pStyle w:val="Prrafodelista"/>
        <w:tabs>
          <w:tab w:val="left" w:pos="426"/>
        </w:tabs>
        <w:spacing w:before="240" w:after="240" w:line="360" w:lineRule="auto"/>
        <w:ind w:left="0" w:right="51"/>
        <w:jc w:val="both"/>
        <w:rPr>
          <w:rFonts w:ascii="Palatino Linotype" w:hAnsi="Palatino Linotype"/>
          <w:color w:val="000000" w:themeColor="text1"/>
        </w:rPr>
      </w:pPr>
    </w:p>
    <w:p w14:paraId="738C5838" w14:textId="77777777" w:rsidR="009E260E" w:rsidRDefault="009E260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Adjunto a su solicitud de información, el entonces </w:t>
      </w:r>
      <w:r>
        <w:rPr>
          <w:rFonts w:ascii="Palatino Linotype" w:hAnsi="Palatino Linotype"/>
          <w:b/>
          <w:color w:val="000000" w:themeColor="text1"/>
        </w:rPr>
        <w:t>SOLCITANTE</w:t>
      </w:r>
      <w:r>
        <w:rPr>
          <w:rFonts w:ascii="Palatino Linotype" w:hAnsi="Palatino Linotype"/>
          <w:color w:val="000000" w:themeColor="text1"/>
        </w:rPr>
        <w:t xml:space="preserve"> presentó el documento titulado </w:t>
      </w:r>
      <w:r>
        <w:rPr>
          <w:rFonts w:ascii="Palatino Linotype" w:hAnsi="Palatino Linotype"/>
          <w:b/>
          <w:i/>
          <w:color w:val="000000" w:themeColor="text1"/>
        </w:rPr>
        <w:t>“Atlahutenco_San Francisco Cuautliquixca.docx”</w:t>
      </w:r>
      <w:r>
        <w:rPr>
          <w:rFonts w:ascii="Palatino Linotype" w:hAnsi="Palatino Linotype"/>
          <w:color w:val="000000" w:themeColor="text1"/>
        </w:rPr>
        <w:t>, el cual, consiste en la siguiente lista:</w:t>
      </w:r>
    </w:p>
    <w:p w14:paraId="6A215739" w14:textId="77777777" w:rsidR="009E260E" w:rsidRDefault="009E260E" w:rsidP="00D34574">
      <w:pPr>
        <w:pStyle w:val="Prrafodelista"/>
        <w:tabs>
          <w:tab w:val="left" w:pos="426"/>
        </w:tabs>
        <w:spacing w:line="360" w:lineRule="auto"/>
        <w:ind w:left="0" w:right="51"/>
        <w:jc w:val="both"/>
        <w:rPr>
          <w:rFonts w:ascii="Palatino Linotype" w:hAnsi="Palatino Linotype"/>
          <w:color w:val="000000" w:themeColor="text1"/>
        </w:rPr>
      </w:pPr>
    </w:p>
    <w:tbl>
      <w:tblPr>
        <w:tblW w:w="8771" w:type="dxa"/>
        <w:tblCellMar>
          <w:left w:w="70" w:type="dxa"/>
          <w:right w:w="70" w:type="dxa"/>
        </w:tblCellMar>
        <w:tblLook w:val="04A0" w:firstRow="1" w:lastRow="0" w:firstColumn="1" w:lastColumn="0" w:noHBand="0" w:noVBand="1"/>
      </w:tblPr>
      <w:tblGrid>
        <w:gridCol w:w="1012"/>
        <w:gridCol w:w="1130"/>
        <w:gridCol w:w="994"/>
        <w:gridCol w:w="1257"/>
        <w:gridCol w:w="935"/>
        <w:gridCol w:w="1241"/>
        <w:gridCol w:w="1435"/>
        <w:gridCol w:w="767"/>
      </w:tblGrid>
      <w:tr w:rsidR="009E260E" w:rsidRPr="007B08F5" w14:paraId="23169C15" w14:textId="77777777" w:rsidTr="00570911">
        <w:trPr>
          <w:trHeight w:val="737"/>
        </w:trPr>
        <w:tc>
          <w:tcPr>
            <w:tcW w:w="1012" w:type="dxa"/>
            <w:tcBorders>
              <w:top w:val="single" w:sz="4" w:space="0" w:color="000000"/>
              <w:left w:val="single" w:sz="4" w:space="0" w:color="000000"/>
              <w:bottom w:val="nil"/>
              <w:right w:val="nil"/>
            </w:tcBorders>
            <w:shd w:val="clear" w:color="000000" w:fill="A6A6A6"/>
            <w:vAlign w:val="center"/>
            <w:hideMark/>
          </w:tcPr>
          <w:p w14:paraId="1C1C21B7"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FOLIO</w:t>
            </w:r>
          </w:p>
        </w:tc>
        <w:tc>
          <w:tcPr>
            <w:tcW w:w="1130" w:type="dxa"/>
            <w:tcBorders>
              <w:top w:val="single" w:sz="4" w:space="0" w:color="000000"/>
              <w:left w:val="single" w:sz="4" w:space="0" w:color="000000"/>
              <w:bottom w:val="nil"/>
              <w:right w:val="single" w:sz="4" w:space="0" w:color="000000"/>
            </w:tcBorders>
            <w:shd w:val="clear" w:color="000000" w:fill="A6A6A6"/>
            <w:vAlign w:val="center"/>
            <w:hideMark/>
          </w:tcPr>
          <w:p w14:paraId="7E46348E"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NOMBRE DEL INMUEBLE</w:t>
            </w:r>
          </w:p>
        </w:tc>
        <w:tc>
          <w:tcPr>
            <w:tcW w:w="994" w:type="dxa"/>
            <w:tcBorders>
              <w:top w:val="single" w:sz="4" w:space="0" w:color="000000"/>
              <w:left w:val="nil"/>
              <w:bottom w:val="nil"/>
              <w:right w:val="single" w:sz="4" w:space="0" w:color="000000"/>
            </w:tcBorders>
            <w:shd w:val="clear" w:color="000000" w:fill="A6A6A6"/>
            <w:vAlign w:val="center"/>
            <w:hideMark/>
          </w:tcPr>
          <w:p w14:paraId="665B2BF0"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UBICACIÓN</w:t>
            </w:r>
          </w:p>
        </w:tc>
        <w:tc>
          <w:tcPr>
            <w:tcW w:w="1257" w:type="dxa"/>
            <w:tcBorders>
              <w:top w:val="single" w:sz="4" w:space="0" w:color="000000"/>
              <w:left w:val="nil"/>
              <w:bottom w:val="nil"/>
              <w:right w:val="single" w:sz="4" w:space="0" w:color="000000"/>
            </w:tcBorders>
            <w:shd w:val="clear" w:color="000000" w:fill="A6A6A6"/>
            <w:vAlign w:val="center"/>
            <w:hideMark/>
          </w:tcPr>
          <w:p w14:paraId="52B175DF"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LOCALIDAD</w:t>
            </w:r>
          </w:p>
        </w:tc>
        <w:tc>
          <w:tcPr>
            <w:tcW w:w="935" w:type="dxa"/>
            <w:tcBorders>
              <w:top w:val="single" w:sz="4" w:space="0" w:color="000000"/>
              <w:left w:val="nil"/>
              <w:bottom w:val="nil"/>
              <w:right w:val="nil"/>
            </w:tcBorders>
            <w:shd w:val="clear" w:color="000000" w:fill="A6A6A6"/>
            <w:vAlign w:val="center"/>
            <w:hideMark/>
          </w:tcPr>
          <w:p w14:paraId="7D03C420"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MUNICIPIO</w:t>
            </w:r>
          </w:p>
        </w:tc>
        <w:tc>
          <w:tcPr>
            <w:tcW w:w="1241" w:type="dxa"/>
            <w:tcBorders>
              <w:top w:val="single" w:sz="4" w:space="0" w:color="000000"/>
              <w:left w:val="single" w:sz="4" w:space="0" w:color="000000"/>
              <w:bottom w:val="nil"/>
              <w:right w:val="nil"/>
            </w:tcBorders>
            <w:shd w:val="clear" w:color="000000" w:fill="A6A6A6"/>
            <w:vAlign w:val="center"/>
            <w:hideMark/>
          </w:tcPr>
          <w:p w14:paraId="1487F0D8"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DEPENDENCIA</w:t>
            </w:r>
          </w:p>
        </w:tc>
        <w:tc>
          <w:tcPr>
            <w:tcW w:w="1435" w:type="dxa"/>
            <w:tcBorders>
              <w:top w:val="single" w:sz="4" w:space="0" w:color="000000"/>
              <w:left w:val="single" w:sz="4" w:space="0" w:color="000000"/>
              <w:bottom w:val="nil"/>
              <w:right w:val="single" w:sz="4" w:space="0" w:color="000000"/>
            </w:tcBorders>
            <w:shd w:val="clear" w:color="000000" w:fill="A6A6A6"/>
            <w:vAlign w:val="center"/>
            <w:hideMark/>
          </w:tcPr>
          <w:p w14:paraId="3E2F53A1"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UNIDAD ADMINISTRATIVA</w:t>
            </w:r>
          </w:p>
        </w:tc>
        <w:tc>
          <w:tcPr>
            <w:tcW w:w="767" w:type="dxa"/>
            <w:tcBorders>
              <w:top w:val="single" w:sz="4" w:space="0" w:color="000000"/>
              <w:left w:val="nil"/>
              <w:bottom w:val="nil"/>
              <w:right w:val="single" w:sz="4" w:space="0" w:color="000000"/>
            </w:tcBorders>
            <w:shd w:val="clear" w:color="000000" w:fill="A6A6A6"/>
            <w:vAlign w:val="center"/>
            <w:hideMark/>
          </w:tcPr>
          <w:p w14:paraId="38A81411" w14:textId="77777777" w:rsidR="009E260E" w:rsidRPr="007B08F5" w:rsidRDefault="009E260E" w:rsidP="00570911">
            <w:pPr>
              <w:jc w:val="center"/>
              <w:rPr>
                <w:rFonts w:ascii="Arial" w:eastAsia="Times New Roman" w:hAnsi="Arial" w:cs="Arial"/>
                <w:b/>
                <w:bCs/>
                <w:sz w:val="12"/>
                <w:szCs w:val="16"/>
                <w:lang w:eastAsia="es-MX"/>
              </w:rPr>
            </w:pPr>
            <w:r w:rsidRPr="007B08F5">
              <w:rPr>
                <w:rFonts w:ascii="Arial" w:eastAsia="Times New Roman" w:hAnsi="Arial" w:cs="Arial"/>
                <w:b/>
                <w:bCs/>
                <w:sz w:val="12"/>
                <w:szCs w:val="16"/>
                <w:lang w:eastAsia="es-MX"/>
              </w:rPr>
              <w:t>ZONA</w:t>
            </w:r>
          </w:p>
        </w:tc>
      </w:tr>
      <w:tr w:rsidR="009E260E" w:rsidRPr="007B08F5" w14:paraId="6BB0F7C6" w14:textId="77777777" w:rsidTr="00570911">
        <w:trPr>
          <w:trHeight w:val="448"/>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356E852E" w14:textId="77777777" w:rsidR="009E260E" w:rsidRPr="007B08F5" w:rsidRDefault="009E260E" w:rsidP="00570911">
            <w:pPr>
              <w:jc w:val="center"/>
              <w:rPr>
                <w:rFonts w:ascii="Arial" w:eastAsia="Times New Roman" w:hAnsi="Arial" w:cs="Arial"/>
                <w:sz w:val="12"/>
                <w:szCs w:val="16"/>
                <w:lang w:eastAsia="es-MX"/>
              </w:rPr>
            </w:pPr>
            <w:r w:rsidRPr="007B08F5">
              <w:rPr>
                <w:rFonts w:ascii="Arial" w:eastAsia="Times New Roman" w:hAnsi="Arial" w:cs="Arial"/>
                <w:sz w:val="12"/>
                <w:szCs w:val="16"/>
                <w:lang w:eastAsia="es-MX"/>
              </w:rPr>
              <w:t>047DES003-A</w:t>
            </w:r>
          </w:p>
        </w:tc>
        <w:tc>
          <w:tcPr>
            <w:tcW w:w="1130" w:type="dxa"/>
            <w:tcBorders>
              <w:top w:val="nil"/>
              <w:left w:val="nil"/>
              <w:bottom w:val="single" w:sz="4" w:space="0" w:color="auto"/>
              <w:right w:val="single" w:sz="4" w:space="0" w:color="auto"/>
            </w:tcBorders>
            <w:shd w:val="clear" w:color="auto" w:fill="auto"/>
            <w:vAlign w:val="center"/>
            <w:hideMark/>
          </w:tcPr>
          <w:p w14:paraId="6BF80E59" w14:textId="77777777" w:rsidR="009E260E" w:rsidRPr="007B08F5" w:rsidRDefault="009E260E" w:rsidP="00570911">
            <w:pPr>
              <w:rPr>
                <w:rFonts w:ascii="Arial" w:eastAsia="Times New Roman" w:hAnsi="Arial" w:cs="Arial"/>
                <w:color w:val="000000"/>
                <w:sz w:val="12"/>
                <w:szCs w:val="16"/>
                <w:lang w:eastAsia="es-MX"/>
              </w:rPr>
            </w:pPr>
            <w:r w:rsidRPr="007B08F5">
              <w:rPr>
                <w:rFonts w:ascii="Arial" w:eastAsia="Times New Roman" w:hAnsi="Arial" w:cs="Arial"/>
                <w:color w:val="000000"/>
                <w:sz w:val="12"/>
                <w:szCs w:val="16"/>
                <w:lang w:eastAsia="es-MX"/>
              </w:rPr>
              <w:t>EFEN REBOLLEDO</w:t>
            </w:r>
          </w:p>
        </w:tc>
        <w:tc>
          <w:tcPr>
            <w:tcW w:w="994" w:type="dxa"/>
            <w:tcBorders>
              <w:top w:val="nil"/>
              <w:left w:val="nil"/>
              <w:bottom w:val="single" w:sz="4" w:space="0" w:color="auto"/>
              <w:right w:val="single" w:sz="4" w:space="0" w:color="auto"/>
            </w:tcBorders>
            <w:shd w:val="clear" w:color="auto" w:fill="auto"/>
            <w:vAlign w:val="center"/>
            <w:hideMark/>
          </w:tcPr>
          <w:p w14:paraId="264B67F7"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CALLE DE LOS COLEGIOS S/N</w:t>
            </w:r>
          </w:p>
        </w:tc>
        <w:tc>
          <w:tcPr>
            <w:tcW w:w="1257" w:type="dxa"/>
            <w:tcBorders>
              <w:top w:val="nil"/>
              <w:left w:val="nil"/>
              <w:bottom w:val="single" w:sz="4" w:space="0" w:color="auto"/>
              <w:right w:val="single" w:sz="4" w:space="0" w:color="auto"/>
            </w:tcBorders>
            <w:shd w:val="clear" w:color="auto" w:fill="auto"/>
            <w:vAlign w:val="center"/>
            <w:hideMark/>
          </w:tcPr>
          <w:p w14:paraId="35E03D7B"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SN FCO. CUATLIQUIXCA</w:t>
            </w:r>
          </w:p>
        </w:tc>
        <w:tc>
          <w:tcPr>
            <w:tcW w:w="935" w:type="dxa"/>
            <w:tcBorders>
              <w:top w:val="nil"/>
              <w:left w:val="nil"/>
              <w:bottom w:val="single" w:sz="4" w:space="0" w:color="auto"/>
              <w:right w:val="single" w:sz="4" w:space="0" w:color="auto"/>
            </w:tcBorders>
            <w:shd w:val="clear" w:color="auto" w:fill="auto"/>
            <w:vAlign w:val="center"/>
            <w:hideMark/>
          </w:tcPr>
          <w:p w14:paraId="76A36DD9"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TECÁMAC</w:t>
            </w:r>
          </w:p>
        </w:tc>
        <w:tc>
          <w:tcPr>
            <w:tcW w:w="1241" w:type="dxa"/>
            <w:tcBorders>
              <w:top w:val="nil"/>
              <w:left w:val="nil"/>
              <w:bottom w:val="single" w:sz="4" w:space="0" w:color="auto"/>
              <w:right w:val="single" w:sz="4" w:space="0" w:color="auto"/>
            </w:tcBorders>
            <w:shd w:val="clear" w:color="auto" w:fill="auto"/>
            <w:vAlign w:val="center"/>
            <w:hideMark/>
          </w:tcPr>
          <w:p w14:paraId="76BA19AF"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SECRETARÍA DE EDUCACIÓN</w:t>
            </w:r>
          </w:p>
        </w:tc>
        <w:tc>
          <w:tcPr>
            <w:tcW w:w="1435" w:type="dxa"/>
            <w:tcBorders>
              <w:top w:val="nil"/>
              <w:left w:val="nil"/>
              <w:bottom w:val="single" w:sz="4" w:space="0" w:color="auto"/>
              <w:right w:val="single" w:sz="4" w:space="0" w:color="auto"/>
            </w:tcBorders>
            <w:shd w:val="clear" w:color="auto" w:fill="auto"/>
            <w:vAlign w:val="center"/>
            <w:hideMark/>
          </w:tcPr>
          <w:p w14:paraId="5C785884" w14:textId="77777777" w:rsidR="009E260E" w:rsidRPr="007B08F5" w:rsidRDefault="009E260E" w:rsidP="00570911">
            <w:pPr>
              <w:jc w:val="center"/>
              <w:rPr>
                <w:rFonts w:ascii="Arial" w:eastAsia="Times New Roman" w:hAnsi="Arial" w:cs="Arial"/>
                <w:sz w:val="12"/>
                <w:szCs w:val="16"/>
                <w:lang w:eastAsia="es-MX"/>
              </w:rPr>
            </w:pPr>
            <w:r w:rsidRPr="007B08F5">
              <w:rPr>
                <w:rFonts w:ascii="Arial" w:eastAsia="Times New Roman" w:hAnsi="Arial" w:cs="Arial"/>
                <w:sz w:val="12"/>
                <w:szCs w:val="16"/>
                <w:lang w:eastAsia="es-MX"/>
              </w:rPr>
              <w:t>SEIEM</w:t>
            </w:r>
          </w:p>
        </w:tc>
        <w:tc>
          <w:tcPr>
            <w:tcW w:w="767" w:type="dxa"/>
            <w:tcBorders>
              <w:top w:val="nil"/>
              <w:left w:val="nil"/>
              <w:bottom w:val="single" w:sz="4" w:space="0" w:color="auto"/>
              <w:right w:val="single" w:sz="4" w:space="0" w:color="auto"/>
            </w:tcBorders>
            <w:shd w:val="clear" w:color="auto" w:fill="auto"/>
            <w:vAlign w:val="center"/>
            <w:hideMark/>
          </w:tcPr>
          <w:p w14:paraId="0FE8A93B" w14:textId="77777777" w:rsidR="009E260E" w:rsidRPr="007B08F5" w:rsidRDefault="009E260E" w:rsidP="00570911">
            <w:pPr>
              <w:rPr>
                <w:rFonts w:ascii="Arial" w:eastAsia="Times New Roman" w:hAnsi="Arial" w:cs="Arial"/>
                <w:color w:val="000000"/>
                <w:sz w:val="12"/>
                <w:szCs w:val="16"/>
                <w:lang w:eastAsia="es-MX"/>
              </w:rPr>
            </w:pPr>
            <w:r w:rsidRPr="007B08F5">
              <w:rPr>
                <w:rFonts w:ascii="Arial" w:eastAsia="Times New Roman" w:hAnsi="Arial" w:cs="Arial"/>
                <w:color w:val="000000"/>
                <w:sz w:val="12"/>
                <w:szCs w:val="16"/>
                <w:lang w:eastAsia="es-MX"/>
              </w:rPr>
              <w:t>SUB</w:t>
            </w:r>
            <w:r w:rsidRPr="007B08F5">
              <w:rPr>
                <w:rFonts w:ascii="Arial" w:eastAsia="Times New Roman" w:hAnsi="Arial" w:cs="Arial"/>
                <w:color w:val="000000"/>
                <w:sz w:val="12"/>
                <w:szCs w:val="16"/>
                <w:lang w:eastAsia="es-MX"/>
              </w:rPr>
              <w:br/>
              <w:t>URBANA</w:t>
            </w:r>
          </w:p>
        </w:tc>
      </w:tr>
      <w:tr w:rsidR="009E260E" w:rsidRPr="007B08F5" w14:paraId="6C041C70" w14:textId="77777777" w:rsidTr="00570911">
        <w:trPr>
          <w:trHeight w:val="460"/>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7F1E61BC" w14:textId="77777777" w:rsidR="009E260E" w:rsidRPr="007B08F5" w:rsidRDefault="009E260E" w:rsidP="00570911">
            <w:pPr>
              <w:jc w:val="center"/>
              <w:rPr>
                <w:rFonts w:ascii="Arial" w:eastAsia="Times New Roman" w:hAnsi="Arial" w:cs="Arial"/>
                <w:sz w:val="12"/>
                <w:szCs w:val="16"/>
                <w:lang w:eastAsia="es-MX"/>
              </w:rPr>
            </w:pPr>
            <w:r w:rsidRPr="007B08F5">
              <w:rPr>
                <w:rFonts w:ascii="Arial" w:eastAsia="Times New Roman" w:hAnsi="Arial" w:cs="Arial"/>
                <w:sz w:val="12"/>
                <w:szCs w:val="16"/>
                <w:lang w:eastAsia="es-MX"/>
              </w:rPr>
              <w:lastRenderedPageBreak/>
              <w:t>047DJN011-A</w:t>
            </w:r>
          </w:p>
        </w:tc>
        <w:tc>
          <w:tcPr>
            <w:tcW w:w="1130" w:type="dxa"/>
            <w:tcBorders>
              <w:top w:val="nil"/>
              <w:left w:val="nil"/>
              <w:bottom w:val="single" w:sz="4" w:space="0" w:color="auto"/>
              <w:right w:val="single" w:sz="4" w:space="0" w:color="auto"/>
            </w:tcBorders>
            <w:shd w:val="clear" w:color="auto" w:fill="auto"/>
            <w:vAlign w:val="center"/>
            <w:hideMark/>
          </w:tcPr>
          <w:p w14:paraId="4B985E69" w14:textId="77777777" w:rsidR="009E260E" w:rsidRPr="007B08F5" w:rsidRDefault="009E260E" w:rsidP="00570911">
            <w:pPr>
              <w:rPr>
                <w:rFonts w:ascii="Arial" w:eastAsia="Times New Roman" w:hAnsi="Arial" w:cs="Arial"/>
                <w:color w:val="000000"/>
                <w:sz w:val="12"/>
                <w:szCs w:val="16"/>
                <w:lang w:eastAsia="es-MX"/>
              </w:rPr>
            </w:pPr>
            <w:r w:rsidRPr="007B08F5">
              <w:rPr>
                <w:rFonts w:ascii="Arial" w:eastAsia="Times New Roman" w:hAnsi="Arial" w:cs="Arial"/>
                <w:color w:val="000000"/>
                <w:sz w:val="12"/>
                <w:szCs w:val="16"/>
                <w:lang w:eastAsia="es-MX"/>
              </w:rPr>
              <w:t>FRANCISCO PRIMO DE VERDAD</w:t>
            </w:r>
          </w:p>
        </w:tc>
        <w:tc>
          <w:tcPr>
            <w:tcW w:w="994" w:type="dxa"/>
            <w:tcBorders>
              <w:top w:val="nil"/>
              <w:left w:val="nil"/>
              <w:bottom w:val="single" w:sz="4" w:space="0" w:color="auto"/>
              <w:right w:val="single" w:sz="4" w:space="0" w:color="auto"/>
            </w:tcBorders>
            <w:shd w:val="clear" w:color="auto" w:fill="auto"/>
            <w:vAlign w:val="center"/>
            <w:hideMark/>
          </w:tcPr>
          <w:p w14:paraId="2F6AB863"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AV. DEL PANTEON</w:t>
            </w:r>
          </w:p>
        </w:tc>
        <w:tc>
          <w:tcPr>
            <w:tcW w:w="1257" w:type="dxa"/>
            <w:tcBorders>
              <w:top w:val="nil"/>
              <w:left w:val="nil"/>
              <w:bottom w:val="single" w:sz="4" w:space="0" w:color="auto"/>
              <w:right w:val="single" w:sz="4" w:space="0" w:color="auto"/>
            </w:tcBorders>
            <w:shd w:val="clear" w:color="auto" w:fill="auto"/>
            <w:vAlign w:val="center"/>
            <w:hideMark/>
          </w:tcPr>
          <w:p w14:paraId="2C308A6E"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SN                          FRANCISCO</w:t>
            </w:r>
            <w:r w:rsidRPr="007B08F5">
              <w:rPr>
                <w:rFonts w:ascii="Arial" w:eastAsia="Times New Roman" w:hAnsi="Arial" w:cs="Arial"/>
                <w:sz w:val="12"/>
                <w:szCs w:val="16"/>
                <w:lang w:eastAsia="es-MX"/>
              </w:rPr>
              <w:br/>
              <w:t>CUAUTLIQUIX.</w:t>
            </w:r>
          </w:p>
        </w:tc>
        <w:tc>
          <w:tcPr>
            <w:tcW w:w="935" w:type="dxa"/>
            <w:tcBorders>
              <w:top w:val="nil"/>
              <w:left w:val="nil"/>
              <w:bottom w:val="single" w:sz="4" w:space="0" w:color="auto"/>
              <w:right w:val="single" w:sz="4" w:space="0" w:color="auto"/>
            </w:tcBorders>
            <w:shd w:val="clear" w:color="auto" w:fill="auto"/>
            <w:vAlign w:val="center"/>
            <w:hideMark/>
          </w:tcPr>
          <w:p w14:paraId="5D3B56FB"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TECÁMAC</w:t>
            </w:r>
          </w:p>
        </w:tc>
        <w:tc>
          <w:tcPr>
            <w:tcW w:w="1241" w:type="dxa"/>
            <w:tcBorders>
              <w:top w:val="nil"/>
              <w:left w:val="nil"/>
              <w:bottom w:val="single" w:sz="4" w:space="0" w:color="auto"/>
              <w:right w:val="single" w:sz="4" w:space="0" w:color="auto"/>
            </w:tcBorders>
            <w:shd w:val="clear" w:color="auto" w:fill="auto"/>
            <w:vAlign w:val="center"/>
            <w:hideMark/>
          </w:tcPr>
          <w:p w14:paraId="4884BDCA"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SECRETARÍA DE EDUCACIÓN</w:t>
            </w:r>
          </w:p>
        </w:tc>
        <w:tc>
          <w:tcPr>
            <w:tcW w:w="1435" w:type="dxa"/>
            <w:tcBorders>
              <w:top w:val="nil"/>
              <w:left w:val="nil"/>
              <w:bottom w:val="single" w:sz="4" w:space="0" w:color="auto"/>
              <w:right w:val="single" w:sz="4" w:space="0" w:color="auto"/>
            </w:tcBorders>
            <w:shd w:val="clear" w:color="auto" w:fill="auto"/>
            <w:vAlign w:val="center"/>
            <w:hideMark/>
          </w:tcPr>
          <w:p w14:paraId="2771C9B9" w14:textId="77777777" w:rsidR="009E260E" w:rsidRPr="007B08F5" w:rsidRDefault="009E260E" w:rsidP="00570911">
            <w:pPr>
              <w:jc w:val="center"/>
              <w:rPr>
                <w:rFonts w:ascii="Arial" w:eastAsia="Times New Roman" w:hAnsi="Arial" w:cs="Arial"/>
                <w:color w:val="000000"/>
                <w:sz w:val="12"/>
                <w:szCs w:val="16"/>
                <w:lang w:eastAsia="es-MX"/>
              </w:rPr>
            </w:pPr>
            <w:r w:rsidRPr="007B08F5">
              <w:rPr>
                <w:rFonts w:ascii="Arial" w:eastAsia="Times New Roman" w:hAnsi="Arial" w:cs="Arial"/>
                <w:color w:val="000000"/>
                <w:sz w:val="12"/>
                <w:szCs w:val="16"/>
                <w:lang w:eastAsia="es-MX"/>
              </w:rPr>
              <w:t>SEIEM</w:t>
            </w:r>
          </w:p>
        </w:tc>
        <w:tc>
          <w:tcPr>
            <w:tcW w:w="767" w:type="dxa"/>
            <w:tcBorders>
              <w:top w:val="nil"/>
              <w:left w:val="nil"/>
              <w:bottom w:val="single" w:sz="4" w:space="0" w:color="auto"/>
              <w:right w:val="single" w:sz="4" w:space="0" w:color="auto"/>
            </w:tcBorders>
            <w:shd w:val="clear" w:color="auto" w:fill="auto"/>
            <w:vAlign w:val="center"/>
            <w:hideMark/>
          </w:tcPr>
          <w:p w14:paraId="535481CB"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URBANA</w:t>
            </w:r>
          </w:p>
        </w:tc>
      </w:tr>
      <w:tr w:rsidR="009E260E" w:rsidRPr="007B08F5" w14:paraId="324B8917" w14:textId="77777777" w:rsidTr="00570911">
        <w:trPr>
          <w:trHeight w:val="585"/>
        </w:trPr>
        <w:tc>
          <w:tcPr>
            <w:tcW w:w="1012" w:type="dxa"/>
            <w:tcBorders>
              <w:top w:val="nil"/>
              <w:left w:val="single" w:sz="4" w:space="0" w:color="auto"/>
              <w:bottom w:val="single" w:sz="4" w:space="0" w:color="auto"/>
              <w:right w:val="single" w:sz="4" w:space="0" w:color="auto"/>
            </w:tcBorders>
            <w:shd w:val="clear" w:color="auto" w:fill="auto"/>
            <w:vAlign w:val="center"/>
            <w:hideMark/>
          </w:tcPr>
          <w:p w14:paraId="74C3F0C4" w14:textId="77777777" w:rsidR="009E260E" w:rsidRPr="007B08F5" w:rsidRDefault="009E260E" w:rsidP="00570911">
            <w:pPr>
              <w:jc w:val="center"/>
              <w:rPr>
                <w:rFonts w:ascii="Arial" w:eastAsia="Times New Roman" w:hAnsi="Arial" w:cs="Arial"/>
                <w:sz w:val="12"/>
                <w:szCs w:val="16"/>
                <w:lang w:eastAsia="es-MX"/>
              </w:rPr>
            </w:pPr>
            <w:r w:rsidRPr="007B08F5">
              <w:rPr>
                <w:rFonts w:ascii="Arial" w:eastAsia="Times New Roman" w:hAnsi="Arial" w:cs="Arial"/>
                <w:sz w:val="12"/>
                <w:szCs w:val="16"/>
                <w:lang w:eastAsia="es-MX"/>
              </w:rPr>
              <w:t>047DPR012-A</w:t>
            </w:r>
          </w:p>
        </w:tc>
        <w:tc>
          <w:tcPr>
            <w:tcW w:w="1130" w:type="dxa"/>
            <w:tcBorders>
              <w:top w:val="nil"/>
              <w:left w:val="nil"/>
              <w:bottom w:val="single" w:sz="4" w:space="0" w:color="auto"/>
              <w:right w:val="single" w:sz="4" w:space="0" w:color="auto"/>
            </w:tcBorders>
            <w:shd w:val="clear" w:color="auto" w:fill="auto"/>
            <w:vAlign w:val="center"/>
            <w:hideMark/>
          </w:tcPr>
          <w:p w14:paraId="1BF8879E" w14:textId="77777777" w:rsidR="009E260E" w:rsidRPr="007B08F5" w:rsidRDefault="009E260E" w:rsidP="00570911">
            <w:pPr>
              <w:rPr>
                <w:rFonts w:ascii="Arial" w:eastAsia="Times New Roman" w:hAnsi="Arial" w:cs="Arial"/>
                <w:color w:val="000000"/>
                <w:sz w:val="12"/>
                <w:szCs w:val="16"/>
                <w:lang w:eastAsia="es-MX"/>
              </w:rPr>
            </w:pPr>
            <w:r w:rsidRPr="007B08F5">
              <w:rPr>
                <w:rFonts w:ascii="Arial" w:eastAsia="Times New Roman" w:hAnsi="Arial" w:cs="Arial"/>
                <w:color w:val="000000"/>
                <w:sz w:val="12"/>
                <w:szCs w:val="16"/>
                <w:lang w:eastAsia="es-MX"/>
              </w:rPr>
              <w:t>MARÍANO  MATAMOROS</w:t>
            </w:r>
          </w:p>
        </w:tc>
        <w:tc>
          <w:tcPr>
            <w:tcW w:w="994" w:type="dxa"/>
            <w:tcBorders>
              <w:top w:val="nil"/>
              <w:left w:val="nil"/>
              <w:bottom w:val="single" w:sz="4" w:space="0" w:color="auto"/>
              <w:right w:val="single" w:sz="4" w:space="0" w:color="auto"/>
            </w:tcBorders>
            <w:shd w:val="clear" w:color="auto" w:fill="auto"/>
            <w:vAlign w:val="center"/>
            <w:hideMark/>
          </w:tcPr>
          <w:p w14:paraId="287767FB"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PLAZA PRINCIPAL</w:t>
            </w:r>
          </w:p>
        </w:tc>
        <w:tc>
          <w:tcPr>
            <w:tcW w:w="1257" w:type="dxa"/>
            <w:tcBorders>
              <w:top w:val="nil"/>
              <w:left w:val="nil"/>
              <w:bottom w:val="single" w:sz="4" w:space="0" w:color="auto"/>
              <w:right w:val="single" w:sz="4" w:space="0" w:color="auto"/>
            </w:tcBorders>
            <w:shd w:val="clear" w:color="auto" w:fill="auto"/>
            <w:vAlign w:val="center"/>
            <w:hideMark/>
          </w:tcPr>
          <w:p w14:paraId="07DCC8C7"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SN FCO. CUATLIQUIXCA</w:t>
            </w:r>
          </w:p>
        </w:tc>
        <w:tc>
          <w:tcPr>
            <w:tcW w:w="935" w:type="dxa"/>
            <w:tcBorders>
              <w:top w:val="nil"/>
              <w:left w:val="nil"/>
              <w:bottom w:val="single" w:sz="4" w:space="0" w:color="auto"/>
              <w:right w:val="single" w:sz="4" w:space="0" w:color="auto"/>
            </w:tcBorders>
            <w:shd w:val="clear" w:color="auto" w:fill="auto"/>
            <w:vAlign w:val="center"/>
            <w:hideMark/>
          </w:tcPr>
          <w:p w14:paraId="3C0F1D6F"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TECÁMAC</w:t>
            </w:r>
          </w:p>
        </w:tc>
        <w:tc>
          <w:tcPr>
            <w:tcW w:w="1241" w:type="dxa"/>
            <w:tcBorders>
              <w:top w:val="nil"/>
              <w:left w:val="nil"/>
              <w:bottom w:val="single" w:sz="4" w:space="0" w:color="auto"/>
              <w:right w:val="single" w:sz="4" w:space="0" w:color="auto"/>
            </w:tcBorders>
            <w:shd w:val="clear" w:color="auto" w:fill="auto"/>
            <w:vAlign w:val="center"/>
            <w:hideMark/>
          </w:tcPr>
          <w:p w14:paraId="2AE90C6F"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SECRETARÍA DE EDUCACIÓN</w:t>
            </w:r>
          </w:p>
        </w:tc>
        <w:tc>
          <w:tcPr>
            <w:tcW w:w="1435" w:type="dxa"/>
            <w:tcBorders>
              <w:top w:val="nil"/>
              <w:left w:val="nil"/>
              <w:bottom w:val="single" w:sz="4" w:space="0" w:color="auto"/>
              <w:right w:val="single" w:sz="4" w:space="0" w:color="auto"/>
            </w:tcBorders>
            <w:shd w:val="clear" w:color="auto" w:fill="auto"/>
            <w:vAlign w:val="center"/>
            <w:hideMark/>
          </w:tcPr>
          <w:p w14:paraId="498EC163" w14:textId="77777777" w:rsidR="009E260E" w:rsidRPr="007B08F5" w:rsidRDefault="009E260E" w:rsidP="00570911">
            <w:pPr>
              <w:jc w:val="center"/>
              <w:rPr>
                <w:rFonts w:ascii="Arial" w:eastAsia="Times New Roman" w:hAnsi="Arial" w:cs="Arial"/>
                <w:sz w:val="12"/>
                <w:szCs w:val="16"/>
                <w:lang w:eastAsia="es-MX"/>
              </w:rPr>
            </w:pPr>
            <w:r w:rsidRPr="007B08F5">
              <w:rPr>
                <w:rFonts w:ascii="Arial" w:eastAsia="Times New Roman" w:hAnsi="Arial" w:cs="Arial"/>
                <w:sz w:val="12"/>
                <w:szCs w:val="16"/>
                <w:lang w:eastAsia="es-MX"/>
              </w:rPr>
              <w:t>SEIEM</w:t>
            </w:r>
          </w:p>
        </w:tc>
        <w:tc>
          <w:tcPr>
            <w:tcW w:w="767" w:type="dxa"/>
            <w:tcBorders>
              <w:top w:val="nil"/>
              <w:left w:val="nil"/>
              <w:bottom w:val="single" w:sz="4" w:space="0" w:color="auto"/>
              <w:right w:val="single" w:sz="4" w:space="0" w:color="auto"/>
            </w:tcBorders>
            <w:shd w:val="clear" w:color="auto" w:fill="auto"/>
            <w:vAlign w:val="center"/>
            <w:hideMark/>
          </w:tcPr>
          <w:p w14:paraId="049DBC40" w14:textId="77777777" w:rsidR="009E260E" w:rsidRPr="007B08F5" w:rsidRDefault="009E260E" w:rsidP="00570911">
            <w:pPr>
              <w:rPr>
                <w:rFonts w:ascii="Arial" w:eastAsia="Times New Roman" w:hAnsi="Arial" w:cs="Arial"/>
                <w:sz w:val="12"/>
                <w:szCs w:val="16"/>
                <w:lang w:eastAsia="es-MX"/>
              </w:rPr>
            </w:pPr>
            <w:r w:rsidRPr="007B08F5">
              <w:rPr>
                <w:rFonts w:ascii="Arial" w:eastAsia="Times New Roman" w:hAnsi="Arial" w:cs="Arial"/>
                <w:sz w:val="12"/>
                <w:szCs w:val="16"/>
                <w:lang w:eastAsia="es-MX"/>
              </w:rPr>
              <w:t>SUB</w:t>
            </w:r>
            <w:r w:rsidRPr="007B08F5">
              <w:rPr>
                <w:rFonts w:ascii="Arial" w:eastAsia="Times New Roman" w:hAnsi="Arial" w:cs="Arial"/>
                <w:sz w:val="12"/>
                <w:szCs w:val="16"/>
                <w:lang w:eastAsia="es-MX"/>
              </w:rPr>
              <w:br/>
              <w:t>URBANA</w:t>
            </w:r>
          </w:p>
        </w:tc>
      </w:tr>
    </w:tbl>
    <w:p w14:paraId="16D706C8" w14:textId="77777777" w:rsidR="009E260E"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0CD119F0" w14:textId="1C7FACC4" w:rsidR="00701218" w:rsidRDefault="008C33F9"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701218">
        <w:rPr>
          <w:rFonts w:ascii="Palatino Linotype" w:hAnsi="Palatino Linotype"/>
          <w:color w:val="000000" w:themeColor="text1"/>
        </w:rPr>
        <w:t xml:space="preserve">, resulta evidente que el particular desea conocer, de los inmuebles identificados con los folios </w:t>
      </w:r>
      <w:r w:rsidR="00701218" w:rsidRPr="008C33F9">
        <w:rPr>
          <w:rFonts w:ascii="Palatino Linotype" w:hAnsi="Palatino Linotype"/>
          <w:b/>
          <w:color w:val="000000" w:themeColor="text1"/>
        </w:rPr>
        <w:t>047DES003-A</w:t>
      </w:r>
      <w:r w:rsidR="00701218" w:rsidRPr="008C33F9">
        <w:rPr>
          <w:rFonts w:ascii="Palatino Linotype" w:hAnsi="Palatino Linotype"/>
          <w:color w:val="000000" w:themeColor="text1"/>
        </w:rPr>
        <w:t>,</w:t>
      </w:r>
      <w:r w:rsidR="00701218" w:rsidRPr="008C33F9">
        <w:rPr>
          <w:rFonts w:ascii="Palatino Linotype" w:hAnsi="Palatino Linotype"/>
          <w:b/>
          <w:color w:val="000000" w:themeColor="text1"/>
        </w:rPr>
        <w:t xml:space="preserve"> 047DJN011-A </w:t>
      </w:r>
      <w:r w:rsidR="00701218" w:rsidRPr="008C33F9">
        <w:rPr>
          <w:rFonts w:ascii="Palatino Linotype" w:hAnsi="Palatino Linotype"/>
          <w:color w:val="000000" w:themeColor="text1"/>
        </w:rPr>
        <w:t>y</w:t>
      </w:r>
      <w:r w:rsidR="00701218" w:rsidRPr="008C33F9">
        <w:rPr>
          <w:rFonts w:ascii="Palatino Linotype" w:hAnsi="Palatino Linotype"/>
          <w:b/>
          <w:color w:val="000000" w:themeColor="text1"/>
        </w:rPr>
        <w:t xml:space="preserve"> 047DPR012-A</w:t>
      </w:r>
      <w:r>
        <w:rPr>
          <w:rFonts w:ascii="Palatino Linotype" w:hAnsi="Palatino Linotype"/>
          <w:color w:val="000000" w:themeColor="text1"/>
        </w:rPr>
        <w:t>, propiedad de los Servicios Educativos Integrados al Estado de México</w:t>
      </w:r>
      <w:r w:rsidR="00701218">
        <w:rPr>
          <w:rFonts w:ascii="Palatino Linotype" w:hAnsi="Palatino Linotype"/>
          <w:color w:val="000000" w:themeColor="text1"/>
        </w:rPr>
        <w:t xml:space="preserve">, los documentos que acrediten su posesión, antecedentes y, se le informe </w:t>
      </w:r>
      <w:r>
        <w:rPr>
          <w:rFonts w:ascii="Palatino Linotype" w:hAnsi="Palatino Linotype"/>
          <w:color w:val="000000" w:themeColor="text1"/>
        </w:rPr>
        <w:t>si é</w:t>
      </w:r>
      <w:r w:rsidR="00701218">
        <w:rPr>
          <w:rFonts w:ascii="Palatino Linotype" w:hAnsi="Palatino Linotype"/>
          <w:color w:val="000000" w:themeColor="text1"/>
        </w:rPr>
        <w:t>stos se encuentran en comodato u otra figura jurídica, como la subdivisión.</w:t>
      </w:r>
    </w:p>
    <w:p w14:paraId="4CDCBF96" w14:textId="77777777" w:rsidR="00701218" w:rsidRDefault="00701218" w:rsidP="00701218">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5D15CDCC" w:rsidR="009E260E" w:rsidRDefault="009E260E"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w:t>
      </w: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F3117D">
        <w:rPr>
          <w:rFonts w:ascii="Palatino Linotype" w:hAnsi="Palatino Linotype"/>
          <w:color w:val="000000" w:themeColor="text1"/>
        </w:rPr>
        <w:t>entregó la copia digitalizada de un contrato de donación y cesión de derechos posesorios, en versión pública.</w:t>
      </w:r>
    </w:p>
    <w:p w14:paraId="558DA1D5" w14:textId="77777777" w:rsidR="009E260E"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35863C3A" w14:textId="1AD9FEB5" w:rsidR="009E260E" w:rsidRPr="00F3117D" w:rsidRDefault="009E260E"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la respuesta, el </w:t>
      </w:r>
      <w:r>
        <w:rPr>
          <w:rFonts w:ascii="Palatino Linotype" w:hAnsi="Palatino Linotype"/>
          <w:b/>
          <w:color w:val="000000" w:themeColor="text1"/>
        </w:rPr>
        <w:t>RECURRENTE</w:t>
      </w:r>
      <w:r>
        <w:rPr>
          <w:rFonts w:ascii="Palatino Linotype" w:hAnsi="Palatino Linotype"/>
          <w:color w:val="000000" w:themeColor="text1"/>
        </w:rPr>
        <w:t xml:space="preserve"> promovió el recurso de revisión con número al rubro indicado en contra de la respuesta del </w:t>
      </w:r>
      <w:r>
        <w:rPr>
          <w:rFonts w:ascii="Palatino Linotype" w:hAnsi="Palatino Linotype"/>
          <w:b/>
          <w:color w:val="000000" w:themeColor="text1"/>
        </w:rPr>
        <w:t>SUJETO OBLIGADO</w:t>
      </w:r>
      <w:r>
        <w:rPr>
          <w:rFonts w:ascii="Palatino Linotype" w:hAnsi="Palatino Linotype"/>
          <w:color w:val="000000" w:themeColor="text1"/>
        </w:rPr>
        <w:t xml:space="preserve"> y, en el que señaló por agravios, que el contrato de donación y</w:t>
      </w:r>
      <w:r w:rsidR="00F3117D">
        <w:rPr>
          <w:rFonts w:ascii="Palatino Linotype" w:hAnsi="Palatino Linotype"/>
          <w:color w:val="000000" w:themeColor="text1"/>
        </w:rPr>
        <w:t xml:space="preserve"> cesión de derechos posesorios</w:t>
      </w:r>
      <w:r w:rsidRPr="00F3117D">
        <w:rPr>
          <w:rFonts w:ascii="Palatino Linotype" w:hAnsi="Palatino Linotype"/>
          <w:color w:val="000000" w:themeColor="text1"/>
        </w:rPr>
        <w:t xml:space="preserve"> estaba incompleto.</w:t>
      </w:r>
    </w:p>
    <w:p w14:paraId="79C13A5C" w14:textId="77777777" w:rsidR="009E260E"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04E8CB98" w14:textId="77777777" w:rsidR="009E260E" w:rsidRDefault="009E260E"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en el apartado de </w:t>
      </w:r>
      <w:r>
        <w:rPr>
          <w:rFonts w:ascii="Palatino Linotype" w:hAnsi="Palatino Linotype"/>
          <w:i/>
          <w:color w:val="000000" w:themeColor="text1"/>
        </w:rPr>
        <w:t>Manifestaciones</w:t>
      </w:r>
      <w:r>
        <w:rPr>
          <w:rFonts w:ascii="Palatino Linotype" w:hAnsi="Palatino Linotype"/>
          <w:color w:val="000000" w:themeColor="text1"/>
        </w:rPr>
        <w:t xml:space="preserve"> del SAIMEX; por medio del cual, ratifica esencialmente su respuesta inicial, y acompaña con las manifestaciones del Servidor Público Habilitado de la Dirección General de Recursos Materiales, las cuales se analizarán más adelante.</w:t>
      </w:r>
    </w:p>
    <w:p w14:paraId="41D30860"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716645C6" w14:textId="7EE29E2B" w:rsidR="003A63D9" w:rsidRDefault="00D3457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vez expuesto lo anterior, se procede a analizar el contenido íntegro que conforman las actuaciones del recurso de revisión </w:t>
      </w:r>
      <w:r>
        <w:rPr>
          <w:rFonts w:ascii="Palatino Linotype" w:hAnsi="Palatino Linotype"/>
          <w:b/>
          <w:color w:val="000000" w:themeColor="text1"/>
        </w:rPr>
        <w:t>04058/INFOEM/IP/RR/2021</w:t>
      </w:r>
      <w:r>
        <w:rPr>
          <w:rFonts w:ascii="Palatino Linotype" w:hAnsi="Palatino Linotype"/>
          <w:color w:val="000000" w:themeColor="text1"/>
        </w:rPr>
        <w:t xml:space="preserve">, a efecto de determinar la legalidad y el grado de cumplimiento que logró el </w:t>
      </w:r>
      <w:r>
        <w:rPr>
          <w:rFonts w:ascii="Palatino Linotype" w:hAnsi="Palatino Linotype"/>
          <w:b/>
          <w:color w:val="000000" w:themeColor="text1"/>
        </w:rPr>
        <w:t>SUJETO OBLIGADO</w:t>
      </w:r>
      <w:r>
        <w:rPr>
          <w:rFonts w:ascii="Palatino Linotype" w:hAnsi="Palatino Linotype"/>
          <w:color w:val="000000" w:themeColor="text1"/>
        </w:rPr>
        <w:t xml:space="preserve"> a través de su respuesta a la solicitud </w:t>
      </w:r>
      <w:r>
        <w:rPr>
          <w:rFonts w:ascii="Palatino Linotype" w:hAnsi="Palatino Linotype"/>
          <w:b/>
          <w:color w:val="000000" w:themeColor="text1"/>
        </w:rPr>
        <w:t>00300/SF/IP/2021</w:t>
      </w:r>
      <w:r>
        <w:rPr>
          <w:rFonts w:ascii="Palatino Linotype" w:hAnsi="Palatino Linotype"/>
          <w:color w:val="000000" w:themeColor="text1"/>
        </w:rPr>
        <w:t>.</w:t>
      </w:r>
    </w:p>
    <w:p w14:paraId="57F52CA8"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2F958FA3" w14:textId="7491E5E1" w:rsidR="003062D4" w:rsidRPr="003062D4" w:rsidRDefault="003062D4" w:rsidP="003062D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5029725"/>
      <w:r>
        <w:rPr>
          <w:rFonts w:ascii="Palatino Linotype" w:hAnsi="Palatino Linotype"/>
          <w:b/>
          <w:color w:val="000000" w:themeColor="text1"/>
        </w:rPr>
        <w:t>III. Del documento que acredite la propiedad de los inmuebles señalados en la solicitud.</w:t>
      </w:r>
      <w:bookmarkEnd w:id="30"/>
    </w:p>
    <w:p w14:paraId="17B4223B" w14:textId="77777777" w:rsidR="003062D4" w:rsidRDefault="003062D4"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3503574C"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w:t>
      </w:r>
      <w:r w:rsidRPr="0077277D">
        <w:rPr>
          <w:rFonts w:ascii="Palatino Linotype" w:hAnsi="Palatino Linotype"/>
          <w:color w:val="000000" w:themeColor="text1"/>
          <w:lang w:val="es-ES_tradnl"/>
        </w:rPr>
        <w:t xml:space="preserve">efecto de entender los alcances de la información pública se considera importante citar el Criterio </w:t>
      </w:r>
      <w:r w:rsidRPr="0077277D">
        <w:rPr>
          <w:rFonts w:ascii="Palatino Linotype" w:hAnsi="Palatino Linotype"/>
          <w:bCs/>
          <w:color w:val="000000" w:themeColor="text1"/>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w:t>
      </w:r>
      <w:r>
        <w:rPr>
          <w:rFonts w:ascii="Palatino Linotype" w:hAnsi="Palatino Linotype"/>
          <w:bCs/>
          <w:color w:val="000000" w:themeColor="text1"/>
        </w:rPr>
        <w:t xml:space="preserve"> (19)</w:t>
      </w:r>
      <w:r w:rsidRPr="0077277D">
        <w:rPr>
          <w:rFonts w:ascii="Palatino Linotype" w:hAnsi="Palatino Linotype"/>
          <w:bCs/>
          <w:color w:val="000000" w:themeColor="text1"/>
        </w:rPr>
        <w:t xml:space="preserve"> de octubre de dos mil once, </w:t>
      </w:r>
      <w:r w:rsidRPr="0077277D">
        <w:rPr>
          <w:rFonts w:ascii="Palatino Linotype" w:hAnsi="Palatino Linotype"/>
          <w:color w:val="000000" w:themeColor="text1"/>
          <w:lang w:val="es-ES_tradnl"/>
        </w:rPr>
        <w:t>cuyo rubro y texto dispone:</w:t>
      </w:r>
    </w:p>
    <w:p w14:paraId="5C38C5DD"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090BA587"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F20E6">
        <w:rPr>
          <w:rFonts w:ascii="Palatino Linotype" w:hAnsi="Palatino Linotype" w:cs="Arial"/>
          <w:b/>
          <w:bCs/>
          <w:i/>
          <w:sz w:val="22"/>
          <w:szCs w:val="22"/>
          <w:lang w:eastAsia="es-MX"/>
        </w:rPr>
        <w:t xml:space="preserve">V, XV, Y XVI, </w:t>
      </w:r>
      <w:r w:rsidRPr="00CF20E6">
        <w:rPr>
          <w:rFonts w:ascii="Palatino Linotype" w:hAnsi="Palatino Linotype" w:cs="Arial"/>
          <w:b/>
          <w:i/>
          <w:sz w:val="22"/>
          <w:szCs w:val="22"/>
          <w:lang w:eastAsia="es-MX"/>
        </w:rPr>
        <w:t>3, 4,11 Y 41.</w:t>
      </w:r>
      <w:r w:rsidRPr="00CF20E6">
        <w:rPr>
          <w:rFonts w:ascii="Palatino Linotype" w:hAnsi="Palatino Linotype" w:cs="Arial"/>
          <w:i/>
          <w:sz w:val="22"/>
          <w:szCs w:val="22"/>
          <w:lang w:eastAsia="es-MX"/>
        </w:rPr>
        <w:t xml:space="preserve"> </w:t>
      </w:r>
      <w:r>
        <w:rPr>
          <w:rFonts w:ascii="Palatino Linotype" w:hAnsi="Palatino Linotype" w:cs="Arial"/>
          <w:i/>
          <w:sz w:val="22"/>
          <w:szCs w:val="22"/>
          <w:lang w:eastAsia="es-MX"/>
        </w:rPr>
        <w:t>“</w:t>
      </w:r>
      <w:r w:rsidRPr="00CF20E6">
        <w:rPr>
          <w:rFonts w:ascii="Palatino Linotype" w:hAnsi="Palatino Linotype" w:cs="Arial"/>
          <w:i/>
          <w:sz w:val="22"/>
          <w:szCs w:val="22"/>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D9D149"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En consecuencia el acceso a la información se refiere a que se cumplan cualquiera de los siguientes tres supuestos:</w:t>
      </w:r>
    </w:p>
    <w:p w14:paraId="253E9B90"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DE2A612" w14:textId="77777777" w:rsidR="008C33F9" w:rsidRDefault="008C33F9" w:rsidP="008C33F9">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2B09FAAC" w14:textId="77777777" w:rsidR="008C33F9" w:rsidRDefault="008C33F9" w:rsidP="008C33F9">
      <w:pPr>
        <w:autoSpaceDE w:val="0"/>
        <w:autoSpaceDN w:val="0"/>
        <w:adjustRightInd w:val="0"/>
        <w:spacing w:line="276" w:lineRule="auto"/>
        <w:ind w:left="567" w:right="567"/>
        <w:jc w:val="both"/>
        <w:rPr>
          <w:rFonts w:ascii="Palatino Linotype" w:hAnsi="Palatino Linotype" w:cs="Arial"/>
        </w:rPr>
      </w:pPr>
      <w:r w:rsidRPr="00CF20E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E27552"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2BBA6A6"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CF20E6">
        <w:rPr>
          <w:rFonts w:ascii="Palatino Linotype" w:hAnsi="Palatino Linotype"/>
          <w:lang w:val="es-ES"/>
        </w:rPr>
        <w:t>derecho de acceso a la información encuentra su materia elemental en los documentos, y la Ley de Transparencia local nos brinda el siguiente concepto</w:t>
      </w:r>
      <w:r>
        <w:rPr>
          <w:rStyle w:val="Refdenotaalpie"/>
          <w:rFonts w:ascii="Palatino Linotype" w:hAnsi="Palatino Linotype"/>
          <w:lang w:val="es-ES"/>
        </w:rPr>
        <w:footnoteReference w:id="12"/>
      </w:r>
      <w:r w:rsidRPr="00CF20E6">
        <w:rPr>
          <w:rFonts w:ascii="Palatino Linotype" w:hAnsi="Palatino Linotype"/>
          <w:lang w:val="es-ES"/>
        </w:rPr>
        <w:t>, para darnos un mejor panorama:</w:t>
      </w:r>
    </w:p>
    <w:p w14:paraId="53F522AB" w14:textId="77777777" w:rsidR="008C33F9" w:rsidRDefault="008C33F9" w:rsidP="008C33F9">
      <w:pPr>
        <w:pStyle w:val="Prrafodelista"/>
        <w:tabs>
          <w:tab w:val="left" w:pos="426"/>
        </w:tabs>
        <w:spacing w:line="360" w:lineRule="auto"/>
        <w:ind w:left="0" w:right="51"/>
        <w:jc w:val="both"/>
        <w:rPr>
          <w:rFonts w:ascii="Palatino Linotype" w:hAnsi="Palatino Linotype"/>
          <w:color w:val="000000" w:themeColor="text1"/>
        </w:rPr>
      </w:pPr>
    </w:p>
    <w:p w14:paraId="7E3FD754" w14:textId="77777777" w:rsidR="008C33F9" w:rsidRDefault="008C33F9" w:rsidP="008C33F9">
      <w:pPr>
        <w:autoSpaceDE w:val="0"/>
        <w:autoSpaceDN w:val="0"/>
        <w:adjustRightInd w:val="0"/>
        <w:spacing w:line="276" w:lineRule="auto"/>
        <w:ind w:left="567" w:right="567"/>
        <w:jc w:val="both"/>
        <w:rPr>
          <w:rFonts w:ascii="Palatino Linotype" w:eastAsiaTheme="minorHAnsi" w:hAnsi="Palatino Linotype" w:cs="Bookman Old Style"/>
          <w:sz w:val="22"/>
          <w:szCs w:val="20"/>
          <w:lang w:eastAsia="en-US"/>
        </w:rPr>
      </w:pPr>
      <w:r>
        <w:rPr>
          <w:rFonts w:ascii="Palatino Linotype" w:eastAsiaTheme="minorHAnsi" w:hAnsi="Palatino Linotype" w:cs="Bookman Old Style,Bold"/>
          <w:b/>
          <w:bCs/>
          <w:i/>
          <w:sz w:val="22"/>
          <w:szCs w:val="20"/>
          <w:lang w:eastAsia="en-US"/>
        </w:rPr>
        <w:t>“</w:t>
      </w:r>
      <w:r w:rsidRPr="00CF20E6">
        <w:rPr>
          <w:rFonts w:ascii="Palatino Linotype" w:eastAsiaTheme="minorHAnsi" w:hAnsi="Palatino Linotype" w:cs="Bookman Old Style,Bold"/>
          <w:b/>
          <w:bCs/>
          <w:i/>
          <w:sz w:val="22"/>
          <w:szCs w:val="20"/>
          <w:lang w:eastAsia="en-US"/>
        </w:rPr>
        <w:t xml:space="preserve">XI. Documento: </w:t>
      </w:r>
      <w:r w:rsidRPr="005E76A0">
        <w:rPr>
          <w:rFonts w:ascii="Palatino Linotype" w:eastAsiaTheme="minorHAnsi" w:hAnsi="Palatino Linotype" w:cs="Bookman Old Style"/>
          <w:b/>
          <w:i/>
          <w:sz w:val="22"/>
          <w:szCs w:val="20"/>
          <w:lang w:eastAsia="en-US"/>
        </w:rPr>
        <w:t>Los</w:t>
      </w:r>
      <w:r w:rsidRPr="00CF20E6">
        <w:rPr>
          <w:rFonts w:ascii="Palatino Linotype" w:eastAsiaTheme="minorHAnsi" w:hAnsi="Palatino Linotype" w:cs="Bookman Old Style"/>
          <w:i/>
          <w:sz w:val="22"/>
          <w:szCs w:val="20"/>
          <w:lang w:eastAsia="en-US"/>
        </w:rPr>
        <w:t xml:space="preserve"> expedientes, reportes, estudios, actas, resoluciones, oficios, correspondencia, acuerdos, directivas, directrices, circulares, </w:t>
      </w:r>
      <w:r w:rsidRPr="005E76A0">
        <w:rPr>
          <w:rFonts w:ascii="Palatino Linotype" w:eastAsiaTheme="minorHAnsi" w:hAnsi="Palatino Linotype" w:cs="Bookman Old Style"/>
          <w:b/>
          <w:i/>
          <w:sz w:val="22"/>
          <w:szCs w:val="20"/>
          <w:lang w:eastAsia="en-US"/>
        </w:rPr>
        <w:t>contratos</w:t>
      </w:r>
      <w:r w:rsidRPr="00CF20E6">
        <w:rPr>
          <w:rFonts w:ascii="Palatino Linotype" w:eastAsiaTheme="minorHAnsi" w:hAnsi="Palatino Linotype" w:cs="Bookman Old Style"/>
          <w:i/>
          <w:sz w:val="22"/>
          <w:szCs w:val="20"/>
          <w:lang w:eastAsia="en-US"/>
        </w:rPr>
        <w:t xml:space="preserve">, </w:t>
      </w:r>
      <w:r w:rsidRPr="005E76A0">
        <w:rPr>
          <w:rFonts w:ascii="Palatino Linotype" w:eastAsiaTheme="minorHAnsi" w:hAnsi="Palatino Linotype" w:cs="Bookman Old Style"/>
          <w:b/>
          <w:i/>
          <w:sz w:val="22"/>
          <w:szCs w:val="20"/>
          <w:lang w:eastAsia="en-US"/>
        </w:rPr>
        <w:t>convenios</w:t>
      </w:r>
      <w:r w:rsidRPr="00CF20E6">
        <w:rPr>
          <w:rFonts w:ascii="Palatino Linotype" w:eastAsiaTheme="minorHAnsi" w:hAnsi="Palatino Linotype" w:cs="Bookman Old Style"/>
          <w:i/>
          <w:sz w:val="22"/>
          <w:szCs w:val="20"/>
          <w:lang w:eastAsia="en-US"/>
        </w:rPr>
        <w:t xml:space="preserve">, instructivos, notas, memorandos, estadísticas o bien, </w:t>
      </w:r>
      <w:r w:rsidRPr="00CF20E6">
        <w:rPr>
          <w:rFonts w:ascii="Palatino Linotype" w:eastAsiaTheme="minorHAnsi" w:hAnsi="Palatino Linotype" w:cs="Bookman Old Style"/>
          <w:b/>
          <w:i/>
          <w:sz w:val="22"/>
          <w:szCs w:val="20"/>
          <w:lang w:eastAsia="en-US"/>
        </w:rPr>
        <w:t xml:space="preserve">cualquier </w:t>
      </w:r>
      <w:r w:rsidRPr="005E76A0">
        <w:rPr>
          <w:rFonts w:ascii="Palatino Linotype" w:eastAsiaTheme="minorHAnsi" w:hAnsi="Palatino Linotype" w:cs="Bookman Old Style"/>
          <w:i/>
          <w:sz w:val="22"/>
          <w:szCs w:val="20"/>
          <w:lang w:eastAsia="en-US"/>
        </w:rPr>
        <w:t>otro</w:t>
      </w:r>
      <w:r w:rsidRPr="00CF20E6">
        <w:rPr>
          <w:rFonts w:ascii="Palatino Linotype" w:eastAsiaTheme="minorHAnsi" w:hAnsi="Palatino Linotype" w:cs="Bookman Old Style"/>
          <w:b/>
          <w:i/>
          <w:sz w:val="22"/>
          <w:szCs w:val="20"/>
          <w:lang w:eastAsia="en-US"/>
        </w:rPr>
        <w:t xml:space="preserve"> </w:t>
      </w:r>
      <w:r w:rsidRPr="005E76A0">
        <w:rPr>
          <w:rFonts w:ascii="Palatino Linotype" w:eastAsiaTheme="minorHAnsi" w:hAnsi="Palatino Linotype" w:cs="Bookman Old Style"/>
          <w:b/>
          <w:i/>
          <w:sz w:val="22"/>
          <w:szCs w:val="20"/>
          <w:lang w:eastAsia="en-US"/>
        </w:rPr>
        <w:t>registro que documente el ejercicio de las facultades, funciones y competencias de los sujetos obligados</w:t>
      </w:r>
      <w:r w:rsidRPr="00CF20E6">
        <w:rPr>
          <w:rFonts w:ascii="Palatino Linotype" w:eastAsiaTheme="minorHAnsi" w:hAnsi="Palatino Linotype" w:cs="Bookman Old Style"/>
          <w:i/>
          <w:sz w:val="22"/>
          <w:szCs w:val="20"/>
          <w:lang w:eastAsia="en-US"/>
        </w:rPr>
        <w:t>, sus servidores públicos e integrantes, sin importar su fuente o fecha de elaboración. Los documentos podrán estar en cualquier medio, sea escrito, impreso,  sonoro, visual, electrónico, informático u holográfico;</w:t>
      </w:r>
      <w:r>
        <w:rPr>
          <w:rFonts w:ascii="Palatino Linotype" w:eastAsiaTheme="minorHAnsi" w:hAnsi="Palatino Linotype" w:cs="Bookman Old Style"/>
          <w:i/>
          <w:sz w:val="22"/>
          <w:szCs w:val="20"/>
          <w:lang w:eastAsia="en-US"/>
        </w:rPr>
        <w:t>”</w:t>
      </w:r>
    </w:p>
    <w:p w14:paraId="7234B037" w14:textId="77777777" w:rsidR="008C33F9" w:rsidRPr="005E76A0" w:rsidRDefault="008C33F9" w:rsidP="008C33F9">
      <w:pPr>
        <w:autoSpaceDE w:val="0"/>
        <w:autoSpaceDN w:val="0"/>
        <w:adjustRightInd w:val="0"/>
        <w:spacing w:line="276" w:lineRule="auto"/>
        <w:ind w:left="567" w:right="567"/>
        <w:jc w:val="both"/>
        <w:rPr>
          <w:rFonts w:ascii="Palatino Linotype" w:hAnsi="Palatino Linotype"/>
          <w:sz w:val="28"/>
          <w:lang w:val="es-ES"/>
        </w:rPr>
      </w:pPr>
      <w:r>
        <w:rPr>
          <w:rFonts w:ascii="Palatino Linotype" w:eastAsiaTheme="minorHAnsi" w:hAnsi="Palatino Linotype" w:cs="Bookman Old Style"/>
          <w:sz w:val="22"/>
          <w:szCs w:val="20"/>
          <w:lang w:eastAsia="en-US"/>
        </w:rPr>
        <w:t>(Énfasis añadido)</w:t>
      </w:r>
    </w:p>
    <w:p w14:paraId="6A59342D" w14:textId="77777777" w:rsidR="008C33F9" w:rsidRDefault="008C33F9" w:rsidP="008C33F9">
      <w:pPr>
        <w:pStyle w:val="Prrafodelista"/>
        <w:tabs>
          <w:tab w:val="left" w:pos="426"/>
        </w:tabs>
        <w:spacing w:line="360" w:lineRule="auto"/>
        <w:ind w:left="0" w:right="51"/>
        <w:jc w:val="both"/>
        <w:rPr>
          <w:rFonts w:ascii="Palatino Linotype" w:hAnsi="Palatino Linotype"/>
          <w:color w:val="000000" w:themeColor="text1"/>
        </w:rPr>
      </w:pPr>
    </w:p>
    <w:p w14:paraId="7B338879"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sidRPr="00CF20E6">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30779E7" w14:textId="77777777" w:rsidR="008C33F9" w:rsidRDefault="008C33F9" w:rsidP="008C33F9">
      <w:pPr>
        <w:pStyle w:val="Prrafodelista"/>
        <w:tabs>
          <w:tab w:val="left" w:pos="426"/>
        </w:tabs>
        <w:spacing w:line="360" w:lineRule="auto"/>
        <w:ind w:left="0" w:right="51"/>
        <w:jc w:val="both"/>
        <w:rPr>
          <w:rFonts w:ascii="Palatino Linotype" w:hAnsi="Palatino Linotype"/>
          <w:color w:val="000000" w:themeColor="text1"/>
        </w:rPr>
      </w:pPr>
    </w:p>
    <w:p w14:paraId="50DC54C7"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Bookman Old Style"/>
          <w:i/>
          <w:sz w:val="22"/>
          <w:szCs w:val="20"/>
        </w:rPr>
      </w:pPr>
      <w:r>
        <w:rPr>
          <w:rFonts w:ascii="Palatino Linotype" w:hAnsi="Palatino Linotype" w:cs="Bookman Old Style,Bold"/>
          <w:b/>
          <w:bCs/>
          <w:i/>
          <w:sz w:val="22"/>
          <w:szCs w:val="20"/>
        </w:rPr>
        <w:t>“</w:t>
      </w:r>
      <w:r w:rsidRPr="00CF20E6">
        <w:rPr>
          <w:rFonts w:ascii="Palatino Linotype" w:hAnsi="Palatino Linotype" w:cs="Bookman Old Style,Bold"/>
          <w:b/>
          <w:bCs/>
          <w:i/>
          <w:sz w:val="22"/>
          <w:szCs w:val="20"/>
        </w:rPr>
        <w:t xml:space="preserve">Artículo 4. </w:t>
      </w:r>
      <w:r w:rsidRPr="00CF20E6">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2FAD4989"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Bookman Old Style"/>
          <w:i/>
          <w:sz w:val="22"/>
          <w:szCs w:val="20"/>
        </w:rPr>
      </w:pPr>
      <w:r w:rsidRPr="008C6A24">
        <w:rPr>
          <w:rFonts w:ascii="Palatino Linotype" w:hAnsi="Palatino Linotype" w:cs="Bookman Old Style"/>
          <w:b/>
          <w:bCs/>
          <w:i/>
          <w:sz w:val="22"/>
          <w:szCs w:val="20"/>
        </w:rPr>
        <w:t xml:space="preserve">Toda la información generada, obtenida, adquirida, transformada, administrada o en posesión de los sujetos obligados es pública y accesible de </w:t>
      </w:r>
      <w:r w:rsidRPr="008C6A24">
        <w:rPr>
          <w:rFonts w:ascii="Palatino Linotype" w:hAnsi="Palatino Linotype" w:cs="Bookman Old Style"/>
          <w:b/>
          <w:bCs/>
          <w:i/>
          <w:sz w:val="22"/>
          <w:szCs w:val="20"/>
        </w:rPr>
        <w:lastRenderedPageBreak/>
        <w:t>manera permanente a cualquier persona</w:t>
      </w:r>
      <w:r w:rsidRPr="00CF20E6">
        <w:rPr>
          <w:rFonts w:ascii="Palatino Linotype" w:hAnsi="Palatino Linotype" w:cs="Bookman Old Style"/>
          <w:i/>
          <w:sz w:val="22"/>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EAE530" w14:textId="77777777" w:rsidR="008C33F9" w:rsidRPr="008C6A24" w:rsidRDefault="008C33F9" w:rsidP="008C33F9">
      <w:pPr>
        <w:autoSpaceDE w:val="0"/>
        <w:autoSpaceDN w:val="0"/>
        <w:adjustRightInd w:val="0"/>
        <w:spacing w:line="276" w:lineRule="auto"/>
        <w:ind w:left="567" w:right="567"/>
        <w:jc w:val="both"/>
        <w:rPr>
          <w:rFonts w:ascii="Palatino Linotype" w:hAnsi="Palatino Linotype" w:cs="Bookman Old Style"/>
          <w:b/>
          <w:bCs/>
          <w:i/>
          <w:sz w:val="22"/>
          <w:szCs w:val="20"/>
        </w:rPr>
      </w:pPr>
      <w:r w:rsidRPr="008C6A24">
        <w:rPr>
          <w:rFonts w:ascii="Palatino Linotype" w:hAnsi="Palatino Linotype" w:cs="Bookman Old Style"/>
          <w:b/>
          <w:bCs/>
          <w:i/>
          <w:sz w:val="22"/>
          <w:szCs w:val="20"/>
        </w:rPr>
        <w:t>Los sujetos obligados deben poner en práctica, políticas y programas de acceso a la información que se apeguen a criterios de publicidad, veracidad, oportunidad, precisión y suficiencia en beneficio de los solicitantes.</w:t>
      </w:r>
    </w:p>
    <w:p w14:paraId="3F6722CD" w14:textId="77777777" w:rsidR="008C33F9" w:rsidRPr="00CF20E6" w:rsidRDefault="008C33F9" w:rsidP="008C33F9">
      <w:pPr>
        <w:autoSpaceDE w:val="0"/>
        <w:autoSpaceDN w:val="0"/>
        <w:adjustRightInd w:val="0"/>
        <w:spacing w:line="276" w:lineRule="auto"/>
        <w:ind w:right="567"/>
        <w:jc w:val="both"/>
        <w:rPr>
          <w:rFonts w:ascii="Palatino Linotype" w:eastAsia="Times New Roman" w:hAnsi="Palatino Linotype" w:cs="Arial"/>
          <w:i/>
          <w:color w:val="000000"/>
          <w:sz w:val="28"/>
        </w:rPr>
      </w:pPr>
    </w:p>
    <w:p w14:paraId="72AEED6F" w14:textId="77777777" w:rsidR="008C33F9" w:rsidRPr="00CF20E6" w:rsidRDefault="008C33F9" w:rsidP="008C33F9">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Bold"/>
          <w:b/>
          <w:bCs/>
          <w:i/>
          <w:sz w:val="22"/>
          <w:szCs w:val="20"/>
        </w:rPr>
        <w:t xml:space="preserve">Artículo 12. </w:t>
      </w:r>
      <w:r w:rsidRPr="008C6A24">
        <w:rPr>
          <w:rFonts w:ascii="Palatino Linotype" w:hAnsi="Palatino Linotype" w:cs="Bookman Old Style"/>
          <w:b/>
          <w:bCs/>
          <w:i/>
          <w:sz w:val="22"/>
          <w:szCs w:val="20"/>
        </w:rPr>
        <w:t>Quienes generen, recopilen, administren, manejen, procesen, archiven o conserven información pública serán responsables de la misma en los términos de las disposiciones jurídicas aplicables</w:t>
      </w:r>
      <w:r w:rsidRPr="00CF20E6">
        <w:rPr>
          <w:rFonts w:ascii="Palatino Linotype" w:hAnsi="Palatino Linotype" w:cs="Bookman Old Style"/>
          <w:i/>
          <w:sz w:val="22"/>
          <w:szCs w:val="20"/>
        </w:rPr>
        <w:t xml:space="preserve">. </w:t>
      </w:r>
    </w:p>
    <w:p w14:paraId="3BD7A8CC" w14:textId="77777777" w:rsidR="008C33F9" w:rsidRDefault="008C33F9" w:rsidP="008C33F9">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w:t>
      </w:r>
      <w:r w:rsidRPr="008C6A24">
        <w:rPr>
          <w:rFonts w:ascii="Palatino Linotype" w:hAnsi="Palatino Linotype" w:cs="Bookman Old Style"/>
          <w:i/>
          <w:sz w:val="22"/>
          <w:szCs w:val="20"/>
        </w:rPr>
        <w:t>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Bookman Old Style"/>
          <w:i/>
          <w:sz w:val="22"/>
          <w:szCs w:val="20"/>
        </w:rPr>
        <w:t>”</w:t>
      </w:r>
    </w:p>
    <w:p w14:paraId="5B735C1F" w14:textId="77777777" w:rsidR="008C33F9" w:rsidRPr="008C6A24" w:rsidRDefault="008C33F9" w:rsidP="008C33F9">
      <w:pPr>
        <w:autoSpaceDE w:val="0"/>
        <w:autoSpaceDN w:val="0"/>
        <w:adjustRightInd w:val="0"/>
        <w:spacing w:line="276" w:lineRule="auto"/>
        <w:ind w:left="567" w:right="567"/>
        <w:jc w:val="both"/>
        <w:rPr>
          <w:rFonts w:ascii="Palatino Linotype" w:hAnsi="Palatino Linotype" w:cs="Bookman Old Style"/>
          <w:iCs/>
          <w:sz w:val="22"/>
          <w:szCs w:val="20"/>
        </w:rPr>
      </w:pPr>
      <w:r>
        <w:rPr>
          <w:rFonts w:ascii="Palatino Linotype" w:hAnsi="Palatino Linotype" w:cs="Bookman Old Style"/>
          <w:iCs/>
          <w:sz w:val="22"/>
          <w:szCs w:val="20"/>
        </w:rPr>
        <w:t>(Énfasis añadido)</w:t>
      </w:r>
    </w:p>
    <w:p w14:paraId="73A1EC12"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25EA7470" w14:textId="77777777" w:rsidR="008C33F9" w:rsidRPr="005E76A0"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CF20E6">
        <w:rPr>
          <w:rFonts w:ascii="Palatino Linotype" w:hAnsi="Palatino Linotype"/>
          <w:lang w:val="es-ES"/>
        </w:rPr>
        <w:t>así que todos los actos de autoridad que realicen los Sujetos Obligados deben estar documentados y, bajo el más alto estándar de transparencia</w:t>
      </w:r>
      <w:r>
        <w:rPr>
          <w:rFonts w:ascii="Palatino Linotype" w:hAnsi="Palatino Linotype"/>
          <w:lang w:val="es-ES"/>
        </w:rPr>
        <w:t>,</w:t>
      </w:r>
      <w:r w:rsidRPr="00CF20E6">
        <w:rPr>
          <w:rFonts w:ascii="Palatino Linotype" w:hAnsi="Palatino Linotype"/>
          <w:lang w:val="es-ES"/>
        </w:rPr>
        <w:t xml:space="preserve"> deberán poner toda la información </w:t>
      </w:r>
      <w:r>
        <w:rPr>
          <w:rFonts w:ascii="Palatino Linotype" w:hAnsi="Palatino Linotype"/>
          <w:lang w:val="es-ES"/>
        </w:rPr>
        <w:t>que se encuentre en su posesión, de manera permanente y actualizada,</w:t>
      </w:r>
      <w:r w:rsidRPr="00CF20E6">
        <w:rPr>
          <w:rFonts w:ascii="Palatino Linotype" w:hAnsi="Palatino Linotype"/>
          <w:lang w:val="es-ES"/>
        </w:rPr>
        <w:t xml:space="preserve"> a disposición de los particulares que la soliciten.</w:t>
      </w:r>
    </w:p>
    <w:p w14:paraId="2E81B6F1" w14:textId="77777777" w:rsidR="008C33F9" w:rsidRPr="005E76A0"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4154159D"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otro lado, la Ley de la materia establece que en </w:t>
      </w:r>
      <w:r w:rsidRPr="005E76A0">
        <w:rPr>
          <w:rFonts w:ascii="Palatino Linotype" w:hAnsi="Palatino Linotype"/>
        </w:rPr>
        <w:t xml:space="preserve">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5E76A0">
        <w:rPr>
          <w:rFonts w:ascii="Palatino Linotype" w:hAnsi="Palatino Linotype"/>
        </w:rPr>
        <w:lastRenderedPageBreak/>
        <w:t>legítima y estrictamente necesaria en una sociedad democrática, por lo que atenderá las necesidades del derecho de acceso a la información de toda persona</w:t>
      </w:r>
      <w:r>
        <w:rPr>
          <w:rStyle w:val="Refdenotaalpie"/>
          <w:rFonts w:ascii="Palatino Linotype" w:hAnsi="Palatino Linotype"/>
        </w:rPr>
        <w:footnoteReference w:id="13"/>
      </w:r>
      <w:r w:rsidRPr="005E76A0">
        <w:rPr>
          <w:rFonts w:ascii="Palatino Linotype" w:hAnsi="Palatino Linotype"/>
        </w:rPr>
        <w:t>.</w:t>
      </w:r>
    </w:p>
    <w:p w14:paraId="51CE0E9C"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9136A0F"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CF20E6">
        <w:rPr>
          <w:rFonts w:ascii="Palatino Linotype" w:eastAsia="MS Gothic" w:hAnsi="Palatino Linotype" w:cs="Times New Roman"/>
          <w:szCs w:val="26"/>
        </w:rPr>
        <w:t>ese sentido</w:t>
      </w:r>
      <w:r w:rsidRPr="00CF20E6">
        <w:rPr>
          <w:rFonts w:ascii="Palatino Linotype" w:hAnsi="Palatino Linotype"/>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F20E6">
        <w:rPr>
          <w:rStyle w:val="Refdenotaalpie"/>
          <w:rFonts w:ascii="Palatino Linotype" w:hAnsi="Palatino Linotype"/>
          <w:lang w:val="es-ES"/>
        </w:rPr>
        <w:footnoteReference w:id="14"/>
      </w:r>
      <w:r w:rsidRPr="00CF20E6">
        <w:rPr>
          <w:rFonts w:ascii="Palatino Linotype" w:hAnsi="Palatino Linotype"/>
          <w:lang w:val="es-ES"/>
        </w:rPr>
        <w:t xml:space="preserve"> y máxima publicidad, sobre éste último se debe poner mayor énfasis, puesto que establece que </w:t>
      </w:r>
      <w:r w:rsidRPr="00701218">
        <w:rPr>
          <w:rFonts w:ascii="Palatino Linotype" w:hAnsi="Palatino Linotype"/>
          <w:b/>
          <w:u w:val="double"/>
          <w:lang w:val="es-ES"/>
        </w:rPr>
        <w:t>toda la información en posesión de los Sujetos Obligados será</w:t>
      </w:r>
      <w:r w:rsidRPr="00CF20E6">
        <w:rPr>
          <w:rFonts w:ascii="Palatino Linotype" w:hAnsi="Palatino Linotype"/>
          <w:lang w:val="es-ES"/>
        </w:rPr>
        <w:t xml:space="preserve"> pública, </w:t>
      </w:r>
      <w:r w:rsidRPr="00701218">
        <w:rPr>
          <w:rFonts w:ascii="Palatino Linotype" w:hAnsi="Palatino Linotype"/>
          <w:b/>
          <w:u w:val="double"/>
          <w:lang w:val="es-ES"/>
        </w:rPr>
        <w:t>completa</w:t>
      </w:r>
      <w:r w:rsidRPr="00CF20E6">
        <w:rPr>
          <w:rFonts w:ascii="Palatino Linotype" w:hAnsi="Palatino Linotype"/>
          <w:lang w:val="es-ES"/>
        </w:rPr>
        <w:t xml:space="preserve">, oportuna y accesible, </w:t>
      </w:r>
      <w:r w:rsidRPr="005E76A0">
        <w:rPr>
          <w:rFonts w:ascii="Palatino Linotype" w:hAnsi="Palatino Linotype"/>
          <w:b/>
          <w:lang w:val="es-ES"/>
        </w:rPr>
        <w:t>lo que permite que la ciudadanía tenga un amplio acceso sobre lo que es el actuar de las autoridades</w:t>
      </w:r>
      <w:r w:rsidRPr="00CF20E6">
        <w:rPr>
          <w:rFonts w:ascii="Palatino Linotype" w:hAnsi="Palatino Linotype"/>
          <w:lang w:val="es-ES"/>
        </w:rPr>
        <w:t>.</w:t>
      </w:r>
    </w:p>
    <w:p w14:paraId="28D8B72A"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CF78773" w14:textId="77777777" w:rsid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sidRPr="00CF20E6">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5F13FB4D" w14:textId="77777777" w:rsidR="008C33F9" w:rsidRDefault="008C33F9" w:rsidP="008C33F9">
      <w:pPr>
        <w:pStyle w:val="Prrafodelista"/>
        <w:tabs>
          <w:tab w:val="left" w:pos="426"/>
        </w:tabs>
        <w:spacing w:line="360" w:lineRule="auto"/>
        <w:ind w:left="0" w:right="51"/>
        <w:jc w:val="both"/>
        <w:rPr>
          <w:rFonts w:ascii="Palatino Linotype" w:hAnsi="Palatino Linotype"/>
          <w:color w:val="000000" w:themeColor="text1"/>
        </w:rPr>
      </w:pPr>
    </w:p>
    <w:p w14:paraId="1C9C9F7A" w14:textId="77777777" w:rsidR="008C33F9" w:rsidRPr="00CF20E6" w:rsidRDefault="008C33F9" w:rsidP="008C33F9">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CF20E6">
        <w:rPr>
          <w:rFonts w:ascii="Palatino Linotype" w:hAnsi="Palatino Linotype"/>
          <w:b/>
          <w:i/>
          <w:sz w:val="22"/>
        </w:rPr>
        <w:t>ACCESO A LA INFORMACIÓN. IMPLICACIÓN DEL PRINCIPIO DE MÁXIMA PUBLICIDAD EN EL DERECHO FUNDAMENTAL RELATIVO.</w:t>
      </w:r>
      <w:r w:rsidRPr="00CF20E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w:t>
      </w:r>
      <w:r w:rsidRPr="00CF20E6">
        <w:rPr>
          <w:rFonts w:ascii="Palatino Linotype" w:hAnsi="Palatino Linotype"/>
          <w:i/>
          <w:sz w:val="22"/>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F9ED161" w14:textId="77777777" w:rsid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4AD349B5" w14:textId="77777777" w:rsidR="008C33F9" w:rsidRPr="008C33F9" w:rsidRDefault="008C33F9" w:rsidP="008C33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CF20E6">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021A53F9"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3159672F" w14:textId="642518A9" w:rsidR="003A63D9" w:rsidRDefault="001F394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lo anterior, como primer requerimiento de la solicitud </w:t>
      </w:r>
      <w:r>
        <w:rPr>
          <w:rFonts w:ascii="Palatino Linotype" w:hAnsi="Palatino Linotype"/>
          <w:b/>
          <w:color w:val="000000" w:themeColor="text1"/>
        </w:rPr>
        <w:t>00300/SF/IP/2021</w:t>
      </w:r>
      <w:r>
        <w:rPr>
          <w:rFonts w:ascii="Palatino Linotype" w:hAnsi="Palatino Linotype"/>
          <w:color w:val="000000" w:themeColor="text1"/>
        </w:rPr>
        <w:t xml:space="preserve">, se tiene que el particular solicitó el documento que acredite la propiedad o posesión de los inmuebles identificados con los números de folio </w:t>
      </w:r>
      <w:r w:rsidRPr="008C33F9">
        <w:rPr>
          <w:rFonts w:ascii="Palatino Linotype" w:hAnsi="Palatino Linotype"/>
          <w:b/>
          <w:color w:val="000000" w:themeColor="text1"/>
        </w:rPr>
        <w:t>047DES003-A</w:t>
      </w:r>
      <w:r w:rsidRPr="008C33F9">
        <w:rPr>
          <w:rFonts w:ascii="Palatino Linotype" w:hAnsi="Palatino Linotype"/>
          <w:color w:val="000000" w:themeColor="text1"/>
        </w:rPr>
        <w:t>,</w:t>
      </w:r>
      <w:r w:rsidRPr="008C33F9">
        <w:rPr>
          <w:rFonts w:ascii="Palatino Linotype" w:hAnsi="Palatino Linotype"/>
          <w:b/>
          <w:color w:val="000000" w:themeColor="text1"/>
        </w:rPr>
        <w:t xml:space="preserve"> 047DJN011-A </w:t>
      </w:r>
      <w:r w:rsidRPr="008C33F9">
        <w:rPr>
          <w:rFonts w:ascii="Palatino Linotype" w:hAnsi="Palatino Linotype"/>
          <w:color w:val="000000" w:themeColor="text1"/>
        </w:rPr>
        <w:t>y</w:t>
      </w:r>
      <w:r w:rsidRPr="008C33F9">
        <w:rPr>
          <w:rFonts w:ascii="Palatino Linotype" w:hAnsi="Palatino Linotype"/>
          <w:b/>
          <w:color w:val="000000" w:themeColor="text1"/>
        </w:rPr>
        <w:t xml:space="preserve"> 047DPR012-A</w:t>
      </w:r>
      <w:r>
        <w:rPr>
          <w:rFonts w:ascii="Palatino Linotype" w:hAnsi="Palatino Linotype"/>
          <w:color w:val="000000" w:themeColor="text1"/>
        </w:rPr>
        <w:t xml:space="preserve">. En respuesta, el </w:t>
      </w:r>
      <w:r>
        <w:rPr>
          <w:rFonts w:ascii="Palatino Linotype" w:hAnsi="Palatino Linotype"/>
          <w:b/>
          <w:color w:val="000000" w:themeColor="text1"/>
        </w:rPr>
        <w:t xml:space="preserve">SUJETO </w:t>
      </w:r>
      <w:r>
        <w:rPr>
          <w:rFonts w:ascii="Palatino Linotype" w:hAnsi="Palatino Linotype"/>
          <w:b/>
          <w:color w:val="000000" w:themeColor="text1"/>
        </w:rPr>
        <w:lastRenderedPageBreak/>
        <w:t>OBLIGADO</w:t>
      </w:r>
      <w:r>
        <w:rPr>
          <w:rFonts w:ascii="Palatino Linotype" w:hAnsi="Palatino Linotype"/>
          <w:color w:val="000000" w:themeColor="text1"/>
        </w:rPr>
        <w:t xml:space="preserve"> presentó el oficio número 20706005000200S-0252/2021, de cinco (05) de agosto de dos mil veintiuno, signado por el Servidor Público Habilitado de la Dirección General de Recursos Materiales, cuyo contenido elemental se vierte a continuación:</w:t>
      </w:r>
    </w:p>
    <w:p w14:paraId="471420BE"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3465656F" w14:textId="77777777" w:rsidR="001F394F" w:rsidRDefault="001F394F" w:rsidP="001F394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me permito informar a usted que, una vez realizada la búsqueda exhaustiva y razonable en los expedientes que obran en la Dirección de Normatividad y Control Patrimonial de la Dirección General de Recursos Materiales, los inmuebles señalados por la persona solicitante son propiedad del Gobierno del Estado de México.</w:t>
      </w:r>
    </w:p>
    <w:p w14:paraId="30F111AA" w14:textId="77777777" w:rsidR="001F394F" w:rsidRDefault="001F394F" w:rsidP="001F394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B3F8565" w14:textId="77777777" w:rsidR="001F394F" w:rsidRDefault="001F394F" w:rsidP="001F394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9E260E">
        <w:rPr>
          <w:rFonts w:ascii="Palatino Linotype" w:hAnsi="Palatino Linotype"/>
          <w:b/>
          <w:i/>
          <w:color w:val="000000" w:themeColor="text1"/>
          <w:sz w:val="22"/>
        </w:rPr>
        <w:t xml:space="preserve">Por lo que respecta a los números de folio </w:t>
      </w:r>
      <w:r w:rsidRPr="00701218">
        <w:rPr>
          <w:rFonts w:ascii="Palatino Linotype" w:hAnsi="Palatino Linotype"/>
          <w:b/>
          <w:i/>
          <w:color w:val="000000" w:themeColor="text1"/>
          <w:sz w:val="22"/>
          <w:u w:val="single"/>
        </w:rPr>
        <w:t>07DES003-A</w:t>
      </w:r>
      <w:r w:rsidRPr="009E260E">
        <w:rPr>
          <w:rFonts w:ascii="Palatino Linotype" w:hAnsi="Palatino Linotype"/>
          <w:b/>
          <w:i/>
          <w:color w:val="000000" w:themeColor="text1"/>
          <w:sz w:val="22"/>
        </w:rPr>
        <w:t xml:space="preserve">, </w:t>
      </w:r>
      <w:r w:rsidRPr="00701218">
        <w:rPr>
          <w:rFonts w:ascii="Palatino Linotype" w:hAnsi="Palatino Linotype"/>
          <w:b/>
          <w:i/>
          <w:color w:val="000000" w:themeColor="text1"/>
          <w:sz w:val="22"/>
          <w:u w:val="single"/>
        </w:rPr>
        <w:t>047DJN011-A</w:t>
      </w:r>
      <w:r w:rsidRPr="009E260E">
        <w:rPr>
          <w:rFonts w:ascii="Palatino Linotype" w:hAnsi="Palatino Linotype"/>
          <w:b/>
          <w:i/>
          <w:color w:val="000000" w:themeColor="text1"/>
          <w:sz w:val="22"/>
        </w:rPr>
        <w:t xml:space="preserve"> y </w:t>
      </w:r>
      <w:r w:rsidRPr="00701218">
        <w:rPr>
          <w:rFonts w:ascii="Palatino Linotype" w:hAnsi="Palatino Linotype"/>
          <w:b/>
          <w:i/>
          <w:color w:val="000000" w:themeColor="text1"/>
          <w:sz w:val="22"/>
          <w:u w:val="single"/>
        </w:rPr>
        <w:t>047DPR012-A</w:t>
      </w:r>
      <w:r w:rsidRPr="009E260E">
        <w:rPr>
          <w:rFonts w:ascii="Palatino Linotype" w:hAnsi="Palatino Linotype"/>
          <w:b/>
          <w:i/>
          <w:color w:val="000000" w:themeColor="text1"/>
          <w:sz w:val="22"/>
        </w:rPr>
        <w:t>, los inmuebles se acreditan con el Contrato de Donación y de Cesión de Derechos Posesorios</w:t>
      </w:r>
      <w:r>
        <w:rPr>
          <w:rFonts w:ascii="Palatino Linotype" w:hAnsi="Palatino Linotype"/>
          <w:i/>
          <w:color w:val="000000" w:themeColor="text1"/>
          <w:sz w:val="22"/>
        </w:rPr>
        <w:t>, de fecha 26 de febrero de 1997, celebrado entre el Gobierno Federal y el Gobierno del Estado de México; el cual se adjunta al presente en su versión pública.</w:t>
      </w:r>
    </w:p>
    <w:p w14:paraId="3EED36FA" w14:textId="77777777" w:rsidR="001F394F" w:rsidRDefault="001F394F" w:rsidP="001F394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D62F302" w14:textId="77777777" w:rsidR="001F394F" w:rsidRDefault="001F394F" w:rsidP="001F394F">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D34574">
        <w:rPr>
          <w:rFonts w:ascii="Palatino Linotype" w:hAnsi="Palatino Linotype"/>
          <w:i/>
          <w:color w:val="000000" w:themeColor="text1"/>
          <w:sz w:val="22"/>
        </w:rPr>
        <w:t>Por cuanto hace al número de folio 224A00470001, se anexa en versión íntegra, la Inmatriculación Administrativa</w:t>
      </w:r>
      <w:r w:rsidRPr="00434ECD">
        <w:rPr>
          <w:rFonts w:ascii="Palatino Linotype" w:hAnsi="Palatino Linotype"/>
          <w:i/>
          <w:color w:val="000000" w:themeColor="text1"/>
          <w:sz w:val="22"/>
        </w:rPr>
        <w:t xml:space="preserve"> de fecha 28 de abril de 1986, inscrita en el Registro de la Propiedad.”</w:t>
      </w:r>
      <w:r w:rsidRPr="00434ECD">
        <w:rPr>
          <w:rFonts w:ascii="Palatino Linotype" w:hAnsi="Palatino Linotype"/>
          <w:color w:val="000000" w:themeColor="text1"/>
          <w:sz w:val="22"/>
        </w:rPr>
        <w:t xml:space="preserve"> (Sic)</w:t>
      </w:r>
    </w:p>
    <w:p w14:paraId="48115391" w14:textId="77777777" w:rsidR="001F394F" w:rsidRPr="00434ECD" w:rsidRDefault="001F394F" w:rsidP="001F394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color w:val="000000" w:themeColor="text1"/>
          <w:sz w:val="22"/>
        </w:rPr>
        <w:t>(Énfasis y subrayado añadido)</w:t>
      </w:r>
    </w:p>
    <w:p w14:paraId="3A92FFA0" w14:textId="77777777" w:rsidR="001F394F" w:rsidRDefault="001F394F"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676E84FB" w14:textId="77777777" w:rsidR="001F394F" w:rsidRDefault="001F394F" w:rsidP="001F394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Adjunto al oficio referido </w:t>
      </w:r>
      <w:r>
        <w:rPr>
          <w:rFonts w:ascii="Palatino Linotype" w:hAnsi="Palatino Linotype"/>
          <w:i/>
          <w:color w:val="000000" w:themeColor="text1"/>
        </w:rPr>
        <w:t>supra</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entregó, en versión pública, la copia digitalizada de los siguientes documentos:</w:t>
      </w:r>
    </w:p>
    <w:p w14:paraId="15F088C6" w14:textId="77777777" w:rsidR="001F394F" w:rsidRPr="00FA2406" w:rsidRDefault="001F394F" w:rsidP="001F394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Contrato</w:t>
      </w:r>
      <w:r w:rsidRPr="00FA2406">
        <w:rPr>
          <w:rFonts w:ascii="Palatino Linotype" w:hAnsi="Palatino Linotype"/>
          <w:color w:val="000000" w:themeColor="text1"/>
        </w:rPr>
        <w:t xml:space="preserve"> de donación y cesión de derechos celebrado entre el Gobierno Federal y el Gobierno del Estado de México, el veinticinco (25) de febrero de mil novecientos noventa y siete, respecto del inmueble ubicado en Av. Sebastián Lerdo de Tejada, Número 300, Poniente, Colonia Centro, Toluca, Estado de México.</w:t>
      </w:r>
    </w:p>
    <w:p w14:paraId="47BBDA83" w14:textId="77777777" w:rsidR="001F394F" w:rsidRDefault="001F394F" w:rsidP="001F394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I</w:t>
      </w:r>
      <w:r w:rsidRPr="00FA2406">
        <w:rPr>
          <w:rFonts w:ascii="Palatino Linotype" w:hAnsi="Palatino Linotype"/>
          <w:color w:val="000000" w:themeColor="text1"/>
        </w:rPr>
        <w:t>nmatriculación administrativa de veintinueve (29) de abril de mil novecientos ochenta y seis, respecto del inmueble denominado “Atlahutenco”.</w:t>
      </w:r>
    </w:p>
    <w:p w14:paraId="6A38F616"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18286A96" w14:textId="1ED1C757" w:rsidR="003A63D9" w:rsidRDefault="001F394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se tiene que del contrato de donación y cesión de derechos suscrito entre el Gobierno Federal y el Estatal, el veinticinco (25) de febrero de mil novecientos noventa y siete, deviene la propiedad y posesión de los tres inmuebles identificados con los números de folio </w:t>
      </w:r>
      <w:r w:rsidRPr="008C33F9">
        <w:rPr>
          <w:rFonts w:ascii="Palatino Linotype" w:hAnsi="Palatino Linotype"/>
          <w:b/>
          <w:color w:val="000000" w:themeColor="text1"/>
        </w:rPr>
        <w:t>047DES003-A</w:t>
      </w:r>
      <w:r w:rsidRPr="008C33F9">
        <w:rPr>
          <w:rFonts w:ascii="Palatino Linotype" w:hAnsi="Palatino Linotype"/>
          <w:color w:val="000000" w:themeColor="text1"/>
        </w:rPr>
        <w:t>,</w:t>
      </w:r>
      <w:r w:rsidRPr="008C33F9">
        <w:rPr>
          <w:rFonts w:ascii="Palatino Linotype" w:hAnsi="Palatino Linotype"/>
          <w:b/>
          <w:color w:val="000000" w:themeColor="text1"/>
        </w:rPr>
        <w:t xml:space="preserve"> 047DJN011-A </w:t>
      </w:r>
      <w:r w:rsidRPr="008C33F9">
        <w:rPr>
          <w:rFonts w:ascii="Palatino Linotype" w:hAnsi="Palatino Linotype"/>
          <w:color w:val="000000" w:themeColor="text1"/>
        </w:rPr>
        <w:t>y</w:t>
      </w:r>
      <w:r w:rsidRPr="008C33F9">
        <w:rPr>
          <w:rFonts w:ascii="Palatino Linotype" w:hAnsi="Palatino Linotype"/>
          <w:b/>
          <w:color w:val="000000" w:themeColor="text1"/>
        </w:rPr>
        <w:t xml:space="preserve"> 047DPR012-A</w:t>
      </w:r>
      <w:r>
        <w:rPr>
          <w:rFonts w:ascii="Palatino Linotype" w:hAnsi="Palatino Linotype"/>
          <w:color w:val="000000" w:themeColor="text1"/>
        </w:rPr>
        <w:t>.</w:t>
      </w:r>
    </w:p>
    <w:p w14:paraId="26458B67"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12C458DB" w14:textId="56F19AF5" w:rsidR="003A63D9" w:rsidRDefault="001F394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54282F">
        <w:rPr>
          <w:rFonts w:ascii="Palatino Linotype" w:eastAsia="MS Mincho" w:hAnsi="Palatino Linotype" w:cs="Times New Roman"/>
        </w:rPr>
        <w:t xml:space="preserve">ese sentido, al existir un pronunciamiento directo por parte del </w:t>
      </w:r>
      <w:r w:rsidRPr="0054282F">
        <w:rPr>
          <w:rFonts w:ascii="Palatino Linotype" w:eastAsia="MS Mincho" w:hAnsi="Palatino Linotype" w:cs="Times New Roman"/>
          <w:b/>
        </w:rPr>
        <w:t>SUJETO OBLIGADO</w:t>
      </w:r>
      <w:r w:rsidRPr="0054282F">
        <w:rPr>
          <w:rFonts w:ascii="Palatino Linotype" w:eastAsia="MS Mincho" w:hAnsi="Palatino Linotype" w:cs="Times New Roman"/>
        </w:rPr>
        <w:t xml:space="preserve">, a fin de atender la solicitud planteada por el hoy </w:t>
      </w:r>
      <w:r w:rsidRPr="0054282F">
        <w:rPr>
          <w:rFonts w:ascii="Palatino Linotype" w:eastAsia="MS Mincho" w:hAnsi="Palatino Linotype" w:cs="Times New Roman"/>
          <w:b/>
        </w:rPr>
        <w:t>RECURRENTE</w:t>
      </w:r>
      <w:r w:rsidRPr="0054282F">
        <w:rPr>
          <w:rFonts w:ascii="Palatino Linotype" w:eastAsia="MS Mincho" w:hAnsi="Palatino Linotype" w:cs="Times New Roman"/>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54282F">
        <w:rPr>
          <w:rFonts w:ascii="Palatino Linotype" w:eastAsia="MS Mincho" w:hAnsi="Palatino Linotype" w:cs="Times New Roman"/>
          <w:b/>
          <w:i/>
        </w:rPr>
        <w:t>SAIMEX</w:t>
      </w:r>
      <w:r w:rsidRPr="0054282F">
        <w:rPr>
          <w:rFonts w:ascii="Palatino Linotype" w:eastAsia="MS Mincho" w:hAnsi="Palatino Linotype" w:cs="Times New Roman"/>
        </w:rPr>
        <w:t>.</w:t>
      </w:r>
    </w:p>
    <w:p w14:paraId="5501A6FD"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1792FBA2" w14:textId="6BE33F1E" w:rsidR="003A63D9" w:rsidRDefault="001F394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54282F">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3B701712" w14:textId="77777777" w:rsidR="003A63D9" w:rsidRDefault="003A63D9" w:rsidP="001F394F">
      <w:pPr>
        <w:pStyle w:val="Prrafodelista"/>
        <w:tabs>
          <w:tab w:val="left" w:pos="426"/>
        </w:tabs>
        <w:spacing w:line="360" w:lineRule="auto"/>
        <w:ind w:left="0" w:right="51"/>
        <w:jc w:val="both"/>
        <w:rPr>
          <w:rFonts w:ascii="Palatino Linotype" w:hAnsi="Palatino Linotype"/>
          <w:color w:val="000000" w:themeColor="text1"/>
        </w:rPr>
      </w:pPr>
    </w:p>
    <w:p w14:paraId="1E38B0AF" w14:textId="77777777" w:rsidR="001F394F" w:rsidRPr="00497926" w:rsidRDefault="001F394F" w:rsidP="001F394F">
      <w:pPr>
        <w:pStyle w:val="Sinespaciado"/>
        <w:spacing w:line="276" w:lineRule="auto"/>
        <w:ind w:left="567" w:right="567"/>
        <w:jc w:val="both"/>
        <w:rPr>
          <w:rFonts w:ascii="Palatino Linotype" w:hAnsi="Palatino Linotype"/>
          <w:i/>
          <w:sz w:val="22"/>
          <w:szCs w:val="22"/>
          <w:lang w:val="es-ES"/>
        </w:rPr>
      </w:pPr>
      <w:r w:rsidRPr="00497926">
        <w:rPr>
          <w:rFonts w:ascii="Palatino Linotype" w:hAnsi="Palatino Linotype"/>
          <w:i/>
          <w:sz w:val="22"/>
          <w:szCs w:val="22"/>
          <w:lang w:val="es-ES"/>
        </w:rPr>
        <w:t>“</w:t>
      </w:r>
      <w:r w:rsidRPr="00497926">
        <w:rPr>
          <w:rFonts w:ascii="Palatino Linotype" w:hAnsi="Palatino Linotype"/>
          <w:b/>
          <w:i/>
          <w:sz w:val="22"/>
          <w:szCs w:val="22"/>
          <w:lang w:val="es-ES"/>
        </w:rPr>
        <w:t xml:space="preserve">EL INSTITUTO FEDERAL DE ACCESO A LA INFORMACIÓN Y PROTECCIÓN DE DATOS NO CUENTA CON FACULTADES PARA PRONUNCIARSE RESPECTO DE LA VERACIDAD DE LOS DOCUMENTOS </w:t>
      </w:r>
      <w:r w:rsidRPr="00497926">
        <w:rPr>
          <w:rFonts w:ascii="Palatino Linotype" w:hAnsi="Palatino Linotype"/>
          <w:b/>
          <w:i/>
          <w:sz w:val="22"/>
          <w:szCs w:val="22"/>
          <w:lang w:val="es-ES"/>
        </w:rPr>
        <w:lastRenderedPageBreak/>
        <w:t>PROPORCIONADOS POR LOS SUJETOS OBLIGADOS.</w:t>
      </w:r>
      <w:r w:rsidRPr="00497926">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D980EB" w14:textId="77777777" w:rsidR="001F394F" w:rsidRDefault="001F394F"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3E299AE5" w14:textId="0EECAA75" w:rsidR="003A63D9" w:rsidRDefault="001F394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Empero, de la lectura al contrato de mérito, se aprecia que</w:t>
      </w:r>
      <w:r w:rsidR="00550671">
        <w:rPr>
          <w:rFonts w:ascii="Palatino Linotype" w:hAnsi="Palatino Linotype"/>
          <w:color w:val="000000" w:themeColor="text1"/>
        </w:rPr>
        <w:t xml:space="preserve">, de manera enunciativa </w:t>
      </w:r>
      <w:r w:rsidR="005F3685">
        <w:rPr>
          <w:rFonts w:ascii="Palatino Linotype" w:hAnsi="Palatino Linotype"/>
          <w:color w:val="000000" w:themeColor="text1"/>
        </w:rPr>
        <w:t>más</w:t>
      </w:r>
      <w:r w:rsidR="00550671">
        <w:rPr>
          <w:rFonts w:ascii="Palatino Linotype" w:hAnsi="Palatino Linotype"/>
          <w:color w:val="000000" w:themeColor="text1"/>
        </w:rPr>
        <w:t xml:space="preserve"> no limitativa,</w:t>
      </w:r>
      <w:r>
        <w:rPr>
          <w:rFonts w:ascii="Palatino Linotype" w:hAnsi="Palatino Linotype"/>
          <w:color w:val="000000" w:themeColor="text1"/>
        </w:rPr>
        <w:t xml:space="preserve"> faltan fragmentos de párrafos y cláusulas</w:t>
      </w:r>
      <w:r w:rsidR="00550671">
        <w:rPr>
          <w:rFonts w:ascii="Palatino Linotype" w:hAnsi="Palatino Linotype"/>
          <w:color w:val="000000" w:themeColor="text1"/>
        </w:rPr>
        <w:t xml:space="preserve"> completas dentro del capítulo de Antecedentes, Del Gobierno del Estado y firmas de los participantes encargados de su elaboración</w:t>
      </w:r>
      <w:r w:rsidR="005F3685">
        <w:rPr>
          <w:rFonts w:ascii="Palatino Linotype" w:hAnsi="Palatino Linotype"/>
          <w:color w:val="000000" w:themeColor="text1"/>
        </w:rPr>
        <w:t>, se adjuntan capturas de imagen del instrumento a modo de referencia:</w:t>
      </w:r>
    </w:p>
    <w:p w14:paraId="5631DB3D" w14:textId="61D717DF" w:rsidR="003A63D9" w:rsidRDefault="00C24B25" w:rsidP="003A63D9">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13BBA746" wp14:editId="21769C49">
                <wp:simplePos x="0" y="0"/>
                <wp:positionH relativeFrom="margin">
                  <wp:align>left</wp:align>
                </wp:positionH>
                <wp:positionV relativeFrom="paragraph">
                  <wp:posOffset>54270</wp:posOffset>
                </wp:positionV>
                <wp:extent cx="5507665" cy="3051426"/>
                <wp:effectExtent l="38100" t="38100" r="74295" b="92075"/>
                <wp:wrapNone/>
                <wp:docPr id="5" name="Conector recto 5"/>
                <wp:cNvGraphicFramePr/>
                <a:graphic xmlns:a="http://schemas.openxmlformats.org/drawingml/2006/main">
                  <a:graphicData uri="http://schemas.microsoft.com/office/word/2010/wordprocessingShape">
                    <wps:wsp>
                      <wps:cNvCnPr/>
                      <wps:spPr>
                        <a:xfrm flipV="1">
                          <a:off x="0" y="0"/>
                          <a:ext cx="5507665" cy="30514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18E70" id="Conector recto 5"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5pt" to="433.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" strokecolor="black [3200]" strokeweight="2pt">
                <v:shadow on="t" color="black" opacity="24903f" origin=",.5" offset="0,.55556mm"/>
                <w10:wrap anchorx="margin"/>
              </v:line>
            </w:pict>
          </mc:Fallback>
        </mc:AlternateContent>
      </w:r>
    </w:p>
    <w:p w14:paraId="0F0321D8" w14:textId="77777777" w:rsidR="00C24B25" w:rsidRDefault="00C24B25"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3C84F25A" w14:textId="03771D1B" w:rsidR="005F3685" w:rsidRDefault="005F3685" w:rsidP="005F3685">
      <w:pPr>
        <w:pStyle w:val="Prrafodelista"/>
        <w:tabs>
          <w:tab w:val="left" w:pos="426"/>
        </w:tabs>
        <w:spacing w:line="276"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25F5021B" wp14:editId="2EEF1D19">
            <wp:extent cx="4806564" cy="3939807"/>
            <wp:effectExtent l="57150" t="57150" r="108585" b="1181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240" cy="394773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3C1FFA" w14:textId="7A3F2AAE" w:rsidR="005F3685" w:rsidRDefault="005F3685" w:rsidP="005F3685">
      <w:pPr>
        <w:pStyle w:val="Prrafodelista"/>
        <w:tabs>
          <w:tab w:val="left" w:pos="426"/>
        </w:tabs>
        <w:spacing w:line="276" w:lineRule="auto"/>
        <w:ind w:left="567" w:right="567"/>
        <w:jc w:val="both"/>
        <w:rPr>
          <w:rFonts w:ascii="Palatino Linotype" w:hAnsi="Palatino Linotype"/>
          <w:color w:val="000000" w:themeColor="text1"/>
        </w:rPr>
      </w:pPr>
      <w:r>
        <w:rPr>
          <w:rFonts w:ascii="Palatino Linotype" w:hAnsi="Palatino Linotype"/>
          <w:color w:val="000000" w:themeColor="text1"/>
        </w:rPr>
        <w:t>(Fragmento del apartado de Antecedentes)</w:t>
      </w:r>
    </w:p>
    <w:p w14:paraId="587EE7BB" w14:textId="315E8EC4" w:rsidR="005F3685" w:rsidRDefault="00C24B25" w:rsidP="005F3685">
      <w:pPr>
        <w:pStyle w:val="Prrafodelista"/>
        <w:tabs>
          <w:tab w:val="left" w:pos="426"/>
        </w:tabs>
        <w:spacing w:line="276" w:lineRule="auto"/>
        <w:ind w:left="567" w:right="567"/>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1397BE7C" wp14:editId="052B664C">
                <wp:simplePos x="0" y="0"/>
                <wp:positionH relativeFrom="margin">
                  <wp:align>right</wp:align>
                </wp:positionH>
                <wp:positionV relativeFrom="paragraph">
                  <wp:posOffset>48083</wp:posOffset>
                </wp:positionV>
                <wp:extent cx="5486400" cy="3061940"/>
                <wp:effectExtent l="38100" t="38100" r="76200" b="81915"/>
                <wp:wrapNone/>
                <wp:docPr id="6" name="Conector recto 6"/>
                <wp:cNvGraphicFramePr/>
                <a:graphic xmlns:a="http://schemas.openxmlformats.org/drawingml/2006/main">
                  <a:graphicData uri="http://schemas.microsoft.com/office/word/2010/wordprocessingShape">
                    <wps:wsp>
                      <wps:cNvCnPr/>
                      <wps:spPr>
                        <a:xfrm flipV="1">
                          <a:off x="0" y="0"/>
                          <a:ext cx="5486400" cy="30619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CCA5A"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3.8pt" to="812.8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" strokecolor="black [3200]" strokeweight="2pt">
                <v:shadow on="t" color="black" opacity="24903f" origin=",.5" offset="0,.55556mm"/>
                <w10:wrap anchorx="margin"/>
              </v:line>
            </w:pict>
          </mc:Fallback>
        </mc:AlternateContent>
      </w:r>
    </w:p>
    <w:p w14:paraId="178CD4D1" w14:textId="1A5FCAA4" w:rsidR="005F3685" w:rsidRDefault="005F3685" w:rsidP="005F3685">
      <w:pPr>
        <w:pStyle w:val="Prrafodelista"/>
        <w:tabs>
          <w:tab w:val="left" w:pos="426"/>
        </w:tabs>
        <w:spacing w:line="276" w:lineRule="auto"/>
        <w:ind w:left="567" w:right="567"/>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403CEDED" wp14:editId="4A15BB9F">
            <wp:extent cx="4754880" cy="3118642"/>
            <wp:effectExtent l="57150" t="57150" r="121920" b="1200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220" cy="312870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CD0E46" w14:textId="43CC3FCB" w:rsidR="005F3685" w:rsidRDefault="005F3685" w:rsidP="005F3685">
      <w:pPr>
        <w:pStyle w:val="Prrafodelista"/>
        <w:tabs>
          <w:tab w:val="left" w:pos="426"/>
        </w:tabs>
        <w:spacing w:line="276" w:lineRule="auto"/>
        <w:ind w:left="567" w:right="567"/>
        <w:jc w:val="both"/>
        <w:rPr>
          <w:rFonts w:ascii="Palatino Linotype" w:hAnsi="Palatino Linotype"/>
          <w:color w:val="000000" w:themeColor="text1"/>
        </w:rPr>
      </w:pPr>
      <w:r>
        <w:rPr>
          <w:rFonts w:ascii="Palatino Linotype" w:hAnsi="Palatino Linotype"/>
          <w:color w:val="000000" w:themeColor="text1"/>
        </w:rPr>
        <w:t>(Fragmento del apartado Del Gobierno del Estado)</w:t>
      </w:r>
    </w:p>
    <w:p w14:paraId="3ECBA824" w14:textId="77777777" w:rsidR="005F3685" w:rsidRDefault="005F3685" w:rsidP="005F3685">
      <w:pPr>
        <w:pStyle w:val="Prrafodelista"/>
        <w:tabs>
          <w:tab w:val="left" w:pos="426"/>
        </w:tabs>
        <w:spacing w:line="276" w:lineRule="auto"/>
        <w:ind w:left="567" w:right="567"/>
        <w:jc w:val="both"/>
        <w:rPr>
          <w:rFonts w:ascii="Palatino Linotype" w:hAnsi="Palatino Linotype"/>
          <w:color w:val="000000" w:themeColor="text1"/>
        </w:rPr>
      </w:pPr>
    </w:p>
    <w:p w14:paraId="285413B6" w14:textId="77777777" w:rsidR="005F3685" w:rsidRDefault="005F3685"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691674BF" w14:textId="3960E894" w:rsidR="003A63D9" w:rsidRDefault="004A7D4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el particular impugnó la respuesta del </w:t>
      </w:r>
      <w:r>
        <w:rPr>
          <w:rFonts w:ascii="Palatino Linotype" w:hAnsi="Palatino Linotype"/>
          <w:b/>
          <w:color w:val="000000" w:themeColor="text1"/>
        </w:rPr>
        <w:t>SUJETO OBLIGADO</w:t>
      </w:r>
      <w:r>
        <w:rPr>
          <w:rFonts w:ascii="Palatino Linotype" w:hAnsi="Palatino Linotype"/>
          <w:color w:val="000000" w:themeColor="text1"/>
        </w:rPr>
        <w:t xml:space="preserve"> mediante el recurso de revisión indicado al rubro y, en el que señaló por agravios, que el documento estaba </w:t>
      </w:r>
      <w:r>
        <w:rPr>
          <w:rFonts w:ascii="Palatino Linotype" w:hAnsi="Palatino Linotype"/>
          <w:b/>
          <w:color w:val="000000" w:themeColor="text1"/>
        </w:rPr>
        <w:t>incompleto</w:t>
      </w:r>
      <w:r>
        <w:rPr>
          <w:rFonts w:ascii="Palatino Linotype" w:hAnsi="Palatino Linotype"/>
          <w:color w:val="000000" w:themeColor="text1"/>
        </w:rPr>
        <w:t>.</w:t>
      </w:r>
    </w:p>
    <w:p w14:paraId="51B49ADC"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457833B0" w14:textId="33EA7784" w:rsidR="003A63D9" w:rsidRDefault="004A7D4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al momento de rendir su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presentó el oficio número 20706005000200S-0279/2021, de veinticuatro (24) de agosto de dos mil veintiuno, emitido por el Servidor Público Habilitado de la Dirección General de Recursos Materiales, a trav</w:t>
      </w:r>
      <w:r w:rsidR="00CA5465">
        <w:rPr>
          <w:rFonts w:ascii="Palatino Linotype" w:hAnsi="Palatino Linotype"/>
          <w:color w:val="000000" w:themeColor="text1"/>
        </w:rPr>
        <w:t>és del cual, en lo que respecta al contrato de donación y cesión de derechos posesorios, manifestó lo siguiente:</w:t>
      </w:r>
    </w:p>
    <w:p w14:paraId="306348D3"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44F7D85F" w14:textId="3B423496" w:rsidR="00CA5465" w:rsidRPr="00CA5465" w:rsidRDefault="00CA5465" w:rsidP="00CA546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xml:space="preserve">“En relación con el inciso a), el contrato de donación y cesión de derechos posesorios que se proporcionó para dar atención a la solicitud de acceso a la información pública con número </w:t>
      </w:r>
      <w:r>
        <w:rPr>
          <w:rFonts w:ascii="Palatino Linotype" w:hAnsi="Palatino Linotype"/>
          <w:b/>
          <w:i/>
          <w:color w:val="000000" w:themeColor="text1"/>
          <w:sz w:val="22"/>
        </w:rPr>
        <w:t>00300/SF/IP/2021</w:t>
      </w:r>
      <w:r>
        <w:rPr>
          <w:rFonts w:ascii="Palatino Linotype" w:hAnsi="Palatino Linotype"/>
          <w:i/>
          <w:color w:val="000000" w:themeColor="text1"/>
          <w:sz w:val="22"/>
        </w:rPr>
        <w:t>, es una reproducción exacta del contrato que obra en los archivos de esta unidad administrativa, por lo que una vez efectuado el análisis de dicho documento, se constató que este no se encuentra cortado por la parte inferior como refiere el motivo de la inconformidad, aunado a ello, se encuentran completos los incisos II y III del apartado antecedentes, así como del inciso II del apartado declaraciones; por cuanto hace al “anexo”, este se adjunta en versión íntegra.</w:t>
      </w:r>
    </w:p>
    <w:p w14:paraId="7334910C" w14:textId="77777777" w:rsidR="00CA5465" w:rsidRDefault="00CA546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1D92AD41" w14:textId="45261A4A" w:rsidR="005F3685" w:rsidRDefault="00CA5465" w:rsidP="003519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w:t>
      </w:r>
      <w:r>
        <w:rPr>
          <w:rFonts w:ascii="Palatino Linotype" w:hAnsi="Palatino Linotype"/>
          <w:b/>
          <w:color w:val="000000" w:themeColor="text1"/>
        </w:rPr>
        <w:t>RECURRENTE</w:t>
      </w:r>
      <w:r>
        <w:rPr>
          <w:rFonts w:ascii="Palatino Linotype" w:hAnsi="Palatino Linotype"/>
          <w:color w:val="000000" w:themeColor="text1"/>
        </w:rPr>
        <w:t xml:space="preserve"> presentó alegatos mediante el archivo </w:t>
      </w:r>
      <w:r w:rsidR="0035199B">
        <w:rPr>
          <w:rFonts w:ascii="Palatino Linotype" w:hAnsi="Palatino Linotype"/>
          <w:color w:val="000000" w:themeColor="text1"/>
        </w:rPr>
        <w:t>“</w:t>
      </w:r>
      <w:r w:rsidR="0035199B" w:rsidRPr="0035199B">
        <w:rPr>
          <w:rFonts w:ascii="Palatino Linotype" w:hAnsi="Palatino Linotype"/>
          <w:b/>
          <w:i/>
          <w:color w:val="000000" w:themeColor="text1"/>
        </w:rPr>
        <w:t>Manifestaciones 07.09.2021_SF</w:t>
      </w:r>
      <w:r w:rsidR="0035199B">
        <w:rPr>
          <w:rFonts w:ascii="Palatino Linotype" w:hAnsi="Palatino Linotype"/>
          <w:color w:val="000000" w:themeColor="text1"/>
        </w:rPr>
        <w:t>”, dentro del cual, a través de capturas de pantalla del contrato de donación y cesión de derechos, señala fehacientemente las partes del instrumento cortadas durante el proceso de digitalización.</w:t>
      </w:r>
    </w:p>
    <w:p w14:paraId="6BED91F4"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1F0D472B" w14:textId="361D17FE" w:rsidR="005F3685" w:rsidRDefault="0035199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queda demostrado que quien lleva la razón en el asunto es el </w:t>
      </w:r>
      <w:r>
        <w:rPr>
          <w:rFonts w:ascii="Palatino Linotype" w:hAnsi="Palatino Linotype"/>
          <w:b/>
          <w:color w:val="000000" w:themeColor="text1"/>
        </w:rPr>
        <w:t>RECURRENTE</w:t>
      </w:r>
      <w:r>
        <w:rPr>
          <w:rFonts w:ascii="Palatino Linotype" w:hAnsi="Palatino Linotype"/>
          <w:color w:val="000000" w:themeColor="text1"/>
        </w:rPr>
        <w:t xml:space="preserve"> pues, como ha sido exhibido en el párrafo 53 de la presente resolución, el </w:t>
      </w:r>
      <w:r>
        <w:rPr>
          <w:rFonts w:ascii="Palatino Linotype" w:hAnsi="Palatino Linotype"/>
          <w:b/>
          <w:color w:val="000000" w:themeColor="text1"/>
        </w:rPr>
        <w:t>SUJETO OBLIGADO</w:t>
      </w:r>
      <w:r>
        <w:rPr>
          <w:rFonts w:ascii="Palatino Linotype" w:hAnsi="Palatino Linotype"/>
          <w:color w:val="000000" w:themeColor="text1"/>
        </w:rPr>
        <w:t xml:space="preserve"> no tuvo el debido cuidado durante el proceso de digitalización del contrato respectivo, por lo que se cortó la parte baja de todas las fojas que lo integran. Lo anterior se asevera, ya que el Servidor Público Habilitado de la Dirección General de Recursos Materiales, en vía de informe justificado, manifestó que los apartados señalados expresamente por el </w:t>
      </w:r>
      <w:r>
        <w:rPr>
          <w:rFonts w:ascii="Palatino Linotype" w:hAnsi="Palatino Linotype"/>
          <w:b/>
          <w:color w:val="000000" w:themeColor="text1"/>
        </w:rPr>
        <w:t>RECURRENTE</w:t>
      </w:r>
      <w:r>
        <w:rPr>
          <w:rFonts w:ascii="Palatino Linotype" w:hAnsi="Palatino Linotype"/>
          <w:color w:val="000000" w:themeColor="text1"/>
        </w:rPr>
        <w:t xml:space="preserve"> dentro de su escrito recursal, estaban completos.</w:t>
      </w:r>
    </w:p>
    <w:p w14:paraId="2429500D" w14:textId="77777777" w:rsidR="00570911" w:rsidRDefault="00570911" w:rsidP="00570911">
      <w:pPr>
        <w:pStyle w:val="Prrafodelista"/>
        <w:tabs>
          <w:tab w:val="left" w:pos="426"/>
        </w:tabs>
        <w:spacing w:before="240" w:after="240" w:line="360" w:lineRule="auto"/>
        <w:ind w:left="0" w:right="51"/>
        <w:jc w:val="both"/>
        <w:rPr>
          <w:rFonts w:ascii="Palatino Linotype" w:hAnsi="Palatino Linotype"/>
          <w:color w:val="000000" w:themeColor="text1"/>
        </w:rPr>
      </w:pPr>
    </w:p>
    <w:p w14:paraId="658FA0E5" w14:textId="1060B170" w:rsidR="00570911" w:rsidRDefault="005709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de lo anterior, este Órgano Garante hace un llamado atento al </w:t>
      </w:r>
      <w:r>
        <w:rPr>
          <w:rFonts w:ascii="Palatino Linotype" w:hAnsi="Palatino Linotype"/>
          <w:b/>
          <w:color w:val="000000" w:themeColor="text1"/>
        </w:rPr>
        <w:t>SUJETO OBLIGADO</w:t>
      </w:r>
      <w:r>
        <w:rPr>
          <w:rFonts w:ascii="Palatino Linotype" w:hAnsi="Palatino Linotype"/>
          <w:color w:val="000000" w:themeColor="text1"/>
        </w:rPr>
        <w:t xml:space="preserve"> a conducir los procesos de digitalización de información que realice en cumplimiento de sus obligaciones de transparencia y acceso a la información pública, de forma cuidadosa y procurando la mejor calidad posible en </w:t>
      </w:r>
      <w:r>
        <w:rPr>
          <w:rFonts w:ascii="Palatino Linotype" w:hAnsi="Palatino Linotype"/>
          <w:color w:val="000000" w:themeColor="text1"/>
        </w:rPr>
        <w:lastRenderedPageBreak/>
        <w:t xml:space="preserve">los documentos que se entregue a los particulares para atender las solicitudes de información, pues el entregar documentos incompletos no atienden el derecho de acceso a la información; sino por el contrario, lo </w:t>
      </w:r>
      <w:r>
        <w:rPr>
          <w:rFonts w:ascii="Palatino Linotype" w:hAnsi="Palatino Linotype"/>
          <w:b/>
          <w:color w:val="000000" w:themeColor="text1"/>
        </w:rPr>
        <w:t>vulnera</w:t>
      </w:r>
      <w:r w:rsidR="00D87A89">
        <w:rPr>
          <w:rFonts w:ascii="Palatino Linotype" w:hAnsi="Palatino Linotype"/>
          <w:color w:val="000000" w:themeColor="text1"/>
        </w:rPr>
        <w:t xml:space="preserve"> al entregar documentos alterados, tachados o cortados en su contenido.</w:t>
      </w:r>
    </w:p>
    <w:p w14:paraId="52CA7E17" w14:textId="77777777" w:rsidR="00570911" w:rsidRDefault="00570911" w:rsidP="00570911">
      <w:pPr>
        <w:pStyle w:val="Prrafodelista"/>
        <w:tabs>
          <w:tab w:val="left" w:pos="426"/>
        </w:tabs>
        <w:spacing w:before="240" w:after="240" w:line="360" w:lineRule="auto"/>
        <w:ind w:left="0" w:right="51"/>
        <w:jc w:val="both"/>
        <w:rPr>
          <w:rFonts w:ascii="Palatino Linotype" w:hAnsi="Palatino Linotype"/>
          <w:color w:val="000000" w:themeColor="text1"/>
        </w:rPr>
      </w:pPr>
    </w:p>
    <w:p w14:paraId="74659232" w14:textId="7011BC54" w:rsidR="005F3685" w:rsidRDefault="005709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se ignora que, dentro del contrato de donación y cesión de derechos posesorios, dentro del punto IV del apartado de los Antecedentes, se menciona que </w:t>
      </w:r>
      <w:r>
        <w:rPr>
          <w:rFonts w:ascii="Palatino Linotype" w:hAnsi="Palatino Linotype"/>
          <w:i/>
          <w:color w:val="000000" w:themeColor="text1"/>
        </w:rPr>
        <w:t xml:space="preserve">“EL GOBIERNO FEDERAL ES EL PROPIETARIO Y POSEEDOR DE LOS INMUEBLES A QUE SE REFIERE EL ANTECEDENTE II LOCALIZADOS EN EL ESTADO DE MEXICO, QUE SE RELACIONAN EN EL </w:t>
      </w:r>
      <w:r>
        <w:rPr>
          <w:rFonts w:ascii="Palatino Linotype" w:hAnsi="Palatino Linotype"/>
          <w:b/>
          <w:i/>
          <w:color w:val="000000" w:themeColor="text1"/>
        </w:rPr>
        <w:t>ANEXO UNICO DEL PRESENTE INSTRUMENTO</w:t>
      </w:r>
      <w:r>
        <w:rPr>
          <w:rFonts w:ascii="Palatino Linotype" w:hAnsi="Palatino Linotype"/>
          <w:i/>
          <w:color w:val="000000" w:themeColor="text1"/>
        </w:rPr>
        <w:t>”.</w:t>
      </w:r>
    </w:p>
    <w:p w14:paraId="258A5704"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67C289C7" w14:textId="6911AC82" w:rsidR="000770CE" w:rsidRDefault="000770CE"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que el contrato de mérito contiene un anexo, en el cual, se enlistan diversos inmuebles entonces propiedad del Gobierno Federal; sin embargo, este documento no se le proporcionó al particular en la respuesta a la solicitud </w:t>
      </w:r>
      <w:r>
        <w:rPr>
          <w:rFonts w:ascii="Palatino Linotype" w:hAnsi="Palatino Linotype"/>
          <w:b/>
          <w:color w:val="000000" w:themeColor="text1"/>
        </w:rPr>
        <w:t>00300/SF/IP/2021</w:t>
      </w:r>
      <w:r>
        <w:rPr>
          <w:rFonts w:ascii="Palatino Linotype" w:hAnsi="Palatino Linotype"/>
          <w:color w:val="000000" w:themeColor="text1"/>
        </w:rPr>
        <w:t>.</w:t>
      </w:r>
    </w:p>
    <w:p w14:paraId="2D2C84EA" w14:textId="77777777" w:rsidR="000770CE" w:rsidRDefault="000770CE" w:rsidP="000770CE">
      <w:pPr>
        <w:pStyle w:val="Prrafodelista"/>
        <w:tabs>
          <w:tab w:val="left" w:pos="426"/>
        </w:tabs>
        <w:spacing w:before="240" w:after="240" w:line="360" w:lineRule="auto"/>
        <w:ind w:left="0" w:right="51"/>
        <w:jc w:val="both"/>
        <w:rPr>
          <w:rFonts w:ascii="Palatino Linotype" w:hAnsi="Palatino Linotype"/>
          <w:color w:val="000000" w:themeColor="text1"/>
        </w:rPr>
      </w:pPr>
    </w:p>
    <w:p w14:paraId="46DC3D29" w14:textId="6B1EDA5D" w:rsidR="005F3685" w:rsidRDefault="005709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w:t>
      </w:r>
      <w:r w:rsidR="00D87A89">
        <w:rPr>
          <w:rFonts w:ascii="Palatino Linotype" w:hAnsi="Palatino Linotype"/>
          <w:color w:val="000000" w:themeColor="text1"/>
        </w:rPr>
        <w:t>debemos referir que los documentos anexos al principal son considerados como parte integral de éste; lo cual ha sido establecido por el propio Instituto Nacional de Transparencia, Acceso a la Información y Protección de Datos Personales a través del Criterio de Interpretación 17/17, el cual establece lo siguiente:</w:t>
      </w:r>
    </w:p>
    <w:p w14:paraId="473906B9"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19AC00DF" w14:textId="40701B2B" w:rsidR="00D87A89" w:rsidRPr="000770CE" w:rsidRDefault="00D87A89" w:rsidP="00D87A8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770CE">
        <w:rPr>
          <w:rFonts w:ascii="Palatino Linotype" w:hAnsi="Palatino Linotype"/>
          <w:b/>
          <w:i/>
          <w:color w:val="000000" w:themeColor="text1"/>
          <w:sz w:val="22"/>
        </w:rPr>
        <w:t>ANEXOS DE LOS DOCUMENTOS SOLICITADOS</w:t>
      </w:r>
      <w:r w:rsidRPr="000770CE">
        <w:rPr>
          <w:rFonts w:ascii="Palatino Linotype" w:hAnsi="Palatino Linotype"/>
          <w:i/>
          <w:color w:val="000000" w:themeColor="text1"/>
          <w:sz w:val="22"/>
        </w:rPr>
        <w:t xml:space="preserve">. “Los anexos de un documento se consideran parte integral del mismo. Por lo anterior, ante solicitudes de información </w:t>
      </w:r>
      <w:r w:rsidRPr="000770CE">
        <w:rPr>
          <w:rFonts w:ascii="Palatino Linotype" w:hAnsi="Palatino Linotype"/>
          <w:i/>
          <w:color w:val="000000" w:themeColor="text1"/>
          <w:sz w:val="22"/>
        </w:rPr>
        <w:lastRenderedPageBreak/>
        <w:t>relacionadas con documentos que incluyen anexos, los sujetos obligados deberán entregarlos, con excepción de aquellos casos en que el solicitante manifieste expresamente su interés de acceder únicamente al documento principal.”</w:t>
      </w:r>
    </w:p>
    <w:p w14:paraId="1E191AE6" w14:textId="77777777" w:rsidR="00D87A89" w:rsidRDefault="00D87A89" w:rsidP="00D87A89">
      <w:pPr>
        <w:pStyle w:val="Prrafodelista"/>
        <w:tabs>
          <w:tab w:val="left" w:pos="426"/>
        </w:tabs>
        <w:spacing w:before="240" w:after="240" w:line="360" w:lineRule="auto"/>
        <w:ind w:left="0" w:right="51"/>
        <w:jc w:val="both"/>
        <w:rPr>
          <w:rFonts w:ascii="Palatino Linotype" w:hAnsi="Palatino Linotype"/>
          <w:color w:val="000000" w:themeColor="text1"/>
        </w:rPr>
      </w:pPr>
    </w:p>
    <w:p w14:paraId="0064F83C" w14:textId="0904691C" w:rsidR="005F3685" w:rsidRDefault="000770CE"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lo anterior y, nuevamente, a través del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entregó el archivo electrónico titulado </w:t>
      </w:r>
      <w:r>
        <w:rPr>
          <w:rFonts w:ascii="Palatino Linotype" w:hAnsi="Palatino Linotype"/>
          <w:b/>
          <w:i/>
          <w:color w:val="000000" w:themeColor="text1"/>
        </w:rPr>
        <w:t>“RR 4058-2021 ANEXO I.pdf”</w:t>
      </w:r>
      <w:r>
        <w:rPr>
          <w:rFonts w:ascii="Palatino Linotype" w:hAnsi="Palatino Linotype"/>
          <w:color w:val="000000" w:themeColor="text1"/>
        </w:rPr>
        <w:t xml:space="preserve">, el cual, como fuera establecido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consiste en un documento de </w:t>
      </w:r>
      <w:r w:rsidRPr="000770CE">
        <w:rPr>
          <w:rFonts w:ascii="Palatino Linotype" w:hAnsi="Palatino Linotype"/>
          <w:color w:val="000000" w:themeColor="text1"/>
          <w:lang w:val="es-ES"/>
        </w:rPr>
        <w:t xml:space="preserve">tres hojas </w:t>
      </w:r>
      <w:r>
        <w:rPr>
          <w:rFonts w:ascii="Palatino Linotype" w:hAnsi="Palatino Linotype"/>
          <w:color w:val="000000" w:themeColor="text1"/>
          <w:lang w:val="es-ES"/>
        </w:rPr>
        <w:t>que muestra</w:t>
      </w:r>
      <w:r w:rsidRPr="000770CE">
        <w:rPr>
          <w:rFonts w:ascii="Palatino Linotype" w:hAnsi="Palatino Linotype"/>
          <w:color w:val="000000" w:themeColor="text1"/>
          <w:lang w:val="es-ES"/>
        </w:rPr>
        <w:t xml:space="preserve"> el catálogo de escuelas de preescolar, inmuebles escolares de educación primaria</w:t>
      </w:r>
      <w:r>
        <w:rPr>
          <w:rFonts w:ascii="Palatino Linotype" w:hAnsi="Palatino Linotype"/>
          <w:color w:val="000000" w:themeColor="text1"/>
          <w:lang w:val="es-ES"/>
        </w:rPr>
        <w:t>,</w:t>
      </w:r>
      <w:r w:rsidRPr="000770CE">
        <w:rPr>
          <w:rFonts w:ascii="Palatino Linotype" w:hAnsi="Palatino Linotype"/>
          <w:color w:val="000000" w:themeColor="text1"/>
          <w:lang w:val="es-ES"/>
        </w:rPr>
        <w:t xml:space="preserve"> e inmuebles escolares de educación secundaria, de la Subdirección d</w:t>
      </w:r>
      <w:r>
        <w:rPr>
          <w:rFonts w:ascii="Palatino Linotype" w:hAnsi="Palatino Linotype"/>
          <w:color w:val="000000" w:themeColor="text1"/>
          <w:lang w:val="es-ES"/>
        </w:rPr>
        <w:t>e Planeación Educativa; el cual, en su mayor</w:t>
      </w:r>
      <w:r w:rsidR="00583749">
        <w:rPr>
          <w:rFonts w:ascii="Palatino Linotype" w:hAnsi="Palatino Linotype"/>
          <w:color w:val="000000" w:themeColor="text1"/>
          <w:lang w:val="es-ES"/>
        </w:rPr>
        <w:t xml:space="preserve">ía, resulta ilegible como lo demuestra </w:t>
      </w:r>
      <w:r w:rsidR="00652854">
        <w:rPr>
          <w:rFonts w:ascii="Palatino Linotype" w:hAnsi="Palatino Linotype"/>
          <w:color w:val="000000" w:themeColor="text1"/>
          <w:lang w:val="es-ES"/>
        </w:rPr>
        <w:t>el</w:t>
      </w:r>
      <w:r w:rsidR="00583749">
        <w:rPr>
          <w:rFonts w:ascii="Palatino Linotype" w:hAnsi="Palatino Linotype"/>
          <w:color w:val="000000" w:themeColor="text1"/>
          <w:lang w:val="es-ES"/>
        </w:rPr>
        <w:t xml:space="preserve"> siguiente fragmento:</w:t>
      </w:r>
    </w:p>
    <w:p w14:paraId="71C3D1FA" w14:textId="77777777" w:rsidR="005F3685" w:rsidRDefault="005F3685" w:rsidP="00583749">
      <w:pPr>
        <w:pStyle w:val="Prrafodelista"/>
        <w:tabs>
          <w:tab w:val="left" w:pos="426"/>
        </w:tabs>
        <w:spacing w:line="360" w:lineRule="auto"/>
        <w:ind w:left="0" w:right="51"/>
        <w:jc w:val="both"/>
        <w:rPr>
          <w:rFonts w:ascii="Palatino Linotype" w:hAnsi="Palatino Linotype"/>
          <w:color w:val="000000" w:themeColor="text1"/>
        </w:rPr>
      </w:pPr>
    </w:p>
    <w:p w14:paraId="037C98ED" w14:textId="02B77DF3" w:rsidR="00583749" w:rsidRDefault="00583749" w:rsidP="005837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drawing>
          <wp:inline distT="0" distB="0" distL="0" distR="0" wp14:anchorId="57DC1FE0" wp14:editId="0D4CA7FF">
            <wp:extent cx="4778057" cy="3681454"/>
            <wp:effectExtent l="57150" t="57150" r="118110" b="1098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5933" cy="368752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F17524"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4DEF357B" w14:textId="70B7BD74" w:rsidR="005F3685" w:rsidRDefault="0035199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Consecuencia de lo anterior, esta Ponencia Resolutora encuentra conforme a derecho </w:t>
      </w:r>
      <w:r>
        <w:rPr>
          <w:rFonts w:ascii="Palatino Linotype" w:hAnsi="Palatino Linotype"/>
          <w:b/>
          <w:color w:val="000000" w:themeColor="text1"/>
        </w:rPr>
        <w:t>ordenar</w:t>
      </w:r>
      <w:r>
        <w:rPr>
          <w:rFonts w:ascii="Palatino Linotype" w:hAnsi="Palatino Linotype"/>
          <w:color w:val="000000" w:themeColor="text1"/>
        </w:rPr>
        <w:t xml:space="preserve"> al </w:t>
      </w:r>
      <w:r>
        <w:rPr>
          <w:rFonts w:ascii="Palatino Linotype" w:hAnsi="Palatino Linotype"/>
          <w:b/>
          <w:color w:val="000000" w:themeColor="text1"/>
        </w:rPr>
        <w:t>SUJETO OBLIGADO</w:t>
      </w:r>
      <w:r>
        <w:rPr>
          <w:rFonts w:ascii="Palatino Linotype" w:hAnsi="Palatino Linotype"/>
          <w:color w:val="000000" w:themeColor="text1"/>
        </w:rPr>
        <w:t xml:space="preserve"> entregar nuevamente el contrato de donación y cesión de derechos posesorios de</w:t>
      </w:r>
      <w:r w:rsidR="00652854">
        <w:rPr>
          <w:rFonts w:ascii="Palatino Linotype" w:hAnsi="Palatino Linotype"/>
          <w:color w:val="000000" w:themeColor="text1"/>
        </w:rPr>
        <w:t>, suscrito por el Gobierno Federal y el Gobierno del Estado de México el veinticinco (25) de febrero de mil novecientos noventa y siete</w:t>
      </w:r>
      <w:r>
        <w:rPr>
          <w:rFonts w:ascii="Palatino Linotype" w:hAnsi="Palatino Linotype"/>
          <w:color w:val="000000" w:themeColor="text1"/>
        </w:rPr>
        <w:t>, así como su anexo único,</w:t>
      </w:r>
      <w:r w:rsidR="00652854">
        <w:rPr>
          <w:rFonts w:ascii="Palatino Linotype" w:hAnsi="Palatino Linotype"/>
          <w:color w:val="000000" w:themeColor="text1"/>
        </w:rPr>
        <w:t xml:space="preserve"> en versión pública de ser procedente,</w:t>
      </w:r>
      <w:r>
        <w:rPr>
          <w:rFonts w:ascii="Palatino Linotype" w:hAnsi="Palatino Linotype"/>
          <w:color w:val="000000" w:themeColor="text1"/>
        </w:rPr>
        <w:t xml:space="preserve"> procurando un ejercicio cuidadoso en su proceso de digitalización, con la finalidad de asegurar que los documentos se entreguen </w:t>
      </w:r>
      <w:r>
        <w:rPr>
          <w:rFonts w:ascii="Palatino Linotype" w:hAnsi="Palatino Linotype"/>
          <w:b/>
          <w:color w:val="000000" w:themeColor="text1"/>
        </w:rPr>
        <w:t>completos</w:t>
      </w:r>
      <w:r>
        <w:rPr>
          <w:rFonts w:ascii="Palatino Linotype" w:hAnsi="Palatino Linotype"/>
          <w:color w:val="000000" w:themeColor="text1"/>
        </w:rPr>
        <w:t xml:space="preserve"> y en la mejor calidad de visibilidad posible.</w:t>
      </w:r>
    </w:p>
    <w:p w14:paraId="0D27B056"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46A486F1" w14:textId="30E95F49" w:rsidR="005F3685" w:rsidRDefault="00652854" w:rsidP="002578E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52854">
        <w:rPr>
          <w:rFonts w:ascii="Palatino Linotype" w:hAnsi="Palatino Linotype"/>
          <w:color w:val="000000" w:themeColor="text1"/>
        </w:rPr>
        <w:t xml:space="preserve">No se ignora que en el contrato de donación y cesión de derechos posesorios, dentro del apartado “Generales”, el </w:t>
      </w:r>
      <w:r w:rsidRPr="00652854">
        <w:rPr>
          <w:rFonts w:ascii="Palatino Linotype" w:hAnsi="Palatino Linotype"/>
          <w:b/>
          <w:color w:val="000000" w:themeColor="text1"/>
        </w:rPr>
        <w:t>SUJETO OBLIGADO</w:t>
      </w:r>
      <w:r w:rsidRPr="00652854">
        <w:rPr>
          <w:rFonts w:ascii="Palatino Linotype" w:hAnsi="Palatino Linotype"/>
          <w:color w:val="000000" w:themeColor="text1"/>
        </w:rPr>
        <w:t xml:space="preserve"> testó una serie de párrafos</w:t>
      </w:r>
      <w:r>
        <w:rPr>
          <w:rFonts w:ascii="Palatino Linotype" w:hAnsi="Palatino Linotype"/>
          <w:color w:val="000000" w:themeColor="text1"/>
        </w:rPr>
        <w:t>, los cuales, no justificó su clasificación pues omitió entregar el Acuerdo de su Comité de Transparencia que funde y motive las razones de la clasificación de los párrafos. Por ello, adjunto a la informaci</w:t>
      </w:r>
      <w:r w:rsidR="00710B50">
        <w:rPr>
          <w:rFonts w:ascii="Palatino Linotype" w:hAnsi="Palatino Linotype"/>
          <w:color w:val="000000" w:themeColor="text1"/>
        </w:rPr>
        <w:t>ón que se ordena entregar en el párrafo que antecede, deberá exhibir el Acuerdo de Clasificación relativo, atendiendo las puntualizaciones que se vierten en el Considerando SEXTO de la presente resolución.</w:t>
      </w:r>
    </w:p>
    <w:p w14:paraId="3D86C481" w14:textId="77777777" w:rsidR="00652854" w:rsidRDefault="00652854" w:rsidP="00652854">
      <w:pPr>
        <w:pStyle w:val="Prrafodelista"/>
        <w:tabs>
          <w:tab w:val="left" w:pos="426"/>
        </w:tabs>
        <w:spacing w:before="240" w:after="240" w:line="360" w:lineRule="auto"/>
        <w:ind w:left="0" w:right="51"/>
        <w:jc w:val="both"/>
        <w:rPr>
          <w:rFonts w:ascii="Palatino Linotype" w:hAnsi="Palatino Linotype"/>
          <w:color w:val="000000" w:themeColor="text1"/>
        </w:rPr>
      </w:pPr>
    </w:p>
    <w:p w14:paraId="5934D23B" w14:textId="62CFB1F1" w:rsidR="00710B50" w:rsidRPr="00710B50" w:rsidRDefault="00710B50" w:rsidP="00710B5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5029726"/>
      <w:r>
        <w:rPr>
          <w:rFonts w:ascii="Palatino Linotype" w:hAnsi="Palatino Linotype"/>
          <w:b/>
          <w:color w:val="000000" w:themeColor="text1"/>
        </w:rPr>
        <w:t>IV. De los antecedentes de los inmuebles.</w:t>
      </w:r>
      <w:bookmarkEnd w:id="31"/>
    </w:p>
    <w:p w14:paraId="5A720251" w14:textId="77777777" w:rsidR="00710B50" w:rsidRPr="00652854" w:rsidRDefault="00710B50" w:rsidP="00652854">
      <w:pPr>
        <w:pStyle w:val="Prrafodelista"/>
        <w:tabs>
          <w:tab w:val="left" w:pos="426"/>
        </w:tabs>
        <w:spacing w:before="240" w:after="240" w:line="360" w:lineRule="auto"/>
        <w:ind w:left="0" w:right="51"/>
        <w:jc w:val="both"/>
        <w:rPr>
          <w:rFonts w:ascii="Palatino Linotype" w:hAnsi="Palatino Linotype"/>
          <w:color w:val="000000" w:themeColor="text1"/>
        </w:rPr>
      </w:pPr>
    </w:p>
    <w:p w14:paraId="768734B1" w14:textId="6A470804" w:rsidR="005F3685" w:rsidRDefault="00710B5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segundo requerimiento, el particular requirió acceder a </w:t>
      </w:r>
      <w:r>
        <w:rPr>
          <w:rFonts w:ascii="Palatino Linotype" w:hAnsi="Palatino Linotype"/>
          <w:i/>
          <w:color w:val="000000" w:themeColor="text1"/>
        </w:rPr>
        <w:t xml:space="preserve">“los antecedentes </w:t>
      </w:r>
      <w:r w:rsidRPr="00710B50">
        <w:rPr>
          <w:rFonts w:ascii="Palatino Linotype" w:hAnsi="Palatino Linotype"/>
          <w:i/>
          <w:color w:val="000000" w:themeColor="text1"/>
        </w:rPr>
        <w:t xml:space="preserve"> de dichos inmuebles, es decir y por ejemplo si fueron o son propiedad del Ayuntamiento de Tecámac y los donó, están en comodato u otra figura jurídica al Gobierno </w:t>
      </w:r>
      <w:r w:rsidRPr="00710B50">
        <w:rPr>
          <w:rFonts w:ascii="Palatino Linotype" w:hAnsi="Palatino Linotype"/>
          <w:i/>
          <w:color w:val="000000" w:themeColor="text1"/>
        </w:rPr>
        <w:lastRenderedPageBreak/>
        <w:t>del Estado de México o por ejemplo si son resultado de una subdivisón.</w:t>
      </w:r>
      <w:r w:rsidR="005002D1">
        <w:rPr>
          <w:rFonts w:ascii="Palatino Linotype" w:hAnsi="Palatino Linotype"/>
          <w:color w:val="000000" w:themeColor="text1"/>
        </w:rPr>
        <w:t xml:space="preserve"> El </w:t>
      </w:r>
      <w:r w:rsidR="005002D1">
        <w:rPr>
          <w:rFonts w:ascii="Palatino Linotype" w:hAnsi="Palatino Linotype"/>
          <w:b/>
          <w:color w:val="000000" w:themeColor="text1"/>
        </w:rPr>
        <w:t>SUJETO OBLIGADO</w:t>
      </w:r>
      <w:r w:rsidR="005002D1">
        <w:rPr>
          <w:rFonts w:ascii="Palatino Linotype" w:hAnsi="Palatino Linotype"/>
          <w:color w:val="000000" w:themeColor="text1"/>
        </w:rPr>
        <w:t xml:space="preserve"> no se pronunció al respecto.</w:t>
      </w:r>
    </w:p>
    <w:p w14:paraId="30D9B221"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006DB0C2" w14:textId="23E23467" w:rsidR="005F3685" w:rsidRDefault="005002D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debemos recordar que el ejercicio </w:t>
      </w:r>
      <w:r w:rsidRPr="005002D1">
        <w:rPr>
          <w:rFonts w:ascii="Palatino Linotype" w:hAnsi="Palatino Linotype"/>
          <w:color w:val="000000" w:themeColor="text1"/>
        </w:rPr>
        <w:t xml:space="preserve">del Poder Ejecutivo corresponde al Gobernador del Estado, quien tendrá las atribuciones, funciones y obligaciones que le señalen: la Constitución Política de los Estados Unidos Mexicanos, la Constitución Política del Estado de México, la </w:t>
      </w:r>
      <w:r w:rsidR="00235DF2">
        <w:rPr>
          <w:rFonts w:ascii="Palatino Linotype" w:hAnsi="Palatino Linotype"/>
          <w:color w:val="000000" w:themeColor="text1"/>
        </w:rPr>
        <w:t>Ley Orgánica de la Administración Pública del Estado de México</w:t>
      </w:r>
      <w:r w:rsidRPr="005002D1">
        <w:rPr>
          <w:rFonts w:ascii="Palatino Linotype" w:hAnsi="Palatino Linotype"/>
          <w:color w:val="000000" w:themeColor="text1"/>
        </w:rPr>
        <w:t xml:space="preserve"> y las demás disposiciones jurídicas </w:t>
      </w:r>
      <w:r w:rsidR="00235DF2">
        <w:rPr>
          <w:rFonts w:ascii="Palatino Linotype" w:hAnsi="Palatino Linotype"/>
          <w:color w:val="000000" w:themeColor="text1"/>
        </w:rPr>
        <w:t>relativas vigentes en el Estado</w:t>
      </w:r>
      <w:r w:rsidR="00235DF2">
        <w:rPr>
          <w:rStyle w:val="Refdenotaalpie"/>
          <w:rFonts w:ascii="Palatino Linotype" w:hAnsi="Palatino Linotype"/>
          <w:color w:val="000000" w:themeColor="text1"/>
        </w:rPr>
        <w:footnoteReference w:id="15"/>
      </w:r>
      <w:r w:rsidR="00235DF2">
        <w:rPr>
          <w:rFonts w:ascii="Palatino Linotype" w:hAnsi="Palatino Linotype"/>
          <w:color w:val="000000" w:themeColor="text1"/>
        </w:rPr>
        <w:t xml:space="preserve">; para </w:t>
      </w:r>
      <w:r w:rsidR="00235DF2" w:rsidRPr="00235DF2">
        <w:rPr>
          <w:rFonts w:ascii="Palatino Linotype" w:hAnsi="Palatino Linotype"/>
          <w:color w:val="000000" w:themeColor="text1"/>
        </w:rPr>
        <w:t xml:space="preserve">el despacho de los asuntos </w:t>
      </w:r>
      <w:r w:rsidR="00235DF2">
        <w:rPr>
          <w:rFonts w:ascii="Palatino Linotype" w:hAnsi="Palatino Linotype"/>
          <w:color w:val="000000" w:themeColor="text1"/>
        </w:rPr>
        <w:t>de su competencia</w:t>
      </w:r>
      <w:r w:rsidR="00235DF2" w:rsidRPr="00235DF2">
        <w:rPr>
          <w:rFonts w:ascii="Palatino Linotype" w:hAnsi="Palatino Linotype"/>
          <w:color w:val="000000" w:themeColor="text1"/>
        </w:rPr>
        <w:t>, el Gobernador del Estado se auxiliará de las dependencias, organismos y entidades que señalen la Constitución Política del Estado, la presente Ley, el presupuesto de egresos y las demás disposiciones jurídicas vigentes en el Estado</w:t>
      </w:r>
      <w:r w:rsidR="00235DF2">
        <w:rPr>
          <w:rStyle w:val="Refdenotaalpie"/>
          <w:rFonts w:ascii="Palatino Linotype" w:hAnsi="Palatino Linotype"/>
          <w:color w:val="000000" w:themeColor="text1"/>
        </w:rPr>
        <w:footnoteReference w:id="16"/>
      </w:r>
      <w:r w:rsidR="00235DF2" w:rsidRPr="00235DF2">
        <w:rPr>
          <w:rFonts w:ascii="Palatino Linotype" w:hAnsi="Palatino Linotype"/>
          <w:color w:val="000000" w:themeColor="text1"/>
        </w:rPr>
        <w:t>.</w:t>
      </w:r>
    </w:p>
    <w:p w14:paraId="2A936904"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4FF2A90F" w14:textId="7C2F2D53" w:rsidR="005F3685" w:rsidRDefault="00235DF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el artículo 19 de la Ley Orgánica de la Administración Pública del Estado de México establece que para </w:t>
      </w:r>
      <w:r w:rsidRPr="00235DF2">
        <w:rPr>
          <w:rFonts w:ascii="Palatino Linotype" w:hAnsi="Palatino Linotype"/>
          <w:color w:val="000000" w:themeColor="text1"/>
        </w:rPr>
        <w:t xml:space="preserve">el estudio, planeación y despacho de los asuntos, en los diversos ramos de la Administración Pública del Estado, auxiliarán al Titular del Ejecutivo, </w:t>
      </w:r>
      <w:r>
        <w:rPr>
          <w:rFonts w:ascii="Palatino Linotype" w:hAnsi="Palatino Linotype"/>
          <w:color w:val="000000" w:themeColor="text1"/>
        </w:rPr>
        <w:t xml:space="preserve">diversas dependencias, entre las que destaca el </w:t>
      </w:r>
      <w:r>
        <w:rPr>
          <w:rFonts w:ascii="Palatino Linotype" w:hAnsi="Palatino Linotype"/>
          <w:b/>
          <w:color w:val="000000" w:themeColor="text1"/>
        </w:rPr>
        <w:t>SUJETO OBLIGADO</w:t>
      </w:r>
      <w:r>
        <w:rPr>
          <w:rFonts w:ascii="Palatino Linotype" w:hAnsi="Palatino Linotype"/>
          <w:color w:val="000000" w:themeColor="text1"/>
        </w:rPr>
        <w:t>.</w:t>
      </w:r>
    </w:p>
    <w:p w14:paraId="74308DCD"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335A3EA4" w14:textId="52CAD355" w:rsidR="005F3685" w:rsidRDefault="00235DF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Secretaría de Finanzas</w:t>
      </w:r>
      <w:r w:rsidRPr="00235DF2">
        <w:rPr>
          <w:rFonts w:ascii="Palatino Linotype" w:hAnsi="Palatino Linotype"/>
          <w:color w:val="000000" w:themeColor="text1"/>
        </w:rPr>
        <w:t xml:space="preserve">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w:t>
      </w:r>
      <w:r w:rsidRPr="00235DF2">
        <w:rPr>
          <w:rFonts w:ascii="Palatino Linotype" w:hAnsi="Palatino Linotype"/>
          <w:color w:val="000000" w:themeColor="text1"/>
        </w:rPr>
        <w:lastRenderedPageBreak/>
        <w:t>Ejecutivo del Estado</w:t>
      </w:r>
      <w:r>
        <w:rPr>
          <w:rStyle w:val="Refdenotaalpie"/>
          <w:rFonts w:ascii="Palatino Linotype" w:hAnsi="Palatino Linotype"/>
          <w:color w:val="000000" w:themeColor="text1"/>
        </w:rPr>
        <w:footnoteReference w:id="17"/>
      </w:r>
      <w:r w:rsidRPr="00235DF2">
        <w:rPr>
          <w:rFonts w:ascii="Palatino Linotype" w:hAnsi="Palatino Linotype"/>
          <w:color w:val="000000" w:themeColor="text1"/>
        </w:rPr>
        <w:t>.</w:t>
      </w:r>
      <w:r>
        <w:rPr>
          <w:rFonts w:ascii="Palatino Linotype" w:hAnsi="Palatino Linotype"/>
          <w:color w:val="000000" w:themeColor="text1"/>
        </w:rPr>
        <w:t xml:space="preserve"> De conformidad con el artículo 24 de la Ley Orgánica de la Administración Pública del Estado de México, le corresponderá el despacho, entre otros, de los siguientes asuntos:</w:t>
      </w:r>
    </w:p>
    <w:p w14:paraId="27DC8AF0" w14:textId="6F3220D9" w:rsidR="00235DF2" w:rsidRDefault="00235DF2" w:rsidP="00235D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35DF2">
        <w:rPr>
          <w:rFonts w:ascii="Palatino Linotype" w:hAnsi="Palatino Linotype"/>
          <w:color w:val="000000" w:themeColor="text1"/>
        </w:rPr>
        <w:t>Levantar y tener al corriente el inventario general de los bienes muebles e inmuebles propiedad del Gobierno del Estado</w:t>
      </w:r>
      <w:r>
        <w:rPr>
          <w:rFonts w:ascii="Palatino Linotype" w:hAnsi="Palatino Linotype"/>
          <w:color w:val="000000" w:themeColor="text1"/>
        </w:rPr>
        <w:t>;</w:t>
      </w:r>
    </w:p>
    <w:p w14:paraId="172B3237" w14:textId="446C48E4" w:rsidR="00235DF2" w:rsidRDefault="00235DF2" w:rsidP="00235DF2">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Administrar </w:t>
      </w:r>
      <w:r w:rsidRPr="00235DF2">
        <w:rPr>
          <w:rFonts w:ascii="Palatino Linotype" w:hAnsi="Palatino Linotype"/>
          <w:color w:val="000000" w:themeColor="text1"/>
        </w:rPr>
        <w:t>y asegurar la conservación y mantenimiento del patrimonio del Gobierno del Estado</w:t>
      </w:r>
    </w:p>
    <w:p w14:paraId="05BCD907"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362B8815" w14:textId="5B0C2D8B" w:rsidR="005F3685" w:rsidRDefault="00264DA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para el </w:t>
      </w:r>
      <w:r w:rsidRPr="00264DA7">
        <w:rPr>
          <w:rFonts w:ascii="Palatino Linotype" w:hAnsi="Palatino Linotype"/>
          <w:color w:val="000000" w:themeColor="text1"/>
        </w:rPr>
        <w:t xml:space="preserve">despacho de los asuntos de su competencia, la Secretaría </w:t>
      </w:r>
      <w:r>
        <w:rPr>
          <w:rFonts w:ascii="Palatino Linotype" w:hAnsi="Palatino Linotype"/>
          <w:color w:val="000000" w:themeColor="text1"/>
        </w:rPr>
        <w:t xml:space="preserve">de Finanzas </w:t>
      </w:r>
      <w:r w:rsidRPr="00264DA7">
        <w:rPr>
          <w:rFonts w:ascii="Palatino Linotype" w:hAnsi="Palatino Linotype"/>
          <w:color w:val="000000" w:themeColor="text1"/>
        </w:rPr>
        <w:t xml:space="preserve">se auxiliará de </w:t>
      </w:r>
      <w:r>
        <w:rPr>
          <w:rFonts w:ascii="Palatino Linotype" w:hAnsi="Palatino Linotype"/>
          <w:color w:val="000000" w:themeColor="text1"/>
        </w:rPr>
        <w:t xml:space="preserve">diversas unidades administrativas, dentro de las que resalta, para el presente asunto, la </w:t>
      </w:r>
      <w:r w:rsidRPr="00264DA7">
        <w:rPr>
          <w:rFonts w:ascii="Palatino Linotype" w:hAnsi="Palatino Linotype"/>
          <w:b/>
          <w:color w:val="000000" w:themeColor="text1"/>
        </w:rPr>
        <w:t>Dirección General de Recursos Materiales</w:t>
      </w:r>
      <w:r>
        <w:rPr>
          <w:rStyle w:val="Refdenotaalpie"/>
          <w:rFonts w:ascii="Palatino Linotype" w:hAnsi="Palatino Linotype"/>
          <w:b/>
          <w:color w:val="000000" w:themeColor="text1"/>
        </w:rPr>
        <w:footnoteReference w:id="18"/>
      </w:r>
      <w:r>
        <w:rPr>
          <w:rFonts w:ascii="Palatino Linotype" w:hAnsi="Palatino Linotype"/>
          <w:color w:val="000000" w:themeColor="text1"/>
        </w:rPr>
        <w:t>.</w:t>
      </w:r>
    </w:p>
    <w:p w14:paraId="38DE9638"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735E3843" w14:textId="4FAF5288" w:rsidR="005F3685" w:rsidRDefault="00264DA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Dirección General de Recursos Materiales tiene por objetivo establecer </w:t>
      </w:r>
      <w:r w:rsidRPr="00264DA7">
        <w:rPr>
          <w:rFonts w:ascii="Palatino Linotype" w:hAnsi="Palatino Linotype"/>
          <w:color w:val="000000" w:themeColor="text1"/>
        </w:rPr>
        <w:t>políticas, bases, lineamientos, normas técnicas y administrativas en materia adquisitiva y de control patrimonial; coordinar, controlar y ejecutar los procedimientos de adquisiciones con recursos federales y estatales de bienes y contratación de servicios; intervenir en la sustanciación de los procedimientos de contratación de arrendamiento y adquisición de bienes que requieran las dependencias del Poder Ejecutivo y en lo relacionado con la enajenación de bienes del patrimonio estatal; así como ejecutar las acciones pertinentes para el control y registro de la asignación, uso, aseguramiento, protección, conservación, mantenimiento, rehabilitación y disposición final de los mismos</w:t>
      </w:r>
      <w:r>
        <w:rPr>
          <w:rStyle w:val="Refdenotaalpie"/>
          <w:rFonts w:ascii="Palatino Linotype" w:hAnsi="Palatino Linotype"/>
          <w:color w:val="000000" w:themeColor="text1"/>
        </w:rPr>
        <w:footnoteReference w:id="19"/>
      </w:r>
      <w:r w:rsidRPr="00264DA7">
        <w:rPr>
          <w:rFonts w:ascii="Palatino Linotype" w:hAnsi="Palatino Linotype"/>
          <w:color w:val="000000" w:themeColor="text1"/>
        </w:rPr>
        <w:t>.</w:t>
      </w:r>
    </w:p>
    <w:p w14:paraId="4E35B06B"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4A3D0105" w14:textId="68AC47E0" w:rsidR="005F3685" w:rsidRDefault="00264DA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el artículo 32 del Reglamento Interior de la Secretaría de Finanzas, le corresponderá a la Dirección General de Recursos Materiales el despacho de los siguientes asuntos:</w:t>
      </w:r>
    </w:p>
    <w:p w14:paraId="014BBA4B" w14:textId="77777777" w:rsidR="00264DA7" w:rsidRDefault="00264DA7" w:rsidP="00264DA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64DA7">
        <w:rPr>
          <w:rFonts w:ascii="Palatino Linotype" w:hAnsi="Palatino Linotype"/>
          <w:b/>
          <w:color w:val="000000" w:themeColor="text1"/>
        </w:rPr>
        <w:t>Proponer</w:t>
      </w:r>
      <w:r>
        <w:rPr>
          <w:rFonts w:ascii="Palatino Linotype" w:hAnsi="Palatino Linotype"/>
          <w:color w:val="000000" w:themeColor="text1"/>
        </w:rPr>
        <w:t xml:space="preserve"> </w:t>
      </w:r>
      <w:r w:rsidRPr="00264DA7">
        <w:rPr>
          <w:rFonts w:ascii="Palatino Linotype" w:hAnsi="Palatino Linotype"/>
          <w:color w:val="000000" w:themeColor="text1"/>
        </w:rPr>
        <w:t xml:space="preserve">al Subsecretario de Administración </w:t>
      </w:r>
      <w:r w:rsidRPr="00264DA7">
        <w:rPr>
          <w:rFonts w:ascii="Palatino Linotype" w:hAnsi="Palatino Linotype"/>
          <w:b/>
          <w:color w:val="000000" w:themeColor="text1"/>
        </w:rPr>
        <w:t>las normas y políticas para la asignación de los bienes muebles e inmuebles</w:t>
      </w:r>
      <w:r w:rsidRPr="00264DA7">
        <w:rPr>
          <w:rFonts w:ascii="Palatino Linotype" w:hAnsi="Palatino Linotype"/>
          <w:color w:val="000000" w:themeColor="text1"/>
        </w:rPr>
        <w:t xml:space="preserve"> a las dependencias y a los organismos auxiliares del Poder Ejecutivo del Gobierno del Estado de México, así como para el uso de dichos bienes. </w:t>
      </w:r>
    </w:p>
    <w:p w14:paraId="1C91FA79" w14:textId="77777777" w:rsidR="00264DA7" w:rsidRDefault="00264DA7" w:rsidP="00264DA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64DA7">
        <w:rPr>
          <w:rFonts w:ascii="Palatino Linotype" w:hAnsi="Palatino Linotype"/>
          <w:color w:val="000000" w:themeColor="text1"/>
        </w:rPr>
        <w:t xml:space="preserve">Verificar e </w:t>
      </w:r>
      <w:r w:rsidRPr="00264DA7">
        <w:rPr>
          <w:rFonts w:ascii="Palatino Linotype" w:hAnsi="Palatino Linotype"/>
          <w:b/>
          <w:color w:val="000000" w:themeColor="text1"/>
        </w:rPr>
        <w:t>inspeccionar</w:t>
      </w:r>
      <w:r w:rsidRPr="00264DA7">
        <w:rPr>
          <w:rFonts w:ascii="Palatino Linotype" w:hAnsi="Palatino Linotype"/>
          <w:color w:val="000000" w:themeColor="text1"/>
        </w:rPr>
        <w:t xml:space="preserve">, periódicamente, </w:t>
      </w:r>
      <w:r w:rsidRPr="00264DA7">
        <w:rPr>
          <w:rFonts w:ascii="Palatino Linotype" w:hAnsi="Palatino Linotype"/>
          <w:b/>
          <w:color w:val="000000" w:themeColor="text1"/>
        </w:rPr>
        <w:t>las condiciones de registro, uso, conservación, rehabilitación, control y daños por siniestros de los bienes</w:t>
      </w:r>
      <w:r w:rsidRPr="00264DA7">
        <w:rPr>
          <w:rFonts w:ascii="Palatino Linotype" w:hAnsi="Palatino Linotype"/>
          <w:color w:val="000000" w:themeColor="text1"/>
        </w:rPr>
        <w:t xml:space="preserve"> muebles e </w:t>
      </w:r>
      <w:r w:rsidRPr="00264DA7">
        <w:rPr>
          <w:rFonts w:ascii="Palatino Linotype" w:hAnsi="Palatino Linotype"/>
          <w:b/>
          <w:color w:val="000000" w:themeColor="text1"/>
        </w:rPr>
        <w:t>inmuebles</w:t>
      </w:r>
      <w:r w:rsidRPr="00264DA7">
        <w:rPr>
          <w:rFonts w:ascii="Palatino Linotype" w:hAnsi="Palatino Linotype"/>
          <w:color w:val="000000" w:themeColor="text1"/>
        </w:rPr>
        <w:t xml:space="preserve"> asignados o qu</w:t>
      </w:r>
      <w:r w:rsidRPr="00264DA7">
        <w:rPr>
          <w:rFonts w:ascii="Palatino Linotype" w:hAnsi="Palatino Linotype"/>
          <w:b/>
          <w:color w:val="000000" w:themeColor="text1"/>
        </w:rPr>
        <w:t>e formen parte del patrimonio del Poder Ejecutivo del Gobierno del Estado, o de aquellos que se hayan otorgado, mediante convenio o contrato de donación, comodato, usufructo, arrendamiento o por cualquier otra figura contemplada por las leyes</w:t>
      </w:r>
      <w:r w:rsidRPr="00264DA7">
        <w:rPr>
          <w:rFonts w:ascii="Palatino Linotype" w:hAnsi="Palatino Linotype"/>
          <w:color w:val="000000" w:themeColor="text1"/>
        </w:rPr>
        <w:t xml:space="preserve">, a los gobiernos federal o municipales, a asociaciones, instituciones públicas o privadas o a personas físicas, de conformidad con los instrumentos jurídicos que les dieron origen y las disposiciones jurídicas aplicables. </w:t>
      </w:r>
    </w:p>
    <w:p w14:paraId="368B680F" w14:textId="77777777" w:rsidR="00264DA7" w:rsidRDefault="00264DA7" w:rsidP="00264DA7">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264DA7">
        <w:rPr>
          <w:rFonts w:ascii="Palatino Linotype" w:hAnsi="Palatino Linotype"/>
          <w:b/>
          <w:color w:val="000000" w:themeColor="text1"/>
        </w:rPr>
        <w:t>Registrar</w:t>
      </w:r>
      <w:r w:rsidRPr="00264DA7">
        <w:rPr>
          <w:rFonts w:ascii="Palatino Linotype" w:hAnsi="Palatino Linotype"/>
          <w:color w:val="000000" w:themeColor="text1"/>
        </w:rPr>
        <w:t xml:space="preserve"> y verificar </w:t>
      </w:r>
      <w:r w:rsidRPr="00264DA7">
        <w:rPr>
          <w:rFonts w:ascii="Palatino Linotype" w:hAnsi="Palatino Linotype"/>
          <w:b/>
          <w:color w:val="000000" w:themeColor="text1"/>
        </w:rPr>
        <w:t>la información relativa a la administración y control de bienes</w:t>
      </w:r>
      <w:r w:rsidRPr="00264DA7">
        <w:rPr>
          <w:rFonts w:ascii="Palatino Linotype" w:hAnsi="Palatino Linotype"/>
          <w:color w:val="000000" w:themeColor="text1"/>
        </w:rPr>
        <w:t xml:space="preserve"> muebles o </w:t>
      </w:r>
      <w:r w:rsidRPr="00264DA7">
        <w:rPr>
          <w:rFonts w:ascii="Palatino Linotype" w:hAnsi="Palatino Linotype"/>
          <w:b/>
          <w:color w:val="000000" w:themeColor="text1"/>
        </w:rPr>
        <w:t>inmuebles del patrimonio estatal, así como integrar los inventarios y catálogos respectivos</w:t>
      </w:r>
      <w:r w:rsidRPr="00264DA7">
        <w:rPr>
          <w:rFonts w:ascii="Palatino Linotype" w:hAnsi="Palatino Linotype"/>
          <w:color w:val="000000" w:themeColor="text1"/>
        </w:rPr>
        <w:t xml:space="preserve">. </w:t>
      </w:r>
    </w:p>
    <w:p w14:paraId="7CBDDD0C" w14:textId="77777777" w:rsidR="005F3685" w:rsidRDefault="005F3685" w:rsidP="005F3685">
      <w:pPr>
        <w:pStyle w:val="Prrafodelista"/>
        <w:tabs>
          <w:tab w:val="left" w:pos="426"/>
        </w:tabs>
        <w:spacing w:before="240" w:after="240" w:line="360" w:lineRule="auto"/>
        <w:ind w:left="0" w:right="51"/>
        <w:jc w:val="both"/>
        <w:rPr>
          <w:rFonts w:ascii="Palatino Linotype" w:hAnsi="Palatino Linotype"/>
          <w:color w:val="000000" w:themeColor="text1"/>
        </w:rPr>
      </w:pPr>
    </w:p>
    <w:p w14:paraId="055E5475" w14:textId="77294AFA" w:rsidR="005F3685" w:rsidRDefault="002C76A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esta Ponencia Resolutora realizó un ejercicio de investigación de las diversas áreas y departamentos administrativos que integran a </w:t>
      </w:r>
      <w:r>
        <w:rPr>
          <w:rFonts w:ascii="Palatino Linotype" w:hAnsi="Palatino Linotype"/>
          <w:color w:val="000000" w:themeColor="text1"/>
        </w:rPr>
        <w:lastRenderedPageBreak/>
        <w:t>la Dirección General de Recursos Materiales, encontrándose varias unidades que, por la naturaleza de sus funciones, resultan competentes para poseer, generar y administrar información relacionada con los antecedentes de los tres inmuebles donados por el Gobierno Federal en mil novecientos noventa y siete, mismas que, de manera enunciativa más no limitativa, se comparten a continuación:</w:t>
      </w:r>
    </w:p>
    <w:p w14:paraId="18A5D2C0"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77F42B3C"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Pr>
          <w:rFonts w:ascii="Palatino Linotype" w:hAnsi="Palatino Linotype"/>
          <w:i/>
          <w:color w:val="000000" w:themeColor="text1"/>
          <w:sz w:val="22"/>
        </w:rPr>
        <w:t>“</w:t>
      </w:r>
      <w:r w:rsidRPr="002C76A0">
        <w:rPr>
          <w:rFonts w:ascii="Palatino Linotype" w:hAnsi="Palatino Linotype"/>
          <w:b/>
          <w:i/>
          <w:color w:val="000000" w:themeColor="text1"/>
          <w:sz w:val="22"/>
        </w:rPr>
        <w:t xml:space="preserve">20706005010102L DEPARTAMENTO DE INSPECCIÓN TOPOGRÁFICA </w:t>
      </w:r>
    </w:p>
    <w:p w14:paraId="3D49D9B6"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b/>
          <w:i/>
          <w:color w:val="000000" w:themeColor="text1"/>
          <w:sz w:val="22"/>
        </w:rPr>
        <w:t>OBJETIVO:</w:t>
      </w:r>
      <w:r w:rsidRPr="002C76A0">
        <w:rPr>
          <w:rFonts w:ascii="Palatino Linotype" w:hAnsi="Palatino Linotype"/>
          <w:i/>
          <w:color w:val="000000" w:themeColor="text1"/>
          <w:sz w:val="22"/>
        </w:rPr>
        <w:t xml:space="preserve"> </w:t>
      </w:r>
    </w:p>
    <w:p w14:paraId="062E5402" w14:textId="553200F2"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i/>
          <w:color w:val="000000" w:themeColor="text1"/>
          <w:sz w:val="22"/>
        </w:rPr>
        <w:t>Realizar los trabajos de campo tanto topográficos como arquitectónicos, elaborar planos o croquis de ubicación de inmuebles propiedad del Poder Ejecutivo del Gobierno del Estado o particular y susceptibles de regularizarse e incorporarse; definir, determinar e identificar sus características e instalaciones existentes, con la finalidad de contar con elementos técnicos suficientes para la emisión del dictamen respectivo.</w:t>
      </w:r>
    </w:p>
    <w:p w14:paraId="13B3F0BF" w14:textId="7D5558A0" w:rsidR="002C76A0" w:rsidRPr="002C76A0" w:rsidRDefault="002C76A0"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C76A0">
        <w:rPr>
          <w:rFonts w:ascii="Palatino Linotype" w:hAnsi="Palatino Linotype"/>
          <w:b/>
          <w:i/>
          <w:color w:val="000000" w:themeColor="text1"/>
          <w:sz w:val="22"/>
        </w:rPr>
        <w:t>FUNCIONES:</w:t>
      </w:r>
    </w:p>
    <w:p w14:paraId="79278CE6" w14:textId="6E0DD6F4"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3FC44BB" w14:textId="38091024"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b/>
          <w:i/>
          <w:color w:val="000000" w:themeColor="text1"/>
          <w:sz w:val="22"/>
        </w:rPr>
        <w:t>Realizar las visitas de inspecciones</w:t>
      </w:r>
      <w:r w:rsidRPr="002C76A0">
        <w:rPr>
          <w:rFonts w:ascii="Palatino Linotype" w:hAnsi="Palatino Linotype"/>
          <w:i/>
          <w:color w:val="000000" w:themeColor="text1"/>
          <w:sz w:val="22"/>
        </w:rPr>
        <w:t xml:space="preserve"> de forma aleatoria, </w:t>
      </w:r>
      <w:r w:rsidRPr="002C76A0">
        <w:rPr>
          <w:rFonts w:ascii="Palatino Linotype" w:hAnsi="Palatino Linotype"/>
          <w:b/>
          <w:i/>
          <w:color w:val="000000" w:themeColor="text1"/>
          <w:sz w:val="22"/>
        </w:rPr>
        <w:t>para corroborar las condiciones de uso, destino, aprovechamiento y conservación de los bienes inmuebles</w:t>
      </w:r>
      <w:r w:rsidRPr="002C76A0">
        <w:rPr>
          <w:rFonts w:ascii="Palatino Linotype" w:hAnsi="Palatino Linotype"/>
          <w:i/>
          <w:color w:val="000000" w:themeColor="text1"/>
          <w:sz w:val="22"/>
        </w:rPr>
        <w:t xml:space="preserve"> del patrimonio del Poder Ejecutivo del Gobierno del Estado de México y/o particulares; </w:t>
      </w:r>
      <w:r w:rsidRPr="00070361">
        <w:rPr>
          <w:rFonts w:ascii="Palatino Linotype" w:hAnsi="Palatino Linotype"/>
          <w:b/>
          <w:i/>
          <w:color w:val="000000" w:themeColor="text1"/>
          <w:sz w:val="22"/>
        </w:rPr>
        <w:t>así como de los que se hayan otorgado en arrendamiento a los gobiernos federal, estatales o municipales</w:t>
      </w:r>
      <w:r w:rsidRPr="002C76A0">
        <w:rPr>
          <w:rFonts w:ascii="Palatino Linotype" w:hAnsi="Palatino Linotype"/>
          <w:i/>
          <w:color w:val="000000" w:themeColor="text1"/>
          <w:sz w:val="22"/>
        </w:rPr>
        <w:t>, organismos auxiliares, tribunales administrativos, asociaciones, instituciones públicas o privadas, personas físicas o jurídico colectivas.</w:t>
      </w:r>
    </w:p>
    <w:p w14:paraId="4293C5D7" w14:textId="103AF0A2"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02E3EDC"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91981D6"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C76A0">
        <w:rPr>
          <w:rFonts w:ascii="Palatino Linotype" w:hAnsi="Palatino Linotype"/>
          <w:b/>
          <w:i/>
          <w:color w:val="000000" w:themeColor="text1"/>
          <w:sz w:val="22"/>
        </w:rPr>
        <w:t xml:space="preserve">20706005010201L DEPARTAMENTO DE REGULARIZACIÓN E INCORPORACIÓN DE BIENES </w:t>
      </w:r>
    </w:p>
    <w:p w14:paraId="0BE4E176"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b/>
          <w:i/>
          <w:color w:val="000000" w:themeColor="text1"/>
          <w:sz w:val="22"/>
        </w:rPr>
        <w:t>OBJETIVO:</w:t>
      </w:r>
      <w:r w:rsidRPr="002C76A0">
        <w:rPr>
          <w:rFonts w:ascii="Palatino Linotype" w:hAnsi="Palatino Linotype"/>
          <w:i/>
          <w:color w:val="000000" w:themeColor="text1"/>
          <w:sz w:val="22"/>
        </w:rPr>
        <w:t xml:space="preserve"> </w:t>
      </w:r>
    </w:p>
    <w:p w14:paraId="2952EFB1"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i/>
          <w:color w:val="000000" w:themeColor="text1"/>
          <w:sz w:val="22"/>
        </w:rPr>
        <w:t xml:space="preserve">Realizar las acciones tendientes a la regularización administrativa y jurídica de la propiedad de los bienes que integran el patrimonio inmobiliario del Poder Ejecutivo del Gobierno del Estado e incorporar las áreas de donación estatal que deriven de los actos divisorios del suelo. </w:t>
      </w:r>
    </w:p>
    <w:p w14:paraId="492E46C0" w14:textId="6DC22341" w:rsidR="002C76A0" w:rsidRPr="002C76A0" w:rsidRDefault="002C76A0"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2C76A0">
        <w:rPr>
          <w:rFonts w:ascii="Palatino Linotype" w:hAnsi="Palatino Linotype"/>
          <w:b/>
          <w:i/>
          <w:color w:val="000000" w:themeColor="text1"/>
          <w:sz w:val="22"/>
        </w:rPr>
        <w:t>FUNCIONES:</w:t>
      </w:r>
    </w:p>
    <w:p w14:paraId="4BCF592B" w14:textId="101AB551"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w:t>
      </w:r>
    </w:p>
    <w:p w14:paraId="6BAAA889" w14:textId="081914CF"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C76A0">
        <w:rPr>
          <w:rFonts w:ascii="Palatino Linotype" w:hAnsi="Palatino Linotype"/>
          <w:b/>
          <w:i/>
          <w:color w:val="000000" w:themeColor="text1"/>
          <w:sz w:val="22"/>
        </w:rPr>
        <w:t>Integrar la documentación jurídica, técnica y administrativa para sustanciar los procesos administrativos y judiciales</w:t>
      </w:r>
      <w:r w:rsidRPr="002C76A0">
        <w:rPr>
          <w:rFonts w:ascii="Palatino Linotype" w:hAnsi="Palatino Linotype"/>
          <w:i/>
          <w:color w:val="000000" w:themeColor="text1"/>
          <w:sz w:val="22"/>
        </w:rPr>
        <w:t xml:space="preserve">, representando a la Dirección General de Recursos Materiales </w:t>
      </w:r>
      <w:r w:rsidRPr="002C76A0">
        <w:rPr>
          <w:rFonts w:ascii="Palatino Linotype" w:hAnsi="Palatino Linotype"/>
          <w:b/>
          <w:i/>
          <w:color w:val="000000" w:themeColor="text1"/>
          <w:sz w:val="22"/>
        </w:rPr>
        <w:t>para la regularización de los bienes inmuebles</w:t>
      </w:r>
      <w:r w:rsidRPr="002C76A0">
        <w:rPr>
          <w:rFonts w:ascii="Palatino Linotype" w:hAnsi="Palatino Linotype"/>
          <w:i/>
          <w:color w:val="000000" w:themeColor="text1"/>
          <w:sz w:val="22"/>
        </w:rPr>
        <w:t xml:space="preserve"> en posesión del Poder Ejecutivo del Gobierno Estado, ante cualquier autoridad.</w:t>
      </w:r>
    </w:p>
    <w:p w14:paraId="40A5635A" w14:textId="3EB0277C"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550BBF21" w14:textId="77777777" w:rsidR="002C76A0" w:rsidRDefault="002C76A0"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4E4DD7B" w14:textId="77777777" w:rsidR="00070361" w:rsidRDefault="00070361"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070361">
        <w:rPr>
          <w:rFonts w:ascii="Palatino Linotype" w:hAnsi="Palatino Linotype"/>
          <w:b/>
          <w:i/>
          <w:color w:val="000000" w:themeColor="text1"/>
          <w:sz w:val="22"/>
        </w:rPr>
        <w:t xml:space="preserve">20706005010402L DEPARTAMENTO DE ARRENDAMIENTOS INMOBILIARIOS </w:t>
      </w:r>
    </w:p>
    <w:p w14:paraId="1B171E38" w14:textId="77777777" w:rsidR="00070361" w:rsidRDefault="00070361"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070361">
        <w:rPr>
          <w:rFonts w:ascii="Palatino Linotype" w:hAnsi="Palatino Linotype"/>
          <w:b/>
          <w:i/>
          <w:color w:val="000000" w:themeColor="text1"/>
          <w:sz w:val="22"/>
        </w:rPr>
        <w:t xml:space="preserve">OBJETIVO: </w:t>
      </w:r>
    </w:p>
    <w:p w14:paraId="4BA331ED" w14:textId="77777777"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70361">
        <w:rPr>
          <w:rFonts w:ascii="Palatino Linotype" w:hAnsi="Palatino Linotype"/>
          <w:i/>
          <w:color w:val="000000" w:themeColor="text1"/>
          <w:sz w:val="22"/>
        </w:rPr>
        <w:t xml:space="preserve">Gestionar la contratación del arrendamiento de bienes inmuebles para las dependencias, organismos auxiliares y tribunales administrativos del Poder Ejecutivo del Gobierno del Estado. </w:t>
      </w:r>
    </w:p>
    <w:p w14:paraId="60247323" w14:textId="77777777" w:rsidR="00070361" w:rsidRPr="00070361" w:rsidRDefault="00070361" w:rsidP="002C76A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070361">
        <w:rPr>
          <w:rFonts w:ascii="Palatino Linotype" w:hAnsi="Palatino Linotype"/>
          <w:b/>
          <w:i/>
          <w:color w:val="000000" w:themeColor="text1"/>
          <w:sz w:val="22"/>
        </w:rPr>
        <w:t xml:space="preserve">FUNCIONES: </w:t>
      </w:r>
    </w:p>
    <w:p w14:paraId="3C5972B7" w14:textId="2C38E8E8"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70361">
        <w:rPr>
          <w:rFonts w:ascii="Palatino Linotype" w:hAnsi="Palatino Linotype"/>
          <w:b/>
          <w:i/>
          <w:color w:val="000000" w:themeColor="text1"/>
          <w:sz w:val="22"/>
        </w:rPr>
        <w:t>Instrumentar los procedimientos</w:t>
      </w:r>
      <w:r w:rsidRPr="00070361">
        <w:rPr>
          <w:rFonts w:ascii="Palatino Linotype" w:hAnsi="Palatino Linotype"/>
          <w:i/>
          <w:color w:val="000000" w:themeColor="text1"/>
          <w:sz w:val="22"/>
        </w:rPr>
        <w:t xml:space="preserve">, mecanismos y acciones </w:t>
      </w:r>
      <w:r w:rsidRPr="00070361">
        <w:rPr>
          <w:rFonts w:ascii="Palatino Linotype" w:hAnsi="Palatino Linotype"/>
          <w:b/>
          <w:i/>
          <w:color w:val="000000" w:themeColor="text1"/>
          <w:sz w:val="22"/>
        </w:rPr>
        <w:t>re</w:t>
      </w:r>
      <w:r>
        <w:rPr>
          <w:rFonts w:ascii="Palatino Linotype" w:hAnsi="Palatino Linotype"/>
          <w:b/>
          <w:i/>
          <w:color w:val="000000" w:themeColor="text1"/>
          <w:sz w:val="22"/>
        </w:rPr>
        <w:t>lacionados con el arrendamiento</w:t>
      </w:r>
      <w:r w:rsidRPr="00070361">
        <w:rPr>
          <w:rFonts w:ascii="Palatino Linotype" w:hAnsi="Palatino Linotype"/>
          <w:b/>
          <w:i/>
          <w:color w:val="000000" w:themeColor="text1"/>
          <w:sz w:val="22"/>
        </w:rPr>
        <w:t xml:space="preserve"> de bienes inmuebles</w:t>
      </w:r>
      <w:r w:rsidRPr="00070361">
        <w:rPr>
          <w:rFonts w:ascii="Palatino Linotype" w:hAnsi="Palatino Linotype"/>
          <w:i/>
          <w:color w:val="000000" w:themeColor="text1"/>
          <w:sz w:val="22"/>
        </w:rPr>
        <w:t>.</w:t>
      </w:r>
    </w:p>
    <w:p w14:paraId="55F797A8" w14:textId="275C8032"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2007A31" w14:textId="23EB1B4B"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70361">
        <w:rPr>
          <w:rFonts w:ascii="Palatino Linotype" w:hAnsi="Palatino Linotype"/>
          <w:i/>
          <w:color w:val="000000" w:themeColor="text1"/>
          <w:sz w:val="22"/>
        </w:rPr>
        <w:t>Apoyar en los trámites para el arrendamiento de bienes inmuebles a dependencias, organismos auxiliares y tribunales administrativos del Poder Ejecutivo del Gobierno del Estado, a fin de elaborar los expedientes con la documentación necesaria.</w:t>
      </w:r>
    </w:p>
    <w:p w14:paraId="6F26C9AA" w14:textId="62798CC3"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B10E6F8" w14:textId="5FAF073E" w:rsidR="00070361" w:rsidRDefault="00070361" w:rsidP="002C76A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70361">
        <w:rPr>
          <w:rFonts w:ascii="Palatino Linotype" w:hAnsi="Palatino Linotype"/>
          <w:i/>
          <w:color w:val="000000" w:themeColor="text1"/>
          <w:sz w:val="22"/>
        </w:rPr>
        <w:t>Recopilar e integrar la documentación necesaria relacionada con las opiniones solicitadas por los organismos auxiliares, tribunales administrativos e instituciones públicas, relativas al arrendamiento de bienes inmuebles, gestionando los trámites correspondientes</w:t>
      </w:r>
      <w:r>
        <w:rPr>
          <w:rFonts w:ascii="Palatino Linotype" w:hAnsi="Palatino Linotype"/>
          <w:i/>
          <w:color w:val="000000" w:themeColor="text1"/>
          <w:sz w:val="22"/>
        </w:rPr>
        <w:t>.</w:t>
      </w:r>
    </w:p>
    <w:p w14:paraId="3C1DD632" w14:textId="218A1882" w:rsidR="00070361" w:rsidRDefault="00070361" w:rsidP="002C76A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p>
    <w:p w14:paraId="51C43DDE" w14:textId="6BDB87C9" w:rsidR="00070361" w:rsidRPr="00070361" w:rsidRDefault="00070361" w:rsidP="002C76A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3A597584" w14:textId="77777777" w:rsidR="002C76A0" w:rsidRDefault="002C76A0"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20F2E373" w14:textId="297E5BC8" w:rsidR="003A63D9" w:rsidRDefault="0007036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esta Ponencia Resolutora encuentra conforme a derecho </w:t>
      </w:r>
      <w:r>
        <w:rPr>
          <w:rFonts w:ascii="Palatino Linotype" w:hAnsi="Palatino Linotype"/>
          <w:b/>
          <w:color w:val="000000" w:themeColor="text1"/>
        </w:rPr>
        <w:t>ordenar</w:t>
      </w:r>
      <w:r>
        <w:rPr>
          <w:rFonts w:ascii="Palatino Linotype" w:hAnsi="Palatino Linotype"/>
          <w:color w:val="000000" w:themeColor="text1"/>
        </w:rPr>
        <w:t xml:space="preserve"> al </w:t>
      </w:r>
      <w:r>
        <w:rPr>
          <w:rFonts w:ascii="Palatino Linotype" w:hAnsi="Palatino Linotype"/>
          <w:b/>
          <w:color w:val="000000" w:themeColor="text1"/>
        </w:rPr>
        <w:t>SUJETO OBLIGADO</w:t>
      </w:r>
      <w:r>
        <w:rPr>
          <w:rFonts w:ascii="Palatino Linotype" w:hAnsi="Palatino Linotype"/>
          <w:color w:val="000000" w:themeColor="text1"/>
        </w:rPr>
        <w:t xml:space="preserve"> entregue al particular, previa búsqueda exhaustiva y razonable, los documentos donde consten los antecedentes de uso y destino que el Gobierno del Estado de México ha determinado para los inmuebles </w:t>
      </w:r>
      <w:r>
        <w:rPr>
          <w:rFonts w:ascii="Palatino Linotype" w:hAnsi="Palatino Linotype"/>
          <w:color w:val="000000" w:themeColor="text1"/>
        </w:rPr>
        <w:lastRenderedPageBreak/>
        <w:t xml:space="preserve">identificados con los folios </w:t>
      </w:r>
      <w:r w:rsidRPr="008C33F9">
        <w:rPr>
          <w:rFonts w:ascii="Palatino Linotype" w:hAnsi="Palatino Linotype"/>
          <w:b/>
          <w:color w:val="000000" w:themeColor="text1"/>
        </w:rPr>
        <w:t>047DES003-A</w:t>
      </w:r>
      <w:r w:rsidRPr="008C33F9">
        <w:rPr>
          <w:rFonts w:ascii="Palatino Linotype" w:hAnsi="Palatino Linotype"/>
          <w:color w:val="000000" w:themeColor="text1"/>
        </w:rPr>
        <w:t>,</w:t>
      </w:r>
      <w:r w:rsidRPr="008C33F9">
        <w:rPr>
          <w:rFonts w:ascii="Palatino Linotype" w:hAnsi="Palatino Linotype"/>
          <w:b/>
          <w:color w:val="000000" w:themeColor="text1"/>
        </w:rPr>
        <w:t xml:space="preserve"> 047DJN011-A </w:t>
      </w:r>
      <w:r w:rsidRPr="008C33F9">
        <w:rPr>
          <w:rFonts w:ascii="Palatino Linotype" w:hAnsi="Palatino Linotype"/>
          <w:color w:val="000000" w:themeColor="text1"/>
        </w:rPr>
        <w:t>y</w:t>
      </w:r>
      <w:r w:rsidRPr="008C33F9">
        <w:rPr>
          <w:rFonts w:ascii="Palatino Linotype" w:hAnsi="Palatino Linotype"/>
          <w:b/>
          <w:color w:val="000000" w:themeColor="text1"/>
        </w:rPr>
        <w:t xml:space="preserve"> 047DPR012-A</w:t>
      </w:r>
      <w:r>
        <w:rPr>
          <w:rFonts w:ascii="Palatino Linotype" w:hAnsi="Palatino Linotype"/>
          <w:color w:val="000000" w:themeColor="text1"/>
        </w:rPr>
        <w:t>, de ser procedente en versión pública.</w:t>
      </w:r>
    </w:p>
    <w:p w14:paraId="1601F21D" w14:textId="77777777" w:rsidR="003A63D9" w:rsidRDefault="003A63D9"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00C2502E" w14:textId="0705CB40" w:rsidR="00165DC8" w:rsidRPr="00165DC8" w:rsidRDefault="002578EE" w:rsidP="00165DC8">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2" w:name="_Toc85029727"/>
      <w:r>
        <w:rPr>
          <w:rFonts w:ascii="Palatino Linotype" w:hAnsi="Palatino Linotype"/>
          <w:b/>
          <w:color w:val="000000" w:themeColor="text1"/>
        </w:rPr>
        <w:t>SEXTO</w:t>
      </w:r>
      <w:r w:rsidR="00165DC8">
        <w:rPr>
          <w:rFonts w:ascii="Palatino Linotype" w:hAnsi="Palatino Linotype"/>
          <w:b/>
          <w:color w:val="000000" w:themeColor="text1"/>
        </w:rPr>
        <w:t>. De la versión pública.</w:t>
      </w:r>
      <w:bookmarkEnd w:id="32"/>
    </w:p>
    <w:p w14:paraId="398AB753" w14:textId="77777777" w:rsidR="00165DC8" w:rsidRDefault="00165DC8"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2E229CF0" w14:textId="7C8B8735" w:rsidR="003A63D9" w:rsidRDefault="003B123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destacarse que, debido a la naturaleza de la información solicitada</w:t>
      </w:r>
      <w:r>
        <w:rPr>
          <w:rFonts w:ascii="Palatino Linotype" w:hAnsi="Palatino Linotype"/>
          <w:b/>
          <w:color w:val="000000" w:themeColor="text1"/>
        </w:rPr>
        <w:t xml:space="preserve"> </w:t>
      </w:r>
      <w:r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7FFC1E"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7CCEE311"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62325E">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27E9F1D9"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1EE1CCE5" w14:textId="54EFD03F"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DF7F034"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0F14E67E" w14:textId="06A48BC0" w:rsidR="003B123F" w:rsidRPr="003B123F" w:rsidRDefault="003B123F" w:rsidP="003B123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3" w:name="_Toc85029728"/>
      <w:r>
        <w:rPr>
          <w:rFonts w:ascii="Palatino Linotype" w:hAnsi="Palatino Linotype"/>
          <w:b/>
          <w:color w:val="000000" w:themeColor="text1"/>
        </w:rPr>
        <w:t>I. Requisitos previos.</w:t>
      </w:r>
      <w:bookmarkEnd w:id="33"/>
    </w:p>
    <w:p w14:paraId="2FDB2EF0"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21D2BBFD"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C829647"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28CBF291"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 xml:space="preserve">que establecen los artículos 132 y 106 de la Ley Estatal y General, respectivamente, por el que se realiza dicha clasificación, a saber, cuando se atiende una solicitud de acceso a la información, porque lo </w:t>
      </w:r>
      <w:r w:rsidRPr="0062325E">
        <w:rPr>
          <w:rFonts w:ascii="Palatino Linotype" w:eastAsia="MS Mincho" w:hAnsi="Palatino Linotype" w:cs="Times New Roman"/>
        </w:rPr>
        <w:lastRenderedPageBreak/>
        <w:t>determina una autoridad competente o porque se va a generar una versión pública para cumplir con sus obligaciones.</w:t>
      </w:r>
    </w:p>
    <w:p w14:paraId="3325772C"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577E2DA1" w14:textId="3F59AC4D"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BC6C48B"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6E33CD3A" w14:textId="0A93281F" w:rsidR="003B123F" w:rsidRPr="003B123F" w:rsidRDefault="003B123F" w:rsidP="003B123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4" w:name="_Toc85029729"/>
      <w:r>
        <w:rPr>
          <w:rFonts w:ascii="Palatino Linotype" w:hAnsi="Palatino Linotype"/>
          <w:b/>
          <w:color w:val="000000" w:themeColor="text1"/>
        </w:rPr>
        <w:t>II. Supuestos de clasificación.</w:t>
      </w:r>
      <w:bookmarkEnd w:id="34"/>
    </w:p>
    <w:p w14:paraId="5455204E"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7467CCDF"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4D2B7921"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62250138" w14:textId="17D2B30B"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36EF78B"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52928C49" w14:textId="77777777" w:rsidR="003B123F" w:rsidRPr="00F01443" w:rsidRDefault="003B123F" w:rsidP="003B123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B1CBEEF" w14:textId="77777777" w:rsidR="003B123F" w:rsidRPr="00F01443" w:rsidRDefault="003B123F" w:rsidP="003B123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w:t>
      </w:r>
      <w:r w:rsidRPr="00F01443">
        <w:rPr>
          <w:rFonts w:ascii="Palatino Linotype" w:hAnsi="Palatino Linotype" w:cs="Bookman Old Style"/>
          <w:i/>
          <w:color w:val="000000"/>
          <w:sz w:val="22"/>
          <w:szCs w:val="22"/>
        </w:rPr>
        <w:lastRenderedPageBreak/>
        <w:t xml:space="preserve">obligados cuando no involucren el ejercicio de recursos públicos; y </w:t>
      </w:r>
    </w:p>
    <w:p w14:paraId="78D5BEAC" w14:textId="77777777" w:rsidR="003B123F" w:rsidRPr="00F01443" w:rsidRDefault="003B123F" w:rsidP="003B123F">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C788A18" w14:textId="77777777" w:rsidR="003B123F" w:rsidRDefault="003B123F" w:rsidP="003B123F">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La información confidencial no estará sujeta a temporalidad alguna y sólo podrán tener acceso a ella los titulares de la misma, sus representantes y los servidores públicos facultados para ello.</w:t>
      </w:r>
    </w:p>
    <w:p w14:paraId="092B6E7D" w14:textId="47569D19" w:rsidR="003B123F" w:rsidRDefault="003B123F" w:rsidP="003B123F">
      <w:pPr>
        <w:widowControl w:val="0"/>
        <w:tabs>
          <w:tab w:val="left" w:pos="8222"/>
        </w:tabs>
        <w:autoSpaceDE w:val="0"/>
        <w:autoSpaceDN w:val="0"/>
        <w:adjustRightInd w:val="0"/>
        <w:spacing w:line="276" w:lineRule="auto"/>
        <w:ind w:left="567" w:right="567"/>
        <w:jc w:val="both"/>
        <w:rPr>
          <w:rFonts w:ascii="Palatino Linotype" w:hAnsi="Palatino Linotype"/>
          <w:color w:val="000000" w:themeColor="text1"/>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23A5B71"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0B451AC4"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5208593"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7BB15754"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D702654"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3B035224" w14:textId="327B4540"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1B4A50"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0E247AD8"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889588F"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817203F"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6A3CD080"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A17A082"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3775652E"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2DB77A44"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72DA5366"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CBE61F2"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6EC05E59"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64F06993"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60F264F"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E3D92D8"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B3742E8" w14:textId="77777777" w:rsidR="003B123F" w:rsidRPr="00F01443" w:rsidRDefault="003B123F"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20EA155" w14:textId="3B61BA3B" w:rsidR="003B123F" w:rsidRDefault="00C24B25" w:rsidP="003B123F">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Pr>
          <w:rFonts w:ascii="Palatino Linotype" w:hAnsi="Palatino Linotype" w:cs="Arial"/>
          <w:b/>
          <w:i/>
          <w:noProof/>
          <w:sz w:val="22"/>
          <w:szCs w:val="22"/>
          <w:lang w:eastAsia="es-MX"/>
        </w:rPr>
        <mc:AlternateContent>
          <mc:Choice Requires="wps">
            <w:drawing>
              <wp:anchor distT="0" distB="0" distL="114300" distR="114300" simplePos="0" relativeHeight="251661312" behindDoc="0" locked="0" layoutInCell="1" allowOverlap="1" wp14:anchorId="2F3243E0" wp14:editId="588CF2E6">
                <wp:simplePos x="0" y="0"/>
                <wp:positionH relativeFrom="margin">
                  <wp:align>right</wp:align>
                </wp:positionH>
                <wp:positionV relativeFrom="paragraph">
                  <wp:posOffset>512607</wp:posOffset>
                </wp:positionV>
                <wp:extent cx="5486400" cy="2211528"/>
                <wp:effectExtent l="38100" t="38100" r="76200" b="93980"/>
                <wp:wrapNone/>
                <wp:docPr id="7" name="Conector recto 7"/>
                <wp:cNvGraphicFramePr/>
                <a:graphic xmlns:a="http://schemas.openxmlformats.org/drawingml/2006/main">
                  <a:graphicData uri="http://schemas.microsoft.com/office/word/2010/wordprocessingShape">
                    <wps:wsp>
                      <wps:cNvCnPr/>
                      <wps:spPr>
                        <a:xfrm flipV="1">
                          <a:off x="0" y="0"/>
                          <a:ext cx="5486400" cy="22115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4498C" id="Conector recto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40.35pt" to="812.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" strokecolor="black [3200]" strokeweight="2pt">
                <v:shadow on="t" color="black" opacity="24903f" origin=",.5" offset="0,.55556mm"/>
                <w10:wrap anchorx="margin"/>
              </v:line>
            </w:pict>
          </mc:Fallback>
        </mc:AlternateContent>
      </w:r>
      <w:r w:rsidR="003B123F" w:rsidRPr="00F01443">
        <w:rPr>
          <w:rFonts w:ascii="Palatino Linotype" w:hAnsi="Palatino Linotype" w:cs="Arial"/>
          <w:b/>
          <w:i/>
          <w:sz w:val="22"/>
          <w:szCs w:val="22"/>
        </w:rPr>
        <w:t>Quincuagésimo tercero.</w:t>
      </w:r>
      <w:r w:rsidR="003B123F" w:rsidRPr="00F01443">
        <w:rPr>
          <w:rFonts w:ascii="Palatino Linotype" w:hAnsi="Palatino Linotype" w:cs="Arial"/>
          <w:i/>
          <w:sz w:val="22"/>
          <w:szCs w:val="22"/>
        </w:rPr>
        <w:t xml:space="preserve"> El formato para señalar la clasificación parcial de un documento, es el siguiente:</w:t>
      </w:r>
    </w:p>
    <w:p w14:paraId="36503F07" w14:textId="16D0EF37" w:rsidR="003B123F" w:rsidRDefault="003B123F" w:rsidP="003B123F">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eastAsia="es-MX"/>
        </w:rPr>
        <w:lastRenderedPageBreak/>
        <w:drawing>
          <wp:inline distT="0" distB="0" distL="0" distR="0" wp14:anchorId="6875C61A" wp14:editId="093DCB56">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D4BF43"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1B8C03AB" w14:textId="6F83CB11" w:rsidR="003B123F" w:rsidRDefault="003B123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8FECF74"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2E124250" w14:textId="32CAB4A6" w:rsidR="003B123F" w:rsidRPr="003B123F" w:rsidRDefault="003B123F" w:rsidP="003B123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5" w:name="_Toc85029730"/>
      <w:r>
        <w:rPr>
          <w:rFonts w:ascii="Palatino Linotype" w:hAnsi="Palatino Linotype"/>
          <w:b/>
          <w:color w:val="000000" w:themeColor="text1"/>
        </w:rPr>
        <w:t>III. La intervención del Comité de Transparencia.</w:t>
      </w:r>
      <w:bookmarkEnd w:id="35"/>
    </w:p>
    <w:p w14:paraId="0D86C9B6" w14:textId="750947FD" w:rsidR="003B123F" w:rsidRPr="003B123F" w:rsidRDefault="003B123F" w:rsidP="003B123F">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001BB9E9"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24602DA9"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62325E">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8C48423"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460E0117"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4CA90C"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6727E2FD" w14:textId="71FDF518"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2325E">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626980A9"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36B07B5A" w14:textId="7205C94A" w:rsidR="003B123F" w:rsidRPr="003B123F" w:rsidRDefault="003B123F" w:rsidP="003B123F">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2B78F93F"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21058415"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A8DFD6"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489FF626"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B2EEBD"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5A7DA7D1"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219BF0FE"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189C280A" w14:textId="7679019C"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0"/>
      </w:r>
      <w:r w:rsidRPr="0062325E">
        <w:rPr>
          <w:rFonts w:ascii="Palatino Linotype" w:eastAsia="MS Mincho" w:hAnsi="Palatino Linotype" w:cs="Times New Roman"/>
        </w:rPr>
        <w:t xml:space="preserve"> respecto a qué debe entenderse por fundamentación y motivación, en los siguientes términos:</w:t>
      </w:r>
    </w:p>
    <w:p w14:paraId="0479C66A"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7B9E3D96" w14:textId="77777777" w:rsidR="003B123F" w:rsidRPr="003E6079" w:rsidRDefault="003B123F" w:rsidP="003B123F">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60D3BB"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12C7F696"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0D2150">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1C4B8FA4"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19D2546E"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FDCF3C"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08041162" w14:textId="77777777"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F1B9540" w14:textId="77777777" w:rsidR="003B123F" w:rsidRDefault="003B123F" w:rsidP="003B123F">
      <w:pPr>
        <w:pStyle w:val="Prrafodelista"/>
        <w:tabs>
          <w:tab w:val="left" w:pos="426"/>
        </w:tabs>
        <w:spacing w:before="240" w:after="240" w:line="360" w:lineRule="auto"/>
        <w:ind w:left="0" w:right="51"/>
        <w:jc w:val="both"/>
        <w:rPr>
          <w:rFonts w:ascii="Palatino Linotype" w:hAnsi="Palatino Linotype"/>
          <w:color w:val="000000" w:themeColor="text1"/>
        </w:rPr>
      </w:pPr>
    </w:p>
    <w:p w14:paraId="7FCF371F" w14:textId="00397805" w:rsidR="003B123F" w:rsidRDefault="003B123F" w:rsidP="003B12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E914C6"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5E5201D" w:rsidR="00953B03" w:rsidRPr="00953B03" w:rsidRDefault="002578EE"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6" w:name="_Toc85029731"/>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6"/>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D69C67D" w:rsidR="00953B03" w:rsidRPr="00EF75DE" w:rsidRDefault="003B123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 el contrato de donación y cesión de derechos posesorios</w:t>
      </w:r>
      <w:r w:rsidR="00DD54CB">
        <w:rPr>
          <w:rFonts w:ascii="Palatino Linotype" w:hAnsi="Palatino Linotype"/>
          <w:color w:val="000000" w:themeColor="text1"/>
        </w:rPr>
        <w:t>,</w:t>
      </w:r>
      <w:r>
        <w:rPr>
          <w:rFonts w:ascii="Palatino Linotype" w:hAnsi="Palatino Linotype"/>
          <w:color w:val="000000" w:themeColor="text1"/>
        </w:rPr>
        <w:t xml:space="preserve"> entregado por el </w:t>
      </w:r>
      <w:r>
        <w:rPr>
          <w:rFonts w:ascii="Palatino Linotype" w:hAnsi="Palatino Linotype"/>
          <w:b/>
          <w:color w:val="000000" w:themeColor="text1"/>
        </w:rPr>
        <w:t>SUJETO OBLIGADO</w:t>
      </w:r>
      <w:r>
        <w:rPr>
          <w:rFonts w:ascii="Palatino Linotype" w:hAnsi="Palatino Linotype"/>
          <w:color w:val="000000" w:themeColor="text1"/>
        </w:rPr>
        <w:t xml:space="preserve"> en su respuesta, se estableció que éste había sido entregado incompleto en su contenido; por ello, se determinó entregar de </w:t>
      </w:r>
      <w:r>
        <w:rPr>
          <w:rFonts w:ascii="Palatino Linotype" w:hAnsi="Palatino Linotype"/>
          <w:color w:val="000000" w:themeColor="text1"/>
        </w:rPr>
        <w:lastRenderedPageBreak/>
        <w:t xml:space="preserve">nueva cuenta el documento, así como su anexo, procurando un mayor cuidado durante el procedimiento de digitalización. Asimismo, se demostró que el </w:t>
      </w:r>
      <w:r>
        <w:rPr>
          <w:rFonts w:ascii="Palatino Linotype" w:hAnsi="Palatino Linotype"/>
          <w:b/>
          <w:color w:val="000000" w:themeColor="text1"/>
        </w:rPr>
        <w:t>SUJETO OBLIGADO</w:t>
      </w:r>
      <w:r>
        <w:rPr>
          <w:rFonts w:ascii="Palatino Linotype" w:hAnsi="Palatino Linotype"/>
          <w:color w:val="000000" w:themeColor="text1"/>
        </w:rPr>
        <w:t xml:space="preserve"> tenía competencia para poseer, generar y administrar la información relativa a los antecedentes de los inmuebles referidos por el </w:t>
      </w:r>
      <w:r>
        <w:rPr>
          <w:rFonts w:ascii="Palatino Linotype" w:hAnsi="Palatino Linotype"/>
          <w:b/>
          <w:color w:val="000000" w:themeColor="text1"/>
        </w:rPr>
        <w:t>RECURRENTE</w:t>
      </w:r>
      <w:r>
        <w:rPr>
          <w:rFonts w:ascii="Palatino Linotype" w:hAnsi="Palatino Linotype"/>
          <w:color w:val="000000" w:themeColor="text1"/>
        </w:rPr>
        <w:t xml:space="preserve"> en su solicitud de información, por lo que se ordenó su búsqueda y entrega.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7392DA9"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9B0E35">
        <w:rPr>
          <w:rFonts w:ascii="Palatino Linotype" w:eastAsia="MS Mincho" w:hAnsi="Palatino Linotype" w:cstheme="majorBidi"/>
          <w:b/>
          <w:bCs/>
          <w:lang w:val="es-ES"/>
        </w:rPr>
        <w:t>04058/INFOEM/IP/RR/2021</w:t>
      </w:r>
      <w:r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2578EE">
        <w:rPr>
          <w:rFonts w:ascii="Palatino Linotype" w:eastAsia="MS Mincho" w:hAnsi="Palatino Linotype" w:cstheme="majorBidi"/>
          <w:b/>
          <w:lang w:val="es-ES"/>
        </w:rPr>
        <w:t>MODIFICA</w:t>
      </w:r>
      <w:r w:rsidRPr="0028241C">
        <w:rPr>
          <w:rFonts w:ascii="Palatino Linotype" w:eastAsia="MS Mincho" w:hAnsi="Palatino Linotype" w:cstheme="majorBidi"/>
          <w:lang w:val="es-ES"/>
        </w:rPr>
        <w:t xml:space="preserve"> la respuesta a la solicitud de información número </w:t>
      </w:r>
      <w:r w:rsidR="009B0E35">
        <w:rPr>
          <w:rFonts w:ascii="Palatino Linotype" w:eastAsia="MS Mincho" w:hAnsi="Palatino Linotype" w:cstheme="majorBidi"/>
          <w:b/>
          <w:lang w:val="es-ES"/>
        </w:rPr>
        <w:t>00300/SF/IP/2021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5029732"/>
      <w:r w:rsidRPr="008C6062">
        <w:rPr>
          <w:b/>
          <w:color w:val="000000" w:themeColor="text1"/>
          <w:szCs w:val="24"/>
        </w:rPr>
        <w:lastRenderedPageBreak/>
        <w:t>R E S O L U T I V O S</w:t>
      </w:r>
      <w:bookmarkEnd w:id="26"/>
      <w:bookmarkEnd w:id="27"/>
      <w:bookmarkEnd w:id="37"/>
      <w:bookmarkEnd w:id="38"/>
      <w:bookmarkEnd w:id="39"/>
    </w:p>
    <w:p w14:paraId="6741E110" w14:textId="42B0D21B" w:rsidR="002578EE" w:rsidRPr="00D020D3" w:rsidRDefault="002578EE" w:rsidP="002578EE">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Pr>
          <w:rFonts w:ascii="Palatino Linotype" w:eastAsia="Times New Roman" w:hAnsi="Palatino Linotype" w:cs="Times New Roman"/>
          <w:b/>
        </w:rPr>
        <w:t xml:space="preserve">04058/INFOEM/IP/RR/2021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QUINTO </w:t>
      </w:r>
      <w:r>
        <w:rPr>
          <w:rFonts w:ascii="Palatino Linotype" w:eastAsia="Times New Roman" w:hAnsi="Palatino Linotype" w:cs="Times New Roman"/>
          <w:bCs/>
        </w:rPr>
        <w:t xml:space="preserve">y </w:t>
      </w:r>
      <w:r>
        <w:rPr>
          <w:rFonts w:ascii="Palatino Linotype" w:eastAsia="Times New Roman" w:hAnsi="Palatino Linotype" w:cs="Times New Roman"/>
          <w:b/>
        </w:rPr>
        <w:t>SEXTO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6564027E" w14:textId="77777777" w:rsidR="002578EE" w:rsidRDefault="002578EE" w:rsidP="002578EE">
      <w:pPr>
        <w:spacing w:line="360" w:lineRule="auto"/>
        <w:contextualSpacing/>
        <w:jc w:val="both"/>
        <w:rPr>
          <w:rFonts w:ascii="Palatino Linotype" w:eastAsia="Calibri" w:hAnsi="Palatino Linotype" w:cs="Arial"/>
          <w:b/>
          <w:bCs/>
          <w:lang w:val="es-ES"/>
        </w:rPr>
      </w:pPr>
    </w:p>
    <w:p w14:paraId="48C09A41" w14:textId="6EF95366" w:rsidR="002578EE" w:rsidRDefault="002578EE" w:rsidP="002578EE">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la</w:t>
      </w:r>
      <w:r w:rsidRPr="00D92794">
        <w:rPr>
          <w:rFonts w:ascii="Palatino Linotype" w:eastAsia="Calibri" w:hAnsi="Palatino Linotype" w:cs="Arial"/>
          <w:lang w:val="es-ES"/>
        </w:rPr>
        <w:t xml:space="preserve"> </w:t>
      </w:r>
      <w:r>
        <w:rPr>
          <w:rFonts w:ascii="Palatino Linotype" w:eastAsia="Calibri" w:hAnsi="Palatino Linotype" w:cs="Arial"/>
          <w:b/>
        </w:rPr>
        <w:t>Secretaría de Finanzas</w:t>
      </w:r>
      <w:r>
        <w:rPr>
          <w:rFonts w:ascii="Palatino Linotype" w:eastAsia="Calibri" w:hAnsi="Palatino Linotype" w:cs="Arial"/>
          <w:bCs/>
        </w:rPr>
        <w:t xml:space="preserve"> a la solicitud </w:t>
      </w:r>
      <w:r>
        <w:rPr>
          <w:rFonts w:ascii="Palatino Linotype" w:eastAsia="Calibri" w:hAnsi="Palatino Linotype" w:cs="Arial"/>
          <w:b/>
        </w:rPr>
        <w:t xml:space="preserve">00300/SF/IP/2021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0" w:name="_Toc460947013"/>
      <w:r>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de ser procedente en versión pública, la siguiente información: </w:t>
      </w:r>
    </w:p>
    <w:p w14:paraId="1FEA7A78" w14:textId="77777777" w:rsidR="002578EE" w:rsidRPr="00226963" w:rsidRDefault="002578EE" w:rsidP="002578EE">
      <w:pPr>
        <w:spacing w:line="360" w:lineRule="auto"/>
        <w:ind w:right="616"/>
        <w:jc w:val="both"/>
        <w:rPr>
          <w:rFonts w:ascii="Palatino Linotype" w:hAnsi="Palatino Linotype"/>
          <w:b/>
          <w:bCs/>
        </w:rPr>
      </w:pPr>
      <w:bookmarkStart w:id="41" w:name="_Hlk22229143"/>
    </w:p>
    <w:bookmarkEnd w:id="41"/>
    <w:p w14:paraId="15221B41" w14:textId="3FF6E05A" w:rsidR="002578EE" w:rsidRDefault="002578EE" w:rsidP="002578EE">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Contrato de donación y cesión de derechos posesorios, suscrito el veinticinco (25) de febrero de mil novecientos noventa y siete, por el Gobierno Federal y el Gobierno del Estado de México, junto con su anexo respectivo; y</w:t>
      </w:r>
    </w:p>
    <w:p w14:paraId="7919EC51" w14:textId="1220F34A" w:rsidR="002578EE" w:rsidRPr="002578EE" w:rsidRDefault="002578EE" w:rsidP="002578EE">
      <w:pPr>
        <w:pStyle w:val="Prrafodelista"/>
        <w:numPr>
          <w:ilvl w:val="0"/>
          <w:numId w:val="14"/>
        </w:numPr>
        <w:spacing w:after="240" w:line="360" w:lineRule="auto"/>
        <w:ind w:left="1134" w:right="567" w:hanging="284"/>
        <w:jc w:val="both"/>
        <w:rPr>
          <w:rFonts w:ascii="Palatino Linotype" w:hAnsi="Palatino Linotype"/>
          <w:b/>
          <w:bCs/>
          <w:color w:val="000000"/>
        </w:rPr>
      </w:pPr>
      <w:r>
        <w:rPr>
          <w:rFonts w:ascii="Palatino Linotype" w:hAnsi="Palatino Linotype"/>
          <w:b/>
          <w:bCs/>
          <w:color w:val="000000"/>
        </w:rPr>
        <w:t>Antecedentes de uso, destino, asignación o arrendamiento de los bienes inmuebles propiedad del Poder Ejecutivo del Estado de México señalados en la solicitud de información.</w:t>
      </w:r>
    </w:p>
    <w:p w14:paraId="728BDEF3" w14:textId="77777777" w:rsidR="002578EE" w:rsidRDefault="002578EE" w:rsidP="002578E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74BE47E0" w14:textId="77777777" w:rsidR="002578EE" w:rsidRDefault="002578EE" w:rsidP="002578EE">
      <w:pPr>
        <w:tabs>
          <w:tab w:val="left" w:pos="993"/>
        </w:tabs>
        <w:spacing w:line="360" w:lineRule="auto"/>
        <w:ind w:right="567"/>
        <w:jc w:val="both"/>
        <w:rPr>
          <w:rFonts w:ascii="Palatino Linotype" w:eastAsia="Calibri" w:hAnsi="Palatino Linotype" w:cs="Arial"/>
        </w:rPr>
      </w:pPr>
    </w:p>
    <w:p w14:paraId="42D85AB5" w14:textId="313B1C17" w:rsidR="002578EE" w:rsidRDefault="002578EE" w:rsidP="002578EE">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EF4DE0">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quince</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011C9A37" w14:textId="77777777" w:rsidR="002578EE" w:rsidRDefault="002578EE" w:rsidP="002578EE">
      <w:pPr>
        <w:spacing w:line="360" w:lineRule="auto"/>
        <w:jc w:val="both"/>
        <w:rPr>
          <w:rFonts w:ascii="Palatino Linotype" w:eastAsia="MS Mincho" w:hAnsi="Palatino Linotype" w:cs="Times New Roman"/>
          <w:color w:val="000000"/>
        </w:rPr>
      </w:pPr>
    </w:p>
    <w:p w14:paraId="4154D5E5" w14:textId="77777777" w:rsidR="002578EE" w:rsidRDefault="002578EE" w:rsidP="002578EE">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6E9E8895" w14:textId="77777777" w:rsidR="002578EE" w:rsidRPr="007B222D" w:rsidRDefault="002578EE" w:rsidP="002578EE">
      <w:pPr>
        <w:spacing w:line="360" w:lineRule="auto"/>
        <w:jc w:val="both"/>
        <w:rPr>
          <w:rFonts w:ascii="Palatino Linotype" w:eastAsia="MS Mincho" w:hAnsi="Palatino Linotype" w:cs="Times New Roman"/>
          <w:color w:val="000000"/>
        </w:rPr>
      </w:pPr>
    </w:p>
    <w:p w14:paraId="52EAB1FE" w14:textId="77777777" w:rsidR="002578EE" w:rsidRDefault="002578EE" w:rsidP="002578EE">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10BB2C7A" w14:textId="77777777" w:rsidR="002578EE" w:rsidRPr="00970362" w:rsidRDefault="002578EE" w:rsidP="002578EE">
      <w:pPr>
        <w:spacing w:line="360" w:lineRule="auto"/>
        <w:jc w:val="both"/>
        <w:rPr>
          <w:rFonts w:ascii="Palatino Linotype" w:hAnsi="Palatino Linotype"/>
          <w:b/>
        </w:rPr>
      </w:pPr>
    </w:p>
    <w:p w14:paraId="77A5F791" w14:textId="77777777" w:rsidR="002578EE" w:rsidRDefault="002578EE" w:rsidP="002578EE">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40"/>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26A712A" w14:textId="662F1D5F"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597362">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w:t>
      </w:r>
      <w:r w:rsidR="00A24131">
        <w:rPr>
          <w:rFonts w:ascii="Palatino Linotype" w:hAnsi="Palatino Linotype"/>
          <w:color w:val="000000" w:themeColor="text1"/>
        </w:rPr>
        <w:lastRenderedPageBreak/>
        <w:t xml:space="preserve">VILCHIS, MARÍA DEL ROSARIO MEJÍA AYALA, SHARON </w:t>
      </w:r>
      <w:r w:rsidR="003B3E00">
        <w:rPr>
          <w:rFonts w:ascii="Palatino Linotype" w:hAnsi="Palatino Linotype"/>
          <w:color w:val="000000" w:themeColor="text1"/>
        </w:rPr>
        <w:t xml:space="preserve">CRISTINA </w:t>
      </w:r>
      <w:r w:rsidR="00A24131">
        <w:rPr>
          <w:rFonts w:ascii="Palatino Linotype" w:hAnsi="Palatino Linotype"/>
          <w:color w:val="000000" w:themeColor="text1"/>
        </w:rPr>
        <w:t>MORALES MARTÍNEZ, LUIS GUSTAVO PARRA NORIEGA Y GUADALUPE RAMÍREZ PEÑA</w:t>
      </w:r>
      <w:r w:rsidRPr="002D6F4B">
        <w:rPr>
          <w:rFonts w:ascii="Palatino Linotype" w:hAnsi="Palatino Linotype"/>
          <w:color w:val="000000" w:themeColor="text1"/>
        </w:rPr>
        <w:t xml:space="preserve">; </w:t>
      </w:r>
      <w:r w:rsidRPr="00597362">
        <w:rPr>
          <w:rFonts w:ascii="Palatino Linotype" w:hAnsi="Palatino Linotype"/>
          <w:color w:val="000000" w:themeColor="text1"/>
        </w:rPr>
        <w:t xml:space="preserve">EN LA </w:t>
      </w:r>
      <w:r w:rsidR="00F56E0D" w:rsidRPr="00597362">
        <w:rPr>
          <w:rFonts w:ascii="Palatino Linotype" w:hAnsi="Palatino Linotype"/>
          <w:color w:val="000000" w:themeColor="text1"/>
        </w:rPr>
        <w:t xml:space="preserve">TRIGÉSIMO </w:t>
      </w:r>
      <w:r w:rsidR="002578EE" w:rsidRPr="00597362">
        <w:rPr>
          <w:rFonts w:ascii="Palatino Linotype" w:hAnsi="Palatino Linotype"/>
          <w:color w:val="000000" w:themeColor="text1"/>
        </w:rPr>
        <w:t>SÉPTIMA</w:t>
      </w:r>
      <w:r w:rsidRPr="00597362">
        <w:rPr>
          <w:rFonts w:ascii="Palatino Linotype" w:hAnsi="Palatino Linotype"/>
          <w:color w:val="000000" w:themeColor="text1"/>
        </w:rPr>
        <w:t xml:space="preserve"> SESIÓN ORDINARIA CELEBRADA EL </w:t>
      </w:r>
      <w:r w:rsidR="002578EE" w:rsidRPr="00597362">
        <w:rPr>
          <w:rFonts w:ascii="Palatino Linotype" w:hAnsi="Palatino Linotype"/>
          <w:color w:val="000000" w:themeColor="text1"/>
        </w:rPr>
        <w:t>VEINTE (20</w:t>
      </w:r>
      <w:r w:rsidR="0074573F" w:rsidRPr="00597362">
        <w:rPr>
          <w:rFonts w:ascii="Palatino Linotype" w:hAnsi="Palatino Linotype"/>
          <w:color w:val="000000" w:themeColor="text1"/>
        </w:rPr>
        <w:t>) DE OCTUBRE</w:t>
      </w:r>
      <w:r w:rsidR="00A24131" w:rsidRPr="00597362">
        <w:rPr>
          <w:rFonts w:ascii="Palatino Linotype" w:hAnsi="Palatino Linotype"/>
          <w:color w:val="000000" w:themeColor="text1"/>
        </w:rPr>
        <w:t xml:space="preserve"> </w:t>
      </w:r>
      <w:r w:rsidR="0072445A" w:rsidRPr="00597362">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2BF4" w14:textId="77777777" w:rsidR="00FB1156" w:rsidRDefault="00FB1156" w:rsidP="00587366">
      <w:r>
        <w:separator/>
      </w:r>
    </w:p>
  </w:endnote>
  <w:endnote w:type="continuationSeparator" w:id="0">
    <w:p w14:paraId="5A91C4A2" w14:textId="77777777" w:rsidR="00FB1156" w:rsidRDefault="00FB115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578EE" w:rsidRPr="00883450" w:rsidRDefault="002578E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B3E00">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B3E00">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47B193F0" w:rsidR="002578EE" w:rsidRDefault="002578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2578EE" w:rsidRPr="00883450" w:rsidRDefault="002578E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B3E00" w:rsidRPr="003B3E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B3E00" w:rsidRPr="003B3E00">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0A9A2B26" w:rsidR="002578EE" w:rsidRPr="00883450" w:rsidRDefault="002578E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1719" w14:textId="77777777" w:rsidR="00FB1156" w:rsidRDefault="00FB1156" w:rsidP="00587366">
      <w:r>
        <w:separator/>
      </w:r>
    </w:p>
  </w:footnote>
  <w:footnote w:type="continuationSeparator" w:id="0">
    <w:p w14:paraId="569C61A8" w14:textId="77777777" w:rsidR="00FB1156" w:rsidRDefault="00FB1156" w:rsidP="00587366">
      <w:r>
        <w:continuationSeparator/>
      </w:r>
    </w:p>
  </w:footnote>
  <w:footnote w:id="1">
    <w:p w14:paraId="78C8D0A6" w14:textId="77777777" w:rsidR="00CA62D4" w:rsidRDefault="00CA62D4" w:rsidP="00CA62D4">
      <w:pPr>
        <w:pStyle w:val="Textonotapie"/>
      </w:pPr>
      <w:r>
        <w:rPr>
          <w:rStyle w:val="Refdenotaalpie"/>
        </w:rPr>
        <w:footnoteRef/>
      </w:r>
      <w:r>
        <w:t xml:space="preserve"> Artículo 195, Ley de Transparencia y Acceso a la Información Pública del Estado de México y Municipios.</w:t>
      </w:r>
    </w:p>
  </w:footnote>
  <w:footnote w:id="2">
    <w:p w14:paraId="1FEEC66D" w14:textId="622523FA" w:rsidR="002617DC" w:rsidRDefault="002617DC">
      <w:pPr>
        <w:pStyle w:val="Textonotapie"/>
      </w:pPr>
      <w:r>
        <w:rPr>
          <w:rStyle w:val="Refdenotaalpie"/>
        </w:rPr>
        <w:footnoteRef/>
      </w:r>
      <w:r>
        <w:t xml:space="preserve"> Artículo 58, Código de Procedimientos Administrativos del Estado de México y Municipios.</w:t>
      </w:r>
    </w:p>
  </w:footnote>
  <w:footnote w:id="3">
    <w:p w14:paraId="23EAD290" w14:textId="5DE4B628" w:rsidR="002617DC" w:rsidRDefault="002617DC">
      <w:pPr>
        <w:pStyle w:val="Textonotapie"/>
      </w:pPr>
      <w:r>
        <w:rPr>
          <w:rStyle w:val="Refdenotaalpie"/>
        </w:rPr>
        <w:footnoteRef/>
      </w:r>
      <w:r>
        <w:t xml:space="preserve"> Artículo 88, Código de Procedimientos Administrativos del Estado de México.</w:t>
      </w:r>
    </w:p>
  </w:footnote>
  <w:footnote w:id="4">
    <w:p w14:paraId="5F9A7DA0" w14:textId="47F3A635" w:rsidR="002617DC" w:rsidRDefault="002617DC">
      <w:pPr>
        <w:pStyle w:val="Textonotapie"/>
      </w:pPr>
      <w:r>
        <w:rPr>
          <w:rStyle w:val="Refdenotaalpie"/>
        </w:rPr>
        <w:footnoteRef/>
      </w:r>
      <w:r>
        <w:t xml:space="preserve"> Artículo 91, Ídem.</w:t>
      </w:r>
    </w:p>
  </w:footnote>
  <w:footnote w:id="5">
    <w:p w14:paraId="1E749264" w14:textId="7797CB28" w:rsidR="002617DC" w:rsidRDefault="002617DC">
      <w:pPr>
        <w:pStyle w:val="Textonotapie"/>
      </w:pPr>
      <w:r>
        <w:rPr>
          <w:rStyle w:val="Refdenotaalpie"/>
        </w:rPr>
        <w:footnoteRef/>
      </w:r>
      <w:r>
        <w:t xml:space="preserve"> Artículo 92, Ídem.</w:t>
      </w:r>
    </w:p>
  </w:footnote>
  <w:footnote w:id="6">
    <w:p w14:paraId="257ADC76" w14:textId="77777777" w:rsidR="004B4713" w:rsidRDefault="004B4713" w:rsidP="004B4713">
      <w:pPr>
        <w:pStyle w:val="Textonotapie"/>
      </w:pPr>
      <w:r>
        <w:rPr>
          <w:rStyle w:val="Refdenotaalpie"/>
        </w:rPr>
        <w:footnoteRef/>
      </w:r>
      <w:r>
        <w:t xml:space="preserve"> Artículo 93, Código de Procedimientos Administrativos del Estado de México.</w:t>
      </w:r>
    </w:p>
  </w:footnote>
  <w:footnote w:id="7">
    <w:p w14:paraId="75687108" w14:textId="77777777" w:rsidR="004B4713" w:rsidRDefault="004B4713" w:rsidP="004B4713">
      <w:pPr>
        <w:pStyle w:val="Textonotapie"/>
      </w:pPr>
      <w:r>
        <w:rPr>
          <w:rStyle w:val="Refdenotaalpie"/>
        </w:rPr>
        <w:footnoteRef/>
      </w:r>
      <w:r>
        <w:t xml:space="preserve"> Artículo 104, Ídem.</w:t>
      </w:r>
    </w:p>
  </w:footnote>
  <w:footnote w:id="8">
    <w:p w14:paraId="7CFF1D76" w14:textId="77777777" w:rsidR="002578EE" w:rsidRPr="009C43C2" w:rsidRDefault="002578E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9">
    <w:p w14:paraId="621A220A" w14:textId="77777777" w:rsidR="002578EE" w:rsidRPr="009C43C2" w:rsidRDefault="002578E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10">
    <w:p w14:paraId="1F98C24F" w14:textId="77777777" w:rsidR="002578EE" w:rsidRPr="009C43C2" w:rsidRDefault="002578E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11">
    <w:p w14:paraId="42632106" w14:textId="77777777" w:rsidR="002578EE" w:rsidRDefault="002578E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12">
    <w:p w14:paraId="26BF8BEF" w14:textId="77777777" w:rsidR="002578EE" w:rsidRDefault="002578EE" w:rsidP="008C33F9">
      <w:pPr>
        <w:pStyle w:val="Textonotapie"/>
      </w:pPr>
      <w:r>
        <w:rPr>
          <w:rStyle w:val="Refdenotaalpie"/>
        </w:rPr>
        <w:footnoteRef/>
      </w:r>
      <w:r>
        <w:t xml:space="preserve"> Artículo 3, fracción XI, Ley de Transparencia y Acceso a la Información Pública del Estado de México y Municipios.</w:t>
      </w:r>
    </w:p>
  </w:footnote>
  <w:footnote w:id="13">
    <w:p w14:paraId="1D6807DF" w14:textId="77777777" w:rsidR="002578EE" w:rsidRDefault="002578EE" w:rsidP="008C33F9">
      <w:pPr>
        <w:pStyle w:val="Textonotapie"/>
      </w:pPr>
      <w:r>
        <w:rPr>
          <w:rStyle w:val="Refdenotaalpie"/>
        </w:rPr>
        <w:footnoteRef/>
      </w:r>
      <w:r>
        <w:t xml:space="preserve"> Artículo 11, Ley de Transparencia y Acceso a la Información Pública del Estado de México y Municipios.</w:t>
      </w:r>
    </w:p>
  </w:footnote>
  <w:footnote w:id="14">
    <w:p w14:paraId="3B02CAC2" w14:textId="77777777" w:rsidR="002578EE" w:rsidRDefault="002578EE" w:rsidP="008C33F9">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 xml:space="preserve">Ley de Transparencia y Acceso a la Información Pública del Estado de México y Municipios. </w:t>
      </w:r>
    </w:p>
    <w:p w14:paraId="752938A9" w14:textId="77777777" w:rsidR="002578EE" w:rsidRPr="008E29C5" w:rsidRDefault="002578EE" w:rsidP="008C33F9">
      <w:pPr>
        <w:pStyle w:val="Textonotapie"/>
        <w:rPr>
          <w:rFonts w:ascii="Palatino Linotype" w:hAnsi="Palatino Linotype"/>
          <w:sz w:val="18"/>
        </w:rPr>
      </w:pPr>
      <w:r>
        <w:rPr>
          <w:rFonts w:ascii="Palatino Linotype" w:hAnsi="Palatino Linotype"/>
          <w:sz w:val="18"/>
        </w:rPr>
        <w:t>“Artículo 9.(…)</w:t>
      </w:r>
    </w:p>
    <w:p w14:paraId="496F9079" w14:textId="77777777" w:rsidR="002578EE" w:rsidRPr="008E29C5" w:rsidRDefault="002578EE" w:rsidP="008C33F9">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58064D25" w14:textId="77777777" w:rsidR="002578EE" w:rsidRDefault="002578EE" w:rsidP="008C33F9">
      <w:pPr>
        <w:pStyle w:val="Textonotapie"/>
      </w:pPr>
      <w:r>
        <w:t>(…)”</w:t>
      </w:r>
    </w:p>
  </w:footnote>
  <w:footnote w:id="15">
    <w:p w14:paraId="3E3B20BA" w14:textId="0004D24C" w:rsidR="002578EE" w:rsidRDefault="002578EE">
      <w:pPr>
        <w:pStyle w:val="Textonotapie"/>
      </w:pPr>
      <w:r>
        <w:rPr>
          <w:rStyle w:val="Refdenotaalpie"/>
        </w:rPr>
        <w:footnoteRef/>
      </w:r>
      <w:r>
        <w:t xml:space="preserve"> Artículo 2, Ley Orgánica de la Administración Pública del Estado de México.</w:t>
      </w:r>
    </w:p>
  </w:footnote>
  <w:footnote w:id="16">
    <w:p w14:paraId="380114D5" w14:textId="66521F9B" w:rsidR="002578EE" w:rsidRDefault="002578EE">
      <w:pPr>
        <w:pStyle w:val="Textonotapie"/>
      </w:pPr>
      <w:r>
        <w:rPr>
          <w:rStyle w:val="Refdenotaalpie"/>
        </w:rPr>
        <w:footnoteRef/>
      </w:r>
      <w:r>
        <w:t xml:space="preserve"> Artículo 3, Ídem.</w:t>
      </w:r>
    </w:p>
  </w:footnote>
  <w:footnote w:id="17">
    <w:p w14:paraId="242C4117" w14:textId="392AE624" w:rsidR="002578EE" w:rsidRDefault="002578EE">
      <w:pPr>
        <w:pStyle w:val="Textonotapie"/>
      </w:pPr>
      <w:r>
        <w:rPr>
          <w:rStyle w:val="Refdenotaalpie"/>
        </w:rPr>
        <w:footnoteRef/>
      </w:r>
      <w:r>
        <w:t xml:space="preserve"> Artículo 23, Ley Orgánica de la Administración Pública del Estado de México.</w:t>
      </w:r>
    </w:p>
  </w:footnote>
  <w:footnote w:id="18">
    <w:p w14:paraId="28D346B9" w14:textId="4D322E5A" w:rsidR="002578EE" w:rsidRDefault="002578EE">
      <w:pPr>
        <w:pStyle w:val="Textonotapie"/>
      </w:pPr>
      <w:r>
        <w:rPr>
          <w:rStyle w:val="Refdenotaalpie"/>
        </w:rPr>
        <w:footnoteRef/>
      </w:r>
      <w:r>
        <w:t xml:space="preserve"> Artículo 3, Reglamento Interior de la Secretaría de Finanzas.</w:t>
      </w:r>
    </w:p>
  </w:footnote>
  <w:footnote w:id="19">
    <w:p w14:paraId="13FE132F" w14:textId="53B04560" w:rsidR="002578EE" w:rsidRDefault="002578EE">
      <w:pPr>
        <w:pStyle w:val="Textonotapie"/>
      </w:pPr>
      <w:r>
        <w:rPr>
          <w:rStyle w:val="Refdenotaalpie"/>
        </w:rPr>
        <w:footnoteRef/>
      </w:r>
      <w:r>
        <w:t xml:space="preserve"> Objetivo del identificador </w:t>
      </w:r>
      <w:r w:rsidRPr="00264DA7">
        <w:t>20706005000000L</w:t>
      </w:r>
      <w:r>
        <w:t>, Manual General de Organización de la Secretaría de Finanzas.</w:t>
      </w:r>
    </w:p>
  </w:footnote>
  <w:footnote w:id="20">
    <w:p w14:paraId="1B3FA680" w14:textId="77777777" w:rsidR="002578EE" w:rsidRDefault="002578EE" w:rsidP="003B123F">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2578EE" w:rsidRDefault="002578EE"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2578EE" w:rsidRDefault="002578EE">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578EE" w:rsidRPr="00025127" w14:paraId="07F2896E" w14:textId="77777777" w:rsidTr="00FA0F09">
      <w:trPr>
        <w:trHeight w:val="138"/>
        <w:jc w:val="right"/>
      </w:trPr>
      <w:tc>
        <w:tcPr>
          <w:tcW w:w="3260" w:type="dxa"/>
          <w:vAlign w:val="center"/>
        </w:tcPr>
        <w:p w14:paraId="4A5B1974" w14:textId="3B2AB4E0" w:rsidR="002578EE" w:rsidRPr="00025127" w:rsidRDefault="002578E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6E5A838" w:rsidR="002578EE" w:rsidRPr="00025127" w:rsidRDefault="002578EE" w:rsidP="005F1362">
          <w:pPr>
            <w:pStyle w:val="Encabezado"/>
            <w:jc w:val="both"/>
            <w:rPr>
              <w:rFonts w:ascii="Palatino Linotype" w:hAnsi="Palatino Linotype"/>
              <w:b/>
              <w:sz w:val="22"/>
              <w:szCs w:val="22"/>
            </w:rPr>
          </w:pPr>
          <w:r>
            <w:rPr>
              <w:rFonts w:ascii="Palatino Linotype" w:hAnsi="Palatino Linotype"/>
              <w:b/>
              <w:sz w:val="22"/>
              <w:szCs w:val="22"/>
            </w:rPr>
            <w:t>04058</w:t>
          </w:r>
          <w:r w:rsidRPr="00025127">
            <w:rPr>
              <w:rFonts w:ascii="Palatino Linotype" w:hAnsi="Palatino Linotype"/>
              <w:b/>
              <w:sz w:val="22"/>
              <w:szCs w:val="22"/>
            </w:rPr>
            <w:t>/INFOEM/IP/RR/</w:t>
          </w:r>
          <w:r>
            <w:rPr>
              <w:rFonts w:ascii="Palatino Linotype" w:hAnsi="Palatino Linotype"/>
              <w:b/>
              <w:sz w:val="22"/>
              <w:szCs w:val="22"/>
            </w:rPr>
            <w:t>2021</w:t>
          </w:r>
        </w:p>
      </w:tc>
    </w:tr>
    <w:tr w:rsidR="002578EE" w:rsidRPr="00025127" w14:paraId="1B5D8690" w14:textId="77777777" w:rsidTr="00FA0F09">
      <w:trPr>
        <w:trHeight w:val="233"/>
        <w:jc w:val="right"/>
      </w:trPr>
      <w:tc>
        <w:tcPr>
          <w:tcW w:w="3260" w:type="dxa"/>
          <w:vAlign w:val="center"/>
        </w:tcPr>
        <w:p w14:paraId="3903F2C6" w14:textId="22D569F8" w:rsidR="002578EE" w:rsidRPr="00025127" w:rsidRDefault="002578EE"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BAFE690" w:rsidR="002578EE" w:rsidRPr="00025127" w:rsidRDefault="002578EE" w:rsidP="009B0E35">
          <w:pPr>
            <w:pStyle w:val="Encabezado"/>
            <w:rPr>
              <w:rFonts w:ascii="Palatino Linotype" w:hAnsi="Palatino Linotype"/>
              <w:b/>
              <w:sz w:val="22"/>
              <w:szCs w:val="22"/>
            </w:rPr>
          </w:pPr>
          <w:r>
            <w:rPr>
              <w:rFonts w:ascii="Palatino Linotype" w:hAnsi="Palatino Linotype"/>
              <w:b/>
              <w:bCs/>
              <w:color w:val="000000"/>
              <w:sz w:val="22"/>
              <w:szCs w:val="22"/>
            </w:rPr>
            <w:t>Secretaría de Finanzas</w:t>
          </w:r>
        </w:p>
      </w:tc>
    </w:tr>
    <w:tr w:rsidR="002578EE" w:rsidRPr="00025127" w14:paraId="095EB01B" w14:textId="77777777" w:rsidTr="00FA0F09">
      <w:trPr>
        <w:trHeight w:val="321"/>
        <w:jc w:val="right"/>
      </w:trPr>
      <w:tc>
        <w:tcPr>
          <w:tcW w:w="3260" w:type="dxa"/>
          <w:vAlign w:val="center"/>
        </w:tcPr>
        <w:p w14:paraId="6E000A51" w14:textId="05E1861A" w:rsidR="002578EE" w:rsidRPr="00025127" w:rsidRDefault="002578E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578EE" w:rsidRPr="00025127" w:rsidRDefault="002578E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578EE" w:rsidRDefault="002578EE"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578EE" w:rsidRDefault="002C256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578EE">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578EE" w:rsidRPr="00025127" w14:paraId="0A3256F2" w14:textId="77777777" w:rsidTr="006E6B65">
      <w:trPr>
        <w:trHeight w:val="138"/>
        <w:jc w:val="right"/>
      </w:trPr>
      <w:tc>
        <w:tcPr>
          <w:tcW w:w="3261" w:type="dxa"/>
          <w:vAlign w:val="center"/>
        </w:tcPr>
        <w:p w14:paraId="3D80769D" w14:textId="316F11F8" w:rsidR="002578EE" w:rsidRPr="00025127" w:rsidRDefault="002578EE"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11E7478" w:rsidR="002578EE" w:rsidRPr="00025127" w:rsidRDefault="002578EE" w:rsidP="005F1362">
          <w:pPr>
            <w:pStyle w:val="Encabezado"/>
            <w:rPr>
              <w:rFonts w:ascii="Palatino Linotype" w:hAnsi="Palatino Linotype"/>
              <w:b/>
              <w:sz w:val="22"/>
              <w:szCs w:val="22"/>
            </w:rPr>
          </w:pPr>
          <w:r>
            <w:rPr>
              <w:rFonts w:ascii="Palatino Linotype" w:hAnsi="Palatino Linotype"/>
              <w:b/>
              <w:sz w:val="22"/>
              <w:szCs w:val="22"/>
            </w:rPr>
            <w:t>04058</w:t>
          </w:r>
          <w:r w:rsidRPr="00025127">
            <w:rPr>
              <w:rFonts w:ascii="Palatino Linotype" w:hAnsi="Palatino Linotype"/>
              <w:b/>
              <w:sz w:val="22"/>
              <w:szCs w:val="22"/>
            </w:rPr>
            <w:t>/INFOEM/IP/RR/</w:t>
          </w:r>
          <w:r>
            <w:rPr>
              <w:rFonts w:ascii="Palatino Linotype" w:hAnsi="Palatino Linotype"/>
              <w:b/>
              <w:sz w:val="22"/>
              <w:szCs w:val="22"/>
            </w:rPr>
            <w:t>2021</w:t>
          </w:r>
        </w:p>
      </w:tc>
    </w:tr>
    <w:tr w:rsidR="002578EE" w:rsidRPr="00025127" w14:paraId="128C8B3C" w14:textId="77777777" w:rsidTr="006E6B65">
      <w:trPr>
        <w:trHeight w:val="233"/>
        <w:jc w:val="right"/>
      </w:trPr>
      <w:tc>
        <w:tcPr>
          <w:tcW w:w="3261" w:type="dxa"/>
          <w:vAlign w:val="center"/>
        </w:tcPr>
        <w:p w14:paraId="483E3371" w14:textId="66B1BC74" w:rsidR="002578EE" w:rsidRPr="00025127" w:rsidRDefault="002578E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19B749" w:rsidR="002578EE" w:rsidRPr="00025127" w:rsidRDefault="002578EE" w:rsidP="0058757A">
          <w:pPr>
            <w:pStyle w:val="Encabezado"/>
            <w:rPr>
              <w:rFonts w:ascii="Palatino Linotype" w:hAnsi="Palatino Linotype"/>
              <w:b/>
              <w:sz w:val="22"/>
              <w:szCs w:val="22"/>
            </w:rPr>
          </w:pPr>
          <w:r>
            <w:rPr>
              <w:rFonts w:ascii="Palatino Linotype" w:hAnsi="Palatino Linotype"/>
              <w:b/>
              <w:sz w:val="22"/>
              <w:szCs w:val="22"/>
            </w:rPr>
            <w:t>RECURRENTE</w:t>
          </w:r>
        </w:p>
      </w:tc>
    </w:tr>
    <w:tr w:rsidR="002578EE" w:rsidRPr="00025127" w14:paraId="41BE0704" w14:textId="77777777" w:rsidTr="006E6B65">
      <w:trPr>
        <w:trHeight w:val="321"/>
        <w:jc w:val="right"/>
      </w:trPr>
      <w:tc>
        <w:tcPr>
          <w:tcW w:w="3261" w:type="dxa"/>
          <w:vAlign w:val="center"/>
        </w:tcPr>
        <w:p w14:paraId="34C64148" w14:textId="10C6C8A9" w:rsidR="002578EE" w:rsidRPr="00025127" w:rsidRDefault="002578E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2B27A97" w:rsidR="002578EE" w:rsidRPr="00025127" w:rsidRDefault="002578EE" w:rsidP="009B0E35">
          <w:pPr>
            <w:pStyle w:val="Encabezado"/>
            <w:rPr>
              <w:rFonts w:ascii="Palatino Linotype" w:hAnsi="Palatino Linotype"/>
              <w:b/>
              <w:sz w:val="22"/>
              <w:szCs w:val="22"/>
            </w:rPr>
          </w:pPr>
          <w:r>
            <w:rPr>
              <w:rFonts w:ascii="Palatino Linotype" w:hAnsi="Palatino Linotype"/>
              <w:b/>
              <w:bCs/>
              <w:color w:val="000000"/>
              <w:sz w:val="22"/>
              <w:szCs w:val="22"/>
            </w:rPr>
            <w:t>Secretaría de Finanzas</w:t>
          </w:r>
        </w:p>
      </w:tc>
    </w:tr>
    <w:tr w:rsidR="002578EE" w:rsidRPr="00025127" w14:paraId="0C8B6193" w14:textId="77777777" w:rsidTr="006E6B65">
      <w:trPr>
        <w:trHeight w:val="321"/>
        <w:jc w:val="right"/>
      </w:trPr>
      <w:tc>
        <w:tcPr>
          <w:tcW w:w="3261" w:type="dxa"/>
          <w:vAlign w:val="center"/>
        </w:tcPr>
        <w:p w14:paraId="321FFAFF" w14:textId="0E8C2CE7" w:rsidR="002578EE" w:rsidRPr="00025127" w:rsidRDefault="002578E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578EE" w:rsidRPr="00025127" w:rsidRDefault="002578E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578EE" w:rsidRDefault="002578E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A17FB"/>
    <w:multiLevelType w:val="hybridMultilevel"/>
    <w:tmpl w:val="5EA695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972CA"/>
    <w:multiLevelType w:val="hybridMultilevel"/>
    <w:tmpl w:val="15CC96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AB11B8"/>
    <w:multiLevelType w:val="hybridMultilevel"/>
    <w:tmpl w:val="C0D4FF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37406A"/>
    <w:multiLevelType w:val="hybridMultilevel"/>
    <w:tmpl w:val="B30C650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6"/>
  </w:num>
  <w:num w:numId="3">
    <w:abstractNumId w:val="42"/>
  </w:num>
  <w:num w:numId="4">
    <w:abstractNumId w:val="23"/>
  </w:num>
  <w:num w:numId="5">
    <w:abstractNumId w:val="36"/>
  </w:num>
  <w:num w:numId="6">
    <w:abstractNumId w:val="31"/>
  </w:num>
  <w:num w:numId="7">
    <w:abstractNumId w:val="39"/>
  </w:num>
  <w:num w:numId="8">
    <w:abstractNumId w:val="8"/>
  </w:num>
  <w:num w:numId="9">
    <w:abstractNumId w:val="11"/>
  </w:num>
  <w:num w:numId="10">
    <w:abstractNumId w:val="15"/>
  </w:num>
  <w:num w:numId="11">
    <w:abstractNumId w:val="41"/>
  </w:num>
  <w:num w:numId="12">
    <w:abstractNumId w:val="35"/>
  </w:num>
  <w:num w:numId="13">
    <w:abstractNumId w:val="29"/>
  </w:num>
  <w:num w:numId="14">
    <w:abstractNumId w:val="18"/>
  </w:num>
  <w:num w:numId="15">
    <w:abstractNumId w:val="19"/>
  </w:num>
  <w:num w:numId="16">
    <w:abstractNumId w:val="0"/>
  </w:num>
  <w:num w:numId="17">
    <w:abstractNumId w:val="24"/>
  </w:num>
  <w:num w:numId="18">
    <w:abstractNumId w:val="3"/>
  </w:num>
  <w:num w:numId="19">
    <w:abstractNumId w:val="27"/>
  </w:num>
  <w:num w:numId="20">
    <w:abstractNumId w:val="44"/>
  </w:num>
  <w:num w:numId="21">
    <w:abstractNumId w:val="33"/>
  </w:num>
  <w:num w:numId="22">
    <w:abstractNumId w:val="16"/>
  </w:num>
  <w:num w:numId="23">
    <w:abstractNumId w:val="12"/>
  </w:num>
  <w:num w:numId="24">
    <w:abstractNumId w:val="7"/>
  </w:num>
  <w:num w:numId="25">
    <w:abstractNumId w:val="22"/>
  </w:num>
  <w:num w:numId="26">
    <w:abstractNumId w:val="28"/>
  </w:num>
  <w:num w:numId="27">
    <w:abstractNumId w:val="9"/>
  </w:num>
  <w:num w:numId="28">
    <w:abstractNumId w:val="17"/>
  </w:num>
  <w:num w:numId="29">
    <w:abstractNumId w:val="25"/>
  </w:num>
  <w:num w:numId="30">
    <w:abstractNumId w:val="43"/>
  </w:num>
  <w:num w:numId="31">
    <w:abstractNumId w:val="4"/>
  </w:num>
  <w:num w:numId="32">
    <w:abstractNumId w:val="37"/>
  </w:num>
  <w:num w:numId="33">
    <w:abstractNumId w:val="2"/>
  </w:num>
  <w:num w:numId="34">
    <w:abstractNumId w:val="38"/>
  </w:num>
  <w:num w:numId="35">
    <w:abstractNumId w:val="6"/>
  </w:num>
  <w:num w:numId="36">
    <w:abstractNumId w:val="45"/>
  </w:num>
  <w:num w:numId="37">
    <w:abstractNumId w:val="30"/>
  </w:num>
  <w:num w:numId="38">
    <w:abstractNumId w:val="10"/>
  </w:num>
  <w:num w:numId="39">
    <w:abstractNumId w:val="21"/>
  </w:num>
  <w:num w:numId="40">
    <w:abstractNumId w:val="13"/>
  </w:num>
  <w:num w:numId="41">
    <w:abstractNumId w:val="32"/>
  </w:num>
  <w:num w:numId="42">
    <w:abstractNumId w:val="34"/>
  </w:num>
  <w:num w:numId="43">
    <w:abstractNumId w:val="20"/>
  </w:num>
  <w:num w:numId="44">
    <w:abstractNumId w:val="40"/>
  </w:num>
  <w:num w:numId="45">
    <w:abstractNumId w:val="5"/>
  </w:num>
  <w:num w:numId="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FEC"/>
    <w:rsid w:val="00273013"/>
    <w:rsid w:val="00273C37"/>
    <w:rsid w:val="0027430D"/>
    <w:rsid w:val="002746D9"/>
    <w:rsid w:val="00274ED2"/>
    <w:rsid w:val="002754FC"/>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569"/>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5898"/>
    <w:rsid w:val="00335BFE"/>
    <w:rsid w:val="00335E9C"/>
    <w:rsid w:val="0033608B"/>
    <w:rsid w:val="0033675D"/>
    <w:rsid w:val="00337941"/>
    <w:rsid w:val="003407D0"/>
    <w:rsid w:val="0034181B"/>
    <w:rsid w:val="00341B17"/>
    <w:rsid w:val="00342C51"/>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3D9"/>
    <w:rsid w:val="003A6417"/>
    <w:rsid w:val="003A65FE"/>
    <w:rsid w:val="003A6A5A"/>
    <w:rsid w:val="003A7221"/>
    <w:rsid w:val="003A730E"/>
    <w:rsid w:val="003B123F"/>
    <w:rsid w:val="003B1CEE"/>
    <w:rsid w:val="003B2199"/>
    <w:rsid w:val="003B2856"/>
    <w:rsid w:val="003B2A0D"/>
    <w:rsid w:val="003B31FA"/>
    <w:rsid w:val="003B3E00"/>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769"/>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D4A"/>
    <w:rsid w:val="004B05A5"/>
    <w:rsid w:val="004B0EB6"/>
    <w:rsid w:val="004B176B"/>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0671"/>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362"/>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1218"/>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5AE3"/>
    <w:rsid w:val="00FA73DD"/>
    <w:rsid w:val="00FB1156"/>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0749-7B4B-4693-979C-134C5E8D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11714</Words>
  <Characters>64433</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2021-10-21T15:05:00Z</cp:lastPrinted>
  <dcterms:created xsi:type="dcterms:W3CDTF">2021-10-28T06:03:00Z</dcterms:created>
  <dcterms:modified xsi:type="dcterms:W3CDTF">2021-10-28T06:03:00Z</dcterms:modified>
</cp:coreProperties>
</file>