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uno de diciembre de dos mil veintiuno.</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03274/INFOEM/IP/RR/2021</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No proporciona nombre</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emitida a la solicitud de información con número de folio </w:t>
      </w:r>
      <w:r w:rsidDel="00000000" w:rsidR="00000000" w:rsidRPr="00000000">
        <w:rPr>
          <w:rFonts w:ascii="Palatino Linotype" w:cs="Palatino Linotype" w:eastAsia="Palatino Linotype" w:hAnsi="Palatino Linotype"/>
          <w:b w:val="1"/>
          <w:rtl w:val="0"/>
        </w:rPr>
        <w:t xml:space="preserve">00312/IEEM/IP/2021</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Instituto Electoral del Estado de México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tres de mayo de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SOLOCITO EL EXPEDIENTE COMPLETO DE CADA UNO DELOS CANDIDATOS QUE SE REGISTRARON EN ATIZAPAN DE ZARAGOZA A LOS DIFERENTES CARGOS DE ELECCION POLUAR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SER MAS PRECISO SOLICITO EL EXPEDIENTE EN VERSION PUBLICA DE LOS CANDIDATOS O CANDIDATAS QUE REPRESENTAN A LOS INSTITUTOS POLITICOS CON REGISTRO EN EL EDO. MEX.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 LAS ALCADIAS , ASI COMO DE LAS PLANILLAS QUE SE INTEGRARON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EL MENCIONADO REGISTRO,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TAMBIEN SOLICITO LOS EXPEDIENTES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VERSION PUBLICA QUE SE INTEGRARON PARA EL REGISTRO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DE LOS DIPUTADOS LOCALES DE TODOS LOS INSTITUTOS POLITICOS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SE REGISTRARON EN EL MUNICIPIO DE ATIZAPAN DE ZARAGOZA.“(sic)</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08">
      <w:pPr>
        <w:ind w:right="1043"/>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Prorroga. </w:t>
      </w:r>
      <w:r w:rsidDel="00000000" w:rsidR="00000000" w:rsidRPr="00000000">
        <w:rPr>
          <w:rFonts w:ascii="Palatino Linotype" w:cs="Palatino Linotype" w:eastAsia="Palatino Linotype" w:hAnsi="Palatino Linotype"/>
          <w:rtl w:val="0"/>
        </w:rPr>
        <w:t xml:space="preserve">De las constancias que obran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observa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en fecha veinticinco de mayo de dos mil veintiuno, amplió el plazo para emitir respuesta en los siguientes términos:</w:t>
      </w:r>
    </w:p>
    <w:p w:rsidR="00000000" w:rsidDel="00000000" w:rsidP="00000000" w:rsidRDefault="00000000" w:rsidRPr="00000000" w14:paraId="0000000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segundo párrafo de la Ley de Transparencia y Acceso a la Información Pública del Estado de México y Municipios, </w:t>
      </w:r>
      <w:r w:rsidDel="00000000" w:rsidR="00000000" w:rsidRPr="00000000">
        <w:rPr>
          <w:rFonts w:ascii="Palatino Linotype" w:cs="Palatino Linotype" w:eastAsia="Palatino Linotype" w:hAnsi="Palatino Linotype"/>
          <w:b w:val="1"/>
          <w:i w:val="1"/>
          <w:sz w:val="22"/>
          <w:szCs w:val="22"/>
          <w:u w:val="single"/>
          <w:rtl w:val="0"/>
        </w:rPr>
        <w:t xml:space="preserve">se aprueba la ampliación de plazo para otorgar respuesta a la solicitud de información, en términos del Acuerdo aprobado por el Comité de Transparencia que se adjunta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0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tab/>
      </w:r>
    </w:p>
    <w:p w:rsidR="00000000" w:rsidDel="00000000" w:rsidP="00000000" w:rsidRDefault="00000000" w:rsidRPr="00000000" w14:paraId="0000000E">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el Sujeto Obligado adjuntó los archivos electrónicos siguientes:</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7">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Acuerdo IEEM-CT-95-2021.pdf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Acuerdo número IEEM/CT/95/2021 por medio del cual se aprobó la ampliación de plazo por siete días hábiles, para dar respuesta a la solicitud de información materia del presente asunto.</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Respuesta. </w:t>
      </w:r>
      <w:r w:rsidDel="00000000" w:rsidR="00000000" w:rsidRPr="00000000">
        <w:rPr>
          <w:rFonts w:ascii="Palatino Linotype" w:cs="Palatino Linotype" w:eastAsia="Palatino Linotype" w:hAnsi="Palatino Linotype"/>
          <w:rtl w:val="0"/>
        </w:rPr>
        <w:t xml:space="preserve">De las constancias que obran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observa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en fecha tres de junio de dos mil veintiuno, emitió respuesta, en los siguientes términos:</w:t>
      </w:r>
    </w:p>
    <w:p w:rsidR="00000000" w:rsidDel="00000000" w:rsidP="00000000" w:rsidRDefault="00000000" w:rsidRPr="00000000" w14:paraId="0000001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adjunta respuesta a su solicitud de información.”</w:t>
      </w:r>
    </w:p>
    <w:p w:rsidR="00000000" w:rsidDel="00000000" w:rsidP="00000000" w:rsidRDefault="00000000" w:rsidRPr="00000000" w14:paraId="0000001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4">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tab/>
      </w:r>
    </w:p>
    <w:p w:rsidR="00000000" w:rsidDel="00000000" w:rsidP="00000000" w:rsidRDefault="00000000" w:rsidRPr="00000000" w14:paraId="00000015">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el Sujeto Obligado adjuntó los archivos electrónicos siguientes: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8">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respuesta IEEM_DPP_2549_2021.pdf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IEEM/DPP/2549/2021 de fecha 03 de junio de 2021 por medio del cual el Director de Partidos Políticos le informa al Titular de la Unidad de Transparencia que remite en formato pdf, la versión pública de los expedientes de los candidatos registrados para el proceso electoral 2021 en Atizapán de Zaragoza, precisando que los datos relativos a nombre, edad, género, lugar de nacimiento, Municipio y tiempo de residencia los deja visibles, en razón de que son requisitos de elegibilidad para el registro de las diferentes candidaturas, de conformidad con los artículos 119 y 120 de la Constitución Política de los Estados Unidos Mexicanos y 37 del Reglamento para el registro de candidaturas a los diferentes cargos de elección popular.</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se refiere a los datos personales clasificados, estos se entregan testados de conformidad con el Acuerdo IEEM/CT/115/2021, por el que se aprueba la clasificación de información como confidencial para otorgar respuesta a la solicitud de acceso a la información pública 00312/IEEM/IP/2021.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9">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ANEXO EXPEDIENTES.rar</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una carpeta comprimida misma que nos permite acceder a los archivos siguientes: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172075" cy="2790825"/>
            <wp:effectExtent b="0" l="0" r="0" t="0"/>
            <wp:docPr id="38" name="image3.png"/>
            <a:graphic>
              <a:graphicData uri="http://schemas.openxmlformats.org/drawingml/2006/picture">
                <pic:pic>
                  <pic:nvPicPr>
                    <pic:cNvPr id="0" name="image3.png"/>
                    <pic:cNvPicPr preferRelativeResize="0"/>
                  </pic:nvPicPr>
                  <pic:blipFill>
                    <a:blip r:embed="rId10"/>
                    <a:srcRect b="54435" l="63646" r="5296" t="8751"/>
                    <a:stretch>
                      <a:fillRect/>
                    </a:stretch>
                  </pic:blipFill>
                  <pic:spPr>
                    <a:xfrm>
                      <a:off x="0" y="0"/>
                      <a:ext cx="517207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1">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OFICIO RESPUESTA 00311 Y 00312-2021 UT.pdf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IEEM/UT/963/2021 de fecha 03 de junio de 2021, por medio del cual el Titular de la Unidad de Transparencia notifica la respuesta al solicitante.</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2">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Acuerdo IEEM-CT-115-2021.pdf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Acuerdo IEEM/CT/115/2021, por el que se aprueba la clasificación de información como confidencial para otorgar respuesta a la solicitud de acceso a la información pública 00312/IEEM/IP/2021.</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3">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caratulas.pdf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las caratulas de clasificación como confidencial como a continuación se muestra: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133975" cy="3876675"/>
            <wp:effectExtent b="0" l="0" r="0" t="0"/>
            <wp:docPr id="40" name="image2.png"/>
            <a:graphic>
              <a:graphicData uri="http://schemas.openxmlformats.org/drawingml/2006/picture">
                <pic:pic>
                  <pic:nvPicPr>
                    <pic:cNvPr id="0" name="image2.png"/>
                    <pic:cNvPicPr preferRelativeResize="0"/>
                  </pic:nvPicPr>
                  <pic:blipFill>
                    <a:blip r:embed="rId14"/>
                    <a:srcRect b="26976" l="17991" r="58248" t="24743"/>
                    <a:stretch>
                      <a:fillRect/>
                    </a:stretch>
                  </pic:blipFill>
                  <pic:spPr>
                    <a:xfrm>
                      <a:off x="0" y="0"/>
                      <a:ext cx="5133975"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Sujeto Obligado interpuso recurso de revisión a través del SAIMEX con fecha cuatro de junio de dos mil veintiuno, a través del cual expresó lo siguiente:</w:t>
      </w:r>
    </w:p>
    <w:p w:rsidR="00000000" w:rsidDel="00000000" w:rsidP="00000000" w:rsidRDefault="00000000" w:rsidRPr="00000000" w14:paraId="00000020">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21">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como es posible que diga que el archivo esta dañado</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22">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24">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“Después de solicitar prorroga que tiene la información no la entrega de manera que pueda ser accesible al peticionario, </w:t>
      </w:r>
      <w:r w:rsidDel="00000000" w:rsidR="00000000" w:rsidRPr="00000000">
        <w:rPr>
          <w:rFonts w:ascii="Palatino Linotype" w:cs="Palatino Linotype" w:eastAsia="Palatino Linotype" w:hAnsi="Palatino Linotype"/>
          <w:b w:val="1"/>
          <w:i w:val="1"/>
          <w:sz w:val="22"/>
          <w:szCs w:val="22"/>
          <w:u w:val="single"/>
          <w:rtl w:val="0"/>
        </w:rPr>
        <w:t xml:space="preserve">no se puede abrir el archivo dice que esta dañado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Envie en un formato en el que me permita tener acceso a esta información y no se violente este Derecho Humano he esperado mas de un mes la información para esta respuesta.</w:t>
      </w:r>
      <w:r w:rsidDel="00000000" w:rsidR="00000000" w:rsidRPr="00000000">
        <w:rPr>
          <w:rFonts w:ascii="Palatino Linotype" w:cs="Palatino Linotype" w:eastAsia="Palatino Linotype" w:hAnsi="Palatino Linotype"/>
          <w:i w:val="1"/>
          <w:rtl w:val="0"/>
        </w:rPr>
        <w:t xml:space="preserve">” (sic)</w:t>
        <w:tab/>
      </w:r>
    </w:p>
    <w:p w:rsidR="00000000" w:rsidDel="00000000" w:rsidP="00000000" w:rsidRDefault="00000000" w:rsidRPr="00000000" w14:paraId="00000025">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6">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w:t>
      </w:r>
      <w:r w:rsidDel="00000000" w:rsidR="00000000" w:rsidRPr="00000000">
        <w:rPr>
          <w:rFonts w:ascii="Palatino Linotype" w:cs="Palatino Linotype" w:eastAsia="Palatino Linotype" w:hAnsi="Palatino Linotype"/>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rtl w:val="0"/>
        </w:rPr>
        <w:t xml:space="preserve">, el recurso de revisión número </w:t>
      </w:r>
      <w:r w:rsidDel="00000000" w:rsidR="00000000" w:rsidRPr="00000000">
        <w:rPr>
          <w:rFonts w:ascii="Palatino Linotype" w:cs="Palatino Linotype" w:eastAsia="Palatino Linotype" w:hAnsi="Palatino Linotype"/>
          <w:b w:val="1"/>
          <w:rtl w:val="0"/>
        </w:rPr>
        <w:t xml:space="preserve">03274/INFOEM/IP/RR/2021 </w:t>
      </w:r>
      <w:r w:rsidDel="00000000" w:rsidR="00000000" w:rsidRPr="00000000">
        <w:rPr>
          <w:rFonts w:ascii="Palatino Linotype" w:cs="Palatino Linotype" w:eastAsia="Palatino Linotype" w:hAnsi="Palatino Linotype"/>
          <w:rtl w:val="0"/>
        </w:rPr>
        <w:t xml:space="preserve">fue turnado al </w:t>
      </w:r>
      <w:r w:rsidDel="00000000" w:rsidR="00000000" w:rsidRPr="00000000">
        <w:rPr>
          <w:rFonts w:ascii="Palatino Linotype" w:cs="Palatino Linotype" w:eastAsia="Palatino Linotype" w:hAnsi="Palatino Linotype"/>
          <w:b w:val="1"/>
          <w:rtl w:val="0"/>
        </w:rPr>
        <w:t xml:space="preserve">entonces Comisionado Ponente Javier Martínez Cruz</w:t>
      </w:r>
      <w:r w:rsidDel="00000000" w:rsidR="00000000" w:rsidRPr="00000000">
        <w:rPr>
          <w:rFonts w:ascii="Palatino Linotype" w:cs="Palatino Linotype" w:eastAsia="Palatino Linotype" w:hAnsi="Palatino Linotype"/>
          <w:rtl w:val="0"/>
        </w:rPr>
        <w:t xml:space="preserve">; a efecto de presentar al Pleno el proyecto de resolución correspondiente.</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En fecha nueve de junio de dos mil veintiuno, en términos de lo dispuesto en el artículo 185 fracciones I, II y IV de la Ley de Transparencia y Acceso a la Información Pública del Estado de México y Municipios, se admitió a trámite el presente recurso de revisión.</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Informe de justificación.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once de junio de dos mil veintiuno, rindió su informe de justificado adjuntando los archivos siguientes: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5">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respuesta IEEM_DPP_2549_2021.pdf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IEEM/DPP/2549/2021 de fecha 03 de junio de 2021 por medio del cual el Director de Partidos Políticos le informa al Titular de la Unidad de Transparencia que remite en formato pdf, la versión pública de los expedientes de los candidatos registrados para el proceso electoral 2021 en Atizapán de Zaragoza, precisando que los datos relativos a nombre, edad, género, lugar de nacimiento, Municipio y tiempo de residencia los deja visibles, en razón de que son requisitos de elegibilidad para el registro de las diferentes candidaturas, de conformidad con los artículos 119 y 120 de la Constitución Política de los Estados Unidos Mexicanos y 37 del Reglamento para el registro de candidaturas a los diferentes cargos de elección popular.</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se refiere a los datos personales clasificados, estos se entregan testados de conformidad con el Acuerdo IEEM/CT/115/2021, por el que se aprueba la clasificación de información como confidencial para otorgar respuesta a la solicitud de acceso a la información pública 00312/IEEM/IP/2021.</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6">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JHH.pdf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134 páginas, en los que constan los expedientes de los candidatos registrados para los cargos de integrantes del Ayuntamiento, del Partido Morena, correspondiente al proceso electoral 2021 en Atizapán de Zaragoza.</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7">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MC.pdf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142 páginas, en los que constan los expedientes de los candidatos registrados para los cargos de integrantes del Ayuntamiento, del Partido Movimiento Ciudadano, correspondiente al proceso electoral 2021 en Atizapán de Zaragoza.</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8">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PEVEM.pdf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140 páginas, en los que constan los expedientes de los candidatos registrados para los cargos de integrantes del Ayuntamiento, del Partido Verde Ecologista de México, correspondiente al proceso electoral 2021 en Atizapán de Zaragoza.</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9">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FXM.pdf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161 páginas, en los que constan los expedientes de los candidatos registrados para los cargos de integrantes del Ayuntamiento, del Partido Fuerza por México, correspondiente al proceso electoral 2021 en Atizapán de Zaragoza.</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20">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PES.pdf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189 páginas, en los que constan los expedientes de los candidatos registrados para los cargos de integrantes del Ayuntamiento, del Partido Encuentro Solidario, correspondiente al proceso electoral 2021 en Atizapán de Zaragoza.</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21">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RSP.pdf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159 páginas, en los que constan los expedientes de los candidatos registrados para los cargos de integrantes del Ayuntamiento, del Partido Redes Sociales Progresistas, correspondiente al proceso electoral 2021 en Atizapán de Zaragoza.</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22">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INFORME JUSTIFICADO 03274-2021 UT.pdf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de fecha 11 de junio de 2021, a través del cual el Titular de la Unidad de Transparencia rinde informe justificado manifestado en términos generales que la respuesta que proporcionó se ajustó a lo dispuesto en la normatividad de la materia, por lo que las manifestaciones del recurrente carecen de sustento, siendo por tanto infundadas, por lo que ratifica su respuesta.</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Agregando capturas de pantallas, por medio de las cuales acredita que procedió a abrir cada uno de los archivos que envió al momento de emitir respuesta, concluyendo que los mismos se pueden visualizar de manera correcta y pueden ser descargados para su consulta.</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23">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VXM.pdf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157 páginas, en los que constan los expedientes de los candidatos registrados para los cargos de integrantes del Ayuntamiento, del Partido Verde Ecologista de México, correspondiente al proceso electoral 2021 en Atizapán de Zaragoza.</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24">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Acuerdo IEEM-CT-115-2021.pdf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Acuerdo IEEM/CT/115/2021, por el que se aprueba la clasificación de información como confidencial para otorgar respuesta a la solicitud de acceso a la información pública 00312/IEEM/IP/2021.</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25">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caratulas.pdf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las caratulas de clasificación como confidencial como a continuación se muestra:</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133975" cy="3876675"/>
            <wp:effectExtent b="0" l="0" r="0" t="0"/>
            <wp:docPr id="39" name="image2.png"/>
            <a:graphic>
              <a:graphicData uri="http://schemas.openxmlformats.org/drawingml/2006/picture">
                <pic:pic>
                  <pic:nvPicPr>
                    <pic:cNvPr id="0" name="image2.png"/>
                    <pic:cNvPicPr preferRelativeResize="0"/>
                  </pic:nvPicPr>
                  <pic:blipFill>
                    <a:blip r:embed="rId14"/>
                    <a:srcRect b="26976" l="17991" r="58248" t="24743"/>
                    <a:stretch>
                      <a:fillRect/>
                    </a:stretch>
                  </pic:blipFill>
                  <pic:spPr>
                    <a:xfrm>
                      <a:off x="0" y="0"/>
                      <a:ext cx="5133975"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26">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OFICIO RESPUESTA 00311 Y 00312-2021 UT.pdf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IEEM/UT/963/2021 de fecha 03 de junio de 2021, por medio del cual el Titular de la Unidad de Transparencia notifica la respuesta al solicitante.</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mencionarse que en fecha veinticuatro de noviembre de 2021 se dio vista del informe justificado con la finalidad de que el recurrente realizar las manifestaciones que estime pertinentes.</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Ampliación del plazo para emitir resolución</w:t>
      </w:r>
      <w:r w:rsidDel="00000000" w:rsidR="00000000" w:rsidRPr="00000000">
        <w:rPr>
          <w:rFonts w:ascii="Palatino Linotype" w:cs="Palatino Linotype" w:eastAsia="Palatino Linotype" w:hAnsi="Palatino Linotype"/>
          <w:rtl w:val="0"/>
        </w:rPr>
        <w:t xml:space="preserve">. En fecha once de agosto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r w:rsidDel="00000000" w:rsidR="00000000" w:rsidRPr="00000000">
        <w:rPr>
          <w:rtl w:val="0"/>
        </w:rPr>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veintitrés de agosto de dos mil veintiuno, en la Segunda Sesión Extraordinaria</w:t>
      </w:r>
      <w:r w:rsidDel="00000000" w:rsidR="00000000" w:rsidRPr="00000000">
        <w:rPr>
          <w:rFonts w:ascii="Palatino Linotype" w:cs="Palatino Linotype" w:eastAsia="Palatino Linotype" w:hAnsi="Palatino Linotype"/>
          <w:rtl w:val="0"/>
        </w:rPr>
        <w:t xml:space="preserve">, el Pleno del Instituto aprobó el returno del recurso de revisión indicado al rubro a la Ponencia de la </w:t>
      </w:r>
      <w:r w:rsidDel="00000000" w:rsidR="00000000" w:rsidRPr="00000000">
        <w:rPr>
          <w:rFonts w:ascii="Palatino Linotype" w:cs="Palatino Linotype" w:eastAsia="Palatino Linotype" w:hAnsi="Palatino Linotype"/>
          <w:b w:val="1"/>
          <w:rtl w:val="0"/>
        </w:rPr>
        <w:t xml:space="preserve">Comisionada Guadalupe Ramírez Peña</w:t>
      </w:r>
      <w:r w:rsidDel="00000000" w:rsidR="00000000" w:rsidRPr="00000000">
        <w:rPr>
          <w:rFonts w:ascii="Palatino Linotype" w:cs="Palatino Linotype" w:eastAsia="Palatino Linotype" w:hAnsi="Palatino Linotype"/>
          <w:rtl w:val="0"/>
        </w:rPr>
        <w:t xml:space="preserve"> para su estudio y resolución.</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En fecha treinta de noviembre de dos mil veintiuno, anualidad en curso, con fundamento en lo establecido en los artículos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 7,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Sujeto Obligado proporcionó respuesta a la solicitud de información el tres de junio de dos mil veintiuno, mientras que el recurrente interpuso el recurso de revisión el cuatro de junio de la anualidad en curso, esto es, al día hábil siguiente al en que le fue notificada la respuesta, por ende, dentro del término legal que prevé el arábigo de referencia.</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por cuanto hace a la procedibilidad del recurso de revisión, es de suma importancia señalar que la parte recurrente "</w:t>
      </w:r>
      <w:r w:rsidDel="00000000" w:rsidR="00000000" w:rsidRPr="00000000">
        <w:rPr>
          <w:rFonts w:ascii="Palatino Linotype" w:cs="Palatino Linotype" w:eastAsia="Palatino Linotype" w:hAnsi="Palatino Linotype"/>
          <w:b w:val="1"/>
          <w:rtl w:val="0"/>
        </w:rPr>
        <w:t xml:space="preserve">No proporcionó nombre</w:t>
      </w:r>
      <w:r w:rsidDel="00000000" w:rsidR="00000000" w:rsidRPr="00000000">
        <w:rPr>
          <w:rFonts w:ascii="Palatino Linotype" w:cs="Palatino Linotype" w:eastAsia="Palatino Linotype" w:hAnsi="Palatino Linotype"/>
          <w:rtl w:val="0"/>
        </w:rPr>
        <w:t xml:space="preserve">" como se advierte en el detalle de seguimiento del SAIMEX, no obstante lo anterior, no proporcionar el nombre completo o no proporcionarlo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3">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44">
      <w:pPr>
        <w:shd w:fill="ffffff" w:val="clear"/>
        <w:ind w:left="851" w:righ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5">
      <w:pPr>
        <w:shd w:fill="ffffff" w:val="clear"/>
        <w:spacing w:after="240" w:before="240" w:line="360" w:lineRule="auto"/>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Robusteciendo lo anterior se encuentra lo dispuesto en los artículos 1 y 6, Apartado A, fracciones III de la Constitución Política de los Estados Unidos Mexicanos que establece:</w:t>
      </w:r>
      <w:r w:rsidDel="00000000" w:rsidR="00000000" w:rsidRPr="00000000">
        <w:rPr>
          <w:rtl w:val="0"/>
        </w:rPr>
      </w:r>
    </w:p>
    <w:p w:rsidR="00000000" w:rsidDel="00000000" w:rsidP="00000000" w:rsidRDefault="00000000" w:rsidRPr="00000000" w14:paraId="00000046">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47">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8">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49">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A">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r w:rsidDel="00000000" w:rsidR="00000000" w:rsidRPr="00000000">
        <w:rPr>
          <w:rtl w:val="0"/>
        </w:rPr>
      </w:r>
    </w:p>
    <w:p w:rsidR="00000000" w:rsidDel="00000000" w:rsidP="00000000" w:rsidRDefault="00000000" w:rsidRPr="00000000" w14:paraId="0000004B">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C">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r w:rsidDel="00000000" w:rsidR="00000000" w:rsidRPr="00000000">
        <w:rPr>
          <w:rtl w:val="0"/>
        </w:rPr>
      </w:r>
    </w:p>
    <w:p w:rsidR="00000000" w:rsidDel="00000000" w:rsidP="00000000" w:rsidRDefault="00000000" w:rsidRPr="00000000" w14:paraId="0000004D">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w:t>
      </w:r>
      <w:r w:rsidDel="00000000" w:rsidR="00000000" w:rsidRPr="00000000">
        <w:rPr>
          <w:rtl w:val="0"/>
        </w:rPr>
      </w:r>
    </w:p>
    <w:p w:rsidR="00000000" w:rsidDel="00000000" w:rsidP="00000000" w:rsidRDefault="00000000" w:rsidRPr="00000000" w14:paraId="0000004E">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F">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los Estados y el Distrito Federal,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50">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1">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 (Sic)</w:t>
      </w:r>
      <w:r w:rsidDel="00000000" w:rsidR="00000000" w:rsidRPr="00000000">
        <w:rPr>
          <w:rtl w:val="0"/>
        </w:rPr>
      </w:r>
    </w:p>
    <w:p w:rsidR="00000000" w:rsidDel="00000000" w:rsidP="00000000" w:rsidRDefault="00000000" w:rsidRPr="00000000" w14:paraId="00000052">
      <w:pPr>
        <w:shd w:fill="ffffff" w:val="clear"/>
        <w:spacing w:after="240" w:before="240" w:lineRule="auto"/>
        <w:ind w:left="567" w:right="474"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53">
      <w:pPr>
        <w:shd w:fill="ffffff" w:val="clear"/>
        <w:spacing w:after="240" w:before="240" w:line="360" w:lineRule="auto"/>
        <w:jc w:val="both"/>
        <w:rPr>
          <w:rFonts w:ascii="Arial" w:cs="Arial" w:eastAsia="Arial" w:hAnsi="Arial"/>
        </w:rPr>
      </w:pPr>
      <w:r w:rsidDel="00000000" w:rsidR="00000000" w:rsidRPr="00000000">
        <w:rPr>
          <w:rFonts w:ascii="Palatino Linotype" w:cs="Palatino Linotype" w:eastAsia="Palatino Linotype" w:hAnsi="Palatino Linotype"/>
          <w:rtl w:val="0"/>
        </w:rPr>
        <w:t xml:space="preserve">Así como el artículo 5 fracción III, párrafo vigésimo segundo, vigésimo tercero y vigésimo cuarto, de la Constitución Política del Estado Libre y Soberano de México, que determina lo siguiente:</w:t>
      </w:r>
      <w:r w:rsidDel="00000000" w:rsidR="00000000" w:rsidRPr="00000000">
        <w:rPr>
          <w:rtl w:val="0"/>
        </w:rPr>
      </w:r>
    </w:p>
    <w:p w:rsidR="00000000" w:rsidDel="00000000" w:rsidP="00000000" w:rsidRDefault="00000000" w:rsidRPr="00000000" w14:paraId="00000054">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r w:rsidDel="00000000" w:rsidR="00000000" w:rsidRPr="00000000">
        <w:rPr>
          <w:rtl w:val="0"/>
        </w:rPr>
      </w:r>
    </w:p>
    <w:p w:rsidR="00000000" w:rsidDel="00000000" w:rsidP="00000000" w:rsidRDefault="00000000" w:rsidRPr="00000000" w14:paraId="00000055">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6">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Toda persona en el Estado de México, tiene derecho al libre acceso a la información plural y oportuna, así como a buscar recibir y difundir información e ideas de toda índole por cualquier medio de expresión.</w:t>
      </w:r>
      <w:r w:rsidDel="00000000" w:rsidR="00000000" w:rsidRPr="00000000">
        <w:rPr>
          <w:rtl w:val="0"/>
        </w:rPr>
      </w:r>
    </w:p>
    <w:p w:rsidR="00000000" w:rsidDel="00000000" w:rsidP="00000000" w:rsidRDefault="00000000" w:rsidRPr="00000000" w14:paraId="00000057">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8">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El derecho a la información será garantizado por el Estado. La ley establecerá las previsiones que permitan asegurar la protección, el respeto y la difusión de este derecho.</w:t>
      </w:r>
      <w:r w:rsidDel="00000000" w:rsidR="00000000" w:rsidRPr="00000000">
        <w:rPr>
          <w:rtl w:val="0"/>
        </w:rPr>
      </w:r>
    </w:p>
    <w:p w:rsidR="00000000" w:rsidDel="00000000" w:rsidP="00000000" w:rsidRDefault="00000000" w:rsidRPr="00000000" w14:paraId="00000059">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r w:rsidDel="00000000" w:rsidR="00000000" w:rsidRPr="00000000">
        <w:rPr>
          <w:rtl w:val="0"/>
        </w:rPr>
      </w:r>
    </w:p>
    <w:p w:rsidR="00000000" w:rsidDel="00000000" w:rsidP="00000000" w:rsidRDefault="00000000" w:rsidRPr="00000000" w14:paraId="0000005A">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r w:rsidDel="00000000" w:rsidR="00000000" w:rsidRPr="00000000">
        <w:rPr>
          <w:rtl w:val="0"/>
        </w:rPr>
      </w:r>
    </w:p>
    <w:p w:rsidR="00000000" w:rsidDel="00000000" w:rsidP="00000000" w:rsidRDefault="00000000" w:rsidRPr="00000000" w14:paraId="0000005B">
      <w:pPr>
        <w:shd w:fill="ffffff" w:val="clear"/>
        <w:ind w:left="851" w:right="851" w:firstLine="0"/>
        <w:jc w:val="both"/>
        <w:rPr>
          <w:rFonts w:ascii="Arial" w:cs="Arial" w:eastAsia="Arial" w:hAnsi="Arial"/>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C">
      <w:pPr>
        <w:shd w:fill="ffffff" w:val="clear"/>
        <w:ind w:left="851" w:right="851" w:firstLine="0"/>
        <w:jc w:val="both"/>
        <w:rPr>
          <w:rFonts w:ascii="Arial" w:cs="Arial" w:eastAsia="Arial" w:hAnsi="Arial"/>
          <w:i w:val="1"/>
          <w:sz w:val="23"/>
          <w:szCs w:val="23"/>
        </w:rPr>
      </w:pPr>
      <w:r w:rsidDel="00000000" w:rsidR="00000000" w:rsidRPr="00000000">
        <w:rPr>
          <w:rFonts w:ascii="Palatino Linotype" w:cs="Palatino Linotype" w:eastAsia="Palatino Linotype" w:hAnsi="Palatino Linotype"/>
          <w:i w:val="1"/>
          <w:sz w:val="22"/>
          <w:szCs w:val="22"/>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r w:rsidDel="00000000" w:rsidR="00000000" w:rsidRPr="00000000">
        <w:rPr>
          <w:rFonts w:ascii="Arial" w:cs="Arial" w:eastAsia="Arial" w:hAnsi="Arial"/>
          <w:i w:val="1"/>
          <w:sz w:val="23"/>
          <w:szCs w:val="23"/>
          <w:rtl w:val="0"/>
        </w:rPr>
        <w:t xml:space="preserve"> </w:t>
      </w:r>
    </w:p>
    <w:p w:rsidR="00000000" w:rsidDel="00000000" w:rsidP="00000000" w:rsidRDefault="00000000" w:rsidRPr="00000000" w14:paraId="0000005D">
      <w:pPr>
        <w:shd w:fill="ffffff" w:val="clear"/>
        <w:ind w:left="851" w:righ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E">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rtl w:val="0"/>
        </w:rPr>
        <w:t xml:space="preserve">derecho fundamental exime a quien lo ejerce</w:t>
      </w:r>
      <w:r w:rsidDel="00000000" w:rsidR="00000000" w:rsidRPr="00000000">
        <w:rPr>
          <w:rFonts w:ascii="Palatino Linotype" w:cs="Palatino Linotype" w:eastAsia="Palatino Linotype" w:hAnsi="Palatino Linotype"/>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5F">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60">
      <w:pPr>
        <w:shd w:fill="ffffff" w:val="clear"/>
        <w:ind w:left="851" w:right="758" w:firstLine="0"/>
        <w:jc w:val="both"/>
        <w:rPr>
          <w:rFonts w:ascii="Arial" w:cs="Arial" w:eastAsia="Arial" w:hAnsi="Arial"/>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061">
      <w:pPr>
        <w:shd w:fill="ffffff" w:val="clear"/>
        <w:ind w:left="851" w:right="851" w:firstLine="0"/>
        <w:jc w:val="both"/>
        <w:rPr>
          <w:rFonts w:ascii="Arial" w:cs="Arial" w:eastAsia="Arial" w:hAnsi="Arial"/>
          <w:sz w:val="22"/>
          <w:szCs w:val="22"/>
        </w:rPr>
      </w:pPr>
      <w:r w:rsidDel="00000000" w:rsidR="00000000" w:rsidRPr="00000000">
        <w:rPr>
          <w:rFonts w:ascii="Palatino Linotype" w:cs="Palatino Linotype" w:eastAsia="Palatino Linotype" w:hAnsi="Palatino Linotype"/>
          <w:i w:val="1"/>
          <w:sz w:val="22"/>
          <w:szCs w:val="22"/>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r w:rsidDel="00000000" w:rsidR="00000000" w:rsidRPr="00000000">
        <w:rPr>
          <w:rtl w:val="0"/>
        </w:rPr>
      </w:r>
    </w:p>
    <w:p w:rsidR="00000000" w:rsidDel="00000000" w:rsidP="00000000" w:rsidRDefault="00000000" w:rsidRPr="00000000" w14:paraId="00000062">
      <w:pPr>
        <w:shd w:fill="ffffff" w:val="clear"/>
        <w:jc w:val="both"/>
        <w:rPr/>
      </w:pP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63">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procedente la interposición del recurso, según lo aducido por el recurrente en sus razones o motivos de inconformidad, de acuerdo al artículo 179, fracción VIII de la Ley de Transparencia y Acceso a la Información Pública del Estado de México y Municipios; que a la letra dice:</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de revisión</w:t>
      </w:r>
      <w:r w:rsidDel="00000000" w:rsidR="00000000" w:rsidRPr="00000000">
        <w:rPr>
          <w:rFonts w:ascii="Palatino Linotype" w:cs="Palatino Linotype" w:eastAsia="Palatino Linotype" w:hAnsi="Palatino Linotype"/>
          <w:i w:val="1"/>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notificación, entrega o puesta a disposición de información en una modalidad o formato distinto al solicitado;</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6A">
      <w:pPr>
        <w:shd w:fill="ffffff" w:val="clear"/>
        <w:spacing w:after="240" w:before="0" w:line="360" w:lineRule="auto"/>
        <w:jc w:val="both"/>
        <w:rPr/>
      </w:pPr>
      <w:r w:rsidDel="00000000" w:rsidR="00000000" w:rsidRPr="00000000">
        <w:rPr>
          <w:rtl w:val="0"/>
        </w:rPr>
      </w:r>
    </w:p>
    <w:p w:rsidR="00000000" w:rsidDel="00000000" w:rsidP="00000000" w:rsidRDefault="00000000" w:rsidRPr="00000000" w14:paraId="0000006B">
      <w:pPr>
        <w:shd w:fill="ffffff" w:val="clear"/>
        <w:spacing w:after="240" w:before="240" w:line="360" w:lineRule="auto"/>
        <w:jc w:val="both"/>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que obran en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parte del Sujeto Obligado satisface el requerimiento del ahora recurrente, o en su caso procede ordenar la entrega de la información en un formato accesible.</w:t>
      </w:r>
      <w:r w:rsidDel="00000000" w:rsidR="00000000" w:rsidRPr="00000000">
        <w:rPr>
          <w:rtl w:val="0"/>
        </w:rPr>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Primeramente, es de suma importancia mencionar que del análisis de la solicitud de información motivo del recurso de revisión que ahora se resuelve se advierte que la recurrente en su solicitud número </w:t>
      </w:r>
      <w:r w:rsidDel="00000000" w:rsidR="00000000" w:rsidRPr="00000000">
        <w:rPr>
          <w:rFonts w:ascii="Palatino Linotype" w:cs="Palatino Linotype" w:eastAsia="Palatino Linotype" w:hAnsi="Palatino Linotype"/>
          <w:b w:val="1"/>
          <w:rtl w:val="0"/>
        </w:rPr>
        <w:t xml:space="preserve">00312/IEEM/IP/2021, </w:t>
      </w:r>
      <w:r w:rsidDel="00000000" w:rsidR="00000000" w:rsidRPr="00000000">
        <w:rPr>
          <w:rFonts w:ascii="Palatino Linotype" w:cs="Palatino Linotype" w:eastAsia="Palatino Linotype" w:hAnsi="Palatino Linotype"/>
          <w:rtl w:val="0"/>
        </w:rPr>
        <w:t xml:space="preserve">requirió que se le proporcionara lo siguiente:</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SOLOCITO EL EXPEDIENTE COMPLETO DE CADA UNO DELOS CANDIDATOS QUE SE REGISTRARON EN ATIZAPAN DE ZARAGOZA A LOS DIFERENTES CARGOS DE ELECCION POLUAR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SER MAS PRECISO SOLICITO EL EXPEDIENTE EN VERSION PUBLICA DE LOS CANDIDATOS O CANDIDATAS QUE REPRESENTAN A LOS INSTITUTOS POLITICOS CON REGISTRO EN EL EDO. MEX.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 LAS ALCADIAS , ASI COMO DE LAS PLANILLAS QUE SE INTEGRARON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EL MENCIONADO REGISTRO,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TAMBIEN SOLICITO LOS EXPEDIENTES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VERSION PUBLICA QUE SE INTEGRARON PARA EL REGISTRO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DE LOS DIPUTADOS LOCALES DE TODOS LOS INSTITUTOS POLITICOS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SE REGISTRARON EN EL MUNICIPIO DE ATIZAPAN DE ZARAGOZA.“(sic)</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necesario hacer referencia que el Sujeto Obligado al momento de responder manifestó a través de la información proporcionada por el Director de Partidos Políticos que remite en formato pdf, la versión pública de los expedientes de los candidatos registrados para el proceso electoral 2021 en Atizapán de Zaragoza, precisando que los datos relativos a nombre, edad, género, lugar de nacimiento, Municipio y tiempo de residencia los deja visibles, en razón de que son requisitos de elegibilidad para el registro de las diferentes candidaturas, de conformidad con los artículos 119 y 120 de la Constitución Política de los Estados Unidos Mexicanos y 37 del Reglamento para el registro de candidaturas a los diferentes cargos de elección popular, precisando que por lo que se refiere a los datos personales clasificados, estos se entregan testados de conformidad con el Acuerdo IEEM/CT/115/2021, por el que se aprueba la clasificación de información como confidencial para otorgar respuesta a la solicitud de acceso a la información pública 00312/IEEM/IP/2021. </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estar inconforme con la respuesta, el hoy recurrente interpuso el presente medio de impugnación manifestando como acto impugnado que el archivo está dañado y como motivos de inconformidad sustancialmente que no entrega la información de manera que pueda ser accesible, agregando que no puede abrir el archivo en virtud de que el mismo está dañado, por lo que requiere que se le envié en un formato que le permita tener acceso a dicha información. </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hacer notar que el Sujeto Obligado al momento de rendir informe justificado refirió entre otras cosas que la respuesta que proporcionó se ajustó a lo dispuesto en la normatividad de la materia, por lo que las manifestaciones del recurrente carecen de sustento, siendo por tanto infundadas, por lo que ratifica su respuesta.</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mismo modo agregó capturas de pantallas, por medio de las cuales acredita que procedió a abrir cada uno de los archivos que envió al momento de emitir respuesta, concluyendo que los mismos se pueden visualizar de manera correcta y pueden ser descargados para su consulta, cabe señalar que adjuntó nuevamente todos y cada de los archivos que envió a su respuesta.</w:t>
      </w:r>
    </w:p>
    <w:p w:rsidR="00000000" w:rsidDel="00000000" w:rsidP="00000000" w:rsidRDefault="00000000" w:rsidRPr="00000000" w14:paraId="00000074">
      <w:pPr>
        <w:spacing w:before="240" w:line="360" w:lineRule="auto"/>
        <w:jc w:val="both"/>
        <w:rPr>
          <w:rFonts w:ascii="Palatino Linotype" w:cs="Palatino Linotype" w:eastAsia="Palatino Linotype" w:hAnsi="Palatino Linotype"/>
          <w:color w:val="000000"/>
        </w:rPr>
      </w:pPr>
      <w:bookmarkStart w:colFirst="0" w:colLast="0" w:name="_heading=h.1fob9te" w:id="2"/>
      <w:bookmarkEnd w:id="2"/>
      <w:r w:rsidDel="00000000" w:rsidR="00000000" w:rsidRPr="00000000">
        <w:rPr>
          <w:rFonts w:ascii="Palatino Linotype" w:cs="Palatino Linotype" w:eastAsia="Palatino Linotype" w:hAnsi="Palatino Linotype"/>
          <w:color w:val="000000"/>
          <w:rtl w:val="0"/>
        </w:rPr>
        <w:t xml:space="preserve">Una vez precisado lo anterior, 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000000" w:rsidDel="00000000" w:rsidP="00000000" w:rsidRDefault="00000000" w:rsidRPr="00000000" w14:paraId="00000075">
      <w:pPr>
        <w:spacing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relación con lo anterior, resulta relevante el Criterio 028-10, emitido por el Pleno del anteriormente denominado Instituto Federal de Acceso a la Información y Protección de Datos, ahora Instituto Nacional de Transparencia, Acceso a la Información y Protección de Datos Personales, que establece:</w:t>
      </w:r>
    </w:p>
    <w:p w:rsidR="00000000" w:rsidDel="00000000" w:rsidP="00000000" w:rsidRDefault="00000000" w:rsidRPr="00000000" w14:paraId="00000076">
      <w:pPr>
        <w:ind w:left="992" w:right="1327"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7">
      <w:pPr>
        <w:spacing w:after="120" w:before="120" w:lineRule="auto"/>
        <w:ind w:left="992" w:right="1327"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i w:val="1"/>
          <w:color w:val="000000"/>
          <w:sz w:val="22"/>
          <w:szCs w:val="22"/>
          <w:rtl w:val="0"/>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r w:rsidDel="00000000" w:rsidR="00000000" w:rsidRPr="00000000">
        <w:rPr>
          <w:rtl w:val="0"/>
        </w:rPr>
      </w:r>
    </w:p>
    <w:p w:rsidR="00000000" w:rsidDel="00000000" w:rsidP="00000000" w:rsidRDefault="00000000" w:rsidRPr="00000000" w14:paraId="00000078">
      <w:pPr>
        <w:ind w:left="992" w:right="1327" w:firstLine="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79">
      <w:pPr>
        <w:spacing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Además, cabe precisar que el Sujeto Obligado, en estricta aplicación a lo dispuesto en el artículo 12 segundo párrafo</w:t>
      </w:r>
      <w:r w:rsidDel="00000000" w:rsidR="00000000" w:rsidRPr="00000000">
        <w:rPr>
          <w:rFonts w:ascii="Palatino Linotype" w:cs="Palatino Linotype" w:eastAsia="Palatino Linotype" w:hAnsi="Palatino Linotype"/>
          <w:color w:val="000000"/>
          <w:u w:val="single"/>
          <w:rtl w:val="0"/>
        </w:rPr>
        <w:t xml:space="preserve">, </w:t>
      </w:r>
      <w:r w:rsidDel="00000000" w:rsidR="00000000" w:rsidRPr="00000000">
        <w:rPr>
          <w:rFonts w:ascii="Palatino Linotype" w:cs="Palatino Linotype" w:eastAsia="Palatino Linotype" w:hAnsi="Palatino Linotype"/>
          <w:b w:val="1"/>
          <w:color w:val="000000"/>
          <w:u w:val="single"/>
          <w:rtl w:val="0"/>
        </w:rPr>
        <w:t xml:space="preserve">sólo tiene el deber de entregar la información solicitada, en los términos en que la hubiese generado, posea o administre</w:t>
      </w:r>
      <w:r w:rsidDel="00000000" w:rsidR="00000000" w:rsidRPr="00000000">
        <w:rPr>
          <w:rFonts w:ascii="Palatino Linotype" w:cs="Palatino Linotype" w:eastAsia="Palatino Linotype" w:hAnsi="Palatino Linotype"/>
          <w:b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esto es, no tiene la obligación jurídica de procesarla, resumirla, realizar cálculos o investigaciones, en su intención de satisfacer el derecho de acceso a la información pública del recurrente.</w:t>
      </w:r>
    </w:p>
    <w:p w:rsidR="00000000" w:rsidDel="00000000" w:rsidP="00000000" w:rsidRDefault="00000000" w:rsidRPr="00000000" w14:paraId="0000007A">
      <w:pPr>
        <w:spacing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sentido es conveniente mencionar que del análisis realizado a los motivos de inconformidad expresados por el recurrente se advierte que son infundados, lo anterior es así en atención a lo siguiente:</w:t>
      </w:r>
    </w:p>
    <w:p w:rsidR="00000000" w:rsidDel="00000000" w:rsidP="00000000" w:rsidRDefault="00000000" w:rsidRPr="00000000" w14:paraId="0000007B">
      <w:pPr>
        <w:spacing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primer término, se estima pertinente mencionar que del análisis realizado a la información proporcionada por el Sujeto Obligado al momento de emitir respuesta, así como al rendir informe justificado asume que genera, administra y posee el soporte documental en donde consta lo requerido por el recurrente, motivo por el cual se omitirá insertar su fuente obligacional.</w:t>
      </w:r>
    </w:p>
    <w:p w:rsidR="00000000" w:rsidDel="00000000" w:rsidP="00000000" w:rsidRDefault="00000000" w:rsidRPr="00000000" w14:paraId="0000007C">
      <w:pPr>
        <w:spacing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otra parte, debe mencionarse que en el presente asunto se determinará si los archivos electrónicos proporcionados por el Sujeto Obligado al momento emitir respuesta se encuentran dañados, razón por lo cual se considera pertinente mencionar que de las constancias que integran el recurso de revisión al rubro indicado, se aprecia que el Sujeto Obligado adjuntó los archivos electrónicos siguientes:</w:t>
      </w:r>
    </w:p>
    <w:p w:rsidR="00000000" w:rsidDel="00000000" w:rsidP="00000000" w:rsidRDefault="00000000" w:rsidRPr="00000000" w14:paraId="0000007D">
      <w:pPr>
        <w:spacing w:before="240" w:line="360" w:lineRule="auto"/>
        <w:jc w:val="both"/>
        <w:rPr>
          <w:rFonts w:ascii="Palatino Linotype" w:cs="Palatino Linotype" w:eastAsia="Palatino Linotype" w:hAnsi="Palatino Linotype"/>
          <w:color w:val="000000"/>
        </w:rPr>
      </w:pPr>
      <w:r w:rsidDel="00000000" w:rsidR="00000000" w:rsidRPr="00000000">
        <w:rPr/>
        <w:drawing>
          <wp:inline distB="0" distT="0" distL="0" distR="0">
            <wp:extent cx="5591175" cy="4048125"/>
            <wp:effectExtent b="0" l="0" r="0" t="0"/>
            <wp:docPr id="42" name="image7.png"/>
            <a:graphic>
              <a:graphicData uri="http://schemas.openxmlformats.org/drawingml/2006/picture">
                <pic:pic>
                  <pic:nvPicPr>
                    <pic:cNvPr id="0" name="image7.png"/>
                    <pic:cNvPicPr preferRelativeResize="0"/>
                  </pic:nvPicPr>
                  <pic:blipFill>
                    <a:blip r:embed="rId27"/>
                    <a:srcRect b="33615" l="16633" r="50950" t="12070"/>
                    <a:stretch>
                      <a:fillRect/>
                    </a:stretch>
                  </pic:blipFill>
                  <pic:spPr>
                    <a:xfrm>
                      <a:off x="0" y="0"/>
                      <a:ext cx="5591175"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 imagen se aprecia que el Sujeto Obligado adjuntó 5 archivos electrónicos, por lo que personal adscrito a este Instituto procedió a realizar la consulta de los mismos con la finalidad de verificar si es posible consultar su contenido, obteniendo el resultado siguiente:</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28">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respuesta IEEM_DPP_2549_2021.pdf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67375" cy="7239000"/>
            <wp:effectExtent b="0" l="0" r="0" t="0"/>
            <wp:docPr id="41" name="image4.png"/>
            <a:graphic>
              <a:graphicData uri="http://schemas.openxmlformats.org/drawingml/2006/picture">
                <pic:pic>
                  <pic:nvPicPr>
                    <pic:cNvPr id="0" name="image4.png"/>
                    <pic:cNvPicPr preferRelativeResize="0"/>
                  </pic:nvPicPr>
                  <pic:blipFill>
                    <a:blip r:embed="rId29"/>
                    <a:srcRect b="14604" l="13407" r="55533" t="16294"/>
                    <a:stretch>
                      <a:fillRect/>
                    </a:stretch>
                  </pic:blipFill>
                  <pic:spPr>
                    <a:xfrm>
                      <a:off x="0" y="0"/>
                      <a:ext cx="5667375" cy="7239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30">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ANEXO EXPEDIENTES.rar</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una carpeta comprimida misma que nos permite acceder a los archivos siguientes: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172075" cy="2628900"/>
            <wp:effectExtent b="0" l="0" r="0" t="0"/>
            <wp:docPr id="44" name="image3.png"/>
            <a:graphic>
              <a:graphicData uri="http://schemas.openxmlformats.org/drawingml/2006/picture">
                <pic:pic>
                  <pic:nvPicPr>
                    <pic:cNvPr id="0" name="image3.png"/>
                    <pic:cNvPicPr preferRelativeResize="0"/>
                  </pic:nvPicPr>
                  <pic:blipFill>
                    <a:blip r:embed="rId10"/>
                    <a:srcRect b="54435" l="63646" r="5296" t="8751"/>
                    <a:stretch>
                      <a:fillRect/>
                    </a:stretch>
                  </pic:blipFill>
                  <pic:spPr>
                    <a:xfrm>
                      <a:off x="0" y="0"/>
                      <a:ext cx="517207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31">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FXM.pdf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161 páginas, en los que constan los expedientes de los candidatos registrados para los cargos de integrantes del Ayuntamiento, del Partido Fuerza por México, correspondiente al proceso electoral 2021 en Atizapán de Zaragoza, insertando únicamente lo siguiente: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44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619625" cy="3162300"/>
            <wp:effectExtent b="0" l="0" r="0" t="0"/>
            <wp:docPr id="43" name="image11.png"/>
            <a:graphic>
              <a:graphicData uri="http://schemas.openxmlformats.org/drawingml/2006/picture">
                <pic:pic>
                  <pic:nvPicPr>
                    <pic:cNvPr id="0" name="image11.png"/>
                    <pic:cNvPicPr preferRelativeResize="0"/>
                  </pic:nvPicPr>
                  <pic:blipFill>
                    <a:blip r:embed="rId32"/>
                    <a:srcRect b="16113" l="5261" r="64359" t="16897"/>
                    <a:stretch>
                      <a:fillRect/>
                    </a:stretch>
                  </pic:blipFill>
                  <pic:spPr>
                    <a:xfrm>
                      <a:off x="0" y="0"/>
                      <a:ext cx="4619625" cy="3162300"/>
                    </a:xfrm>
                    <a:prstGeom prst="rect"/>
                    <a:ln/>
                  </pic:spPr>
                </pic:pic>
              </a:graphicData>
            </a:graphic>
          </wp:inline>
        </w:drawing>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33">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JHH.pdf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134 páginas, en los que constan los expedientes de los candidatos registrados para los cargos de integrantes del Ayuntamiento, del Partido Morena, correspondiente al proceso electoral 2021 en Atizapán de Zaragoza, insertando únicamente lo siguiente: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44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676775" cy="2914650"/>
            <wp:effectExtent b="0" l="0" r="0" t="0"/>
            <wp:docPr id="46" name="image12.png"/>
            <a:graphic>
              <a:graphicData uri="http://schemas.openxmlformats.org/drawingml/2006/picture">
                <pic:pic>
                  <pic:nvPicPr>
                    <pic:cNvPr id="0" name="image12.png"/>
                    <pic:cNvPicPr preferRelativeResize="0"/>
                  </pic:nvPicPr>
                  <pic:blipFill>
                    <a:blip r:embed="rId34"/>
                    <a:srcRect b="7966" l="6618" r="62322" t="18105"/>
                    <a:stretch>
                      <a:fillRect/>
                    </a:stretch>
                  </pic:blipFill>
                  <pic:spPr>
                    <a:xfrm>
                      <a:off x="0" y="0"/>
                      <a:ext cx="467677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35">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MC.pdf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142 páginas, en los que constan los expedientes de los candidatos registrados para los cargos de integrantes del Ayuntamiento, del Partido Movimiento Ciudadano, correspondiente al proceso electoral 2021 en Atizapán de Zaragoza, insertando únicamente lo siguiente: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44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686300" cy="5591175"/>
            <wp:effectExtent b="0" l="0" r="0" t="0"/>
            <wp:docPr id="45" name="image6.png"/>
            <a:graphic>
              <a:graphicData uri="http://schemas.openxmlformats.org/drawingml/2006/picture">
                <pic:pic>
                  <pic:nvPicPr>
                    <pic:cNvPr id="0" name="image6.png"/>
                    <pic:cNvPicPr preferRelativeResize="0"/>
                  </pic:nvPicPr>
                  <pic:blipFill>
                    <a:blip r:embed="rId36"/>
                    <a:srcRect b="15510" l="3395" r="65546" t="20217"/>
                    <a:stretch>
                      <a:fillRect/>
                    </a:stretch>
                  </pic:blipFill>
                  <pic:spPr>
                    <a:xfrm>
                      <a:off x="0" y="0"/>
                      <a:ext cx="4686300" cy="559117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37">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PES.pdf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189 páginas, en los que constan los expedientes de los candidatos registrados para los cargos de integrantes del Ayuntamiento, del Partido Encuentro Solidario, correspondiente al proceso electoral 2021 en Atizapán de Zaragoza, insertando únicamente lo siguiente: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44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638675" cy="5762625"/>
            <wp:effectExtent b="0" l="0" r="0" t="0"/>
            <wp:docPr id="49" name="image9.png"/>
            <a:graphic>
              <a:graphicData uri="http://schemas.openxmlformats.org/drawingml/2006/picture">
                <pic:pic>
                  <pic:nvPicPr>
                    <pic:cNvPr id="0" name="image9.png"/>
                    <pic:cNvPicPr preferRelativeResize="0"/>
                  </pic:nvPicPr>
                  <pic:blipFill>
                    <a:blip r:embed="rId38"/>
                    <a:srcRect b="14000" l="5092" r="64698" t="14484"/>
                    <a:stretch>
                      <a:fillRect/>
                    </a:stretch>
                  </pic:blipFill>
                  <pic:spPr>
                    <a:xfrm>
                      <a:off x="0" y="0"/>
                      <a:ext cx="4638675" cy="57626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39">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PEVEM.pdf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140 páginas, en los que constan los expedientes de los candidatos registrados para los cargos de integrantes del Ayuntamiento, del Partido Verde Ecologista de México, correspondiente al proceso electoral 2021 en Atizapán de Zaragoza, insertando únicamente lo siguiente: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44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705350" cy="5819775"/>
            <wp:effectExtent b="0" l="0" r="0" t="0"/>
            <wp:docPr id="47" name="image8.png"/>
            <a:graphic>
              <a:graphicData uri="http://schemas.openxmlformats.org/drawingml/2006/picture">
                <pic:pic>
                  <pic:nvPicPr>
                    <pic:cNvPr id="0" name="image8.png"/>
                    <pic:cNvPicPr preferRelativeResize="0"/>
                  </pic:nvPicPr>
                  <pic:blipFill>
                    <a:blip r:embed="rId40"/>
                    <a:srcRect b="14605" l="7638" r="66395" t="24442"/>
                    <a:stretch>
                      <a:fillRect/>
                    </a:stretch>
                  </pic:blipFill>
                  <pic:spPr>
                    <a:xfrm>
                      <a:off x="0" y="0"/>
                      <a:ext cx="4705350" cy="581977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41">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RSP.pdf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159páginas, en los que constan los expedientes de los candidatos registrados para los cargos de integrantes del Ayuntamiento, del Partido Redes Sociales Progresistas, correspondiente al proceso electoral 2021 en Atizapán de Zaragoza, insertando únicamente lo siguiente: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44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657725" cy="5819775"/>
            <wp:effectExtent b="0" l="0" r="0" t="0"/>
            <wp:docPr id="48" name="image5.png"/>
            <a:graphic>
              <a:graphicData uri="http://schemas.openxmlformats.org/drawingml/2006/picture">
                <pic:pic>
                  <pic:nvPicPr>
                    <pic:cNvPr id="0" name="image5.png"/>
                    <pic:cNvPicPr preferRelativeResize="0"/>
                  </pic:nvPicPr>
                  <pic:blipFill>
                    <a:blip r:embed="rId42"/>
                    <a:srcRect b="17922" l="6110" r="66056" t="14484"/>
                    <a:stretch>
                      <a:fillRect/>
                    </a:stretch>
                  </pic:blipFill>
                  <pic:spPr>
                    <a:xfrm>
                      <a:off x="0" y="0"/>
                      <a:ext cx="4657725" cy="581977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43">
        <w:r w:rsidDel="00000000" w:rsidR="00000000" w:rsidRPr="00000000">
          <w:rPr>
            <w:rFonts w:ascii="Palatino Linotype" w:cs="Palatino Linotype" w:eastAsia="Palatino Linotype" w:hAnsi="Palatino Linotype"/>
            <w:b w:val="1"/>
            <w:i w:val="0"/>
            <w:smallCaps w:val="0"/>
            <w:strike w:val="0"/>
            <w:color w:val="67c19d"/>
            <w:sz w:val="22"/>
            <w:szCs w:val="22"/>
            <w:u w:val="single"/>
            <w:shd w:fill="fecde3" w:val="clear"/>
            <w:vertAlign w:val="baseline"/>
            <w:rtl w:val="0"/>
          </w:rPr>
          <w:t xml:space="preserve">VXM.pdf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está integrado por 157 páginas, en los que constan los expedientes de los candidatos registrados para los cargos de integrantes del Ayuntamiento, del Partido Verde Ecologista de México, correspondiente al proceso electoral 2021 en Atizapán de Zaragoza, insertando únicamente lo siguiente: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44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629150" cy="5734050"/>
            <wp:effectExtent b="0" l="0" r="0" t="0"/>
            <wp:docPr id="50" name="image10.png"/>
            <a:graphic>
              <a:graphicData uri="http://schemas.openxmlformats.org/drawingml/2006/picture">
                <pic:pic>
                  <pic:nvPicPr>
                    <pic:cNvPr id="0" name="image10.png"/>
                    <pic:cNvPicPr preferRelativeResize="0"/>
                  </pic:nvPicPr>
                  <pic:blipFill>
                    <a:blip r:embed="rId44"/>
                    <a:srcRect b="16716" l="6280" r="65886" t="14484"/>
                    <a:stretch>
                      <a:fillRect/>
                    </a:stretch>
                  </pic:blipFill>
                  <pic:spPr>
                    <a:xfrm>
                      <a:off x="0" y="0"/>
                      <a:ext cx="4629150" cy="573405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45">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OFICIO RESPUESTA 00311 Y 00312-2021 UT.pdf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067300" cy="6905625"/>
            <wp:effectExtent b="0" l="0" r="0" t="0"/>
            <wp:docPr id="51" name="image14.png"/>
            <a:graphic>
              <a:graphicData uri="http://schemas.openxmlformats.org/drawingml/2006/picture">
                <pic:pic>
                  <pic:nvPicPr>
                    <pic:cNvPr id="0" name="image14.png"/>
                    <pic:cNvPicPr preferRelativeResize="0"/>
                  </pic:nvPicPr>
                  <pic:blipFill>
                    <a:blip r:embed="rId46"/>
                    <a:srcRect b="11889" l="10182" r="54854" t="17199"/>
                    <a:stretch>
                      <a:fillRect/>
                    </a:stretch>
                  </pic:blipFill>
                  <pic:spPr>
                    <a:xfrm>
                      <a:off x="0" y="0"/>
                      <a:ext cx="5067300" cy="690562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47">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Acuerdo IEEM-CT-115-2021.pdf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000625" cy="2800350"/>
            <wp:effectExtent b="0" l="0" r="0" t="0"/>
            <wp:docPr id="52" name="image16.png"/>
            <a:graphic>
              <a:graphicData uri="http://schemas.openxmlformats.org/drawingml/2006/picture">
                <pic:pic>
                  <pic:nvPicPr>
                    <pic:cNvPr id="0" name="image16.png"/>
                    <pic:cNvPicPr preferRelativeResize="0"/>
                  </pic:nvPicPr>
                  <pic:blipFill>
                    <a:blip r:embed="rId48"/>
                    <a:srcRect b="49565" l="11371" r="55702" t="17198"/>
                    <a:stretch>
                      <a:fillRect/>
                    </a:stretch>
                  </pic:blipFill>
                  <pic:spPr>
                    <a:xfrm>
                      <a:off x="0" y="0"/>
                      <a:ext cx="5000625"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876800" cy="3981450"/>
            <wp:effectExtent b="0" l="0" r="0" t="0"/>
            <wp:docPr id="53" name="image15.png"/>
            <a:graphic>
              <a:graphicData uri="http://schemas.openxmlformats.org/drawingml/2006/picture">
                <pic:pic>
                  <pic:nvPicPr>
                    <pic:cNvPr id="0" name="image15.png"/>
                    <pic:cNvPicPr preferRelativeResize="0"/>
                  </pic:nvPicPr>
                  <pic:blipFill>
                    <a:blip r:embed="rId49"/>
                    <a:srcRect b="13096" l="13407" r="58418" t="28667"/>
                    <a:stretch>
                      <a:fillRect/>
                    </a:stretch>
                  </pic:blipFill>
                  <pic:spPr>
                    <a:xfrm>
                      <a:off x="0" y="0"/>
                      <a:ext cx="4876800" cy="398145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50">
        <w:r w:rsidDel="00000000" w:rsidR="00000000" w:rsidRPr="00000000">
          <w:rPr>
            <w:rFonts w:ascii="Palatino Linotype" w:cs="Palatino Linotype" w:eastAsia="Palatino Linotype" w:hAnsi="Palatino Linotype"/>
            <w:b w:val="1"/>
            <w:i w:val="0"/>
            <w:smallCaps w:val="0"/>
            <w:strike w:val="0"/>
            <w:color w:val="67c19d"/>
            <w:sz w:val="22"/>
            <w:szCs w:val="22"/>
            <w:u w:val="single"/>
            <w:shd w:fill="auto" w:val="clear"/>
            <w:vertAlign w:val="baseline"/>
            <w:rtl w:val="0"/>
          </w:rPr>
          <w:t xml:space="preserve">caratulas.pdf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010150" cy="6972300"/>
            <wp:effectExtent b="0" l="0" r="0" t="0"/>
            <wp:docPr id="54" name="image17.png"/>
            <a:graphic>
              <a:graphicData uri="http://schemas.openxmlformats.org/drawingml/2006/picture">
                <pic:pic>
                  <pic:nvPicPr>
                    <pic:cNvPr id="0" name="image17.png"/>
                    <pic:cNvPicPr preferRelativeResize="0"/>
                  </pic:nvPicPr>
                  <pic:blipFill>
                    <a:blip r:embed="rId51"/>
                    <a:srcRect b="11284" l="13407" r="58928" t="16596"/>
                    <a:stretch>
                      <a:fillRect/>
                    </a:stretch>
                  </pic:blipFill>
                  <pic:spPr>
                    <a:xfrm>
                      <a:off x="0" y="0"/>
                      <a:ext cx="5010150" cy="69723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las imágenes se aprecia que</w:t>
      </w:r>
      <w:r w:rsidDel="00000000" w:rsidR="00000000" w:rsidRPr="00000000">
        <w:rPr>
          <w:rFonts w:ascii="Palatino Linotype" w:cs="Palatino Linotype" w:eastAsia="Palatino Linotype" w:hAnsi="Palatino Linotype"/>
          <w:rtl w:val="0"/>
        </w:rPr>
        <w:t xml:space="preserve"> cada uno de los archivos que el Sujeto Obligado envió al momento de emitir respuesta no están dañados, esto es, se puede visualizar de manera correcta su contenido, por lo que se concluye que el motivo de inconformidad planteado por el recurrente es infundado.</w:t>
      </w:r>
      <w:r w:rsidDel="00000000" w:rsidR="00000000" w:rsidRPr="00000000">
        <w:rPr>
          <w:rtl w:val="0"/>
        </w:rPr>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Cabe agregar que la información fue proporcionada por el área legalmente facultada para generar, administrar y poseer lo requerido por el recurrente, tal y como lo establecen los dispositivos legales siguientes:</w:t>
      </w:r>
    </w:p>
    <w:p w:rsidR="00000000" w:rsidDel="00000000" w:rsidP="00000000" w:rsidRDefault="00000000" w:rsidRPr="00000000" w14:paraId="0000009A">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Código Electoral del Estado de México.</w:t>
      </w:r>
    </w:p>
    <w:p w:rsidR="00000000" w:rsidDel="00000000" w:rsidP="00000000" w:rsidRDefault="00000000" w:rsidRPr="00000000" w14:paraId="0000009B">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202.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Dirección de Partidos Políticos tiene las siguientes atribuciones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Conocer de las notificaciones que formulen las organizaciones que pretendan constituirse como partidos políticos locales y realizar las funciones correspondientes.</w:t>
      </w:r>
    </w:p>
    <w:p w:rsidR="00000000" w:rsidDel="00000000" w:rsidP="00000000" w:rsidRDefault="00000000" w:rsidRPr="00000000" w14:paraId="0000009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Recibir las solicitudes de registro de las organizaciones que hayan cumplido los requisitos establecidos en este Código e integrar el expediente respectivo para que el Secretario Ejecutivo lo someta a la consideración del Consejo General.</w:t>
      </w:r>
    </w:p>
    <w:p w:rsidR="00000000" w:rsidDel="00000000" w:rsidP="00000000" w:rsidRDefault="00000000" w:rsidRPr="00000000" w14:paraId="0000009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Inscribir en el libro respectivo el registro de partidos, así como los convenios de coaliciones y de fusión.</w:t>
      </w:r>
    </w:p>
    <w:p w:rsidR="00000000" w:rsidDel="00000000" w:rsidP="00000000" w:rsidRDefault="00000000" w:rsidRPr="00000000" w14:paraId="000000A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Coadyuvar con la Dirección de Administración para el suministro a los partidos políticos nacionales o locales con registro, del financiamiento público al que tienen derecho.</w:t>
      </w:r>
    </w:p>
    <w:p w:rsidR="00000000" w:rsidDel="00000000" w:rsidP="00000000" w:rsidRDefault="00000000" w:rsidRPr="00000000" w14:paraId="000000A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Llevar a cabo los trámites necesarios para que los partidos políticos nacionales o locales con registro puedan disponer o hacer efectivas las prerrogativas a las que tienen derecho.</w:t>
      </w:r>
    </w:p>
    <w:p w:rsidR="00000000" w:rsidDel="00000000" w:rsidP="00000000" w:rsidRDefault="00000000" w:rsidRPr="00000000" w14:paraId="000000A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Llevar el libro de registro de los integrantes de los órganos directivos de los partidos políticos y de sus representantes acreditados ante los consejos General, distritales y municipales electorales.</w:t>
      </w:r>
    </w:p>
    <w:p w:rsidR="00000000" w:rsidDel="00000000" w:rsidP="00000000" w:rsidRDefault="00000000" w:rsidRPr="00000000" w14:paraId="000000A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Llevar los libros de registro de los candidatos a los puestos de elección popular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Acordar con el Secretario Ejecutivo los asuntos de su competencia.</w:t>
      </w:r>
    </w:p>
    <w:p w:rsidR="00000000" w:rsidDel="00000000" w:rsidP="00000000" w:rsidRDefault="00000000" w:rsidRPr="00000000" w14:paraId="000000A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Apoyar a la Comisión de Acceso a Medios, Propaganda y Difusión en la elaboración y presentación de pautas y en la vigilancia de los contenidos de los mensajes de los Partidos Políticos y el Instituto en los medios de comunicación social.</w:t>
      </w:r>
    </w:p>
    <w:p w:rsidR="00000000" w:rsidDel="00000000" w:rsidP="00000000" w:rsidRDefault="00000000" w:rsidRPr="00000000" w14:paraId="000000A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Las demás que le confiera este Código.</w:t>
      </w:r>
    </w:p>
    <w:p w:rsidR="00000000" w:rsidDel="00000000" w:rsidP="00000000" w:rsidRDefault="00000000" w:rsidRPr="00000000" w14:paraId="000000A7">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A8">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Reglamento Interno del Instituto Electoral del Estado de México.</w:t>
      </w:r>
    </w:p>
    <w:p w:rsidR="00000000" w:rsidDel="00000000" w:rsidP="00000000" w:rsidRDefault="00000000" w:rsidRPr="00000000" w14:paraId="000000A9">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AA">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AB">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AC">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SECCIÓN QUINTA DE LA DIRECCIÓN DE PARTIDOS POLÍTICOS</w:t>
      </w:r>
    </w:p>
    <w:p w:rsidR="00000000" w:rsidDel="00000000" w:rsidP="00000000" w:rsidRDefault="00000000" w:rsidRPr="00000000" w14:paraId="000000AD">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A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38. </w:t>
      </w:r>
      <w:r w:rsidDel="00000000" w:rsidR="00000000" w:rsidRPr="00000000">
        <w:rPr>
          <w:rFonts w:ascii="Palatino Linotype" w:cs="Palatino Linotype" w:eastAsia="Palatino Linotype" w:hAnsi="Palatino Linotype"/>
          <w:b w:val="1"/>
          <w:i w:val="1"/>
          <w:sz w:val="22"/>
          <w:szCs w:val="22"/>
          <w:u w:val="single"/>
          <w:rtl w:val="0"/>
        </w:rPr>
        <w:t xml:space="preserve">La Dirección de Partidos Políticos es el órgano del Instituto encargado de verificar y garantizar a los partidos políticos con acreditación o registro ante el Instituto</w:t>
      </w:r>
      <w:r w:rsidDel="00000000" w:rsidR="00000000" w:rsidRPr="00000000">
        <w:rPr>
          <w:rFonts w:ascii="Palatino Linotype" w:cs="Palatino Linotype" w:eastAsia="Palatino Linotype" w:hAnsi="Palatino Linotype"/>
          <w:i w:val="1"/>
          <w:sz w:val="22"/>
          <w:szCs w:val="22"/>
          <w:rtl w:val="0"/>
        </w:rPr>
        <w:t xml:space="preserve">, y en su caso, candidatos independientes, </w:t>
      </w:r>
      <w:r w:rsidDel="00000000" w:rsidR="00000000" w:rsidRPr="00000000">
        <w:rPr>
          <w:rFonts w:ascii="Palatino Linotype" w:cs="Palatino Linotype" w:eastAsia="Palatino Linotype" w:hAnsi="Palatino Linotype"/>
          <w:b w:val="1"/>
          <w:i w:val="1"/>
          <w:sz w:val="22"/>
          <w:szCs w:val="22"/>
          <w:u w:val="single"/>
          <w:rtl w:val="0"/>
        </w:rPr>
        <w:t xml:space="preserve">el ejercicio de sus derechos</w:t>
      </w:r>
      <w:r w:rsidDel="00000000" w:rsidR="00000000" w:rsidRPr="00000000">
        <w:rPr>
          <w:rFonts w:ascii="Palatino Linotype" w:cs="Palatino Linotype" w:eastAsia="Palatino Linotype" w:hAnsi="Palatino Linotype"/>
          <w:i w:val="1"/>
          <w:sz w:val="22"/>
          <w:szCs w:val="22"/>
          <w:rtl w:val="0"/>
        </w:rPr>
        <w:t xml:space="preserve">, prerrogativas y el cumplimiento de sus obligaciones, así como, a las organizaciones de ciudadanos su derecho de asociación política para constituirse como partido político local. Esta Dirección </w:t>
      </w:r>
      <w:r w:rsidDel="00000000" w:rsidR="00000000" w:rsidRPr="00000000">
        <w:rPr>
          <w:rFonts w:ascii="Palatino Linotype" w:cs="Palatino Linotype" w:eastAsia="Palatino Linotype" w:hAnsi="Palatino Linotype"/>
          <w:b w:val="1"/>
          <w:i w:val="1"/>
          <w:sz w:val="22"/>
          <w:szCs w:val="22"/>
          <w:u w:val="single"/>
          <w:rtl w:val="0"/>
        </w:rPr>
        <w:t xml:space="preserve">ejercerá sus atribuciones en términos de lo dispuesto por el artículo 202 del Código y demás disposiciones legales aplicables, para tal efecto contará con la siguiente estructura:</w:t>
      </w:r>
      <w:r w:rsidDel="00000000" w:rsidR="00000000" w:rsidRPr="00000000">
        <w:rPr>
          <w:rtl w:val="0"/>
        </w:rPr>
      </w:r>
    </w:p>
    <w:p w:rsidR="00000000" w:rsidDel="00000000" w:rsidP="00000000" w:rsidRDefault="00000000" w:rsidRPr="00000000" w14:paraId="000000AF">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Director de Partidos Políticos.</w:t>
      </w:r>
    </w:p>
    <w:p w:rsidR="00000000" w:rsidDel="00000000" w:rsidP="00000000" w:rsidRDefault="00000000" w:rsidRPr="00000000" w14:paraId="000000B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Subdirección de Atención a Organizaciones y Partidos Políticos - Coordinación de Prerrogativas y Partidos Políticos SPEN; y</w:t>
      </w:r>
    </w:p>
    <w:p w:rsidR="00000000" w:rsidDel="00000000" w:rsidP="00000000" w:rsidRDefault="00000000" w:rsidRPr="00000000" w14:paraId="000000B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Subdirección de Prerrogativas de Acceso a Medios, Propaganda y Difusión - Coordinación de Prerrogativas y Partidos Políticos SPEN. </w:t>
      </w:r>
    </w:p>
    <w:p w:rsidR="00000000" w:rsidDel="00000000" w:rsidP="00000000" w:rsidRDefault="00000000" w:rsidRPr="00000000" w14:paraId="000000B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Además, contará con los Departamentos que se definan en el Manual.</w:t>
      </w:r>
    </w:p>
    <w:p w:rsidR="00000000" w:rsidDel="00000000" w:rsidP="00000000" w:rsidRDefault="00000000" w:rsidRPr="00000000" w14:paraId="000000B4">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5">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Manual de Organización del Instituto Electoral del Estado de México.</w:t>
      </w:r>
    </w:p>
    <w:p w:rsidR="00000000" w:rsidDel="00000000" w:rsidP="00000000" w:rsidRDefault="00000000" w:rsidRPr="00000000" w14:paraId="000000B6">
      <w:pPr>
        <w:ind w:right="851"/>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B7">
      <w:pP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16.- Dirección de Partidos Políticos</w:t>
      </w:r>
    </w:p>
    <w:p w:rsidR="00000000" w:rsidDel="00000000" w:rsidP="00000000" w:rsidRDefault="00000000" w:rsidRPr="00000000" w14:paraId="000000B8">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Objetivo:</w:t>
      </w:r>
      <w:r w:rsidDel="00000000" w:rsidR="00000000" w:rsidRPr="00000000">
        <w:rPr>
          <w:rFonts w:ascii="Palatino Linotype" w:cs="Palatino Linotype" w:eastAsia="Palatino Linotype" w:hAnsi="Palatino Linotype"/>
          <w:i w:val="1"/>
          <w:color w:val="000000"/>
          <w:sz w:val="22"/>
          <w:szCs w:val="22"/>
          <w:rtl w:val="0"/>
        </w:rPr>
        <w:t xml:space="preserve"> Verificar y garantizar a los partidos políticos con acreditación o registro ante el Instituto y, en su caso, candidatos independientes, el ejercicio de sus derechos, prerrogativas y el cumplimiento de sus obligaciones; lo relativo al acceso a la radio y televisión del Instituto; así como garantizar a las organizaciones de ciudadanos su derecho de asociación política para constituirse como partido político local.</w:t>
      </w:r>
    </w:p>
    <w:p w:rsidR="00000000" w:rsidDel="00000000" w:rsidP="00000000" w:rsidRDefault="00000000" w:rsidRPr="00000000" w14:paraId="000000B9">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BA">
      <w:pP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Funciones:</w:t>
      </w:r>
    </w:p>
    <w:p w:rsidR="00000000" w:rsidDel="00000000" w:rsidP="00000000" w:rsidRDefault="00000000" w:rsidRPr="00000000" w14:paraId="000000BB">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BC">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BD">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drawing>
          <wp:inline distB="0" distT="0" distL="0" distR="0">
            <wp:extent cx="4505325" cy="2495550"/>
            <wp:effectExtent b="0" l="0" r="0" t="0"/>
            <wp:docPr id="55" name="image13.png"/>
            <a:graphic>
              <a:graphicData uri="http://schemas.openxmlformats.org/drawingml/2006/picture">
                <pic:pic>
                  <pic:nvPicPr>
                    <pic:cNvPr id="0" name="image13.png"/>
                    <pic:cNvPicPr preferRelativeResize="0"/>
                  </pic:nvPicPr>
                  <pic:blipFill>
                    <a:blip r:embed="rId52"/>
                    <a:srcRect b="36029" l="3877" r="71748" t="32589"/>
                    <a:stretch>
                      <a:fillRect/>
                    </a:stretch>
                  </pic:blipFill>
                  <pic:spPr>
                    <a:xfrm>
                      <a:off x="0" y="0"/>
                      <a:ext cx="450532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BF">
      <w:pP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16.1.1. Departamento de Partidos Políticos (Departamento de Prerrogativas y Partidos Políticos, SPEN)</w:t>
      </w:r>
    </w:p>
    <w:p w:rsidR="00000000" w:rsidDel="00000000" w:rsidP="00000000" w:rsidRDefault="00000000" w:rsidRPr="00000000" w14:paraId="000000C0">
      <w:pP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C1">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Objetivo:</w:t>
      </w:r>
      <w:r w:rsidDel="00000000" w:rsidR="00000000" w:rsidRPr="00000000">
        <w:rPr>
          <w:rFonts w:ascii="Palatino Linotype" w:cs="Palatino Linotype" w:eastAsia="Palatino Linotype" w:hAnsi="Palatino Linotype"/>
          <w:i w:val="1"/>
          <w:color w:val="000000"/>
          <w:sz w:val="22"/>
          <w:szCs w:val="22"/>
          <w:rtl w:val="0"/>
        </w:rPr>
        <w:t xml:space="preserve"> Capacitar a los partidos políticos y, en su caso, candidatos independientes, sobre el cumplimiento de sus derechos y obligaciones e integrar los libros de registro de los partidos políticos, convenios de coalición y fusión, integrantes de los órganos directivos y representantes acreditados ante los órganos del Instituto, así como de las organizaciones o agrupaciones de ciudadanos y candidatos a puestos de elección popular de los partidos políticos, candidatos comunes y candidatos independientes.</w:t>
      </w:r>
    </w:p>
    <w:p w:rsidR="00000000" w:rsidDel="00000000" w:rsidP="00000000" w:rsidRDefault="00000000" w:rsidRPr="00000000" w14:paraId="000000C2">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tl w:val="0"/>
        </w:rPr>
      </w:r>
    </w:p>
    <w:p w:rsidR="00000000" w:rsidDel="00000000" w:rsidP="00000000" w:rsidRDefault="00000000" w:rsidRPr="00000000" w14:paraId="000000C3">
      <w:pP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Funciones como Departamento de Partidos Políticos:</w:t>
      </w:r>
    </w:p>
    <w:p w:rsidR="00000000" w:rsidDel="00000000" w:rsidP="00000000" w:rsidRDefault="00000000" w:rsidRPr="00000000" w14:paraId="000000C4">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C5">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u w:val="single"/>
          <w:rtl w:val="0"/>
        </w:rPr>
        <w:t xml:space="preserve">Integrar los expedientes en la solicitud de registro y sustituciones de los candidatos a puestos de elección popular</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C6">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C7">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8">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w:t>
      </w:r>
    </w:p>
    <w:p w:rsidR="00000000" w:rsidDel="00000000" w:rsidP="00000000" w:rsidRDefault="00000000" w:rsidRPr="00000000" w14:paraId="000000C9">
      <w:pP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Aunado a todo lo anterior, este Instituto no está facultado para pronunciarse sobre la veracidad de la respuesta emitida por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pues no existe precepto legal alguno en la Ley que lo faculte para ello, toda vez que la presunción de veracidad, es un derecho o principio legal y jurídico del que disfrutan las 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 debido a que admite prueba en contrario; es decir, supone una declaración </w:t>
      </w:r>
      <w:r w:rsidDel="00000000" w:rsidR="00000000" w:rsidRPr="00000000">
        <w:rPr>
          <w:rFonts w:ascii="Palatino Linotype" w:cs="Palatino Linotype" w:eastAsia="Palatino Linotype" w:hAnsi="Palatino Linotype"/>
          <w:i w:val="1"/>
          <w:color w:val="000000"/>
          <w:rtl w:val="0"/>
        </w:rPr>
        <w:t xml:space="preserve">iuris tantum, </w:t>
      </w:r>
      <w:r w:rsidDel="00000000" w:rsidR="00000000" w:rsidRPr="00000000">
        <w:rPr>
          <w:rFonts w:ascii="Palatino Linotype" w:cs="Palatino Linotype" w:eastAsia="Palatino Linotype" w:hAnsi="Palatino Linotype"/>
          <w:color w:val="000000"/>
          <w:rtl w:val="0"/>
        </w:rPr>
        <w:t xml:space="preserve">por lo que este Órgano no está facultado para pronunciarse sobre la veracidad de la respuesta emitida, aun y cuando ésta no satisfaga el derecho de acceso a la información del </w:t>
      </w:r>
      <w:r w:rsidDel="00000000" w:rsidR="00000000" w:rsidRPr="00000000">
        <w:rPr>
          <w:rFonts w:ascii="Palatino Linotype" w:cs="Palatino Linotype" w:eastAsia="Palatino Linotype" w:hAnsi="Palatino Linotype"/>
          <w:b w:val="1"/>
          <w:i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Sirve de apoyo a lo anterior por analogía el criterio 31-10 emitido por el entonces Instituto Federal de Acceso a la Información y Protección de Datos, que a la letra dice:</w:t>
      </w:r>
      <w:r w:rsidDel="00000000" w:rsidR="00000000" w:rsidRPr="00000000">
        <w:rPr>
          <w:rtl w:val="0"/>
        </w:rPr>
      </w:r>
    </w:p>
    <w:p w:rsidR="00000000" w:rsidDel="00000000" w:rsidP="00000000" w:rsidRDefault="00000000" w:rsidRPr="00000000" w14:paraId="000000CB">
      <w:pPr>
        <w:spacing w:after="240" w:before="240" w:lineRule="auto"/>
        <w:ind w:left="851" w:right="900" w:firstLine="0"/>
        <w:jc w:val="both"/>
        <w:rPr>
          <w:rFonts w:ascii="Palatino Linotype" w:cs="Palatino Linotype" w:eastAsia="Palatino Linotype" w:hAnsi="Palatino Linotype"/>
          <w:i w:val="1"/>
          <w:color w:val="000000"/>
          <w:sz w:val="22"/>
          <w:szCs w:val="22"/>
        </w:rPr>
      </w:pPr>
      <w:bookmarkStart w:colFirst="0" w:colLast="0" w:name="_heading=h.3znysh7" w:id="3"/>
      <w:bookmarkEnd w:id="3"/>
      <w:r w:rsidDel="00000000" w:rsidR="00000000" w:rsidRPr="00000000">
        <w:rPr>
          <w:rFonts w:ascii="Palatino Linotype" w:cs="Palatino Linotype" w:eastAsia="Palatino Linotype" w:hAnsi="Palatino Linotype"/>
          <w:i w:val="1"/>
          <w:color w:val="000000"/>
          <w:sz w:val="23"/>
          <w:szCs w:val="23"/>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color w:val="000000"/>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CC">
      <w:pPr>
        <w:spacing w:after="240" w:before="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D">
      <w:pPr>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mérito de lo mencionado con anterioridad, este Órgano Garante considera infundadas las razones o motivos de inconformidad que plantea el</w:t>
      </w:r>
      <w:r w:rsidDel="00000000" w:rsidR="00000000" w:rsidRPr="00000000">
        <w:rPr>
          <w:rFonts w:ascii="Palatino Linotype" w:cs="Palatino Linotype" w:eastAsia="Palatino Linotype" w:hAnsi="Palatino Linotype"/>
          <w:b w:val="1"/>
          <w:color w:val="000000"/>
          <w:rtl w:val="0"/>
        </w:rPr>
        <w:t xml:space="preserve"> Recurrente</w:t>
      </w:r>
      <w:r w:rsidDel="00000000" w:rsidR="00000000" w:rsidRPr="00000000">
        <w:rPr>
          <w:rFonts w:ascii="Palatino Linotype" w:cs="Palatino Linotype" w:eastAsia="Palatino Linotype" w:hAnsi="Palatino Linotype"/>
          <w:color w:val="000000"/>
          <w:rtl w:val="0"/>
        </w:rPr>
        <w:t xml:space="preserve">, de tal manera que con fundamento en el artículo 186 fracción II de la Ley de Transparencia vigente en la entidad, se </w:t>
      </w:r>
      <w:r w:rsidDel="00000000" w:rsidR="00000000" w:rsidRPr="00000000">
        <w:rPr>
          <w:rFonts w:ascii="Palatino Linotype" w:cs="Palatino Linotype" w:eastAsia="Palatino Linotype" w:hAnsi="Palatino Linotype"/>
          <w:b w:val="1"/>
          <w:color w:val="000000"/>
          <w:rtl w:val="0"/>
        </w:rPr>
        <w:t xml:space="preserve">CONFIRMA</w:t>
      </w:r>
      <w:r w:rsidDel="00000000" w:rsidR="00000000" w:rsidRPr="00000000">
        <w:rPr>
          <w:rFonts w:ascii="Palatino Linotype" w:cs="Palatino Linotype" w:eastAsia="Palatino Linotype" w:hAnsi="Palatino Linotype"/>
          <w:color w:val="000000"/>
          <w:rtl w:val="0"/>
        </w:rPr>
        <w:t xml:space="preserve"> la respuesta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con fundamento en lo prescrito en los artículos </w:t>
      </w:r>
      <w:r w:rsidDel="00000000" w:rsidR="00000000" w:rsidRPr="00000000">
        <w:rPr>
          <w:rFonts w:ascii="Palatino Linotype" w:cs="Palatino Linotype" w:eastAsia="Palatino Linotype" w:hAnsi="Palatino Linotype"/>
          <w:color w:val="000000"/>
          <w:highlight w:val="white"/>
          <w:rtl w:val="0"/>
        </w:rPr>
        <w:t xml:space="preserve">5, párrafos vigésimo noveno, trigésimo y trigésimo primero fracciones IV y V </w:t>
      </w:r>
      <w:r w:rsidDel="00000000" w:rsidR="00000000" w:rsidRPr="00000000">
        <w:rPr>
          <w:rFonts w:ascii="Palatino Linotype" w:cs="Palatino Linotype" w:eastAsia="Palatino Linotype" w:hAnsi="Palatino Linotype"/>
          <w:color w:val="000000"/>
          <w:rtl w:val="0"/>
        </w:rPr>
        <w:t xml:space="preserve">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0CF">
      <w:pPr>
        <w:spacing w:after="0" w:before="240" w:line="360" w:lineRule="auto"/>
        <w:ind w:left="360" w:firstLine="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III. R E S U E L V E:</w:t>
      </w:r>
    </w:p>
    <w:p w:rsidR="00000000" w:rsidDel="00000000" w:rsidP="00000000" w:rsidRDefault="00000000" w:rsidRPr="00000000" w14:paraId="000000D0">
      <w:pPr>
        <w:spacing w:after="0" w:before="0" w:line="360" w:lineRule="auto"/>
        <w:ind w:left="360" w:firstLine="0"/>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D1">
      <w:pPr>
        <w:spacing w:after="240" w:before="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Primero. </w:t>
      </w:r>
      <w:r w:rsidDel="00000000" w:rsidR="00000000" w:rsidRPr="00000000">
        <w:rPr>
          <w:rFonts w:ascii="Palatino Linotype" w:cs="Palatino Linotype" w:eastAsia="Palatino Linotype" w:hAnsi="Palatino Linotype"/>
          <w:color w:val="000000"/>
          <w:rtl w:val="0"/>
        </w:rPr>
        <w:t xml:space="preserve">Resultan infundadas las razones o motivos de inconformidad hechos valer por el recurrente</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en el recurso de revisión </w:t>
      </w:r>
      <w:r w:rsidDel="00000000" w:rsidR="00000000" w:rsidRPr="00000000">
        <w:rPr>
          <w:rFonts w:ascii="Palatino Linotype" w:cs="Palatino Linotype" w:eastAsia="Palatino Linotype" w:hAnsi="Palatino Linotype"/>
          <w:b w:val="1"/>
          <w:color w:val="000000"/>
          <w:rtl w:val="0"/>
        </w:rPr>
        <w:t xml:space="preserve">03274/INFOEM/IP/RR/2021 </w:t>
      </w:r>
      <w:r w:rsidDel="00000000" w:rsidR="00000000" w:rsidRPr="00000000">
        <w:rPr>
          <w:rFonts w:ascii="Palatino Linotype" w:cs="Palatino Linotype" w:eastAsia="Palatino Linotype" w:hAnsi="Palatino Linotype"/>
          <w:color w:val="000000"/>
          <w:rtl w:val="0"/>
        </w:rPr>
        <w:t xml:space="preserve">en términos del Considerando Cuarto de la presente resolución.</w:t>
      </w:r>
    </w:p>
    <w:p w:rsidR="00000000" w:rsidDel="00000000" w:rsidP="00000000" w:rsidRDefault="00000000" w:rsidRPr="00000000" w14:paraId="000000D2">
      <w:pPr>
        <w:spacing w:after="240" w:before="24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Segundo. </w:t>
      </w:r>
      <w:r w:rsidDel="00000000" w:rsidR="00000000" w:rsidRPr="00000000">
        <w:rPr>
          <w:rFonts w:ascii="Palatino Linotype" w:cs="Palatino Linotype" w:eastAsia="Palatino Linotype" w:hAnsi="Palatino Linotype"/>
          <w:color w:val="000000"/>
          <w:rtl w:val="0"/>
        </w:rPr>
        <w:t xml:space="preserve">Se </w:t>
      </w:r>
      <w:r w:rsidDel="00000000" w:rsidR="00000000" w:rsidRPr="00000000">
        <w:rPr>
          <w:rFonts w:ascii="Palatino Linotype" w:cs="Palatino Linotype" w:eastAsia="Palatino Linotype" w:hAnsi="Palatino Linotype"/>
          <w:b w:val="1"/>
          <w:color w:val="000000"/>
          <w:rtl w:val="0"/>
        </w:rPr>
        <w:t xml:space="preserve">CONFIRMA</w:t>
      </w:r>
      <w:r w:rsidDel="00000000" w:rsidR="00000000" w:rsidRPr="00000000">
        <w:rPr>
          <w:rFonts w:ascii="Palatino Linotype" w:cs="Palatino Linotype" w:eastAsia="Palatino Linotype" w:hAnsi="Palatino Linotype"/>
          <w:color w:val="000000"/>
          <w:rtl w:val="0"/>
        </w:rPr>
        <w:t xml:space="preserve"> la respuesta del</w:t>
      </w:r>
      <w:r w:rsidDel="00000000" w:rsidR="00000000" w:rsidRPr="00000000">
        <w:rPr>
          <w:rFonts w:ascii="Palatino Linotype" w:cs="Palatino Linotype" w:eastAsia="Palatino Linotype" w:hAnsi="Palatino Linotype"/>
          <w:b w:val="1"/>
          <w:color w:val="000000"/>
          <w:rtl w:val="0"/>
        </w:rPr>
        <w:t xml:space="preserve"> Sujeto Obligado </w:t>
      </w:r>
      <w:r w:rsidDel="00000000" w:rsidR="00000000" w:rsidRPr="00000000">
        <w:rPr>
          <w:rFonts w:ascii="Palatino Linotype" w:cs="Palatino Linotype" w:eastAsia="Palatino Linotype" w:hAnsi="Palatino Linotype"/>
          <w:color w:val="000000"/>
          <w:rtl w:val="0"/>
        </w:rPr>
        <w:t xml:space="preserve">otorgada a la solicitud de información </w:t>
      </w:r>
      <w:r w:rsidDel="00000000" w:rsidR="00000000" w:rsidRPr="00000000">
        <w:rPr>
          <w:rFonts w:ascii="Palatino Linotype" w:cs="Palatino Linotype" w:eastAsia="Palatino Linotype" w:hAnsi="Palatino Linotype"/>
          <w:b w:val="1"/>
          <w:color w:val="000000"/>
          <w:rtl w:val="0"/>
        </w:rPr>
        <w:t xml:space="preserve">00312/IEEM/IP/2021.</w: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color w:val="000000"/>
        </w:rPr>
      </w:pPr>
      <w:bookmarkStart w:colFirst="0" w:colLast="0" w:name="_heading=h.2et92p0" w:id="4"/>
      <w:bookmarkEnd w:id="4"/>
      <w:r w:rsidDel="00000000" w:rsidR="00000000" w:rsidRPr="00000000">
        <w:rPr>
          <w:rFonts w:ascii="Palatino Linotype" w:cs="Palatino Linotype" w:eastAsia="Palatino Linotype" w:hAnsi="Palatino Linotype"/>
          <w:b w:val="1"/>
          <w:color w:val="000000"/>
          <w:highlight w:val="white"/>
          <w:rtl w:val="0"/>
        </w:rPr>
        <w:t xml:space="preserve">Tercero. Notifíquese</w:t>
      </w:r>
      <w:r w:rsidDel="00000000" w:rsidR="00000000" w:rsidRPr="00000000">
        <w:rPr>
          <w:rFonts w:ascii="Palatino Linotype" w:cs="Palatino Linotype" w:eastAsia="Palatino Linotype" w:hAnsi="Palatino Linotype"/>
          <w:i w:val="1"/>
          <w:color w:val="000000"/>
          <w:highlight w:val="white"/>
          <w:rtl w:val="0"/>
        </w:rPr>
        <w:t xml:space="preserve"> </w:t>
      </w:r>
      <w:r w:rsidDel="00000000" w:rsidR="00000000" w:rsidRPr="00000000">
        <w:rPr>
          <w:rFonts w:ascii="Palatino Linotype" w:cs="Palatino Linotype" w:eastAsia="Palatino Linotype" w:hAnsi="Palatino Linotype"/>
          <w:b w:val="1"/>
          <w:color w:val="000000"/>
          <w:rtl w:val="0"/>
        </w:rPr>
        <w:t xml:space="preserve">vía SAIMEX</w:t>
      </w:r>
      <w:r w:rsidDel="00000000" w:rsidR="00000000" w:rsidRPr="00000000">
        <w:rPr>
          <w:rFonts w:ascii="Palatino Linotype" w:cs="Palatino Linotype" w:eastAsia="Palatino Linotype" w:hAnsi="Palatino Linotype"/>
          <w:color w:val="000000"/>
          <w:highlight w:val="white"/>
          <w:rtl w:val="0"/>
        </w:rPr>
        <w:t xml:space="preserve"> al Titular de la Unidad de Transparencia del </w:t>
      </w:r>
      <w:r w:rsidDel="00000000" w:rsidR="00000000" w:rsidRPr="00000000">
        <w:rPr>
          <w:rFonts w:ascii="Palatino Linotype" w:cs="Palatino Linotype" w:eastAsia="Palatino Linotype" w:hAnsi="Palatino Linotype"/>
          <w:b w:val="1"/>
          <w:color w:val="000000"/>
          <w:highlight w:val="white"/>
          <w:rtl w:val="0"/>
        </w:rPr>
        <w:t xml:space="preserve">Sujeto Obligado</w:t>
      </w:r>
      <w:r w:rsidDel="00000000" w:rsidR="00000000" w:rsidRPr="00000000">
        <w:rPr>
          <w:rFonts w:ascii="Palatino Linotype" w:cs="Palatino Linotype" w:eastAsia="Palatino Linotype" w:hAnsi="Palatino Linotype"/>
          <w:color w:val="000000"/>
          <w:highlight w:val="white"/>
          <w:rtl w:val="0"/>
        </w:rPr>
        <w:t xml:space="preserve">, para su conocimiento. </w:t>
      </w:r>
      <w:r w:rsidDel="00000000" w:rsidR="00000000" w:rsidRPr="00000000">
        <w:rPr>
          <w:rtl w:val="0"/>
        </w:rPr>
      </w:r>
    </w:p>
    <w:p w:rsidR="00000000" w:rsidDel="00000000" w:rsidP="00000000" w:rsidRDefault="00000000" w:rsidRPr="00000000" w14:paraId="000000D4">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Cuarto. </w:t>
      </w:r>
      <w:r w:rsidDel="00000000" w:rsidR="00000000" w:rsidRPr="00000000">
        <w:rPr>
          <w:rFonts w:ascii="Palatino Linotype" w:cs="Palatino Linotype" w:eastAsia="Palatino Linotype" w:hAnsi="Palatino Linotype"/>
          <w:b w:val="1"/>
          <w:color w:val="000000"/>
          <w:highlight w:val="white"/>
          <w:rtl w:val="0"/>
        </w:rPr>
        <w:t xml:space="preserve">Notifíquese</w:t>
      </w:r>
      <w:r w:rsidDel="00000000" w:rsidR="00000000" w:rsidRPr="00000000">
        <w:rPr>
          <w:rFonts w:ascii="Palatino Linotype" w:cs="Palatino Linotype" w:eastAsia="Palatino Linotype" w:hAnsi="Palatino Linotype"/>
          <w:b w:val="1"/>
          <w:color w:val="000000"/>
          <w:rtl w:val="0"/>
        </w:rPr>
        <w:t xml:space="preserve"> al recurrente vía SAIMEX</w:t>
      </w:r>
      <w:r w:rsidDel="00000000" w:rsidR="00000000" w:rsidRPr="00000000">
        <w:rPr>
          <w:rFonts w:ascii="Palatino Linotype" w:cs="Palatino Linotype" w:eastAsia="Palatino Linotype" w:hAnsi="Palatino Linotype"/>
          <w:color w:val="000000"/>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UNO DE DICIEMBRE DE DOS MIL VEINTIUNO, ANTE EL SECRETARIO TÉCNICO DEL PLENO ALEXIS TAPIA RAMÍREZ. </w:t>
      </w:r>
    </w:p>
    <w:p w:rsidR="00000000" w:rsidDel="00000000" w:rsidP="00000000" w:rsidRDefault="00000000" w:rsidRPr="00000000" w14:paraId="000000D6">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sectPr>
      <w:headerReference r:id="rId53" w:type="default"/>
      <w:headerReference r:id="rId54" w:type="first"/>
      <w:footerReference r:id="rId55" w:type="default"/>
      <w:footerReference r:id="rId56"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-438784</wp:posOffset>
          </wp:positionV>
          <wp:extent cx="7635600" cy="9943200"/>
          <wp:effectExtent b="0" l="0" r="0" t="0"/>
          <wp:wrapNone/>
          <wp:docPr id="3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1"/>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E6">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E7">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03274/INFOEM/IP/RR/2021</w:t>
          </w:r>
        </w:p>
      </w:tc>
    </w:tr>
    <w:tr>
      <w:trPr>
        <w:cantSplit w:val="0"/>
        <w:tblHeader w:val="0"/>
      </w:trPr>
      <w:tc>
        <w:tcPr>
          <w:vAlign w:val="center"/>
        </w:tcPr>
        <w:p w:rsidR="00000000" w:rsidDel="00000000" w:rsidP="00000000" w:rsidRDefault="00000000" w:rsidRPr="00000000" w14:paraId="000000E8">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0E9">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No proporciona nombre</w:t>
          </w:r>
        </w:p>
      </w:tc>
    </w:tr>
    <w:tr>
      <w:trPr>
        <w:cantSplit w:val="0"/>
        <w:trHeight w:val="228" w:hRule="atLeast"/>
        <w:tblHeader w:val="0"/>
      </w:trPr>
      <w:tc>
        <w:tcPr>
          <w:vAlign w:val="center"/>
        </w:tcPr>
        <w:p w:rsidR="00000000" w:rsidDel="00000000" w:rsidP="00000000" w:rsidRDefault="00000000" w:rsidRPr="00000000" w14:paraId="000000EA">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0EB">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Instituto Electoral del Estado de México</w:t>
          </w:r>
        </w:p>
      </w:tc>
    </w:tr>
    <w:tr>
      <w:trPr>
        <w:cantSplit w:val="0"/>
        <w:tblHeader w:val="0"/>
      </w:trPr>
      <w:tc>
        <w:tcPr>
          <w:vAlign w:val="center"/>
        </w:tcPr>
        <w:p w:rsidR="00000000" w:rsidDel="00000000" w:rsidP="00000000" w:rsidRDefault="00000000" w:rsidRPr="00000000" w14:paraId="000000EC">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ED">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F0">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F1">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03274/INFOEM/IP/RR/2021</w:t>
          </w:r>
        </w:p>
      </w:tc>
    </w:tr>
    <w:tr>
      <w:trPr>
        <w:cantSplit w:val="0"/>
        <w:trHeight w:val="228" w:hRule="atLeast"/>
        <w:tblHeader w:val="0"/>
      </w:trPr>
      <w:tc>
        <w:tcPr>
          <w:vAlign w:val="center"/>
        </w:tcPr>
        <w:p w:rsidR="00000000" w:rsidDel="00000000" w:rsidP="00000000" w:rsidRDefault="00000000" w:rsidRPr="00000000" w14:paraId="000000F2">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0F3">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Instituto Electoral del Estado de México</w:t>
          </w:r>
        </w:p>
      </w:tc>
    </w:tr>
    <w:tr>
      <w:trPr>
        <w:cantSplit w:val="0"/>
        <w:tblHeader w:val="0"/>
      </w:trPr>
      <w:tc>
        <w:tcPr>
          <w:vAlign w:val="center"/>
        </w:tcPr>
        <w:p w:rsidR="00000000" w:rsidDel="00000000" w:rsidP="00000000" w:rsidRDefault="00000000" w:rsidRPr="00000000" w14:paraId="000000F4">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F5">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-1249679</wp:posOffset>
          </wp:positionV>
          <wp:extent cx="7635163" cy="9944100"/>
          <wp:effectExtent b="0" l="0" r="0" t="0"/>
          <wp:wrapNone/>
          <wp:docPr id="3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736AB"/>
    <w:pPr>
      <w:spacing w:after="0" w:line="240" w:lineRule="auto"/>
    </w:pPr>
    <w:rPr>
      <w:rFonts w:ascii="Times New Roman" w:cs="Times New Roman" w:eastAsia="Times New Roman" w:hAnsi="Times New Roman"/>
      <w:sz w:val="24"/>
      <w:szCs w:val="24"/>
      <w:lang w:eastAsia="es-ES"/>
    </w:rPr>
  </w:style>
  <w:style w:type="paragraph" w:styleId="Ttulo1">
    <w:name w:val="heading 1"/>
    <w:basedOn w:val="Normal"/>
    <w:next w:val="Normal"/>
    <w:link w:val="Ttulo1Car"/>
    <w:uiPriority w:val="9"/>
    <w:qFormat w:val="1"/>
    <w:rsid w:val="004736AB"/>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4736AB"/>
    <w:rPr>
      <w:rFonts w:asciiTheme="majorHAnsi" w:cstheme="majorBidi" w:eastAsiaTheme="majorEastAsia" w:hAnsiTheme="majorHAnsi"/>
      <w:color w:val="2e74b5" w:themeColor="accent1" w:themeShade="0000BF"/>
      <w:sz w:val="32"/>
      <w:szCs w:val="32"/>
      <w:lang w:eastAsia="es-ES"/>
    </w:rPr>
  </w:style>
  <w:style w:type="paragraph" w:styleId="Encabezado">
    <w:name w:val="header"/>
    <w:basedOn w:val="Normal"/>
    <w:link w:val="EncabezadoCar"/>
    <w:uiPriority w:val="99"/>
    <w:unhideWhenUsed w:val="1"/>
    <w:rsid w:val="004736AB"/>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4736AB"/>
    <w:rPr>
      <w:rFonts w:eastAsiaTheme="minorEastAsia"/>
      <w:sz w:val="24"/>
      <w:szCs w:val="24"/>
      <w:lang w:eastAsia="es-ES" w:val="es-ES_tradnl"/>
    </w:rPr>
  </w:style>
  <w:style w:type="paragraph" w:styleId="Piedepgina">
    <w:name w:val="footer"/>
    <w:basedOn w:val="Normal"/>
    <w:link w:val="PiedepginaCar"/>
    <w:uiPriority w:val="99"/>
    <w:unhideWhenUsed w:val="1"/>
    <w:rsid w:val="004736AB"/>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4736AB"/>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4736AB"/>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4736AB"/>
    <w:pPr>
      <w:ind w:left="708"/>
    </w:pPr>
    <w:rPr>
      <w:sz w:val="22"/>
      <w:szCs w:val="22"/>
      <w:lang w:eastAsia="en-US"/>
    </w:rPr>
  </w:style>
  <w:style w:type="character" w:styleId="normaltextrun" w:customStyle="1">
    <w:name w:val="normaltextrun"/>
    <w:basedOn w:val="Fuentedeprrafopredeter"/>
    <w:rsid w:val="004736AB"/>
  </w:style>
  <w:style w:type="character" w:styleId="apple-converted-space" w:customStyle="1">
    <w:name w:val="apple-converted-space"/>
    <w:basedOn w:val="Fuentedeprrafopredeter"/>
    <w:rsid w:val="004736AB"/>
  </w:style>
  <w:style w:type="paragraph" w:styleId="NormalWeb">
    <w:name w:val="Normal (Web)"/>
    <w:basedOn w:val="Normal"/>
    <w:uiPriority w:val="99"/>
    <w:unhideWhenUsed w:val="1"/>
    <w:rsid w:val="004736AB"/>
    <w:pPr>
      <w:spacing w:after="100" w:afterAutospacing="1" w:before="100" w:beforeAutospacing="1"/>
    </w:pPr>
    <w:rPr>
      <w:lang w:eastAsia="es-MX"/>
    </w:rPr>
  </w:style>
  <w:style w:type="character" w:styleId="Hipervnculo">
    <w:name w:val="Hyperlink"/>
    <w:basedOn w:val="Fuentedeprrafopredeter"/>
    <w:uiPriority w:val="99"/>
    <w:unhideWhenUsed w:val="1"/>
    <w:rsid w:val="004736AB"/>
    <w:rPr>
      <w:color w:val="0000ff"/>
      <w:u w:val="single"/>
    </w:rPr>
  </w:style>
  <w:style w:type="paragraph" w:styleId="Sinespaciado">
    <w:name w:val="No Spacing"/>
    <w:aliases w:val="Francesa,INAI"/>
    <w:link w:val="SinespaciadoCar"/>
    <w:uiPriority w:val="1"/>
    <w:qFormat w:val="1"/>
    <w:rsid w:val="004736AB"/>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4736AB"/>
    <w:rPr>
      <w:rFonts w:ascii="Times New Roman" w:cs="Times New Roman" w:eastAsia="Times New Roman" w:hAnsi="Times New Roman"/>
      <w:sz w:val="24"/>
      <w:szCs w:val="24"/>
      <w:lang w:eastAsia="es-ES"/>
    </w:rPr>
  </w:style>
  <w:style w:type="character" w:styleId="Textoennegrita">
    <w:name w:val="Strong"/>
    <w:basedOn w:val="Fuentedeprrafopredeter"/>
    <w:uiPriority w:val="22"/>
    <w:qFormat w:val="1"/>
    <w:rsid w:val="004736AB"/>
    <w:rPr>
      <w:b w:val="1"/>
      <w:bCs w:val="1"/>
    </w:rPr>
  </w:style>
  <w:style w:type="character" w:styleId="TextodegloboCar" w:customStyle="1">
    <w:name w:val="Texto de globo Car"/>
    <w:basedOn w:val="Fuentedeprrafopredeter"/>
    <w:link w:val="Textodeglobo"/>
    <w:uiPriority w:val="99"/>
    <w:semiHidden w:val="1"/>
    <w:rsid w:val="004736AB"/>
    <w:rPr>
      <w:rFonts w:ascii="Segoe UI" w:cs="Segoe UI" w:eastAsia="Times New Roman" w:hAnsi="Segoe UI"/>
      <w:sz w:val="18"/>
      <w:szCs w:val="18"/>
      <w:lang w:eastAsia="es-ES"/>
    </w:rPr>
  </w:style>
  <w:style w:type="paragraph" w:styleId="Textodeglobo">
    <w:name w:val="Balloon Text"/>
    <w:basedOn w:val="Normal"/>
    <w:link w:val="TextodegloboCar"/>
    <w:uiPriority w:val="99"/>
    <w:semiHidden w:val="1"/>
    <w:unhideWhenUsed w:val="1"/>
    <w:rsid w:val="004736AB"/>
    <w:rPr>
      <w:rFonts w:ascii="Segoe UI" w:cs="Segoe UI" w:hAnsi="Segoe UI"/>
      <w:sz w:val="18"/>
      <w:szCs w:val="18"/>
    </w:rPr>
  </w:style>
  <w:style w:type="table" w:styleId="Tabladelista1clara-nfasis1">
    <w:name w:val="List Table 1 Light Accent 1"/>
    <w:basedOn w:val="Tablanormal"/>
    <w:uiPriority w:val="46"/>
    <w:rsid w:val="004736AB"/>
    <w:pPr>
      <w:spacing w:after="0" w:line="240" w:lineRule="auto"/>
    </w:pPr>
    <w:rPr>
      <w:rFonts w:eastAsiaTheme="minorEastAsia"/>
      <w:sz w:val="24"/>
      <w:szCs w:val="24"/>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j" w:customStyle="1">
    <w:name w:val="j"/>
    <w:basedOn w:val="Normal"/>
    <w:rsid w:val="006E064F"/>
    <w:pPr>
      <w:spacing w:after="100" w:afterAutospacing="1" w:before="100" w:beforeAutospacing="1"/>
    </w:pPr>
    <w:rPr>
      <w:lang w:eastAsia="es-MX"/>
    </w:rPr>
  </w:style>
  <w:style w:type="character" w:styleId="nacep" w:customStyle="1">
    <w:name w:val="n_acep"/>
    <w:basedOn w:val="Fuentedeprrafopredeter"/>
    <w:rsid w:val="006E064F"/>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5.png"/><Relationship Id="rId41" Type="http://schemas.openxmlformats.org/officeDocument/2006/relationships/hyperlink" Target="https://www.saimex.org.mx/saimex/solicitud/downloadAttach/1154229.page" TargetMode="External"/><Relationship Id="rId44" Type="http://schemas.openxmlformats.org/officeDocument/2006/relationships/image" Target="media/image10.png"/><Relationship Id="rId43" Type="http://schemas.openxmlformats.org/officeDocument/2006/relationships/hyperlink" Target="https://www.saimex.org.mx/saimex/solicitud/downloadAttach/1154231.page" TargetMode="External"/><Relationship Id="rId46" Type="http://schemas.openxmlformats.org/officeDocument/2006/relationships/image" Target="media/image14.png"/><Relationship Id="rId45" Type="http://schemas.openxmlformats.org/officeDocument/2006/relationships/hyperlink" Target="https://www.saimex.org.mx/saimex/solicitud/downloadAttach/1147721.p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imex.org.mx/saimex/solicitud/downloadAttach/1147717.page" TargetMode="External"/><Relationship Id="rId48" Type="http://schemas.openxmlformats.org/officeDocument/2006/relationships/image" Target="media/image16.png"/><Relationship Id="rId47" Type="http://schemas.openxmlformats.org/officeDocument/2006/relationships/hyperlink" Target="https://www.saimex.org.mx/saimex/solicitud/downloadAttach/1147722.page" TargetMode="External"/><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aimex.org.mx/saimex/solicitud/downloadAttach/1140915.page" TargetMode="External"/><Relationship Id="rId8" Type="http://schemas.openxmlformats.org/officeDocument/2006/relationships/hyperlink" Target="https://www.saimex.org.mx/saimex/solicitud/downloadAttach/1147715.page" TargetMode="External"/><Relationship Id="rId31" Type="http://schemas.openxmlformats.org/officeDocument/2006/relationships/hyperlink" Target="https://www.saimex.org.mx/saimex/solicitud/downloadAttach/1154227.page" TargetMode="External"/><Relationship Id="rId30" Type="http://schemas.openxmlformats.org/officeDocument/2006/relationships/hyperlink" Target="https://www.saimex.org.mx/saimex/solicitud/downloadAttach/1147717.page" TargetMode="External"/><Relationship Id="rId33" Type="http://schemas.openxmlformats.org/officeDocument/2006/relationships/hyperlink" Target="https://www.saimex.org.mx/saimex/solicitud/downloadAttach/1154224.page" TargetMode="External"/><Relationship Id="rId32" Type="http://schemas.openxmlformats.org/officeDocument/2006/relationships/image" Target="media/image11.png"/><Relationship Id="rId35" Type="http://schemas.openxmlformats.org/officeDocument/2006/relationships/hyperlink" Target="https://www.saimex.org.mx/saimex/solicitud/downloadAttach/1154225.page" TargetMode="External"/><Relationship Id="rId34" Type="http://schemas.openxmlformats.org/officeDocument/2006/relationships/image" Target="media/image12.png"/><Relationship Id="rId37" Type="http://schemas.openxmlformats.org/officeDocument/2006/relationships/hyperlink" Target="https://www.saimex.org.mx/saimex/solicitud/downloadAttach/1154228.page" TargetMode="External"/><Relationship Id="rId36" Type="http://schemas.openxmlformats.org/officeDocument/2006/relationships/image" Target="media/image6.png"/><Relationship Id="rId39" Type="http://schemas.openxmlformats.org/officeDocument/2006/relationships/hyperlink" Target="https://www.saimex.org.mx/saimex/solicitud/downloadAttach/1154226.page" TargetMode="External"/><Relationship Id="rId38" Type="http://schemas.openxmlformats.org/officeDocument/2006/relationships/image" Target="media/image9.png"/><Relationship Id="rId20" Type="http://schemas.openxmlformats.org/officeDocument/2006/relationships/hyperlink" Target="https://www.saimex.org.mx/saimex/solicitud/downloadAttach/1154228.page" TargetMode="External"/><Relationship Id="rId22" Type="http://schemas.openxmlformats.org/officeDocument/2006/relationships/hyperlink" Target="https://www.saimex.org.mx/saimex/solicitud/downloadAttach/1154230.page" TargetMode="External"/><Relationship Id="rId21" Type="http://schemas.openxmlformats.org/officeDocument/2006/relationships/hyperlink" Target="https://www.saimex.org.mx/saimex/solicitud/downloadAttach/1154229.page" TargetMode="External"/><Relationship Id="rId24" Type="http://schemas.openxmlformats.org/officeDocument/2006/relationships/hyperlink" Target="https://www.saimex.org.mx/saimex/solicitud/downloadAttach/1154232.page" TargetMode="External"/><Relationship Id="rId23" Type="http://schemas.openxmlformats.org/officeDocument/2006/relationships/hyperlink" Target="https://www.saimex.org.mx/saimex/solicitud/downloadAttach/1154231.page" TargetMode="External"/><Relationship Id="rId26" Type="http://schemas.openxmlformats.org/officeDocument/2006/relationships/hyperlink" Target="https://www.saimex.org.mx/saimex/solicitud/downloadAttach/1154234.page" TargetMode="External"/><Relationship Id="rId25" Type="http://schemas.openxmlformats.org/officeDocument/2006/relationships/hyperlink" Target="https://www.saimex.org.mx/saimex/solicitud/downloadAttach/1154233.page" TargetMode="External"/><Relationship Id="rId28" Type="http://schemas.openxmlformats.org/officeDocument/2006/relationships/hyperlink" Target="https://www.saimex.org.mx/saimex/solicitud/downloadAttach/1147715.page" TargetMode="External"/><Relationship Id="rId27" Type="http://schemas.openxmlformats.org/officeDocument/2006/relationships/image" Target="media/image7.png"/><Relationship Id="rId29" Type="http://schemas.openxmlformats.org/officeDocument/2006/relationships/image" Target="media/image4.png"/><Relationship Id="rId51" Type="http://schemas.openxmlformats.org/officeDocument/2006/relationships/image" Target="media/image17.png"/><Relationship Id="rId50" Type="http://schemas.openxmlformats.org/officeDocument/2006/relationships/hyperlink" Target="https://www.saimex.org.mx/saimex/solicitud/downloadAttach/1147742.page" TargetMode="External"/><Relationship Id="rId53" Type="http://schemas.openxmlformats.org/officeDocument/2006/relationships/header" Target="header2.xml"/><Relationship Id="rId52" Type="http://schemas.openxmlformats.org/officeDocument/2006/relationships/image" Target="media/image13.png"/><Relationship Id="rId11" Type="http://schemas.openxmlformats.org/officeDocument/2006/relationships/hyperlink" Target="https://www.saimex.org.mx/saimex/solicitud/downloadAttach/1147721.page" TargetMode="External"/><Relationship Id="rId55" Type="http://schemas.openxmlformats.org/officeDocument/2006/relationships/footer" Target="footer2.xml"/><Relationship Id="rId10" Type="http://schemas.openxmlformats.org/officeDocument/2006/relationships/image" Target="media/image3.png"/><Relationship Id="rId54" Type="http://schemas.openxmlformats.org/officeDocument/2006/relationships/header" Target="header1.xml"/><Relationship Id="rId13" Type="http://schemas.openxmlformats.org/officeDocument/2006/relationships/hyperlink" Target="https://www.saimex.org.mx/saimex/solicitud/downloadAttach/1147742.page" TargetMode="External"/><Relationship Id="rId12" Type="http://schemas.openxmlformats.org/officeDocument/2006/relationships/hyperlink" Target="https://www.saimex.org.mx/saimex/solicitud/downloadAttach/1147722.page" TargetMode="External"/><Relationship Id="rId56" Type="http://schemas.openxmlformats.org/officeDocument/2006/relationships/footer" Target="footer1.xml"/><Relationship Id="rId15" Type="http://schemas.openxmlformats.org/officeDocument/2006/relationships/hyperlink" Target="https://www.saimex.org.mx/saimex/solicitud/downloadAttach/1154223.page" TargetMode="External"/><Relationship Id="rId14" Type="http://schemas.openxmlformats.org/officeDocument/2006/relationships/image" Target="media/image2.png"/><Relationship Id="rId17" Type="http://schemas.openxmlformats.org/officeDocument/2006/relationships/hyperlink" Target="https://www.saimex.org.mx/saimex/solicitud/downloadAttach/1154225.page" TargetMode="External"/><Relationship Id="rId16" Type="http://schemas.openxmlformats.org/officeDocument/2006/relationships/hyperlink" Target="https://www.saimex.org.mx/saimex/solicitud/downloadAttach/1154224.page" TargetMode="External"/><Relationship Id="rId19" Type="http://schemas.openxmlformats.org/officeDocument/2006/relationships/hyperlink" Target="https://www.saimex.org.mx/saimex/solicitud/downloadAttach/1154227.page" TargetMode="External"/><Relationship Id="rId18" Type="http://schemas.openxmlformats.org/officeDocument/2006/relationships/hyperlink" Target="https://www.saimex.org.mx/saimex/solicitud/downloadAttach/1154226.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L+tHIh4z9A5w111y9dJPUa5WDQ==">AMUW2mXznwWe4tH6a+FB21pYzAvwiudDvz2HAG2rDEO9u3ZKUjWBEdhoVBLtVReFY/UTc8kHrg7QOmsO5mI9lgm16uM0RZdWopyqZ6AuFgVLjeZP+k6diqjMoLcIrlVknuofHJABMFB8rdqHNl07iLbWUtzG24YkQ32JYcgz1mFx5nWAkiTnWe5EwfZI+dFWnoe37VD/Ac95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2021-11-22T19:46:00Z</dcterms:created>
  <dc:creator>USUARIO</dc:creator>
</cp:coreProperties>
</file>