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1BD5C" w14:textId="75BF7EF9" w:rsidR="005E0CA6" w:rsidRPr="004326A0" w:rsidRDefault="005E0CA6" w:rsidP="005E0CA6">
      <w:pPr>
        <w:spacing w:before="240" w:after="240" w:line="360" w:lineRule="auto"/>
        <w:jc w:val="both"/>
        <w:rPr>
          <w:rFonts w:ascii="Palatino Linotype" w:hAnsi="Palatino Linotype" w:cs="Arial"/>
        </w:rPr>
      </w:pPr>
      <w:bookmarkStart w:id="0" w:name="_Hlk24476807"/>
      <w:r w:rsidRPr="004326A0">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4326A0">
        <w:rPr>
          <w:rStyle w:val="normaltextrun"/>
          <w:rFonts w:ascii="Palatino Linotype" w:hAnsi="Palatino Linotype" w:cs="Arial"/>
        </w:rPr>
        <w:t>,</w:t>
      </w:r>
      <w:r w:rsidRPr="004326A0">
        <w:rPr>
          <w:rStyle w:val="apple-converted-space"/>
          <w:rFonts w:ascii="Palatino Linotype" w:hAnsi="Palatino Linotype" w:cs="Arial"/>
        </w:rPr>
        <w:t> </w:t>
      </w:r>
      <w:r w:rsidR="008A5BDF">
        <w:rPr>
          <w:rStyle w:val="normaltextrun"/>
          <w:rFonts w:ascii="Palatino Linotype" w:hAnsi="Palatino Linotype" w:cs="Arial"/>
        </w:rPr>
        <w:t xml:space="preserve">de fecha </w:t>
      </w:r>
      <w:r w:rsidR="00BE588B">
        <w:rPr>
          <w:rStyle w:val="normaltextrun"/>
          <w:rFonts w:ascii="Palatino Linotype" w:hAnsi="Palatino Linotype" w:cs="Arial"/>
          <w:b/>
        </w:rPr>
        <w:t>veintidós</w:t>
      </w:r>
      <w:r w:rsidR="00056AE1">
        <w:rPr>
          <w:rStyle w:val="normaltextrun"/>
          <w:rFonts w:ascii="Palatino Linotype" w:hAnsi="Palatino Linotype" w:cs="Arial"/>
          <w:b/>
        </w:rPr>
        <w:t xml:space="preserve"> de sept</w:t>
      </w:r>
      <w:r w:rsidR="008A5BDF">
        <w:rPr>
          <w:rStyle w:val="normaltextrun"/>
          <w:rFonts w:ascii="Palatino Linotype" w:hAnsi="Palatino Linotype" w:cs="Arial"/>
          <w:b/>
        </w:rPr>
        <w:t>iem</w:t>
      </w:r>
      <w:r w:rsidR="00050CEC" w:rsidRPr="00B65E33">
        <w:rPr>
          <w:rStyle w:val="normaltextrun"/>
          <w:rFonts w:ascii="Palatino Linotype" w:hAnsi="Palatino Linotype" w:cs="Arial"/>
          <w:b/>
        </w:rPr>
        <w:t>bre</w:t>
      </w:r>
      <w:r w:rsidR="00056AE1">
        <w:rPr>
          <w:rStyle w:val="normaltextrun"/>
          <w:rFonts w:ascii="Palatino Linotype" w:hAnsi="Palatino Linotype" w:cs="Arial"/>
          <w:b/>
        </w:rPr>
        <w:t xml:space="preserve"> de dos mil veintiuno</w:t>
      </w:r>
      <w:r w:rsidRPr="004326A0">
        <w:rPr>
          <w:rStyle w:val="normaltextrun"/>
          <w:rFonts w:ascii="Palatino Linotype" w:hAnsi="Palatino Linotype" w:cs="Arial"/>
        </w:rPr>
        <w:t>.</w:t>
      </w:r>
    </w:p>
    <w:p w14:paraId="0EDA3EED" w14:textId="6FADFD7A" w:rsidR="005E0CA6" w:rsidRPr="004326A0" w:rsidRDefault="005E0CA6" w:rsidP="005E0CA6">
      <w:pPr>
        <w:spacing w:before="240" w:after="240" w:line="360" w:lineRule="auto"/>
        <w:jc w:val="both"/>
        <w:rPr>
          <w:rFonts w:ascii="Palatino Linotype" w:hAnsi="Palatino Linotype" w:cs="Arial"/>
        </w:rPr>
      </w:pPr>
      <w:r w:rsidRPr="004326A0">
        <w:rPr>
          <w:rFonts w:ascii="Palatino Linotype" w:hAnsi="Palatino Linotype" w:cs="Arial"/>
          <w:b/>
        </w:rPr>
        <w:t xml:space="preserve">Visto </w:t>
      </w:r>
      <w:r w:rsidRPr="004326A0">
        <w:rPr>
          <w:rFonts w:ascii="Palatino Linotype" w:hAnsi="Palatino Linotype" w:cs="Arial"/>
        </w:rPr>
        <w:t xml:space="preserve">el expediente relativo al recurso de revisión </w:t>
      </w:r>
      <w:r w:rsidR="00BF4972">
        <w:rPr>
          <w:rFonts w:ascii="Palatino Linotype" w:hAnsi="Palatino Linotype" w:cs="Arial"/>
          <w:b/>
          <w:bCs/>
        </w:rPr>
        <w:t>0362</w:t>
      </w:r>
      <w:r w:rsidR="00056AE1">
        <w:rPr>
          <w:rFonts w:ascii="Palatino Linotype" w:hAnsi="Palatino Linotype" w:cs="Arial"/>
          <w:b/>
          <w:bCs/>
        </w:rPr>
        <w:t>4/INFOEM/IP/RR/2021</w:t>
      </w:r>
      <w:r w:rsidRPr="004326A0">
        <w:rPr>
          <w:rFonts w:ascii="Palatino Linotype" w:hAnsi="Palatino Linotype" w:cs="Arial"/>
        </w:rPr>
        <w:t>, interpuesto por</w:t>
      </w:r>
      <w:r w:rsidR="00BF4972">
        <w:rPr>
          <w:rFonts w:ascii="Palatino Linotype" w:hAnsi="Palatino Linotype" w:cs="Arial"/>
          <w:b/>
          <w:lang w:val="es-ES_tradnl"/>
        </w:rPr>
        <w:t xml:space="preserve"> </w:t>
      </w:r>
      <w:r w:rsidR="000A285F" w:rsidRPr="000A285F">
        <w:rPr>
          <w:rFonts w:ascii="Palatino Linotype" w:hAnsi="Palatino Linotype" w:cs="Arial"/>
          <w:b/>
          <w:lang w:val="es-ES_tradnl"/>
        </w:rPr>
        <w:t>XXXXX XXXXXX XXXXXX</w:t>
      </w:r>
      <w:r w:rsidRPr="004326A0">
        <w:rPr>
          <w:rFonts w:ascii="Palatino Linotype" w:hAnsi="Palatino Linotype" w:cs="Arial"/>
        </w:rPr>
        <w:t xml:space="preserve">, en lo sucesivo </w:t>
      </w:r>
      <w:r w:rsidR="008A5BDF">
        <w:rPr>
          <w:rFonts w:ascii="Palatino Linotype" w:hAnsi="Palatino Linotype" w:cs="Arial"/>
          <w:b/>
        </w:rPr>
        <w:t xml:space="preserve">la </w:t>
      </w:r>
      <w:r w:rsidR="00BF4972">
        <w:rPr>
          <w:rFonts w:ascii="Palatino Linotype" w:hAnsi="Palatino Linotype" w:cs="Arial"/>
          <w:b/>
        </w:rPr>
        <w:t>R</w:t>
      </w:r>
      <w:r w:rsidRPr="004326A0">
        <w:rPr>
          <w:rFonts w:ascii="Palatino Linotype" w:hAnsi="Palatino Linotype" w:cs="Arial"/>
          <w:b/>
        </w:rPr>
        <w:t>ecurrente</w:t>
      </w:r>
      <w:r w:rsidRPr="004326A0">
        <w:rPr>
          <w:rFonts w:ascii="Palatino Linotype" w:hAnsi="Palatino Linotype" w:cs="Arial"/>
        </w:rPr>
        <w:t xml:space="preserve"> en contra de la respuesta emitida a la solicitud de información con número de folio </w:t>
      </w:r>
      <w:r w:rsidR="00BF4972" w:rsidRPr="00BF4972">
        <w:rPr>
          <w:rFonts w:ascii="Palatino Linotype" w:hAnsi="Palatino Linotype" w:cs="Arial"/>
          <w:b/>
          <w:bCs/>
        </w:rPr>
        <w:t>00319/SSEM/IP/2021</w:t>
      </w:r>
      <w:r w:rsidR="00056AE1">
        <w:rPr>
          <w:rFonts w:ascii="Palatino Linotype" w:hAnsi="Palatino Linotype" w:cs="Arial"/>
        </w:rPr>
        <w:t>, por parte de la</w:t>
      </w:r>
      <w:r w:rsidRPr="004326A0">
        <w:rPr>
          <w:rFonts w:ascii="Palatino Linotype" w:hAnsi="Palatino Linotype" w:cs="Arial"/>
        </w:rPr>
        <w:t xml:space="preserve"> </w:t>
      </w:r>
      <w:r w:rsidR="00BF4972">
        <w:rPr>
          <w:rFonts w:ascii="Palatino Linotype" w:hAnsi="Palatino Linotype" w:cs="Arial"/>
          <w:b/>
          <w:bCs/>
        </w:rPr>
        <w:t>Secretaría de Seguridad</w:t>
      </w:r>
      <w:r w:rsidRPr="004326A0">
        <w:rPr>
          <w:rFonts w:ascii="Palatino Linotype" w:hAnsi="Palatino Linotype" w:cs="Arial"/>
        </w:rPr>
        <w:t xml:space="preserve">, en lo sucesivo el </w:t>
      </w:r>
      <w:r w:rsidR="008A5BDF">
        <w:rPr>
          <w:rFonts w:ascii="Palatino Linotype" w:hAnsi="Palatino Linotype" w:cs="Arial"/>
          <w:b/>
        </w:rPr>
        <w:t>Sujeto Obligado</w:t>
      </w:r>
      <w:r w:rsidRPr="004326A0">
        <w:rPr>
          <w:rFonts w:ascii="Palatino Linotype" w:hAnsi="Palatino Linotype" w:cs="Arial"/>
          <w:b/>
        </w:rPr>
        <w:t xml:space="preserve"> </w:t>
      </w:r>
      <w:r w:rsidRPr="004326A0">
        <w:rPr>
          <w:rFonts w:ascii="Palatino Linotype" w:hAnsi="Palatino Linotype" w:cs="Arial"/>
        </w:rPr>
        <w:t>se procede a dictar la presente resolución, con base en lo siguiente.</w:t>
      </w:r>
    </w:p>
    <w:p w14:paraId="65ACCF08" w14:textId="77777777" w:rsidR="005E0CA6" w:rsidRPr="004326A0" w:rsidRDefault="005E0CA6" w:rsidP="00963DFA">
      <w:pPr>
        <w:pStyle w:val="Prrafodelista"/>
        <w:numPr>
          <w:ilvl w:val="0"/>
          <w:numId w:val="1"/>
        </w:numPr>
        <w:spacing w:before="240" w:after="240" w:line="360" w:lineRule="auto"/>
        <w:ind w:left="426" w:hanging="284"/>
        <w:contextualSpacing/>
        <w:jc w:val="center"/>
        <w:rPr>
          <w:rFonts w:ascii="Palatino Linotype" w:hAnsi="Palatino Linotype" w:cs="Arial"/>
          <w:b/>
          <w:sz w:val="24"/>
          <w:szCs w:val="24"/>
        </w:rPr>
      </w:pPr>
      <w:r w:rsidRPr="004326A0">
        <w:rPr>
          <w:rFonts w:ascii="Palatino Linotype" w:hAnsi="Palatino Linotype" w:cs="Arial"/>
          <w:b/>
          <w:sz w:val="24"/>
          <w:szCs w:val="24"/>
        </w:rPr>
        <w:t>A N T E C E D E N T E S:</w:t>
      </w:r>
    </w:p>
    <w:p w14:paraId="318F43F1" w14:textId="3116EF0F" w:rsidR="005E0CA6" w:rsidRPr="004326A0" w:rsidRDefault="005E0CA6" w:rsidP="005E0CA6">
      <w:pPr>
        <w:spacing w:before="240" w:after="240" w:line="360" w:lineRule="auto"/>
        <w:jc w:val="both"/>
        <w:rPr>
          <w:rFonts w:ascii="Palatino Linotype" w:hAnsi="Palatino Linotype" w:cs="Arial"/>
          <w:b/>
        </w:rPr>
      </w:pPr>
      <w:r w:rsidRPr="004326A0">
        <w:rPr>
          <w:rFonts w:ascii="Palatino Linotype" w:hAnsi="Palatino Linotype" w:cs="Arial"/>
          <w:b/>
        </w:rPr>
        <w:t xml:space="preserve">1. Solicitud de acceso a la información. </w:t>
      </w:r>
      <w:r w:rsidR="008A5BDF">
        <w:rPr>
          <w:rFonts w:ascii="Palatino Linotype" w:hAnsi="Palatino Linotype" w:cs="Arial"/>
        </w:rPr>
        <w:t xml:space="preserve">El </w:t>
      </w:r>
      <w:r w:rsidR="00BF4972">
        <w:rPr>
          <w:rFonts w:ascii="Palatino Linotype" w:hAnsi="Palatino Linotype" w:cs="Arial"/>
          <w:b/>
        </w:rPr>
        <w:t>once</w:t>
      </w:r>
      <w:r w:rsidRPr="008A5BDF">
        <w:rPr>
          <w:rFonts w:ascii="Palatino Linotype" w:hAnsi="Palatino Linotype" w:cs="Arial"/>
          <w:b/>
        </w:rPr>
        <w:t xml:space="preserve"> d</w:t>
      </w:r>
      <w:r w:rsidRPr="008921BD">
        <w:rPr>
          <w:rFonts w:ascii="Palatino Linotype" w:hAnsi="Palatino Linotype" w:cs="Arial"/>
          <w:b/>
        </w:rPr>
        <w:t xml:space="preserve">e </w:t>
      </w:r>
      <w:r w:rsidR="00BF4972">
        <w:rPr>
          <w:rFonts w:ascii="Palatino Linotype" w:hAnsi="Palatino Linotype" w:cs="Arial"/>
          <w:b/>
        </w:rPr>
        <w:t>junio</w:t>
      </w:r>
      <w:r w:rsidR="000509AF" w:rsidRPr="008921BD">
        <w:rPr>
          <w:rFonts w:ascii="Palatino Linotype" w:hAnsi="Palatino Linotype" w:cs="Arial"/>
          <w:b/>
        </w:rPr>
        <w:t xml:space="preserve"> </w:t>
      </w:r>
      <w:r w:rsidR="00056AE1">
        <w:rPr>
          <w:rFonts w:ascii="Palatino Linotype" w:hAnsi="Palatino Linotype" w:cs="Arial"/>
          <w:b/>
        </w:rPr>
        <w:t>de dos mil veintiuno</w:t>
      </w:r>
      <w:r w:rsidR="00C93F5E">
        <w:rPr>
          <w:rFonts w:ascii="Palatino Linotype" w:hAnsi="Palatino Linotype" w:cs="Arial"/>
        </w:rPr>
        <w:t xml:space="preserve">, la </w:t>
      </w:r>
      <w:r w:rsidRPr="004326A0">
        <w:rPr>
          <w:rFonts w:ascii="Palatino Linotype" w:hAnsi="Palatino Linotype" w:cs="Arial"/>
          <w:b/>
        </w:rPr>
        <w:t>recurrente</w:t>
      </w:r>
      <w:r w:rsidRPr="004326A0">
        <w:rPr>
          <w:rFonts w:ascii="Palatino Linotype" w:hAnsi="Palatino Linotype" w:cs="Arial"/>
        </w:rPr>
        <w:t xml:space="preserve"> formuló solicitud de acceso a información pública al </w:t>
      </w:r>
      <w:r w:rsidRPr="004326A0">
        <w:rPr>
          <w:rFonts w:ascii="Palatino Linotype" w:hAnsi="Palatino Linotype" w:cs="Arial"/>
          <w:b/>
        </w:rPr>
        <w:t>Sujeto Obligado</w:t>
      </w:r>
      <w:r w:rsidRPr="004326A0">
        <w:rPr>
          <w:rFonts w:ascii="Palatino Linotype" w:hAnsi="Palatino Linotype" w:cs="Arial"/>
        </w:rPr>
        <w:t xml:space="preserve"> a través del Sistema de Acceso a la Información Mexiquense, en adelante </w:t>
      </w:r>
      <w:r w:rsidRPr="004326A0">
        <w:rPr>
          <w:rFonts w:ascii="Palatino Linotype" w:hAnsi="Palatino Linotype" w:cs="Arial"/>
          <w:b/>
        </w:rPr>
        <w:t>SAIMEX,</w:t>
      </w:r>
      <w:r w:rsidRPr="004326A0">
        <w:rPr>
          <w:rFonts w:ascii="Palatino Linotype" w:hAnsi="Palatino Linotype" w:cs="Arial"/>
        </w:rPr>
        <w:t xml:space="preserve"> requiriéndole lo siguiente:</w:t>
      </w:r>
    </w:p>
    <w:p w14:paraId="07370252" w14:textId="49744666" w:rsidR="005E0CA6" w:rsidRPr="004326A0" w:rsidRDefault="005E0CA6" w:rsidP="00963DFA">
      <w:pPr>
        <w:autoSpaceDE w:val="0"/>
        <w:autoSpaceDN w:val="0"/>
        <w:adjustRightInd w:val="0"/>
        <w:ind w:left="992" w:right="1043"/>
        <w:jc w:val="both"/>
        <w:rPr>
          <w:rFonts w:ascii="Palatino Linotype" w:hAnsi="Palatino Linotype" w:cs="Arial"/>
          <w:i/>
          <w:sz w:val="22"/>
          <w:szCs w:val="22"/>
        </w:rPr>
      </w:pPr>
      <w:r w:rsidRPr="004326A0">
        <w:rPr>
          <w:rFonts w:ascii="Palatino Linotype" w:hAnsi="Palatino Linotype" w:cs="Arial"/>
          <w:i/>
          <w:sz w:val="22"/>
          <w:szCs w:val="22"/>
        </w:rPr>
        <w:t xml:space="preserve"> “</w:t>
      </w:r>
      <w:r w:rsidR="00BF4972" w:rsidRPr="00BF4972">
        <w:rPr>
          <w:rFonts w:ascii="Palatino Linotype" w:hAnsi="Palatino Linotype" w:cs="Arial"/>
          <w:i/>
          <w:sz w:val="22"/>
          <w:szCs w:val="22"/>
        </w:rPr>
        <w:t>Se anexa requerimiento de información</w:t>
      </w:r>
      <w:r w:rsidRPr="004326A0">
        <w:rPr>
          <w:rFonts w:ascii="Palatino Linotype" w:hAnsi="Palatino Linotype" w:cs="Arial"/>
          <w:i/>
          <w:sz w:val="22"/>
          <w:szCs w:val="22"/>
        </w:rPr>
        <w:t>” (sic)</w:t>
      </w:r>
    </w:p>
    <w:p w14:paraId="6460BF35" w14:textId="77777777" w:rsidR="005E0CA6" w:rsidRPr="004326A0" w:rsidRDefault="005E0CA6" w:rsidP="005E0CA6">
      <w:pPr>
        <w:autoSpaceDE w:val="0"/>
        <w:autoSpaceDN w:val="0"/>
        <w:adjustRightInd w:val="0"/>
        <w:ind w:right="1043"/>
        <w:jc w:val="both"/>
        <w:rPr>
          <w:rFonts w:ascii="Palatino Linotype" w:hAnsi="Palatino Linotype"/>
          <w:i/>
          <w:sz w:val="22"/>
          <w:szCs w:val="22"/>
        </w:rPr>
      </w:pPr>
    </w:p>
    <w:p w14:paraId="566FA1AB" w14:textId="18223F3B" w:rsidR="00BF4972" w:rsidRPr="00BF4972" w:rsidRDefault="00BF4972" w:rsidP="004E5B98">
      <w:pPr>
        <w:spacing w:before="240" w:after="240" w:line="360" w:lineRule="auto"/>
        <w:ind w:left="567" w:right="1041"/>
        <w:jc w:val="both"/>
        <w:rPr>
          <w:rFonts w:ascii="Palatino Linotype" w:hAnsi="Palatino Linotype" w:cs="Arial"/>
        </w:rPr>
      </w:pPr>
      <w:r>
        <w:rPr>
          <w:rFonts w:ascii="Palatino Linotype" w:hAnsi="Palatino Linotype" w:cs="Arial"/>
          <w:b/>
        </w:rPr>
        <w:t xml:space="preserve">Archivos adjuntos: </w:t>
      </w:r>
      <w:r w:rsidRPr="00BF4972">
        <w:rPr>
          <w:rFonts w:ascii="Palatino Linotype" w:hAnsi="Palatino Linotype" w:cs="Arial"/>
          <w:b/>
          <w:i/>
          <w:sz w:val="22"/>
        </w:rPr>
        <w:t>“SolicitudInformacionSecSeguridad.pdf”:</w:t>
      </w:r>
      <w:r w:rsidRPr="00BF4972">
        <w:rPr>
          <w:rFonts w:ascii="Palatino Linotype" w:hAnsi="Palatino Linotype" w:cs="Arial"/>
          <w:b/>
          <w:sz w:val="22"/>
        </w:rPr>
        <w:t xml:space="preserve"> </w:t>
      </w:r>
      <w:r w:rsidRPr="00BF4972">
        <w:rPr>
          <w:rFonts w:ascii="Palatino Linotype" w:hAnsi="Palatino Linotype" w:cs="Arial"/>
          <w:sz w:val="22"/>
        </w:rPr>
        <w:t>Archivo que contiene los requerimientos</w:t>
      </w:r>
      <w:r>
        <w:rPr>
          <w:rFonts w:ascii="Palatino Linotype" w:hAnsi="Palatino Linotype" w:cs="Arial"/>
          <w:sz w:val="22"/>
        </w:rPr>
        <w:t xml:space="preserve"> de la solicitante y al ser del conocimiento de las partes, se omite su descripción, sin embargo, ser</w:t>
      </w:r>
      <w:r w:rsidR="00145ECB">
        <w:rPr>
          <w:rFonts w:ascii="Palatino Linotype" w:hAnsi="Palatino Linotype" w:cs="Arial"/>
          <w:sz w:val="22"/>
        </w:rPr>
        <w:t>á</w:t>
      </w:r>
      <w:r>
        <w:rPr>
          <w:rFonts w:ascii="Palatino Linotype" w:hAnsi="Palatino Linotype" w:cs="Arial"/>
          <w:sz w:val="22"/>
        </w:rPr>
        <w:t xml:space="preserve"> motivo de análisis en el cuerpo</w:t>
      </w:r>
      <w:r w:rsidR="004E5B98">
        <w:rPr>
          <w:rFonts w:ascii="Palatino Linotype" w:hAnsi="Palatino Linotype" w:cs="Arial"/>
          <w:sz w:val="22"/>
        </w:rPr>
        <w:t xml:space="preserve"> de la presente resolución. </w:t>
      </w:r>
    </w:p>
    <w:p w14:paraId="6E942FAA" w14:textId="329698C6" w:rsidR="005E0CA6" w:rsidRPr="004326A0" w:rsidRDefault="005E0CA6" w:rsidP="005E0CA6">
      <w:pPr>
        <w:spacing w:before="240" w:after="240" w:line="360" w:lineRule="auto"/>
        <w:jc w:val="both"/>
        <w:rPr>
          <w:rFonts w:ascii="Palatino Linotype" w:hAnsi="Palatino Linotype" w:cs="Arial"/>
        </w:rPr>
      </w:pPr>
      <w:r w:rsidRPr="004326A0">
        <w:rPr>
          <w:rFonts w:ascii="Palatino Linotype" w:hAnsi="Palatino Linotype" w:cs="Arial"/>
          <w:b/>
        </w:rPr>
        <w:lastRenderedPageBreak/>
        <w:t xml:space="preserve">Modalidad elegida para la entrega de la información: </w:t>
      </w:r>
      <w:r w:rsidR="00BF4972">
        <w:rPr>
          <w:rFonts w:ascii="Palatino Linotype" w:hAnsi="Palatino Linotype" w:cs="Arial"/>
        </w:rPr>
        <w:t>Copias certificadas (con costo)</w:t>
      </w:r>
      <w:r w:rsidRPr="004326A0">
        <w:rPr>
          <w:rFonts w:ascii="Palatino Linotype" w:hAnsi="Palatino Linotype" w:cs="Arial"/>
        </w:rPr>
        <w:t>.</w:t>
      </w:r>
    </w:p>
    <w:p w14:paraId="45F57DAD" w14:textId="7CEB5D5F" w:rsidR="005E0CA6" w:rsidRPr="004326A0" w:rsidRDefault="005E0CA6" w:rsidP="005E0CA6">
      <w:pPr>
        <w:spacing w:before="240" w:after="240" w:line="360" w:lineRule="auto"/>
        <w:jc w:val="both"/>
        <w:rPr>
          <w:rFonts w:ascii="Palatino Linotype" w:hAnsi="Palatino Linotype" w:cs="Arial"/>
          <w:bCs/>
        </w:rPr>
      </w:pPr>
      <w:r w:rsidRPr="004326A0">
        <w:rPr>
          <w:rFonts w:ascii="Palatino Linotype" w:hAnsi="Palatino Linotype" w:cs="Arial"/>
          <w:b/>
        </w:rPr>
        <w:t xml:space="preserve">2. Respuesta. </w:t>
      </w:r>
      <w:r w:rsidRPr="004326A0">
        <w:rPr>
          <w:rFonts w:ascii="Palatino Linotype" w:hAnsi="Palatino Linotype" w:cs="Arial"/>
        </w:rPr>
        <w:t xml:space="preserve">De las constancias que obran en </w:t>
      </w:r>
      <w:r w:rsidRPr="004326A0">
        <w:rPr>
          <w:rFonts w:ascii="Palatino Linotype" w:hAnsi="Palatino Linotype" w:cs="Arial"/>
          <w:b/>
        </w:rPr>
        <w:t>SAIMEX</w:t>
      </w:r>
      <w:r w:rsidRPr="004326A0">
        <w:rPr>
          <w:rFonts w:ascii="Palatino Linotype" w:hAnsi="Palatino Linotype" w:cs="Arial"/>
        </w:rPr>
        <w:t xml:space="preserve">, se observa que </w:t>
      </w:r>
      <w:r w:rsidRPr="004326A0">
        <w:rPr>
          <w:rFonts w:ascii="Palatino Linotype" w:hAnsi="Palatino Linotype" w:cs="Arial"/>
          <w:b/>
        </w:rPr>
        <w:t xml:space="preserve">El Sujeto Obligado </w:t>
      </w:r>
      <w:r w:rsidR="00DE3525">
        <w:rPr>
          <w:rFonts w:ascii="Palatino Linotype" w:hAnsi="Palatino Linotype" w:cs="Arial"/>
        </w:rPr>
        <w:t xml:space="preserve">en fecha </w:t>
      </w:r>
      <w:r w:rsidR="00145ECB">
        <w:rPr>
          <w:rFonts w:ascii="Palatino Linotype" w:hAnsi="Palatino Linotype" w:cs="Arial"/>
          <w:b/>
        </w:rPr>
        <w:t>dos</w:t>
      </w:r>
      <w:r w:rsidR="00DE3525" w:rsidRPr="00DE3525">
        <w:rPr>
          <w:rFonts w:ascii="Palatino Linotype" w:hAnsi="Palatino Linotype" w:cs="Arial"/>
          <w:b/>
        </w:rPr>
        <w:t xml:space="preserve"> </w:t>
      </w:r>
      <w:r w:rsidR="00145ECB">
        <w:rPr>
          <w:rFonts w:ascii="Palatino Linotype" w:hAnsi="Palatino Linotype" w:cs="Arial"/>
          <w:b/>
        </w:rPr>
        <w:t>de juli</w:t>
      </w:r>
      <w:r w:rsidR="00DE3525">
        <w:rPr>
          <w:rFonts w:ascii="Palatino Linotype" w:hAnsi="Palatino Linotype" w:cs="Arial"/>
          <w:b/>
        </w:rPr>
        <w:t>o</w:t>
      </w:r>
      <w:r w:rsidRPr="008921BD">
        <w:rPr>
          <w:rFonts w:ascii="Palatino Linotype" w:hAnsi="Palatino Linotype" w:cs="Arial"/>
          <w:b/>
        </w:rPr>
        <w:t xml:space="preserve"> de d</w:t>
      </w:r>
      <w:r w:rsidR="00DE3525">
        <w:rPr>
          <w:rFonts w:ascii="Palatino Linotype" w:hAnsi="Palatino Linotype" w:cs="Arial"/>
          <w:b/>
        </w:rPr>
        <w:t>os mil veintiuno</w:t>
      </w:r>
      <w:r w:rsidRPr="008921BD">
        <w:rPr>
          <w:rFonts w:ascii="Palatino Linotype" w:hAnsi="Palatino Linotype" w:cs="Arial"/>
          <w:b/>
        </w:rPr>
        <w:t xml:space="preserve"> </w:t>
      </w:r>
      <w:r w:rsidRPr="004326A0">
        <w:rPr>
          <w:rFonts w:ascii="Palatino Linotype" w:hAnsi="Palatino Linotype" w:cs="Arial"/>
        </w:rPr>
        <w:t>emitió respuesta, en los siguientes términos:</w:t>
      </w:r>
    </w:p>
    <w:p w14:paraId="1AD670A5" w14:textId="77777777" w:rsidR="00145ECB" w:rsidRPr="00145ECB" w:rsidRDefault="008A5BDF" w:rsidP="00145ECB">
      <w:pPr>
        <w:ind w:left="567" w:right="851"/>
        <w:jc w:val="both"/>
        <w:rPr>
          <w:rFonts w:ascii="Palatino Linotype" w:hAnsi="Palatino Linotype" w:cs="Arial"/>
          <w:i/>
          <w:sz w:val="22"/>
          <w:szCs w:val="22"/>
        </w:rPr>
      </w:pPr>
      <w:r>
        <w:rPr>
          <w:rFonts w:ascii="Palatino Linotype" w:hAnsi="Palatino Linotype" w:cs="Arial"/>
          <w:i/>
          <w:sz w:val="22"/>
          <w:szCs w:val="22"/>
        </w:rPr>
        <w:t>“</w:t>
      </w:r>
      <w:r w:rsidR="00145ECB" w:rsidRPr="00145ECB">
        <w:rPr>
          <w:rFonts w:ascii="Palatino Linotype" w:hAnsi="Palatino Linotype" w:cs="Arial"/>
          <w:i/>
          <w:sz w:val="22"/>
          <w:szCs w:val="22"/>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2FAC382B" w14:textId="77777777" w:rsidR="00145ECB" w:rsidRPr="00145ECB" w:rsidRDefault="00145ECB" w:rsidP="00145ECB">
      <w:pPr>
        <w:ind w:left="567" w:right="851"/>
        <w:jc w:val="both"/>
        <w:rPr>
          <w:rFonts w:ascii="Palatino Linotype" w:hAnsi="Palatino Linotype" w:cs="Arial"/>
          <w:i/>
          <w:sz w:val="22"/>
          <w:szCs w:val="22"/>
        </w:rPr>
      </w:pPr>
      <w:r w:rsidRPr="00145ECB">
        <w:rPr>
          <w:rFonts w:ascii="Palatino Linotype" w:hAnsi="Palatino Linotype" w:cs="Arial"/>
          <w:i/>
          <w:sz w:val="22"/>
          <w:szCs w:val="22"/>
        </w:rPr>
        <w:t>ATENTAMENTE</w:t>
      </w:r>
    </w:p>
    <w:p w14:paraId="7D1E68E4" w14:textId="7CF3955F" w:rsidR="00467CAE" w:rsidRPr="008A5BDF" w:rsidRDefault="00145ECB" w:rsidP="00145ECB">
      <w:pPr>
        <w:ind w:left="567" w:right="851"/>
        <w:jc w:val="both"/>
        <w:rPr>
          <w:rFonts w:ascii="Palatino Linotype" w:hAnsi="Palatino Linotype" w:cs="Arial"/>
          <w:i/>
          <w:sz w:val="22"/>
          <w:szCs w:val="22"/>
        </w:rPr>
      </w:pPr>
      <w:r w:rsidRPr="00145ECB">
        <w:rPr>
          <w:rFonts w:ascii="Palatino Linotype" w:hAnsi="Palatino Linotype" w:cs="Arial"/>
          <w:i/>
          <w:sz w:val="22"/>
          <w:szCs w:val="22"/>
        </w:rPr>
        <w:t>M. en D. Larissa León Arce</w:t>
      </w:r>
      <w:r w:rsidR="008A5BDF">
        <w:rPr>
          <w:rFonts w:ascii="Palatino Linotype" w:hAnsi="Palatino Linotype" w:cs="Arial"/>
          <w:i/>
          <w:sz w:val="22"/>
          <w:szCs w:val="22"/>
        </w:rPr>
        <w:t>”</w:t>
      </w:r>
    </w:p>
    <w:p w14:paraId="12AAE6D2" w14:textId="77777777" w:rsidR="00467CAE" w:rsidRDefault="00467CAE" w:rsidP="005E0CA6">
      <w:pPr>
        <w:ind w:right="851"/>
        <w:jc w:val="both"/>
        <w:rPr>
          <w:rFonts w:ascii="Palatino Linotype" w:hAnsi="Palatino Linotype" w:cs="Arial"/>
          <w:b/>
          <w:sz w:val="22"/>
          <w:szCs w:val="22"/>
        </w:rPr>
      </w:pPr>
    </w:p>
    <w:p w14:paraId="1D78AAEC" w14:textId="5766C938" w:rsidR="008921BD" w:rsidRDefault="008921BD" w:rsidP="005E0CA6">
      <w:pPr>
        <w:ind w:right="851"/>
        <w:jc w:val="both"/>
        <w:rPr>
          <w:rFonts w:ascii="Palatino Linotype" w:hAnsi="Palatino Linotype" w:cs="Arial"/>
          <w:b/>
          <w:sz w:val="22"/>
          <w:szCs w:val="22"/>
        </w:rPr>
      </w:pPr>
      <w:r>
        <w:rPr>
          <w:rFonts w:ascii="Palatino Linotype" w:hAnsi="Palatino Linotype" w:cs="Arial"/>
          <w:b/>
          <w:sz w:val="22"/>
          <w:szCs w:val="22"/>
        </w:rPr>
        <w:t xml:space="preserve">Archivos adjuntos: </w:t>
      </w:r>
    </w:p>
    <w:p w14:paraId="6B6735D3" w14:textId="4CD53124" w:rsidR="00DE3525" w:rsidRPr="00541CBF" w:rsidRDefault="00145ECB" w:rsidP="00541CBF">
      <w:pPr>
        <w:pStyle w:val="Prrafodelista"/>
        <w:numPr>
          <w:ilvl w:val="0"/>
          <w:numId w:val="18"/>
        </w:numPr>
        <w:spacing w:line="360" w:lineRule="auto"/>
        <w:ind w:left="714" w:right="851" w:hanging="357"/>
        <w:jc w:val="both"/>
        <w:rPr>
          <w:rFonts w:ascii="Palatino Linotype" w:hAnsi="Palatino Linotype" w:cs="Arial"/>
          <w:sz w:val="28"/>
        </w:rPr>
      </w:pPr>
      <w:r>
        <w:rPr>
          <w:rFonts w:ascii="Palatino Linotype" w:hAnsi="Palatino Linotype" w:cs="Arial"/>
          <w:b/>
          <w:i/>
        </w:rPr>
        <w:t>“319 RESPUESTA.pdf</w:t>
      </w:r>
      <w:r w:rsidR="00DE3525" w:rsidRPr="00541CBF">
        <w:rPr>
          <w:rFonts w:ascii="Palatino Linotype" w:hAnsi="Palatino Linotype" w:cs="Arial"/>
          <w:b/>
          <w:i/>
        </w:rPr>
        <w:t>”</w:t>
      </w:r>
      <w:r w:rsidR="00541CBF" w:rsidRPr="00541CBF">
        <w:rPr>
          <w:rFonts w:ascii="Palatino Linotype" w:hAnsi="Palatino Linotype" w:cs="Arial"/>
          <w:b/>
          <w:i/>
        </w:rPr>
        <w:t>:</w:t>
      </w:r>
      <w:r>
        <w:rPr>
          <w:rFonts w:ascii="Palatino Linotype" w:hAnsi="Palatino Linotype" w:cs="Arial"/>
        </w:rPr>
        <w:t xml:space="preserve"> Archivo que contiene la respuesta del Sujeto Obligado, la cual al ser del conocimiento de las partes se omitirá su descripción, no obstante se analizará en el apartado de estudio del asunto de la presente resolución</w:t>
      </w:r>
      <w:r w:rsidR="00541CBF" w:rsidRPr="00541CBF">
        <w:rPr>
          <w:rFonts w:ascii="Palatino Linotype" w:hAnsi="Palatino Linotype" w:cs="Arial"/>
        </w:rPr>
        <w:t>.</w:t>
      </w:r>
    </w:p>
    <w:p w14:paraId="0E4C82A7" w14:textId="53C20878" w:rsidR="0060556D" w:rsidRPr="00541CBF" w:rsidRDefault="005E0CA6" w:rsidP="008A5BDF">
      <w:pPr>
        <w:spacing w:before="240" w:after="240" w:line="360" w:lineRule="auto"/>
        <w:jc w:val="both"/>
        <w:rPr>
          <w:rFonts w:ascii="Palatino Linotype" w:hAnsi="Palatino Linotype" w:cs="Arial"/>
          <w:b/>
        </w:rPr>
      </w:pPr>
      <w:r w:rsidRPr="008A5BDF">
        <w:rPr>
          <w:rFonts w:ascii="Palatino Linotype" w:hAnsi="Palatino Linotype"/>
          <w:b/>
        </w:rPr>
        <w:t>3.</w:t>
      </w:r>
      <w:r w:rsidRPr="008A5BDF">
        <w:rPr>
          <w:rFonts w:ascii="Palatino Linotype" w:hAnsi="Palatino Linotype" w:cs="Arial"/>
          <w:b/>
        </w:rPr>
        <w:t xml:space="preserve"> Interposición del recurso de revisión. </w:t>
      </w:r>
      <w:r w:rsidRPr="008A5BDF">
        <w:rPr>
          <w:rFonts w:ascii="Palatino Linotype" w:hAnsi="Palatino Linotype" w:cs="Arial"/>
        </w:rPr>
        <w:t>Inconforme el solicitante con la respuesta del Sujeto Obligado interpuso recurso de revisió</w:t>
      </w:r>
      <w:r w:rsidR="00145ECB">
        <w:rPr>
          <w:rFonts w:ascii="Palatino Linotype" w:hAnsi="Palatino Linotype" w:cs="Arial"/>
        </w:rPr>
        <w:t xml:space="preserve">n a través del SAIMEX con fecha </w:t>
      </w:r>
      <w:r w:rsidR="00145ECB" w:rsidRPr="00145ECB">
        <w:rPr>
          <w:rFonts w:ascii="Palatino Linotype" w:hAnsi="Palatino Linotype" w:cs="Arial"/>
          <w:b/>
        </w:rPr>
        <w:t xml:space="preserve">cinco </w:t>
      </w:r>
      <w:r w:rsidR="00145ECB">
        <w:rPr>
          <w:rFonts w:ascii="Palatino Linotype" w:hAnsi="Palatino Linotype" w:cs="Arial"/>
          <w:b/>
        </w:rPr>
        <w:t>de juli</w:t>
      </w:r>
      <w:r w:rsidR="00B82BF7">
        <w:rPr>
          <w:rFonts w:ascii="Palatino Linotype" w:hAnsi="Palatino Linotype" w:cs="Arial"/>
          <w:b/>
        </w:rPr>
        <w:t>o de dos mil veintiuno</w:t>
      </w:r>
      <w:r w:rsidRPr="008A5BDF">
        <w:rPr>
          <w:rFonts w:ascii="Palatino Linotype" w:hAnsi="Palatino Linotype" w:cs="Arial"/>
        </w:rPr>
        <w:t>, a través del cual expresó lo siguiente:</w:t>
      </w:r>
    </w:p>
    <w:p w14:paraId="1CBA738D" w14:textId="77777777" w:rsidR="005E0CA6" w:rsidRPr="004326A0" w:rsidRDefault="005E0CA6" w:rsidP="00B82BF7">
      <w:pPr>
        <w:spacing w:line="360" w:lineRule="auto"/>
        <w:ind w:left="567" w:right="900"/>
        <w:rPr>
          <w:rFonts w:ascii="Palatino Linotype" w:hAnsi="Palatino Linotype" w:cs="Arial"/>
          <w:b/>
        </w:rPr>
      </w:pPr>
      <w:r w:rsidRPr="004326A0">
        <w:rPr>
          <w:rFonts w:ascii="Palatino Linotype" w:hAnsi="Palatino Linotype" w:cs="Arial"/>
          <w:b/>
        </w:rPr>
        <w:t>a) Acto impugnado.</w:t>
      </w:r>
    </w:p>
    <w:p w14:paraId="37EFAA76" w14:textId="3CBA3A18" w:rsidR="005E0CA6" w:rsidRPr="004326A0" w:rsidRDefault="005E0CA6" w:rsidP="00B82BF7">
      <w:pPr>
        <w:spacing w:before="240" w:after="240"/>
        <w:ind w:left="567" w:right="900"/>
        <w:jc w:val="both"/>
        <w:rPr>
          <w:rFonts w:ascii="Palatino Linotype" w:hAnsi="Palatino Linotype" w:cs="Arial"/>
          <w:i/>
        </w:rPr>
      </w:pPr>
      <w:r w:rsidRPr="004326A0">
        <w:rPr>
          <w:rFonts w:ascii="Palatino Linotype" w:hAnsi="Palatino Linotype" w:cs="Arial"/>
          <w:i/>
          <w:sz w:val="22"/>
          <w:szCs w:val="22"/>
        </w:rPr>
        <w:t xml:space="preserve"> “</w:t>
      </w:r>
      <w:r w:rsidR="00145ECB" w:rsidRPr="00DD71DF">
        <w:rPr>
          <w:rFonts w:ascii="Palatino Linotype" w:hAnsi="Palatino Linotype" w:cs="Arial"/>
          <w:b/>
          <w:bCs/>
          <w:i/>
          <w:sz w:val="22"/>
          <w:szCs w:val="22"/>
          <w:u w:val="single"/>
        </w:rPr>
        <w:t>omisión de emitir copias certificadas del oficio de respuesta</w:t>
      </w:r>
      <w:r w:rsidR="00145ECB" w:rsidRPr="00145ECB">
        <w:rPr>
          <w:rFonts w:ascii="Palatino Linotype" w:hAnsi="Palatino Linotype" w:cs="Arial"/>
          <w:bCs/>
          <w:i/>
          <w:sz w:val="22"/>
          <w:szCs w:val="22"/>
        </w:rPr>
        <w:t xml:space="preserve">, </w:t>
      </w:r>
      <w:r w:rsidR="00145ECB" w:rsidRPr="00DD71DF">
        <w:rPr>
          <w:rFonts w:ascii="Palatino Linotype" w:hAnsi="Palatino Linotype" w:cs="Arial"/>
          <w:b/>
          <w:bCs/>
          <w:i/>
          <w:sz w:val="22"/>
          <w:szCs w:val="22"/>
          <w:u w:val="single"/>
        </w:rPr>
        <w:t>así como copia certificada del oficio de fecha 28 de noviembre 2019</w:t>
      </w:r>
      <w:r w:rsidR="00145ECB" w:rsidRPr="00145ECB">
        <w:rPr>
          <w:rFonts w:ascii="Palatino Linotype" w:hAnsi="Palatino Linotype" w:cs="Arial"/>
          <w:bCs/>
          <w:i/>
          <w:sz w:val="22"/>
          <w:szCs w:val="22"/>
        </w:rPr>
        <w:t>, mismos que fueron solicitados en la solicitud de información a través de este sistema</w:t>
      </w:r>
      <w:r w:rsidRPr="00BD5405">
        <w:rPr>
          <w:rFonts w:ascii="Palatino Linotype" w:hAnsi="Palatino Linotype" w:cs="Arial"/>
          <w:i/>
        </w:rPr>
        <w:t>”</w:t>
      </w:r>
      <w:r w:rsidRPr="004326A0">
        <w:rPr>
          <w:rFonts w:ascii="Palatino Linotype" w:hAnsi="Palatino Linotype" w:cs="Arial"/>
          <w:i/>
        </w:rPr>
        <w:t xml:space="preserve"> (sic)</w:t>
      </w:r>
    </w:p>
    <w:p w14:paraId="4F53792B" w14:textId="77777777" w:rsidR="00145ECB" w:rsidRDefault="00145ECB" w:rsidP="00B82BF7">
      <w:pPr>
        <w:spacing w:line="360" w:lineRule="auto"/>
        <w:ind w:left="567" w:right="900"/>
        <w:jc w:val="both"/>
        <w:rPr>
          <w:rFonts w:ascii="Palatino Linotype" w:hAnsi="Palatino Linotype" w:cs="Arial"/>
          <w:b/>
        </w:rPr>
      </w:pPr>
    </w:p>
    <w:p w14:paraId="505C4747" w14:textId="77777777" w:rsidR="00145ECB" w:rsidRDefault="00145ECB" w:rsidP="00B82BF7">
      <w:pPr>
        <w:spacing w:line="360" w:lineRule="auto"/>
        <w:ind w:left="567" w:right="900"/>
        <w:jc w:val="both"/>
        <w:rPr>
          <w:rFonts w:ascii="Palatino Linotype" w:hAnsi="Palatino Linotype" w:cs="Arial"/>
          <w:b/>
        </w:rPr>
      </w:pPr>
    </w:p>
    <w:p w14:paraId="2CA56FE1" w14:textId="10FE3BD1" w:rsidR="005E0CA6" w:rsidRPr="00B82BF7" w:rsidRDefault="005E0CA6" w:rsidP="00B82BF7">
      <w:pPr>
        <w:spacing w:line="360" w:lineRule="auto"/>
        <w:ind w:left="567" w:right="900"/>
        <w:jc w:val="both"/>
        <w:rPr>
          <w:rFonts w:ascii="Palatino Linotype" w:hAnsi="Palatino Linotype" w:cs="Arial"/>
          <w:b/>
        </w:rPr>
      </w:pPr>
      <w:r w:rsidRPr="004326A0">
        <w:rPr>
          <w:rFonts w:ascii="Palatino Linotype" w:hAnsi="Palatino Linotype" w:cs="Arial"/>
          <w:b/>
        </w:rPr>
        <w:lastRenderedPageBreak/>
        <w:t>b) Motivos de inconformidad.</w:t>
      </w:r>
    </w:p>
    <w:p w14:paraId="61C1D60A" w14:textId="6A7BE8B7" w:rsidR="005E0CA6" w:rsidRPr="004326A0" w:rsidRDefault="005E0CA6" w:rsidP="00B82BF7">
      <w:pPr>
        <w:ind w:left="567" w:right="900"/>
        <w:jc w:val="both"/>
        <w:rPr>
          <w:rFonts w:ascii="Palatino Linotype" w:hAnsi="Palatino Linotype" w:cs="Arial"/>
          <w:i/>
          <w:sz w:val="22"/>
          <w:szCs w:val="22"/>
        </w:rPr>
      </w:pPr>
      <w:r w:rsidRPr="004326A0">
        <w:rPr>
          <w:rFonts w:ascii="Palatino Linotype" w:hAnsi="Palatino Linotype" w:cs="Arial"/>
          <w:i/>
          <w:sz w:val="22"/>
          <w:szCs w:val="22"/>
        </w:rPr>
        <w:t>“</w:t>
      </w:r>
      <w:r w:rsidR="00145ECB" w:rsidRPr="00DD71DF">
        <w:rPr>
          <w:rFonts w:ascii="Palatino Linotype" w:hAnsi="Palatino Linotype"/>
          <w:b/>
          <w:bCs/>
          <w:i/>
          <w:sz w:val="22"/>
          <w:szCs w:val="22"/>
          <w:u w:val="single"/>
        </w:rPr>
        <w:t>omisión de emitir copias certificadas del oficio de respuesta, así como copia certificada del oficio de fecha 28 de noviembre 2019</w:t>
      </w:r>
      <w:r w:rsidR="00145ECB" w:rsidRPr="00145ECB">
        <w:rPr>
          <w:rFonts w:ascii="Palatino Linotype" w:hAnsi="Palatino Linotype"/>
          <w:bCs/>
          <w:i/>
          <w:sz w:val="22"/>
          <w:szCs w:val="22"/>
        </w:rPr>
        <w:t>, mismos que fueron solicitados en la solicitud de información a través de este sistema, puesto que solo se brinda la respuesta a través del sistema Saimex</w:t>
      </w:r>
      <w:r w:rsidRPr="00BD5405">
        <w:rPr>
          <w:rFonts w:ascii="Palatino Linotype" w:hAnsi="Palatino Linotype" w:cs="Arial"/>
          <w:i/>
          <w:sz w:val="22"/>
          <w:szCs w:val="22"/>
        </w:rPr>
        <w:t>”</w:t>
      </w:r>
      <w:r w:rsidRPr="004326A0">
        <w:rPr>
          <w:rFonts w:ascii="Palatino Linotype" w:hAnsi="Palatino Linotype" w:cs="Arial"/>
          <w:i/>
          <w:sz w:val="22"/>
          <w:szCs w:val="22"/>
        </w:rPr>
        <w:t xml:space="preserve"> (sic)</w:t>
      </w:r>
    </w:p>
    <w:p w14:paraId="643D3807" w14:textId="77777777" w:rsidR="005E0CA6" w:rsidRPr="004326A0" w:rsidRDefault="005E0CA6" w:rsidP="00B82BF7">
      <w:pPr>
        <w:ind w:left="567" w:right="900"/>
        <w:jc w:val="both"/>
        <w:rPr>
          <w:rFonts w:ascii="Palatino Linotype" w:hAnsi="Palatino Linotype" w:cs="Arial"/>
          <w:i/>
          <w:sz w:val="22"/>
          <w:szCs w:val="22"/>
        </w:rPr>
      </w:pPr>
    </w:p>
    <w:p w14:paraId="2C53241F" w14:textId="02A958F5" w:rsidR="005E0CA6" w:rsidRPr="004326A0" w:rsidRDefault="005E0CA6" w:rsidP="005E0CA6">
      <w:pPr>
        <w:spacing w:before="240" w:after="240" w:line="360" w:lineRule="auto"/>
        <w:jc w:val="both"/>
        <w:rPr>
          <w:rFonts w:ascii="Palatino Linotype" w:hAnsi="Palatino Linotype"/>
        </w:rPr>
      </w:pPr>
      <w:r w:rsidRPr="004326A0">
        <w:rPr>
          <w:rFonts w:ascii="Palatino Linotype" w:hAnsi="Palatino Linotype" w:cs="Arial"/>
          <w:b/>
        </w:rPr>
        <w:t xml:space="preserve">4. </w:t>
      </w:r>
      <w:r w:rsidRPr="004326A0">
        <w:rPr>
          <w:rFonts w:ascii="Palatino Linotype" w:hAnsi="Palatino Linotype"/>
          <w:b/>
        </w:rPr>
        <w:t xml:space="preserve">Turno. </w:t>
      </w:r>
      <w:r w:rsidRPr="004326A0">
        <w:rPr>
          <w:rFonts w:ascii="Palatino Linotype" w:hAnsi="Palatino Linotype"/>
        </w:rPr>
        <w:t xml:space="preserve">De conformidad con el artículo 185 fracción I </w:t>
      </w:r>
      <w:r w:rsidRPr="004326A0">
        <w:rPr>
          <w:rFonts w:ascii="Palatino Linotype" w:hAnsi="Palatino Linotype"/>
          <w:shd w:val="clear" w:color="auto" w:fill="FFFFFF"/>
        </w:rPr>
        <w:t>de la Ley Transparencia y Acceso a la Información Pública</w:t>
      </w:r>
      <w:r w:rsidRPr="004326A0">
        <w:rPr>
          <w:rFonts w:ascii="Palatino Linotype" w:hAnsi="Palatino Linotype" w:cs="Arial"/>
        </w:rPr>
        <w:t xml:space="preserve">, el recurso de revisión número </w:t>
      </w:r>
      <w:r w:rsidRPr="004326A0">
        <w:rPr>
          <w:rFonts w:ascii="Palatino Linotype" w:hAnsi="Palatino Linotype" w:cs="Arial"/>
          <w:b/>
        </w:rPr>
        <w:t>0</w:t>
      </w:r>
      <w:r w:rsidR="00145ECB">
        <w:rPr>
          <w:rFonts w:ascii="Palatino Linotype" w:hAnsi="Palatino Linotype" w:cs="Arial"/>
          <w:b/>
        </w:rPr>
        <w:t>362</w:t>
      </w:r>
      <w:r w:rsidR="002C4AD5" w:rsidRPr="004326A0">
        <w:rPr>
          <w:rFonts w:ascii="Palatino Linotype" w:hAnsi="Palatino Linotype" w:cs="Arial"/>
          <w:b/>
        </w:rPr>
        <w:t>4</w:t>
      </w:r>
      <w:r w:rsidRPr="004326A0">
        <w:rPr>
          <w:rFonts w:ascii="Palatino Linotype" w:hAnsi="Palatino Linotype" w:cs="Arial"/>
          <w:b/>
        </w:rPr>
        <w:t>/INFOEM/IP/RR/20</w:t>
      </w:r>
      <w:r w:rsidR="00145ECB">
        <w:rPr>
          <w:rFonts w:ascii="Palatino Linotype" w:hAnsi="Palatino Linotype" w:cs="Arial"/>
          <w:b/>
        </w:rPr>
        <w:t>21</w:t>
      </w:r>
      <w:r w:rsidR="002C4AD5" w:rsidRPr="004326A0">
        <w:rPr>
          <w:rFonts w:ascii="Palatino Linotype" w:hAnsi="Palatino Linotype" w:cs="Arial"/>
          <w:b/>
        </w:rPr>
        <w:t xml:space="preserve"> </w:t>
      </w:r>
      <w:r w:rsidRPr="004326A0">
        <w:rPr>
          <w:rFonts w:ascii="Palatino Linotype" w:hAnsi="Palatino Linotype" w:cs="Arial"/>
          <w:bCs/>
          <w:lang w:eastAsia="es-MX"/>
        </w:rPr>
        <w:t xml:space="preserve">fue </w:t>
      </w:r>
      <w:r w:rsidRPr="004326A0">
        <w:rPr>
          <w:rFonts w:ascii="Palatino Linotype" w:hAnsi="Palatino Linotype"/>
        </w:rPr>
        <w:t xml:space="preserve">turnado al </w:t>
      </w:r>
      <w:r w:rsidR="002A130D">
        <w:rPr>
          <w:rFonts w:ascii="Palatino Linotype" w:hAnsi="Palatino Linotype"/>
        </w:rPr>
        <w:t xml:space="preserve">entonces </w:t>
      </w:r>
      <w:r w:rsidRPr="00467CAE">
        <w:rPr>
          <w:rFonts w:ascii="Palatino Linotype" w:hAnsi="Palatino Linotype"/>
          <w:b/>
        </w:rPr>
        <w:t>Comisionado Javier Martínez Cruz</w:t>
      </w:r>
      <w:r w:rsidRPr="004326A0">
        <w:rPr>
          <w:rFonts w:ascii="Palatino Linotype" w:hAnsi="Palatino Linotype"/>
        </w:rPr>
        <w:t>; a efecto de presentar al Pleno el proyecto de resolución correspondiente.</w:t>
      </w:r>
    </w:p>
    <w:p w14:paraId="63DD9C9A" w14:textId="513CAD4E" w:rsidR="002C4AD5" w:rsidRPr="004326A0" w:rsidRDefault="00467CAE" w:rsidP="002C4AD5">
      <w:pPr>
        <w:spacing w:before="240" w:after="240" w:line="360" w:lineRule="auto"/>
        <w:jc w:val="both"/>
        <w:rPr>
          <w:rFonts w:ascii="Palatino Linotype" w:hAnsi="Palatino Linotype"/>
        </w:rPr>
      </w:pPr>
      <w:r>
        <w:rPr>
          <w:rFonts w:ascii="Palatino Linotype" w:hAnsi="Palatino Linotype"/>
          <w:b/>
        </w:rPr>
        <w:t>5</w:t>
      </w:r>
      <w:r w:rsidR="002C4AD5" w:rsidRPr="004326A0">
        <w:rPr>
          <w:rFonts w:ascii="Palatino Linotype" w:hAnsi="Palatino Linotype"/>
          <w:b/>
        </w:rPr>
        <w:t xml:space="preserve">. Admisión. </w:t>
      </w:r>
      <w:r>
        <w:rPr>
          <w:rFonts w:ascii="Palatino Linotype" w:hAnsi="Palatino Linotype"/>
        </w:rPr>
        <w:t xml:space="preserve">El </w:t>
      </w:r>
      <w:r w:rsidR="00145ECB">
        <w:rPr>
          <w:rFonts w:ascii="Palatino Linotype" w:hAnsi="Palatino Linotype"/>
          <w:b/>
        </w:rPr>
        <w:t>ocho de juli</w:t>
      </w:r>
      <w:r w:rsidR="00950002">
        <w:rPr>
          <w:rFonts w:ascii="Palatino Linotype" w:hAnsi="Palatino Linotype"/>
          <w:b/>
        </w:rPr>
        <w:t>o de dos mil veintiuno</w:t>
      </w:r>
      <w:r w:rsidR="002C4AD5" w:rsidRPr="004326A0">
        <w:rPr>
          <w:rFonts w:ascii="Palatino Linotype" w:hAnsi="Palatino Linotype"/>
        </w:rPr>
        <w:t>, en términos de lo dispuesto en el artículo 185 fracciones I, II y IV de la Ley de Transparencia y Acceso a la Información Pública del Estado de México y Municipios, se admitió a trámite el presente recurso de revisión.</w:t>
      </w:r>
    </w:p>
    <w:p w14:paraId="47CDADB7" w14:textId="64BED8AC" w:rsidR="002C4AD5" w:rsidRPr="00467CAE" w:rsidRDefault="00467CAE" w:rsidP="002C4AD5">
      <w:pPr>
        <w:spacing w:before="240" w:after="240" w:line="360" w:lineRule="auto"/>
        <w:jc w:val="both"/>
        <w:rPr>
          <w:rFonts w:ascii="Palatino Linotype" w:hAnsi="Palatino Linotype" w:cs="Arial"/>
        </w:rPr>
      </w:pPr>
      <w:r w:rsidRPr="00467CAE">
        <w:rPr>
          <w:rFonts w:ascii="Palatino Linotype" w:hAnsi="Palatino Linotype" w:cs="Arial"/>
          <w:b/>
        </w:rPr>
        <w:t>6. Manifestaciones</w:t>
      </w:r>
      <w:r w:rsidR="002C4AD5" w:rsidRPr="00467CAE">
        <w:rPr>
          <w:rFonts w:ascii="Palatino Linotype" w:hAnsi="Palatino Linotype" w:cs="Arial"/>
          <w:b/>
        </w:rPr>
        <w:t xml:space="preserve">. </w:t>
      </w:r>
      <w:bookmarkStart w:id="1" w:name="_Hlk51223473"/>
      <w:r w:rsidR="002C4AD5" w:rsidRPr="00467CAE">
        <w:rPr>
          <w:rFonts w:ascii="Palatino Linotype" w:hAnsi="Palatino Linotype" w:cs="Arial"/>
        </w:rPr>
        <w:t xml:space="preserve">De las constancias que obran en el expediente electrónico del SAIMEX se desprende que el </w:t>
      </w:r>
      <w:r w:rsidR="002C4AD5" w:rsidRPr="00467CAE">
        <w:rPr>
          <w:rFonts w:ascii="Palatino Linotype" w:hAnsi="Palatino Linotype" w:cs="Arial"/>
          <w:b/>
        </w:rPr>
        <w:t>Sujeto Obligado</w:t>
      </w:r>
      <w:r w:rsidRPr="00467CAE">
        <w:rPr>
          <w:rFonts w:ascii="Palatino Linotype" w:hAnsi="Palatino Linotype" w:cs="Arial"/>
        </w:rPr>
        <w:t xml:space="preserve"> el </w:t>
      </w:r>
      <w:r w:rsidR="00D02381">
        <w:rPr>
          <w:rFonts w:ascii="Palatino Linotype" w:hAnsi="Palatino Linotype" w:cs="Arial"/>
          <w:b/>
        </w:rPr>
        <w:t>dos de agost</w:t>
      </w:r>
      <w:r w:rsidR="00950002">
        <w:rPr>
          <w:rFonts w:ascii="Palatino Linotype" w:hAnsi="Palatino Linotype" w:cs="Arial"/>
          <w:b/>
        </w:rPr>
        <w:t>o</w:t>
      </w:r>
      <w:r w:rsidR="002C4AD5" w:rsidRPr="00467CAE">
        <w:rPr>
          <w:rFonts w:ascii="Palatino Linotype" w:hAnsi="Palatino Linotype" w:cs="Arial"/>
          <w:b/>
        </w:rPr>
        <w:t xml:space="preserve"> del presente</w:t>
      </w:r>
      <w:r w:rsidR="002C4AD5" w:rsidRPr="00467CAE">
        <w:rPr>
          <w:rFonts w:ascii="Palatino Linotype" w:hAnsi="Palatino Linotype" w:cs="Arial"/>
        </w:rPr>
        <w:t xml:space="preserve"> </w:t>
      </w:r>
      <w:r w:rsidR="002C4AD5" w:rsidRPr="00467CAE">
        <w:rPr>
          <w:rFonts w:ascii="Palatino Linotype" w:hAnsi="Palatino Linotype" w:cs="Arial"/>
          <w:b/>
        </w:rPr>
        <w:t xml:space="preserve">año </w:t>
      </w:r>
      <w:r w:rsidR="002C4AD5" w:rsidRPr="00467CAE">
        <w:rPr>
          <w:rFonts w:ascii="Palatino Linotype" w:hAnsi="Palatino Linotype" w:cs="Arial"/>
        </w:rPr>
        <w:t>rindió su inf</w:t>
      </w:r>
      <w:r w:rsidR="00D02381">
        <w:rPr>
          <w:rFonts w:ascii="Palatino Linotype" w:hAnsi="Palatino Linotype" w:cs="Arial"/>
        </w:rPr>
        <w:t>orme justificado, adjuntando el archivo electrónico siguiente</w:t>
      </w:r>
      <w:r w:rsidR="002C4AD5" w:rsidRPr="00467CAE">
        <w:rPr>
          <w:rFonts w:ascii="Palatino Linotype" w:hAnsi="Palatino Linotype" w:cs="Arial"/>
        </w:rPr>
        <w:t>:</w:t>
      </w:r>
    </w:p>
    <w:p w14:paraId="5EFA0734" w14:textId="6A5D5E6B" w:rsidR="00CA54AC" w:rsidRPr="00CA54AC" w:rsidRDefault="00467CAE" w:rsidP="00467CAE">
      <w:pPr>
        <w:pStyle w:val="Prrafodelista"/>
        <w:numPr>
          <w:ilvl w:val="0"/>
          <w:numId w:val="7"/>
        </w:numPr>
        <w:spacing w:line="360" w:lineRule="auto"/>
        <w:ind w:left="714" w:right="900" w:hanging="357"/>
        <w:jc w:val="both"/>
        <w:rPr>
          <w:rFonts w:ascii="Arial" w:hAnsi="Arial" w:cs="Arial"/>
          <w:sz w:val="24"/>
          <w:szCs w:val="24"/>
          <w:lang w:eastAsia="es-MX"/>
        </w:rPr>
      </w:pPr>
      <w:r w:rsidRPr="00467CAE">
        <w:rPr>
          <w:rFonts w:ascii="Palatino Linotype" w:hAnsi="Palatino Linotype" w:cs="Arial"/>
          <w:b/>
          <w:i/>
          <w:sz w:val="24"/>
          <w:szCs w:val="24"/>
        </w:rPr>
        <w:t>“</w:t>
      </w:r>
      <w:r w:rsidR="00D02381">
        <w:rPr>
          <w:rFonts w:ascii="Palatino Linotype" w:hAnsi="Palatino Linotype" w:cs="Arial"/>
          <w:b/>
          <w:i/>
          <w:sz w:val="24"/>
          <w:szCs w:val="24"/>
        </w:rPr>
        <w:t>informe justificado RR.003624</w:t>
      </w:r>
      <w:r w:rsidR="009200A4">
        <w:rPr>
          <w:rFonts w:ascii="Palatino Linotype" w:hAnsi="Palatino Linotype" w:cs="Arial"/>
          <w:b/>
          <w:i/>
          <w:sz w:val="24"/>
          <w:szCs w:val="24"/>
        </w:rPr>
        <w:t>.</w:t>
      </w:r>
      <w:r w:rsidRPr="00467CAE">
        <w:rPr>
          <w:rFonts w:ascii="Palatino Linotype" w:hAnsi="Palatino Linotype" w:cs="Arial"/>
          <w:b/>
          <w:i/>
          <w:sz w:val="24"/>
          <w:szCs w:val="24"/>
        </w:rPr>
        <w:t>pdf”</w:t>
      </w:r>
      <w:r w:rsidRPr="00467CAE">
        <w:rPr>
          <w:rFonts w:ascii="Palatino Linotype" w:hAnsi="Palatino Linotype" w:cs="Arial"/>
          <w:sz w:val="24"/>
          <w:szCs w:val="24"/>
        </w:rPr>
        <w:t xml:space="preserve">: </w:t>
      </w:r>
      <w:r w:rsidRPr="00467CAE">
        <w:rPr>
          <w:rFonts w:ascii="Palatino Linotype" w:hAnsi="Palatino Linotype"/>
          <w:sz w:val="24"/>
          <w:szCs w:val="24"/>
        </w:rPr>
        <w:t>C</w:t>
      </w:r>
      <w:r w:rsidR="002C4AD5" w:rsidRPr="00467CAE">
        <w:rPr>
          <w:rFonts w:ascii="Palatino Linotype" w:hAnsi="Palatino Linotype"/>
          <w:sz w:val="24"/>
          <w:szCs w:val="24"/>
        </w:rPr>
        <w:t xml:space="preserve">ontiene </w:t>
      </w:r>
      <w:r w:rsidR="00102CB8" w:rsidRPr="00467CAE">
        <w:rPr>
          <w:rFonts w:ascii="Palatino Linotype" w:hAnsi="Palatino Linotype"/>
          <w:sz w:val="24"/>
          <w:szCs w:val="24"/>
        </w:rPr>
        <w:t xml:space="preserve">el </w:t>
      </w:r>
      <w:r w:rsidR="00CA54AC">
        <w:rPr>
          <w:rFonts w:ascii="Palatino Linotype" w:hAnsi="Palatino Linotype"/>
          <w:sz w:val="24"/>
          <w:szCs w:val="24"/>
        </w:rPr>
        <w:t>informe justificado del recurso de revisión citado al rubro, el cual será objeto de análisis en el apartado de estudio del asunto.</w:t>
      </w:r>
      <w:r w:rsidR="00CA54AC">
        <w:rPr>
          <w:rFonts w:ascii="Arial" w:hAnsi="Arial" w:cs="Arial"/>
          <w:sz w:val="24"/>
          <w:szCs w:val="24"/>
          <w:lang w:eastAsia="es-MX"/>
        </w:rPr>
        <w:t xml:space="preserve"> </w:t>
      </w:r>
    </w:p>
    <w:p w14:paraId="321287BD" w14:textId="71BA159B" w:rsidR="003E6F6F" w:rsidRDefault="002C4AD5" w:rsidP="005903D0">
      <w:pPr>
        <w:spacing w:before="240" w:after="240" w:line="360" w:lineRule="auto"/>
        <w:ind w:right="49"/>
        <w:jc w:val="both"/>
        <w:rPr>
          <w:rFonts w:ascii="Palatino Linotype" w:hAnsi="Palatino Linotype" w:cs="Arial"/>
        </w:rPr>
      </w:pPr>
      <w:r w:rsidRPr="009200A4">
        <w:rPr>
          <w:rFonts w:ascii="Palatino Linotype" w:hAnsi="Palatino Linotype" w:cs="Arial"/>
        </w:rPr>
        <w:t xml:space="preserve">Al respecto, debe mencionarse que </w:t>
      </w:r>
      <w:r w:rsidR="009A6034">
        <w:rPr>
          <w:rFonts w:ascii="Palatino Linotype" w:hAnsi="Palatino Linotype" w:cs="Arial"/>
        </w:rPr>
        <w:t xml:space="preserve">el </w:t>
      </w:r>
      <w:r w:rsidR="00D02381">
        <w:rPr>
          <w:rFonts w:ascii="Palatino Linotype" w:hAnsi="Palatino Linotype" w:cs="Arial"/>
          <w:b/>
        </w:rPr>
        <w:t>catorce</w:t>
      </w:r>
      <w:r w:rsidR="009A6034" w:rsidRPr="009A6034">
        <w:rPr>
          <w:rFonts w:ascii="Palatino Linotype" w:hAnsi="Palatino Linotype" w:cs="Arial"/>
          <w:b/>
        </w:rPr>
        <w:t xml:space="preserve"> </w:t>
      </w:r>
      <w:r w:rsidR="009A6034">
        <w:rPr>
          <w:rFonts w:ascii="Palatino Linotype" w:hAnsi="Palatino Linotype" w:cs="Arial"/>
          <w:b/>
        </w:rPr>
        <w:t>de sept</w:t>
      </w:r>
      <w:r w:rsidR="005903D0">
        <w:rPr>
          <w:rFonts w:ascii="Palatino Linotype" w:hAnsi="Palatino Linotype" w:cs="Arial"/>
          <w:b/>
        </w:rPr>
        <w:t>iem</w:t>
      </w:r>
      <w:r w:rsidR="00AF537B" w:rsidRPr="009200A4">
        <w:rPr>
          <w:rFonts w:ascii="Palatino Linotype" w:hAnsi="Palatino Linotype" w:cs="Arial"/>
          <w:b/>
        </w:rPr>
        <w:t>bre</w:t>
      </w:r>
      <w:r w:rsidR="009A6034">
        <w:rPr>
          <w:rFonts w:ascii="Palatino Linotype" w:hAnsi="Palatino Linotype" w:cs="Arial"/>
          <w:b/>
        </w:rPr>
        <w:t xml:space="preserve"> de dos mil veintiuno</w:t>
      </w:r>
      <w:r w:rsidR="00AF537B" w:rsidRPr="009200A4">
        <w:rPr>
          <w:rFonts w:ascii="Palatino Linotype" w:hAnsi="Palatino Linotype" w:cs="Arial"/>
        </w:rPr>
        <w:t xml:space="preserve">, </w:t>
      </w:r>
      <w:r w:rsidRPr="009200A4">
        <w:rPr>
          <w:rFonts w:ascii="Palatino Linotype" w:hAnsi="Palatino Linotype" w:cs="Arial"/>
        </w:rPr>
        <w:t xml:space="preserve">se dio vista del informe justificado </w:t>
      </w:r>
      <w:r w:rsidR="00AF537B" w:rsidRPr="009200A4">
        <w:rPr>
          <w:rFonts w:ascii="Palatino Linotype" w:hAnsi="Palatino Linotype" w:cs="Arial"/>
        </w:rPr>
        <w:t>con la finalidad de que el recurrente realizara las manifestaciones que estimara convenientes</w:t>
      </w:r>
      <w:r w:rsidRPr="009200A4">
        <w:rPr>
          <w:rFonts w:ascii="Palatino Linotype" w:hAnsi="Palatino Linotype" w:cs="Arial"/>
        </w:rPr>
        <w:t xml:space="preserve">. </w:t>
      </w:r>
    </w:p>
    <w:p w14:paraId="35C660AF" w14:textId="2BDF5D5F" w:rsidR="002A130D" w:rsidRPr="002A130D" w:rsidRDefault="002A130D" w:rsidP="002A130D">
      <w:pPr>
        <w:spacing w:line="360" w:lineRule="auto"/>
        <w:jc w:val="both"/>
        <w:rPr>
          <w:rFonts w:ascii="Palatino Linotype" w:hAnsi="Palatino Linotype" w:cs="Arial"/>
          <w:lang w:val="es-ES_tradnl"/>
        </w:rPr>
      </w:pPr>
      <w:r w:rsidRPr="002A130D">
        <w:rPr>
          <w:rFonts w:ascii="Palatino Linotype" w:hAnsi="Palatino Linotype" w:cs="Arial"/>
          <w:b/>
        </w:rPr>
        <w:lastRenderedPageBreak/>
        <w:t xml:space="preserve">7. Returno. </w:t>
      </w:r>
      <w:r w:rsidRPr="00950002">
        <w:rPr>
          <w:rFonts w:ascii="Palatino Linotype" w:hAnsi="Palatino Linotype" w:cs="Arial"/>
          <w:lang w:val="es-ES_tradnl"/>
        </w:rPr>
        <w:t xml:space="preserve">El </w:t>
      </w:r>
      <w:r w:rsidRPr="00950002">
        <w:rPr>
          <w:rFonts w:ascii="Palatino Linotype" w:hAnsi="Palatino Linotype" w:cs="Arial"/>
          <w:b/>
          <w:lang w:val="es-ES_tradnl"/>
        </w:rPr>
        <w:t>veintitrés de agosto de dos mil veintiuno, en la Segunda Sesión Extraordinaria</w:t>
      </w:r>
      <w:r w:rsidRPr="00950002">
        <w:rPr>
          <w:rFonts w:ascii="Palatino Linotype" w:hAnsi="Palatino Linotype" w:cs="Arial"/>
          <w:lang w:val="es-ES_tradnl"/>
        </w:rPr>
        <w:t xml:space="preserve">, el Pleno del Instituto aprobó el returno del recurso de revisión indicado al rubro a la Ponencia de la </w:t>
      </w:r>
      <w:r w:rsidRPr="00950002">
        <w:rPr>
          <w:rFonts w:ascii="Palatino Linotype" w:hAnsi="Palatino Linotype" w:cs="Arial"/>
          <w:b/>
          <w:lang w:val="es-ES_tradnl"/>
        </w:rPr>
        <w:t>Comisionada Guadalupe Ramírez Peña</w:t>
      </w:r>
      <w:r w:rsidRPr="00950002">
        <w:rPr>
          <w:rFonts w:ascii="Palatino Linotype" w:hAnsi="Palatino Linotype" w:cs="Arial"/>
          <w:lang w:val="es-ES_tradnl"/>
        </w:rPr>
        <w:t xml:space="preserve"> para su estudio y resolución.</w:t>
      </w:r>
    </w:p>
    <w:p w14:paraId="7BD642B2" w14:textId="35443C9F" w:rsidR="007707B4" w:rsidRPr="007707B4" w:rsidRDefault="002A130D" w:rsidP="003E6F6F">
      <w:pPr>
        <w:spacing w:before="240" w:after="240" w:line="360" w:lineRule="auto"/>
        <w:jc w:val="both"/>
        <w:rPr>
          <w:rFonts w:ascii="Palatino Linotype" w:hAnsi="Palatino Linotype" w:cs="Arial"/>
          <w:lang w:val="es-ES"/>
        </w:rPr>
      </w:pPr>
      <w:r>
        <w:rPr>
          <w:rFonts w:ascii="Palatino Linotype" w:hAnsi="Palatino Linotype" w:cs="Arial"/>
          <w:b/>
          <w:lang w:val="es-ES"/>
        </w:rPr>
        <w:t>8</w:t>
      </w:r>
      <w:r w:rsidR="007707B4" w:rsidRPr="007707B4">
        <w:rPr>
          <w:rFonts w:ascii="Palatino Linotype" w:hAnsi="Palatino Linotype" w:cs="Arial"/>
          <w:b/>
          <w:lang w:val="es-ES"/>
        </w:rPr>
        <w:t>.- Ampliación del plazo para emitir resolución.</w:t>
      </w:r>
      <w:r w:rsidR="007707B4" w:rsidRPr="007707B4">
        <w:rPr>
          <w:rFonts w:ascii="Palatino Linotype" w:hAnsi="Palatino Linotype" w:cs="Arial"/>
          <w:bCs/>
          <w:lang w:val="es-ES"/>
        </w:rPr>
        <w:t xml:space="preserve"> </w:t>
      </w:r>
      <w:r w:rsidR="007707B4" w:rsidRPr="00B65E33">
        <w:rPr>
          <w:rFonts w:ascii="Palatino Linotype" w:hAnsi="Palatino Linotype" w:cs="Arial"/>
          <w:bCs/>
          <w:lang w:val="es-ES"/>
        </w:rPr>
        <w:t xml:space="preserve">El </w:t>
      </w:r>
      <w:r w:rsidR="00D02381">
        <w:rPr>
          <w:rFonts w:ascii="Palatino Linotype" w:hAnsi="Palatino Linotype" w:cs="Arial"/>
          <w:b/>
          <w:bCs/>
          <w:lang w:val="es-ES"/>
        </w:rPr>
        <w:t>seis</w:t>
      </w:r>
      <w:r w:rsidR="009A6034">
        <w:rPr>
          <w:rFonts w:ascii="Palatino Linotype" w:hAnsi="Palatino Linotype" w:cs="Arial"/>
          <w:b/>
          <w:bCs/>
          <w:lang w:val="es-ES"/>
        </w:rPr>
        <w:t xml:space="preserve"> de sept</w:t>
      </w:r>
      <w:r w:rsidR="005903D0">
        <w:rPr>
          <w:rFonts w:ascii="Palatino Linotype" w:hAnsi="Palatino Linotype" w:cs="Arial"/>
          <w:b/>
          <w:bCs/>
          <w:lang w:val="es-ES"/>
        </w:rPr>
        <w:t>iem</w:t>
      </w:r>
      <w:r w:rsidR="009A6034">
        <w:rPr>
          <w:rFonts w:ascii="Palatino Linotype" w:hAnsi="Palatino Linotype" w:cs="Arial"/>
          <w:b/>
          <w:bCs/>
          <w:lang w:val="es-ES"/>
        </w:rPr>
        <w:t>bre de dos mil veintiuno</w:t>
      </w:r>
      <w:r w:rsidR="007707B4" w:rsidRPr="00B65E33">
        <w:rPr>
          <w:rFonts w:ascii="Palatino Linotype" w:hAnsi="Palatino Linotype" w:cs="Arial"/>
          <w:bCs/>
          <w:lang w:val="es-ES"/>
        </w:rPr>
        <w:t>,</w:t>
      </w:r>
      <w:r w:rsidR="007707B4" w:rsidRPr="007707B4">
        <w:rPr>
          <w:rFonts w:ascii="Palatino Linotype" w:hAnsi="Palatino Linotype" w:cs="Arial"/>
          <w:bCs/>
          <w:lang w:val="es-ES"/>
        </w:rPr>
        <w:t xml:space="preserve"> </w:t>
      </w:r>
      <w:r w:rsidR="007707B4" w:rsidRPr="007707B4">
        <w:rPr>
          <w:rFonts w:ascii="Palatino Linotype" w:hAnsi="Palatino Linotype" w:cs="Arial"/>
          <w:lang w:val="es-ES"/>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bookmarkEnd w:id="1"/>
    <w:p w14:paraId="57245904" w14:textId="20E090DD" w:rsidR="002C4AD5" w:rsidRPr="004326A0" w:rsidRDefault="00B22E83" w:rsidP="003E6F6F">
      <w:pPr>
        <w:spacing w:before="240" w:after="240" w:line="360" w:lineRule="auto"/>
        <w:jc w:val="both"/>
        <w:rPr>
          <w:rFonts w:ascii="Palatino Linotype" w:hAnsi="Palatino Linotype"/>
          <w:b/>
        </w:rPr>
      </w:pPr>
      <w:r>
        <w:rPr>
          <w:rFonts w:ascii="Palatino Linotype" w:hAnsi="Palatino Linotype"/>
          <w:b/>
        </w:rPr>
        <w:t>9</w:t>
      </w:r>
      <w:r w:rsidR="002C4AD5" w:rsidRPr="004326A0">
        <w:rPr>
          <w:rFonts w:ascii="Palatino Linotype" w:hAnsi="Palatino Linotype"/>
          <w:b/>
        </w:rPr>
        <w:t xml:space="preserve">. Cierre de Instrucción. </w:t>
      </w:r>
      <w:r w:rsidR="002C4AD5" w:rsidRPr="004326A0">
        <w:rPr>
          <w:rFonts w:ascii="Palatino Linotype" w:hAnsi="Palatino Linotype"/>
        </w:rPr>
        <w:t xml:space="preserve">En fecha </w:t>
      </w:r>
      <w:r w:rsidR="00780F7B">
        <w:rPr>
          <w:rFonts w:ascii="Palatino Linotype" w:hAnsi="Palatino Linotype"/>
          <w:b/>
        </w:rPr>
        <w:t>veintiuno</w:t>
      </w:r>
      <w:r w:rsidR="009A6034">
        <w:rPr>
          <w:rFonts w:ascii="Palatino Linotype" w:hAnsi="Palatino Linotype"/>
          <w:b/>
        </w:rPr>
        <w:t xml:space="preserve"> de sept</w:t>
      </w:r>
      <w:r w:rsidR="005903D0">
        <w:rPr>
          <w:rFonts w:ascii="Palatino Linotype" w:hAnsi="Palatino Linotype"/>
          <w:b/>
        </w:rPr>
        <w:t xml:space="preserve">iembre </w:t>
      </w:r>
      <w:r w:rsidR="002C4AD5" w:rsidRPr="00B65E33">
        <w:rPr>
          <w:rFonts w:ascii="Palatino Linotype" w:hAnsi="Palatino Linotype"/>
          <w:b/>
        </w:rPr>
        <w:t xml:space="preserve">de la </w:t>
      </w:r>
      <w:r w:rsidR="005903D0">
        <w:rPr>
          <w:rFonts w:ascii="Palatino Linotype" w:hAnsi="Palatino Linotype"/>
          <w:b/>
        </w:rPr>
        <w:t xml:space="preserve">presente </w:t>
      </w:r>
      <w:r w:rsidR="002C4AD5" w:rsidRPr="00B65E33">
        <w:rPr>
          <w:rFonts w:ascii="Palatino Linotype" w:hAnsi="Palatino Linotype"/>
          <w:b/>
        </w:rPr>
        <w:t>anualidad</w:t>
      </w:r>
      <w:r w:rsidR="002C4AD5" w:rsidRPr="004326A0">
        <w:rPr>
          <w:rFonts w:ascii="Palatino Linotype" w:hAnsi="Palatino Linotype"/>
        </w:rPr>
        <w:t xml:space="preserve"> en curso, con fundamento en lo establecido en los artículos 185, fracción VI de la </w:t>
      </w:r>
      <w:r w:rsidR="002C4AD5" w:rsidRPr="004326A0">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14:paraId="2877E31E" w14:textId="77777777" w:rsidR="002C4AD5" w:rsidRPr="004326A0" w:rsidRDefault="002C4AD5" w:rsidP="007707B4">
      <w:pPr>
        <w:pStyle w:val="Prrafodelista"/>
        <w:numPr>
          <w:ilvl w:val="0"/>
          <w:numId w:val="1"/>
        </w:numPr>
        <w:spacing w:before="240" w:after="240" w:line="360" w:lineRule="auto"/>
        <w:ind w:right="616" w:hanging="513"/>
        <w:jc w:val="center"/>
        <w:rPr>
          <w:rFonts w:ascii="Palatino Linotype" w:hAnsi="Palatino Linotype" w:cs="Arial"/>
          <w:b/>
          <w:sz w:val="24"/>
          <w:szCs w:val="24"/>
        </w:rPr>
      </w:pPr>
      <w:r w:rsidRPr="004326A0">
        <w:rPr>
          <w:rFonts w:ascii="Palatino Linotype" w:hAnsi="Palatino Linotype" w:cs="Arial"/>
          <w:b/>
          <w:sz w:val="24"/>
          <w:szCs w:val="24"/>
        </w:rPr>
        <w:t>C O N S I D E R A N D O:</w:t>
      </w:r>
    </w:p>
    <w:p w14:paraId="1A50C89F" w14:textId="0294F7A0" w:rsidR="002C4AD5" w:rsidRPr="004326A0" w:rsidRDefault="002C4AD5" w:rsidP="002C4AD5">
      <w:pPr>
        <w:spacing w:before="240" w:after="240" w:line="360" w:lineRule="auto"/>
        <w:jc w:val="both"/>
        <w:rPr>
          <w:rFonts w:ascii="Palatino Linotype" w:hAnsi="Palatino Linotype"/>
          <w:shd w:val="clear" w:color="auto" w:fill="FFFFFF"/>
        </w:rPr>
      </w:pPr>
      <w:r w:rsidRPr="004326A0">
        <w:rPr>
          <w:rFonts w:ascii="Palatino Linotype" w:hAnsi="Palatino Linotype" w:cs="Arial"/>
          <w:b/>
        </w:rPr>
        <w:t xml:space="preserve">Primero. Competencia. </w:t>
      </w:r>
      <w:r w:rsidRPr="004326A0">
        <w:rPr>
          <w:rFonts w:ascii="Palatino Linotype" w:hAnsi="Palatino Linotype"/>
          <w:shd w:val="clear" w:color="auto" w:fill="FFFFFF"/>
        </w:rPr>
        <w:t xml:space="preserve">El Instituto de Transparencia, Acceso a la Información Pública y Protección de Datos Personales del Estado de México y Municipios, es </w:t>
      </w:r>
      <w:r w:rsidRPr="004326A0">
        <w:rPr>
          <w:rFonts w:ascii="Palatino Linotype" w:hAnsi="Palatino Linotype"/>
          <w:shd w:val="clear" w:color="auto" w:fill="FFFFFF"/>
        </w:rPr>
        <w:lastRenderedPageBreak/>
        <w:t xml:space="preserve">competente para conocer y resolver el presente recurso de revisión interpuesto por la parte recurrente, conforme a lo dispuesto en los artículos 6, apartado A de la Constitución Política de los Estados Unidos Mexicanos; 5, </w:t>
      </w:r>
      <w:r w:rsidR="002A130D" w:rsidRPr="002A130D">
        <w:rPr>
          <w:rFonts w:ascii="Palatino Linotype" w:hAnsi="Palatino Linotype" w:cs="Arial"/>
        </w:rPr>
        <w:t>párrafos vigésimo segundo, vigésimo tercero y vigésimo cuarto</w:t>
      </w:r>
      <w:r w:rsidR="00200718" w:rsidRPr="00200718">
        <w:rPr>
          <w:rFonts w:ascii="Palatino Linotype" w:hAnsi="Palatino Linotype"/>
          <w:shd w:val="clear" w:color="auto" w:fill="FFFFFF"/>
          <w:lang w:val="es-ES"/>
        </w:rPr>
        <w:t>, fracciones IV y V</w:t>
      </w:r>
      <w:r w:rsidRPr="004326A0">
        <w:rPr>
          <w:rFonts w:ascii="Palatino Linotype" w:hAnsi="Palatino Linotype"/>
          <w:shd w:val="clear" w:color="auto" w:fill="FFFFFF"/>
        </w:rPr>
        <w:t xml:space="preserve"> de la Constitución Política del Estado Libre y Soberano de México; 1, 2, fracción II; 13,  29, 36, fracciones I y II; 176, 178, 179, 181 párrafo 3 y 185 de la Ley Transparencia y Acceso a la Información Pública;</w:t>
      </w:r>
      <w:r w:rsidRPr="004326A0">
        <w:rPr>
          <w:rStyle w:val="apple-converted-space"/>
          <w:rFonts w:ascii="Palatino Linotype" w:eastAsiaTheme="majorEastAsia" w:hAnsi="Palatino Linotype"/>
          <w:shd w:val="clear" w:color="auto" w:fill="FFFFFF"/>
        </w:rPr>
        <w:t xml:space="preserve"> 7, </w:t>
      </w:r>
      <w:r w:rsidRPr="004326A0">
        <w:rPr>
          <w:rFonts w:ascii="Palatino Linotype" w:hAnsi="Palatino Linotype" w:cs="Arial"/>
        </w:rPr>
        <w:t xml:space="preserve">9, fracciones I y XXIV y 11 </w:t>
      </w:r>
      <w:r w:rsidRPr="004326A0">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282D439F" w14:textId="77777777" w:rsidR="002C4AD5" w:rsidRPr="004326A0" w:rsidRDefault="002C4AD5" w:rsidP="002C4AD5">
      <w:pPr>
        <w:spacing w:before="240" w:after="240" w:line="360" w:lineRule="auto"/>
        <w:jc w:val="both"/>
        <w:rPr>
          <w:rFonts w:ascii="Palatino Linotype" w:hAnsi="Palatino Linotype" w:cs="Arial"/>
          <w:lang w:eastAsia="es-MX"/>
        </w:rPr>
      </w:pPr>
      <w:r w:rsidRPr="004326A0">
        <w:rPr>
          <w:rFonts w:ascii="Palatino Linotype" w:hAnsi="Palatino Linotype" w:cs="Arial"/>
          <w:b/>
        </w:rPr>
        <w:t xml:space="preserve">Segundo. Oportunidad y Procedibilidad. </w:t>
      </w:r>
      <w:r w:rsidRPr="004326A0">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4326A0">
        <w:rPr>
          <w:rFonts w:ascii="Palatino Linotype" w:hAnsi="Palatino Linotype" w:cs="Arial"/>
          <w:lang w:eastAsia="es-MX"/>
        </w:rPr>
        <w:t>178 y 180 de la Ley de Transparencia y Acceso a la Información Pública del Estado de México y Municipios</w:t>
      </w:r>
      <w:r w:rsidRPr="004326A0">
        <w:rPr>
          <w:rFonts w:ascii="Palatino Linotype" w:hAnsi="Palatino Linotype" w:cs="Arial"/>
        </w:rPr>
        <w:t>.</w:t>
      </w:r>
    </w:p>
    <w:p w14:paraId="6B87E5A7" w14:textId="3A22DA18" w:rsidR="002C4AD5" w:rsidRDefault="002C4AD5" w:rsidP="002C4AD5">
      <w:pPr>
        <w:spacing w:before="240" w:after="240" w:line="360" w:lineRule="auto"/>
        <w:jc w:val="both"/>
        <w:rPr>
          <w:rFonts w:ascii="Palatino Linotype" w:hAnsi="Palatino Linotype" w:cs="Arial"/>
        </w:rPr>
      </w:pPr>
      <w:r w:rsidRPr="004326A0">
        <w:rPr>
          <w:rFonts w:ascii="Palatino Linotype" w:hAnsi="Palatino Linotype" w:cs="Arial"/>
        </w:rPr>
        <w:t xml:space="preserve">El recurso de revisión fue interpuesto dentro del plazo de quince días hábiles, previsto en el artículo 178 de la </w:t>
      </w:r>
      <w:r w:rsidRPr="004326A0">
        <w:rPr>
          <w:rFonts w:ascii="Palatino Linotype" w:hAnsi="Palatino Linotype" w:cs="Arial"/>
          <w:lang w:eastAsia="es-MX"/>
        </w:rPr>
        <w:t>Ley de Transparencia y Acceso a la Información Pública del Estado de México y Municipios</w:t>
      </w:r>
      <w:r w:rsidRPr="004326A0">
        <w:rPr>
          <w:rFonts w:ascii="Palatino Linotype" w:hAnsi="Palatino Linotype" w:cs="Arial"/>
        </w:rPr>
        <w:t>, ya que el Sujeto Obligado proporcionó respuesta a</w:t>
      </w:r>
      <w:r w:rsidR="005903D0">
        <w:rPr>
          <w:rFonts w:ascii="Palatino Linotype" w:hAnsi="Palatino Linotype" w:cs="Arial"/>
        </w:rPr>
        <w:t xml:space="preserve"> la </w:t>
      </w:r>
      <w:r w:rsidR="009A6034">
        <w:rPr>
          <w:rFonts w:ascii="Palatino Linotype" w:hAnsi="Palatino Linotype" w:cs="Arial"/>
        </w:rPr>
        <w:t xml:space="preserve">solicitud de información el </w:t>
      </w:r>
      <w:r w:rsidR="00D02381">
        <w:rPr>
          <w:rFonts w:ascii="Palatino Linotype" w:hAnsi="Palatino Linotype" w:cs="Arial"/>
          <w:b/>
        </w:rPr>
        <w:t>dos de juli</w:t>
      </w:r>
      <w:r w:rsidR="009A6034" w:rsidRPr="009A6034">
        <w:rPr>
          <w:rFonts w:ascii="Palatino Linotype" w:hAnsi="Palatino Linotype" w:cs="Arial"/>
          <w:b/>
        </w:rPr>
        <w:t>o</w:t>
      </w:r>
      <w:r w:rsidR="00AF537B" w:rsidRPr="009A6034">
        <w:rPr>
          <w:rFonts w:ascii="Palatino Linotype" w:hAnsi="Palatino Linotype" w:cs="Arial"/>
          <w:b/>
        </w:rPr>
        <w:t xml:space="preserve"> </w:t>
      </w:r>
      <w:r w:rsidR="009A6034" w:rsidRPr="009A6034">
        <w:rPr>
          <w:rFonts w:ascii="Palatino Linotype" w:hAnsi="Palatino Linotype" w:cs="Arial"/>
          <w:b/>
        </w:rPr>
        <w:t>de dos mil veintiuno</w:t>
      </w:r>
      <w:r w:rsidRPr="004326A0">
        <w:rPr>
          <w:rFonts w:ascii="Palatino Linotype" w:hAnsi="Palatino Linotype" w:cs="Arial"/>
        </w:rPr>
        <w:t xml:space="preserve">, mientras que el recurrente </w:t>
      </w:r>
      <w:r w:rsidRPr="004326A0">
        <w:rPr>
          <w:rFonts w:ascii="Palatino Linotype" w:hAnsi="Palatino Linotype"/>
        </w:rPr>
        <w:t xml:space="preserve">interpuso el recurso de revisión el día </w:t>
      </w:r>
      <w:r w:rsidR="00D02381">
        <w:rPr>
          <w:rFonts w:ascii="Palatino Linotype" w:hAnsi="Palatino Linotype"/>
          <w:b/>
        </w:rPr>
        <w:t>cinco de juli</w:t>
      </w:r>
      <w:r w:rsidR="009A6034" w:rsidRPr="009A6034">
        <w:rPr>
          <w:rFonts w:ascii="Palatino Linotype" w:hAnsi="Palatino Linotype"/>
          <w:b/>
        </w:rPr>
        <w:t>o</w:t>
      </w:r>
      <w:r w:rsidR="00AF537B" w:rsidRPr="009A6034">
        <w:rPr>
          <w:rFonts w:ascii="Palatino Linotype" w:hAnsi="Palatino Linotype"/>
          <w:b/>
        </w:rPr>
        <w:t xml:space="preserve"> </w:t>
      </w:r>
      <w:r w:rsidR="009A6034">
        <w:rPr>
          <w:rFonts w:ascii="Palatino Linotype" w:hAnsi="Palatino Linotype"/>
          <w:b/>
        </w:rPr>
        <w:t>de dos mil veintiuno</w:t>
      </w:r>
      <w:r w:rsidRPr="004326A0">
        <w:rPr>
          <w:rFonts w:ascii="Palatino Linotype" w:hAnsi="Palatino Linotype"/>
        </w:rPr>
        <w:t xml:space="preserve">, </w:t>
      </w:r>
      <w:r w:rsidR="009A6034">
        <w:rPr>
          <w:rFonts w:ascii="Palatino Linotype" w:hAnsi="Palatino Linotype"/>
        </w:rPr>
        <w:t xml:space="preserve">esto es, al </w:t>
      </w:r>
      <w:r w:rsidR="00D02381">
        <w:rPr>
          <w:rFonts w:ascii="Palatino Linotype" w:hAnsi="Palatino Linotype"/>
          <w:b/>
        </w:rPr>
        <w:t>prim</w:t>
      </w:r>
      <w:r w:rsidR="009A6034" w:rsidRPr="009A6034">
        <w:rPr>
          <w:rFonts w:ascii="Palatino Linotype" w:hAnsi="Palatino Linotype"/>
          <w:b/>
        </w:rPr>
        <w:t>er día hábil</w:t>
      </w:r>
      <w:r w:rsidR="009A6034">
        <w:rPr>
          <w:rFonts w:ascii="Palatino Linotype" w:hAnsi="Palatino Linotype"/>
        </w:rPr>
        <w:t xml:space="preserve">, por lo tanto, </w:t>
      </w:r>
      <w:r w:rsidR="005903D0">
        <w:rPr>
          <w:rFonts w:ascii="Palatino Linotype" w:hAnsi="Palatino Linotype"/>
        </w:rPr>
        <w:t>se encuentra dentro de los márgenes temporales previstos para interponer el recurso de revisión</w:t>
      </w:r>
      <w:r w:rsidRPr="004326A0">
        <w:rPr>
          <w:rFonts w:ascii="Palatino Linotype" w:hAnsi="Palatino Linotype" w:cs="Arial"/>
        </w:rPr>
        <w:t>.</w:t>
      </w:r>
    </w:p>
    <w:p w14:paraId="6C02C181" w14:textId="73B12E33" w:rsidR="00544B0C" w:rsidRPr="009A6034" w:rsidRDefault="00544B0C" w:rsidP="009A6034">
      <w:pPr>
        <w:spacing w:before="240" w:after="240" w:line="360" w:lineRule="auto"/>
        <w:jc w:val="both"/>
        <w:rPr>
          <w:rFonts w:ascii="Palatino Linotype" w:hAnsi="Palatino Linotype"/>
          <w:szCs w:val="28"/>
          <w:lang w:val="es-ES"/>
        </w:rPr>
      </w:pPr>
      <w:r w:rsidRPr="00544B0C">
        <w:rPr>
          <w:rFonts w:ascii="Palatino Linotype" w:hAnsi="Palatino Linotype" w:cs="Arial"/>
          <w:b/>
          <w:lang w:val="es-ES"/>
        </w:rPr>
        <w:t xml:space="preserve">Tercero. </w:t>
      </w:r>
      <w:r w:rsidRPr="00544B0C">
        <w:rPr>
          <w:rFonts w:ascii="Palatino Linotype" w:hAnsi="Palatino Linotype"/>
          <w:b/>
          <w:szCs w:val="28"/>
          <w:lang w:val="es-ES"/>
        </w:rPr>
        <w:t xml:space="preserve">Análisis de las causas de sobreseimiento del recurso de revisión. </w:t>
      </w:r>
      <w:r w:rsidR="009A6034">
        <w:rPr>
          <w:rFonts w:ascii="Palatino Linotype" w:hAnsi="Palatino Linotype"/>
          <w:szCs w:val="28"/>
          <w:lang w:val="es-ES"/>
        </w:rPr>
        <w:t xml:space="preserve">En primera instancia, debe apuntarse que del análisis al </w:t>
      </w:r>
      <w:r w:rsidRPr="00544B0C">
        <w:rPr>
          <w:rFonts w:ascii="Palatino Linotype" w:hAnsi="Palatino Linotype"/>
          <w:szCs w:val="28"/>
          <w:lang w:val="es-ES"/>
        </w:rPr>
        <w:t xml:space="preserve">recurso de revisión que ahora </w:t>
      </w:r>
      <w:r w:rsidRPr="00544B0C">
        <w:rPr>
          <w:rFonts w:ascii="Palatino Linotype" w:hAnsi="Palatino Linotype"/>
          <w:szCs w:val="28"/>
          <w:lang w:val="es-ES"/>
        </w:rPr>
        <w:lastRenderedPageBreak/>
        <w:t>se resuelve</w:t>
      </w:r>
      <w:r w:rsidR="00CF1CB4">
        <w:rPr>
          <w:rFonts w:ascii="Palatino Linotype" w:hAnsi="Palatino Linotype"/>
          <w:szCs w:val="28"/>
          <w:lang w:val="es-ES"/>
        </w:rPr>
        <w:t>, se tiene que</w:t>
      </w:r>
      <w:r w:rsidRPr="00544B0C">
        <w:rPr>
          <w:rFonts w:ascii="Palatino Linotype" w:hAnsi="Palatino Linotype"/>
          <w:szCs w:val="28"/>
          <w:lang w:val="es-ES"/>
        </w:rPr>
        <w:t xml:space="preserve"> se actualiza la causa</w:t>
      </w:r>
      <w:r w:rsidR="00CF1CB4">
        <w:rPr>
          <w:rFonts w:ascii="Palatino Linotype" w:hAnsi="Palatino Linotype"/>
          <w:szCs w:val="28"/>
          <w:lang w:val="es-ES"/>
        </w:rPr>
        <w:t>l</w:t>
      </w:r>
      <w:r w:rsidRPr="00544B0C">
        <w:rPr>
          <w:rFonts w:ascii="Palatino Linotype" w:hAnsi="Palatino Linotype"/>
          <w:szCs w:val="28"/>
          <w:lang w:val="es-ES"/>
        </w:rPr>
        <w:t xml:space="preserve"> de sobreseimiento del recurso de revisión establecido en la fracción III del artículo 192</w:t>
      </w:r>
      <w:r w:rsidRPr="00544B0C">
        <w:rPr>
          <w:rFonts w:ascii="Palatino Linotype" w:hAnsi="Palatino Linotype"/>
          <w:szCs w:val="28"/>
          <w:vertAlign w:val="superscript"/>
          <w:lang w:val="es-ES"/>
        </w:rPr>
        <w:footnoteReference w:id="1"/>
      </w:r>
      <w:r w:rsidRPr="00544B0C">
        <w:rPr>
          <w:rFonts w:ascii="Palatino Linotype" w:hAnsi="Palatino Linotype"/>
          <w:szCs w:val="28"/>
          <w:lang w:val="es-ES"/>
        </w:rPr>
        <w:t xml:space="preserve"> en relación con el diverso 186 fracción I</w:t>
      </w:r>
      <w:r w:rsidRPr="00544B0C">
        <w:rPr>
          <w:rFonts w:ascii="Palatino Linotype" w:hAnsi="Palatino Linotype"/>
          <w:szCs w:val="28"/>
          <w:vertAlign w:val="superscript"/>
          <w:lang w:val="es-ES"/>
        </w:rPr>
        <w:footnoteReference w:id="2"/>
      </w:r>
      <w:r w:rsidRPr="00544B0C">
        <w:rPr>
          <w:rFonts w:ascii="Palatino Linotype" w:hAnsi="Palatino Linotype"/>
          <w:szCs w:val="28"/>
          <w:lang w:val="es-ES"/>
        </w:rPr>
        <w:t xml:space="preserve">, ambos de la Ley de Transparencia y Acceso a la Información Pública del Estado de México y Municipios, derivado del contenido del informe justificado rendido por el </w:t>
      </w:r>
      <w:r w:rsidRPr="00544B0C">
        <w:rPr>
          <w:rFonts w:ascii="Palatino Linotype" w:hAnsi="Palatino Linotype"/>
          <w:b/>
          <w:szCs w:val="28"/>
          <w:lang w:val="es-ES"/>
        </w:rPr>
        <w:t>Sujeto Obligado.</w:t>
      </w:r>
      <w:r w:rsidRPr="00544B0C">
        <w:rPr>
          <w:rFonts w:ascii="Palatino Linotype" w:hAnsi="Palatino Linotype"/>
          <w:noProof/>
          <w:lang w:val="es-ES" w:eastAsia="es-MX"/>
        </w:rPr>
        <w:t xml:space="preserve"> </w:t>
      </w:r>
    </w:p>
    <w:p w14:paraId="40C663AE" w14:textId="77777777" w:rsidR="00544B0C" w:rsidRPr="00544B0C" w:rsidRDefault="00544B0C" w:rsidP="00544B0C">
      <w:pPr>
        <w:tabs>
          <w:tab w:val="left" w:pos="7513"/>
        </w:tabs>
        <w:adjustRightInd w:val="0"/>
        <w:spacing w:after="240" w:line="360" w:lineRule="auto"/>
        <w:ind w:right="49"/>
        <w:jc w:val="both"/>
        <w:rPr>
          <w:rFonts w:ascii="Palatino Linotype" w:hAnsi="Palatino Linotype"/>
          <w:lang w:val="es-ES"/>
        </w:rPr>
      </w:pPr>
      <w:r w:rsidRPr="00544B0C">
        <w:rPr>
          <w:rFonts w:ascii="Palatino Linotype" w:hAnsi="Palatino Linotype"/>
          <w:lang w:val="es-ES"/>
        </w:rPr>
        <w:t>Para una mejor comprensión del asunto, de las constancias que obran en el expediente electrónico, valoradas anteriormente, destacan por su importancia los antecedentes siguientes:</w:t>
      </w:r>
    </w:p>
    <w:p w14:paraId="15EAE0C2" w14:textId="2DA9D442" w:rsidR="00544B0C" w:rsidRDefault="00544B0C" w:rsidP="00CF1CB4">
      <w:pPr>
        <w:tabs>
          <w:tab w:val="left" w:pos="7513"/>
        </w:tabs>
        <w:adjustRightInd w:val="0"/>
        <w:spacing w:after="240" w:line="360" w:lineRule="auto"/>
        <w:ind w:right="49"/>
        <w:contextualSpacing/>
        <w:jc w:val="both"/>
        <w:rPr>
          <w:rFonts w:ascii="Palatino Linotype" w:hAnsi="Palatino Linotype" w:cs="Arial"/>
          <w:lang w:eastAsia="en-US"/>
        </w:rPr>
      </w:pPr>
      <w:r w:rsidRPr="00544B0C">
        <w:rPr>
          <w:rFonts w:ascii="Palatino Linotype" w:hAnsi="Palatino Linotype"/>
          <w:lang w:eastAsia="en-US"/>
        </w:rPr>
        <w:t xml:space="preserve">En la solicitud de información materia del presente recurso, la parte solicitante requirió al Sujeto Obligado </w:t>
      </w:r>
      <w:r w:rsidR="00A63634">
        <w:rPr>
          <w:rFonts w:ascii="Palatino Linotype" w:hAnsi="Palatino Linotype"/>
          <w:lang w:eastAsia="en-US"/>
        </w:rPr>
        <w:t xml:space="preserve"> mediante el archivo </w:t>
      </w:r>
      <w:r w:rsidR="00A63634" w:rsidRPr="00A63634">
        <w:rPr>
          <w:rFonts w:ascii="Palatino Linotype" w:hAnsi="Palatino Linotype"/>
          <w:b/>
          <w:i/>
          <w:lang w:eastAsia="en-US"/>
        </w:rPr>
        <w:t>“SolicitudInformacionSecSeguridad.pdf”</w:t>
      </w:r>
      <w:r w:rsidR="00A63634">
        <w:rPr>
          <w:rFonts w:ascii="Palatino Linotype" w:hAnsi="Palatino Linotype"/>
          <w:b/>
          <w:i/>
          <w:lang w:eastAsia="en-US"/>
        </w:rPr>
        <w:t xml:space="preserve"> </w:t>
      </w:r>
      <w:r w:rsidRPr="00544B0C">
        <w:rPr>
          <w:rFonts w:ascii="Palatino Linotype" w:hAnsi="Palatino Linotype"/>
          <w:lang w:eastAsia="en-US"/>
        </w:rPr>
        <w:t>lo siguiente</w:t>
      </w:r>
      <w:r w:rsidRPr="00544B0C">
        <w:rPr>
          <w:rFonts w:ascii="Palatino Linotype" w:hAnsi="Palatino Linotype" w:cs="Arial"/>
          <w:lang w:eastAsia="en-US"/>
        </w:rPr>
        <w:t>:</w:t>
      </w:r>
    </w:p>
    <w:p w14:paraId="7AFBD775" w14:textId="63A9CB4A" w:rsidR="00A63634" w:rsidRDefault="00A63634" w:rsidP="00CF1CB4">
      <w:pPr>
        <w:tabs>
          <w:tab w:val="left" w:pos="7513"/>
        </w:tabs>
        <w:adjustRightInd w:val="0"/>
        <w:spacing w:after="240" w:line="360" w:lineRule="auto"/>
        <w:ind w:right="49"/>
        <w:contextualSpacing/>
        <w:jc w:val="both"/>
        <w:rPr>
          <w:rFonts w:ascii="Palatino Linotype" w:hAnsi="Palatino Linotype" w:cs="Arial"/>
          <w:lang w:eastAsia="en-US"/>
        </w:rPr>
      </w:pPr>
      <w:r>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03E8C707" wp14:editId="499E2DF2">
                <wp:simplePos x="0" y="0"/>
                <wp:positionH relativeFrom="column">
                  <wp:posOffset>-51435</wp:posOffset>
                </wp:positionH>
                <wp:positionV relativeFrom="paragraph">
                  <wp:posOffset>33020</wp:posOffset>
                </wp:positionV>
                <wp:extent cx="5524500" cy="2771775"/>
                <wp:effectExtent l="0" t="0" r="19050" b="28575"/>
                <wp:wrapNone/>
                <wp:docPr id="9" name="Conector recto 9"/>
                <wp:cNvGraphicFramePr/>
                <a:graphic xmlns:a="http://schemas.openxmlformats.org/drawingml/2006/main">
                  <a:graphicData uri="http://schemas.microsoft.com/office/word/2010/wordprocessingShape">
                    <wps:wsp>
                      <wps:cNvCnPr/>
                      <wps:spPr>
                        <a:xfrm flipH="1">
                          <a:off x="0" y="0"/>
                          <a:ext cx="5524500" cy="2771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345CB" id="Conector recto 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6pt" to="430.95pt,2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" strokecolor="black [3200]" strokeweight=".5pt">
                <v:stroke joinstyle="miter"/>
              </v:line>
            </w:pict>
          </mc:Fallback>
        </mc:AlternateContent>
      </w:r>
    </w:p>
    <w:p w14:paraId="237C70E3" w14:textId="3C008CE0" w:rsidR="00CF1CB4" w:rsidRDefault="00CF1CB4" w:rsidP="00CF1CB4">
      <w:pPr>
        <w:tabs>
          <w:tab w:val="left" w:pos="7513"/>
        </w:tabs>
        <w:adjustRightInd w:val="0"/>
        <w:spacing w:after="240" w:line="360" w:lineRule="auto"/>
        <w:ind w:right="49"/>
        <w:contextualSpacing/>
        <w:jc w:val="both"/>
        <w:rPr>
          <w:rFonts w:ascii="Palatino Linotype" w:hAnsi="Palatino Linotype" w:cs="Arial"/>
          <w:lang w:eastAsia="en-US"/>
        </w:rPr>
      </w:pPr>
    </w:p>
    <w:p w14:paraId="7C294A0F" w14:textId="77777777" w:rsidR="000A285F" w:rsidRDefault="000A285F" w:rsidP="00CF1CB4">
      <w:pPr>
        <w:tabs>
          <w:tab w:val="left" w:pos="7513"/>
        </w:tabs>
        <w:adjustRightInd w:val="0"/>
        <w:spacing w:after="240" w:line="360" w:lineRule="auto"/>
        <w:ind w:right="49"/>
        <w:contextualSpacing/>
        <w:jc w:val="both"/>
        <w:rPr>
          <w:rFonts w:ascii="Palatino Linotype" w:hAnsi="Palatino Linotype" w:cs="Arial"/>
          <w:lang w:eastAsia="en-US"/>
        </w:rPr>
      </w:pPr>
    </w:p>
    <w:p w14:paraId="3FEE8B9F" w14:textId="77777777" w:rsidR="000A285F" w:rsidRDefault="000A285F" w:rsidP="00CF1CB4">
      <w:pPr>
        <w:tabs>
          <w:tab w:val="left" w:pos="7513"/>
        </w:tabs>
        <w:adjustRightInd w:val="0"/>
        <w:spacing w:after="240" w:line="360" w:lineRule="auto"/>
        <w:ind w:right="49"/>
        <w:contextualSpacing/>
        <w:jc w:val="both"/>
        <w:rPr>
          <w:rFonts w:ascii="Palatino Linotype" w:hAnsi="Palatino Linotype" w:cs="Arial"/>
          <w:lang w:eastAsia="en-US"/>
        </w:rPr>
      </w:pPr>
    </w:p>
    <w:p w14:paraId="3D6F355E" w14:textId="77777777" w:rsidR="000A285F" w:rsidRDefault="000A285F" w:rsidP="00CF1CB4">
      <w:pPr>
        <w:tabs>
          <w:tab w:val="left" w:pos="7513"/>
        </w:tabs>
        <w:adjustRightInd w:val="0"/>
        <w:spacing w:after="240" w:line="360" w:lineRule="auto"/>
        <w:ind w:right="49"/>
        <w:contextualSpacing/>
        <w:jc w:val="both"/>
        <w:rPr>
          <w:rFonts w:ascii="Palatino Linotype" w:hAnsi="Palatino Linotype" w:cs="Arial"/>
          <w:lang w:eastAsia="en-US"/>
        </w:rPr>
      </w:pPr>
    </w:p>
    <w:p w14:paraId="6E5F327C" w14:textId="77777777" w:rsidR="000A285F" w:rsidRDefault="000A285F" w:rsidP="00CF1CB4">
      <w:pPr>
        <w:tabs>
          <w:tab w:val="left" w:pos="7513"/>
        </w:tabs>
        <w:adjustRightInd w:val="0"/>
        <w:spacing w:after="240" w:line="360" w:lineRule="auto"/>
        <w:ind w:right="49"/>
        <w:contextualSpacing/>
        <w:jc w:val="both"/>
        <w:rPr>
          <w:rFonts w:ascii="Palatino Linotype" w:hAnsi="Palatino Linotype" w:cs="Arial"/>
          <w:lang w:eastAsia="en-US"/>
        </w:rPr>
      </w:pPr>
    </w:p>
    <w:p w14:paraId="5520A8FF" w14:textId="77777777" w:rsidR="000A285F" w:rsidRDefault="000A285F" w:rsidP="00CF1CB4">
      <w:pPr>
        <w:tabs>
          <w:tab w:val="left" w:pos="7513"/>
        </w:tabs>
        <w:adjustRightInd w:val="0"/>
        <w:spacing w:after="240" w:line="360" w:lineRule="auto"/>
        <w:ind w:right="49"/>
        <w:contextualSpacing/>
        <w:jc w:val="both"/>
        <w:rPr>
          <w:rFonts w:ascii="Palatino Linotype" w:hAnsi="Palatino Linotype" w:cs="Arial"/>
          <w:lang w:eastAsia="en-US"/>
        </w:rPr>
      </w:pPr>
    </w:p>
    <w:p w14:paraId="6100127B" w14:textId="77777777" w:rsidR="000A285F" w:rsidRDefault="000A285F" w:rsidP="00CF1CB4">
      <w:pPr>
        <w:tabs>
          <w:tab w:val="left" w:pos="7513"/>
        </w:tabs>
        <w:adjustRightInd w:val="0"/>
        <w:spacing w:after="240" w:line="360" w:lineRule="auto"/>
        <w:ind w:right="49"/>
        <w:contextualSpacing/>
        <w:jc w:val="both"/>
        <w:rPr>
          <w:rFonts w:ascii="Palatino Linotype" w:hAnsi="Palatino Linotype" w:cs="Arial"/>
          <w:lang w:eastAsia="en-US"/>
        </w:rPr>
      </w:pPr>
    </w:p>
    <w:p w14:paraId="5AD1DC56" w14:textId="73871696" w:rsidR="000A285F" w:rsidRDefault="000A285F" w:rsidP="00CF1CB4">
      <w:pPr>
        <w:tabs>
          <w:tab w:val="left" w:pos="7513"/>
        </w:tabs>
        <w:adjustRightInd w:val="0"/>
        <w:spacing w:after="240" w:line="360" w:lineRule="auto"/>
        <w:ind w:right="49"/>
        <w:contextualSpacing/>
        <w:jc w:val="both"/>
        <w:rPr>
          <w:rFonts w:ascii="Palatino Linotype" w:hAnsi="Palatino Linotype" w:cs="Arial"/>
          <w:lang w:eastAsia="en-US"/>
        </w:rPr>
      </w:pPr>
    </w:p>
    <w:p w14:paraId="36087242" w14:textId="207A70E7" w:rsidR="00A63634" w:rsidRDefault="000A285F" w:rsidP="00CF1CB4">
      <w:pPr>
        <w:tabs>
          <w:tab w:val="left" w:pos="7513"/>
        </w:tabs>
        <w:adjustRightInd w:val="0"/>
        <w:spacing w:after="240" w:line="360" w:lineRule="auto"/>
        <w:ind w:right="49"/>
        <w:contextualSpacing/>
        <w:jc w:val="both"/>
        <w:rPr>
          <w:rFonts w:ascii="Palatino Linotype" w:hAnsi="Palatino Linotype" w:cs="Arial"/>
        </w:rPr>
      </w:pPr>
      <w:r>
        <w:rPr>
          <w:rFonts w:ascii="Palatino Linotype" w:hAnsi="Palatino Linotype" w:cs="Arial"/>
          <w:noProof/>
          <w:lang w:eastAsia="es-MX"/>
        </w:rPr>
        <w:drawing>
          <wp:anchor distT="0" distB="0" distL="114300" distR="114300" simplePos="0" relativeHeight="251673600" behindDoc="0" locked="0" layoutInCell="1" allowOverlap="1" wp14:anchorId="36A7DE31" wp14:editId="6789E653">
            <wp:simplePos x="0" y="0"/>
            <wp:positionH relativeFrom="margin">
              <wp:align>left</wp:align>
            </wp:positionH>
            <wp:positionV relativeFrom="paragraph">
              <wp:posOffset>354965</wp:posOffset>
            </wp:positionV>
            <wp:extent cx="5891644" cy="618172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1644" cy="618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60D9A" w14:textId="77777777" w:rsidR="00A63634" w:rsidRDefault="00A63634" w:rsidP="00CF1CB4">
      <w:pPr>
        <w:tabs>
          <w:tab w:val="left" w:pos="7513"/>
        </w:tabs>
        <w:adjustRightInd w:val="0"/>
        <w:spacing w:after="240" w:line="360" w:lineRule="auto"/>
        <w:ind w:right="49"/>
        <w:contextualSpacing/>
        <w:jc w:val="both"/>
        <w:rPr>
          <w:rFonts w:ascii="Palatino Linotype" w:hAnsi="Palatino Linotype" w:cs="Arial"/>
        </w:rPr>
      </w:pPr>
    </w:p>
    <w:p w14:paraId="4724A6B6" w14:textId="77777777" w:rsidR="00A63634" w:rsidRDefault="00A63634" w:rsidP="00CF1CB4">
      <w:pPr>
        <w:tabs>
          <w:tab w:val="left" w:pos="7513"/>
        </w:tabs>
        <w:adjustRightInd w:val="0"/>
        <w:spacing w:after="240" w:line="360" w:lineRule="auto"/>
        <w:ind w:right="49"/>
        <w:contextualSpacing/>
        <w:jc w:val="both"/>
        <w:rPr>
          <w:rFonts w:ascii="Palatino Linotype" w:hAnsi="Palatino Linotype" w:cs="Arial"/>
        </w:rPr>
      </w:pPr>
    </w:p>
    <w:p w14:paraId="6BADC725" w14:textId="77777777" w:rsidR="00686B7F" w:rsidRDefault="00686B7F" w:rsidP="00CF1CB4">
      <w:pPr>
        <w:spacing w:line="360" w:lineRule="auto"/>
        <w:ind w:right="-93"/>
        <w:contextualSpacing/>
        <w:jc w:val="both"/>
        <w:rPr>
          <w:rFonts w:ascii="Palatino Linotype" w:hAnsi="Palatino Linotype" w:cs="Arial"/>
          <w:noProof/>
          <w:lang w:eastAsia="es-MX"/>
        </w:rPr>
      </w:pPr>
    </w:p>
    <w:p w14:paraId="04BDD47A" w14:textId="0ADB828D" w:rsidR="00686B7F" w:rsidRDefault="00686B7F" w:rsidP="00CF1CB4">
      <w:pPr>
        <w:spacing w:line="360" w:lineRule="auto"/>
        <w:ind w:right="-93"/>
        <w:contextualSpacing/>
        <w:jc w:val="both"/>
        <w:rPr>
          <w:rFonts w:ascii="Palatino Linotype" w:hAnsi="Palatino Linotype" w:cs="Arial"/>
          <w:noProof/>
          <w:lang w:eastAsia="es-MX"/>
        </w:rPr>
      </w:pPr>
      <w:r>
        <w:rPr>
          <w:rFonts w:ascii="Palatino Linotype" w:hAnsi="Palatino Linotype" w:cs="Arial"/>
          <w:noProof/>
          <w:lang w:eastAsia="es-MX"/>
        </w:rPr>
        <w:lastRenderedPageBreak/>
        <w:drawing>
          <wp:inline distT="0" distB="0" distL="0" distR="0" wp14:anchorId="40F78B3A" wp14:editId="18045250">
            <wp:extent cx="6034783" cy="568642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0653" cy="5691957"/>
                    </a:xfrm>
                    <a:prstGeom prst="rect">
                      <a:avLst/>
                    </a:prstGeom>
                    <a:noFill/>
                    <a:ln>
                      <a:noFill/>
                    </a:ln>
                  </pic:spPr>
                </pic:pic>
              </a:graphicData>
            </a:graphic>
          </wp:inline>
        </w:drawing>
      </w:r>
    </w:p>
    <w:p w14:paraId="018CED85" w14:textId="77777777" w:rsidR="00686B7F" w:rsidRDefault="00686B7F" w:rsidP="00CF1CB4">
      <w:pPr>
        <w:spacing w:line="360" w:lineRule="auto"/>
        <w:ind w:right="-93"/>
        <w:contextualSpacing/>
        <w:jc w:val="both"/>
        <w:rPr>
          <w:rFonts w:ascii="Palatino Linotype" w:hAnsi="Palatino Linotype" w:cs="Arial"/>
          <w:noProof/>
          <w:lang w:eastAsia="es-MX"/>
        </w:rPr>
      </w:pPr>
    </w:p>
    <w:p w14:paraId="1680A657" w14:textId="77777777" w:rsidR="00686B7F" w:rsidRDefault="00686B7F" w:rsidP="00CF1CB4">
      <w:pPr>
        <w:spacing w:line="360" w:lineRule="auto"/>
        <w:ind w:right="-93"/>
        <w:contextualSpacing/>
        <w:jc w:val="both"/>
        <w:rPr>
          <w:rFonts w:ascii="Palatino Linotype" w:hAnsi="Palatino Linotype" w:cs="Arial"/>
          <w:noProof/>
          <w:lang w:eastAsia="es-MX"/>
        </w:rPr>
      </w:pPr>
    </w:p>
    <w:p w14:paraId="607A12B9" w14:textId="77777777" w:rsidR="00686B7F" w:rsidRDefault="00686B7F" w:rsidP="00CF1CB4">
      <w:pPr>
        <w:spacing w:line="360" w:lineRule="auto"/>
        <w:ind w:right="-93"/>
        <w:contextualSpacing/>
        <w:jc w:val="both"/>
        <w:rPr>
          <w:rFonts w:ascii="Palatino Linotype" w:hAnsi="Palatino Linotype" w:cs="Arial"/>
          <w:noProof/>
          <w:lang w:eastAsia="es-MX"/>
        </w:rPr>
      </w:pPr>
    </w:p>
    <w:p w14:paraId="462D349C" w14:textId="77777777" w:rsidR="00686B7F" w:rsidRDefault="00686B7F" w:rsidP="00CF1CB4">
      <w:pPr>
        <w:spacing w:line="360" w:lineRule="auto"/>
        <w:ind w:right="-93"/>
        <w:contextualSpacing/>
        <w:jc w:val="both"/>
        <w:rPr>
          <w:rFonts w:ascii="Palatino Linotype" w:hAnsi="Palatino Linotype" w:cs="Arial"/>
          <w:noProof/>
          <w:lang w:eastAsia="es-MX"/>
        </w:rPr>
      </w:pPr>
    </w:p>
    <w:p w14:paraId="4F482E52" w14:textId="77777777" w:rsidR="00686B7F" w:rsidRDefault="00686B7F" w:rsidP="00CF1CB4">
      <w:pPr>
        <w:spacing w:line="360" w:lineRule="auto"/>
        <w:ind w:right="-93"/>
        <w:contextualSpacing/>
        <w:jc w:val="both"/>
        <w:rPr>
          <w:rFonts w:ascii="Palatino Linotype" w:hAnsi="Palatino Linotype" w:cs="Arial"/>
          <w:noProof/>
          <w:lang w:eastAsia="es-MX"/>
        </w:rPr>
      </w:pPr>
      <w:bookmarkStart w:id="2" w:name="_GoBack"/>
      <w:bookmarkEnd w:id="2"/>
    </w:p>
    <w:p w14:paraId="0C925059" w14:textId="436A9A49" w:rsidR="00A63634" w:rsidRDefault="00A63634" w:rsidP="00CF1CB4">
      <w:pPr>
        <w:spacing w:line="360" w:lineRule="auto"/>
        <w:ind w:right="-93"/>
        <w:contextualSpacing/>
        <w:jc w:val="both"/>
        <w:rPr>
          <w:rFonts w:ascii="Palatino Linotype" w:hAnsi="Palatino Linotype" w:cs="Arial"/>
        </w:rPr>
      </w:pPr>
      <w:r>
        <w:rPr>
          <w:rFonts w:ascii="Palatino Linotype" w:hAnsi="Palatino Linotype" w:cs="Arial"/>
        </w:rPr>
        <w:lastRenderedPageBreak/>
        <w:t xml:space="preserve">En respuesta a la solicitud de la ahora recurrente, el Sujeto Obligado remitió el archivo electrónico denominado </w:t>
      </w:r>
      <w:r>
        <w:rPr>
          <w:rFonts w:ascii="Palatino Linotype" w:hAnsi="Palatino Linotype" w:cs="Arial"/>
          <w:b/>
          <w:i/>
        </w:rPr>
        <w:t>“319 RESPUESTA.pdf</w:t>
      </w:r>
      <w:r w:rsidRPr="00541CBF">
        <w:rPr>
          <w:rFonts w:ascii="Palatino Linotype" w:hAnsi="Palatino Linotype" w:cs="Arial"/>
          <w:b/>
          <w:i/>
        </w:rPr>
        <w:t>”</w:t>
      </w:r>
      <w:r>
        <w:rPr>
          <w:rFonts w:ascii="Palatino Linotype" w:hAnsi="Palatino Linotype" w:cs="Arial"/>
          <w:b/>
          <w:i/>
        </w:rPr>
        <w:t xml:space="preserve">, </w:t>
      </w:r>
      <w:r>
        <w:rPr>
          <w:rFonts w:ascii="Palatino Linotype" w:hAnsi="Palatino Linotype" w:cs="Arial"/>
        </w:rPr>
        <w:t xml:space="preserve">el cual contiene los siguientes pronunciamientos: </w:t>
      </w:r>
    </w:p>
    <w:p w14:paraId="7DEF0635" w14:textId="77777777" w:rsidR="00A63634" w:rsidRDefault="00A63634" w:rsidP="00CF1CB4">
      <w:pPr>
        <w:spacing w:line="360" w:lineRule="auto"/>
        <w:ind w:right="-93"/>
        <w:contextualSpacing/>
        <w:jc w:val="both"/>
        <w:rPr>
          <w:rFonts w:ascii="Palatino Linotype" w:hAnsi="Palatino Linotype" w:cs="Arial"/>
        </w:rPr>
      </w:pPr>
    </w:p>
    <w:p w14:paraId="3CCFECCC" w14:textId="04F31EBE" w:rsidR="00A63634" w:rsidRDefault="00A63634" w:rsidP="00A63634">
      <w:pPr>
        <w:pStyle w:val="Prrafodelista"/>
        <w:numPr>
          <w:ilvl w:val="0"/>
          <w:numId w:val="7"/>
        </w:numPr>
        <w:spacing w:line="360" w:lineRule="auto"/>
        <w:ind w:right="900"/>
        <w:contextualSpacing/>
        <w:jc w:val="both"/>
        <w:rPr>
          <w:rFonts w:ascii="Palatino Linotype" w:hAnsi="Palatino Linotype" w:cs="Arial"/>
          <w:sz w:val="24"/>
        </w:rPr>
      </w:pPr>
      <w:r w:rsidRPr="00A63634">
        <w:rPr>
          <w:rFonts w:ascii="Palatino Linotype" w:hAnsi="Palatino Linotype" w:cs="Arial"/>
          <w:sz w:val="24"/>
        </w:rPr>
        <w:t xml:space="preserve">Actualmente </w:t>
      </w:r>
      <w:r>
        <w:rPr>
          <w:rFonts w:ascii="Palatino Linotype" w:hAnsi="Palatino Linotype" w:cs="Arial"/>
          <w:sz w:val="24"/>
        </w:rPr>
        <w:t xml:space="preserve">la Unidad Administrativa denominada C5 no cuenta con personal comisionado del Centro de mando de Toluca. </w:t>
      </w:r>
    </w:p>
    <w:p w14:paraId="58CCD689" w14:textId="77777777" w:rsidR="00D910D6" w:rsidRDefault="00A63634" w:rsidP="00A63634">
      <w:pPr>
        <w:pStyle w:val="Prrafodelista"/>
        <w:numPr>
          <w:ilvl w:val="0"/>
          <w:numId w:val="7"/>
        </w:numPr>
        <w:spacing w:line="360" w:lineRule="auto"/>
        <w:ind w:right="900"/>
        <w:contextualSpacing/>
        <w:jc w:val="both"/>
        <w:rPr>
          <w:rFonts w:ascii="Palatino Linotype" w:hAnsi="Palatino Linotype" w:cs="Arial"/>
          <w:sz w:val="24"/>
        </w:rPr>
      </w:pPr>
      <w:r>
        <w:rPr>
          <w:rFonts w:ascii="Palatino Linotype" w:hAnsi="Palatino Linotype" w:cs="Arial"/>
          <w:sz w:val="24"/>
        </w:rPr>
        <w:t xml:space="preserve">Se precisa que en el año 2019, se tuvo personal del H. Ayuntamiento de Toluca comisionado para la atención de llamadas de emergencia, debido a la remodelación del centro de mando municipal, sin embargo, no se cuenta con el registro de </w:t>
      </w:r>
      <w:r w:rsidR="00D910D6">
        <w:rPr>
          <w:rFonts w:ascii="Palatino Linotype" w:hAnsi="Palatino Linotype" w:cs="Arial"/>
          <w:sz w:val="24"/>
        </w:rPr>
        <w:t xml:space="preserve">asistencia del </w:t>
      </w:r>
      <w:r>
        <w:rPr>
          <w:rFonts w:ascii="Palatino Linotype" w:hAnsi="Palatino Linotype" w:cs="Arial"/>
          <w:sz w:val="24"/>
        </w:rPr>
        <w:t>personal</w:t>
      </w:r>
      <w:r w:rsidR="00D910D6">
        <w:rPr>
          <w:rFonts w:ascii="Palatino Linotype" w:hAnsi="Palatino Linotype" w:cs="Arial"/>
          <w:sz w:val="24"/>
        </w:rPr>
        <w:t xml:space="preserve"> que acudió.</w:t>
      </w:r>
    </w:p>
    <w:p w14:paraId="34FDBAC6" w14:textId="1F674196" w:rsidR="00A63634" w:rsidRDefault="00D910D6" w:rsidP="00A63634">
      <w:pPr>
        <w:pStyle w:val="Prrafodelista"/>
        <w:numPr>
          <w:ilvl w:val="0"/>
          <w:numId w:val="7"/>
        </w:numPr>
        <w:spacing w:line="360" w:lineRule="auto"/>
        <w:ind w:right="900"/>
        <w:contextualSpacing/>
        <w:jc w:val="both"/>
        <w:rPr>
          <w:rFonts w:ascii="Palatino Linotype" w:hAnsi="Palatino Linotype" w:cs="Arial"/>
          <w:sz w:val="24"/>
        </w:rPr>
      </w:pPr>
      <w:r>
        <w:rPr>
          <w:rFonts w:ascii="Palatino Linotype" w:hAnsi="Palatino Linotype" w:cs="Arial"/>
          <w:sz w:val="24"/>
        </w:rPr>
        <w:t xml:space="preserve">Se desconoce el motivo por el cual, la ahora recurrente dejó de asistir a las instalaciones del Centro de Control; ya que únicamente se recibió el oficio 202015000/1264/2019 de fecha 28 de noviembre de 2019 suscrito por la Directora de Desarrollo Tecnológico, mediante el cual refiere que la solicitante, perteneciente al C4 municipal ya no se encontraba laborando para la institución. </w:t>
      </w:r>
    </w:p>
    <w:p w14:paraId="51B7FD77" w14:textId="15FFE3CD" w:rsidR="00D910D6" w:rsidRDefault="00D910D6" w:rsidP="00D910D6">
      <w:pPr>
        <w:pStyle w:val="Prrafodelista"/>
        <w:numPr>
          <w:ilvl w:val="0"/>
          <w:numId w:val="7"/>
        </w:numPr>
        <w:spacing w:line="360" w:lineRule="auto"/>
        <w:ind w:right="900"/>
        <w:contextualSpacing/>
        <w:jc w:val="both"/>
        <w:rPr>
          <w:rFonts w:ascii="Palatino Linotype" w:hAnsi="Palatino Linotype" w:cs="Arial"/>
          <w:sz w:val="24"/>
        </w:rPr>
      </w:pPr>
      <w:r>
        <w:rPr>
          <w:rFonts w:ascii="Palatino Linotype" w:hAnsi="Palatino Linotype" w:cs="Arial"/>
          <w:sz w:val="24"/>
        </w:rPr>
        <w:t xml:space="preserve">El Sujeto Obligado confirmó contar con el oficio </w:t>
      </w:r>
      <w:r w:rsidRPr="00D910D6">
        <w:rPr>
          <w:rFonts w:ascii="Palatino Linotype" w:hAnsi="Palatino Linotype" w:cs="Arial"/>
          <w:sz w:val="24"/>
        </w:rPr>
        <w:t>202015000/1264/2019 de fecha 28 de noviembre de 2019</w:t>
      </w:r>
      <w:r>
        <w:rPr>
          <w:rFonts w:ascii="Palatino Linotype" w:hAnsi="Palatino Linotype" w:cs="Arial"/>
          <w:sz w:val="24"/>
        </w:rPr>
        <w:t xml:space="preserve"> en sus archivos, asimismo anexa una copia en su respuesta. </w:t>
      </w:r>
    </w:p>
    <w:p w14:paraId="3A1014EF" w14:textId="5416E2FA" w:rsidR="00D910D6" w:rsidRPr="00D910D6" w:rsidRDefault="00D910D6" w:rsidP="00D910D6">
      <w:pPr>
        <w:pStyle w:val="Prrafodelista"/>
        <w:numPr>
          <w:ilvl w:val="0"/>
          <w:numId w:val="7"/>
        </w:numPr>
        <w:spacing w:line="360" w:lineRule="auto"/>
        <w:ind w:right="900"/>
        <w:contextualSpacing/>
        <w:jc w:val="both"/>
        <w:rPr>
          <w:rFonts w:ascii="Palatino Linotype" w:hAnsi="Palatino Linotype" w:cs="Arial"/>
          <w:sz w:val="24"/>
        </w:rPr>
      </w:pPr>
      <w:r>
        <w:rPr>
          <w:rFonts w:ascii="Palatino Linotype" w:hAnsi="Palatino Linotype" w:cs="Arial"/>
          <w:sz w:val="24"/>
        </w:rPr>
        <w:t xml:space="preserve">El Sujeto Obligado precisa que desconoce los motivos por los cuales la parte solicitante dejó de prestar sus servicios para la institución. </w:t>
      </w:r>
    </w:p>
    <w:p w14:paraId="64212545" w14:textId="77777777" w:rsidR="00A63634" w:rsidRDefault="00A63634" w:rsidP="00CF1CB4">
      <w:pPr>
        <w:spacing w:line="360" w:lineRule="auto"/>
        <w:ind w:right="-93"/>
        <w:contextualSpacing/>
        <w:jc w:val="both"/>
        <w:rPr>
          <w:rFonts w:ascii="Palatino Linotype" w:hAnsi="Palatino Linotype" w:cs="Arial"/>
        </w:rPr>
      </w:pPr>
    </w:p>
    <w:p w14:paraId="0D0E6DA9" w14:textId="30AAE83F" w:rsidR="00D910D6" w:rsidRDefault="00D910D6" w:rsidP="00CF1CB4">
      <w:pPr>
        <w:spacing w:line="360" w:lineRule="auto"/>
        <w:ind w:right="-93"/>
        <w:contextualSpacing/>
        <w:jc w:val="both"/>
        <w:rPr>
          <w:rFonts w:ascii="Palatino Linotype" w:hAnsi="Palatino Linotype" w:cs="Arial"/>
          <w:i/>
        </w:rPr>
      </w:pPr>
      <w:r>
        <w:rPr>
          <w:rFonts w:ascii="Palatino Linotype" w:hAnsi="Palatino Linotype" w:cs="Arial"/>
        </w:rPr>
        <w:t xml:space="preserve">Una vez conocida la respuesta, la recurrente interpuso el medio de impugnación que nos ocupa, expresando como motivo de inconformidad </w:t>
      </w:r>
      <w:r w:rsidRPr="00D910D6">
        <w:rPr>
          <w:rFonts w:ascii="Palatino Linotype" w:hAnsi="Palatino Linotype" w:cs="Arial"/>
          <w:i/>
        </w:rPr>
        <w:t xml:space="preserve">“omisión de emitir copias </w:t>
      </w:r>
      <w:r w:rsidRPr="00D910D6">
        <w:rPr>
          <w:rFonts w:ascii="Palatino Linotype" w:hAnsi="Palatino Linotype" w:cs="Arial"/>
          <w:i/>
        </w:rPr>
        <w:lastRenderedPageBreak/>
        <w:t>certificadas del oficio de respuesta, así como copia certificada del oficio de fecha 28 de noviembre 2019, mismos que fueron solicitados en la solicitud de información a través de este sistema, puesto que solo se brinda la respuesta a través del sistema Saimex</w:t>
      </w:r>
      <w:r>
        <w:rPr>
          <w:rFonts w:ascii="Palatino Linotype" w:hAnsi="Palatino Linotype" w:cs="Arial"/>
          <w:i/>
        </w:rPr>
        <w:t>”</w:t>
      </w:r>
    </w:p>
    <w:p w14:paraId="279C8491" w14:textId="77777777" w:rsidR="00D910D6" w:rsidRPr="00D910D6" w:rsidRDefault="00D910D6" w:rsidP="00CF1CB4">
      <w:pPr>
        <w:spacing w:line="360" w:lineRule="auto"/>
        <w:ind w:right="-93"/>
        <w:contextualSpacing/>
        <w:jc w:val="both"/>
        <w:rPr>
          <w:rFonts w:ascii="Palatino Linotype" w:hAnsi="Palatino Linotype" w:cs="Arial"/>
          <w:i/>
        </w:rPr>
      </w:pPr>
    </w:p>
    <w:p w14:paraId="32728FEA" w14:textId="0882E6EA" w:rsidR="0088388C" w:rsidRDefault="00D10D7D" w:rsidP="00CF1CB4">
      <w:pPr>
        <w:spacing w:line="360" w:lineRule="auto"/>
        <w:ind w:right="-93"/>
        <w:contextualSpacing/>
        <w:jc w:val="both"/>
        <w:rPr>
          <w:rFonts w:ascii="Palatino Linotype" w:hAnsi="Palatino Linotype" w:cs="Arial"/>
          <w:szCs w:val="22"/>
          <w:lang w:eastAsia="en-US"/>
        </w:rPr>
      </w:pPr>
      <w:r>
        <w:rPr>
          <w:rFonts w:ascii="Palatino Linotype" w:hAnsi="Palatino Linotype" w:cs="Arial"/>
          <w:szCs w:val="22"/>
          <w:lang w:eastAsia="en-US"/>
        </w:rPr>
        <w:t xml:space="preserve">Así las cosas, al </w:t>
      </w:r>
      <w:r w:rsidR="00CF1CB4">
        <w:rPr>
          <w:rFonts w:ascii="Palatino Linotype" w:hAnsi="Palatino Linotype" w:cs="Arial"/>
          <w:szCs w:val="22"/>
          <w:lang w:eastAsia="en-US"/>
        </w:rPr>
        <w:t xml:space="preserve"> momento de rendir</w:t>
      </w:r>
      <w:r w:rsidR="00BF5198" w:rsidRPr="00BF5198">
        <w:rPr>
          <w:rFonts w:ascii="Palatino Linotype" w:hAnsi="Palatino Linotype" w:cs="Arial"/>
          <w:szCs w:val="22"/>
          <w:lang w:eastAsia="en-US"/>
        </w:rPr>
        <w:t xml:space="preserve"> informe justificado, el Sujeto Obligado</w:t>
      </w:r>
      <w:r>
        <w:rPr>
          <w:rFonts w:ascii="Palatino Linotype" w:hAnsi="Palatino Linotype" w:cs="Arial"/>
          <w:szCs w:val="22"/>
          <w:lang w:eastAsia="en-US"/>
        </w:rPr>
        <w:t xml:space="preserve"> mediante el soporte documental </w:t>
      </w:r>
      <w:r w:rsidRPr="00D10D7D">
        <w:rPr>
          <w:rFonts w:ascii="Palatino Linotype" w:hAnsi="Palatino Linotype" w:cs="Arial"/>
          <w:b/>
          <w:i/>
          <w:szCs w:val="22"/>
          <w:lang w:eastAsia="en-US"/>
        </w:rPr>
        <w:t>“informe justificado RR.003624.pdf”</w:t>
      </w:r>
      <w:r>
        <w:rPr>
          <w:rFonts w:ascii="Palatino Linotype" w:hAnsi="Palatino Linotype" w:cs="Arial"/>
          <w:b/>
          <w:i/>
          <w:szCs w:val="22"/>
          <w:lang w:eastAsia="en-US"/>
        </w:rPr>
        <w:t xml:space="preserve"> </w:t>
      </w:r>
      <w:r>
        <w:rPr>
          <w:rFonts w:ascii="Palatino Linotype" w:hAnsi="Palatino Linotype" w:cs="Arial"/>
          <w:szCs w:val="22"/>
          <w:lang w:eastAsia="en-US"/>
        </w:rPr>
        <w:t>modificó su respuesta manifestando</w:t>
      </w:r>
      <w:r w:rsidR="00BF5198" w:rsidRPr="00BF5198">
        <w:rPr>
          <w:rFonts w:ascii="Palatino Linotype" w:hAnsi="Palatino Linotype" w:cs="Arial"/>
          <w:szCs w:val="22"/>
          <w:lang w:eastAsia="en-US"/>
        </w:rPr>
        <w:t xml:space="preserve"> </w:t>
      </w:r>
      <w:r w:rsidR="00CF1CB4">
        <w:rPr>
          <w:rFonts w:ascii="Palatino Linotype" w:hAnsi="Palatino Linotype" w:cs="Arial"/>
          <w:szCs w:val="22"/>
          <w:lang w:eastAsia="en-US"/>
        </w:rPr>
        <w:t xml:space="preserve">que </w:t>
      </w:r>
      <w:r>
        <w:rPr>
          <w:rFonts w:ascii="Palatino Linotype" w:hAnsi="Palatino Linotype" w:cs="Arial"/>
          <w:szCs w:val="22"/>
          <w:lang w:eastAsia="en-US"/>
        </w:rPr>
        <w:t xml:space="preserve">el oficio de respuesta a la presente solicitud, así como el oficio </w:t>
      </w:r>
      <w:r w:rsidRPr="00D10D7D">
        <w:rPr>
          <w:rFonts w:ascii="Palatino Linotype" w:hAnsi="Palatino Linotype" w:cs="Arial"/>
          <w:szCs w:val="22"/>
          <w:lang w:eastAsia="en-US"/>
        </w:rPr>
        <w:t>202015000/1264/2019</w:t>
      </w:r>
      <w:r w:rsidR="00661150">
        <w:rPr>
          <w:rFonts w:ascii="Palatino Linotype" w:hAnsi="Palatino Linotype" w:cs="Arial"/>
          <w:szCs w:val="22"/>
          <w:lang w:eastAsia="en-US"/>
        </w:rPr>
        <w:t xml:space="preserve">, se encontraban a su disposición en copias certificadas, previo pago de derechos así como acreditación en las oficinas del Sujeto Obligado, tal como se ilustra a continuación: </w:t>
      </w:r>
    </w:p>
    <w:p w14:paraId="57C054D2" w14:textId="02E17CF4" w:rsidR="00661150" w:rsidRPr="00661150" w:rsidRDefault="00661150" w:rsidP="00CF1CB4">
      <w:pPr>
        <w:spacing w:line="360" w:lineRule="auto"/>
        <w:ind w:right="-93"/>
        <w:contextualSpacing/>
        <w:jc w:val="both"/>
        <w:rPr>
          <w:rFonts w:ascii="Palatino Linotype" w:hAnsi="Palatino Linotype" w:cs="Arial"/>
          <w:szCs w:val="22"/>
          <w:lang w:eastAsia="en-US"/>
        </w:rPr>
      </w:pPr>
      <w:r>
        <w:rPr>
          <w:rFonts w:ascii="Palatino Linotype" w:hAnsi="Palatino Linotype" w:cs="Arial"/>
          <w:noProof/>
          <w:szCs w:val="22"/>
          <w:lang w:eastAsia="es-MX"/>
        </w:rPr>
        <w:drawing>
          <wp:inline distT="0" distB="0" distL="0" distR="0" wp14:anchorId="00D0FBC5" wp14:editId="0E8E445E">
            <wp:extent cx="5610225" cy="44577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4457700"/>
                    </a:xfrm>
                    <a:prstGeom prst="rect">
                      <a:avLst/>
                    </a:prstGeom>
                    <a:noFill/>
                    <a:ln>
                      <a:noFill/>
                    </a:ln>
                  </pic:spPr>
                </pic:pic>
              </a:graphicData>
            </a:graphic>
          </wp:inline>
        </w:drawing>
      </w:r>
    </w:p>
    <w:p w14:paraId="36C9A4A7" w14:textId="28A33758" w:rsidR="00780F7B" w:rsidRDefault="00661150" w:rsidP="00806347">
      <w:pPr>
        <w:spacing w:before="240" w:after="240" w:line="360" w:lineRule="auto"/>
        <w:jc w:val="both"/>
        <w:rPr>
          <w:rFonts w:ascii="Palatino Linotype" w:hAnsi="Palatino Linotype"/>
          <w:lang w:val="es-ES"/>
        </w:rPr>
      </w:pPr>
      <w:r>
        <w:rPr>
          <w:rFonts w:ascii="Palatino Linotype" w:hAnsi="Palatino Linotype"/>
          <w:noProof/>
          <w:lang w:eastAsia="es-MX"/>
        </w:rPr>
        <w:lastRenderedPageBreak/>
        <w:drawing>
          <wp:anchor distT="0" distB="0" distL="114300" distR="114300" simplePos="0" relativeHeight="251668480" behindDoc="0" locked="0" layoutInCell="1" allowOverlap="1" wp14:anchorId="63C2E119" wp14:editId="3ECFCC5E">
            <wp:simplePos x="0" y="0"/>
            <wp:positionH relativeFrom="margin">
              <wp:align>center</wp:align>
            </wp:positionH>
            <wp:positionV relativeFrom="paragraph">
              <wp:posOffset>0</wp:posOffset>
            </wp:positionV>
            <wp:extent cx="5950927" cy="249555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0927"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198">
        <w:rPr>
          <w:rFonts w:ascii="Palatino Linotype" w:hAnsi="Palatino Linotype"/>
          <w:lang w:val="es-ES"/>
        </w:rPr>
        <w:t>En esta tesitura</w:t>
      </w:r>
      <w:r w:rsidR="00544B0C" w:rsidRPr="00544B0C">
        <w:rPr>
          <w:rFonts w:ascii="Palatino Linotype" w:hAnsi="Palatino Linotype"/>
          <w:lang w:val="es-ES"/>
        </w:rPr>
        <w:t>, se destaca que el Sujeto Obligado al rendir su informe ju</w:t>
      </w:r>
      <w:r w:rsidR="00BF5198">
        <w:rPr>
          <w:rFonts w:ascii="Palatino Linotype" w:hAnsi="Palatino Linotype"/>
          <w:lang w:val="es-ES"/>
        </w:rPr>
        <w:t>stificado, amplía la respuesta</w:t>
      </w:r>
      <w:r w:rsidR="00544B0C" w:rsidRPr="00544B0C">
        <w:rPr>
          <w:rFonts w:ascii="Palatino Linotype" w:hAnsi="Palatino Linotype"/>
          <w:lang w:val="es-ES"/>
        </w:rPr>
        <w:t xml:space="preserve"> </w:t>
      </w:r>
      <w:r w:rsidR="00BF5198">
        <w:rPr>
          <w:rFonts w:ascii="Palatino Linotype" w:hAnsi="Palatino Linotype"/>
          <w:lang w:val="es-ES"/>
        </w:rPr>
        <w:t>que había otorgado inicialmente y dio origen a</w:t>
      </w:r>
      <w:r w:rsidR="00544B0C" w:rsidRPr="00544B0C">
        <w:rPr>
          <w:rFonts w:ascii="Palatino Linotype" w:hAnsi="Palatino Linotype"/>
          <w:lang w:val="es-ES"/>
        </w:rPr>
        <w:t xml:space="preserve"> la interposición del recurso de revisión citada al</w:t>
      </w:r>
      <w:r w:rsidR="006749A3">
        <w:rPr>
          <w:rFonts w:ascii="Palatino Linotype" w:hAnsi="Palatino Linotype"/>
          <w:lang w:val="es-ES"/>
        </w:rPr>
        <w:t xml:space="preserve"> rubro, toda vez que el motivo de inconformidad versó sobre la entr</w:t>
      </w:r>
      <w:r w:rsidR="00780F7B">
        <w:rPr>
          <w:rFonts w:ascii="Palatino Linotype" w:hAnsi="Palatino Linotype"/>
          <w:lang w:val="es-ES"/>
        </w:rPr>
        <w:t xml:space="preserve">ega de las copias certificadas previo pago de derechos. </w:t>
      </w:r>
    </w:p>
    <w:p w14:paraId="3F7944AB" w14:textId="46A5575F" w:rsidR="00780F7B" w:rsidRDefault="00780F7B" w:rsidP="00806347">
      <w:pPr>
        <w:spacing w:before="240" w:after="240" w:line="360" w:lineRule="auto"/>
        <w:jc w:val="both"/>
        <w:rPr>
          <w:rFonts w:ascii="Palatino Linotype" w:hAnsi="Palatino Linotype"/>
          <w:lang w:val="es-ES"/>
        </w:rPr>
      </w:pPr>
      <w:r>
        <w:rPr>
          <w:rFonts w:ascii="Palatino Linotype" w:hAnsi="Palatino Linotype"/>
          <w:lang w:val="es-ES"/>
        </w:rPr>
        <w:t xml:space="preserve">No escapa de la óptica de este Órgano Garante que el artículo 148 del Código Financiero del Estado de México y Municipios prevé los costos a cubrirse por la expedición de copias certificadas derivado del ejercicio del derecho de acceso a la información pública, tal como se ilustra a continuación: </w:t>
      </w:r>
    </w:p>
    <w:p w14:paraId="0C36595E" w14:textId="3DA6E477" w:rsidR="009862DD" w:rsidRDefault="009862DD" w:rsidP="00806347">
      <w:pPr>
        <w:spacing w:before="240" w:after="240" w:line="360" w:lineRule="auto"/>
        <w:jc w:val="both"/>
        <w:rPr>
          <w:rFonts w:ascii="Palatino Linotype" w:hAnsi="Palatino Linotype"/>
          <w:lang w:val="es-ES"/>
        </w:rPr>
      </w:pPr>
      <w:r>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92AE8D0" wp14:editId="7E6284CB">
                <wp:simplePos x="0" y="0"/>
                <wp:positionH relativeFrom="column">
                  <wp:posOffset>348615</wp:posOffset>
                </wp:positionH>
                <wp:positionV relativeFrom="paragraph">
                  <wp:posOffset>6350</wp:posOffset>
                </wp:positionV>
                <wp:extent cx="5048250" cy="2419350"/>
                <wp:effectExtent l="0" t="0" r="19050" b="19050"/>
                <wp:wrapNone/>
                <wp:docPr id="2" name="Conector recto 2"/>
                <wp:cNvGraphicFramePr/>
                <a:graphic xmlns:a="http://schemas.openxmlformats.org/drawingml/2006/main">
                  <a:graphicData uri="http://schemas.microsoft.com/office/word/2010/wordprocessingShape">
                    <wps:wsp>
                      <wps:cNvCnPr/>
                      <wps:spPr>
                        <a:xfrm flipH="1">
                          <a:off x="0" y="0"/>
                          <a:ext cx="5048250" cy="2419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E0A2E" id="Conector recto 2"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5pt" to="424.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" strokecolor="black [3200]" strokeweight=".5pt">
                <v:stroke joinstyle="miter"/>
              </v:line>
            </w:pict>
          </mc:Fallback>
        </mc:AlternateContent>
      </w:r>
    </w:p>
    <w:p w14:paraId="439D8C6C" w14:textId="77777777" w:rsidR="00780F7B" w:rsidRDefault="00780F7B" w:rsidP="00806347">
      <w:pPr>
        <w:spacing w:before="240" w:after="240" w:line="360" w:lineRule="auto"/>
        <w:jc w:val="both"/>
        <w:rPr>
          <w:rFonts w:ascii="Palatino Linotype" w:hAnsi="Palatino Linotype"/>
          <w:lang w:val="es-ES"/>
        </w:rPr>
      </w:pPr>
    </w:p>
    <w:p w14:paraId="10067994" w14:textId="77777777" w:rsidR="009862DD" w:rsidRDefault="009862DD" w:rsidP="00544B0C">
      <w:pPr>
        <w:spacing w:line="360" w:lineRule="auto"/>
        <w:contextualSpacing/>
        <w:jc w:val="both"/>
        <w:rPr>
          <w:rFonts w:ascii="Palatino Linotype" w:eastAsia="Calibri" w:hAnsi="Palatino Linotype"/>
        </w:rPr>
      </w:pPr>
    </w:p>
    <w:p w14:paraId="6372D305" w14:textId="77777777" w:rsidR="009862DD" w:rsidRDefault="009862DD" w:rsidP="00544B0C">
      <w:pPr>
        <w:spacing w:line="360" w:lineRule="auto"/>
        <w:contextualSpacing/>
        <w:jc w:val="both"/>
        <w:rPr>
          <w:rFonts w:ascii="Palatino Linotype" w:eastAsia="Calibri" w:hAnsi="Palatino Linotype"/>
        </w:rPr>
      </w:pPr>
    </w:p>
    <w:p w14:paraId="47163FC2" w14:textId="77777777" w:rsidR="009862DD" w:rsidRDefault="009862DD" w:rsidP="00544B0C">
      <w:pPr>
        <w:spacing w:line="360" w:lineRule="auto"/>
        <w:contextualSpacing/>
        <w:jc w:val="both"/>
        <w:rPr>
          <w:rFonts w:ascii="Palatino Linotype" w:eastAsia="Calibri" w:hAnsi="Palatino Linotype"/>
        </w:rPr>
      </w:pPr>
    </w:p>
    <w:p w14:paraId="715C2124" w14:textId="77777777" w:rsidR="009862DD" w:rsidRDefault="009862DD" w:rsidP="00544B0C">
      <w:pPr>
        <w:spacing w:line="360" w:lineRule="auto"/>
        <w:contextualSpacing/>
        <w:jc w:val="both"/>
        <w:rPr>
          <w:rFonts w:ascii="Palatino Linotype" w:eastAsia="Calibri" w:hAnsi="Palatino Linotype"/>
        </w:rPr>
      </w:pPr>
    </w:p>
    <w:p w14:paraId="7767D8B5" w14:textId="7FB7BF5F" w:rsidR="00186837" w:rsidRDefault="00186837" w:rsidP="00186837">
      <w:pPr>
        <w:spacing w:line="360" w:lineRule="auto"/>
        <w:contextualSpacing/>
        <w:jc w:val="both"/>
        <w:rPr>
          <w:rFonts w:ascii="Palatino Linotype" w:eastAsia="Calibri"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71552" behindDoc="0" locked="0" layoutInCell="1" allowOverlap="1" wp14:anchorId="1EEE771D" wp14:editId="68250689">
                <wp:simplePos x="0" y="0"/>
                <wp:positionH relativeFrom="margin">
                  <wp:posOffset>-161925</wp:posOffset>
                </wp:positionH>
                <wp:positionV relativeFrom="paragraph">
                  <wp:posOffset>1699895</wp:posOffset>
                </wp:positionV>
                <wp:extent cx="5010150" cy="504825"/>
                <wp:effectExtent l="19050" t="19050" r="19050" b="28575"/>
                <wp:wrapNone/>
                <wp:docPr id="3" name="Rectángulo redondeado 3"/>
                <wp:cNvGraphicFramePr/>
                <a:graphic xmlns:a="http://schemas.openxmlformats.org/drawingml/2006/main">
                  <a:graphicData uri="http://schemas.microsoft.com/office/word/2010/wordprocessingShape">
                    <wps:wsp>
                      <wps:cNvSpPr/>
                      <wps:spPr>
                        <a:xfrm>
                          <a:off x="0" y="0"/>
                          <a:ext cx="5010150" cy="504825"/>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96ABE3" id="Rectángulo redondeado 3" o:spid="_x0000_s1026" style="position:absolute;margin-left:-12.75pt;margin-top:133.85pt;width:394.5pt;height:39.75pt;z-index:2516715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" filled="f" strokecolor="#0070c0" strokeweight="2.25pt">
                <v:stroke joinstyle="miter"/>
                <w10:wrap anchorx="margin"/>
              </v:roundrect>
            </w:pict>
          </mc:Fallback>
        </mc:AlternateContent>
      </w:r>
      <w:r>
        <w:rPr>
          <w:rFonts w:ascii="Palatino Linotype" w:hAnsi="Palatino Linotype"/>
          <w:noProof/>
          <w:lang w:eastAsia="es-MX"/>
        </w:rPr>
        <w:drawing>
          <wp:anchor distT="0" distB="0" distL="114300" distR="114300" simplePos="0" relativeHeight="251669504" behindDoc="0" locked="0" layoutInCell="1" allowOverlap="1" wp14:anchorId="7DD96ABD" wp14:editId="434763FE">
            <wp:simplePos x="0" y="0"/>
            <wp:positionH relativeFrom="margin">
              <wp:posOffset>-152400</wp:posOffset>
            </wp:positionH>
            <wp:positionV relativeFrom="paragraph">
              <wp:posOffset>6985</wp:posOffset>
            </wp:positionV>
            <wp:extent cx="5600700" cy="27241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AB346" w14:textId="486F9262" w:rsidR="00186837" w:rsidRPr="00186837" w:rsidRDefault="00186837" w:rsidP="00186837">
      <w:pPr>
        <w:spacing w:line="360" w:lineRule="auto"/>
        <w:contextualSpacing/>
        <w:jc w:val="both"/>
        <w:rPr>
          <w:rFonts w:ascii="Palatino Linotype" w:eastAsia="Calibri" w:hAnsi="Palatino Linotype"/>
        </w:rPr>
      </w:pPr>
      <w:r w:rsidRPr="00186837">
        <w:rPr>
          <w:rFonts w:ascii="Palatino Linotype" w:eastAsia="Calibri" w:hAnsi="Palatino Linotype"/>
        </w:rPr>
        <w:t xml:space="preserve">Dicha modalidad de entrega en copias certificadas no implica que se tenga que acudir ante un notario o fedatario público, sino que faculta a los servidores públicos para que expidan certificaciones de los documentos solicitados que obran en los archivos de las dependencias o entidades en copia simple u original según sea el caso. </w:t>
      </w:r>
    </w:p>
    <w:p w14:paraId="21DE44F8" w14:textId="77777777" w:rsidR="00186837" w:rsidRPr="00186837" w:rsidRDefault="00186837" w:rsidP="00186837">
      <w:pPr>
        <w:spacing w:line="360" w:lineRule="auto"/>
        <w:contextualSpacing/>
        <w:jc w:val="both"/>
        <w:rPr>
          <w:rFonts w:ascii="Palatino Linotype" w:eastAsia="Calibri" w:hAnsi="Palatino Linotype"/>
        </w:rPr>
      </w:pPr>
      <w:r w:rsidRPr="00186837">
        <w:rPr>
          <w:rFonts w:ascii="Palatino Linotype" w:eastAsia="Calibri" w:hAnsi="Palatino Linotype"/>
        </w:rPr>
        <w:t xml:space="preserve">Al respecto, 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w:t>
      </w:r>
    </w:p>
    <w:p w14:paraId="67089A85" w14:textId="647A7838" w:rsidR="00186837" w:rsidRDefault="00186837" w:rsidP="00186837">
      <w:pPr>
        <w:spacing w:line="360" w:lineRule="auto"/>
        <w:contextualSpacing/>
        <w:jc w:val="both"/>
        <w:rPr>
          <w:rFonts w:ascii="Palatino Linotype" w:eastAsia="Calibri" w:hAnsi="Palatino Linotype"/>
        </w:rPr>
      </w:pPr>
      <w:r w:rsidRPr="00186837">
        <w:rPr>
          <w:rFonts w:ascii="Palatino Linotype" w:eastAsia="Calibri" w:hAnsi="Palatino Linotype"/>
        </w:rPr>
        <w:t>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w:t>
      </w:r>
      <w:r>
        <w:rPr>
          <w:rFonts w:ascii="Palatino Linotype" w:eastAsia="Calibri" w:hAnsi="Palatino Linotype"/>
        </w:rPr>
        <w:t>s soliciten</w:t>
      </w:r>
      <w:r>
        <w:rPr>
          <w:rStyle w:val="Refdenotaalpie"/>
          <w:rFonts w:ascii="Palatino Linotype" w:eastAsia="Calibri" w:hAnsi="Palatino Linotype"/>
        </w:rPr>
        <w:footnoteReference w:id="3"/>
      </w:r>
      <w:r>
        <w:rPr>
          <w:rFonts w:ascii="Palatino Linotype" w:eastAsia="Calibri" w:hAnsi="Palatino Linotype"/>
        </w:rPr>
        <w:t>.</w:t>
      </w:r>
    </w:p>
    <w:p w14:paraId="51642FFC" w14:textId="41C9571A" w:rsidR="00186837" w:rsidRDefault="00186837" w:rsidP="00186837">
      <w:pPr>
        <w:spacing w:line="360" w:lineRule="auto"/>
        <w:contextualSpacing/>
        <w:jc w:val="both"/>
        <w:rPr>
          <w:rFonts w:ascii="Palatino Linotype" w:eastAsia="Calibri" w:hAnsi="Palatino Linotype"/>
        </w:rPr>
      </w:pPr>
      <w:r w:rsidRPr="00186837">
        <w:rPr>
          <w:rFonts w:ascii="Palatino Linotype" w:eastAsia="Calibri" w:hAnsi="Palatino Linotype"/>
        </w:rPr>
        <w:lastRenderedPageBreak/>
        <w:t>Sirve de apoyo en la fundamentación de lo antes expresado el criterio 2/09 del entonces Instituto Federal de Acceso a la Información Pública y Protección de Datos Personales que se transcribe a continuación para la claridad de las razones que justifican la a</w:t>
      </w:r>
      <w:r>
        <w:rPr>
          <w:rFonts w:ascii="Palatino Linotype" w:eastAsia="Calibri" w:hAnsi="Palatino Linotype"/>
        </w:rPr>
        <w:t>ctuación de este órgano garante:</w:t>
      </w:r>
    </w:p>
    <w:p w14:paraId="641F51E4" w14:textId="77777777" w:rsidR="00186837" w:rsidRDefault="00186837" w:rsidP="00186837">
      <w:pPr>
        <w:spacing w:line="360" w:lineRule="auto"/>
        <w:contextualSpacing/>
        <w:jc w:val="both"/>
        <w:rPr>
          <w:rFonts w:ascii="Palatino Linotype" w:eastAsia="Calibri" w:hAnsi="Palatino Linotype"/>
        </w:rPr>
      </w:pPr>
    </w:p>
    <w:p w14:paraId="57C24D13" w14:textId="1659D273" w:rsidR="00186837" w:rsidRPr="00186837" w:rsidRDefault="00186837" w:rsidP="00186837">
      <w:pPr>
        <w:ind w:left="567" w:right="900"/>
        <w:contextualSpacing/>
        <w:jc w:val="both"/>
        <w:rPr>
          <w:rFonts w:ascii="Palatino Linotype" w:eastAsia="Calibri" w:hAnsi="Palatino Linotype"/>
          <w:i/>
          <w:sz w:val="22"/>
        </w:rPr>
      </w:pPr>
      <w:r>
        <w:rPr>
          <w:rFonts w:ascii="Palatino Linotype" w:eastAsia="Calibri" w:hAnsi="Palatino Linotype"/>
          <w:b/>
          <w:bCs/>
          <w:i/>
          <w:sz w:val="22"/>
        </w:rPr>
        <w:t>“</w:t>
      </w:r>
      <w:r w:rsidRPr="00186837">
        <w:rPr>
          <w:rFonts w:ascii="Palatino Linotype" w:eastAsia="Calibri" w:hAnsi="Palatino Linotype"/>
          <w:b/>
          <w:bCs/>
          <w:i/>
          <w:sz w:val="22"/>
        </w:rPr>
        <w:t xml:space="preserve">Copias certificadas, como modalidad de entrega en la Ley Federal de Transparencia y Acceso a la Información Pública corrobora que el documento es una copia fiel del que obra en los archivos del sujeto obligado. </w:t>
      </w:r>
      <w:r w:rsidRPr="00186837">
        <w:rPr>
          <w:rFonts w:ascii="Palatino Linotype" w:eastAsia="Calibri" w:hAnsi="Palatino Linotype"/>
          <w:bCs/>
          <w:i/>
          <w:sz w:val="22"/>
        </w:rPr>
        <w:t>Los artículos 125, fracción V y 136 de la Ley Federal de Transparencia y Acceso a la Información Pública, prevén que el acceso a la información se dará en la modalidad de entrega elegida por los solicitantes, como lo es, en copia certificada</w:t>
      </w:r>
      <w:r w:rsidRPr="00186837">
        <w:rPr>
          <w:rFonts w:ascii="Palatino Linotype" w:eastAsia="Calibri" w:hAnsi="Palatino Linotype"/>
          <w:i/>
          <w:sz w:val="22"/>
        </w:rPr>
        <w:t xml:space="preserve">.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w:t>
      </w:r>
      <w:r>
        <w:rPr>
          <w:rFonts w:ascii="Palatino Linotype" w:eastAsia="Calibri" w:hAnsi="Palatino Linotype"/>
          <w:i/>
          <w:sz w:val="22"/>
        </w:rPr>
        <w:t>se encuentran.”</w:t>
      </w:r>
    </w:p>
    <w:p w14:paraId="5413AD3D" w14:textId="77777777" w:rsidR="00186837" w:rsidRPr="00186837" w:rsidRDefault="00186837" w:rsidP="00186837">
      <w:pPr>
        <w:ind w:left="567" w:right="900"/>
        <w:contextualSpacing/>
        <w:jc w:val="both"/>
        <w:rPr>
          <w:rFonts w:ascii="Palatino Linotype" w:eastAsia="Calibri" w:hAnsi="Palatino Linotype"/>
          <w:bCs/>
          <w:i/>
          <w:sz w:val="22"/>
        </w:rPr>
      </w:pPr>
    </w:p>
    <w:p w14:paraId="6C21405E" w14:textId="408EE0DA" w:rsidR="00D7726E" w:rsidRDefault="00D7726E" w:rsidP="00186837">
      <w:pPr>
        <w:spacing w:line="360" w:lineRule="auto"/>
        <w:contextualSpacing/>
        <w:jc w:val="both"/>
        <w:rPr>
          <w:rFonts w:ascii="Palatino Linotype" w:eastAsia="Calibri" w:hAnsi="Palatino Linotype"/>
        </w:rPr>
      </w:pPr>
      <w:r>
        <w:rPr>
          <w:rFonts w:ascii="Palatino Linotype" w:eastAsia="Calibri" w:hAnsi="Palatino Linotype"/>
        </w:rPr>
        <w:t xml:space="preserve">En esta tesitura, </w:t>
      </w:r>
      <w:r w:rsidR="000568C5">
        <w:rPr>
          <w:rFonts w:ascii="Palatino Linotype" w:eastAsia="Calibri" w:hAnsi="Palatino Linotype"/>
        </w:rPr>
        <w:t xml:space="preserve">resulta pertinente apuntar que </w:t>
      </w:r>
      <w:r>
        <w:rPr>
          <w:rFonts w:ascii="Palatino Linotype" w:eastAsia="Calibri" w:hAnsi="Palatino Linotype"/>
        </w:rPr>
        <w:t xml:space="preserve">la Ley de Transparencia y Acceso a la Información Pública prevé lo siguiente respecto a los costos por la entrega de información que abarque menos de veinte hojas, precepto legal que se inserta a continuación para mejor proveer del presente estudio: </w:t>
      </w:r>
    </w:p>
    <w:p w14:paraId="0021D282" w14:textId="6903F946" w:rsidR="00D7726E" w:rsidRPr="00D7726E" w:rsidRDefault="00D7726E" w:rsidP="00D7726E">
      <w:pPr>
        <w:ind w:left="567" w:right="900"/>
        <w:contextualSpacing/>
        <w:jc w:val="both"/>
        <w:rPr>
          <w:rFonts w:ascii="Palatino Linotype" w:eastAsia="Calibri" w:hAnsi="Palatino Linotype"/>
          <w:b/>
          <w:i/>
          <w:sz w:val="22"/>
          <w:u w:val="single"/>
        </w:rPr>
      </w:pPr>
      <w:r>
        <w:rPr>
          <w:rFonts w:ascii="Palatino Linotype" w:eastAsia="Calibri" w:hAnsi="Palatino Linotype"/>
          <w:b/>
          <w:bCs/>
          <w:i/>
          <w:sz w:val="22"/>
        </w:rPr>
        <w:lastRenderedPageBreak/>
        <w:t>“</w:t>
      </w:r>
      <w:r w:rsidRPr="00D7726E">
        <w:rPr>
          <w:rFonts w:ascii="Palatino Linotype" w:eastAsia="Calibri" w:hAnsi="Palatino Linotype"/>
          <w:b/>
          <w:bCs/>
          <w:i/>
          <w:sz w:val="22"/>
        </w:rPr>
        <w:t xml:space="preserve">Artículo 174. </w:t>
      </w:r>
      <w:r w:rsidRPr="00D7726E">
        <w:rPr>
          <w:rFonts w:ascii="Palatino Linotype" w:eastAsia="Calibri" w:hAnsi="Palatino Linotype"/>
          <w:b/>
          <w:i/>
          <w:sz w:val="22"/>
          <w:u w:val="single"/>
        </w:rPr>
        <w:t xml:space="preserve">En caso de existir costos para obtener la información deberán cubrirse de manera previa a la entrega y no podrán ser superiores a la suma de: </w:t>
      </w:r>
    </w:p>
    <w:p w14:paraId="2C956260" w14:textId="77777777" w:rsidR="00D7726E" w:rsidRPr="00D7726E" w:rsidRDefault="00D7726E" w:rsidP="00D7726E">
      <w:pPr>
        <w:ind w:left="567" w:right="900"/>
        <w:contextualSpacing/>
        <w:jc w:val="both"/>
        <w:rPr>
          <w:rFonts w:ascii="Palatino Linotype" w:eastAsia="Calibri" w:hAnsi="Palatino Linotype"/>
          <w:b/>
          <w:i/>
          <w:sz w:val="22"/>
          <w:u w:val="single"/>
        </w:rPr>
      </w:pPr>
      <w:r w:rsidRPr="00D7726E">
        <w:rPr>
          <w:rFonts w:ascii="Palatino Linotype" w:eastAsia="Calibri" w:hAnsi="Palatino Linotype"/>
          <w:b/>
          <w:bCs/>
          <w:i/>
          <w:sz w:val="22"/>
          <w:u w:val="single"/>
        </w:rPr>
        <w:t xml:space="preserve">I. </w:t>
      </w:r>
      <w:r w:rsidRPr="00D7726E">
        <w:rPr>
          <w:rFonts w:ascii="Palatino Linotype" w:eastAsia="Calibri" w:hAnsi="Palatino Linotype"/>
          <w:b/>
          <w:i/>
          <w:sz w:val="22"/>
          <w:u w:val="single"/>
        </w:rPr>
        <w:t xml:space="preserve">El costo de los materiales utilizados en la reproducción de la información; </w:t>
      </w:r>
    </w:p>
    <w:p w14:paraId="79EBC99A" w14:textId="77777777" w:rsidR="00D7726E" w:rsidRPr="00D7726E" w:rsidRDefault="00D7726E" w:rsidP="00D7726E">
      <w:pPr>
        <w:ind w:left="567" w:right="900"/>
        <w:contextualSpacing/>
        <w:jc w:val="both"/>
        <w:rPr>
          <w:rFonts w:ascii="Palatino Linotype" w:eastAsia="Calibri" w:hAnsi="Palatino Linotype"/>
          <w:i/>
          <w:sz w:val="22"/>
        </w:rPr>
      </w:pPr>
    </w:p>
    <w:p w14:paraId="65A2012B" w14:textId="77777777" w:rsidR="00D7726E" w:rsidRPr="00D7726E" w:rsidRDefault="00D7726E" w:rsidP="00D7726E">
      <w:pPr>
        <w:ind w:left="567" w:right="900"/>
        <w:contextualSpacing/>
        <w:jc w:val="both"/>
        <w:rPr>
          <w:rFonts w:ascii="Palatino Linotype" w:eastAsia="Calibri" w:hAnsi="Palatino Linotype"/>
          <w:i/>
          <w:sz w:val="22"/>
        </w:rPr>
      </w:pPr>
      <w:r w:rsidRPr="00D7726E">
        <w:rPr>
          <w:rFonts w:ascii="Palatino Linotype" w:eastAsia="Calibri" w:hAnsi="Palatino Linotype"/>
          <w:b/>
          <w:bCs/>
          <w:i/>
          <w:sz w:val="22"/>
        </w:rPr>
        <w:t xml:space="preserve">II. </w:t>
      </w:r>
      <w:r w:rsidRPr="00D7726E">
        <w:rPr>
          <w:rFonts w:ascii="Palatino Linotype" w:eastAsia="Calibri" w:hAnsi="Palatino Linotype"/>
          <w:i/>
          <w:sz w:val="22"/>
        </w:rPr>
        <w:t xml:space="preserve">El costo de envío, en su caso; y </w:t>
      </w:r>
    </w:p>
    <w:p w14:paraId="1313C1F0" w14:textId="77777777" w:rsidR="00D7726E" w:rsidRPr="00D7726E" w:rsidRDefault="00D7726E" w:rsidP="00D7726E">
      <w:pPr>
        <w:ind w:left="567" w:right="900"/>
        <w:contextualSpacing/>
        <w:jc w:val="both"/>
        <w:rPr>
          <w:rFonts w:ascii="Palatino Linotype" w:eastAsia="Calibri" w:hAnsi="Palatino Linotype"/>
          <w:i/>
          <w:sz w:val="22"/>
        </w:rPr>
      </w:pPr>
    </w:p>
    <w:p w14:paraId="7803DC91" w14:textId="77777777" w:rsidR="00D7726E" w:rsidRPr="00D7726E" w:rsidRDefault="00D7726E" w:rsidP="00D7726E">
      <w:pPr>
        <w:ind w:left="567" w:right="900"/>
        <w:contextualSpacing/>
        <w:jc w:val="both"/>
        <w:rPr>
          <w:rFonts w:ascii="Palatino Linotype" w:eastAsia="Calibri" w:hAnsi="Palatino Linotype"/>
          <w:i/>
          <w:sz w:val="22"/>
        </w:rPr>
      </w:pPr>
      <w:r w:rsidRPr="00D7726E">
        <w:rPr>
          <w:rFonts w:ascii="Palatino Linotype" w:eastAsia="Calibri" w:hAnsi="Palatino Linotype"/>
          <w:b/>
          <w:bCs/>
          <w:i/>
          <w:sz w:val="22"/>
        </w:rPr>
        <w:t xml:space="preserve">III. </w:t>
      </w:r>
      <w:r w:rsidRPr="00D7726E">
        <w:rPr>
          <w:rFonts w:ascii="Palatino Linotype" w:eastAsia="Calibri" w:hAnsi="Palatino Linotype"/>
          <w:i/>
          <w:sz w:val="22"/>
        </w:rPr>
        <w:t xml:space="preserve">El pago de la certificación de los documentos, cuando proceda. </w:t>
      </w:r>
    </w:p>
    <w:p w14:paraId="47319259" w14:textId="77777777" w:rsidR="00D7726E" w:rsidRPr="00D7726E" w:rsidRDefault="00D7726E" w:rsidP="00D7726E">
      <w:pPr>
        <w:ind w:left="567" w:right="900"/>
        <w:contextualSpacing/>
        <w:jc w:val="both"/>
        <w:rPr>
          <w:rFonts w:ascii="Palatino Linotype" w:eastAsia="Calibri" w:hAnsi="Palatino Linotype"/>
          <w:i/>
          <w:sz w:val="22"/>
        </w:rPr>
      </w:pPr>
    </w:p>
    <w:p w14:paraId="53C83AEB" w14:textId="77777777" w:rsidR="00D7726E" w:rsidRPr="00D7726E" w:rsidRDefault="00D7726E" w:rsidP="00D7726E">
      <w:pPr>
        <w:ind w:left="567" w:right="900"/>
        <w:contextualSpacing/>
        <w:jc w:val="both"/>
        <w:rPr>
          <w:rFonts w:ascii="Palatino Linotype" w:eastAsia="Calibri" w:hAnsi="Palatino Linotype"/>
          <w:i/>
          <w:sz w:val="22"/>
        </w:rPr>
      </w:pPr>
      <w:r w:rsidRPr="00D7726E">
        <w:rPr>
          <w:rFonts w:ascii="Palatino Linotype" w:eastAsia="Calibri" w:hAnsi="Palatino Linotype"/>
          <w:i/>
          <w:sz w:val="22"/>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14:paraId="43893A5D" w14:textId="77777777" w:rsidR="00D7726E" w:rsidRPr="00D7726E" w:rsidRDefault="00D7726E" w:rsidP="00D7726E">
      <w:pPr>
        <w:ind w:left="567" w:right="900"/>
        <w:contextualSpacing/>
        <w:jc w:val="both"/>
        <w:rPr>
          <w:rFonts w:ascii="Palatino Linotype" w:eastAsia="Calibri" w:hAnsi="Palatino Linotype"/>
          <w:i/>
          <w:sz w:val="22"/>
        </w:rPr>
      </w:pPr>
      <w:r w:rsidRPr="00D7726E">
        <w:rPr>
          <w:rFonts w:ascii="Palatino Linotype" w:eastAsia="Calibri" w:hAnsi="Palatino Linotype"/>
          <w:i/>
          <w:sz w:val="22"/>
        </w:rPr>
        <w:t xml:space="preserve">Los sujetos obligados a los que no les sea aplicable el Código Financiero del Estado de México y Municipios deberán establecer cuotas que no sean mayores a las dispuestas en dicho ordenamiento. </w:t>
      </w:r>
    </w:p>
    <w:p w14:paraId="66DCD2C6" w14:textId="284275A2" w:rsidR="00D7726E" w:rsidRDefault="00D7726E" w:rsidP="00D7726E">
      <w:pPr>
        <w:ind w:left="567" w:right="900"/>
        <w:contextualSpacing/>
        <w:jc w:val="both"/>
        <w:rPr>
          <w:rFonts w:ascii="Palatino Linotype" w:eastAsia="Calibri" w:hAnsi="Palatino Linotype"/>
          <w:i/>
          <w:sz w:val="22"/>
        </w:rPr>
      </w:pPr>
      <w:r w:rsidRPr="00824C49">
        <w:rPr>
          <w:rFonts w:ascii="Palatino Linotype" w:eastAsia="Calibri" w:hAnsi="Palatino Linotype"/>
          <w:b/>
          <w:i/>
          <w:sz w:val="22"/>
          <w:u w:val="single"/>
        </w:rPr>
        <w:t>La información deberá ser entregada sin costo, cuando implique la entrega de no más de veinte hojas simples.</w:t>
      </w:r>
      <w:r w:rsidRPr="00D7726E">
        <w:rPr>
          <w:rFonts w:ascii="Palatino Linotype" w:eastAsia="Calibri" w:hAnsi="Palatino Linotype"/>
          <w:i/>
          <w:sz w:val="22"/>
        </w:rPr>
        <w:t xml:space="preserve"> Las unidades de transparencia podrán exceptuar el pago de reproducción y envío atendiendo a las circunstancias socioeconómicas del solicitante, en términos de los lineamientos que expida el Instituto.</w:t>
      </w:r>
      <w:r w:rsidR="00824C49">
        <w:rPr>
          <w:rFonts w:ascii="Palatino Linotype" w:eastAsia="Calibri" w:hAnsi="Palatino Linotype"/>
          <w:i/>
          <w:sz w:val="22"/>
        </w:rPr>
        <w:t>”</w:t>
      </w:r>
    </w:p>
    <w:p w14:paraId="18A79F98" w14:textId="25B29A53" w:rsidR="00824C49" w:rsidRPr="00824C49" w:rsidRDefault="00824C49" w:rsidP="00D7726E">
      <w:pPr>
        <w:ind w:left="567" w:right="900"/>
        <w:contextualSpacing/>
        <w:jc w:val="both"/>
        <w:rPr>
          <w:rFonts w:ascii="Palatino Linotype" w:eastAsia="Calibri" w:hAnsi="Palatino Linotype"/>
          <w:i/>
          <w:sz w:val="22"/>
        </w:rPr>
      </w:pPr>
      <w:r w:rsidRPr="00824C49">
        <w:rPr>
          <w:rFonts w:ascii="Palatino Linotype" w:eastAsia="Calibri" w:hAnsi="Palatino Linotype"/>
          <w:i/>
          <w:sz w:val="22"/>
        </w:rPr>
        <w:t>(Énfasis añadido)</w:t>
      </w:r>
    </w:p>
    <w:p w14:paraId="2671C76B" w14:textId="77777777" w:rsidR="00D7726E" w:rsidRDefault="00D7726E" w:rsidP="00186837">
      <w:pPr>
        <w:spacing w:line="360" w:lineRule="auto"/>
        <w:contextualSpacing/>
        <w:jc w:val="both"/>
        <w:rPr>
          <w:rFonts w:ascii="Palatino Linotype" w:eastAsia="Calibri" w:hAnsi="Palatino Linotype"/>
        </w:rPr>
      </w:pPr>
    </w:p>
    <w:p w14:paraId="5D08E0E8" w14:textId="01D2077B" w:rsidR="00D7726E" w:rsidRPr="00824C49" w:rsidRDefault="00D7726E" w:rsidP="00544B0C">
      <w:pPr>
        <w:spacing w:line="360" w:lineRule="auto"/>
        <w:contextualSpacing/>
        <w:jc w:val="both"/>
        <w:rPr>
          <w:rFonts w:ascii="Palatino Linotype" w:eastAsia="Calibri" w:hAnsi="Palatino Linotype"/>
        </w:rPr>
      </w:pPr>
      <w:r>
        <w:rPr>
          <w:rFonts w:ascii="Palatino Linotype" w:eastAsia="Calibri" w:hAnsi="Palatino Linotype"/>
        </w:rPr>
        <w:t xml:space="preserve">De ahí que resulte procedente que para el caso en el que se proporcionen las copias certificadas a la Recurrente, </w:t>
      </w:r>
      <w:r w:rsidRPr="00824C49">
        <w:rPr>
          <w:rFonts w:ascii="Palatino Linotype" w:eastAsia="Calibri" w:hAnsi="Palatino Linotype"/>
          <w:b/>
        </w:rPr>
        <w:t xml:space="preserve">deberán </w:t>
      </w:r>
      <w:r w:rsidR="00824C49">
        <w:rPr>
          <w:rFonts w:ascii="Palatino Linotype" w:eastAsia="Calibri" w:hAnsi="Palatino Linotype"/>
          <w:b/>
        </w:rPr>
        <w:t xml:space="preserve">actuar en observancia al precepto legal citado y </w:t>
      </w:r>
      <w:r w:rsidRPr="00824C49">
        <w:rPr>
          <w:rFonts w:ascii="Palatino Linotype" w:eastAsia="Calibri" w:hAnsi="Palatino Linotype"/>
          <w:b/>
        </w:rPr>
        <w:t xml:space="preserve">otorgar las primeras </w:t>
      </w:r>
      <w:r w:rsidR="00824C49">
        <w:rPr>
          <w:rFonts w:ascii="Palatino Linotype" w:eastAsia="Calibri" w:hAnsi="Palatino Linotype"/>
          <w:b/>
        </w:rPr>
        <w:t xml:space="preserve">veinte fojas de manera gratuita, </w:t>
      </w:r>
      <w:r w:rsidR="00824C49">
        <w:rPr>
          <w:rFonts w:ascii="Palatino Linotype" w:eastAsia="Calibri" w:hAnsi="Palatino Linotype"/>
        </w:rPr>
        <w:t>por lo que únicamente los solicitantes cubrirán el resto de las fojas si así lo tuviere el documento.</w:t>
      </w:r>
    </w:p>
    <w:p w14:paraId="409397EB" w14:textId="77777777" w:rsidR="00D7726E" w:rsidRDefault="00D7726E" w:rsidP="00544B0C">
      <w:pPr>
        <w:spacing w:line="360" w:lineRule="auto"/>
        <w:contextualSpacing/>
        <w:jc w:val="both"/>
        <w:rPr>
          <w:rFonts w:ascii="Palatino Linotype" w:eastAsia="Calibri" w:hAnsi="Palatino Linotype"/>
        </w:rPr>
      </w:pPr>
    </w:p>
    <w:p w14:paraId="71D38B0B" w14:textId="49A2C61C" w:rsidR="00544B0C" w:rsidRPr="00544B0C" w:rsidRDefault="00544B0C" w:rsidP="00544B0C">
      <w:pPr>
        <w:spacing w:line="360" w:lineRule="auto"/>
        <w:contextualSpacing/>
        <w:jc w:val="both"/>
        <w:rPr>
          <w:rFonts w:ascii="Palatino Linotype" w:eastAsia="Calibri" w:hAnsi="Palatino Linotype"/>
          <w:lang w:val="es-ES"/>
        </w:rPr>
      </w:pPr>
      <w:r w:rsidRPr="00544B0C">
        <w:rPr>
          <w:rFonts w:ascii="Palatino Linotype" w:eastAsia="Calibri" w:hAnsi="Palatino Linotype"/>
        </w:rPr>
        <w:t xml:space="preserve">Precisado lo anterior, </w:t>
      </w:r>
      <w:r w:rsidRPr="00544B0C">
        <w:rPr>
          <w:rFonts w:ascii="Palatino Linotype" w:eastAsia="Calibri" w:hAnsi="Palatino Linotype"/>
          <w:lang w:val="es-ES"/>
        </w:rPr>
        <w:t xml:space="preserve">por lo que hace a las causas de sobreseimiento contenidas en la fracción III del artículo 192 de la </w:t>
      </w:r>
      <w:r w:rsidRPr="00544B0C">
        <w:rPr>
          <w:rFonts w:ascii="Palatino Linotype" w:eastAsia="Calibri" w:hAnsi="Palatino Linotype"/>
          <w:b/>
          <w:lang w:val="es-ES"/>
        </w:rPr>
        <w:t>Ley de Transparencia y Acceso a la Información Pública del Estado de México y Municipios</w:t>
      </w:r>
      <w:r w:rsidRPr="00544B0C">
        <w:rPr>
          <w:rFonts w:ascii="Palatino Linotype" w:eastAsia="Calibri" w:hAnsi="Palatino Linotype"/>
          <w:lang w:val="es-ES"/>
        </w:rPr>
        <w:t xml:space="preserve">, es oportuno señalar que estos requisitos privilegian la existencia de elementos de fondo, tales como el desistimiento o fallecimiento del </w:t>
      </w:r>
      <w:r w:rsidRPr="00544B0C">
        <w:rPr>
          <w:rFonts w:ascii="Palatino Linotype" w:eastAsia="Calibri" w:hAnsi="Palatino Linotype"/>
          <w:b/>
          <w:lang w:val="es-ES"/>
        </w:rPr>
        <w:t>RECURRENTE</w:t>
      </w:r>
      <w:r w:rsidRPr="00544B0C">
        <w:rPr>
          <w:rFonts w:ascii="Palatino Linotype" w:eastAsia="Calibri" w:hAnsi="Palatino Linotype"/>
          <w:lang w:val="es-ES"/>
        </w:rPr>
        <w:t xml:space="preserve"> o que el </w:t>
      </w:r>
      <w:r w:rsidRPr="00544B0C">
        <w:rPr>
          <w:rFonts w:ascii="Palatino Linotype" w:eastAsia="Calibri" w:hAnsi="Palatino Linotype"/>
          <w:b/>
          <w:lang w:val="es-ES"/>
        </w:rPr>
        <w:t>SUJETO OBLIGADO</w:t>
      </w:r>
      <w:r w:rsidRPr="00544B0C">
        <w:rPr>
          <w:rFonts w:ascii="Palatino Linotype" w:eastAsia="Calibri" w:hAnsi="Palatino Linotype"/>
          <w:lang w:val="es-ES"/>
        </w:rPr>
        <w:t xml:space="preserve"> </w:t>
      </w:r>
      <w:r w:rsidRPr="00544B0C">
        <w:rPr>
          <w:rFonts w:ascii="Palatino Linotype" w:eastAsia="Calibri" w:hAnsi="Palatino Linotype"/>
          <w:b/>
          <w:u w:val="single"/>
          <w:lang w:val="es-ES"/>
        </w:rPr>
        <w:lastRenderedPageBreak/>
        <w:t>modifique o revoque el acto</w:t>
      </w:r>
      <w:r w:rsidRPr="00544B0C">
        <w:rPr>
          <w:rFonts w:ascii="Palatino Linotype" w:eastAsia="Calibri" w:hAnsi="Palatino Linotype"/>
          <w:lang w:val="es-ES"/>
        </w:rPr>
        <w:t>; de ahí que la actualización de alguno de éstos trae como consecuencia que el medio de impugnación se concluya sin que se analice el objeto de estudio planteado, es decir se sobresea.</w:t>
      </w:r>
    </w:p>
    <w:p w14:paraId="5B8A26EC" w14:textId="3FAC4D41" w:rsidR="00544B0C" w:rsidRPr="00544B0C" w:rsidRDefault="00544B0C" w:rsidP="00544B0C">
      <w:pPr>
        <w:spacing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Para los efectos de esta resolución, es oportuno precisar los alcances jurídicos de la fracción III de la disposición legal transcrita. Así, procede el sobreseimiento del recurso de revisión cuando el </w:t>
      </w:r>
      <w:r w:rsidRPr="00544B0C">
        <w:rPr>
          <w:rFonts w:ascii="Palatino Linotype" w:eastAsia="Calibri" w:hAnsi="Palatino Linotype"/>
          <w:b/>
          <w:lang w:val="es-ES"/>
        </w:rPr>
        <w:t>SUJETO OBLIGADO</w:t>
      </w:r>
      <w:r w:rsidRPr="00544B0C">
        <w:rPr>
          <w:rFonts w:ascii="Palatino Linotype" w:eastAsia="Calibri" w:hAnsi="Palatino Linotype"/>
          <w:lang w:val="es-ES"/>
        </w:rPr>
        <w:t>:</w:t>
      </w:r>
    </w:p>
    <w:p w14:paraId="5E04045F" w14:textId="5262CBC7" w:rsidR="00544B0C" w:rsidRPr="00544B0C" w:rsidRDefault="00544B0C" w:rsidP="00544B0C">
      <w:pPr>
        <w:spacing w:line="360" w:lineRule="auto"/>
        <w:contextualSpacing/>
        <w:jc w:val="both"/>
        <w:rPr>
          <w:rFonts w:ascii="Palatino Linotype" w:eastAsia="Calibri" w:hAnsi="Palatino Linotype"/>
          <w:lang w:val="es-ES"/>
        </w:rPr>
      </w:pPr>
    </w:p>
    <w:p w14:paraId="5B28AC24" w14:textId="58C7CD1E" w:rsidR="00544B0C" w:rsidRPr="00544B0C" w:rsidRDefault="00544B0C" w:rsidP="00544B0C">
      <w:pPr>
        <w:numPr>
          <w:ilvl w:val="0"/>
          <w:numId w:val="15"/>
        </w:numPr>
        <w:spacing w:line="360" w:lineRule="auto"/>
        <w:ind w:right="616"/>
        <w:contextualSpacing/>
        <w:jc w:val="both"/>
        <w:rPr>
          <w:rFonts w:ascii="Palatino Linotype" w:hAnsi="Palatino Linotype" w:cs="Arial"/>
          <w:sz w:val="22"/>
          <w:szCs w:val="22"/>
          <w:lang w:eastAsia="en-US"/>
        </w:rPr>
      </w:pPr>
      <w:r w:rsidRPr="00544B0C">
        <w:rPr>
          <w:rFonts w:ascii="Palatino Linotype" w:hAnsi="Palatino Linotype" w:cs="Arial"/>
          <w:b/>
          <w:sz w:val="22"/>
          <w:szCs w:val="22"/>
          <w:lang w:eastAsia="en-US"/>
        </w:rPr>
        <w:t>Modifique el acto impugnado:</w:t>
      </w:r>
      <w:r w:rsidRPr="00544B0C">
        <w:rPr>
          <w:rFonts w:ascii="Palatino Linotype" w:hAnsi="Palatino Linotype" w:cs="Arial"/>
          <w:sz w:val="22"/>
          <w:szCs w:val="22"/>
          <w:lang w:eastAsia="en-US"/>
        </w:rPr>
        <w:t xml:space="preserve"> Se actualiza cuando el </w:t>
      </w:r>
      <w:r w:rsidRPr="00544B0C">
        <w:rPr>
          <w:rFonts w:ascii="Palatino Linotype" w:hAnsi="Palatino Linotype" w:cs="Arial"/>
          <w:b/>
          <w:sz w:val="22"/>
          <w:szCs w:val="22"/>
          <w:lang w:eastAsia="en-US"/>
        </w:rPr>
        <w:t>SUJETO OBLIGADO</w:t>
      </w:r>
      <w:r w:rsidRPr="00544B0C">
        <w:rPr>
          <w:rFonts w:ascii="Palatino Linotype" w:hAnsi="Palatino Linotype" w:cs="Arial"/>
          <w:sz w:val="22"/>
          <w:szCs w:val="22"/>
          <w:lang w:eastAsia="en-US"/>
        </w:rPr>
        <w:t xml:space="preserve"> después de haber otorgado una respuesta y hasta antes de dictada la resolución del recurso de revisión, emite una diversa en la que subsane las deficiencias que hubiera tenido.</w:t>
      </w:r>
    </w:p>
    <w:p w14:paraId="4260D60B" w14:textId="77777777" w:rsidR="00544B0C" w:rsidRPr="00544B0C" w:rsidRDefault="00544B0C" w:rsidP="00544B0C">
      <w:pPr>
        <w:numPr>
          <w:ilvl w:val="0"/>
          <w:numId w:val="15"/>
        </w:numPr>
        <w:spacing w:line="360" w:lineRule="auto"/>
        <w:ind w:right="616"/>
        <w:contextualSpacing/>
        <w:jc w:val="both"/>
        <w:rPr>
          <w:rFonts w:ascii="Palatino Linotype" w:hAnsi="Palatino Linotype" w:cs="Arial"/>
          <w:sz w:val="22"/>
          <w:szCs w:val="22"/>
          <w:lang w:eastAsia="en-US"/>
        </w:rPr>
      </w:pPr>
      <w:r w:rsidRPr="00544B0C">
        <w:rPr>
          <w:rFonts w:ascii="Palatino Linotype" w:hAnsi="Palatino Linotype" w:cs="Arial"/>
          <w:b/>
          <w:sz w:val="22"/>
          <w:szCs w:val="22"/>
          <w:lang w:eastAsia="en-US"/>
        </w:rPr>
        <w:t>Revoque el acto impugnado:</w:t>
      </w:r>
      <w:r w:rsidRPr="00544B0C">
        <w:rPr>
          <w:rFonts w:ascii="Palatino Linotype" w:hAnsi="Palatino Linotype" w:cs="Arial"/>
          <w:sz w:val="22"/>
          <w:szCs w:val="22"/>
          <w:lang w:eastAsia="en-US"/>
        </w:rPr>
        <w:t xml:space="preserve"> En este supuesto, el </w:t>
      </w:r>
      <w:r w:rsidRPr="00544B0C">
        <w:rPr>
          <w:rFonts w:ascii="Palatino Linotype" w:hAnsi="Palatino Linotype" w:cs="Arial"/>
          <w:b/>
          <w:sz w:val="22"/>
          <w:szCs w:val="22"/>
          <w:lang w:eastAsia="en-US"/>
        </w:rPr>
        <w:t>SUJETO OBLIGADO</w:t>
      </w:r>
      <w:r w:rsidRPr="00544B0C">
        <w:rPr>
          <w:rFonts w:ascii="Palatino Linotype" w:hAnsi="Palatino Linotype" w:cs="Arial"/>
          <w:sz w:val="22"/>
          <w:szCs w:val="22"/>
          <w:lang w:eastAsia="en-US"/>
        </w:rPr>
        <w:t xml:space="preserve"> deja sin efectos la primera respuesta y en su lugar emite otra que satisfaga lo solicitado por el particular en un primer momento.</w:t>
      </w:r>
    </w:p>
    <w:p w14:paraId="18002C3B" w14:textId="77777777" w:rsidR="00544B0C" w:rsidRPr="00544B0C" w:rsidRDefault="00544B0C" w:rsidP="00544B0C">
      <w:pPr>
        <w:spacing w:line="360" w:lineRule="auto"/>
        <w:ind w:right="616"/>
        <w:contextualSpacing/>
        <w:jc w:val="both"/>
        <w:rPr>
          <w:rFonts w:ascii="Palatino Linotype" w:hAnsi="Palatino Linotype" w:cs="Arial"/>
          <w:lang w:val="es-ES"/>
        </w:rPr>
      </w:pPr>
    </w:p>
    <w:p w14:paraId="59AD8ACE"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71B2E397"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En el presente asunto, se advierte que el </w:t>
      </w:r>
      <w:r w:rsidRPr="00544B0C">
        <w:rPr>
          <w:rFonts w:ascii="Palatino Linotype" w:eastAsia="Calibri" w:hAnsi="Palatino Linotype"/>
          <w:b/>
          <w:lang w:val="es-ES"/>
        </w:rPr>
        <w:t>SUJETO OBLIGADO</w:t>
      </w:r>
      <w:r w:rsidRPr="00544B0C">
        <w:rPr>
          <w:rFonts w:ascii="Palatino Linotype" w:eastAsia="Calibri" w:hAnsi="Palatino Linotype"/>
          <w:lang w:val="es-ES"/>
        </w:rPr>
        <w:t xml:space="preserve"> con la información enviada a través del informe justificado, </w:t>
      </w:r>
      <w:r w:rsidRPr="00544B0C">
        <w:rPr>
          <w:rFonts w:ascii="Palatino Linotype" w:eastAsia="Calibri" w:hAnsi="Palatino Linotype"/>
          <w:b/>
          <w:lang w:val="es-ES"/>
        </w:rPr>
        <w:t>modifica</w:t>
      </w:r>
      <w:r w:rsidRPr="00544B0C">
        <w:rPr>
          <w:rFonts w:ascii="Palatino Linotype" w:eastAsia="Calibri" w:hAnsi="Palatino Linotype"/>
          <w:lang w:val="es-ES"/>
        </w:rPr>
        <w:t xml:space="preserve"> el acto que le dio origen al recurso de revisión, lo que trae como consecuencia que el mismo quede sin materia, actualizándose de este modo, la hipótesis jurídica contenida en la fracción III del </w:t>
      </w:r>
      <w:r w:rsidRPr="00544B0C">
        <w:rPr>
          <w:rFonts w:ascii="Palatino Linotype" w:eastAsia="Calibri" w:hAnsi="Palatino Linotype"/>
          <w:lang w:val="es-ES"/>
        </w:rPr>
        <w:lastRenderedPageBreak/>
        <w:t>citado artículo; esto es así pues la información remitida por este proporciona la información que le fue solicitada.</w:t>
      </w:r>
    </w:p>
    <w:p w14:paraId="76D20120"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En el particular, el Sujeto Obligado al momento de rendir su informe justificado, proporciono información novedosa, misma que contiene argumentos por más idóneos, pertinentes y suficientes para tener por atendido el derecho de acceso a la información ejercido por el particular.</w:t>
      </w:r>
    </w:p>
    <w:p w14:paraId="2A95D10E"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p>
    <w:p w14:paraId="203C26FF"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MS Mincho" w:hAnsi="Palatino Linotype"/>
          <w:lang w:val="es-ES"/>
        </w:rPr>
        <w:t xml:space="preserve">Por </w:t>
      </w:r>
      <w:r w:rsidRPr="00544B0C">
        <w:rPr>
          <w:rFonts w:ascii="Palatino Linotype" w:hAnsi="Palatino Linotype"/>
          <w:lang w:val="es-ES"/>
        </w:rPr>
        <w:t>consiguiente</w:t>
      </w:r>
      <w:r w:rsidRPr="00544B0C">
        <w:rPr>
          <w:rFonts w:ascii="Palatino Linotype" w:eastAsia="MS Mincho" w:hAnsi="Palatino Linotype"/>
          <w:lang w:val="es-ES"/>
        </w:rPr>
        <w:t xml:space="preserve">, con lo remitido por el </w:t>
      </w:r>
      <w:r w:rsidRPr="00544B0C">
        <w:rPr>
          <w:rFonts w:ascii="Palatino Linotype" w:eastAsia="MS Mincho" w:hAnsi="Palatino Linotype"/>
          <w:b/>
          <w:lang w:val="es-ES"/>
        </w:rPr>
        <w:t xml:space="preserve">SUJETO OBLIGADO </w:t>
      </w:r>
      <w:r w:rsidRPr="00544B0C">
        <w:rPr>
          <w:rFonts w:ascii="Palatino Linotype" w:eastAsia="MS Mincho" w:hAnsi="Palatino Linotype"/>
          <w:lang w:val="es-ES"/>
        </w:rPr>
        <w:t xml:space="preserve">se tiene por colmado el presente recurso de </w:t>
      </w:r>
      <w:r w:rsidRPr="00544B0C">
        <w:rPr>
          <w:rFonts w:ascii="Palatino Linotype" w:hAnsi="Palatino Linotype" w:cs="Arial"/>
          <w:lang w:val="es-ES" w:eastAsia="es-MX"/>
        </w:rPr>
        <w:t>revisión</w:t>
      </w:r>
      <w:r w:rsidRPr="00544B0C">
        <w:rPr>
          <w:rFonts w:ascii="Palatino Linotype" w:eastAsia="MS Mincho" w:hAnsi="Palatino Linotype"/>
          <w:lang w:val="es-ES"/>
        </w:rPr>
        <w:t>, al atender lo requerido a</w:t>
      </w:r>
      <w:r w:rsidRPr="00544B0C">
        <w:rPr>
          <w:rFonts w:ascii="Palatino Linotype" w:hAnsi="Palatino Linotype"/>
          <w:lang w:val="es-ES"/>
        </w:rPr>
        <w:t xml:space="preserve">tento a lo anterior, se tiene que, al haber existido un </w:t>
      </w:r>
      <w:r w:rsidRPr="00544B0C">
        <w:rPr>
          <w:rFonts w:ascii="Palatino Linotype" w:hAnsi="Palatino Linotype" w:cs="Arial"/>
          <w:lang w:val="es-ES"/>
        </w:rPr>
        <w:t>pronunciamiento</w:t>
      </w:r>
      <w:r w:rsidRPr="00544B0C">
        <w:rPr>
          <w:rFonts w:ascii="Palatino Linotype" w:hAnsi="Palatino Linotype"/>
          <w:lang w:val="es-ES"/>
        </w:rPr>
        <w:t xml:space="preserve"> por parte del </w:t>
      </w:r>
      <w:r w:rsidRPr="00544B0C">
        <w:rPr>
          <w:rFonts w:ascii="Palatino Linotype" w:eastAsia="MS Mincho" w:hAnsi="Palatino Linotype"/>
          <w:b/>
          <w:lang w:val="es-ES"/>
        </w:rPr>
        <w:t>SUJETO OBLIGADO</w:t>
      </w:r>
      <w:r w:rsidRPr="00544B0C">
        <w:rPr>
          <w:rFonts w:ascii="Palatino Linotype" w:hAnsi="Palatino Linotype"/>
          <w:b/>
          <w:lang w:val="es-ES"/>
        </w:rPr>
        <w:t xml:space="preserve"> </w:t>
      </w:r>
      <w:r w:rsidRPr="00544B0C">
        <w:rPr>
          <w:rFonts w:ascii="Palatino Linotype" w:hAnsi="Palatino Linotype"/>
          <w:lang w:val="es-ES"/>
        </w:rPr>
        <w:t>para dar respuesta a la solicitud de información, este Instituto concluye que se atiende la solicitud de información del Recurrente</w:t>
      </w:r>
    </w:p>
    <w:p w14:paraId="3EB0D6FC"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544B0C">
        <w:rPr>
          <w:rFonts w:ascii="Palatino Linotype" w:eastAsia="Calibri" w:hAnsi="Palatino Linotype"/>
          <w:b/>
          <w:lang w:val="es-ES"/>
        </w:rPr>
        <w:t>SUJETOS OBLIGADOS</w:t>
      </w:r>
      <w:r w:rsidRPr="00544B0C">
        <w:rPr>
          <w:rFonts w:ascii="Palatino Linotype" w:eastAsia="Calibri" w:hAnsi="Palatino Linotype"/>
          <w:lang w:val="es-ES"/>
        </w:rPr>
        <w:t xml:space="preserve"> o la negativa de entrega de la misma, derivada de la solicitud de información pública.</w:t>
      </w:r>
    </w:p>
    <w:p w14:paraId="21344CED"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De este modo, cuando el </w:t>
      </w:r>
      <w:r w:rsidRPr="00544B0C">
        <w:rPr>
          <w:rFonts w:ascii="Palatino Linotype" w:eastAsia="Calibri" w:hAnsi="Palatino Linotype"/>
          <w:b/>
          <w:lang w:val="es-ES"/>
        </w:rPr>
        <w:t xml:space="preserve">SUJETO OBLIGADO, </w:t>
      </w:r>
      <w:r w:rsidRPr="00544B0C">
        <w:rPr>
          <w:rFonts w:ascii="Palatino Linotype" w:eastAsia="Calibri" w:hAnsi="Palatino Linotype"/>
          <w:lang w:val="es-ES"/>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544B0C">
        <w:rPr>
          <w:rFonts w:ascii="Palatino Linotype" w:eastAsia="Calibri" w:hAnsi="Palatino Linotype"/>
          <w:i/>
          <w:lang w:val="es-ES"/>
        </w:rPr>
        <w:t>litis</w:t>
      </w:r>
      <w:r w:rsidRPr="00544B0C">
        <w:rPr>
          <w:rFonts w:ascii="Palatino Linotype" w:eastAsia="Calibri" w:hAnsi="Palatino Linotype"/>
          <w:lang w:val="es-ES"/>
        </w:rPr>
        <w:t xml:space="preserve"> planteada, debido a que la afectación en su esfera de derechos fue restituida por la propia autoridad que emitió el acto motivo de impugnación.</w:t>
      </w:r>
    </w:p>
    <w:p w14:paraId="6E77EF98"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lastRenderedPageBreak/>
        <w:t>Sirve de sustento a lo anterior la siguiente jurisprudencia por contradicción, cuyo rubro, texto y datos de identificación son los siguientes:</w:t>
      </w:r>
    </w:p>
    <w:p w14:paraId="0A2F8FB6" w14:textId="77777777" w:rsidR="00544B0C" w:rsidRPr="00544B0C" w:rsidRDefault="00544B0C" w:rsidP="00544B0C">
      <w:pPr>
        <w:ind w:left="851" w:right="851"/>
        <w:contextualSpacing/>
        <w:jc w:val="both"/>
        <w:rPr>
          <w:rFonts w:ascii="Palatino Linotype" w:eastAsia="Calibri" w:hAnsi="Palatino Linotype"/>
          <w:lang w:val="es-ES"/>
        </w:rPr>
      </w:pPr>
    </w:p>
    <w:p w14:paraId="5DA8E566" w14:textId="77777777" w:rsidR="00544B0C" w:rsidRPr="00544B0C" w:rsidRDefault="00544B0C" w:rsidP="00544B0C">
      <w:pPr>
        <w:ind w:left="851" w:right="851"/>
        <w:contextualSpacing/>
        <w:jc w:val="both"/>
        <w:rPr>
          <w:rFonts w:ascii="Palatino Linotype" w:eastAsia="Calibri" w:hAnsi="Palatino Linotype"/>
          <w:i/>
          <w:sz w:val="22"/>
          <w:lang w:val="es-ES"/>
        </w:rPr>
      </w:pPr>
      <w:r w:rsidRPr="00544B0C">
        <w:rPr>
          <w:rFonts w:ascii="Palatino Linotype" w:eastAsia="Calibri" w:hAnsi="Palatino Linotype"/>
          <w:b/>
          <w:i/>
          <w:sz w:val="22"/>
          <w:lang w:val="es-ES"/>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544B0C">
        <w:rPr>
          <w:rFonts w:ascii="Palatino Linotype" w:eastAsia="Calibri" w:hAnsi="Palatino Linotype"/>
          <w:i/>
          <w:sz w:val="22"/>
          <w:lang w:val="es-ES"/>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3375614F" w14:textId="77777777" w:rsidR="00544B0C" w:rsidRPr="00544B0C" w:rsidRDefault="00544B0C" w:rsidP="00544B0C">
      <w:pPr>
        <w:spacing w:line="360" w:lineRule="auto"/>
        <w:ind w:left="708"/>
        <w:contextualSpacing/>
        <w:jc w:val="both"/>
        <w:rPr>
          <w:rFonts w:ascii="Palatino Linotype" w:eastAsia="Calibri" w:hAnsi="Palatino Linotype"/>
          <w:i/>
          <w:lang w:val="es-ES"/>
        </w:rPr>
      </w:pPr>
    </w:p>
    <w:p w14:paraId="3922D2B7" w14:textId="77777777" w:rsidR="00544B0C" w:rsidRPr="00544B0C" w:rsidRDefault="00544B0C" w:rsidP="00544B0C">
      <w:pPr>
        <w:spacing w:line="360" w:lineRule="auto"/>
        <w:contextualSpacing/>
        <w:jc w:val="both"/>
        <w:rPr>
          <w:rFonts w:ascii="Palatino Linotype" w:eastAsia="Calibri" w:hAnsi="Palatino Linotype"/>
          <w:lang w:val="es-ES"/>
        </w:rPr>
      </w:pPr>
      <w:r w:rsidRPr="00544B0C">
        <w:rPr>
          <w:rFonts w:ascii="Palatino Linotype" w:eastAsia="Calibri" w:hAnsi="Palatino Linotype"/>
          <w:lang w:val="es-ES"/>
        </w:rPr>
        <w:t>La anterior jurisprudencia resulta aplicable al presente asunto, en dos aspectos:</w:t>
      </w:r>
    </w:p>
    <w:p w14:paraId="07FA871B" w14:textId="77777777" w:rsidR="00544B0C" w:rsidRPr="00544B0C" w:rsidRDefault="00544B0C" w:rsidP="00544B0C">
      <w:pPr>
        <w:spacing w:line="360" w:lineRule="auto"/>
        <w:ind w:left="426"/>
        <w:contextualSpacing/>
        <w:jc w:val="both"/>
        <w:rPr>
          <w:rFonts w:ascii="Palatino Linotype" w:eastAsia="Calibri" w:hAnsi="Palatino Linotype"/>
          <w:sz w:val="28"/>
          <w:lang w:val="es-ES"/>
        </w:rPr>
      </w:pPr>
    </w:p>
    <w:p w14:paraId="311DDB5F" w14:textId="77777777" w:rsidR="00544B0C" w:rsidRPr="00544B0C" w:rsidRDefault="00544B0C" w:rsidP="0092322B">
      <w:pPr>
        <w:numPr>
          <w:ilvl w:val="0"/>
          <w:numId w:val="16"/>
        </w:numPr>
        <w:spacing w:line="360" w:lineRule="auto"/>
        <w:ind w:left="567" w:right="900" w:hanging="141"/>
        <w:contextualSpacing/>
        <w:jc w:val="both"/>
        <w:rPr>
          <w:rFonts w:ascii="Palatino Linotype" w:eastAsia="Calibri" w:hAnsi="Palatino Linotype"/>
          <w:sz w:val="22"/>
          <w:szCs w:val="22"/>
          <w:lang w:eastAsia="en-US"/>
        </w:rPr>
      </w:pPr>
      <w:r w:rsidRPr="00544B0C">
        <w:rPr>
          <w:rFonts w:ascii="Palatino Linotype" w:eastAsia="Calibri" w:hAnsi="Palatino Linotype"/>
          <w:b/>
          <w:sz w:val="22"/>
          <w:szCs w:val="22"/>
          <w:lang w:eastAsia="en-US"/>
        </w:rPr>
        <w:t>La cesación de los efectos perniciosos del acto de autoridad:</w:t>
      </w:r>
      <w:r w:rsidRPr="00544B0C">
        <w:rPr>
          <w:rFonts w:ascii="Palatino Linotype" w:eastAsia="Calibri" w:hAnsi="Palatino Linotype"/>
          <w:sz w:val="22"/>
          <w:szCs w:val="22"/>
          <w:lang w:eastAsia="en-US"/>
        </w:rPr>
        <w:t xml:space="preserve"> Al respecto, la Ley de Transparencia contempla la figura jurídica del sobreseimiento cuando el </w:t>
      </w:r>
      <w:r w:rsidRPr="00544B0C">
        <w:rPr>
          <w:rFonts w:ascii="Palatino Linotype" w:eastAsia="Calibri" w:hAnsi="Palatino Linotype"/>
          <w:b/>
          <w:sz w:val="22"/>
          <w:szCs w:val="22"/>
          <w:lang w:eastAsia="en-US"/>
        </w:rPr>
        <w:t>SUJETO OBLIGADO</w:t>
      </w:r>
      <w:r w:rsidRPr="00544B0C">
        <w:rPr>
          <w:rFonts w:ascii="Palatino Linotype" w:eastAsia="Calibri" w:hAnsi="Palatino Linotype"/>
          <w:sz w:val="22"/>
          <w:szCs w:val="22"/>
          <w:lang w:eastAsia="en-US"/>
        </w:rPr>
        <w:t xml:space="preserve"> de </w:t>
      </w:r>
      <w:r w:rsidRPr="00544B0C">
        <w:rPr>
          <w:rFonts w:ascii="Palatino Linotype" w:eastAsia="Calibri" w:hAnsi="Palatino Linotype"/>
          <w:i/>
          <w:sz w:val="22"/>
          <w:szCs w:val="22"/>
          <w:lang w:eastAsia="en-US"/>
        </w:rPr>
        <w:t>motu proprio</w:t>
      </w:r>
      <w:r w:rsidRPr="00544B0C">
        <w:rPr>
          <w:rFonts w:ascii="Palatino Linotype" w:eastAsia="Calibri" w:hAnsi="Palatino Linotype"/>
          <w:sz w:val="22"/>
          <w:szCs w:val="22"/>
          <w:lang w:eastAsia="en-US"/>
        </w:rPr>
        <w:t xml:space="preserve"> modifica o revoca de tal manera el acto motivo de la impugnación que lo deja sin materia; es decir, </w:t>
      </w:r>
      <w:r w:rsidRPr="00544B0C">
        <w:rPr>
          <w:rFonts w:ascii="Palatino Linotype" w:eastAsia="Calibri" w:hAnsi="Palatino Linotype"/>
          <w:sz w:val="22"/>
          <w:szCs w:val="22"/>
          <w:lang w:eastAsia="en-US"/>
        </w:rPr>
        <w:lastRenderedPageBreak/>
        <w:t>cesan los efectos de éste y el derecho de acceso a la información pública se encuentra satisfecho.</w:t>
      </w:r>
    </w:p>
    <w:p w14:paraId="617586B4" w14:textId="77777777" w:rsidR="00544B0C" w:rsidRPr="00544B0C" w:rsidRDefault="00544B0C" w:rsidP="0092322B">
      <w:pPr>
        <w:spacing w:line="360" w:lineRule="auto"/>
        <w:ind w:left="567" w:right="900" w:hanging="141"/>
        <w:jc w:val="both"/>
        <w:rPr>
          <w:rFonts w:ascii="Palatino Linotype" w:eastAsia="Calibri" w:hAnsi="Palatino Linotype"/>
          <w:sz w:val="22"/>
          <w:szCs w:val="22"/>
          <w:lang w:eastAsia="en-US"/>
        </w:rPr>
      </w:pPr>
    </w:p>
    <w:p w14:paraId="74BD9442" w14:textId="77777777" w:rsidR="00544B0C" w:rsidRPr="00544B0C" w:rsidRDefault="00544B0C" w:rsidP="0092322B">
      <w:pPr>
        <w:numPr>
          <w:ilvl w:val="0"/>
          <w:numId w:val="16"/>
        </w:numPr>
        <w:spacing w:line="360" w:lineRule="auto"/>
        <w:ind w:left="567" w:right="900" w:hanging="141"/>
        <w:contextualSpacing/>
        <w:jc w:val="both"/>
        <w:rPr>
          <w:rFonts w:ascii="Palatino Linotype" w:eastAsia="Calibri" w:hAnsi="Palatino Linotype"/>
          <w:sz w:val="22"/>
          <w:szCs w:val="22"/>
          <w:lang w:eastAsia="en-US"/>
        </w:rPr>
      </w:pPr>
      <w:r w:rsidRPr="00544B0C">
        <w:rPr>
          <w:rFonts w:ascii="Palatino Linotype" w:eastAsia="Calibri" w:hAnsi="Palatino Linotype"/>
          <w:b/>
          <w:sz w:val="22"/>
          <w:szCs w:val="22"/>
          <w:lang w:eastAsia="en-US"/>
        </w:rPr>
        <w:t>El momento procesal para modificar el acto impugnado:</w:t>
      </w:r>
      <w:r w:rsidRPr="00544B0C">
        <w:rPr>
          <w:rFonts w:ascii="Palatino Linotype" w:eastAsia="Calibri" w:hAnsi="Palatino Linotype"/>
          <w:sz w:val="22"/>
          <w:szCs w:val="22"/>
          <w:lang w:eastAsia="en-US"/>
        </w:rPr>
        <w:t xml:space="preserve"> Para que se actualice el sobreseimiento de un recurso de revisión, el </w:t>
      </w:r>
      <w:r w:rsidRPr="00544B0C">
        <w:rPr>
          <w:rFonts w:ascii="Palatino Linotype" w:eastAsia="Calibri" w:hAnsi="Palatino Linotype"/>
          <w:b/>
          <w:sz w:val="22"/>
          <w:szCs w:val="22"/>
          <w:lang w:eastAsia="en-US"/>
        </w:rPr>
        <w:t>SUJETO OBLIGADO</w:t>
      </w:r>
      <w:r w:rsidRPr="00544B0C">
        <w:rPr>
          <w:rFonts w:ascii="Palatino Linotype" w:eastAsia="Calibri" w:hAnsi="Palatino Linotype"/>
          <w:sz w:val="22"/>
          <w:szCs w:val="22"/>
          <w:lang w:eastAsia="en-US"/>
        </w:rPr>
        <w:t xml:space="preserve"> puede entregar o completar la información al momento de rendir su informe justificado o </w:t>
      </w:r>
      <w:r w:rsidRPr="00544B0C">
        <w:rPr>
          <w:rFonts w:ascii="Palatino Linotype" w:eastAsia="Calibri" w:hAnsi="Palatino Linotype"/>
          <w:b/>
          <w:sz w:val="22"/>
          <w:szCs w:val="22"/>
          <w:u w:val="single"/>
          <w:lang w:eastAsia="en-US"/>
        </w:rPr>
        <w:t>posteriormente</w:t>
      </w:r>
      <w:r w:rsidRPr="00544B0C">
        <w:rPr>
          <w:rFonts w:ascii="Palatino Linotype" w:eastAsia="Calibri" w:hAnsi="Palatino Linotype"/>
          <w:sz w:val="22"/>
          <w:szCs w:val="22"/>
          <w:lang w:eastAsia="en-US"/>
        </w:rPr>
        <w:t xml:space="preserve"> a éste, siempre y cuando el Pleno del Instituto no haya dictado resolución definitiva.</w:t>
      </w:r>
    </w:p>
    <w:p w14:paraId="27EDA542" w14:textId="77777777" w:rsidR="00544B0C" w:rsidRPr="00544B0C" w:rsidRDefault="00544B0C" w:rsidP="00544B0C">
      <w:pPr>
        <w:spacing w:line="360" w:lineRule="auto"/>
        <w:jc w:val="both"/>
        <w:rPr>
          <w:rFonts w:ascii="Palatino Linotype" w:eastAsia="Calibri" w:hAnsi="Palatino Linotype"/>
          <w:lang w:val="es-ES"/>
        </w:rPr>
      </w:pPr>
    </w:p>
    <w:p w14:paraId="62E9A36D"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Además, de acuerdo con el procesalista Niceto Alcalá-Zamora y Castillo en su obra </w:t>
      </w:r>
      <w:r w:rsidRPr="00544B0C">
        <w:rPr>
          <w:rFonts w:ascii="Palatino Linotype" w:eastAsia="Calibri" w:hAnsi="Palatino Linotype"/>
          <w:i/>
          <w:lang w:val="es-ES"/>
        </w:rPr>
        <w:t>“Cuestiones de Terminología Procesal”</w:t>
      </w:r>
      <w:r w:rsidRPr="00544B0C">
        <w:rPr>
          <w:rFonts w:ascii="Palatino Linotype" w:eastAsia="Calibri" w:hAnsi="Palatino Linotype"/>
          <w:lang w:val="es-ES"/>
        </w:rPr>
        <w:t xml:space="preserve">, el sobreseimiento es </w:t>
      </w:r>
      <w:r w:rsidRPr="00544B0C">
        <w:rPr>
          <w:rFonts w:ascii="Palatino Linotype" w:eastAsia="Calibri" w:hAnsi="Palatino Linotype"/>
          <w:i/>
          <w:lang w:val="es-ES"/>
        </w:rPr>
        <w:t>“... una resolución en forma de auto, que produce la suspensión indefinida del procedimiento penal, o que pone fin al proceso, impidiendo en ambos casos, mientras subsista, la apertura del plenario o que en él se pronuncie sentencia...”.</w:t>
      </w:r>
    </w:p>
    <w:p w14:paraId="382F6D42"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Eduardo Pallares, en su artículo </w:t>
      </w:r>
      <w:r w:rsidRPr="00544B0C">
        <w:rPr>
          <w:rFonts w:ascii="Palatino Linotype" w:eastAsia="Calibri" w:hAnsi="Palatino Linotype"/>
          <w:i/>
          <w:lang w:val="es-ES"/>
        </w:rPr>
        <w:t>“La caducidad y el sobreseimiento en el amparo”</w:t>
      </w:r>
      <w:r w:rsidRPr="00544B0C">
        <w:rPr>
          <w:rFonts w:ascii="Palatino Linotype" w:eastAsia="Calibri" w:hAnsi="Palatino Linotype"/>
          <w:lang w:val="es-ES"/>
        </w:rPr>
        <w:t xml:space="preserve">, cita la definición de Aguilera Paz, aduciendo que se </w:t>
      </w:r>
      <w:r w:rsidRPr="00544B0C">
        <w:rPr>
          <w:rFonts w:ascii="Palatino Linotype" w:eastAsia="Calibri" w:hAnsi="Palatino Linotype"/>
          <w:i/>
          <w:lang w:val="es-ES"/>
        </w:rPr>
        <w:t>“...entiende por sobreseimiento en el tecnicismo forense, el hecho de cesar en el procedimiento o curso de la causa, por no existir méritos bastantes para entrar en un juicio o para entablar la contienda judicial que debe ser objeto del mismo...”</w:t>
      </w:r>
      <w:r w:rsidRPr="00544B0C">
        <w:rPr>
          <w:rFonts w:ascii="Palatino Linotype" w:eastAsia="Calibri" w:hAnsi="Palatino Linotype"/>
          <w:lang w:val="es-ES"/>
        </w:rPr>
        <w:t xml:space="preserve">. </w:t>
      </w:r>
    </w:p>
    <w:p w14:paraId="42444EDD" w14:textId="11594308"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Asimismo señala que existe el sobreseimiento provisional y el definitivo</w:t>
      </w:r>
      <w:r w:rsidRPr="00544B0C">
        <w:rPr>
          <w:rFonts w:ascii="Palatino Linotype" w:eastAsia="Calibri" w:hAnsi="Palatino Linotype"/>
          <w:i/>
          <w:lang w:val="es-ES"/>
        </w:rPr>
        <w:t>: “...el definitivo es una verdadera sentencia que pone fin al juicio, y que una vez dictada, produce cosa juzgada, mientras que el provisorio tiene por efectos suspender la prosecución de la causa...”</w:t>
      </w:r>
    </w:p>
    <w:p w14:paraId="51923E3D" w14:textId="77777777" w:rsidR="00544B0C" w:rsidRPr="00544B0C" w:rsidRDefault="00544B0C" w:rsidP="00544B0C">
      <w:pPr>
        <w:spacing w:before="240" w:after="240" w:line="360" w:lineRule="auto"/>
        <w:contextualSpacing/>
        <w:jc w:val="both"/>
        <w:rPr>
          <w:rFonts w:ascii="Palatino Linotype" w:eastAsia="Calibri" w:hAnsi="Palatino Linotype"/>
          <w:b/>
          <w:u w:val="single"/>
          <w:lang w:val="es-ES"/>
        </w:rPr>
      </w:pPr>
      <w:r w:rsidRPr="00544B0C">
        <w:rPr>
          <w:rFonts w:ascii="Palatino Linotype" w:eastAsia="Calibri" w:hAnsi="Palatino Linotype"/>
          <w:lang w:val="es-ES"/>
        </w:rPr>
        <w:t xml:space="preserve">Así, para la doctrina el sobreseimiento provoca que un procedimiento se suspenda o se resuelva en definitiva </w:t>
      </w:r>
      <w:r w:rsidRPr="00544B0C">
        <w:rPr>
          <w:rFonts w:ascii="Palatino Linotype" w:eastAsia="Calibri" w:hAnsi="Palatino Linotype"/>
          <w:b/>
          <w:u w:val="single"/>
          <w:lang w:val="es-ES"/>
        </w:rPr>
        <w:t>sin que se entre al estudio de los agravios o motivos de inconformidad.</w:t>
      </w:r>
    </w:p>
    <w:p w14:paraId="726A8EB6" w14:textId="77777777" w:rsidR="00544B0C" w:rsidRPr="00544B0C" w:rsidRDefault="00544B0C" w:rsidP="00544B0C">
      <w:pPr>
        <w:spacing w:before="240" w:after="240" w:line="360" w:lineRule="auto"/>
        <w:contextualSpacing/>
        <w:jc w:val="both"/>
        <w:rPr>
          <w:rFonts w:ascii="Palatino Linotype" w:eastAsia="Calibri" w:hAnsi="Palatino Linotype"/>
          <w:b/>
          <w:u w:val="single"/>
          <w:lang w:val="es-ES"/>
        </w:rPr>
      </w:pPr>
      <w:r w:rsidRPr="00544B0C">
        <w:rPr>
          <w:rFonts w:ascii="Palatino Linotype" w:hAnsi="Palatino Linotype"/>
          <w:szCs w:val="27"/>
          <w:lang w:val="es-ES"/>
        </w:rPr>
        <w:lastRenderedPageBreak/>
        <w:t xml:space="preserve">Las manifestaciones precedentes cobran aplicación en la jurisprudencia VI. 1o. J/23, publicada en la página 252 del Semanario Judicial de la Federación, Tomo 22-24, octubre-diciembre de 1989, Materia Común, Octava Época, emitida por el Primer Tribunal Colegiado del Sexto Circuito, del registro 213609, que establece: </w:t>
      </w:r>
    </w:p>
    <w:p w14:paraId="7CF1D32D" w14:textId="77777777" w:rsidR="00544B0C" w:rsidRPr="00544B0C" w:rsidRDefault="00544B0C" w:rsidP="00544B0C">
      <w:pPr>
        <w:ind w:left="851" w:right="851"/>
        <w:jc w:val="both"/>
        <w:rPr>
          <w:rFonts w:ascii="Palatino Linotype" w:hAnsi="Palatino Linotype" w:cs="Verdana"/>
          <w:i/>
          <w:sz w:val="22"/>
          <w:szCs w:val="22"/>
          <w:lang w:eastAsia="en-US"/>
        </w:rPr>
      </w:pPr>
      <w:r w:rsidRPr="00544B0C">
        <w:rPr>
          <w:rFonts w:ascii="Palatino Linotype" w:hAnsi="Palatino Linotype" w:cs="Verdana"/>
          <w:b/>
          <w:i/>
          <w:sz w:val="22"/>
          <w:szCs w:val="22"/>
          <w:lang w:eastAsia="en-US"/>
        </w:rPr>
        <w:t xml:space="preserve">“SOBRESEIMIENTO. NO PERMITE ENTRAR AL ESTUDIO DE LAS </w:t>
      </w:r>
      <w:r w:rsidRPr="00544B0C">
        <w:rPr>
          <w:rFonts w:ascii="Palatino Linotype" w:hAnsi="Palatino Linotype" w:cs="Verdana"/>
          <w:b/>
          <w:bCs/>
          <w:i/>
          <w:sz w:val="22"/>
          <w:szCs w:val="22"/>
          <w:lang w:eastAsia="en-US"/>
        </w:rPr>
        <w:t xml:space="preserve">CUESTIONES DE FONDO. </w:t>
      </w:r>
      <w:r w:rsidRPr="00544B0C">
        <w:rPr>
          <w:rFonts w:ascii="Palatino Linotype" w:hAnsi="Palatino Linotype" w:cs="Verdana"/>
          <w:i/>
          <w:sz w:val="22"/>
          <w:szCs w:val="22"/>
          <w:lang w:eastAsia="en-US"/>
        </w:rPr>
        <w:t>No causa agravio la sentencia que omite ocuparse de los razonamiento tendientes a demostrar la violación de garantías individuales por los actos reclamados de las autoridades responsables que constituyen el problema de fondo, si se decreta el sobreseimiento del juicio.</w:t>
      </w:r>
      <w:r w:rsidRPr="00544B0C">
        <w:rPr>
          <w:rFonts w:ascii="Palatino Linotype" w:hAnsi="Palatino Linotype" w:cs="Verdana"/>
          <w:b/>
          <w:i/>
          <w:sz w:val="22"/>
          <w:szCs w:val="22"/>
          <w:lang w:eastAsia="en-US"/>
        </w:rPr>
        <w:t>”</w:t>
      </w:r>
    </w:p>
    <w:p w14:paraId="643F5750" w14:textId="77777777" w:rsidR="00544B0C" w:rsidRPr="00544B0C" w:rsidRDefault="00544B0C" w:rsidP="00544B0C">
      <w:pPr>
        <w:spacing w:line="360" w:lineRule="auto"/>
        <w:ind w:left="426"/>
        <w:contextualSpacing/>
        <w:jc w:val="both"/>
        <w:rPr>
          <w:rFonts w:ascii="Palatino Linotype" w:eastAsia="Calibri" w:hAnsi="Palatino Linotype"/>
          <w:i/>
          <w:lang w:val="es-AR"/>
        </w:rPr>
      </w:pPr>
    </w:p>
    <w:p w14:paraId="6D057C8A"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0687AA3B"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Sirviendo de apoyo a lo anterior por analogía, el criterio 31-10 emitido por el ahora Instituto Nacional de Transparencia, Acceso a la Información y Protección de Datos Personales, que a la letra dice:</w:t>
      </w:r>
    </w:p>
    <w:p w14:paraId="1D9A42B9" w14:textId="77777777" w:rsidR="00544B0C" w:rsidRPr="00544B0C" w:rsidRDefault="00544B0C" w:rsidP="00544B0C">
      <w:pPr>
        <w:ind w:left="720"/>
        <w:contextualSpacing/>
        <w:rPr>
          <w:rFonts w:ascii="Palatino Linotype" w:eastAsia="Calibri" w:hAnsi="Palatino Linotype"/>
          <w:lang w:val="es-ES"/>
        </w:rPr>
      </w:pPr>
    </w:p>
    <w:p w14:paraId="41FE69E8" w14:textId="77777777" w:rsidR="00544B0C" w:rsidRPr="00544B0C" w:rsidRDefault="00544B0C" w:rsidP="00544B0C">
      <w:pPr>
        <w:ind w:left="851" w:right="851"/>
        <w:contextualSpacing/>
        <w:jc w:val="both"/>
        <w:rPr>
          <w:rFonts w:ascii="Palatino Linotype" w:eastAsia="Calibri" w:hAnsi="Palatino Linotype"/>
          <w:i/>
          <w:sz w:val="22"/>
        </w:rPr>
      </w:pPr>
      <w:r w:rsidRPr="00544B0C">
        <w:rPr>
          <w:rFonts w:ascii="Palatino Linotype" w:eastAsia="Calibri" w:hAnsi="Palatino Linotype"/>
          <w:b/>
          <w:i/>
          <w:sz w:val="22"/>
        </w:rPr>
        <w:t>EL INSTITUTO FEDERAL DE ACCESO A LA INFORMACIÓN Y PROTECCIÓN DE DATOS NO CUENTA CON FACULTADES PARA PRONUNCIARSE RESPECTO DE LA VERACIDAD DE LOS DOCUMENTOS PROPORCIONADOS POR LOS SUJETOS OBLIGADOS.</w:t>
      </w:r>
      <w:r w:rsidRPr="00544B0C">
        <w:rPr>
          <w:rFonts w:ascii="Palatino Linotype" w:eastAsia="Calibri"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w:t>
      </w:r>
      <w:r w:rsidRPr="00544B0C">
        <w:rPr>
          <w:rFonts w:ascii="Palatino Linotype" w:eastAsia="Calibri" w:hAnsi="Palatino Linotype"/>
          <w:i/>
          <w:sz w:val="22"/>
        </w:rPr>
        <w:lastRenderedPageBreak/>
        <w:t>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831B3AF" w14:textId="77777777" w:rsidR="00544B0C" w:rsidRPr="00544B0C" w:rsidRDefault="00544B0C" w:rsidP="00544B0C">
      <w:pPr>
        <w:spacing w:line="360" w:lineRule="auto"/>
        <w:ind w:left="426"/>
        <w:contextualSpacing/>
        <w:jc w:val="both"/>
        <w:rPr>
          <w:rFonts w:ascii="Palatino Linotype" w:eastAsia="Calibri" w:hAnsi="Palatino Linotype"/>
          <w:lang w:val="es-ES"/>
        </w:rPr>
      </w:pPr>
    </w:p>
    <w:p w14:paraId="05C72894" w14:textId="77777777" w:rsidR="00544B0C" w:rsidRPr="00544B0C" w:rsidRDefault="00544B0C" w:rsidP="00544B0C">
      <w:pPr>
        <w:spacing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Así mismo el artículo 4 de la </w:t>
      </w:r>
      <w:r w:rsidRPr="00544B0C">
        <w:rPr>
          <w:rFonts w:ascii="Palatino Linotype" w:eastAsia="Calibri" w:hAnsi="Palatino Linotype"/>
          <w:b/>
          <w:lang w:val="es-ES"/>
        </w:rPr>
        <w:t>Ley de Transparencia y Acceso a la Información Pública del Estado de México y Municipios</w:t>
      </w:r>
      <w:r w:rsidRPr="00544B0C">
        <w:rPr>
          <w:rFonts w:ascii="Palatino Linotype" w:eastAsia="Calibri" w:hAnsi="Palatino Linotype"/>
          <w:lang w:val="es-ES"/>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dispositivo legal en comento que a la letra señala:</w:t>
      </w:r>
    </w:p>
    <w:p w14:paraId="446C6DBD" w14:textId="77777777" w:rsidR="00544B0C" w:rsidRPr="00544B0C" w:rsidRDefault="00544B0C" w:rsidP="00544B0C">
      <w:pPr>
        <w:spacing w:line="360" w:lineRule="auto"/>
        <w:ind w:left="426"/>
        <w:contextualSpacing/>
        <w:jc w:val="both"/>
        <w:rPr>
          <w:rFonts w:ascii="Palatino Linotype" w:eastAsia="Calibri" w:hAnsi="Palatino Linotype"/>
          <w:lang w:val="es-ES"/>
        </w:rPr>
      </w:pPr>
    </w:p>
    <w:p w14:paraId="0EBAB970" w14:textId="77777777" w:rsidR="00544B0C" w:rsidRPr="00544B0C" w:rsidRDefault="00544B0C" w:rsidP="00544B0C">
      <w:pPr>
        <w:ind w:left="851" w:right="851"/>
        <w:contextualSpacing/>
        <w:jc w:val="both"/>
        <w:rPr>
          <w:rFonts w:ascii="Palatino Linotype" w:eastAsia="Calibri" w:hAnsi="Palatino Linotype"/>
          <w:sz w:val="22"/>
          <w:lang w:val="es-ES"/>
        </w:rPr>
      </w:pPr>
      <w:r w:rsidRPr="00544B0C">
        <w:rPr>
          <w:rFonts w:ascii="Palatino Linotype" w:eastAsia="Calibri" w:hAnsi="Palatino Linotype"/>
          <w:b/>
          <w:i/>
          <w:sz w:val="22"/>
          <w:lang w:val="es-ES"/>
        </w:rPr>
        <w:t>Artículo 4.</w:t>
      </w:r>
      <w:r w:rsidRPr="00544B0C">
        <w:rPr>
          <w:rFonts w:ascii="Palatino Linotype" w:eastAsia="Calibri" w:hAnsi="Palatino Linotype"/>
          <w:i/>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2C68C5FF" w14:textId="77777777" w:rsidR="00544B0C" w:rsidRPr="00544B0C" w:rsidRDefault="00544B0C" w:rsidP="00544B0C">
      <w:pPr>
        <w:spacing w:line="360" w:lineRule="auto"/>
        <w:ind w:left="426"/>
        <w:contextualSpacing/>
        <w:jc w:val="both"/>
        <w:rPr>
          <w:rFonts w:ascii="Palatino Linotype" w:eastAsia="Calibri" w:hAnsi="Palatino Linotype"/>
          <w:lang w:val="es-ES"/>
        </w:rPr>
      </w:pPr>
    </w:p>
    <w:p w14:paraId="4A8085FA"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Numerales que compelen al </w:t>
      </w:r>
      <w:r w:rsidRPr="00544B0C">
        <w:rPr>
          <w:rFonts w:ascii="Palatino Linotype" w:eastAsia="Calibri" w:hAnsi="Palatino Linotype"/>
          <w:b/>
          <w:lang w:val="es-ES"/>
        </w:rPr>
        <w:t>SUJETO OBLIGADO</w:t>
      </w:r>
      <w:r w:rsidRPr="00544B0C">
        <w:rPr>
          <w:rFonts w:ascii="Palatino Linotype" w:eastAsia="Calibri" w:hAnsi="Palatino Linotype"/>
          <w:lang w:val="es-ES"/>
        </w:rPr>
        <w:t xml:space="preserve"> a apegarse en todo momento a los criterios ya expuestos, impidiendo a este Órgano Colegiado cuestionar la veracidad de la información.</w:t>
      </w:r>
    </w:p>
    <w:p w14:paraId="3FA0A675"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lastRenderedPageBreak/>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14:paraId="111E99CB" w14:textId="77777777" w:rsidR="00544B0C" w:rsidRPr="00544B0C" w:rsidRDefault="00544B0C" w:rsidP="00544B0C">
      <w:pPr>
        <w:spacing w:before="240" w:after="240" w:line="360" w:lineRule="auto"/>
        <w:contextualSpacing/>
        <w:jc w:val="both"/>
        <w:rPr>
          <w:rFonts w:ascii="Palatino Linotype" w:eastAsia="Calibri" w:hAnsi="Palatino Linotype"/>
          <w:lang w:val="es-ES"/>
        </w:rPr>
      </w:pPr>
      <w:r w:rsidRPr="00544B0C">
        <w:rPr>
          <w:rFonts w:ascii="Palatino Linotype" w:eastAsia="Calibri" w:hAnsi="Palatino Linotype"/>
          <w:lang w:val="es-ES"/>
        </w:rPr>
        <w:t xml:space="preserve">Por lo que para que se actualice el sobreseimiento de un recurso de revisión, el </w:t>
      </w:r>
      <w:r w:rsidRPr="00544B0C">
        <w:rPr>
          <w:rFonts w:ascii="Palatino Linotype" w:eastAsia="Calibri" w:hAnsi="Palatino Linotype"/>
          <w:b/>
          <w:lang w:val="es-ES"/>
        </w:rPr>
        <w:t>SUJETO OBLIGADO</w:t>
      </w:r>
      <w:r w:rsidRPr="00544B0C">
        <w:rPr>
          <w:rFonts w:ascii="Palatino Linotype" w:eastAsia="Calibri" w:hAnsi="Palatino Linotype"/>
          <w:lang w:val="es-ES"/>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2B71B920" w14:textId="3C717AC5" w:rsidR="007707B4" w:rsidRPr="00544B0C" w:rsidRDefault="00544B0C" w:rsidP="002C4AD5">
      <w:pPr>
        <w:spacing w:before="240" w:after="240" w:line="360" w:lineRule="auto"/>
        <w:contextualSpacing/>
        <w:jc w:val="both"/>
        <w:rPr>
          <w:rFonts w:ascii="Palatino Linotype" w:eastAsia="Calibri" w:hAnsi="Palatino Linotype"/>
          <w:lang w:val="es-CO"/>
        </w:rPr>
      </w:pPr>
      <w:r w:rsidRPr="00544B0C">
        <w:rPr>
          <w:rFonts w:ascii="Palatino Linotype" w:eastAsia="Calibri" w:hAnsi="Palatino Linotype"/>
          <w:lang w:val="es-CO"/>
        </w:rPr>
        <w:t xml:space="preserve">Bajo ese tenor y en términos de los artículos 186 fracción I, y 192, fracción III este Pleno determina el </w:t>
      </w:r>
      <w:r w:rsidRPr="00544B0C">
        <w:rPr>
          <w:rFonts w:ascii="Palatino Linotype" w:eastAsia="Calibri" w:hAnsi="Palatino Linotype"/>
          <w:b/>
          <w:lang w:val="es-CO"/>
        </w:rPr>
        <w:t xml:space="preserve">SOBRESEIMIENTO </w:t>
      </w:r>
      <w:r w:rsidRPr="00544B0C">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4D273649" w14:textId="6F402109" w:rsidR="002530DA" w:rsidRDefault="005E0CA6" w:rsidP="005E0CA6">
      <w:pPr>
        <w:spacing w:before="240" w:after="240" w:line="360" w:lineRule="auto"/>
        <w:jc w:val="both"/>
        <w:rPr>
          <w:rFonts w:ascii="Palatino Linotype" w:hAnsi="Palatino Linotype" w:cs="Arial"/>
        </w:rPr>
      </w:pPr>
      <w:r w:rsidRPr="004326A0">
        <w:rPr>
          <w:rFonts w:ascii="Palatino Linotype" w:hAnsi="Palatino Linotype" w:cs="Arial"/>
        </w:rPr>
        <w:t xml:space="preserve">Así, con fundamento en lo prescrito en los artículos 5 </w:t>
      </w:r>
      <w:r w:rsidRPr="004326A0">
        <w:rPr>
          <w:rFonts w:ascii="Palatino Linotype" w:hAnsi="Palatino Linotype"/>
          <w:shd w:val="clear" w:color="auto" w:fill="FFFFFF"/>
        </w:rPr>
        <w:t xml:space="preserve">párrafos </w:t>
      </w:r>
      <w:r w:rsidR="002A130D" w:rsidRPr="002A130D">
        <w:rPr>
          <w:rFonts w:ascii="Palatino Linotype" w:hAnsi="Palatino Linotype" w:cs="Arial"/>
        </w:rPr>
        <w:t>vigésimo segundo, vigésimo tercero y vigésimo cuarto</w:t>
      </w:r>
      <w:r w:rsidR="002A130D">
        <w:rPr>
          <w:rFonts w:ascii="Palatino Linotype" w:hAnsi="Palatino Linotype" w:cs="Arial"/>
        </w:rPr>
        <w:t>,</w:t>
      </w:r>
      <w:r w:rsidR="00200718" w:rsidRPr="00200718">
        <w:rPr>
          <w:rFonts w:ascii="Palatino Linotype" w:hAnsi="Palatino Linotype"/>
          <w:shd w:val="clear" w:color="auto" w:fill="FFFFFF"/>
          <w:lang w:val="es-ES"/>
        </w:rPr>
        <w:t xml:space="preserve"> fracciones IV y V </w:t>
      </w:r>
      <w:r w:rsidRPr="004326A0">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14:paraId="6CCE0B2D" w14:textId="77777777" w:rsidR="007707B4" w:rsidRPr="007707B4" w:rsidRDefault="007707B4" w:rsidP="007707B4">
      <w:pPr>
        <w:numPr>
          <w:ilvl w:val="0"/>
          <w:numId w:val="1"/>
        </w:numPr>
        <w:spacing w:before="100" w:beforeAutospacing="1" w:after="100" w:afterAutospacing="1" w:line="360" w:lineRule="auto"/>
        <w:ind w:left="284" w:hanging="426"/>
        <w:jc w:val="center"/>
        <w:rPr>
          <w:rFonts w:ascii="Palatino Linotype" w:hAnsi="Palatino Linotype" w:cs="Arial"/>
          <w:b/>
          <w:lang w:eastAsia="es-MX"/>
        </w:rPr>
      </w:pPr>
      <w:r w:rsidRPr="007707B4">
        <w:rPr>
          <w:rFonts w:ascii="Palatino Linotype" w:hAnsi="Palatino Linotype" w:cs="Arial"/>
          <w:b/>
          <w:lang w:eastAsia="es-MX"/>
        </w:rPr>
        <w:t>R E S U E L V E:</w:t>
      </w:r>
    </w:p>
    <w:p w14:paraId="0ECDBD5C" w14:textId="4EC92A9E" w:rsidR="0088388C" w:rsidRPr="007707B4" w:rsidRDefault="007707B4" w:rsidP="007707B4">
      <w:pPr>
        <w:spacing w:before="240" w:after="240" w:line="360" w:lineRule="auto"/>
        <w:ind w:right="49"/>
        <w:jc w:val="both"/>
        <w:rPr>
          <w:rFonts w:ascii="Palatino Linotype" w:hAnsi="Palatino Linotype" w:cs="Arial"/>
          <w:lang w:val="es-ES"/>
        </w:rPr>
      </w:pPr>
      <w:r w:rsidRPr="007707B4">
        <w:rPr>
          <w:rFonts w:ascii="Palatino Linotype" w:hAnsi="Palatino Linotype" w:cs="Arial"/>
          <w:b/>
          <w:lang w:val="es-ES"/>
        </w:rPr>
        <w:t>Primero.</w:t>
      </w:r>
      <w:r w:rsidRPr="007707B4">
        <w:rPr>
          <w:rFonts w:ascii="Palatino Linotype" w:eastAsia="Calibri" w:hAnsi="Palatino Linotype"/>
          <w:lang w:val="es-ES"/>
        </w:rPr>
        <w:t xml:space="preserve"> </w:t>
      </w:r>
      <w:r w:rsidRPr="007707B4">
        <w:rPr>
          <w:rFonts w:ascii="Palatino Linotype" w:hAnsi="Palatino Linotype" w:cs="Arial"/>
          <w:lang w:val="es-ES"/>
        </w:rPr>
        <w:t xml:space="preserve">Se </w:t>
      </w:r>
      <w:r w:rsidRPr="007707B4">
        <w:rPr>
          <w:rFonts w:ascii="Palatino Linotype" w:hAnsi="Palatino Linotype" w:cs="Arial"/>
          <w:b/>
          <w:lang w:val="es-ES"/>
        </w:rPr>
        <w:t>SOBRESEE</w:t>
      </w:r>
      <w:r w:rsidRPr="007707B4">
        <w:rPr>
          <w:rFonts w:ascii="Palatino Linotype" w:hAnsi="Palatino Linotype" w:cs="Arial"/>
          <w:lang w:val="es-ES"/>
        </w:rPr>
        <w:t xml:space="preserve"> el recurso de revisión </w:t>
      </w:r>
      <w:r w:rsidR="00661150">
        <w:rPr>
          <w:rFonts w:ascii="Palatino Linotype" w:hAnsi="Palatino Linotype" w:cs="Arial"/>
          <w:b/>
          <w:lang w:val="es-ES"/>
        </w:rPr>
        <w:t>0362</w:t>
      </w:r>
      <w:r>
        <w:rPr>
          <w:rFonts w:ascii="Palatino Linotype" w:hAnsi="Palatino Linotype" w:cs="Arial"/>
          <w:b/>
          <w:lang w:val="es-ES"/>
        </w:rPr>
        <w:t>4</w:t>
      </w:r>
      <w:r w:rsidR="0088388C">
        <w:rPr>
          <w:rFonts w:ascii="Palatino Linotype" w:hAnsi="Palatino Linotype" w:cs="Arial"/>
          <w:b/>
          <w:lang w:val="es-ES"/>
        </w:rPr>
        <w:t>/INFOEM/IP/RR/2021</w:t>
      </w:r>
      <w:r w:rsidRPr="007707B4">
        <w:rPr>
          <w:rFonts w:ascii="Palatino Linotype" w:hAnsi="Palatino Linotype" w:cs="Arial"/>
          <w:b/>
          <w:lang w:val="es-ES"/>
        </w:rPr>
        <w:t xml:space="preserve">, </w:t>
      </w:r>
      <w:r w:rsidR="0088388C">
        <w:rPr>
          <w:rFonts w:ascii="Palatino Linotype" w:hAnsi="Palatino Linotype" w:cs="Arial"/>
          <w:lang w:val="es-ES"/>
        </w:rPr>
        <w:t xml:space="preserve">porque al modificar la respuesta el recurso de revisión quedó sin materia en términos del </w:t>
      </w:r>
      <w:r w:rsidRPr="007707B4">
        <w:rPr>
          <w:rFonts w:ascii="Palatino Linotype" w:hAnsi="Palatino Linotype" w:cs="Arial"/>
          <w:lang w:val="es-ES"/>
        </w:rPr>
        <w:t xml:space="preserve"> </w:t>
      </w:r>
      <w:r w:rsidRPr="007707B4">
        <w:rPr>
          <w:rFonts w:ascii="Palatino Linotype" w:hAnsi="Palatino Linotype" w:cs="Arial"/>
          <w:b/>
          <w:lang w:val="es-ES"/>
        </w:rPr>
        <w:t xml:space="preserve">Considerando Tercero </w:t>
      </w:r>
      <w:r w:rsidRPr="007707B4">
        <w:rPr>
          <w:rFonts w:ascii="Palatino Linotype" w:hAnsi="Palatino Linotype" w:cs="Arial"/>
          <w:lang w:val="es-ES"/>
        </w:rPr>
        <w:t>de la presente resolución.</w:t>
      </w:r>
    </w:p>
    <w:p w14:paraId="1BB61208" w14:textId="25B4898B" w:rsidR="007707B4" w:rsidRPr="007707B4" w:rsidRDefault="007707B4" w:rsidP="007707B4">
      <w:pPr>
        <w:spacing w:before="240" w:after="240" w:line="360" w:lineRule="auto"/>
        <w:ind w:right="49"/>
        <w:jc w:val="both"/>
        <w:rPr>
          <w:rFonts w:ascii="Palatino Linotype" w:hAnsi="Palatino Linotype" w:cs="Arial"/>
          <w:lang w:val="es-ES"/>
        </w:rPr>
      </w:pPr>
      <w:r w:rsidRPr="007707B4">
        <w:rPr>
          <w:rFonts w:ascii="Palatino Linotype" w:hAnsi="Palatino Linotype" w:cs="Arial"/>
          <w:b/>
          <w:lang w:val="es-ES"/>
        </w:rPr>
        <w:lastRenderedPageBreak/>
        <w:t xml:space="preserve">Segundo. </w:t>
      </w:r>
      <w:r w:rsidR="00B22E83">
        <w:rPr>
          <w:rFonts w:ascii="Palatino Linotype" w:hAnsi="Palatino Linotype" w:cs="Arial"/>
          <w:b/>
          <w:bCs/>
          <w:shd w:val="clear" w:color="auto" w:fill="FFFFFF"/>
          <w:lang w:val="es-ES"/>
        </w:rPr>
        <w:t>Notifíque</w:t>
      </w:r>
      <w:r w:rsidR="00B22E83" w:rsidRPr="007707B4">
        <w:rPr>
          <w:rFonts w:ascii="Palatino Linotype" w:hAnsi="Palatino Linotype" w:cs="Arial"/>
          <w:b/>
          <w:bCs/>
          <w:shd w:val="clear" w:color="auto" w:fill="FFFFFF"/>
          <w:lang w:val="es-ES"/>
        </w:rPr>
        <w:t>se</w:t>
      </w:r>
      <w:r w:rsidRPr="007707B4">
        <w:rPr>
          <w:rFonts w:ascii="Palatino Linotype" w:hAnsi="Palatino Linotype" w:cs="Arial"/>
          <w:b/>
          <w:bCs/>
          <w:i/>
          <w:iCs/>
          <w:shd w:val="clear" w:color="auto" w:fill="FFFFFF"/>
          <w:lang w:val="es-ES"/>
        </w:rPr>
        <w:t> </w:t>
      </w:r>
      <w:r w:rsidRPr="007707B4">
        <w:rPr>
          <w:rFonts w:ascii="Palatino Linotype" w:hAnsi="Palatino Linotype"/>
          <w:shd w:val="clear" w:color="auto" w:fill="FFFFFF"/>
          <w:lang w:val="es-ES"/>
        </w:rPr>
        <w:t>la presente resolución al Responsable de la Unidad de Transparencia del</w:t>
      </w:r>
      <w:r w:rsidRPr="007707B4">
        <w:rPr>
          <w:rFonts w:ascii="Palatino Linotype" w:hAnsi="Palatino Linotype"/>
          <w:bCs/>
          <w:shd w:val="clear" w:color="auto" w:fill="FFFFFF"/>
          <w:lang w:val="es-ES"/>
        </w:rPr>
        <w:t> Sujeto Obligado, para su conocimiento</w:t>
      </w:r>
      <w:r w:rsidRPr="007707B4">
        <w:rPr>
          <w:rFonts w:ascii="Palatino Linotype" w:hAnsi="Palatino Linotype"/>
          <w:shd w:val="clear" w:color="auto" w:fill="FFFFFF"/>
          <w:lang w:val="es-ES"/>
        </w:rPr>
        <w:t>.</w:t>
      </w:r>
    </w:p>
    <w:p w14:paraId="7AA36DD6" w14:textId="36FCFE7A" w:rsidR="007707B4" w:rsidRPr="007707B4" w:rsidRDefault="007707B4" w:rsidP="007707B4">
      <w:pPr>
        <w:spacing w:before="240" w:after="240" w:line="360" w:lineRule="auto"/>
        <w:ind w:right="49"/>
        <w:jc w:val="both"/>
        <w:rPr>
          <w:rFonts w:ascii="Palatino Linotype" w:hAnsi="Palatino Linotype" w:cs="Arial"/>
          <w:lang w:val="es-ES"/>
        </w:rPr>
      </w:pPr>
      <w:r w:rsidRPr="007707B4">
        <w:rPr>
          <w:rFonts w:ascii="Palatino Linotype" w:hAnsi="Palatino Linotype" w:cs="Arial"/>
          <w:b/>
          <w:lang w:val="es-ES"/>
        </w:rPr>
        <w:t xml:space="preserve">Tercero. Hágase del Conocimiento </w:t>
      </w:r>
      <w:r w:rsidRPr="007707B4">
        <w:rPr>
          <w:rFonts w:ascii="Palatino Linotype" w:hAnsi="Palatino Linotype" w:cs="Arial"/>
          <w:lang w:val="es-ES"/>
        </w:rPr>
        <w:t xml:space="preserve">de la </w:t>
      </w:r>
      <w:r w:rsidR="00A52290">
        <w:rPr>
          <w:rFonts w:ascii="Palatino Linotype" w:hAnsi="Palatino Linotype" w:cs="Arial"/>
          <w:lang w:val="es-ES"/>
        </w:rPr>
        <w:t xml:space="preserve">parte </w:t>
      </w:r>
      <w:r w:rsidRPr="007707B4">
        <w:rPr>
          <w:rFonts w:ascii="Palatino Linotype" w:hAnsi="Palatino Linotype" w:cs="Arial"/>
          <w:b/>
          <w:lang w:val="es-ES"/>
        </w:rPr>
        <w:t>recurrente</w:t>
      </w:r>
      <w:r w:rsidRPr="007707B4">
        <w:rPr>
          <w:rFonts w:ascii="Palatino Linotype" w:hAnsi="Palatino Linotype" w:cs="Arial"/>
          <w:lang w:val="es-ES"/>
        </w:rPr>
        <w:t xml:space="preserve">, la presente resolución, así como, que de conformidad con lo establecido en el artículo 196 de la Ley de Transparencia y Acceso a la Información Pública del Estado de México y Municipios, podrá impugnarla vía </w:t>
      </w:r>
      <w:r w:rsidRPr="007707B4">
        <w:rPr>
          <w:rFonts w:ascii="Palatino Linotype" w:hAnsi="Palatino Linotype" w:cs="Arial"/>
          <w:b/>
          <w:lang w:val="es-ES"/>
        </w:rPr>
        <w:t xml:space="preserve">Juicio de Amparo </w:t>
      </w:r>
      <w:r w:rsidRPr="007707B4">
        <w:rPr>
          <w:rFonts w:ascii="Palatino Linotype" w:hAnsi="Palatino Linotype" w:cs="Arial"/>
          <w:lang w:val="es-ES"/>
        </w:rPr>
        <w:t>en los términos de las leyes aplicables.</w:t>
      </w:r>
    </w:p>
    <w:p w14:paraId="4D6C0623" w14:textId="3C56FF9C" w:rsidR="005E0CA6" w:rsidRDefault="00B22E83" w:rsidP="005E0CA6">
      <w:pPr>
        <w:spacing w:before="240" w:after="240" w:line="360" w:lineRule="auto"/>
        <w:jc w:val="both"/>
        <w:rPr>
          <w:rFonts w:ascii="Palatino Linotype" w:hAnsi="Palatino Linotype" w:cs="Arial"/>
        </w:rPr>
      </w:pPr>
      <w:r>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7098CFF2" wp14:editId="6BABE903">
                <wp:simplePos x="0" y="0"/>
                <wp:positionH relativeFrom="column">
                  <wp:posOffset>24765</wp:posOffset>
                </wp:positionH>
                <wp:positionV relativeFrom="paragraph">
                  <wp:posOffset>3181350</wp:posOffset>
                </wp:positionV>
                <wp:extent cx="5448300" cy="2276475"/>
                <wp:effectExtent l="0" t="0" r="19050" b="28575"/>
                <wp:wrapNone/>
                <wp:docPr id="4" name="Conector recto 4"/>
                <wp:cNvGraphicFramePr/>
                <a:graphic xmlns:a="http://schemas.openxmlformats.org/drawingml/2006/main">
                  <a:graphicData uri="http://schemas.microsoft.com/office/word/2010/wordprocessingShape">
                    <wps:wsp>
                      <wps:cNvCnPr/>
                      <wps:spPr>
                        <a:xfrm flipH="1">
                          <a:off x="0" y="0"/>
                          <a:ext cx="5448300" cy="2276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46181" id="Conector recto 4"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50.5pt" to="430.95pt,4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" strokecolor="black [3200]" strokeweight=".5pt">
                <v:stroke joinstyle="miter"/>
              </v:line>
            </w:pict>
          </mc:Fallback>
        </mc:AlternateContent>
      </w:r>
      <w:r w:rsidR="00661150" w:rsidRPr="00661150">
        <w:rPr>
          <w:rFonts w:ascii="Palatino Linotype" w:hAnsi="Palatino Linotype"/>
          <w:lang w:val="es-ES"/>
        </w:rPr>
        <w:t>ASÍ LO RESUELVE, POR UNANIMIDAD DE VOTOS, EL PLENO DEL INSTITUTO DE TRANSPARENCIA, ACCESO A LA INFORMACIÓN PÚBLICA Y PROTECCIÓN DE DATOS PERSONALES DEL ESTADO DE MÉXICO Y MUNICIPIOS, CONFORMADO POR LOS COMISIONADOS </w:t>
      </w:r>
      <w:r>
        <w:rPr>
          <w:rFonts w:ascii="Palatino Linotype" w:hAnsi="Palatino Linotype"/>
        </w:rPr>
        <w:t xml:space="preserve">JOSÉ MARTÍNEZ VILCHIS; EMITIENDO VOTO PARTICULAR, </w:t>
      </w:r>
      <w:r w:rsidR="00661150" w:rsidRPr="00661150">
        <w:rPr>
          <w:rFonts w:ascii="Palatino Linotype" w:hAnsi="Palatino Linotype"/>
        </w:rPr>
        <w:t>MARÍA DEL ROSARIO MEJÍA AYALA, SHARON CRISTINA MORALES MARTÍNEZ, LUIS GUSTAVO PARRA NORIEGA Y GUADALUPE RAMÍREZ PEÑA</w:t>
      </w:r>
      <w:r w:rsidR="00661150">
        <w:rPr>
          <w:rFonts w:ascii="Palatino Linotype" w:hAnsi="Palatino Linotype"/>
        </w:rPr>
        <w:t>; EN LA TRIGÉSIMA TERCER</w:t>
      </w:r>
      <w:r w:rsidR="00AC0D7B">
        <w:rPr>
          <w:rFonts w:ascii="Palatino Linotype" w:hAnsi="Palatino Linotype"/>
        </w:rPr>
        <w:t>A</w:t>
      </w:r>
      <w:r w:rsidR="005E0CA6" w:rsidRPr="004326A0">
        <w:rPr>
          <w:rFonts w:ascii="Palatino Linotype" w:hAnsi="Palatino Linotype"/>
        </w:rPr>
        <w:t xml:space="preserve"> SESIÓN O</w:t>
      </w:r>
      <w:r w:rsidR="00B65E33">
        <w:rPr>
          <w:rFonts w:ascii="Palatino Linotype" w:hAnsi="Palatino Linotype"/>
        </w:rPr>
        <w:t>RDI</w:t>
      </w:r>
      <w:r w:rsidR="006749A3">
        <w:rPr>
          <w:rFonts w:ascii="Palatino Linotype" w:hAnsi="Palatino Linotype"/>
        </w:rPr>
        <w:t>NARIA CELEBRADA EL VEINTIDÓS DE SEPT</w:t>
      </w:r>
      <w:r w:rsidR="00086D94">
        <w:rPr>
          <w:rFonts w:ascii="Palatino Linotype" w:hAnsi="Palatino Linotype"/>
        </w:rPr>
        <w:t>IEM</w:t>
      </w:r>
      <w:r w:rsidR="005E0CA6" w:rsidRPr="004326A0">
        <w:rPr>
          <w:rFonts w:ascii="Palatino Linotype" w:hAnsi="Palatino Linotype"/>
        </w:rPr>
        <w:t>BRE DE DOS MIL VEINTE, ANTE EL SECRETARIO TÉCNICO DEL PLENO ALEXIS TAPIA RAMÍREZ.</w:t>
      </w:r>
      <w:r w:rsidR="005E0CA6" w:rsidRPr="004326A0">
        <w:rPr>
          <w:rFonts w:ascii="Palatino Linotype" w:hAnsi="Palatino Linotype" w:cs="Arial"/>
        </w:rPr>
        <w:t xml:space="preserve"> </w:t>
      </w:r>
    </w:p>
    <w:p w14:paraId="378863CB" w14:textId="77777777" w:rsidR="00B22E83" w:rsidRDefault="00B22E83" w:rsidP="005E0CA6">
      <w:pPr>
        <w:spacing w:before="240" w:after="240" w:line="360" w:lineRule="auto"/>
        <w:jc w:val="both"/>
        <w:rPr>
          <w:rFonts w:ascii="Palatino Linotype" w:hAnsi="Palatino Linotype" w:cs="Arial"/>
        </w:rPr>
      </w:pPr>
    </w:p>
    <w:p w14:paraId="06692CDB" w14:textId="77777777" w:rsidR="00B22E83" w:rsidRDefault="00B22E83" w:rsidP="005E0CA6">
      <w:pPr>
        <w:spacing w:before="240" w:after="240" w:line="360" w:lineRule="auto"/>
        <w:jc w:val="both"/>
        <w:rPr>
          <w:rFonts w:ascii="Palatino Linotype" w:hAnsi="Palatino Linotype" w:cs="Arial"/>
        </w:rPr>
        <w:sectPr w:rsidR="00B22E83" w:rsidSect="00E46369">
          <w:headerReference w:type="default" r:id="rId13"/>
          <w:footerReference w:type="default" r:id="rId14"/>
          <w:headerReference w:type="first" r:id="rId15"/>
          <w:footerReference w:type="first" r:id="rId16"/>
          <w:pgSz w:w="12240" w:h="15840"/>
          <w:pgMar w:top="1985" w:right="1701" w:bottom="1701" w:left="1701" w:header="709" w:footer="709" w:gutter="0"/>
          <w:cols w:space="708"/>
          <w:titlePg/>
          <w:docGrid w:linePitch="360"/>
        </w:sectPr>
      </w:pPr>
    </w:p>
    <w:p w14:paraId="1C096693" w14:textId="643A9C3B" w:rsidR="00B22E83" w:rsidRDefault="00B22E83" w:rsidP="005E0CA6">
      <w:pPr>
        <w:spacing w:before="240" w:after="240" w:line="360" w:lineRule="auto"/>
        <w:jc w:val="both"/>
        <w:rPr>
          <w:rFonts w:ascii="Palatino Linotype" w:hAnsi="Palatino Linotype" w:cs="Arial"/>
        </w:rPr>
      </w:pPr>
    </w:p>
    <w:bookmarkEnd w:id="0"/>
    <w:p w14:paraId="6FD1A763" w14:textId="77777777" w:rsidR="00DF305C" w:rsidRDefault="00DF305C" w:rsidP="005E0CA6">
      <w:pPr>
        <w:spacing w:before="240" w:after="240" w:line="360" w:lineRule="auto"/>
        <w:jc w:val="both"/>
        <w:rPr>
          <w:rFonts w:ascii="Palatino Linotype" w:hAnsi="Palatino Linotype" w:cs="Arial"/>
        </w:rPr>
      </w:pPr>
    </w:p>
    <w:sectPr w:rsidR="00DF305C" w:rsidSect="00E46369">
      <w:headerReference w:type="first" r:id="rId17"/>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D6CA58" w14:textId="77777777" w:rsidR="00D7596C" w:rsidRDefault="00D7596C">
      <w:r>
        <w:separator/>
      </w:r>
    </w:p>
  </w:endnote>
  <w:endnote w:type="continuationSeparator" w:id="0">
    <w:p w14:paraId="15853D85" w14:textId="77777777" w:rsidR="00D7596C" w:rsidRDefault="00D75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526C2" w14:textId="77777777" w:rsidR="00E46369" w:rsidRDefault="00E46369" w:rsidP="00E46369">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86B7F">
      <w:rPr>
        <w:rFonts w:ascii="Arial" w:hAnsi="Arial" w:cs="Arial"/>
        <w:b/>
        <w:bCs/>
        <w:noProof/>
        <w:sz w:val="20"/>
        <w:szCs w:val="20"/>
      </w:rPr>
      <w:t>10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86B7F">
      <w:rPr>
        <w:rFonts w:ascii="Arial" w:hAnsi="Arial" w:cs="Arial"/>
        <w:b/>
        <w:bCs/>
        <w:noProof/>
        <w:sz w:val="20"/>
        <w:szCs w:val="20"/>
      </w:rPr>
      <w:t>23</w:t>
    </w:r>
    <w:r>
      <w:rPr>
        <w:rFonts w:ascii="Arial" w:hAnsi="Arial" w:cs="Arial"/>
        <w:b/>
        <w:bCs/>
        <w:sz w:val="20"/>
        <w:szCs w:val="20"/>
      </w:rPr>
      <w:fldChar w:fldCharType="end"/>
    </w:r>
  </w:p>
  <w:p w14:paraId="317CC1BC" w14:textId="77777777" w:rsidR="00E46369" w:rsidRDefault="00E46369" w:rsidP="00E46369">
    <w:pPr>
      <w:pStyle w:val="Piedepgina"/>
      <w:rPr>
        <w:rFonts w:ascii="Times New Roman" w:hAnsi="Times New Roman" w:cs="Times New Roman"/>
      </w:rPr>
    </w:pPr>
  </w:p>
  <w:p w14:paraId="1A211A4C" w14:textId="77777777" w:rsidR="00E46369" w:rsidRDefault="00E46369" w:rsidP="00E46369">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69770" w14:textId="77777777" w:rsidR="00E46369" w:rsidRDefault="00E46369" w:rsidP="00E46369">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86B7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86B7F">
      <w:rPr>
        <w:rFonts w:ascii="Arial" w:hAnsi="Arial" w:cs="Arial"/>
        <w:b/>
        <w:bCs/>
        <w:noProof/>
        <w:sz w:val="20"/>
        <w:szCs w:val="20"/>
      </w:rPr>
      <w:t>23</w:t>
    </w:r>
    <w:r>
      <w:rPr>
        <w:rFonts w:ascii="Arial" w:hAnsi="Arial" w:cs="Arial"/>
        <w:b/>
        <w:bCs/>
        <w:sz w:val="20"/>
        <w:szCs w:val="20"/>
      </w:rPr>
      <w:fldChar w:fldCharType="end"/>
    </w:r>
  </w:p>
  <w:p w14:paraId="3BACAB3C" w14:textId="77777777" w:rsidR="00E46369" w:rsidRDefault="00E463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C79E8" w14:textId="77777777" w:rsidR="00D7596C" w:rsidRDefault="00D7596C">
      <w:r>
        <w:separator/>
      </w:r>
    </w:p>
  </w:footnote>
  <w:footnote w:type="continuationSeparator" w:id="0">
    <w:p w14:paraId="585CA4F9" w14:textId="77777777" w:rsidR="00D7596C" w:rsidRDefault="00D7596C">
      <w:r>
        <w:continuationSeparator/>
      </w:r>
    </w:p>
  </w:footnote>
  <w:footnote w:id="1">
    <w:p w14:paraId="0FFB78E2" w14:textId="77777777" w:rsidR="00544B0C" w:rsidRPr="006E31CF" w:rsidRDefault="00544B0C" w:rsidP="00544B0C">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3D592049" w14:textId="77777777" w:rsidR="00544B0C" w:rsidRPr="006E31CF" w:rsidRDefault="00544B0C" w:rsidP="00544B0C">
      <w:pPr>
        <w:pStyle w:val="Textonotapie"/>
        <w:rPr>
          <w:rFonts w:ascii="Palatino Linotype" w:hAnsi="Palatino Linotype"/>
          <w:sz w:val="18"/>
        </w:rPr>
      </w:pPr>
      <w:r w:rsidRPr="006E31CF">
        <w:rPr>
          <w:rFonts w:ascii="Palatino Linotype" w:hAnsi="Palatino Linotype"/>
          <w:sz w:val="18"/>
        </w:rPr>
        <w:t>…</w:t>
      </w:r>
    </w:p>
    <w:p w14:paraId="1F38747A" w14:textId="77777777" w:rsidR="00544B0C" w:rsidRPr="006E31CF" w:rsidRDefault="00544B0C" w:rsidP="00544B0C">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53D92BA2" w14:textId="77777777" w:rsidR="00544B0C" w:rsidRPr="006E31CF" w:rsidRDefault="00544B0C" w:rsidP="00544B0C">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4D6BD259" w14:textId="77777777" w:rsidR="00544B0C" w:rsidRDefault="00544B0C" w:rsidP="00544B0C">
      <w:pPr>
        <w:pStyle w:val="Textonotapie"/>
      </w:pPr>
      <w:r w:rsidRPr="006E31CF">
        <w:rPr>
          <w:rFonts w:ascii="Palatino Linotype" w:hAnsi="Palatino Linotype"/>
          <w:sz w:val="18"/>
        </w:rPr>
        <w:t>I. Desechar o sobreseer el recurso;</w:t>
      </w:r>
    </w:p>
  </w:footnote>
  <w:footnote w:id="3">
    <w:p w14:paraId="4962EF35" w14:textId="396DF12F" w:rsidR="00186837" w:rsidRDefault="00186837" w:rsidP="00186837">
      <w:pPr>
        <w:pStyle w:val="Textonotapie"/>
        <w:jc w:val="both"/>
      </w:pPr>
      <w:r>
        <w:rPr>
          <w:rStyle w:val="Refdenotaalpie"/>
        </w:rPr>
        <w:footnoteRef/>
      </w:r>
      <w:r>
        <w:t xml:space="preserve"> </w:t>
      </w:r>
      <w:r w:rsidRPr="00186837">
        <w:rPr>
          <w:rFonts w:ascii="Palatino Linotype" w:hAnsi="Palatino Linotype"/>
        </w:rPr>
        <w:t>Ver tesis con los siguientes rubros: “COPIAS CERTIFICADAS, OBLIGACIÓN DE EXPEDIR LAS” con localización: Tesis 265601. . Segunda Sala. Sexta Época. Semanario Judicial de la Federación. Volumen CIX, Tercera Parte, Pág. 14; “COPIAS. SÓLO TIENEN VALOR INDICIARIO AUN CUANDO ESTÉN</w:t>
      </w:r>
      <w:r w:rsidRPr="00186837">
        <w:t xml:space="preserve"> </w:t>
      </w:r>
      <w:r w:rsidRPr="00186837">
        <w:rPr>
          <w:rFonts w:ascii="Palatino Linotype" w:hAnsi="Palatino Linotype"/>
        </w:rPr>
        <w:t>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r w:rsidRPr="00186837">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E46369" w:rsidRPr="00E51193" w14:paraId="17A96649" w14:textId="77777777" w:rsidTr="00E46369">
      <w:tc>
        <w:tcPr>
          <w:tcW w:w="2552" w:type="dxa"/>
          <w:vAlign w:val="center"/>
          <w:hideMark/>
        </w:tcPr>
        <w:p w14:paraId="1B5C749B" w14:textId="77777777" w:rsidR="00E46369" w:rsidRPr="00E51193" w:rsidRDefault="00E46369" w:rsidP="00E46369">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44F21F59" w14:textId="251890AC" w:rsidR="00E46369" w:rsidRPr="00E51193" w:rsidRDefault="00E46369" w:rsidP="00E46369">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sidR="00BF4972">
            <w:rPr>
              <w:rFonts w:ascii="Palatino Linotype" w:hAnsi="Palatino Linotype"/>
              <w:b/>
              <w:sz w:val="21"/>
              <w:szCs w:val="21"/>
              <w:lang w:val="es-ES_tradnl"/>
            </w:rPr>
            <w:t>362</w:t>
          </w:r>
          <w:r w:rsidR="00056AE1">
            <w:rPr>
              <w:rFonts w:ascii="Palatino Linotype" w:hAnsi="Palatino Linotype"/>
              <w:b/>
              <w:sz w:val="21"/>
              <w:szCs w:val="21"/>
              <w:lang w:val="es-ES_tradnl"/>
            </w:rPr>
            <w:t>4/INFOEM/IP/RR/2021</w:t>
          </w:r>
        </w:p>
      </w:tc>
    </w:tr>
    <w:tr w:rsidR="00E46369" w:rsidRPr="00E51193" w14:paraId="7474F895" w14:textId="77777777" w:rsidTr="00E46369">
      <w:trPr>
        <w:trHeight w:val="228"/>
      </w:trPr>
      <w:tc>
        <w:tcPr>
          <w:tcW w:w="2552" w:type="dxa"/>
          <w:vAlign w:val="center"/>
          <w:hideMark/>
        </w:tcPr>
        <w:p w14:paraId="58C5C6E6" w14:textId="77777777" w:rsidR="00E46369" w:rsidRPr="00E51193" w:rsidRDefault="00E46369" w:rsidP="00E46369">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366C513A" w14:textId="1524A52F" w:rsidR="00E46369" w:rsidRPr="00E51193" w:rsidRDefault="00BF4972" w:rsidP="00E46369">
          <w:pPr>
            <w:jc w:val="both"/>
            <w:rPr>
              <w:rFonts w:ascii="Palatino Linotype" w:hAnsi="Palatino Linotype"/>
              <w:b/>
              <w:sz w:val="21"/>
              <w:szCs w:val="21"/>
              <w:lang w:val="es-ES_tradnl"/>
            </w:rPr>
          </w:pPr>
          <w:r>
            <w:rPr>
              <w:rFonts w:ascii="Palatino Linotype" w:hAnsi="Palatino Linotype"/>
              <w:b/>
              <w:bCs/>
              <w:sz w:val="21"/>
              <w:szCs w:val="21"/>
            </w:rPr>
            <w:t>Secretaría de Seguridad</w:t>
          </w:r>
        </w:p>
      </w:tc>
    </w:tr>
    <w:tr w:rsidR="00E46369" w:rsidRPr="00E51193" w14:paraId="5CE0CCD8" w14:textId="77777777" w:rsidTr="00E46369">
      <w:tc>
        <w:tcPr>
          <w:tcW w:w="2552" w:type="dxa"/>
          <w:vAlign w:val="center"/>
          <w:hideMark/>
        </w:tcPr>
        <w:p w14:paraId="46715627" w14:textId="35BB95B1" w:rsidR="00E46369" w:rsidRPr="00E51193" w:rsidRDefault="00056AE1" w:rsidP="00E46369">
          <w:pPr>
            <w:rPr>
              <w:rFonts w:ascii="Palatino Linotype" w:hAnsi="Palatino Linotype"/>
              <w:b/>
              <w:sz w:val="21"/>
              <w:szCs w:val="21"/>
              <w:lang w:val="es-ES_tradnl"/>
            </w:rPr>
          </w:pPr>
          <w:r>
            <w:rPr>
              <w:rFonts w:ascii="Palatino Linotype" w:hAnsi="Palatino Linotype"/>
              <w:b/>
              <w:sz w:val="21"/>
              <w:szCs w:val="21"/>
              <w:lang w:val="es-ES_tradnl"/>
            </w:rPr>
            <w:t>Comisionada</w:t>
          </w:r>
          <w:r w:rsidR="00E46369" w:rsidRPr="00E51193">
            <w:rPr>
              <w:rFonts w:ascii="Palatino Linotype" w:hAnsi="Palatino Linotype"/>
              <w:b/>
              <w:sz w:val="21"/>
              <w:szCs w:val="21"/>
              <w:lang w:val="es-ES_tradnl"/>
            </w:rPr>
            <w:t xml:space="preserve"> ponente:</w:t>
          </w:r>
        </w:p>
      </w:tc>
      <w:tc>
        <w:tcPr>
          <w:tcW w:w="2976" w:type="dxa"/>
          <w:vAlign w:val="center"/>
          <w:hideMark/>
        </w:tcPr>
        <w:p w14:paraId="0502F0E9" w14:textId="1E1DA795" w:rsidR="00E46369" w:rsidRPr="00E51193" w:rsidRDefault="00056AE1" w:rsidP="00E46369">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371F6F22" w14:textId="77777777" w:rsidR="00E46369" w:rsidRDefault="00E46369" w:rsidP="00E46369">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1773F80C" wp14:editId="56FFACD0">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22B41" w14:textId="5D439887" w:rsidR="00E46369" w:rsidRDefault="00E46369" w:rsidP="00E46369">
    <w:pPr>
      <w:pStyle w:val="Encabezado"/>
      <w:jc w:val="both"/>
    </w:pPr>
    <w:r>
      <w:t xml:space="preserve">                                  </w:t>
    </w:r>
  </w:p>
  <w:tbl>
    <w:tblPr>
      <w:tblW w:w="6238" w:type="dxa"/>
      <w:tblInd w:w="3119" w:type="dxa"/>
      <w:tblLayout w:type="fixed"/>
      <w:tblLook w:val="04A0" w:firstRow="1" w:lastRow="0" w:firstColumn="1" w:lastColumn="0" w:noHBand="0" w:noVBand="1"/>
    </w:tblPr>
    <w:tblGrid>
      <w:gridCol w:w="2551"/>
      <w:gridCol w:w="3687"/>
    </w:tblGrid>
    <w:tr w:rsidR="00E46369" w:rsidRPr="00294C56" w14:paraId="4CF0D1BE" w14:textId="77777777" w:rsidTr="00E46369">
      <w:tc>
        <w:tcPr>
          <w:tcW w:w="2551" w:type="dxa"/>
          <w:vAlign w:val="center"/>
          <w:hideMark/>
        </w:tcPr>
        <w:p w14:paraId="50F24B5C" w14:textId="77777777" w:rsidR="00E46369" w:rsidRPr="00541CBF" w:rsidRDefault="00E46369" w:rsidP="00E46369">
          <w:pPr>
            <w:rPr>
              <w:rFonts w:ascii="Palatino Linotype" w:hAnsi="Palatino Linotype"/>
              <w:b/>
              <w:sz w:val="22"/>
              <w:szCs w:val="21"/>
              <w:lang w:val="es-ES_tradnl"/>
            </w:rPr>
          </w:pPr>
          <w:r w:rsidRPr="00541CBF">
            <w:rPr>
              <w:rFonts w:ascii="Palatino Linotype" w:hAnsi="Palatino Linotype"/>
              <w:b/>
              <w:sz w:val="22"/>
              <w:szCs w:val="21"/>
              <w:lang w:val="es-ES_tradnl"/>
            </w:rPr>
            <w:t>Recurso de Revisión:</w:t>
          </w:r>
        </w:p>
      </w:tc>
      <w:tc>
        <w:tcPr>
          <w:tcW w:w="3687" w:type="dxa"/>
          <w:vAlign w:val="center"/>
          <w:hideMark/>
        </w:tcPr>
        <w:p w14:paraId="7A41E4BB" w14:textId="715E5046" w:rsidR="00E46369" w:rsidRPr="00541CBF" w:rsidRDefault="00E46369" w:rsidP="00E46369">
          <w:pPr>
            <w:jc w:val="both"/>
            <w:rPr>
              <w:rFonts w:ascii="Palatino Linotype" w:hAnsi="Palatino Linotype"/>
              <w:b/>
              <w:sz w:val="22"/>
              <w:szCs w:val="21"/>
              <w:lang w:val="es-ES_tradnl"/>
            </w:rPr>
          </w:pPr>
          <w:r w:rsidRPr="00541CBF">
            <w:rPr>
              <w:rFonts w:ascii="Palatino Linotype" w:hAnsi="Palatino Linotype"/>
              <w:b/>
              <w:sz w:val="22"/>
              <w:szCs w:val="21"/>
              <w:lang w:val="es-ES_tradnl"/>
            </w:rPr>
            <w:t>0</w:t>
          </w:r>
          <w:r w:rsidR="00BF4972">
            <w:rPr>
              <w:rFonts w:ascii="Palatino Linotype" w:hAnsi="Palatino Linotype"/>
              <w:b/>
              <w:sz w:val="22"/>
              <w:szCs w:val="21"/>
              <w:lang w:val="es-ES_tradnl"/>
            </w:rPr>
            <w:t>362</w:t>
          </w:r>
          <w:r w:rsidR="00056AE1" w:rsidRPr="00541CBF">
            <w:rPr>
              <w:rFonts w:ascii="Palatino Linotype" w:hAnsi="Palatino Linotype"/>
              <w:b/>
              <w:sz w:val="22"/>
              <w:szCs w:val="21"/>
              <w:lang w:val="es-ES_tradnl"/>
            </w:rPr>
            <w:t>4/INFOEM/IP/RR/2021</w:t>
          </w:r>
        </w:p>
      </w:tc>
    </w:tr>
    <w:tr w:rsidR="00E46369" w:rsidRPr="00294C56" w14:paraId="6D092976" w14:textId="77777777" w:rsidTr="008A5BDF">
      <w:trPr>
        <w:trHeight w:val="431"/>
      </w:trPr>
      <w:tc>
        <w:tcPr>
          <w:tcW w:w="2551" w:type="dxa"/>
          <w:vAlign w:val="center"/>
          <w:hideMark/>
        </w:tcPr>
        <w:p w14:paraId="4DAB50F2" w14:textId="77777777" w:rsidR="00E46369" w:rsidRPr="00541CBF" w:rsidRDefault="00E46369" w:rsidP="00E46369">
          <w:pPr>
            <w:ind w:left="35" w:hanging="35"/>
            <w:rPr>
              <w:rFonts w:ascii="Palatino Linotype" w:hAnsi="Palatino Linotype"/>
              <w:b/>
              <w:sz w:val="22"/>
              <w:szCs w:val="21"/>
              <w:lang w:val="es-ES_tradnl"/>
            </w:rPr>
          </w:pPr>
          <w:r w:rsidRPr="00541CBF">
            <w:rPr>
              <w:rFonts w:ascii="Palatino Linotype" w:hAnsi="Palatino Linotype"/>
              <w:b/>
              <w:sz w:val="22"/>
              <w:szCs w:val="21"/>
              <w:lang w:val="es-ES_tradnl"/>
            </w:rPr>
            <w:t>Recurrente:</w:t>
          </w:r>
        </w:p>
      </w:tc>
      <w:tc>
        <w:tcPr>
          <w:tcW w:w="3687" w:type="dxa"/>
          <w:vAlign w:val="center"/>
          <w:hideMark/>
        </w:tcPr>
        <w:p w14:paraId="404D3579" w14:textId="76FD1008" w:rsidR="00E46369" w:rsidRPr="00541CBF" w:rsidRDefault="000A285F" w:rsidP="00E46369">
          <w:pPr>
            <w:jc w:val="both"/>
            <w:rPr>
              <w:rFonts w:ascii="Palatino Linotype" w:hAnsi="Palatino Linotype"/>
              <w:b/>
              <w:sz w:val="22"/>
              <w:szCs w:val="21"/>
              <w:lang w:val="es-ES_tradnl"/>
            </w:rPr>
          </w:pPr>
          <w:r w:rsidRPr="00541CBF">
            <w:rPr>
              <w:noProof/>
              <w:sz w:val="22"/>
              <w:lang w:eastAsia="es-MX"/>
            </w:rPr>
            <w:drawing>
              <wp:anchor distT="0" distB="0" distL="114300" distR="114300" simplePos="0" relativeHeight="251660288" behindDoc="1" locked="0" layoutInCell="1" allowOverlap="1" wp14:anchorId="29959A34" wp14:editId="0881CF5E">
                <wp:simplePos x="0" y="0"/>
                <wp:positionH relativeFrom="page">
                  <wp:posOffset>-4549140</wp:posOffset>
                </wp:positionH>
                <wp:positionV relativeFrom="paragraph">
                  <wp:posOffset>-678180</wp:posOffset>
                </wp:positionV>
                <wp:extent cx="7635240" cy="994283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94283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sz w:val="22"/>
              <w:szCs w:val="21"/>
              <w:lang w:val="es-ES_tradnl"/>
            </w:rPr>
            <w:t xml:space="preserve"> XXXXX XXXXXX XXXXXX</w:t>
          </w:r>
        </w:p>
      </w:tc>
    </w:tr>
    <w:tr w:rsidR="00E46369" w:rsidRPr="00294C56" w14:paraId="0815F746" w14:textId="77777777" w:rsidTr="00E46369">
      <w:trPr>
        <w:trHeight w:val="228"/>
      </w:trPr>
      <w:tc>
        <w:tcPr>
          <w:tcW w:w="2551" w:type="dxa"/>
          <w:vAlign w:val="center"/>
          <w:hideMark/>
        </w:tcPr>
        <w:p w14:paraId="13889126" w14:textId="77777777" w:rsidR="00E46369" w:rsidRPr="00541CBF" w:rsidRDefault="00E46369" w:rsidP="00E46369">
          <w:pPr>
            <w:rPr>
              <w:rFonts w:ascii="Palatino Linotype" w:hAnsi="Palatino Linotype"/>
              <w:b/>
              <w:sz w:val="22"/>
              <w:szCs w:val="21"/>
              <w:lang w:val="es-ES_tradnl"/>
            </w:rPr>
          </w:pPr>
          <w:r w:rsidRPr="00541CBF">
            <w:rPr>
              <w:rFonts w:ascii="Palatino Linotype" w:hAnsi="Palatino Linotype"/>
              <w:b/>
              <w:sz w:val="22"/>
              <w:szCs w:val="21"/>
              <w:lang w:val="es-ES_tradnl"/>
            </w:rPr>
            <w:t>Sujeto obligado:</w:t>
          </w:r>
        </w:p>
      </w:tc>
      <w:tc>
        <w:tcPr>
          <w:tcW w:w="3687" w:type="dxa"/>
          <w:vAlign w:val="center"/>
          <w:hideMark/>
        </w:tcPr>
        <w:p w14:paraId="79352D40" w14:textId="55B7AB16" w:rsidR="00E46369" w:rsidRPr="00BF4972" w:rsidRDefault="00BF4972" w:rsidP="00E46369">
          <w:pPr>
            <w:jc w:val="both"/>
            <w:rPr>
              <w:rFonts w:ascii="Palatino Linotype" w:hAnsi="Palatino Linotype"/>
              <w:b/>
              <w:bCs/>
              <w:sz w:val="22"/>
              <w:szCs w:val="21"/>
            </w:rPr>
          </w:pPr>
          <w:r>
            <w:rPr>
              <w:rFonts w:ascii="Palatino Linotype" w:hAnsi="Palatino Linotype"/>
              <w:b/>
              <w:bCs/>
              <w:sz w:val="22"/>
              <w:szCs w:val="21"/>
            </w:rPr>
            <w:t>Secretaría de Seguridad</w:t>
          </w:r>
        </w:p>
      </w:tc>
    </w:tr>
    <w:tr w:rsidR="00E46369" w:rsidRPr="00294C56" w14:paraId="4ABEE419" w14:textId="77777777" w:rsidTr="00E46369">
      <w:tc>
        <w:tcPr>
          <w:tcW w:w="2551" w:type="dxa"/>
          <w:vAlign w:val="center"/>
          <w:hideMark/>
        </w:tcPr>
        <w:p w14:paraId="4DBBF831" w14:textId="20264929" w:rsidR="00E46369" w:rsidRPr="00541CBF" w:rsidRDefault="00056AE1" w:rsidP="00E46369">
          <w:pPr>
            <w:rPr>
              <w:rFonts w:ascii="Palatino Linotype" w:hAnsi="Palatino Linotype"/>
              <w:b/>
              <w:sz w:val="22"/>
              <w:szCs w:val="21"/>
              <w:lang w:val="es-ES_tradnl"/>
            </w:rPr>
          </w:pPr>
          <w:r w:rsidRPr="00541CBF">
            <w:rPr>
              <w:rFonts w:ascii="Palatino Linotype" w:hAnsi="Palatino Linotype"/>
              <w:b/>
              <w:sz w:val="22"/>
              <w:szCs w:val="21"/>
              <w:lang w:val="es-ES_tradnl"/>
            </w:rPr>
            <w:t>Comisionada</w:t>
          </w:r>
          <w:r w:rsidR="00E46369" w:rsidRPr="00541CBF">
            <w:rPr>
              <w:rFonts w:ascii="Palatino Linotype" w:hAnsi="Palatino Linotype"/>
              <w:b/>
              <w:sz w:val="22"/>
              <w:szCs w:val="21"/>
              <w:lang w:val="es-ES_tradnl"/>
            </w:rPr>
            <w:t xml:space="preserve"> ponente:</w:t>
          </w:r>
        </w:p>
      </w:tc>
      <w:tc>
        <w:tcPr>
          <w:tcW w:w="3687" w:type="dxa"/>
          <w:vAlign w:val="center"/>
          <w:hideMark/>
        </w:tcPr>
        <w:p w14:paraId="3F2D5FBE" w14:textId="12803E56" w:rsidR="00E46369" w:rsidRPr="00541CBF" w:rsidRDefault="00056AE1" w:rsidP="00E46369">
          <w:pPr>
            <w:ind w:right="-533"/>
            <w:jc w:val="both"/>
            <w:rPr>
              <w:rFonts w:ascii="Palatino Linotype" w:hAnsi="Palatino Linotype"/>
              <w:b/>
              <w:sz w:val="22"/>
              <w:szCs w:val="21"/>
              <w:lang w:val="es-ES_tradnl"/>
            </w:rPr>
          </w:pPr>
          <w:r w:rsidRPr="00541CBF">
            <w:rPr>
              <w:rFonts w:ascii="Palatino Linotype" w:hAnsi="Palatino Linotype"/>
              <w:b/>
              <w:sz w:val="22"/>
              <w:szCs w:val="21"/>
              <w:lang w:val="es-ES_tradnl"/>
            </w:rPr>
            <w:t>Guadalupe Ramírez Peña</w:t>
          </w:r>
        </w:p>
      </w:tc>
    </w:tr>
  </w:tbl>
  <w:p w14:paraId="18417863" w14:textId="77777777" w:rsidR="00E46369" w:rsidRDefault="00E46369" w:rsidP="00E4636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C5342" w14:textId="77777777" w:rsidR="00B22E83" w:rsidRDefault="00B22E83" w:rsidP="00E46369">
    <w:pPr>
      <w:pStyle w:val="Encabezado"/>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496D"/>
    <w:multiLevelType w:val="hybridMultilevel"/>
    <w:tmpl w:val="1F788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7153F5"/>
    <w:multiLevelType w:val="hybridMultilevel"/>
    <w:tmpl w:val="DE0E4724"/>
    <w:lvl w:ilvl="0" w:tplc="B1A6C1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086371"/>
    <w:multiLevelType w:val="hybridMultilevel"/>
    <w:tmpl w:val="CB980382"/>
    <w:lvl w:ilvl="0" w:tplc="FFC4CF8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876D16"/>
    <w:multiLevelType w:val="hybridMultilevel"/>
    <w:tmpl w:val="7FD6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43CC396C"/>
    <w:multiLevelType w:val="hybridMultilevel"/>
    <w:tmpl w:val="237CA58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48E1227B"/>
    <w:multiLevelType w:val="hybridMultilevel"/>
    <w:tmpl w:val="F7F063C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nsid w:val="4AAA132E"/>
    <w:multiLevelType w:val="hybridMultilevel"/>
    <w:tmpl w:val="E6669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B1C377F"/>
    <w:multiLevelType w:val="hybridMultilevel"/>
    <w:tmpl w:val="9912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8C00647"/>
    <w:multiLevelType w:val="hybridMultilevel"/>
    <w:tmpl w:val="8C2A97DE"/>
    <w:lvl w:ilvl="0" w:tplc="B7E44956">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AED1191"/>
    <w:multiLevelType w:val="hybridMultilevel"/>
    <w:tmpl w:val="C9D805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6129220C"/>
    <w:multiLevelType w:val="hybridMultilevel"/>
    <w:tmpl w:val="C91CB48C"/>
    <w:lvl w:ilvl="0" w:tplc="0DB2C3C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nsid w:val="62FA5499"/>
    <w:multiLevelType w:val="multilevel"/>
    <w:tmpl w:val="70DA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0C0DF4"/>
    <w:multiLevelType w:val="hybridMultilevel"/>
    <w:tmpl w:val="C91CB48C"/>
    <w:lvl w:ilvl="0" w:tplc="0DB2C3C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C6B0B93"/>
    <w:multiLevelType w:val="hybridMultilevel"/>
    <w:tmpl w:val="95C40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7817371"/>
    <w:multiLevelType w:val="hybridMultilevel"/>
    <w:tmpl w:val="9474D1C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5"/>
  </w:num>
  <w:num w:numId="2">
    <w:abstractNumId w:val="1"/>
  </w:num>
  <w:num w:numId="3">
    <w:abstractNumId w:val="9"/>
  </w:num>
  <w:num w:numId="4">
    <w:abstractNumId w:val="11"/>
  </w:num>
  <w:num w:numId="5">
    <w:abstractNumId w:val="3"/>
  </w:num>
  <w:num w:numId="6">
    <w:abstractNumId w:val="2"/>
  </w:num>
  <w:num w:numId="7">
    <w:abstractNumId w:val="0"/>
  </w:num>
  <w:num w:numId="8">
    <w:abstractNumId w:val="13"/>
  </w:num>
  <w:num w:numId="9">
    <w:abstractNumId w:val="16"/>
  </w:num>
  <w:num w:numId="10">
    <w:abstractNumId w:val="17"/>
  </w:num>
  <w:num w:numId="11">
    <w:abstractNumId w:val="5"/>
  </w:num>
  <w:num w:numId="12">
    <w:abstractNumId w:val="8"/>
  </w:num>
  <w:num w:numId="13">
    <w:abstractNumId w:val="7"/>
  </w:num>
  <w:num w:numId="14">
    <w:abstractNumId w:val="12"/>
  </w:num>
  <w:num w:numId="15">
    <w:abstractNumId w:val="6"/>
  </w:num>
  <w:num w:numId="16">
    <w:abstractNumId w:val="4"/>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98"/>
    <w:rsid w:val="0001513C"/>
    <w:rsid w:val="000509AF"/>
    <w:rsid w:val="00050CEC"/>
    <w:rsid w:val="000514B2"/>
    <w:rsid w:val="000568C5"/>
    <w:rsid w:val="00056AE1"/>
    <w:rsid w:val="0007583A"/>
    <w:rsid w:val="00085930"/>
    <w:rsid w:val="00086D94"/>
    <w:rsid w:val="00096ABA"/>
    <w:rsid w:val="000A285F"/>
    <w:rsid w:val="00100BA4"/>
    <w:rsid w:val="00101E7C"/>
    <w:rsid w:val="00102CB8"/>
    <w:rsid w:val="00145ECB"/>
    <w:rsid w:val="00167B6A"/>
    <w:rsid w:val="001745C4"/>
    <w:rsid w:val="00186837"/>
    <w:rsid w:val="001C29A2"/>
    <w:rsid w:val="001D48D9"/>
    <w:rsid w:val="00200718"/>
    <w:rsid w:val="00211620"/>
    <w:rsid w:val="002530DA"/>
    <w:rsid w:val="00255C71"/>
    <w:rsid w:val="00271FE2"/>
    <w:rsid w:val="00294440"/>
    <w:rsid w:val="002A130D"/>
    <w:rsid w:val="002C4AD5"/>
    <w:rsid w:val="002D3B50"/>
    <w:rsid w:val="003026B3"/>
    <w:rsid w:val="00342E40"/>
    <w:rsid w:val="003538A4"/>
    <w:rsid w:val="00393492"/>
    <w:rsid w:val="003E0A3E"/>
    <w:rsid w:val="003E6F6F"/>
    <w:rsid w:val="004326A0"/>
    <w:rsid w:val="0046390E"/>
    <w:rsid w:val="00467A91"/>
    <w:rsid w:val="00467CAE"/>
    <w:rsid w:val="00485BC7"/>
    <w:rsid w:val="004C760D"/>
    <w:rsid w:val="004E5B98"/>
    <w:rsid w:val="00505347"/>
    <w:rsid w:val="005176D6"/>
    <w:rsid w:val="00541CBF"/>
    <w:rsid w:val="00544B0C"/>
    <w:rsid w:val="005903D0"/>
    <w:rsid w:val="00590FC4"/>
    <w:rsid w:val="005A66AB"/>
    <w:rsid w:val="005E0CA6"/>
    <w:rsid w:val="005E2DAD"/>
    <w:rsid w:val="005E7F67"/>
    <w:rsid w:val="0060556D"/>
    <w:rsid w:val="00622BE6"/>
    <w:rsid w:val="00651F1D"/>
    <w:rsid w:val="00661150"/>
    <w:rsid w:val="006749A3"/>
    <w:rsid w:val="00686B7F"/>
    <w:rsid w:val="00696CAB"/>
    <w:rsid w:val="006D24E7"/>
    <w:rsid w:val="007644BD"/>
    <w:rsid w:val="007707B4"/>
    <w:rsid w:val="00780F7B"/>
    <w:rsid w:val="007E328A"/>
    <w:rsid w:val="007F4D71"/>
    <w:rsid w:val="00802FA0"/>
    <w:rsid w:val="00806347"/>
    <w:rsid w:val="00824C49"/>
    <w:rsid w:val="00841824"/>
    <w:rsid w:val="00876963"/>
    <w:rsid w:val="0088388C"/>
    <w:rsid w:val="008921BD"/>
    <w:rsid w:val="008A5BDF"/>
    <w:rsid w:val="008D79C0"/>
    <w:rsid w:val="008E76D7"/>
    <w:rsid w:val="00905A92"/>
    <w:rsid w:val="009200A4"/>
    <w:rsid w:val="0092322B"/>
    <w:rsid w:val="00950002"/>
    <w:rsid w:val="00961F13"/>
    <w:rsid w:val="00963DFA"/>
    <w:rsid w:val="009678AF"/>
    <w:rsid w:val="009860A3"/>
    <w:rsid w:val="00986132"/>
    <w:rsid w:val="009862DD"/>
    <w:rsid w:val="00995216"/>
    <w:rsid w:val="009A6034"/>
    <w:rsid w:val="009B1168"/>
    <w:rsid w:val="00A1520C"/>
    <w:rsid w:val="00A52290"/>
    <w:rsid w:val="00A6266F"/>
    <w:rsid w:val="00A63634"/>
    <w:rsid w:val="00AC0D7B"/>
    <w:rsid w:val="00AC2D98"/>
    <w:rsid w:val="00AE14F1"/>
    <w:rsid w:val="00AF537B"/>
    <w:rsid w:val="00B07F66"/>
    <w:rsid w:val="00B21A6F"/>
    <w:rsid w:val="00B22E83"/>
    <w:rsid w:val="00B344BA"/>
    <w:rsid w:val="00B619C4"/>
    <w:rsid w:val="00B65E33"/>
    <w:rsid w:val="00B82BF7"/>
    <w:rsid w:val="00B9328F"/>
    <w:rsid w:val="00BA2118"/>
    <w:rsid w:val="00BA3957"/>
    <w:rsid w:val="00BC2CA8"/>
    <w:rsid w:val="00BD5405"/>
    <w:rsid w:val="00BE588B"/>
    <w:rsid w:val="00BF1A00"/>
    <w:rsid w:val="00BF4972"/>
    <w:rsid w:val="00BF5198"/>
    <w:rsid w:val="00C3076A"/>
    <w:rsid w:val="00C91842"/>
    <w:rsid w:val="00C93F5E"/>
    <w:rsid w:val="00CA54AC"/>
    <w:rsid w:val="00CF1CB4"/>
    <w:rsid w:val="00D02381"/>
    <w:rsid w:val="00D10D7D"/>
    <w:rsid w:val="00D7548B"/>
    <w:rsid w:val="00D7596C"/>
    <w:rsid w:val="00D7726E"/>
    <w:rsid w:val="00D910D6"/>
    <w:rsid w:val="00DD71DF"/>
    <w:rsid w:val="00DE3525"/>
    <w:rsid w:val="00DF305C"/>
    <w:rsid w:val="00E26C63"/>
    <w:rsid w:val="00E34919"/>
    <w:rsid w:val="00E46369"/>
    <w:rsid w:val="00E72A3F"/>
    <w:rsid w:val="00E85C7B"/>
    <w:rsid w:val="00F37C60"/>
    <w:rsid w:val="00F5321F"/>
    <w:rsid w:val="00F558CD"/>
    <w:rsid w:val="00F65DC4"/>
    <w:rsid w:val="00FA0BE1"/>
    <w:rsid w:val="00FA41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3DE53"/>
  <w15:chartTrackingRefBased/>
  <w15:docId w15:val="{B33DD8E6-A4B5-4065-8F09-11EA481BC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D9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2D9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2D98"/>
    <w:rPr>
      <w:rFonts w:eastAsiaTheme="minorEastAsia"/>
      <w:sz w:val="24"/>
      <w:szCs w:val="24"/>
      <w:lang w:val="es-ES_tradnl" w:eastAsia="es-ES"/>
    </w:rPr>
  </w:style>
  <w:style w:type="paragraph" w:styleId="Piedepgina">
    <w:name w:val="footer"/>
    <w:basedOn w:val="Normal"/>
    <w:link w:val="PiedepginaCar"/>
    <w:uiPriority w:val="99"/>
    <w:unhideWhenUsed/>
    <w:rsid w:val="00AC2D9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2D9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2D9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2D98"/>
    <w:pPr>
      <w:ind w:left="708"/>
    </w:pPr>
    <w:rPr>
      <w:sz w:val="22"/>
      <w:szCs w:val="22"/>
      <w:lang w:eastAsia="en-US"/>
    </w:rPr>
  </w:style>
  <w:style w:type="table" w:styleId="Tablaconcuadrcula">
    <w:name w:val="Table Grid"/>
    <w:basedOn w:val="Tablanormal"/>
    <w:uiPriority w:val="39"/>
    <w:rsid w:val="00AC2D98"/>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2D98"/>
  </w:style>
  <w:style w:type="character" w:customStyle="1" w:styleId="apple-converted-space">
    <w:name w:val="apple-converted-space"/>
    <w:basedOn w:val="Fuentedeprrafopredeter"/>
    <w:rsid w:val="00AC2D98"/>
  </w:style>
  <w:style w:type="character" w:styleId="Hipervnculo">
    <w:name w:val="Hyperlink"/>
    <w:basedOn w:val="Fuentedeprrafopredeter"/>
    <w:uiPriority w:val="99"/>
    <w:unhideWhenUsed/>
    <w:rsid w:val="00AC2D98"/>
    <w:rPr>
      <w:color w:val="0000FF"/>
      <w:u w:val="single"/>
    </w:rPr>
  </w:style>
  <w:style w:type="paragraph" w:styleId="NormalWeb">
    <w:name w:val="Normal (Web)"/>
    <w:basedOn w:val="Normal"/>
    <w:uiPriority w:val="99"/>
    <w:unhideWhenUsed/>
    <w:rsid w:val="00AC2D98"/>
    <w:pPr>
      <w:spacing w:before="100" w:beforeAutospacing="1" w:after="100" w:afterAutospacing="1"/>
    </w:pPr>
    <w:rPr>
      <w:lang w:eastAsia="es-MX"/>
    </w:rPr>
  </w:style>
  <w:style w:type="paragraph" w:customStyle="1" w:styleId="Default">
    <w:name w:val="Default"/>
    <w:rsid w:val="00AC2D9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D7548B"/>
    <w:pPr>
      <w:spacing w:after="0" w:line="240" w:lineRule="auto"/>
    </w:pPr>
  </w:style>
  <w:style w:type="character" w:customStyle="1" w:styleId="SinespaciadoCar">
    <w:name w:val="Sin espaciado Car"/>
    <w:aliases w:val="Francesa Car"/>
    <w:link w:val="Sinespaciado"/>
    <w:uiPriority w:val="1"/>
    <w:locked/>
    <w:rsid w:val="00D7548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707B4"/>
    <w:rPr>
      <w:vertAlign w:val="superscript"/>
    </w:rPr>
  </w:style>
  <w:style w:type="paragraph" w:customStyle="1" w:styleId="ADB1">
    <w:name w:val="ADB1"/>
    <w:basedOn w:val="Normal"/>
    <w:next w:val="Textonotapie"/>
    <w:link w:val="TextonotapieCar"/>
    <w:uiPriority w:val="99"/>
    <w:unhideWhenUsed/>
    <w:qFormat/>
    <w:rsid w:val="007707B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uiPriority w:val="99"/>
    <w:rsid w:val="007707B4"/>
    <w:rPr>
      <w:sz w:val="20"/>
      <w:szCs w:val="20"/>
      <w:lang w:val="es-MX"/>
    </w:rPr>
  </w:style>
  <w:style w:type="paragraph" w:styleId="Textonotapie">
    <w:name w:val="footnote text"/>
    <w:basedOn w:val="Normal"/>
    <w:link w:val="TextonotapieCar1"/>
    <w:uiPriority w:val="99"/>
    <w:semiHidden/>
    <w:unhideWhenUsed/>
    <w:rsid w:val="007707B4"/>
    <w:rPr>
      <w:sz w:val="20"/>
      <w:szCs w:val="20"/>
    </w:rPr>
  </w:style>
  <w:style w:type="character" w:customStyle="1" w:styleId="TextonotapieCar1">
    <w:name w:val="Texto nota pie Car1"/>
    <w:basedOn w:val="Fuentedeprrafopredeter"/>
    <w:link w:val="Textonotapie"/>
    <w:uiPriority w:val="99"/>
    <w:semiHidden/>
    <w:rsid w:val="007707B4"/>
    <w:rPr>
      <w:rFonts w:ascii="Times New Roman" w:eastAsia="Times New Roman" w:hAnsi="Times New Roman" w:cs="Times New Roman"/>
      <w:sz w:val="20"/>
      <w:szCs w:val="20"/>
      <w:lang w:eastAsia="es-ES"/>
    </w:rPr>
  </w:style>
  <w:style w:type="character" w:styleId="Refdecomentario">
    <w:name w:val="annotation reference"/>
    <w:basedOn w:val="Fuentedeprrafopredeter"/>
    <w:uiPriority w:val="99"/>
    <w:semiHidden/>
    <w:unhideWhenUsed/>
    <w:rsid w:val="0088388C"/>
    <w:rPr>
      <w:sz w:val="16"/>
      <w:szCs w:val="16"/>
    </w:rPr>
  </w:style>
  <w:style w:type="paragraph" w:styleId="Textocomentario">
    <w:name w:val="annotation text"/>
    <w:basedOn w:val="Normal"/>
    <w:link w:val="TextocomentarioCar"/>
    <w:uiPriority w:val="99"/>
    <w:semiHidden/>
    <w:unhideWhenUsed/>
    <w:rsid w:val="0088388C"/>
    <w:rPr>
      <w:sz w:val="20"/>
      <w:szCs w:val="20"/>
      <w:lang w:val="es-ES"/>
    </w:rPr>
  </w:style>
  <w:style w:type="character" w:customStyle="1" w:styleId="TextocomentarioCar">
    <w:name w:val="Texto comentario Car"/>
    <w:basedOn w:val="Fuentedeprrafopredeter"/>
    <w:link w:val="Textocomentario"/>
    <w:uiPriority w:val="99"/>
    <w:semiHidden/>
    <w:rsid w:val="0088388C"/>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82163">
      <w:bodyDiv w:val="1"/>
      <w:marLeft w:val="0"/>
      <w:marRight w:val="0"/>
      <w:marTop w:val="0"/>
      <w:marBottom w:val="0"/>
      <w:divBdr>
        <w:top w:val="none" w:sz="0" w:space="0" w:color="auto"/>
        <w:left w:val="none" w:sz="0" w:space="0" w:color="auto"/>
        <w:bottom w:val="none" w:sz="0" w:space="0" w:color="auto"/>
        <w:right w:val="none" w:sz="0" w:space="0" w:color="auto"/>
      </w:divBdr>
    </w:div>
    <w:div w:id="285547709">
      <w:bodyDiv w:val="1"/>
      <w:marLeft w:val="0"/>
      <w:marRight w:val="0"/>
      <w:marTop w:val="0"/>
      <w:marBottom w:val="0"/>
      <w:divBdr>
        <w:top w:val="none" w:sz="0" w:space="0" w:color="auto"/>
        <w:left w:val="none" w:sz="0" w:space="0" w:color="auto"/>
        <w:bottom w:val="none" w:sz="0" w:space="0" w:color="auto"/>
        <w:right w:val="none" w:sz="0" w:space="0" w:color="auto"/>
      </w:divBdr>
    </w:div>
    <w:div w:id="375588863">
      <w:bodyDiv w:val="1"/>
      <w:marLeft w:val="0"/>
      <w:marRight w:val="0"/>
      <w:marTop w:val="0"/>
      <w:marBottom w:val="0"/>
      <w:divBdr>
        <w:top w:val="none" w:sz="0" w:space="0" w:color="auto"/>
        <w:left w:val="none" w:sz="0" w:space="0" w:color="auto"/>
        <w:bottom w:val="none" w:sz="0" w:space="0" w:color="auto"/>
        <w:right w:val="none" w:sz="0" w:space="0" w:color="auto"/>
      </w:divBdr>
    </w:div>
    <w:div w:id="985205455">
      <w:bodyDiv w:val="1"/>
      <w:marLeft w:val="0"/>
      <w:marRight w:val="0"/>
      <w:marTop w:val="0"/>
      <w:marBottom w:val="0"/>
      <w:divBdr>
        <w:top w:val="none" w:sz="0" w:space="0" w:color="auto"/>
        <w:left w:val="none" w:sz="0" w:space="0" w:color="auto"/>
        <w:bottom w:val="none" w:sz="0" w:space="0" w:color="auto"/>
        <w:right w:val="none" w:sz="0" w:space="0" w:color="auto"/>
      </w:divBdr>
    </w:div>
    <w:div w:id="1146818342">
      <w:bodyDiv w:val="1"/>
      <w:marLeft w:val="0"/>
      <w:marRight w:val="0"/>
      <w:marTop w:val="0"/>
      <w:marBottom w:val="0"/>
      <w:divBdr>
        <w:top w:val="none" w:sz="0" w:space="0" w:color="auto"/>
        <w:left w:val="none" w:sz="0" w:space="0" w:color="auto"/>
        <w:bottom w:val="none" w:sz="0" w:space="0" w:color="auto"/>
        <w:right w:val="none" w:sz="0" w:space="0" w:color="auto"/>
      </w:divBdr>
    </w:div>
    <w:div w:id="1147284913">
      <w:bodyDiv w:val="1"/>
      <w:marLeft w:val="0"/>
      <w:marRight w:val="0"/>
      <w:marTop w:val="0"/>
      <w:marBottom w:val="0"/>
      <w:divBdr>
        <w:top w:val="none" w:sz="0" w:space="0" w:color="auto"/>
        <w:left w:val="none" w:sz="0" w:space="0" w:color="auto"/>
        <w:bottom w:val="none" w:sz="0" w:space="0" w:color="auto"/>
        <w:right w:val="none" w:sz="0" w:space="0" w:color="auto"/>
      </w:divBdr>
    </w:div>
    <w:div w:id="1320111227">
      <w:bodyDiv w:val="1"/>
      <w:marLeft w:val="0"/>
      <w:marRight w:val="0"/>
      <w:marTop w:val="0"/>
      <w:marBottom w:val="0"/>
      <w:divBdr>
        <w:top w:val="none" w:sz="0" w:space="0" w:color="auto"/>
        <w:left w:val="none" w:sz="0" w:space="0" w:color="auto"/>
        <w:bottom w:val="none" w:sz="0" w:space="0" w:color="auto"/>
        <w:right w:val="none" w:sz="0" w:space="0" w:color="auto"/>
      </w:divBdr>
    </w:div>
    <w:div w:id="1458332517">
      <w:bodyDiv w:val="1"/>
      <w:marLeft w:val="0"/>
      <w:marRight w:val="0"/>
      <w:marTop w:val="0"/>
      <w:marBottom w:val="0"/>
      <w:divBdr>
        <w:top w:val="none" w:sz="0" w:space="0" w:color="auto"/>
        <w:left w:val="none" w:sz="0" w:space="0" w:color="auto"/>
        <w:bottom w:val="none" w:sz="0" w:space="0" w:color="auto"/>
        <w:right w:val="none" w:sz="0" w:space="0" w:color="auto"/>
      </w:divBdr>
    </w:div>
    <w:div w:id="165972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92B3F-79A6-4E9B-B14D-4A1BC3604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4573</Words>
  <Characters>25155</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dc:creator>
  <cp:keywords/>
  <dc:description/>
  <cp:lastModifiedBy>USUARIO</cp:lastModifiedBy>
  <cp:revision>2</cp:revision>
  <dcterms:created xsi:type="dcterms:W3CDTF">2021-10-01T14:58:00Z</dcterms:created>
  <dcterms:modified xsi:type="dcterms:W3CDTF">2021-10-01T14:58:00Z</dcterms:modified>
</cp:coreProperties>
</file>