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B2062" w14:textId="123506C2" w:rsidR="00C33FD9" w:rsidRPr="00CB2EA8" w:rsidRDefault="00C33FD9" w:rsidP="00C33FD9">
      <w:pPr>
        <w:spacing w:before="100" w:beforeAutospacing="1" w:after="100" w:afterAutospacing="1" w:line="360" w:lineRule="auto"/>
        <w:jc w:val="both"/>
        <w:rPr>
          <w:rFonts w:ascii="Palatino Linotype" w:hAnsi="Palatino Linotype"/>
        </w:rPr>
      </w:pPr>
      <w:r w:rsidRPr="00CB2EA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6453E" w:rsidRPr="00CB2EA8">
        <w:rPr>
          <w:rFonts w:ascii="Palatino Linotype" w:hAnsi="Palatino Linotype"/>
        </w:rPr>
        <w:t>diecinueve de mayo</w:t>
      </w:r>
      <w:r w:rsidR="00CC79D6" w:rsidRPr="00CB2EA8">
        <w:rPr>
          <w:rFonts w:ascii="Palatino Linotype" w:hAnsi="Palatino Linotype"/>
        </w:rPr>
        <w:t xml:space="preserve"> </w:t>
      </w:r>
      <w:r w:rsidRPr="00CB2EA8">
        <w:rPr>
          <w:rFonts w:ascii="Palatino Linotype" w:hAnsi="Palatino Linotype"/>
        </w:rPr>
        <w:t>de</w:t>
      </w:r>
      <w:bookmarkStart w:id="0" w:name="_GoBack"/>
      <w:bookmarkEnd w:id="0"/>
      <w:r w:rsidRPr="00CB2EA8">
        <w:rPr>
          <w:rFonts w:ascii="Palatino Linotype" w:hAnsi="Palatino Linotype"/>
        </w:rPr>
        <w:t xml:space="preserve"> dos mil </w:t>
      </w:r>
      <w:r w:rsidR="009A0B20" w:rsidRPr="00CB2EA8">
        <w:rPr>
          <w:rFonts w:ascii="Palatino Linotype" w:hAnsi="Palatino Linotype"/>
        </w:rPr>
        <w:t>veintiuno</w:t>
      </w:r>
      <w:r w:rsidRPr="00CB2EA8">
        <w:rPr>
          <w:rFonts w:ascii="Palatino Linotype" w:hAnsi="Palatino Linotype"/>
        </w:rPr>
        <w:t>.</w:t>
      </w:r>
    </w:p>
    <w:p w14:paraId="1D8B2063" w14:textId="10304896" w:rsidR="00C33FD9" w:rsidRPr="00CB2EA8" w:rsidRDefault="00C33FD9" w:rsidP="00C33FD9">
      <w:pPr>
        <w:spacing w:before="100" w:beforeAutospacing="1" w:after="100" w:afterAutospacing="1" w:line="360" w:lineRule="auto"/>
        <w:jc w:val="both"/>
        <w:rPr>
          <w:rFonts w:ascii="Palatino Linotype" w:hAnsi="Palatino Linotype"/>
        </w:rPr>
      </w:pPr>
      <w:r w:rsidRPr="00CB2EA8">
        <w:rPr>
          <w:rFonts w:ascii="Palatino Linotype" w:hAnsi="Palatino Linotype"/>
          <w:b/>
        </w:rPr>
        <w:t>VISTO</w:t>
      </w:r>
      <w:r w:rsidRPr="00CB2EA8">
        <w:rPr>
          <w:rFonts w:ascii="Palatino Linotype" w:hAnsi="Palatino Linotype"/>
        </w:rPr>
        <w:t xml:space="preserve"> el expediente formado con motivo del recurso de revisión </w:t>
      </w:r>
      <w:r w:rsidR="0016453E" w:rsidRPr="00CB2EA8">
        <w:rPr>
          <w:rFonts w:ascii="Palatino Linotype" w:hAnsi="Palatino Linotype"/>
          <w:b/>
        </w:rPr>
        <w:t>0143</w:t>
      </w:r>
      <w:r w:rsidR="00CC79D6" w:rsidRPr="00CB2EA8">
        <w:rPr>
          <w:rFonts w:ascii="Palatino Linotype" w:hAnsi="Palatino Linotype"/>
          <w:b/>
        </w:rPr>
        <w:t>7/INFOEM/IP/RR/202</w:t>
      </w:r>
      <w:r w:rsidR="0006116C" w:rsidRPr="00CB2EA8">
        <w:rPr>
          <w:rFonts w:ascii="Palatino Linotype" w:hAnsi="Palatino Linotype"/>
          <w:b/>
        </w:rPr>
        <w:t>1</w:t>
      </w:r>
      <w:r w:rsidR="00CC79D6" w:rsidRPr="00CB2EA8">
        <w:rPr>
          <w:rFonts w:ascii="Palatino Linotype" w:hAnsi="Palatino Linotype"/>
        </w:rPr>
        <w:t>, promovido por l</w:t>
      </w:r>
      <w:r w:rsidR="0016453E" w:rsidRPr="00CB2EA8">
        <w:rPr>
          <w:rFonts w:ascii="Palatino Linotype" w:hAnsi="Palatino Linotype"/>
        </w:rPr>
        <w:t>a</w:t>
      </w:r>
      <w:r w:rsidR="00CC79D6" w:rsidRPr="00CB2EA8">
        <w:rPr>
          <w:rFonts w:ascii="Palatino Linotype" w:hAnsi="Palatino Linotype"/>
        </w:rPr>
        <w:t xml:space="preserve"> C.</w:t>
      </w:r>
      <w:r w:rsidR="00CC79D6" w:rsidRPr="00CB2EA8">
        <w:t xml:space="preserve"> </w:t>
      </w:r>
      <w:r w:rsidR="00925821" w:rsidRPr="00925821">
        <w:rPr>
          <w:rFonts w:ascii="Palatino Linotype" w:hAnsi="Palatino Linotype"/>
          <w:b/>
        </w:rPr>
        <w:t>Xxxxx Xxxxxx Xxxxxx</w:t>
      </w:r>
      <w:r w:rsidRPr="00CB2EA8">
        <w:rPr>
          <w:rFonts w:ascii="Palatino Linotype" w:hAnsi="Palatino Linotype"/>
          <w:b/>
        </w:rPr>
        <w:t>,</w:t>
      </w:r>
      <w:r w:rsidRPr="00CB2EA8">
        <w:rPr>
          <w:rFonts w:ascii="Palatino Linotype" w:hAnsi="Palatino Linotype"/>
        </w:rPr>
        <w:t xml:space="preserve"> en lo sucesivo </w:t>
      </w:r>
      <w:r w:rsidRPr="00CB2EA8">
        <w:rPr>
          <w:rFonts w:ascii="Palatino Linotype" w:hAnsi="Palatino Linotype"/>
          <w:b/>
        </w:rPr>
        <w:t>L</w:t>
      </w:r>
      <w:r w:rsidR="0016453E" w:rsidRPr="00CB2EA8">
        <w:rPr>
          <w:rFonts w:ascii="Palatino Linotype" w:hAnsi="Palatino Linotype"/>
          <w:b/>
        </w:rPr>
        <w:t>A</w:t>
      </w:r>
      <w:r w:rsidRPr="00CB2EA8">
        <w:rPr>
          <w:rFonts w:ascii="Palatino Linotype" w:hAnsi="Palatino Linotype"/>
          <w:b/>
        </w:rPr>
        <w:t xml:space="preserve"> RECURRENTE,</w:t>
      </w:r>
      <w:r w:rsidRPr="00CB2EA8">
        <w:rPr>
          <w:rFonts w:ascii="Palatino Linotype" w:hAnsi="Palatino Linotype"/>
        </w:rPr>
        <w:t xml:space="preserve"> en contra de la respuesta emitida por el</w:t>
      </w:r>
      <w:r w:rsidRPr="00CB2EA8">
        <w:rPr>
          <w:rFonts w:ascii="Palatino Linotype" w:hAnsi="Palatino Linotype"/>
          <w:b/>
        </w:rPr>
        <w:t xml:space="preserve"> </w:t>
      </w:r>
      <w:r w:rsidR="0016453E" w:rsidRPr="00CB2EA8">
        <w:rPr>
          <w:rFonts w:ascii="Palatino Linotype" w:hAnsi="Palatino Linotype"/>
          <w:b/>
          <w:lang w:val="es-ES_tradnl"/>
        </w:rPr>
        <w:t>Ayuntamiento de Ixtapan de la Sal</w:t>
      </w:r>
      <w:r w:rsidRPr="00CB2EA8">
        <w:rPr>
          <w:rFonts w:ascii="Palatino Linotype" w:hAnsi="Palatino Linotype"/>
        </w:rPr>
        <w:t xml:space="preserve">, en lo sucesivo </w:t>
      </w:r>
      <w:r w:rsidRPr="00CB2EA8">
        <w:rPr>
          <w:rFonts w:ascii="Palatino Linotype" w:hAnsi="Palatino Linotype"/>
          <w:b/>
        </w:rPr>
        <w:t>EL SUJETO OBLIGADO</w:t>
      </w:r>
      <w:r w:rsidRPr="00CB2EA8">
        <w:rPr>
          <w:rFonts w:ascii="Palatino Linotype" w:hAnsi="Palatino Linotype"/>
        </w:rPr>
        <w:t xml:space="preserve">, se procede a dictar la presente resolución con base en lo siguiente: </w:t>
      </w:r>
    </w:p>
    <w:p w14:paraId="1D8B2064" w14:textId="77777777" w:rsidR="00C33FD9" w:rsidRPr="00CB2EA8" w:rsidRDefault="00C33FD9" w:rsidP="00C33FD9">
      <w:pPr>
        <w:spacing w:before="100" w:beforeAutospacing="1" w:after="100" w:afterAutospacing="1" w:line="360" w:lineRule="auto"/>
        <w:jc w:val="center"/>
        <w:rPr>
          <w:rFonts w:ascii="Palatino Linotype" w:hAnsi="Palatino Linotype"/>
          <w:b/>
          <w:bCs/>
          <w:spacing w:val="60"/>
          <w:sz w:val="28"/>
        </w:rPr>
      </w:pPr>
      <w:r w:rsidRPr="00CB2EA8">
        <w:rPr>
          <w:rFonts w:ascii="Palatino Linotype" w:hAnsi="Palatino Linotype"/>
          <w:b/>
          <w:bCs/>
          <w:spacing w:val="60"/>
          <w:sz w:val="28"/>
        </w:rPr>
        <w:t>RESULTANDO</w:t>
      </w:r>
    </w:p>
    <w:p w14:paraId="1D8B2065" w14:textId="77777777" w:rsidR="00C33FD9" w:rsidRPr="00CB2EA8" w:rsidRDefault="00C33FD9" w:rsidP="00C33FD9">
      <w:pPr>
        <w:pStyle w:val="Prrafodelista"/>
        <w:spacing w:before="100" w:beforeAutospacing="1" w:after="100" w:afterAutospacing="1" w:line="360" w:lineRule="auto"/>
        <w:ind w:left="0"/>
        <w:jc w:val="both"/>
        <w:rPr>
          <w:rFonts w:ascii="Palatino Linotype" w:hAnsi="Palatino Linotype" w:cs="Arial"/>
        </w:rPr>
      </w:pPr>
      <w:r w:rsidRPr="00CB2EA8">
        <w:rPr>
          <w:rFonts w:ascii="Palatino Linotype" w:hAnsi="Palatino Linotype"/>
          <w:b/>
          <w:sz w:val="28"/>
          <w:szCs w:val="28"/>
        </w:rPr>
        <w:t>I.</w:t>
      </w:r>
      <w:r w:rsidRPr="00CB2EA8">
        <w:rPr>
          <w:rFonts w:ascii="Palatino Linotype" w:hAnsi="Palatino Linotype"/>
        </w:rPr>
        <w:t xml:space="preserve"> En fecha </w:t>
      </w:r>
      <w:r w:rsidR="0016453E" w:rsidRPr="00CB2EA8">
        <w:rPr>
          <w:rFonts w:ascii="Palatino Linotype" w:hAnsi="Palatino Linotype"/>
        </w:rPr>
        <w:t>once de marzo de dos mil veintiuno</w:t>
      </w:r>
      <w:r w:rsidRPr="00CB2EA8">
        <w:rPr>
          <w:rFonts w:ascii="Palatino Linotype" w:hAnsi="Palatino Linotype"/>
        </w:rPr>
        <w:t xml:space="preserve">, </w:t>
      </w:r>
      <w:r w:rsidRPr="00CB2EA8">
        <w:rPr>
          <w:rFonts w:ascii="Palatino Linotype" w:hAnsi="Palatino Linotype"/>
          <w:b/>
        </w:rPr>
        <w:t>L</w:t>
      </w:r>
      <w:r w:rsidR="0016453E" w:rsidRPr="00CB2EA8">
        <w:rPr>
          <w:rFonts w:ascii="Palatino Linotype" w:hAnsi="Palatino Linotype"/>
          <w:b/>
        </w:rPr>
        <w:t>A</w:t>
      </w:r>
      <w:r w:rsidRPr="00CB2EA8">
        <w:rPr>
          <w:rFonts w:ascii="Palatino Linotype" w:hAnsi="Palatino Linotype"/>
          <w:b/>
        </w:rPr>
        <w:t xml:space="preserve"> RECURRENTE</w:t>
      </w:r>
      <w:r w:rsidRPr="00CB2EA8">
        <w:rPr>
          <w:rFonts w:ascii="Palatino Linotype" w:hAnsi="Palatino Linotype"/>
        </w:rPr>
        <w:t xml:space="preserve"> presentó a través del Sistema de </w:t>
      </w:r>
      <w:r w:rsidRPr="00CB2EA8">
        <w:rPr>
          <w:rFonts w:ascii="Palatino Linotype" w:hAnsi="Palatino Linotype" w:cs="Arial"/>
        </w:rPr>
        <w:t>Acceso</w:t>
      </w:r>
      <w:r w:rsidRPr="00CB2EA8">
        <w:rPr>
          <w:rFonts w:ascii="Palatino Linotype" w:hAnsi="Palatino Linotype"/>
        </w:rPr>
        <w:t xml:space="preserve"> a la Información Mexiquense, en lo subsecuente </w:t>
      </w:r>
      <w:r w:rsidRPr="00CB2EA8">
        <w:rPr>
          <w:rFonts w:ascii="Palatino Linotype" w:hAnsi="Palatino Linotype"/>
          <w:b/>
        </w:rPr>
        <w:t>EL SAIMEX</w:t>
      </w:r>
      <w:r w:rsidRPr="00CB2EA8">
        <w:rPr>
          <w:rFonts w:ascii="Palatino Linotype" w:hAnsi="Palatino Linotype"/>
        </w:rPr>
        <w:t xml:space="preserve">, ante </w:t>
      </w:r>
      <w:r w:rsidRPr="00CB2EA8">
        <w:rPr>
          <w:rFonts w:ascii="Palatino Linotype" w:hAnsi="Palatino Linotype"/>
          <w:b/>
        </w:rPr>
        <w:t>EL SUJETO OBLIGADO</w:t>
      </w:r>
      <w:r w:rsidRPr="00CB2EA8">
        <w:rPr>
          <w:rFonts w:ascii="Palatino Linotype" w:hAnsi="Palatino Linotype"/>
        </w:rPr>
        <w:t xml:space="preserve">, la solicitud de acceso a información pública, a la que se le asignó el número </w:t>
      </w:r>
      <w:r w:rsidR="0016453E" w:rsidRPr="00CB2EA8">
        <w:rPr>
          <w:rFonts w:ascii="Palatino Linotype" w:hAnsi="Palatino Linotype"/>
          <w:b/>
          <w:bCs/>
        </w:rPr>
        <w:t xml:space="preserve"> 00319/IXTASAL/IP/2021</w:t>
      </w:r>
      <w:r w:rsidRPr="00CB2EA8">
        <w:rPr>
          <w:rFonts w:ascii="Palatino Linotype" w:hAnsi="Palatino Linotype"/>
          <w:b/>
          <w:bCs/>
        </w:rPr>
        <w:t>,</w:t>
      </w:r>
      <w:r w:rsidRPr="00CB2EA8">
        <w:rPr>
          <w:rFonts w:ascii="Palatino Linotype" w:hAnsi="Palatino Linotype"/>
        </w:rPr>
        <w:t xml:space="preserve"> mediante la cual solicitó: </w:t>
      </w:r>
    </w:p>
    <w:p w14:paraId="1D8B2066" w14:textId="77777777" w:rsidR="00C33FD9" w:rsidRPr="00CB2EA8" w:rsidRDefault="00C33FD9" w:rsidP="007A023B">
      <w:pPr>
        <w:pStyle w:val="Prrafodelista"/>
        <w:ind w:left="851" w:right="899"/>
        <w:jc w:val="both"/>
        <w:rPr>
          <w:rFonts w:ascii="Palatino Linotype" w:hAnsi="Palatino Linotype"/>
          <w:i/>
          <w:sz w:val="22"/>
        </w:rPr>
      </w:pPr>
      <w:r w:rsidRPr="00CB2EA8">
        <w:rPr>
          <w:rFonts w:ascii="Palatino Linotype" w:hAnsi="Palatino Linotype"/>
          <w:i/>
          <w:sz w:val="22"/>
        </w:rPr>
        <w:t>“</w:t>
      </w:r>
      <w:r w:rsidR="0016453E" w:rsidRPr="00CB2EA8">
        <w:rPr>
          <w:rFonts w:ascii="Palatino Linotype" w:hAnsi="Palatino Linotype"/>
          <w:i/>
          <w:sz w:val="22"/>
        </w:rPr>
        <w:t>Todas las resoluciones que les haya notificado el INFOEM en el año 2021, mediante las cuales se modifica o revoca su respuesta.</w:t>
      </w:r>
      <w:r w:rsidRPr="00CB2EA8">
        <w:rPr>
          <w:rFonts w:ascii="Palatino Linotype" w:hAnsi="Palatino Linotype"/>
          <w:i/>
          <w:sz w:val="22"/>
        </w:rPr>
        <w:t>” (Sic)</w:t>
      </w:r>
    </w:p>
    <w:p w14:paraId="1D8B2067" w14:textId="77777777" w:rsidR="00C33FD9" w:rsidRPr="00CB2EA8" w:rsidRDefault="00C33FD9" w:rsidP="00C33FD9">
      <w:pPr>
        <w:pStyle w:val="Prrafodelista"/>
        <w:spacing w:before="100" w:beforeAutospacing="1" w:after="100" w:afterAutospacing="1" w:line="360" w:lineRule="auto"/>
        <w:ind w:left="0"/>
        <w:jc w:val="both"/>
        <w:rPr>
          <w:rFonts w:ascii="Palatino Linotype" w:hAnsi="Palatino Linotype" w:cs="Arial"/>
          <w:b/>
        </w:rPr>
      </w:pPr>
      <w:r w:rsidRPr="00CB2EA8">
        <w:rPr>
          <w:rFonts w:ascii="Palatino Linotype" w:hAnsi="Palatino Linotype" w:cs="Arial"/>
          <w:b/>
        </w:rPr>
        <w:t>Modalidad de entrega:</w:t>
      </w:r>
      <w:r w:rsidRPr="00CB2EA8">
        <w:rPr>
          <w:rFonts w:ascii="Palatino Linotype" w:hAnsi="Palatino Linotype" w:cs="Arial"/>
        </w:rPr>
        <w:t xml:space="preserve"> vía </w:t>
      </w:r>
      <w:r w:rsidRPr="00CB2EA8">
        <w:rPr>
          <w:rFonts w:ascii="Palatino Linotype" w:hAnsi="Palatino Linotype" w:cs="Arial"/>
          <w:b/>
        </w:rPr>
        <w:t>SAIMEX.</w:t>
      </w:r>
    </w:p>
    <w:p w14:paraId="1D8B2068" w14:textId="77777777" w:rsidR="00C33FD9" w:rsidRPr="00CB2EA8" w:rsidRDefault="00C33FD9" w:rsidP="00C33FD9">
      <w:pPr>
        <w:pStyle w:val="Prrafodelista"/>
        <w:spacing w:before="100" w:beforeAutospacing="1" w:after="100" w:afterAutospacing="1" w:line="360" w:lineRule="auto"/>
        <w:ind w:left="0"/>
        <w:jc w:val="both"/>
        <w:rPr>
          <w:rFonts w:ascii="Palatino Linotype" w:hAnsi="Palatino Linotype" w:cs="Arial"/>
        </w:rPr>
      </w:pPr>
      <w:r w:rsidRPr="00CB2EA8">
        <w:rPr>
          <w:rFonts w:ascii="Palatino Linotype" w:hAnsi="Palatino Linotype" w:cs="Arial"/>
          <w:b/>
          <w:sz w:val="28"/>
          <w:szCs w:val="28"/>
        </w:rPr>
        <w:t>II.</w:t>
      </w:r>
      <w:r w:rsidRPr="00CB2EA8">
        <w:rPr>
          <w:rFonts w:ascii="Palatino Linotype" w:hAnsi="Palatino Linotype" w:cs="Arial"/>
        </w:rPr>
        <w:t xml:space="preserve"> De las constancias que obran en el expediente electrónico del </w:t>
      </w:r>
      <w:r w:rsidRPr="00CB2EA8">
        <w:rPr>
          <w:rFonts w:ascii="Palatino Linotype" w:hAnsi="Palatino Linotype" w:cs="Arial"/>
          <w:b/>
        </w:rPr>
        <w:t>SAIMEX,</w:t>
      </w:r>
      <w:r w:rsidRPr="00CB2EA8">
        <w:rPr>
          <w:rFonts w:ascii="Palatino Linotype" w:hAnsi="Palatino Linotype" w:cs="Arial"/>
        </w:rPr>
        <w:t xml:space="preserve"> en fecha </w:t>
      </w:r>
      <w:r w:rsidR="0016453E" w:rsidRPr="00CB2EA8">
        <w:rPr>
          <w:rFonts w:ascii="Palatino Linotype" w:hAnsi="Palatino Linotype" w:cs="Arial"/>
        </w:rPr>
        <w:t>quince de marzo de dos mil veintiuno</w:t>
      </w:r>
      <w:r w:rsidRPr="00CB2EA8">
        <w:rPr>
          <w:rFonts w:ascii="Palatino Linotype" w:hAnsi="Palatino Linotype" w:cs="Arial"/>
        </w:rPr>
        <w:t xml:space="preserve">, la Titular de la Unidad de Transparencia del </w:t>
      </w:r>
      <w:r w:rsidRPr="00CB2EA8">
        <w:rPr>
          <w:rFonts w:ascii="Palatino Linotype" w:hAnsi="Palatino Linotype" w:cs="Arial"/>
          <w:b/>
        </w:rPr>
        <w:t>SUJETO OBLIGADO,</w:t>
      </w:r>
      <w:r w:rsidRPr="00CB2EA8">
        <w:rPr>
          <w:rFonts w:ascii="Palatino Linotype" w:hAnsi="Palatino Linotype" w:cs="Arial"/>
        </w:rPr>
        <w:t xml:space="preserve"> turnó la solicitud de información al</w:t>
      </w:r>
      <w:r w:rsidR="007A023B" w:rsidRPr="00CB2EA8">
        <w:rPr>
          <w:rFonts w:ascii="Palatino Linotype" w:hAnsi="Palatino Linotype" w:cs="Arial"/>
        </w:rPr>
        <w:t xml:space="preserve"> Servidor</w:t>
      </w:r>
      <w:r w:rsidRPr="00CB2EA8">
        <w:rPr>
          <w:rFonts w:ascii="Palatino Linotype" w:hAnsi="Palatino Linotype" w:cs="Arial"/>
        </w:rPr>
        <w:t xml:space="preserve"> Público </w:t>
      </w:r>
      <w:r w:rsidRPr="00CB2EA8">
        <w:rPr>
          <w:rFonts w:ascii="Palatino Linotype" w:hAnsi="Palatino Linotype" w:cs="Arial"/>
        </w:rPr>
        <w:lastRenderedPageBreak/>
        <w:t>Habilitado que estimó pertinente, a fin de colmar el derecho de acceso a la información del particular; tal y como, se aprecia en la imagen siguiente:</w:t>
      </w:r>
    </w:p>
    <w:p w14:paraId="1D8B2069" w14:textId="3F5D4DBA" w:rsidR="00C33FD9" w:rsidRPr="00CB2EA8" w:rsidRDefault="0016453E" w:rsidP="00C33FD9">
      <w:pPr>
        <w:pStyle w:val="Prrafodelista"/>
        <w:spacing w:before="100" w:beforeAutospacing="1" w:after="100" w:afterAutospacing="1" w:line="360" w:lineRule="auto"/>
        <w:ind w:left="0"/>
        <w:jc w:val="center"/>
        <w:rPr>
          <w:rFonts w:ascii="Palatino Linotype" w:hAnsi="Palatino Linotype" w:cs="Arial"/>
          <w:b/>
          <w:sz w:val="28"/>
          <w:szCs w:val="28"/>
        </w:rPr>
      </w:pPr>
      <w:r w:rsidRPr="00CB2EA8">
        <w:rPr>
          <w:noProof/>
          <w:lang w:eastAsia="es-MX"/>
        </w:rPr>
        <w:drawing>
          <wp:inline distT="0" distB="0" distL="0" distR="0" wp14:anchorId="1D8B210A" wp14:editId="1D8B210B">
            <wp:extent cx="5791835" cy="5651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65150"/>
                    </a:xfrm>
                    <a:prstGeom prst="rect">
                      <a:avLst/>
                    </a:prstGeom>
                  </pic:spPr>
                </pic:pic>
              </a:graphicData>
            </a:graphic>
          </wp:inline>
        </w:drawing>
      </w:r>
    </w:p>
    <w:p w14:paraId="1D8B206A" w14:textId="77777777" w:rsidR="00C33FD9" w:rsidRPr="00CB2EA8" w:rsidRDefault="00C33FD9" w:rsidP="00C33FD9">
      <w:pPr>
        <w:pStyle w:val="Prrafodelista"/>
        <w:spacing w:before="100" w:beforeAutospacing="1" w:after="100" w:afterAutospacing="1" w:line="360" w:lineRule="auto"/>
        <w:ind w:left="0"/>
        <w:jc w:val="both"/>
        <w:rPr>
          <w:rFonts w:ascii="Palatino Linotype" w:hAnsi="Palatino Linotype" w:cs="Arial"/>
        </w:rPr>
      </w:pPr>
      <w:r w:rsidRPr="00CB2EA8">
        <w:rPr>
          <w:rFonts w:ascii="Palatino Linotype" w:hAnsi="Palatino Linotype" w:cs="Arial"/>
          <w:b/>
          <w:sz w:val="28"/>
          <w:szCs w:val="28"/>
        </w:rPr>
        <w:t>III.</w:t>
      </w:r>
      <w:r w:rsidRPr="00CB2EA8">
        <w:rPr>
          <w:rFonts w:ascii="Palatino Linotype" w:hAnsi="Palatino Linotype" w:cs="Arial"/>
        </w:rPr>
        <w:t xml:space="preserve"> En fecha </w:t>
      </w:r>
      <w:r w:rsidR="0016453E" w:rsidRPr="00CB2EA8">
        <w:rPr>
          <w:rFonts w:ascii="Palatino Linotype" w:hAnsi="Palatino Linotype" w:cs="Arial"/>
        </w:rPr>
        <w:t>dieciséis de marzo de dos mil veintiuno</w:t>
      </w:r>
      <w:r w:rsidRPr="00CB2EA8">
        <w:rPr>
          <w:rFonts w:ascii="Palatino Linotype" w:hAnsi="Palatino Linotype" w:cs="Arial"/>
        </w:rPr>
        <w:t xml:space="preserve">, </w:t>
      </w:r>
      <w:r w:rsidRPr="00CB2EA8">
        <w:rPr>
          <w:rFonts w:ascii="Palatino Linotype" w:hAnsi="Palatino Linotype" w:cs="Arial"/>
          <w:b/>
        </w:rPr>
        <w:t>EL SUJETO OBLIGADO</w:t>
      </w:r>
      <w:r w:rsidRPr="00CB2EA8">
        <w:rPr>
          <w:rFonts w:ascii="Palatino Linotype" w:hAnsi="Palatino Linotype" w:cs="Arial"/>
        </w:rPr>
        <w:t xml:space="preserve"> dio respuesta a la solicitud de acceso a la información pública requerida por </w:t>
      </w:r>
      <w:r w:rsidRPr="00CB2EA8">
        <w:rPr>
          <w:rFonts w:ascii="Palatino Linotype" w:hAnsi="Palatino Linotype" w:cs="Arial"/>
          <w:b/>
        </w:rPr>
        <w:t>L</w:t>
      </w:r>
      <w:r w:rsidR="0016453E" w:rsidRPr="00CB2EA8">
        <w:rPr>
          <w:rFonts w:ascii="Palatino Linotype" w:hAnsi="Palatino Linotype" w:cs="Arial"/>
          <w:b/>
        </w:rPr>
        <w:t>A</w:t>
      </w:r>
      <w:r w:rsidRPr="00CB2EA8">
        <w:rPr>
          <w:rFonts w:ascii="Palatino Linotype" w:hAnsi="Palatino Linotype" w:cs="Arial"/>
          <w:b/>
        </w:rPr>
        <w:t xml:space="preserve"> RECURRENTE</w:t>
      </w:r>
      <w:r w:rsidRPr="00CB2EA8">
        <w:rPr>
          <w:rFonts w:ascii="Palatino Linotype" w:hAnsi="Palatino Linotype" w:cs="Arial"/>
        </w:rPr>
        <w:t>, tal y como, se aprecia enseguida:</w:t>
      </w:r>
    </w:p>
    <w:p w14:paraId="1D8B206B" w14:textId="77777777" w:rsidR="0016453E" w:rsidRPr="00CB2EA8" w:rsidRDefault="004714C1" w:rsidP="0016453E">
      <w:pPr>
        <w:ind w:left="851" w:right="902"/>
        <w:jc w:val="right"/>
        <w:rPr>
          <w:rFonts w:ascii="Palatino Linotype" w:hAnsi="Palatino Linotype"/>
          <w:i/>
          <w:sz w:val="22"/>
          <w:szCs w:val="28"/>
        </w:rPr>
      </w:pPr>
      <w:r w:rsidRPr="00CB2EA8">
        <w:rPr>
          <w:rFonts w:ascii="Palatino Linotype" w:hAnsi="Palatino Linotype"/>
          <w:i/>
          <w:sz w:val="22"/>
          <w:szCs w:val="28"/>
        </w:rPr>
        <w:t>“</w:t>
      </w:r>
      <w:r w:rsidR="0016453E" w:rsidRPr="00CB2EA8">
        <w:rPr>
          <w:rFonts w:ascii="Palatino Linotype" w:hAnsi="Palatino Linotype"/>
          <w:i/>
          <w:sz w:val="22"/>
          <w:szCs w:val="28"/>
        </w:rPr>
        <w:t>Folio de la solicitud: 00319/IXTASAL/IP/2021</w:t>
      </w:r>
    </w:p>
    <w:p w14:paraId="1D8B206C" w14:textId="77777777" w:rsidR="0016453E" w:rsidRPr="00CB2EA8" w:rsidRDefault="0016453E" w:rsidP="0016453E">
      <w:pPr>
        <w:ind w:left="851" w:right="902"/>
        <w:jc w:val="both"/>
        <w:rPr>
          <w:rFonts w:ascii="Palatino Linotype" w:hAnsi="Palatino Linotype"/>
          <w:i/>
          <w:sz w:val="22"/>
          <w:szCs w:val="28"/>
        </w:rPr>
      </w:pPr>
      <w:r w:rsidRPr="00CB2EA8">
        <w:rPr>
          <w:rFonts w:ascii="Palatino Linotype" w:hAnsi="Palatino Linotype"/>
          <w:i/>
          <w:sz w:val="22"/>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8B206D" w14:textId="77777777" w:rsidR="0016453E" w:rsidRPr="00CB2EA8" w:rsidRDefault="0016453E" w:rsidP="0016453E">
      <w:pPr>
        <w:ind w:left="851" w:right="902"/>
        <w:jc w:val="both"/>
        <w:rPr>
          <w:rFonts w:ascii="Palatino Linotype" w:hAnsi="Palatino Linotype"/>
          <w:i/>
          <w:sz w:val="22"/>
          <w:szCs w:val="28"/>
        </w:rPr>
      </w:pPr>
      <w:r w:rsidRPr="00CB2EA8">
        <w:rPr>
          <w:rFonts w:ascii="Palatino Linotype" w:hAnsi="Palatino Linotype"/>
          <w:i/>
          <w:sz w:val="22"/>
          <w:szCs w:val="28"/>
        </w:rPr>
        <w:t>SE ADJUNTA RESPUESTA A LA SOLICITUD DE INFORMACIÓN.</w:t>
      </w:r>
    </w:p>
    <w:p w14:paraId="1D8B206E" w14:textId="77777777" w:rsidR="0016453E" w:rsidRPr="00CB2EA8" w:rsidRDefault="0016453E" w:rsidP="0016453E">
      <w:pPr>
        <w:ind w:left="851" w:right="902"/>
        <w:jc w:val="both"/>
        <w:rPr>
          <w:rFonts w:ascii="Palatino Linotype" w:hAnsi="Palatino Linotype"/>
          <w:i/>
          <w:sz w:val="22"/>
          <w:szCs w:val="28"/>
        </w:rPr>
      </w:pPr>
      <w:r w:rsidRPr="00CB2EA8">
        <w:rPr>
          <w:rFonts w:ascii="Palatino Linotype" w:hAnsi="Palatino Linotype"/>
          <w:i/>
          <w:sz w:val="22"/>
          <w:szCs w:val="28"/>
        </w:rPr>
        <w:t>ATENTAMENTE</w:t>
      </w:r>
    </w:p>
    <w:p w14:paraId="1D8B206F" w14:textId="77777777" w:rsidR="004714C1" w:rsidRPr="00CB2EA8" w:rsidRDefault="0016453E" w:rsidP="0016453E">
      <w:pPr>
        <w:ind w:left="851" w:right="902"/>
        <w:jc w:val="both"/>
        <w:rPr>
          <w:rFonts w:ascii="Palatino Linotype" w:hAnsi="Palatino Linotype"/>
          <w:szCs w:val="28"/>
        </w:rPr>
      </w:pPr>
      <w:r w:rsidRPr="00CB2EA8">
        <w:rPr>
          <w:rFonts w:ascii="Palatino Linotype" w:hAnsi="Palatino Linotype"/>
          <w:i/>
          <w:sz w:val="22"/>
          <w:szCs w:val="28"/>
        </w:rPr>
        <w:t>L. EN D. MARICELA RAMIREZ COTERO</w:t>
      </w:r>
      <w:r w:rsidR="004714C1" w:rsidRPr="00CB2EA8">
        <w:rPr>
          <w:rFonts w:ascii="Palatino Linotype" w:hAnsi="Palatino Linotype"/>
          <w:i/>
          <w:sz w:val="22"/>
          <w:szCs w:val="28"/>
        </w:rPr>
        <w:t>”</w:t>
      </w:r>
    </w:p>
    <w:p w14:paraId="1D8B2070" w14:textId="0A9DE7FB" w:rsidR="004714C1" w:rsidRPr="00CB2EA8" w:rsidRDefault="004714C1" w:rsidP="004714C1">
      <w:pPr>
        <w:pStyle w:val="Prrafodelista"/>
        <w:spacing w:before="100" w:beforeAutospacing="1" w:after="100" w:afterAutospacing="1" w:line="360" w:lineRule="auto"/>
        <w:ind w:left="0"/>
        <w:jc w:val="both"/>
        <w:rPr>
          <w:rFonts w:ascii="Palatino Linotype" w:hAnsi="Palatino Linotype" w:cs="Arial"/>
        </w:rPr>
      </w:pPr>
      <w:r w:rsidRPr="00CB2EA8">
        <w:rPr>
          <w:rFonts w:ascii="Palatino Linotype" w:hAnsi="Palatino Linotype" w:cs="Arial"/>
        </w:rPr>
        <w:t xml:space="preserve">Advirtiendo de dicha repuesta, que </w:t>
      </w:r>
      <w:r w:rsidRPr="00CB2EA8">
        <w:rPr>
          <w:rFonts w:ascii="Palatino Linotype" w:hAnsi="Palatino Linotype" w:cs="Arial"/>
          <w:b/>
        </w:rPr>
        <w:t xml:space="preserve">EL SUJETO OBLIGADO </w:t>
      </w:r>
      <w:r w:rsidRPr="00CB2EA8">
        <w:rPr>
          <w:rFonts w:ascii="Palatino Linotype" w:hAnsi="Palatino Linotype" w:cs="Arial"/>
        </w:rPr>
        <w:t>acompañ</w:t>
      </w:r>
      <w:r w:rsidR="0006116C" w:rsidRPr="00CB2EA8">
        <w:rPr>
          <w:rFonts w:ascii="Palatino Linotype" w:hAnsi="Palatino Linotype" w:cs="Arial"/>
        </w:rPr>
        <w:t>ó</w:t>
      </w:r>
      <w:r w:rsidRPr="00CB2EA8">
        <w:rPr>
          <w:rFonts w:ascii="Palatino Linotype" w:hAnsi="Palatino Linotype" w:cs="Arial"/>
        </w:rPr>
        <w:t xml:space="preserve"> </w:t>
      </w:r>
      <w:r w:rsidR="0006116C" w:rsidRPr="00CB2EA8">
        <w:rPr>
          <w:rFonts w:ascii="Palatino Linotype" w:hAnsi="Palatino Linotype" w:cs="Arial"/>
        </w:rPr>
        <w:t>el</w:t>
      </w:r>
      <w:r w:rsidRPr="00CB2EA8">
        <w:rPr>
          <w:rFonts w:ascii="Palatino Linotype" w:hAnsi="Palatino Linotype" w:cs="Arial"/>
        </w:rPr>
        <w:t xml:space="preserve"> archivo electrónico denominado </w:t>
      </w:r>
      <w:r w:rsidR="0016453E" w:rsidRPr="00CB2EA8">
        <w:rPr>
          <w:rFonts w:ascii="Palatino Linotype" w:hAnsi="Palatino Linotype" w:cs="Arial"/>
          <w:b/>
          <w:i/>
        </w:rPr>
        <w:t>00319-IXTASAL-IP-2021.pdf</w:t>
      </w:r>
      <w:r w:rsidRPr="00CB2EA8">
        <w:rPr>
          <w:rFonts w:ascii="Palatino Linotype" w:hAnsi="Palatino Linotype" w:cs="Arial"/>
          <w:i/>
        </w:rPr>
        <w:t xml:space="preserve">, </w:t>
      </w:r>
      <w:r w:rsidR="0016453E" w:rsidRPr="00CB2EA8">
        <w:rPr>
          <w:rFonts w:ascii="Palatino Linotype" w:hAnsi="Palatino Linotype" w:cs="Arial"/>
        </w:rPr>
        <w:t xml:space="preserve">el cual </w:t>
      </w:r>
      <w:r w:rsidRPr="00CB2EA8">
        <w:rPr>
          <w:rFonts w:ascii="Palatino Linotype" w:hAnsi="Palatino Linotype" w:cs="Arial"/>
        </w:rPr>
        <w:t xml:space="preserve">se omite su inserción por ser del conocimiento de las partes, aunado a que será materia de análisis en el considerando correspondiente. </w:t>
      </w:r>
    </w:p>
    <w:p w14:paraId="1D8B2071" w14:textId="77777777" w:rsidR="00C33FD9" w:rsidRPr="00CB2EA8" w:rsidRDefault="0016453E" w:rsidP="00C33FD9">
      <w:pPr>
        <w:pStyle w:val="Prrafodelista"/>
        <w:spacing w:before="100" w:beforeAutospacing="1" w:after="100" w:afterAutospacing="1" w:line="360" w:lineRule="auto"/>
        <w:ind w:left="0"/>
        <w:jc w:val="both"/>
        <w:rPr>
          <w:rFonts w:ascii="Palatino Linotype" w:hAnsi="Palatino Linotype" w:cs="Arial"/>
        </w:rPr>
      </w:pPr>
      <w:r w:rsidRPr="00CB2EA8">
        <w:rPr>
          <w:rFonts w:ascii="Palatino Linotype" w:hAnsi="Palatino Linotype" w:cs="Arial"/>
          <w:b/>
          <w:sz w:val="28"/>
          <w:szCs w:val="28"/>
        </w:rPr>
        <w:t>I</w:t>
      </w:r>
      <w:r w:rsidR="004714C1" w:rsidRPr="00CB2EA8">
        <w:rPr>
          <w:rFonts w:ascii="Palatino Linotype" w:hAnsi="Palatino Linotype" w:cs="Arial"/>
          <w:b/>
          <w:sz w:val="28"/>
          <w:szCs w:val="28"/>
        </w:rPr>
        <w:t>V</w:t>
      </w:r>
      <w:r w:rsidR="00C33FD9" w:rsidRPr="00CB2EA8">
        <w:rPr>
          <w:rFonts w:ascii="Palatino Linotype" w:hAnsi="Palatino Linotype" w:cs="Arial"/>
          <w:b/>
          <w:sz w:val="28"/>
          <w:szCs w:val="28"/>
        </w:rPr>
        <w:t>.</w:t>
      </w:r>
      <w:r w:rsidR="00C33FD9" w:rsidRPr="00CB2EA8">
        <w:rPr>
          <w:rFonts w:ascii="Palatino Linotype" w:hAnsi="Palatino Linotype" w:cs="Arial"/>
        </w:rPr>
        <w:t xml:space="preserve"> </w:t>
      </w:r>
      <w:r w:rsidR="00C33FD9" w:rsidRPr="00CB2EA8">
        <w:rPr>
          <w:rFonts w:ascii="Palatino Linotype" w:hAnsi="Palatino Linotype"/>
        </w:rPr>
        <w:t xml:space="preserve">Inconforme con la </w:t>
      </w:r>
      <w:r w:rsidR="00C33FD9" w:rsidRPr="00CB2EA8">
        <w:rPr>
          <w:rFonts w:ascii="Palatino Linotype" w:hAnsi="Palatino Linotype" w:cs="Arial"/>
        </w:rPr>
        <w:t xml:space="preserve">respuesta </w:t>
      </w:r>
      <w:r w:rsidR="00C33FD9" w:rsidRPr="00CB2EA8">
        <w:rPr>
          <w:rFonts w:ascii="Palatino Linotype" w:hAnsi="Palatino Linotype"/>
        </w:rPr>
        <w:t xml:space="preserve">del </w:t>
      </w:r>
      <w:r w:rsidR="00C33FD9" w:rsidRPr="00CB2EA8">
        <w:rPr>
          <w:rFonts w:ascii="Palatino Linotype" w:hAnsi="Palatino Linotype"/>
          <w:b/>
        </w:rPr>
        <w:t>SUJETO OBLIGADO</w:t>
      </w:r>
      <w:r w:rsidR="00C33FD9" w:rsidRPr="00CB2EA8">
        <w:rPr>
          <w:rFonts w:ascii="Palatino Linotype" w:hAnsi="Palatino Linotype"/>
        </w:rPr>
        <w:t xml:space="preserve">, el </w:t>
      </w:r>
      <w:r w:rsidRPr="00CB2EA8">
        <w:rPr>
          <w:rFonts w:ascii="Palatino Linotype" w:hAnsi="Palatino Linotype"/>
        </w:rPr>
        <w:t>veinticinco de marzo de dos mil veintiuno</w:t>
      </w:r>
      <w:r w:rsidR="00C33FD9" w:rsidRPr="00CB2EA8">
        <w:rPr>
          <w:rFonts w:ascii="Palatino Linotype" w:hAnsi="Palatino Linotype"/>
        </w:rPr>
        <w:t xml:space="preserve">, </w:t>
      </w:r>
      <w:r w:rsidR="00C33FD9" w:rsidRPr="00CB2EA8">
        <w:rPr>
          <w:rFonts w:ascii="Palatino Linotype" w:hAnsi="Palatino Linotype"/>
          <w:b/>
        </w:rPr>
        <w:t>L</w:t>
      </w:r>
      <w:r w:rsidRPr="00CB2EA8">
        <w:rPr>
          <w:rFonts w:ascii="Palatino Linotype" w:hAnsi="Palatino Linotype"/>
          <w:b/>
        </w:rPr>
        <w:t>A</w:t>
      </w:r>
      <w:r w:rsidR="00C33FD9" w:rsidRPr="00CB2EA8">
        <w:rPr>
          <w:rFonts w:ascii="Palatino Linotype" w:hAnsi="Palatino Linotype"/>
          <w:b/>
        </w:rPr>
        <w:t xml:space="preserve"> RECURRENTE</w:t>
      </w:r>
      <w:r w:rsidR="00C33FD9" w:rsidRPr="00CB2EA8">
        <w:rPr>
          <w:rFonts w:ascii="Palatino Linotype" w:hAnsi="Palatino Linotype"/>
        </w:rPr>
        <w:t xml:space="preserve"> interpuso el recurso de revisión objeto del presente estudio, el cual fue registrado en </w:t>
      </w:r>
      <w:r w:rsidR="00C33FD9" w:rsidRPr="00CB2EA8">
        <w:rPr>
          <w:rFonts w:ascii="Palatino Linotype" w:hAnsi="Palatino Linotype"/>
          <w:b/>
        </w:rPr>
        <w:t>EL SAIMEX</w:t>
      </w:r>
      <w:r w:rsidR="00C33FD9" w:rsidRPr="00CB2EA8">
        <w:rPr>
          <w:rFonts w:ascii="Palatino Linotype" w:hAnsi="Palatino Linotype"/>
        </w:rPr>
        <w:t xml:space="preserve"> y se le asignó el número de expediente </w:t>
      </w:r>
      <w:r w:rsidR="00C33FD9" w:rsidRPr="00CB2EA8">
        <w:rPr>
          <w:rFonts w:ascii="Palatino Linotype" w:hAnsi="Palatino Linotype" w:cs="Arial"/>
          <w:b/>
          <w:bCs/>
        </w:rPr>
        <w:t>0</w:t>
      </w:r>
      <w:r w:rsidRPr="00CB2EA8">
        <w:rPr>
          <w:rFonts w:ascii="Palatino Linotype" w:hAnsi="Palatino Linotype" w:cs="Arial"/>
          <w:b/>
          <w:bCs/>
        </w:rPr>
        <w:t>143</w:t>
      </w:r>
      <w:r w:rsidR="007A023B" w:rsidRPr="00CB2EA8">
        <w:rPr>
          <w:rFonts w:ascii="Palatino Linotype" w:hAnsi="Palatino Linotype" w:cs="Arial"/>
          <w:b/>
          <w:bCs/>
        </w:rPr>
        <w:t>7</w:t>
      </w:r>
      <w:r w:rsidR="004714C1" w:rsidRPr="00CB2EA8">
        <w:rPr>
          <w:rFonts w:ascii="Palatino Linotype" w:hAnsi="Palatino Linotype" w:cs="Arial"/>
          <w:b/>
          <w:bCs/>
        </w:rPr>
        <w:t>/INFOEM/IP/RR/202</w:t>
      </w:r>
      <w:r w:rsidRPr="00CB2EA8">
        <w:rPr>
          <w:rFonts w:ascii="Palatino Linotype" w:hAnsi="Palatino Linotype" w:cs="Arial"/>
          <w:b/>
          <w:bCs/>
        </w:rPr>
        <w:t>1</w:t>
      </w:r>
      <w:r w:rsidR="00C33FD9" w:rsidRPr="00CB2EA8">
        <w:rPr>
          <w:rFonts w:ascii="Palatino Linotype" w:hAnsi="Palatino Linotype" w:cs="Arial"/>
        </w:rPr>
        <w:t>, en el que señaló como acto impugnado lo siguiente:</w:t>
      </w:r>
    </w:p>
    <w:p w14:paraId="1D8B2072" w14:textId="77777777" w:rsidR="00C33FD9" w:rsidRPr="00CB2EA8" w:rsidRDefault="00C33FD9" w:rsidP="007A023B">
      <w:pPr>
        <w:pStyle w:val="Prrafodelista"/>
        <w:ind w:left="851" w:right="899"/>
        <w:jc w:val="both"/>
        <w:rPr>
          <w:rFonts w:ascii="Palatino Linotype" w:hAnsi="Palatino Linotype"/>
          <w:i/>
          <w:color w:val="000000"/>
          <w:sz w:val="22"/>
        </w:rPr>
      </w:pPr>
      <w:r w:rsidRPr="00CB2EA8">
        <w:rPr>
          <w:rFonts w:ascii="Palatino Linotype" w:hAnsi="Palatino Linotype"/>
          <w:i/>
          <w:color w:val="000000"/>
          <w:sz w:val="22"/>
        </w:rPr>
        <w:lastRenderedPageBreak/>
        <w:t>“</w:t>
      </w:r>
      <w:r w:rsidR="0016453E" w:rsidRPr="00CB2EA8">
        <w:rPr>
          <w:rFonts w:ascii="Palatino Linotype" w:hAnsi="Palatino Linotype"/>
          <w:i/>
          <w:color w:val="000000"/>
          <w:sz w:val="22"/>
        </w:rPr>
        <w:t>La respuesta del obligado.</w:t>
      </w:r>
      <w:r w:rsidRPr="00CB2EA8">
        <w:rPr>
          <w:rFonts w:ascii="Palatino Linotype" w:hAnsi="Palatino Linotype"/>
          <w:i/>
          <w:color w:val="000000"/>
          <w:sz w:val="22"/>
        </w:rPr>
        <w:t>” (Sic)</w:t>
      </w:r>
    </w:p>
    <w:p w14:paraId="1D8B2073" w14:textId="77777777" w:rsidR="00C33FD9" w:rsidRPr="00CB2EA8" w:rsidRDefault="00C33FD9" w:rsidP="00C33FD9">
      <w:pPr>
        <w:spacing w:before="100" w:beforeAutospacing="1" w:after="100" w:afterAutospacing="1" w:line="360" w:lineRule="auto"/>
        <w:ind w:right="709"/>
        <w:jc w:val="both"/>
        <w:rPr>
          <w:rFonts w:ascii="Palatino Linotype" w:hAnsi="Palatino Linotype" w:cs="Arial"/>
        </w:rPr>
      </w:pPr>
      <w:r w:rsidRPr="00CB2EA8">
        <w:rPr>
          <w:rFonts w:ascii="Palatino Linotype" w:hAnsi="Palatino Linotype" w:cs="Arial"/>
          <w:spacing w:val="-6"/>
          <w:lang w:eastAsia="es-MX"/>
        </w:rPr>
        <w:t xml:space="preserve">Asimismo, manifestó como </w:t>
      </w:r>
      <w:r w:rsidRPr="00CB2EA8">
        <w:rPr>
          <w:rFonts w:ascii="Palatino Linotype" w:hAnsi="Palatino Linotype" w:cs="Arial"/>
        </w:rPr>
        <w:t>razones o motivos de inconformidad:</w:t>
      </w:r>
    </w:p>
    <w:p w14:paraId="1D8B2074" w14:textId="77777777" w:rsidR="00C33FD9" w:rsidRPr="00CB2EA8" w:rsidRDefault="00C33FD9" w:rsidP="00C33FD9">
      <w:pPr>
        <w:pStyle w:val="Prrafodelista"/>
        <w:ind w:left="851" w:right="899"/>
        <w:jc w:val="both"/>
        <w:rPr>
          <w:rFonts w:ascii="Palatino Linotype" w:hAnsi="Palatino Linotype"/>
          <w:i/>
          <w:color w:val="000000"/>
          <w:sz w:val="22"/>
        </w:rPr>
      </w:pPr>
      <w:r w:rsidRPr="00CB2EA8">
        <w:rPr>
          <w:rFonts w:ascii="Palatino Linotype" w:hAnsi="Palatino Linotype"/>
          <w:i/>
          <w:color w:val="000000"/>
          <w:sz w:val="22"/>
        </w:rPr>
        <w:t>“</w:t>
      </w:r>
      <w:r w:rsidR="0016453E" w:rsidRPr="00CB2EA8">
        <w:rPr>
          <w:rFonts w:ascii="Palatino Linotype" w:hAnsi="Palatino Linotype"/>
          <w:i/>
          <w:color w:val="000000"/>
          <w:sz w:val="22"/>
        </w:rPr>
        <w:t>El obligado se niega a entregarme la información solicitada, remitiéndome al INFOEM, en virtud que es este Órgano Garante quien emite las resoluciones, pero lo cierto es, que el suscrito sólo estoy solicitando, única y exclusivamente, las resoluciones que revocan o modifican respuestas del sujeto obligado y que le hayan sido notificadas durante el año 2021, por lo que, existe la obligación del obligado de proporcionármelas, al ser el uno de los destinatarios de las mismas, y el encargado de cumplirlas, por tanto, ni duda cabe, que posee y administra dicha información, y en virtud de ello, se encuentra obligado a proporcionármela, además, que la información solicitada, es específica, y remitirme a que busque todas las sentencias que emite el INFOEM a todos los sujetos obligados, es desproporcionado, desigual e injusto, por ende, dicha respuesta no se encuentra debidamente fundada y motivada, pues además de la injusticia manifiesta evidente, concebida como un desvío de poder o desproporción, al no existir adecuación, ni congruencia, entre lo solicitado y la respuesta proporcionada, ni duda cabe, que dicha respuesta es arbitraria e injusta, y que lo procedente por ello, es revocarla y/o modificarla, sostener lo contrario equivaldría a que los sujetos obligados determinaran de facto que es lo que solicita el ciudadano, y cambiaran o tergiversaran la solicitud de origen, pues el suscrito no estoy solicitando todas las resoluciones emitidas por el Infoem a todos los sujetos obligados, sino específicamente las que revocan y/o modifican respuesta del ayuntamiento de Ixtapan de la sal, y únicamente las notificadas durante el año 2021; por lo tanto, si al obligado se le han notificado unas cuantas de éstas sentencias y las posee y administra, es inconcuso, que puede y debe proporcionármelas y no buscar confundirme y remitirme a otro obligado, pues se encuentra a su alcance satisfacer mi solicitud.</w:t>
      </w:r>
      <w:r w:rsidRPr="00CB2EA8">
        <w:rPr>
          <w:rFonts w:ascii="Palatino Linotype" w:hAnsi="Palatino Linotype"/>
          <w:i/>
          <w:color w:val="000000"/>
          <w:sz w:val="22"/>
        </w:rPr>
        <w:t>” (Sic)</w:t>
      </w:r>
    </w:p>
    <w:p w14:paraId="1D8B2075" w14:textId="77777777" w:rsidR="00C33FD9" w:rsidRPr="00CB2EA8" w:rsidRDefault="00C33FD9" w:rsidP="00C33FD9">
      <w:pPr>
        <w:pStyle w:val="Prrafodelista"/>
        <w:spacing w:before="100" w:beforeAutospacing="1" w:after="100" w:afterAutospacing="1" w:line="360" w:lineRule="auto"/>
        <w:ind w:left="0"/>
        <w:jc w:val="both"/>
        <w:rPr>
          <w:rFonts w:ascii="Palatino Linotype" w:hAnsi="Palatino Linotype" w:cs="Arial"/>
        </w:rPr>
      </w:pPr>
      <w:r w:rsidRPr="00CB2EA8">
        <w:rPr>
          <w:rFonts w:ascii="Palatino Linotype" w:hAnsi="Palatino Linotype"/>
          <w:b/>
          <w:sz w:val="28"/>
          <w:szCs w:val="28"/>
        </w:rPr>
        <w:t>V.</w:t>
      </w:r>
      <w:r w:rsidRPr="00CB2EA8">
        <w:rPr>
          <w:rFonts w:ascii="Palatino Linotype" w:hAnsi="Palatino Linotype"/>
        </w:rPr>
        <w:t xml:space="preserve"> </w:t>
      </w:r>
      <w:r w:rsidRPr="00CB2EA8">
        <w:rPr>
          <w:rFonts w:ascii="Palatino Linotype" w:hAnsi="Palatino Linotype" w:cs="Arial"/>
        </w:rPr>
        <w:t xml:space="preserve">El recurso de que se trata se envió electrónicamente al Instituto de </w:t>
      </w:r>
      <w:r w:rsidRPr="00CB2EA8">
        <w:rPr>
          <w:rFonts w:ascii="Palatino Linotype" w:eastAsia="Arial Unicode MS" w:hAnsi="Palatino Linotype" w:cs="Arial"/>
        </w:rPr>
        <w:t>Transparencia</w:t>
      </w:r>
      <w:r w:rsidRPr="00CB2EA8">
        <w:rPr>
          <w:rFonts w:ascii="Palatino Linotype" w:hAnsi="Palatino Linotype" w:cs="Arial"/>
        </w:rPr>
        <w:t xml:space="preserve">, Acceso a la Información Pública y Protección de Datos Personales del Estado de México y Municipios en fecha </w:t>
      </w:r>
      <w:r w:rsidR="0016453E" w:rsidRPr="00CB2EA8">
        <w:rPr>
          <w:rFonts w:ascii="Palatino Linotype" w:hAnsi="Palatino Linotype" w:cs="Arial"/>
        </w:rPr>
        <w:t>veinticinco de marzo de dos mil veintiuno</w:t>
      </w:r>
      <w:r w:rsidR="00EC6D7F" w:rsidRPr="00CB2EA8">
        <w:rPr>
          <w:rFonts w:ascii="Palatino Linotype" w:hAnsi="Palatino Linotype" w:cs="Arial"/>
        </w:rPr>
        <w:t xml:space="preserve"> </w:t>
      </w:r>
      <w:r w:rsidRPr="00CB2EA8">
        <w:rPr>
          <w:rFonts w:ascii="Palatino Linotype" w:hAnsi="Palatino Linotype" w:cs="Arial"/>
        </w:rPr>
        <w:t xml:space="preserve">y con fundamento en el artículo 185, fracción I de la </w:t>
      </w:r>
      <w:r w:rsidRPr="00CB2EA8">
        <w:rPr>
          <w:rFonts w:ascii="Palatino Linotype" w:hAnsi="Palatino Linotype"/>
        </w:rPr>
        <w:t>Ley de Transparencia y Acceso a la Información Pública del Estado de México y Municipios</w:t>
      </w:r>
      <w:r w:rsidRPr="00CB2EA8">
        <w:rPr>
          <w:rFonts w:ascii="Palatino Linotype" w:hAnsi="Palatino Linotype" w:cs="Arial"/>
        </w:rPr>
        <w:t>, se turnó, a través del</w:t>
      </w:r>
      <w:r w:rsidRPr="00CB2EA8">
        <w:rPr>
          <w:rFonts w:ascii="Palatino Linotype" w:eastAsia="Arial Unicode MS" w:hAnsi="Palatino Linotype" w:cs="Arial"/>
        </w:rPr>
        <w:t xml:space="preserve"> </w:t>
      </w:r>
      <w:r w:rsidRPr="00CB2EA8">
        <w:rPr>
          <w:rFonts w:ascii="Palatino Linotype" w:eastAsia="Arial Unicode MS" w:hAnsi="Palatino Linotype" w:cs="Arial"/>
          <w:b/>
        </w:rPr>
        <w:lastRenderedPageBreak/>
        <w:t>SAIMEX</w:t>
      </w:r>
      <w:r w:rsidRPr="00CB2EA8">
        <w:rPr>
          <w:rFonts w:ascii="Palatino Linotype" w:hAnsi="Palatino Linotype"/>
        </w:rPr>
        <w:t xml:space="preserve">, a la </w:t>
      </w:r>
      <w:r w:rsidRPr="00CB2EA8">
        <w:rPr>
          <w:rFonts w:ascii="Palatino Linotype" w:hAnsi="Palatino Linotype" w:cs="Arial"/>
        </w:rPr>
        <w:t xml:space="preserve">Comisionada </w:t>
      </w:r>
      <w:r w:rsidRPr="00CB2EA8">
        <w:rPr>
          <w:rFonts w:ascii="Palatino Linotype" w:hAnsi="Palatino Linotype" w:cs="Arial"/>
          <w:b/>
        </w:rPr>
        <w:t>Eva Abaid Yapur</w:t>
      </w:r>
      <w:r w:rsidRPr="00CB2EA8">
        <w:rPr>
          <w:rFonts w:ascii="Palatino Linotype" w:hAnsi="Palatino Linotype" w:cs="Arial"/>
        </w:rPr>
        <w:t>, a efecto de que decretara su admisión o desechamiento.</w:t>
      </w:r>
    </w:p>
    <w:p w14:paraId="1D8B2076" w14:textId="77777777" w:rsidR="00C33FD9" w:rsidRPr="00CB2EA8" w:rsidRDefault="00C33FD9" w:rsidP="00C33FD9">
      <w:pPr>
        <w:pStyle w:val="Prrafodelista"/>
        <w:spacing w:before="100" w:beforeAutospacing="1" w:after="100" w:afterAutospacing="1" w:line="360" w:lineRule="auto"/>
        <w:ind w:left="0"/>
        <w:jc w:val="both"/>
        <w:rPr>
          <w:rFonts w:ascii="Palatino Linotype" w:hAnsi="Palatino Linotype" w:cs="Arial"/>
        </w:rPr>
      </w:pPr>
      <w:r w:rsidRPr="00CB2EA8">
        <w:rPr>
          <w:rFonts w:ascii="Palatino Linotype" w:hAnsi="Palatino Linotype" w:cs="Arial"/>
          <w:b/>
          <w:sz w:val="28"/>
          <w:szCs w:val="28"/>
        </w:rPr>
        <w:t>V</w:t>
      </w:r>
      <w:r w:rsidR="00416A60" w:rsidRPr="00CB2EA8">
        <w:rPr>
          <w:rFonts w:ascii="Palatino Linotype" w:hAnsi="Palatino Linotype" w:cs="Arial"/>
          <w:b/>
          <w:sz w:val="28"/>
          <w:szCs w:val="28"/>
        </w:rPr>
        <w:t>I</w:t>
      </w:r>
      <w:r w:rsidRPr="00CB2EA8">
        <w:rPr>
          <w:rFonts w:ascii="Palatino Linotype" w:hAnsi="Palatino Linotype" w:cs="Arial"/>
          <w:b/>
          <w:sz w:val="28"/>
          <w:szCs w:val="28"/>
        </w:rPr>
        <w:t>.</w:t>
      </w:r>
      <w:r w:rsidRPr="00CB2EA8">
        <w:rPr>
          <w:rFonts w:ascii="Palatino Linotype" w:hAnsi="Palatino Linotype" w:cs="Arial"/>
        </w:rPr>
        <w:t xml:space="preserve"> En fecha</w:t>
      </w:r>
      <w:r w:rsidR="007A023B" w:rsidRPr="00CB2EA8">
        <w:rPr>
          <w:rFonts w:ascii="Palatino Linotype" w:hAnsi="Palatino Linotype" w:cs="Arial"/>
        </w:rPr>
        <w:t xml:space="preserve"> </w:t>
      </w:r>
      <w:r w:rsidR="0016453E" w:rsidRPr="00CB2EA8">
        <w:rPr>
          <w:rFonts w:ascii="Palatino Linotype" w:hAnsi="Palatino Linotype" w:cs="Arial"/>
        </w:rPr>
        <w:t>seis de abril de dos mil veintiuno</w:t>
      </w:r>
      <w:r w:rsidRPr="00CB2EA8">
        <w:rPr>
          <w:rFonts w:ascii="Palatino Linotype" w:hAnsi="Palatino Linotype" w:cs="Arial"/>
        </w:rPr>
        <w:t xml:space="preserve">, atento a lo dispuesto en el artículo 185, fracciones I, II y IV de la </w:t>
      </w:r>
      <w:r w:rsidRPr="00CB2EA8">
        <w:rPr>
          <w:rFonts w:ascii="Palatino Linotype" w:hAnsi="Palatino Linotype"/>
        </w:rPr>
        <w:t>Ley de Transparencia y Acceso a la Información Pública del Estado de México y Municipios, se a</w:t>
      </w:r>
      <w:r w:rsidRPr="00CB2EA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CB2EA8">
        <w:rPr>
          <w:rFonts w:ascii="Palatino Linotype" w:hAnsi="Palatino Linotype" w:cs="Arial"/>
          <w:b/>
        </w:rPr>
        <w:t>L</w:t>
      </w:r>
      <w:r w:rsidR="0016453E" w:rsidRPr="00CB2EA8">
        <w:rPr>
          <w:rFonts w:ascii="Palatino Linotype" w:hAnsi="Palatino Linotype" w:cs="Arial"/>
          <w:b/>
        </w:rPr>
        <w:t>A</w:t>
      </w:r>
      <w:r w:rsidRPr="00CB2EA8">
        <w:rPr>
          <w:rFonts w:ascii="Palatino Linotype" w:hAnsi="Palatino Linotype" w:cs="Arial"/>
          <w:b/>
        </w:rPr>
        <w:t xml:space="preserve"> RECURRENTE</w:t>
      </w:r>
      <w:r w:rsidRPr="00CB2EA8">
        <w:rPr>
          <w:rFonts w:ascii="Palatino Linotype" w:hAnsi="Palatino Linotype" w:cs="Arial"/>
        </w:rPr>
        <w:t xml:space="preserve"> realizara manifestaciones y alegatos, así como ofreciera las pruebas que a su derecho conviniera y, en el caso del</w:t>
      </w:r>
      <w:r w:rsidRPr="00CB2EA8">
        <w:rPr>
          <w:rFonts w:ascii="Palatino Linotype" w:hAnsi="Palatino Linotype" w:cs="Arial"/>
          <w:b/>
        </w:rPr>
        <w:t xml:space="preserve"> SUJETO OBLIGADO</w:t>
      </w:r>
      <w:r w:rsidRPr="00CB2EA8">
        <w:rPr>
          <w:rFonts w:ascii="Palatino Linotype" w:hAnsi="Palatino Linotype" w:cs="Arial"/>
        </w:rPr>
        <w:t xml:space="preserve"> exhibiera el Informe Justificado. </w:t>
      </w:r>
    </w:p>
    <w:p w14:paraId="1D8B2077" w14:textId="7663AE2A" w:rsidR="00416A60" w:rsidRPr="00CB2EA8" w:rsidRDefault="00C33FD9" w:rsidP="00C33FD9">
      <w:pPr>
        <w:pStyle w:val="Prrafodelista"/>
        <w:spacing w:before="100" w:beforeAutospacing="1" w:after="100" w:afterAutospacing="1" w:line="360" w:lineRule="auto"/>
        <w:ind w:left="0"/>
        <w:jc w:val="both"/>
        <w:rPr>
          <w:rFonts w:ascii="Palatino Linotype" w:hAnsi="Palatino Linotype" w:cs="Arial"/>
        </w:rPr>
      </w:pPr>
      <w:r w:rsidRPr="00CB2EA8">
        <w:rPr>
          <w:rFonts w:ascii="Palatino Linotype" w:hAnsi="Palatino Linotype" w:cs="Arial"/>
          <w:b/>
          <w:sz w:val="28"/>
          <w:szCs w:val="28"/>
        </w:rPr>
        <w:t>V</w:t>
      </w:r>
      <w:r w:rsidR="00416A60" w:rsidRPr="00CB2EA8">
        <w:rPr>
          <w:rFonts w:ascii="Palatino Linotype" w:hAnsi="Palatino Linotype" w:cs="Arial"/>
          <w:b/>
          <w:sz w:val="28"/>
          <w:szCs w:val="28"/>
        </w:rPr>
        <w:t>I</w:t>
      </w:r>
      <w:r w:rsidRPr="00CB2EA8">
        <w:rPr>
          <w:rFonts w:ascii="Palatino Linotype" w:hAnsi="Palatino Linotype" w:cs="Arial"/>
          <w:b/>
          <w:sz w:val="28"/>
          <w:szCs w:val="28"/>
        </w:rPr>
        <w:t>I.</w:t>
      </w:r>
      <w:r w:rsidR="00416A60" w:rsidRPr="00CB2EA8">
        <w:rPr>
          <w:rFonts w:ascii="Palatino Linotype" w:hAnsi="Palatino Linotype" w:cs="Arial"/>
        </w:rPr>
        <w:t xml:space="preserve"> En cumplimiento a lo anterior, de la</w:t>
      </w:r>
      <w:r w:rsidR="007C755B" w:rsidRPr="00CB2EA8">
        <w:rPr>
          <w:rFonts w:ascii="Palatino Linotype" w:hAnsi="Palatino Linotype" w:cs="Arial"/>
        </w:rPr>
        <w:t xml:space="preserve">s </w:t>
      </w:r>
      <w:r w:rsidR="00416A60" w:rsidRPr="00CB2EA8">
        <w:rPr>
          <w:rFonts w:ascii="Palatino Linotype" w:hAnsi="Palatino Linotype" w:cs="Arial"/>
        </w:rPr>
        <w:t>constancia</w:t>
      </w:r>
      <w:r w:rsidR="007C755B" w:rsidRPr="00CB2EA8">
        <w:rPr>
          <w:rFonts w:ascii="Palatino Linotype" w:hAnsi="Palatino Linotype" w:cs="Arial"/>
        </w:rPr>
        <w:t>s</w:t>
      </w:r>
      <w:r w:rsidR="00416A60" w:rsidRPr="00CB2EA8">
        <w:rPr>
          <w:rFonts w:ascii="Palatino Linotype" w:hAnsi="Palatino Linotype" w:cs="Arial"/>
        </w:rPr>
        <w:t xml:space="preserve"> del expediente electróni</w:t>
      </w:r>
      <w:r w:rsidR="0016453E" w:rsidRPr="00CB2EA8">
        <w:rPr>
          <w:rFonts w:ascii="Palatino Linotype" w:hAnsi="Palatino Linotype" w:cs="Arial"/>
        </w:rPr>
        <w:t xml:space="preserve">co del SAIMEX, se advierte que </w:t>
      </w:r>
      <w:r w:rsidR="00416A60" w:rsidRPr="00CB2EA8">
        <w:rPr>
          <w:rFonts w:ascii="Palatino Linotype" w:hAnsi="Palatino Linotype" w:cs="Arial"/>
          <w:b/>
        </w:rPr>
        <w:t>L</w:t>
      </w:r>
      <w:r w:rsidR="0016453E" w:rsidRPr="00CB2EA8">
        <w:rPr>
          <w:rFonts w:ascii="Palatino Linotype" w:hAnsi="Palatino Linotype" w:cs="Arial"/>
          <w:b/>
        </w:rPr>
        <w:t>A</w:t>
      </w:r>
      <w:r w:rsidR="00416A60" w:rsidRPr="00CB2EA8">
        <w:rPr>
          <w:rFonts w:ascii="Palatino Linotype" w:hAnsi="Palatino Linotype" w:cs="Arial"/>
          <w:b/>
        </w:rPr>
        <w:t xml:space="preserve"> RECURRENTE</w:t>
      </w:r>
      <w:r w:rsidR="00416A60" w:rsidRPr="00CB2EA8">
        <w:rPr>
          <w:rFonts w:ascii="Palatino Linotype" w:hAnsi="Palatino Linotype" w:cs="Arial"/>
        </w:rPr>
        <w:t xml:space="preserve"> no present</w:t>
      </w:r>
      <w:r w:rsidR="0006116C" w:rsidRPr="00CB2EA8">
        <w:rPr>
          <w:rFonts w:ascii="Palatino Linotype" w:hAnsi="Palatino Linotype" w:cs="Arial"/>
        </w:rPr>
        <w:t>ó</w:t>
      </w:r>
      <w:r w:rsidR="00416A60" w:rsidRPr="00CB2EA8">
        <w:rPr>
          <w:rFonts w:ascii="Palatino Linotype" w:hAnsi="Palatino Linotype" w:cs="Arial"/>
        </w:rPr>
        <w:t xml:space="preserve"> manifestaciones y alegatos, ni ofreció los medios de prueba que a su derecho conviniera. Por su parte, </w:t>
      </w:r>
      <w:r w:rsidR="00416A60" w:rsidRPr="00CB2EA8">
        <w:rPr>
          <w:rFonts w:ascii="Palatino Linotype" w:hAnsi="Palatino Linotype" w:cs="Arial"/>
          <w:b/>
        </w:rPr>
        <w:t xml:space="preserve">EL SUJETO OBLIGADO </w:t>
      </w:r>
      <w:r w:rsidR="00416A60" w:rsidRPr="00CB2EA8">
        <w:rPr>
          <w:rFonts w:ascii="Palatino Linotype" w:hAnsi="Palatino Linotype" w:cs="Arial"/>
        </w:rPr>
        <w:t xml:space="preserve">fue omiso en rendir el respectivo Informe Justificado, tal y como se aprecia en la siguiente imagen: </w:t>
      </w:r>
    </w:p>
    <w:p w14:paraId="1D8B2078" w14:textId="4A79FFDF" w:rsidR="00416A60" w:rsidRPr="00CB2EA8" w:rsidRDefault="0016453E" w:rsidP="007A023B">
      <w:pPr>
        <w:pStyle w:val="Prrafodelista"/>
        <w:spacing w:before="100" w:beforeAutospacing="1" w:after="100" w:afterAutospacing="1" w:line="360" w:lineRule="auto"/>
        <w:ind w:left="0"/>
        <w:jc w:val="both"/>
        <w:rPr>
          <w:rFonts w:ascii="Palatino Linotype" w:hAnsi="Palatino Linotype"/>
          <w:i/>
          <w:color w:val="000000"/>
          <w:sz w:val="22"/>
        </w:rPr>
      </w:pPr>
      <w:r w:rsidRPr="00CB2EA8">
        <w:rPr>
          <w:noProof/>
          <w:lang w:eastAsia="es-MX"/>
        </w:rPr>
        <w:drawing>
          <wp:inline distT="0" distB="0" distL="0" distR="0" wp14:anchorId="1D8B210C" wp14:editId="1D8B210D">
            <wp:extent cx="5791835" cy="13246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4610"/>
                    </a:xfrm>
                    <a:prstGeom prst="rect">
                      <a:avLst/>
                    </a:prstGeom>
                  </pic:spPr>
                </pic:pic>
              </a:graphicData>
            </a:graphic>
          </wp:inline>
        </w:drawing>
      </w:r>
    </w:p>
    <w:p w14:paraId="1D8B2079" w14:textId="77777777" w:rsidR="00C33FD9" w:rsidRPr="00CB2EA8" w:rsidRDefault="0016453E" w:rsidP="00C33FD9">
      <w:pPr>
        <w:pStyle w:val="Prrafodelista"/>
        <w:spacing w:before="100" w:beforeAutospacing="1" w:after="100" w:afterAutospacing="1" w:line="360" w:lineRule="auto"/>
        <w:ind w:left="0"/>
        <w:jc w:val="both"/>
        <w:rPr>
          <w:rFonts w:ascii="Palatino Linotype" w:hAnsi="Palatino Linotype"/>
        </w:rPr>
      </w:pPr>
      <w:r w:rsidRPr="00CB2EA8">
        <w:rPr>
          <w:rFonts w:ascii="Palatino Linotype" w:hAnsi="Palatino Linotype" w:cs="Arial"/>
          <w:b/>
          <w:sz w:val="28"/>
          <w:szCs w:val="28"/>
        </w:rPr>
        <w:t>VII</w:t>
      </w:r>
      <w:r w:rsidR="007C755B" w:rsidRPr="00CB2EA8">
        <w:rPr>
          <w:rFonts w:ascii="Palatino Linotype" w:hAnsi="Palatino Linotype" w:cs="Arial"/>
          <w:b/>
          <w:sz w:val="28"/>
          <w:szCs w:val="28"/>
        </w:rPr>
        <w:t>I</w:t>
      </w:r>
      <w:r w:rsidR="00C33FD9" w:rsidRPr="00CB2EA8">
        <w:rPr>
          <w:rFonts w:ascii="Palatino Linotype" w:hAnsi="Palatino Linotype" w:cs="Arial"/>
          <w:b/>
          <w:sz w:val="28"/>
          <w:szCs w:val="28"/>
        </w:rPr>
        <w:t>.</w:t>
      </w:r>
      <w:r w:rsidR="00C33FD9" w:rsidRPr="00CB2EA8">
        <w:rPr>
          <w:rFonts w:ascii="Palatino Linotype" w:hAnsi="Palatino Linotype" w:cs="Arial"/>
        </w:rPr>
        <w:t xml:space="preserve"> Transcurrido el plazo señalado en el párrafo anterior y, una vez analizado el estado procesal que guardaba el expediente, en fecha </w:t>
      </w:r>
      <w:r w:rsidR="00017A22" w:rsidRPr="00CB2EA8">
        <w:rPr>
          <w:rFonts w:ascii="Palatino Linotype" w:hAnsi="Palatino Linotype" w:cs="Arial"/>
        </w:rPr>
        <w:t xml:space="preserve">dieciséis de abril de dos mil </w:t>
      </w:r>
      <w:r w:rsidR="00017A22" w:rsidRPr="00CB2EA8">
        <w:rPr>
          <w:rFonts w:ascii="Palatino Linotype" w:hAnsi="Palatino Linotype" w:cs="Arial"/>
        </w:rPr>
        <w:lastRenderedPageBreak/>
        <w:t>veintiuno</w:t>
      </w:r>
      <w:r w:rsidR="00C33FD9" w:rsidRPr="00CB2EA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w:t>
      </w:r>
      <w:r w:rsidR="00F10D20" w:rsidRPr="00CB2EA8">
        <w:rPr>
          <w:rFonts w:ascii="Palatino Linotype" w:hAnsi="Palatino Linotype" w:cs="Arial"/>
        </w:rPr>
        <w:t>el Estado de México y Municipios; y</w:t>
      </w:r>
    </w:p>
    <w:p w14:paraId="1D8B207A" w14:textId="77777777" w:rsidR="00C33FD9" w:rsidRPr="00CB2EA8" w:rsidRDefault="00C33FD9" w:rsidP="00C33FD9">
      <w:pPr>
        <w:spacing w:before="100" w:beforeAutospacing="1" w:after="100" w:afterAutospacing="1" w:line="360" w:lineRule="auto"/>
        <w:jc w:val="center"/>
        <w:rPr>
          <w:rFonts w:ascii="Palatino Linotype" w:hAnsi="Palatino Linotype"/>
          <w:b/>
          <w:bCs/>
          <w:spacing w:val="60"/>
          <w:sz w:val="28"/>
        </w:rPr>
      </w:pPr>
      <w:r w:rsidRPr="00CB2EA8">
        <w:rPr>
          <w:rFonts w:ascii="Palatino Linotype" w:hAnsi="Palatino Linotype"/>
          <w:b/>
          <w:bCs/>
          <w:spacing w:val="60"/>
          <w:sz w:val="28"/>
        </w:rPr>
        <w:t>CONSIDERANDO</w:t>
      </w:r>
    </w:p>
    <w:p w14:paraId="1D8B207B" w14:textId="77777777" w:rsidR="00C33FD9" w:rsidRPr="00CB2EA8" w:rsidRDefault="00C33FD9" w:rsidP="00C33FD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CB2EA8">
        <w:rPr>
          <w:rFonts w:ascii="Palatino Linotype" w:hAnsi="Palatino Linotype" w:cs="Arial"/>
          <w:b/>
          <w:sz w:val="28"/>
          <w:szCs w:val="28"/>
        </w:rPr>
        <w:t>PRIMERO</w:t>
      </w:r>
      <w:r w:rsidRPr="00CB2EA8">
        <w:rPr>
          <w:rFonts w:ascii="Palatino Linotype" w:hAnsi="Palatino Linotype" w:cs="Arial"/>
          <w:b/>
        </w:rPr>
        <w:t>. Competencia.</w:t>
      </w:r>
      <w:r w:rsidRPr="00CB2EA8">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w:t>
      </w:r>
      <w:r w:rsidR="004733AB" w:rsidRPr="00CB2EA8">
        <w:rPr>
          <w:rFonts w:ascii="Palatino Linotype" w:hAnsi="Palatino Linotype" w:cs="Arial"/>
        </w:rPr>
        <w:t>trigésimo</w:t>
      </w:r>
      <w:r w:rsidRPr="00CB2EA8">
        <w:rPr>
          <w:rFonts w:ascii="Palatino Linotype" w:hAnsi="Palatino Linotype" w:cs="Arial"/>
        </w:rPr>
        <w:t xml:space="preserve">, </w:t>
      </w:r>
      <w:r w:rsidR="004733AB" w:rsidRPr="00CB2EA8">
        <w:rPr>
          <w:rFonts w:ascii="Palatino Linotype" w:hAnsi="Palatino Linotype" w:cs="Arial"/>
        </w:rPr>
        <w:t xml:space="preserve">trigésimo primero </w:t>
      </w:r>
      <w:r w:rsidRPr="00CB2EA8">
        <w:rPr>
          <w:rFonts w:ascii="Palatino Linotype" w:hAnsi="Palatino Linotype" w:cs="Arial"/>
        </w:rPr>
        <w:t xml:space="preserve">y </w:t>
      </w:r>
      <w:r w:rsidR="004733AB" w:rsidRPr="00CB2EA8">
        <w:rPr>
          <w:rFonts w:ascii="Palatino Linotype" w:hAnsi="Palatino Linotype" w:cs="Arial"/>
        </w:rPr>
        <w:t>trigésimo segundo</w:t>
      </w:r>
      <w:r w:rsidRPr="00CB2EA8">
        <w:rPr>
          <w:rFonts w:ascii="Palatino Linotype" w:hAnsi="Palatino Linotype" w:cs="Arial"/>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14:paraId="1D8B207C" w14:textId="77777777" w:rsidR="004733AB" w:rsidRPr="00CB2EA8" w:rsidRDefault="004733AB" w:rsidP="004733AB">
      <w:pPr>
        <w:widowControl w:val="0"/>
        <w:tabs>
          <w:tab w:val="left" w:pos="1701"/>
        </w:tabs>
        <w:autoSpaceDE w:val="0"/>
        <w:autoSpaceDN w:val="0"/>
        <w:adjustRightInd w:val="0"/>
        <w:spacing w:before="240" w:after="240" w:line="360" w:lineRule="auto"/>
        <w:jc w:val="both"/>
        <w:rPr>
          <w:rFonts w:ascii="Palatino Linotype" w:hAnsi="Palatino Linotype"/>
          <w:b/>
        </w:rPr>
      </w:pPr>
      <w:r w:rsidRPr="00CB2EA8">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w:t>
      </w:r>
      <w:r w:rsidRPr="00CB2EA8">
        <w:rPr>
          <w:rFonts w:ascii="Palatino Linotype" w:hAnsi="Palatino Linotype"/>
        </w:rPr>
        <w:lastRenderedPageBreak/>
        <w:t>ello implique el poner en riesgo el diverso derecho a la salud de todos los partícipes en los procesos que conllevan.</w:t>
      </w:r>
    </w:p>
    <w:p w14:paraId="1D8B207D" w14:textId="77777777" w:rsidR="00C33FD9" w:rsidRPr="00CB2EA8" w:rsidRDefault="00C33FD9" w:rsidP="00C33FD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CB2EA8">
        <w:rPr>
          <w:rFonts w:ascii="Palatino Linotype" w:hAnsi="Palatino Linotype" w:cs="Arial"/>
          <w:b/>
          <w:sz w:val="28"/>
          <w:szCs w:val="28"/>
        </w:rPr>
        <w:t>SEGUNDO</w:t>
      </w:r>
      <w:r w:rsidRPr="00CB2EA8">
        <w:rPr>
          <w:rFonts w:ascii="Palatino Linotype" w:hAnsi="Palatino Linotype" w:cs="Arial"/>
          <w:b/>
        </w:rPr>
        <w:t>. Interés.</w:t>
      </w:r>
      <w:r w:rsidRPr="00CB2EA8">
        <w:rPr>
          <w:rFonts w:ascii="Palatino Linotype" w:hAnsi="Palatino Linotype" w:cs="Arial"/>
        </w:rPr>
        <w:t xml:space="preserve"> El recurso de revisión fue interpuesto por parte legítima en atención a que fue presentado por </w:t>
      </w:r>
      <w:r w:rsidRPr="00CB2EA8">
        <w:rPr>
          <w:rFonts w:ascii="Palatino Linotype" w:hAnsi="Palatino Linotype" w:cs="Arial"/>
          <w:b/>
        </w:rPr>
        <w:t>L</w:t>
      </w:r>
      <w:r w:rsidR="004733AB" w:rsidRPr="00CB2EA8">
        <w:rPr>
          <w:rFonts w:ascii="Palatino Linotype" w:hAnsi="Palatino Linotype" w:cs="Arial"/>
          <w:b/>
        </w:rPr>
        <w:t>A</w:t>
      </w:r>
      <w:r w:rsidRPr="00CB2EA8">
        <w:rPr>
          <w:rFonts w:ascii="Palatino Linotype" w:hAnsi="Palatino Linotype" w:cs="Arial"/>
          <w:b/>
        </w:rPr>
        <w:t xml:space="preserve"> RECURRENTE</w:t>
      </w:r>
      <w:r w:rsidRPr="00CB2EA8">
        <w:rPr>
          <w:rFonts w:ascii="Palatino Linotype" w:hAnsi="Palatino Linotype" w:cs="Arial"/>
          <w:snapToGrid w:val="0"/>
        </w:rPr>
        <w:t xml:space="preserve">, quien es la misma persona que formuló la </w:t>
      </w:r>
      <w:r w:rsidRPr="00CB2EA8">
        <w:rPr>
          <w:rFonts w:ascii="Palatino Linotype" w:hAnsi="Palatino Linotype" w:cs="Arial"/>
        </w:rPr>
        <w:t>solicitud</w:t>
      </w:r>
      <w:r w:rsidRPr="00CB2EA8">
        <w:rPr>
          <w:rFonts w:ascii="Palatino Linotype" w:hAnsi="Palatino Linotype" w:cs="Arial"/>
          <w:snapToGrid w:val="0"/>
        </w:rPr>
        <w:t xml:space="preserve"> de información pública al</w:t>
      </w:r>
      <w:r w:rsidRPr="00CB2EA8">
        <w:rPr>
          <w:rFonts w:ascii="Palatino Linotype" w:hAnsi="Palatino Linotype" w:cs="Arial"/>
          <w:b/>
          <w:snapToGrid w:val="0"/>
        </w:rPr>
        <w:t xml:space="preserve"> SUJETO OBLIGADO</w:t>
      </w:r>
      <w:r w:rsidRPr="00CB2EA8">
        <w:rPr>
          <w:rFonts w:ascii="Palatino Linotype" w:hAnsi="Palatino Linotype" w:cs="Arial"/>
        </w:rPr>
        <w:t>.</w:t>
      </w:r>
    </w:p>
    <w:p w14:paraId="1D8B207E" w14:textId="77777777" w:rsidR="00C33FD9" w:rsidRPr="00CB2EA8"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B2EA8">
        <w:rPr>
          <w:rFonts w:ascii="Palatino Linotype" w:hAnsi="Palatino Linotype" w:cs="Arial"/>
          <w:b/>
          <w:sz w:val="28"/>
          <w:szCs w:val="28"/>
        </w:rPr>
        <w:t>TERCERO</w:t>
      </w:r>
      <w:r w:rsidRPr="00CB2EA8">
        <w:rPr>
          <w:rFonts w:ascii="Palatino Linotype" w:hAnsi="Palatino Linotype" w:cs="Arial"/>
          <w:b/>
        </w:rPr>
        <w:t xml:space="preserve">. Oportunidad. </w:t>
      </w:r>
      <w:r w:rsidRPr="00CB2EA8">
        <w:rPr>
          <w:rFonts w:ascii="Palatino Linotype" w:hAnsi="Palatino Linotype" w:cs="Arial"/>
        </w:rPr>
        <w:t>El recurso de revisión fue interpuesto dentro del plazo de quince días hábiles contados a partir d</w:t>
      </w:r>
      <w:r w:rsidR="004733AB" w:rsidRPr="00CB2EA8">
        <w:rPr>
          <w:rFonts w:ascii="Palatino Linotype" w:hAnsi="Palatino Linotype" w:cs="Arial"/>
        </w:rPr>
        <w:t>el día siguiente a aquel en que</w:t>
      </w:r>
      <w:r w:rsidRPr="00CB2EA8">
        <w:rPr>
          <w:rFonts w:ascii="Palatino Linotype" w:hAnsi="Palatino Linotype" w:cs="Arial"/>
          <w:b/>
        </w:rPr>
        <w:t xml:space="preserve"> </w:t>
      </w:r>
      <w:r w:rsidR="004733AB" w:rsidRPr="00CB2EA8">
        <w:rPr>
          <w:rFonts w:ascii="Palatino Linotype" w:hAnsi="Palatino Linotype" w:cs="Arial"/>
          <w:b/>
        </w:rPr>
        <w:t xml:space="preserve">LA </w:t>
      </w:r>
      <w:r w:rsidRPr="00CB2EA8">
        <w:rPr>
          <w:rFonts w:ascii="Palatino Linotype" w:hAnsi="Palatino Linotype" w:cs="Arial"/>
          <w:b/>
        </w:rPr>
        <w:t xml:space="preserve">RECURRENTE </w:t>
      </w:r>
      <w:r w:rsidRPr="00CB2EA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D8B207F" w14:textId="77777777" w:rsidR="00C33FD9" w:rsidRPr="00CB2EA8" w:rsidRDefault="00C33FD9" w:rsidP="00C33FD9">
      <w:pPr>
        <w:ind w:left="709" w:right="760"/>
        <w:jc w:val="both"/>
        <w:rPr>
          <w:rFonts w:ascii="Palatino Linotype" w:hAnsi="Palatino Linotype" w:cs="Arial"/>
          <w:i/>
          <w:sz w:val="22"/>
        </w:rPr>
      </w:pPr>
      <w:r w:rsidRPr="00CB2EA8">
        <w:rPr>
          <w:rFonts w:ascii="Palatino Linotype" w:hAnsi="Palatino Linotype" w:cs="Arial"/>
          <w:i/>
          <w:sz w:val="22"/>
        </w:rPr>
        <w:t>“</w:t>
      </w:r>
      <w:r w:rsidRPr="00CB2EA8">
        <w:rPr>
          <w:rFonts w:ascii="Palatino Linotype" w:hAnsi="Palatino Linotype" w:cs="Arial"/>
          <w:b/>
          <w:i/>
          <w:sz w:val="22"/>
        </w:rPr>
        <w:t>Artículo 178.</w:t>
      </w:r>
      <w:r w:rsidRPr="00CB2EA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D8B2080" w14:textId="77777777" w:rsidR="00C33FD9" w:rsidRPr="00CB2EA8" w:rsidRDefault="00C33FD9" w:rsidP="00C33FD9">
      <w:pPr>
        <w:ind w:left="709" w:right="760"/>
        <w:jc w:val="both"/>
        <w:rPr>
          <w:rFonts w:ascii="Palatino Linotype" w:hAnsi="Palatino Linotype" w:cs="Arial"/>
          <w:i/>
          <w:sz w:val="22"/>
        </w:rPr>
      </w:pPr>
    </w:p>
    <w:p w14:paraId="1D8B2081" w14:textId="77777777" w:rsidR="00C33FD9" w:rsidRPr="00CB2EA8" w:rsidRDefault="00C33FD9" w:rsidP="00C33FD9">
      <w:pPr>
        <w:ind w:left="709" w:right="760"/>
        <w:jc w:val="both"/>
        <w:rPr>
          <w:rFonts w:ascii="Palatino Linotype" w:hAnsi="Palatino Linotype" w:cs="Arial"/>
          <w:i/>
          <w:sz w:val="22"/>
        </w:rPr>
      </w:pPr>
      <w:r w:rsidRPr="00CB2EA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D8B2082" w14:textId="77777777" w:rsidR="00C33FD9" w:rsidRPr="00CB2EA8" w:rsidRDefault="00C33FD9" w:rsidP="00C33FD9">
      <w:pPr>
        <w:ind w:left="709" w:right="760"/>
        <w:jc w:val="both"/>
        <w:rPr>
          <w:rFonts w:ascii="Palatino Linotype" w:hAnsi="Palatino Linotype" w:cs="Arial"/>
          <w:i/>
          <w:sz w:val="22"/>
        </w:rPr>
      </w:pPr>
    </w:p>
    <w:p w14:paraId="1D8B2083" w14:textId="77777777" w:rsidR="00C33FD9" w:rsidRPr="00CB2EA8" w:rsidRDefault="00C33FD9" w:rsidP="00C33FD9">
      <w:pPr>
        <w:ind w:left="709" w:right="760"/>
        <w:jc w:val="both"/>
        <w:rPr>
          <w:rFonts w:ascii="Palatino Linotype" w:hAnsi="Palatino Linotype" w:cs="Arial"/>
          <w:i/>
          <w:sz w:val="22"/>
        </w:rPr>
      </w:pPr>
      <w:r w:rsidRPr="00CB2EA8">
        <w:rPr>
          <w:rFonts w:ascii="Palatino Linotype" w:hAnsi="Palatino Linotype" w:cs="Arial"/>
          <w:i/>
          <w:sz w:val="22"/>
        </w:rPr>
        <w:t xml:space="preserve">En el caso de que se interponga ante la Unidad de Transparencia, ésta deberá remitir el recurso de revisión al Instituto a más tardar al día </w:t>
      </w:r>
      <w:r w:rsidRPr="00CB2EA8">
        <w:rPr>
          <w:rFonts w:ascii="Palatino Linotype" w:hAnsi="Palatino Linotype" w:cs="Arial"/>
          <w:i/>
          <w:sz w:val="22"/>
          <w:lang w:eastAsia="es-MX"/>
        </w:rPr>
        <w:t>siguiente</w:t>
      </w:r>
      <w:r w:rsidRPr="00CB2EA8">
        <w:rPr>
          <w:rFonts w:ascii="Palatino Linotype" w:hAnsi="Palatino Linotype" w:cs="Arial"/>
          <w:i/>
          <w:sz w:val="22"/>
        </w:rPr>
        <w:t xml:space="preserve"> de haberlo recibido.”</w:t>
      </w:r>
    </w:p>
    <w:p w14:paraId="1D8B2084" w14:textId="77777777" w:rsidR="00C33FD9" w:rsidRPr="00CB2EA8" w:rsidRDefault="00C33FD9" w:rsidP="00C33FD9">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CB2EA8">
        <w:rPr>
          <w:rFonts w:ascii="Palatino Linotype" w:hAnsi="Palatino Linotype" w:cs="Arial"/>
        </w:rPr>
        <w:t xml:space="preserve">En esa tesitura, atendiendo a que </w:t>
      </w:r>
      <w:r w:rsidRPr="00CB2EA8">
        <w:rPr>
          <w:rFonts w:ascii="Palatino Linotype" w:hAnsi="Palatino Linotype" w:cs="Arial"/>
          <w:b/>
        </w:rPr>
        <w:t>EL SUJETO OBLIGADO</w:t>
      </w:r>
      <w:r w:rsidRPr="00CB2EA8">
        <w:rPr>
          <w:rFonts w:ascii="Palatino Linotype" w:hAnsi="Palatino Linotype" w:cs="Arial"/>
        </w:rPr>
        <w:t xml:space="preserve"> notificó la respuesta a la solicitud de información pública el día</w:t>
      </w:r>
      <w:r w:rsidRPr="00CB2EA8">
        <w:rPr>
          <w:rFonts w:ascii="Palatino Linotype" w:hAnsi="Palatino Linotype" w:cs="Arial"/>
          <w:b/>
        </w:rPr>
        <w:t xml:space="preserve"> </w:t>
      </w:r>
      <w:r w:rsidR="004733AB" w:rsidRPr="00CB2EA8">
        <w:rPr>
          <w:rFonts w:ascii="Palatino Linotype" w:hAnsi="Palatino Linotype" w:cs="Arial"/>
          <w:b/>
        </w:rPr>
        <w:t>dieciséis de marzo de dos mil veintiuno</w:t>
      </w:r>
      <w:r w:rsidRPr="00CB2EA8">
        <w:rPr>
          <w:rFonts w:ascii="Palatino Linotype" w:hAnsi="Palatino Linotype" w:cs="Arial"/>
        </w:rPr>
        <w:t>; sí, el plazo de quince días hábiles que el artículo 178 de la Ley de la materia otorga al</w:t>
      </w:r>
      <w:r w:rsidRPr="00CB2EA8">
        <w:rPr>
          <w:rFonts w:ascii="Palatino Linotype" w:hAnsi="Palatino Linotype" w:cs="Arial"/>
          <w:b/>
        </w:rPr>
        <w:t xml:space="preserve"> RECURRENTE</w:t>
      </w:r>
      <w:r w:rsidRPr="00CB2EA8">
        <w:rPr>
          <w:rFonts w:ascii="Palatino Linotype" w:hAnsi="Palatino Linotype" w:cs="Arial"/>
        </w:rPr>
        <w:t xml:space="preserve"> para presentar el recurso de revisión, transcurrió del </w:t>
      </w:r>
      <w:r w:rsidR="004733AB" w:rsidRPr="00CB2EA8">
        <w:rPr>
          <w:rFonts w:ascii="Palatino Linotype" w:hAnsi="Palatino Linotype" w:cs="Arial"/>
          <w:b/>
        </w:rPr>
        <w:t xml:space="preserve">diecisiete de </w:t>
      </w:r>
      <w:r w:rsidR="004733AB" w:rsidRPr="00CB2EA8">
        <w:rPr>
          <w:rFonts w:ascii="Palatino Linotype" w:hAnsi="Palatino Linotype" w:cs="Arial"/>
          <w:b/>
        </w:rPr>
        <w:lastRenderedPageBreak/>
        <w:t>marzo al trece de abril de dos mil veintiuno</w:t>
      </w:r>
      <w:r w:rsidRPr="00CB2EA8">
        <w:rPr>
          <w:rFonts w:ascii="Palatino Linotype" w:hAnsi="Palatino Linotype" w:cs="Arial"/>
        </w:rPr>
        <w:t xml:space="preserve">, sin contemplar en el cómputo los días </w:t>
      </w:r>
      <w:r w:rsidR="004733AB" w:rsidRPr="00CB2EA8">
        <w:rPr>
          <w:rFonts w:ascii="Palatino Linotype" w:hAnsi="Palatino Linotype" w:cs="Arial"/>
        </w:rPr>
        <w:t>veinte, veintiuno, veintisiete y veintiocho de marzo, así como, los días tres, cuatro, diez y once de abril de dos mil veintiuno</w:t>
      </w:r>
      <w:r w:rsidRPr="00CB2EA8">
        <w:rPr>
          <w:rFonts w:ascii="Palatino Linotype" w:hAnsi="Palatino Linotype" w:cs="Arial"/>
        </w:rPr>
        <w:t xml:space="preserve">, por corresponder a sábados y domingos, considerados como días inhábiles, en términos del artículo 3, fracción X de la </w:t>
      </w:r>
      <w:r w:rsidRPr="00CB2EA8">
        <w:rPr>
          <w:rFonts w:ascii="Palatino Linotype" w:hAnsi="Palatino Linotype"/>
        </w:rPr>
        <w:t xml:space="preserve">Ley de Transparencia y Acceso a la Información Pública del Estado de México y Municipios; </w:t>
      </w:r>
      <w:r w:rsidRPr="00CB2EA8">
        <w:rPr>
          <w:rFonts w:ascii="Palatino Linotype" w:hAnsi="Palatino Linotype" w:cs="Arial"/>
        </w:rPr>
        <w:t xml:space="preserve">así como, el día </w:t>
      </w:r>
      <w:r w:rsidR="004733AB" w:rsidRPr="00CB2EA8">
        <w:rPr>
          <w:rFonts w:ascii="Palatino Linotype" w:hAnsi="Palatino Linotype" w:cs="Arial"/>
        </w:rPr>
        <w:t xml:space="preserve">veintinueve, treinta y treinta y uno de marzo, uno y dos de abril de dos mil veintiuno, al corresponder a </w:t>
      </w:r>
      <w:r w:rsidRPr="00CB2EA8">
        <w:rPr>
          <w:rFonts w:ascii="Palatino Linotype" w:hAnsi="Palatino Linotype" w:cs="Arial"/>
        </w:rPr>
        <w:t>día</w:t>
      </w:r>
      <w:r w:rsidR="004733AB" w:rsidRPr="00CB2EA8">
        <w:rPr>
          <w:rFonts w:ascii="Palatino Linotype" w:hAnsi="Palatino Linotype" w:cs="Arial"/>
        </w:rPr>
        <w:t>s</w:t>
      </w:r>
      <w:r w:rsidRPr="00CB2EA8">
        <w:rPr>
          <w:rFonts w:ascii="Palatino Linotype" w:hAnsi="Palatino Linotype" w:cs="Arial"/>
        </w:rPr>
        <w:t xml:space="preserve"> de supleción de labores de conformidad con el Calendario Oficial en Materia de Transparencia, Acceso a la Información Pública y Protección de Datos Personales de</w:t>
      </w:r>
      <w:r w:rsidR="004733AB" w:rsidRPr="00CB2EA8">
        <w:rPr>
          <w:rFonts w:ascii="Palatino Linotype" w:hAnsi="Palatino Linotype" w:cs="Arial"/>
        </w:rPr>
        <w:t>l Estado de México y Municipios</w:t>
      </w:r>
      <w:r w:rsidRPr="00CB2EA8">
        <w:rPr>
          <w:rFonts w:ascii="Palatino Linotype" w:hAnsi="Palatino Linotype" w:cs="Arial"/>
        </w:rPr>
        <w:t>.</w:t>
      </w:r>
    </w:p>
    <w:p w14:paraId="1D8B2085" w14:textId="77777777" w:rsidR="00C33FD9" w:rsidRPr="00CB2EA8" w:rsidRDefault="00C33FD9" w:rsidP="00C33FD9">
      <w:pPr>
        <w:spacing w:before="100" w:beforeAutospacing="1" w:after="100" w:afterAutospacing="1" w:line="360" w:lineRule="auto"/>
        <w:jc w:val="both"/>
        <w:rPr>
          <w:rFonts w:ascii="Palatino Linotype" w:hAnsi="Palatino Linotype" w:cs="Arial"/>
          <w:b/>
        </w:rPr>
      </w:pPr>
      <w:r w:rsidRPr="00CB2EA8">
        <w:rPr>
          <w:rFonts w:ascii="Palatino Linotype" w:hAnsi="Palatino Linotype" w:cs="Arial"/>
        </w:rPr>
        <w:t>En ese tenor, si el recurso de revisión que nos ocupa, se interpuso el</w:t>
      </w:r>
      <w:r w:rsidRPr="00CB2EA8">
        <w:rPr>
          <w:rFonts w:ascii="Palatino Linotype" w:hAnsi="Palatino Linotype" w:cs="Arial"/>
          <w:b/>
        </w:rPr>
        <w:t xml:space="preserve"> </w:t>
      </w:r>
      <w:r w:rsidR="004733AB" w:rsidRPr="00CB2EA8">
        <w:rPr>
          <w:rFonts w:ascii="Palatino Linotype" w:hAnsi="Palatino Linotype" w:cs="Arial"/>
          <w:b/>
        </w:rPr>
        <w:t>veinticinco de marzo de dos mil veintiuno</w:t>
      </w:r>
      <w:r w:rsidRPr="00CB2EA8">
        <w:rPr>
          <w:rFonts w:ascii="Palatino Linotype" w:hAnsi="Palatino Linotype" w:cs="Arial"/>
        </w:rPr>
        <w:t>, éste se encuentra dentro de los márgenes temporales previstos en el precepto legal citado en el párrafo anterior y, por tanto, su interposición se considera oportuna.</w:t>
      </w:r>
    </w:p>
    <w:p w14:paraId="1D8B2086" w14:textId="77777777" w:rsidR="006C1D07" w:rsidRPr="00CB2EA8" w:rsidRDefault="00C33FD9" w:rsidP="006C1D0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CB2EA8">
        <w:rPr>
          <w:rFonts w:ascii="Palatino Linotype" w:hAnsi="Palatino Linotype" w:cs="Arial"/>
          <w:b/>
          <w:sz w:val="28"/>
          <w:szCs w:val="28"/>
        </w:rPr>
        <w:t>CUARTO</w:t>
      </w:r>
      <w:r w:rsidRPr="00CB2EA8">
        <w:rPr>
          <w:rFonts w:ascii="Palatino Linotype" w:hAnsi="Palatino Linotype" w:cs="Arial"/>
          <w:b/>
        </w:rPr>
        <w:t>. Procedibilidad.</w:t>
      </w:r>
      <w:r w:rsidRPr="00CB2EA8">
        <w:rPr>
          <w:rFonts w:ascii="Palatino Linotype" w:hAnsi="Palatino Linotype" w:cs="Arial"/>
        </w:rPr>
        <w:t xml:space="preserve"> </w:t>
      </w:r>
      <w:r w:rsidR="006C1D07" w:rsidRPr="00CB2EA8">
        <w:rPr>
          <w:rFonts w:ascii="Palatino Linotype" w:hAnsi="Palatino Linotype" w:cs="Arial"/>
          <w:lang w:val="es-ES"/>
        </w:rPr>
        <w:t xml:space="preserve">Del análisis efectuado, se advierte </w:t>
      </w:r>
      <w:r w:rsidR="006C1D07" w:rsidRPr="00CB2EA8">
        <w:rPr>
          <w:rFonts w:ascii="Palatino Linotype" w:hAnsi="Palatino Linotype" w:cs="Arial"/>
        </w:rPr>
        <w:t xml:space="preserve">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6C1D07" w:rsidRPr="00CB2EA8">
        <w:rPr>
          <w:rFonts w:ascii="Palatino Linotype" w:hAnsi="Palatino Linotype" w:cs="Arial"/>
          <w:b/>
        </w:rPr>
        <w:t>SAIMEX</w:t>
      </w:r>
      <w:r w:rsidR="006C1D07" w:rsidRPr="00CB2EA8">
        <w:rPr>
          <w:rFonts w:ascii="Palatino Linotype" w:hAnsi="Palatino Linotype" w:cs="Arial"/>
        </w:rPr>
        <w:t>.</w:t>
      </w:r>
    </w:p>
    <w:p w14:paraId="1D8B2087" w14:textId="77777777" w:rsidR="00764F1E" w:rsidRPr="00CB2EA8" w:rsidRDefault="00C33FD9" w:rsidP="00C33FD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CB2EA8">
        <w:rPr>
          <w:rFonts w:ascii="Palatino Linotype" w:hAnsi="Palatino Linotype" w:cs="Arial"/>
          <w:b/>
          <w:sz w:val="28"/>
          <w:szCs w:val="28"/>
        </w:rPr>
        <w:t>QUINTO</w:t>
      </w:r>
      <w:r w:rsidRPr="00CB2EA8">
        <w:rPr>
          <w:rFonts w:ascii="Palatino Linotype" w:hAnsi="Palatino Linotype" w:cs="Arial"/>
        </w:rPr>
        <w:t xml:space="preserve">. </w:t>
      </w:r>
      <w:r w:rsidRPr="00CB2EA8">
        <w:rPr>
          <w:rFonts w:ascii="Palatino Linotype" w:hAnsi="Palatino Linotype" w:cs="Arial"/>
          <w:b/>
        </w:rPr>
        <w:t>Estudio y resolución de los asuntos</w:t>
      </w:r>
      <w:r w:rsidRPr="00CB2EA8">
        <w:rPr>
          <w:rFonts w:ascii="Palatino Linotype" w:hAnsi="Palatino Linotype" w:cs="Arial"/>
        </w:rPr>
        <w:t xml:space="preserve">. Tal y como quedó precisado en los resultandos de la presente resolución, el particular requirió del </w:t>
      </w:r>
      <w:r w:rsidRPr="00CB2EA8">
        <w:rPr>
          <w:rFonts w:ascii="Palatino Linotype" w:hAnsi="Palatino Linotype" w:cs="Arial"/>
          <w:b/>
        </w:rPr>
        <w:t>SUJETO OBLIGADO</w:t>
      </w:r>
      <w:r w:rsidRPr="00CB2EA8">
        <w:rPr>
          <w:rFonts w:ascii="Palatino Linotype" w:hAnsi="Palatino Linotype" w:cs="Arial"/>
        </w:rPr>
        <w:t xml:space="preserve"> </w:t>
      </w:r>
      <w:r w:rsidR="006C1D07" w:rsidRPr="00CB2EA8">
        <w:rPr>
          <w:rFonts w:ascii="Palatino Linotype" w:hAnsi="Palatino Linotype" w:cs="Arial"/>
        </w:rPr>
        <w:t xml:space="preserve">las resoluciones notificadas por el Instituto de Transparencia, Acceso a la Información Pública y Protección de Datos Personales del Estado de México y Municipios en el </w:t>
      </w:r>
      <w:r w:rsidR="006C1D07" w:rsidRPr="00CB2EA8">
        <w:rPr>
          <w:rFonts w:ascii="Palatino Linotype" w:hAnsi="Palatino Linotype" w:cs="Arial"/>
        </w:rPr>
        <w:lastRenderedPageBreak/>
        <w:t>año 2021, mediante las cuales se modifica o revoca su respuesta.</w:t>
      </w:r>
      <w:r w:rsidR="00A766C0" w:rsidRPr="00CB2EA8">
        <w:rPr>
          <w:rFonts w:ascii="Palatino Linotype" w:hAnsi="Palatino Linotype" w:cs="Arial"/>
        </w:rPr>
        <w:t xml:space="preserve"> </w:t>
      </w:r>
    </w:p>
    <w:p w14:paraId="1D8B2088" w14:textId="77777777" w:rsidR="006C1D07" w:rsidRPr="00CB2EA8" w:rsidRDefault="00C33FD9" w:rsidP="00A766C0">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CB2EA8">
        <w:rPr>
          <w:rFonts w:ascii="Palatino Linotype" w:hAnsi="Palatino Linotype" w:cs="Arial"/>
        </w:rPr>
        <w:t xml:space="preserve">Al respecto, </w:t>
      </w:r>
      <w:r w:rsidRPr="00CB2EA8">
        <w:rPr>
          <w:rFonts w:ascii="Palatino Linotype" w:hAnsi="Palatino Linotype" w:cs="Arial"/>
          <w:b/>
        </w:rPr>
        <w:t>EL SUJETO OBLIGADO</w:t>
      </w:r>
      <w:r w:rsidRPr="00CB2EA8">
        <w:rPr>
          <w:rFonts w:ascii="Palatino Linotype" w:hAnsi="Palatino Linotype" w:cs="Arial"/>
        </w:rPr>
        <w:t xml:space="preserve"> respondió al particular que</w:t>
      </w:r>
      <w:r w:rsidR="00764F1E" w:rsidRPr="00CB2EA8">
        <w:rPr>
          <w:rFonts w:ascii="Palatino Linotype" w:hAnsi="Palatino Linotype" w:cs="Arial"/>
        </w:rPr>
        <w:t xml:space="preserve"> </w:t>
      </w:r>
      <w:r w:rsidR="006C1D07" w:rsidRPr="00CB2EA8">
        <w:rPr>
          <w:rFonts w:ascii="Palatino Linotype" w:hAnsi="Palatino Linotype" w:cs="Arial"/>
        </w:rPr>
        <w:t xml:space="preserve">de la búsqueda exhaustiva y razonable de la información solicitada dentro de los archivos del periodo solicitado, no se tiene registro alguno y en consecuencia no se cuenta con los documentos y/o información relacionada a la solicitud, de conformidad con el artículo 12, párrafo segundo y 24, último párrafo de la Ley de Transparencia Local; por lo que, reitero que a la fecha de la solicitud no ha recibido notificación de resoluciones notificadas por el INFOEM en el año 2021, mediante las cuales se modifique o revoque su respuesta. </w:t>
      </w:r>
    </w:p>
    <w:p w14:paraId="1D8B2089" w14:textId="77777777" w:rsidR="00C33FD9" w:rsidRPr="00CB2EA8" w:rsidRDefault="00C33FD9" w:rsidP="00C33FD9">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CB2EA8">
        <w:rPr>
          <w:rFonts w:ascii="Palatino Linotype" w:hAnsi="Palatino Linotype" w:cs="Arial"/>
        </w:rPr>
        <w:t>I</w:t>
      </w:r>
      <w:r w:rsidR="006C1D07" w:rsidRPr="00CB2EA8">
        <w:rPr>
          <w:rFonts w:ascii="Palatino Linotype" w:hAnsi="Palatino Linotype" w:cs="Arial"/>
        </w:rPr>
        <w:t xml:space="preserve">nconforme con dicha respuesta, la </w:t>
      </w:r>
      <w:r w:rsidRPr="00CB2EA8">
        <w:rPr>
          <w:rFonts w:ascii="Palatino Linotype" w:hAnsi="Palatino Linotype" w:cs="Arial"/>
        </w:rPr>
        <w:t xml:space="preserve">hoy </w:t>
      </w:r>
      <w:r w:rsidRPr="00CB2EA8">
        <w:rPr>
          <w:rFonts w:ascii="Palatino Linotype" w:hAnsi="Palatino Linotype" w:cs="Arial"/>
          <w:b/>
        </w:rPr>
        <w:t>RECURRENTE</w:t>
      </w:r>
      <w:r w:rsidRPr="00CB2EA8">
        <w:rPr>
          <w:rFonts w:ascii="Palatino Linotype" w:hAnsi="Palatino Linotype" w:cs="Arial"/>
        </w:rPr>
        <w:t xml:space="preserve"> interpuso el medio de defensa en análisis, en el cual medularmente se dolió respecto de que </w:t>
      </w:r>
      <w:r w:rsidR="00D74178" w:rsidRPr="00CB2EA8">
        <w:rPr>
          <w:rFonts w:ascii="Palatino Linotype" w:hAnsi="Palatino Linotype" w:cs="Arial"/>
        </w:rPr>
        <w:t xml:space="preserve">se le niegue la entrega de la información </w:t>
      </w:r>
      <w:r w:rsidRPr="00CB2EA8">
        <w:rPr>
          <w:rFonts w:ascii="Palatino Linotype" w:hAnsi="Palatino Linotype" w:cs="Arial"/>
        </w:rPr>
        <w:t>solicitada.</w:t>
      </w:r>
    </w:p>
    <w:p w14:paraId="1D8B208A" w14:textId="6466A745" w:rsidR="00764F1E" w:rsidRPr="00CB2EA8" w:rsidRDefault="00764F1E" w:rsidP="00C33FD9">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CB2EA8">
        <w:rPr>
          <w:rFonts w:ascii="Palatino Linotype" w:hAnsi="Palatino Linotype" w:cs="Arial"/>
        </w:rPr>
        <w:t xml:space="preserve">Debiendo precisar en este punto que únicamente </w:t>
      </w:r>
      <w:r w:rsidRPr="00CB2EA8">
        <w:rPr>
          <w:rFonts w:ascii="Palatino Linotype" w:hAnsi="Palatino Linotype" w:cs="Arial"/>
          <w:b/>
        </w:rPr>
        <w:t>L</w:t>
      </w:r>
      <w:r w:rsidR="0006116C" w:rsidRPr="00CB2EA8">
        <w:rPr>
          <w:rFonts w:ascii="Palatino Linotype" w:hAnsi="Palatino Linotype" w:cs="Arial"/>
          <w:b/>
        </w:rPr>
        <w:t>A</w:t>
      </w:r>
      <w:r w:rsidRPr="00CB2EA8">
        <w:rPr>
          <w:rFonts w:ascii="Palatino Linotype" w:hAnsi="Palatino Linotype" w:cs="Arial"/>
          <w:b/>
        </w:rPr>
        <w:t xml:space="preserve"> RECURRENTE </w:t>
      </w:r>
      <w:r w:rsidRPr="00CB2EA8">
        <w:rPr>
          <w:rFonts w:ascii="Palatino Linotype" w:hAnsi="Palatino Linotype" w:cs="Arial"/>
        </w:rPr>
        <w:t xml:space="preserve">realizó las manifestaciones que a su derecho convinieron; tal y como, se </w:t>
      </w:r>
      <w:r w:rsidR="005A1B9F" w:rsidRPr="00CB2EA8">
        <w:rPr>
          <w:rFonts w:ascii="Palatino Linotype" w:hAnsi="Palatino Linotype" w:cs="Arial"/>
        </w:rPr>
        <w:t>estableció</w:t>
      </w:r>
      <w:r w:rsidRPr="00CB2EA8">
        <w:rPr>
          <w:rFonts w:ascii="Palatino Linotype" w:hAnsi="Palatino Linotype" w:cs="Arial"/>
        </w:rPr>
        <w:t xml:space="preserve"> en el Resultando V de la presente resolución.</w:t>
      </w:r>
    </w:p>
    <w:p w14:paraId="1D8B208B" w14:textId="77777777" w:rsidR="00C33FD9" w:rsidRPr="00CB2EA8" w:rsidRDefault="005A1B9F" w:rsidP="00C33FD9">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b/>
        </w:rPr>
      </w:pPr>
      <w:r w:rsidRPr="00CB2EA8">
        <w:rPr>
          <w:rFonts w:ascii="Palatino Linotype" w:hAnsi="Palatino Linotype" w:cs="Arial"/>
        </w:rPr>
        <w:t xml:space="preserve">Bajo ese contexto, y de las constancias que integran el expediente electrónico del </w:t>
      </w:r>
      <w:r w:rsidRPr="00CB2EA8">
        <w:rPr>
          <w:rFonts w:ascii="Palatino Linotype" w:hAnsi="Palatino Linotype" w:cs="Arial"/>
          <w:b/>
        </w:rPr>
        <w:t>SAIMEX</w:t>
      </w:r>
      <w:r w:rsidRPr="00CB2EA8">
        <w:rPr>
          <w:rFonts w:ascii="Palatino Linotype" w:hAnsi="Palatino Linotype" w:cs="Arial"/>
        </w:rPr>
        <w:t xml:space="preserve"> se considera necesario precisar </w:t>
      </w:r>
      <w:r w:rsidR="00B43656" w:rsidRPr="00CB2EA8">
        <w:rPr>
          <w:rFonts w:ascii="Palatino Linotype" w:hAnsi="Palatino Linotype" w:cs="Arial"/>
        </w:rPr>
        <w:t xml:space="preserve">que las razones o motivos de inconformidad devienen fundados y en consecuencia es procedente </w:t>
      </w:r>
      <w:r w:rsidR="00B43656" w:rsidRPr="00CB2EA8">
        <w:rPr>
          <w:rFonts w:ascii="Palatino Linotype" w:hAnsi="Palatino Linotype" w:cs="Arial"/>
          <w:b/>
        </w:rPr>
        <w:t>Revocar</w:t>
      </w:r>
      <w:r w:rsidR="00B43656" w:rsidRPr="00CB2EA8">
        <w:rPr>
          <w:rFonts w:ascii="Palatino Linotype" w:hAnsi="Palatino Linotype" w:cs="Arial"/>
        </w:rPr>
        <w:t xml:space="preserve"> la respuesta del </w:t>
      </w:r>
      <w:r w:rsidR="00B43656" w:rsidRPr="00CB2EA8">
        <w:rPr>
          <w:rFonts w:ascii="Palatino Linotype" w:hAnsi="Palatino Linotype" w:cs="Arial"/>
          <w:b/>
        </w:rPr>
        <w:t xml:space="preserve">SUJETO OBLIGADO, </w:t>
      </w:r>
      <w:r w:rsidR="00C33FD9" w:rsidRPr="00CB2EA8">
        <w:rPr>
          <w:rFonts w:ascii="Palatino Linotype" w:hAnsi="Palatino Linotype" w:cs="Arial"/>
        </w:rPr>
        <w:t>en razón de las consideraciones de hecho y de derecho que se detallan a lo largo del presente Considerando.</w:t>
      </w:r>
    </w:p>
    <w:p w14:paraId="1D8B208C" w14:textId="77777777" w:rsidR="00C33FD9" w:rsidRPr="00CB2EA8" w:rsidRDefault="00C33FD9" w:rsidP="00C33FD9">
      <w:pPr>
        <w:spacing w:before="100" w:beforeAutospacing="1" w:after="100" w:afterAutospacing="1" w:line="360" w:lineRule="auto"/>
        <w:jc w:val="both"/>
        <w:rPr>
          <w:rFonts w:ascii="Palatino Linotype" w:hAnsi="Palatino Linotype"/>
        </w:rPr>
      </w:pPr>
      <w:r w:rsidRPr="00CB2EA8">
        <w:rPr>
          <w:rFonts w:ascii="Palatino Linotype" w:eastAsia="Calibri" w:hAnsi="Palatino Linotype" w:cs="Arial"/>
        </w:rPr>
        <w:lastRenderedPageBreak/>
        <w:t xml:space="preserve">Primeramente, este Instituto </w:t>
      </w:r>
      <w:r w:rsidRPr="00CB2EA8">
        <w:rPr>
          <w:rFonts w:ascii="Palatino Linotype" w:hAnsi="Palatino Linotype"/>
        </w:rPr>
        <w:t xml:space="preserve">precisa que se obvia el análisis de la competencia por parte del </w:t>
      </w:r>
      <w:r w:rsidRPr="00CB2EA8">
        <w:rPr>
          <w:rFonts w:ascii="Palatino Linotype" w:hAnsi="Palatino Linotype"/>
          <w:b/>
        </w:rPr>
        <w:t>SUJETO OBLIGADO</w:t>
      </w:r>
      <w:r w:rsidRPr="00CB2EA8">
        <w:rPr>
          <w:rFonts w:ascii="Palatino Linotype" w:hAnsi="Palatino Linotype"/>
        </w:rPr>
        <w:t xml:space="preserve">, para generar, administrar o poseer la información solicitada, dado que éste ha asumido la misma, en razón de que en su respuesta refirió </w:t>
      </w:r>
      <w:r w:rsidR="005A1B9F" w:rsidRPr="00CB2EA8">
        <w:rPr>
          <w:rFonts w:ascii="Palatino Linotype" w:hAnsi="Palatino Linotype"/>
        </w:rPr>
        <w:t xml:space="preserve">que </w:t>
      </w:r>
      <w:r w:rsidR="00D74178" w:rsidRPr="00CB2EA8">
        <w:rPr>
          <w:rFonts w:ascii="Palatino Linotype" w:hAnsi="Palatino Linotype"/>
        </w:rPr>
        <w:t>hasta el momento aún no contaba con resoluciones</w:t>
      </w:r>
      <w:r w:rsidR="007E46E4" w:rsidRPr="00CB2EA8">
        <w:rPr>
          <w:rFonts w:ascii="Palatino Linotype" w:hAnsi="Palatino Linotype"/>
        </w:rPr>
        <w:t xml:space="preserve">. </w:t>
      </w:r>
    </w:p>
    <w:p w14:paraId="1D8B208D" w14:textId="77777777" w:rsidR="00C33FD9" w:rsidRPr="00CB2EA8" w:rsidRDefault="00C33FD9" w:rsidP="00C33FD9">
      <w:pPr>
        <w:spacing w:before="240" w:after="240" w:line="360" w:lineRule="auto"/>
        <w:jc w:val="both"/>
        <w:rPr>
          <w:rFonts w:ascii="Palatino Linotype" w:hAnsi="Palatino Linotype"/>
        </w:rPr>
      </w:pPr>
      <w:r w:rsidRPr="00CB2EA8">
        <w:rPr>
          <w:rFonts w:ascii="Palatino Linotype" w:hAnsi="Palatino Linotype"/>
        </w:rPr>
        <w:t xml:space="preserve">En efecto, el hecho de que </w:t>
      </w:r>
      <w:r w:rsidRPr="00CB2EA8">
        <w:rPr>
          <w:rFonts w:ascii="Palatino Linotype" w:hAnsi="Palatino Linotype"/>
          <w:b/>
        </w:rPr>
        <w:t>EL SUJETO OBLIGADO</w:t>
      </w:r>
      <w:r w:rsidRPr="00CB2EA8">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1D8B208E" w14:textId="77777777" w:rsidR="00C33FD9" w:rsidRPr="00CB2EA8" w:rsidRDefault="00C33FD9" w:rsidP="00C33FD9">
      <w:pPr>
        <w:tabs>
          <w:tab w:val="left" w:pos="851"/>
          <w:tab w:val="left" w:pos="8505"/>
        </w:tabs>
        <w:ind w:left="851" w:right="902"/>
        <w:jc w:val="both"/>
        <w:rPr>
          <w:rFonts w:ascii="Palatino Linotype" w:hAnsi="Palatino Linotype" w:cs="Arial"/>
          <w:i/>
          <w:sz w:val="22"/>
          <w:szCs w:val="22"/>
        </w:rPr>
      </w:pPr>
      <w:r w:rsidRPr="00CB2EA8">
        <w:rPr>
          <w:rFonts w:ascii="Palatino Linotype" w:hAnsi="Palatino Linotype" w:cs="Arial"/>
          <w:i/>
          <w:sz w:val="22"/>
          <w:szCs w:val="22"/>
        </w:rPr>
        <w:t>“</w:t>
      </w:r>
      <w:r w:rsidRPr="00CB2EA8">
        <w:rPr>
          <w:rFonts w:ascii="Palatino Linotype" w:hAnsi="Palatino Linotype" w:cs="Arial"/>
          <w:b/>
          <w:i/>
          <w:sz w:val="22"/>
          <w:szCs w:val="22"/>
        </w:rPr>
        <w:t>Artículo 12.</w:t>
      </w:r>
      <w:r w:rsidRPr="00CB2EA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D8B208F" w14:textId="77777777" w:rsidR="00C33FD9" w:rsidRPr="00CB2EA8" w:rsidRDefault="00C33FD9" w:rsidP="00C33FD9">
      <w:pPr>
        <w:ind w:left="851" w:right="902"/>
        <w:jc w:val="both"/>
        <w:rPr>
          <w:rFonts w:ascii="Palatino Linotype" w:hAnsi="Palatino Linotype" w:cs="Arial"/>
          <w:i/>
          <w:sz w:val="22"/>
          <w:szCs w:val="22"/>
        </w:rPr>
      </w:pPr>
      <w:r w:rsidRPr="00CB2EA8">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D8B2090" w14:textId="77777777" w:rsidR="00C33FD9" w:rsidRPr="00CB2EA8" w:rsidRDefault="00C33FD9" w:rsidP="00C33FD9">
      <w:pPr>
        <w:spacing w:before="240" w:after="240" w:line="360" w:lineRule="auto"/>
        <w:jc w:val="both"/>
      </w:pPr>
      <w:r w:rsidRPr="00CB2EA8">
        <w:rPr>
          <w:rFonts w:ascii="Palatino Linotype" w:hAnsi="Palatino Linotype"/>
        </w:rPr>
        <w:t xml:space="preserve">Así, el estudio de la naturaleza jurídica de la información pública solicitada, tiene por objeto determinar si ésta la genera, posee o administra </w:t>
      </w:r>
      <w:r w:rsidRPr="00CB2EA8">
        <w:rPr>
          <w:rFonts w:ascii="Palatino Linotype" w:hAnsi="Palatino Linotype"/>
          <w:b/>
        </w:rPr>
        <w:t>EL SUJETO OBLIGADO</w:t>
      </w:r>
      <w:r w:rsidRPr="00CB2EA8">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CB2EA8">
        <w:t xml:space="preserve"> </w:t>
      </w:r>
    </w:p>
    <w:p w14:paraId="1D8B2091" w14:textId="77777777" w:rsidR="00265ED2" w:rsidRPr="00CB2EA8" w:rsidRDefault="00265ED2" w:rsidP="00265ED2">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CB2EA8">
        <w:rPr>
          <w:rFonts w:ascii="Palatino Linotype" w:hAnsi="Palatino Linotype" w:cs="Arial"/>
        </w:rPr>
        <w:lastRenderedPageBreak/>
        <w:t xml:space="preserve">En este orden de ideas, es importante </w:t>
      </w:r>
      <w:r w:rsidRPr="00CB2EA8">
        <w:rPr>
          <w:rFonts w:ascii="Palatino Linotype" w:eastAsiaTheme="minorEastAsia" w:hAnsi="Palatino Linotype" w:cs="Arial"/>
          <w:lang w:val="es-ES_tradnl"/>
        </w:rPr>
        <w:t>señalar que el artículo 4, párrafo segundo de la Ley de Transparencia y Acceso a la Información Pública del Estado de México y Municipios dispone:</w:t>
      </w:r>
    </w:p>
    <w:p w14:paraId="1D8B2092"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p>
    <w:p w14:paraId="1D8B2093"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CB2EA8">
        <w:rPr>
          <w:rFonts w:ascii="Palatino Linotype" w:eastAsiaTheme="minorEastAsia" w:hAnsi="Palatino Linotype" w:cs="Arial"/>
          <w:i/>
          <w:sz w:val="22"/>
          <w:szCs w:val="22"/>
          <w:lang w:val="es-ES_tradnl"/>
        </w:rPr>
        <w:t>“</w:t>
      </w:r>
      <w:r w:rsidRPr="00CB2EA8">
        <w:rPr>
          <w:rFonts w:ascii="Palatino Linotype" w:eastAsiaTheme="minorEastAsia" w:hAnsi="Palatino Linotype" w:cs="Arial"/>
          <w:b/>
          <w:i/>
          <w:color w:val="000000"/>
          <w:sz w:val="22"/>
          <w:szCs w:val="22"/>
          <w:lang w:val="es-ES_tradnl"/>
        </w:rPr>
        <w:t xml:space="preserve">Artículo 4. </w:t>
      </w:r>
      <w:r w:rsidRPr="00CB2EA8">
        <w:rPr>
          <w:rFonts w:ascii="Palatino Linotype" w:eastAsiaTheme="minorEastAsia" w:hAnsi="Palatino Linotype" w:cs="Arial"/>
          <w:i/>
          <w:color w:val="000000"/>
          <w:sz w:val="22"/>
          <w:szCs w:val="22"/>
          <w:lang w:val="es-ES_tradnl"/>
        </w:rPr>
        <w:t xml:space="preserve">… </w:t>
      </w:r>
    </w:p>
    <w:p w14:paraId="1D8B2094"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CB2EA8">
        <w:rPr>
          <w:rFonts w:ascii="Palatino Linotype" w:eastAsiaTheme="minorEastAsia" w:hAnsi="Palatino Linotype" w:cs="Arial"/>
          <w:b/>
          <w:i/>
          <w:color w:val="000000"/>
          <w:sz w:val="22"/>
          <w:szCs w:val="22"/>
          <w:u w:val="single"/>
          <w:lang w:val="es-ES_tradnl"/>
        </w:rPr>
        <w:t>Toda la información generada, obtenida, adquirida, transformada, administrada o en posesión de los sujetos obligados es pública y accesible de manera permanente a cualquier persona</w:t>
      </w:r>
      <w:r w:rsidRPr="00CB2EA8">
        <w:rPr>
          <w:rFonts w:ascii="Palatino Linotype" w:eastAsiaTheme="minorEastAsia" w:hAnsi="Palatino Linotype" w:cs="Arial"/>
          <w:i/>
          <w:color w:val="000000"/>
          <w:sz w:val="22"/>
          <w:szCs w:val="22"/>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D8B2095"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CB2EA8">
        <w:rPr>
          <w:rFonts w:ascii="Palatino Linotype" w:eastAsiaTheme="minorEastAsia" w:hAnsi="Palatino Linotype" w:cs="Arial"/>
          <w:i/>
          <w:color w:val="000000"/>
          <w:sz w:val="22"/>
          <w:szCs w:val="22"/>
          <w:lang w:val="es-ES_tradnl"/>
        </w:rPr>
        <w:t xml:space="preserve"> </w:t>
      </w:r>
      <w:r w:rsidRPr="00CB2EA8">
        <w:rPr>
          <w:rFonts w:ascii="Palatino Linotype" w:eastAsiaTheme="minorEastAsia" w:hAnsi="Palatino Linotype" w:cs="Arial"/>
          <w:i/>
          <w:sz w:val="22"/>
          <w:szCs w:val="22"/>
          <w:lang w:val="es-ES_tradnl"/>
        </w:rPr>
        <w:t>...”</w:t>
      </w:r>
    </w:p>
    <w:p w14:paraId="1D8B2096"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szCs w:val="20"/>
          <w:lang w:val="es-ES_tradnl"/>
        </w:rPr>
      </w:pPr>
    </w:p>
    <w:p w14:paraId="1D8B2097" w14:textId="77777777" w:rsidR="00265ED2" w:rsidRPr="00CB2EA8" w:rsidRDefault="00265ED2" w:rsidP="00265ED2">
      <w:pPr>
        <w:spacing w:before="100" w:beforeAutospacing="1" w:after="100" w:afterAutospacing="1" w:line="360" w:lineRule="auto"/>
        <w:contextualSpacing/>
        <w:jc w:val="both"/>
        <w:rPr>
          <w:rFonts w:ascii="Palatino Linotype" w:eastAsiaTheme="minorEastAsia" w:hAnsi="Palatino Linotype" w:cs="Arial"/>
          <w:i/>
          <w:u w:val="single"/>
          <w:lang w:val="es-ES_tradnl"/>
        </w:rPr>
      </w:pPr>
      <w:r w:rsidRPr="00CB2EA8">
        <w:rPr>
          <w:rFonts w:ascii="Palatino Linotype" w:eastAsiaTheme="minorEastAsia" w:hAnsi="Palatino Linotype" w:cs="Arial"/>
          <w:lang w:val="es-ES_tradnl"/>
        </w:rPr>
        <w:t xml:space="preserve">Del precepto legal invocado, se desprende que </w:t>
      </w:r>
      <w:r w:rsidRPr="00CB2EA8">
        <w:rPr>
          <w:rFonts w:ascii="Palatino Linotype" w:eastAsiaTheme="minorEastAsia" w:hAnsi="Palatino Linotype" w:cs="Arial"/>
          <w:b/>
          <w:i/>
          <w:lang w:val="es-ES_tradnl"/>
        </w:rPr>
        <w:t>la información generada, obtenida, adquirida, transmitida, administrada o en posesión de los Sujetos Obligados, será accesible de manera permanente a cualquier persona,</w:t>
      </w:r>
      <w:r w:rsidRPr="00CB2EA8">
        <w:rPr>
          <w:rFonts w:ascii="Palatino Linotype" w:eastAsiaTheme="minorEastAsia" w:hAnsi="Palatino Linotype" w:cs="Arial"/>
          <w:lang w:val="es-ES_tradnl"/>
        </w:rPr>
        <w:t xml:space="preserve"> </w:t>
      </w:r>
      <w:r w:rsidRPr="00CB2EA8">
        <w:rPr>
          <w:rFonts w:ascii="Palatino Linotype" w:eastAsiaTheme="minorEastAsia" w:hAnsi="Palatino Linotype" w:cs="Arial"/>
          <w:b/>
          <w:i/>
          <w:u w:val="single"/>
          <w:lang w:val="es-ES_tradnl"/>
        </w:rPr>
        <w:t>privilegiando el principio de máxima publicidad de la información</w:t>
      </w:r>
      <w:r w:rsidRPr="00CB2EA8">
        <w:rPr>
          <w:rFonts w:ascii="Palatino Linotype" w:eastAsiaTheme="minorEastAsia" w:hAnsi="Palatino Linotype" w:cs="Arial"/>
          <w:u w:val="single"/>
          <w:lang w:val="es-ES_tradnl"/>
        </w:rPr>
        <w:t>.</w:t>
      </w:r>
    </w:p>
    <w:p w14:paraId="1D8B2098" w14:textId="77777777" w:rsidR="00DE0EAE" w:rsidRPr="00CB2EA8" w:rsidRDefault="00DE0EAE" w:rsidP="00265ED2">
      <w:pPr>
        <w:spacing w:before="100" w:beforeAutospacing="1" w:after="100" w:afterAutospacing="1" w:line="360" w:lineRule="auto"/>
        <w:contextualSpacing/>
        <w:jc w:val="both"/>
        <w:rPr>
          <w:rFonts w:ascii="Palatino Linotype" w:eastAsiaTheme="minorEastAsia" w:hAnsi="Palatino Linotype" w:cs="Arial"/>
          <w:szCs w:val="20"/>
          <w:lang w:val="es-ES_tradnl"/>
        </w:rPr>
      </w:pPr>
    </w:p>
    <w:p w14:paraId="1D8B2099" w14:textId="77777777" w:rsidR="00265ED2" w:rsidRPr="00CB2EA8" w:rsidRDefault="00265ED2" w:rsidP="00265ED2">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r w:rsidRPr="00CB2EA8">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CB2EA8">
        <w:rPr>
          <w:rFonts w:ascii="Palatino Linotype" w:eastAsiaTheme="minorEastAsia" w:hAnsi="Palatino Linotype" w:cs="Arial"/>
          <w:lang w:val="es-ES_tradnl"/>
        </w:rPr>
        <w:t>generen</w:t>
      </w:r>
      <w:r w:rsidRPr="00CB2EA8">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8B209A" w14:textId="77777777" w:rsidR="00265ED2" w:rsidRPr="00CB2EA8" w:rsidRDefault="00265ED2" w:rsidP="00265ED2">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p>
    <w:p w14:paraId="1D8B209B" w14:textId="77777777" w:rsidR="005B7375" w:rsidRPr="00CB2EA8" w:rsidRDefault="005B7375" w:rsidP="005B7375">
      <w:pPr>
        <w:widowControl w:val="0"/>
        <w:tabs>
          <w:tab w:val="left" w:pos="1276"/>
        </w:tabs>
        <w:autoSpaceDE w:val="0"/>
        <w:autoSpaceDN w:val="0"/>
        <w:adjustRightInd w:val="0"/>
        <w:spacing w:before="240" w:after="100" w:afterAutospacing="1" w:line="360" w:lineRule="auto"/>
        <w:jc w:val="both"/>
        <w:rPr>
          <w:rFonts w:ascii="Palatino Linotype" w:eastAsiaTheme="minorEastAsia" w:hAnsi="Palatino Linotype" w:cs="Arial"/>
          <w:color w:val="000000" w:themeColor="text1"/>
          <w:lang w:val="es-ES_tradnl"/>
        </w:rPr>
      </w:pPr>
      <w:r w:rsidRPr="00CB2EA8">
        <w:rPr>
          <w:rFonts w:ascii="Palatino Linotype" w:eastAsia="Arial Unicode MS" w:hAnsi="Palatino Linotype" w:cs="Arial"/>
        </w:rPr>
        <w:t xml:space="preserve">Por su parte, el artículo 198 de la Ley de la materia establece que las Unidades de Transparencia darán estricto cumplimiento a las resoluciones del Instituto, </w:t>
      </w:r>
      <w:r w:rsidR="000C4AAD" w:rsidRPr="00CB2EA8">
        <w:rPr>
          <w:rFonts w:ascii="Palatino Linotype" w:eastAsia="Arial Unicode MS" w:hAnsi="Palatino Linotype" w:cs="Arial"/>
        </w:rPr>
        <w:t xml:space="preserve">precepto </w:t>
      </w:r>
      <w:r w:rsidRPr="00CB2EA8">
        <w:rPr>
          <w:rFonts w:ascii="Palatino Linotype" w:eastAsia="Arial Unicode MS" w:hAnsi="Palatino Linotype" w:cs="Arial"/>
        </w:rPr>
        <w:lastRenderedPageBreak/>
        <w:t>que a la letra dice:</w:t>
      </w:r>
    </w:p>
    <w:p w14:paraId="1D8B209C" w14:textId="77777777" w:rsidR="005B7375" w:rsidRPr="00CB2EA8" w:rsidRDefault="005B7375" w:rsidP="005B7375">
      <w:pPr>
        <w:spacing w:before="100" w:beforeAutospacing="1" w:after="100" w:afterAutospacing="1"/>
        <w:ind w:left="851" w:right="899"/>
        <w:contextualSpacing/>
        <w:jc w:val="both"/>
        <w:rPr>
          <w:rFonts w:ascii="Palatino Linotype" w:eastAsiaTheme="minorEastAsia" w:hAnsi="Palatino Linotype" w:cs="Arial"/>
          <w:i/>
          <w:color w:val="000000" w:themeColor="text1"/>
          <w:sz w:val="22"/>
          <w:lang w:val="es-ES_tradnl"/>
        </w:rPr>
      </w:pPr>
      <w:r w:rsidRPr="00CB2EA8">
        <w:rPr>
          <w:rFonts w:ascii="Palatino Linotype" w:eastAsiaTheme="minorEastAsia" w:hAnsi="Palatino Linotype" w:cs="Arial"/>
          <w:i/>
          <w:color w:val="000000" w:themeColor="text1"/>
          <w:sz w:val="22"/>
          <w:lang w:val="es-ES_tradnl"/>
        </w:rPr>
        <w:t xml:space="preserve"> “</w:t>
      </w:r>
      <w:r w:rsidRPr="00CB2EA8">
        <w:rPr>
          <w:rFonts w:ascii="Palatino Linotype" w:eastAsiaTheme="minorEastAsia" w:hAnsi="Palatino Linotype" w:cs="Arial"/>
          <w:b/>
          <w:i/>
          <w:color w:val="000000" w:themeColor="text1"/>
          <w:sz w:val="22"/>
          <w:lang w:val="es-ES_tradnl"/>
        </w:rPr>
        <w:t>Artículo 198</w:t>
      </w:r>
      <w:r w:rsidRPr="00CB2EA8">
        <w:rPr>
          <w:rFonts w:ascii="Palatino Linotype" w:eastAsiaTheme="minorEastAsia" w:hAnsi="Palatino Linotype" w:cs="Arial"/>
          <w:i/>
          <w:color w:val="000000" w:themeColor="text1"/>
          <w:sz w:val="22"/>
          <w:lang w:val="es-ES_tradnl"/>
        </w:rPr>
        <w:t xml:space="preserve">. </w:t>
      </w:r>
      <w:r w:rsidRPr="00CB2EA8">
        <w:rPr>
          <w:rFonts w:ascii="Palatino Linotype" w:eastAsiaTheme="minorEastAsia" w:hAnsi="Palatino Linotype" w:cs="Arial"/>
          <w:b/>
          <w:i/>
          <w:color w:val="000000" w:themeColor="text1"/>
          <w:sz w:val="22"/>
          <w:u w:val="single"/>
          <w:lang w:val="es-ES_tradnl"/>
        </w:rPr>
        <w:t>Los sujetos obligados, a través de la Unidad de Transparencia, darán estricto cumplimiento a las resoluciones del Instituto</w:t>
      </w:r>
      <w:r w:rsidRPr="00CB2EA8">
        <w:rPr>
          <w:rFonts w:ascii="Palatino Linotype" w:eastAsiaTheme="minorEastAsia" w:hAnsi="Palatino Linotype" w:cs="Arial"/>
          <w:i/>
          <w:color w:val="000000" w:themeColor="text1"/>
          <w:sz w:val="22"/>
          <w:lang w:val="es-ES_tradnl"/>
        </w:rPr>
        <w:t xml:space="preserve"> y deberán rendir Informe a éste sobre su cumplimiento.</w:t>
      </w:r>
    </w:p>
    <w:p w14:paraId="1D8B209D" w14:textId="77777777" w:rsidR="005B7375" w:rsidRPr="00CB2EA8" w:rsidRDefault="005B7375" w:rsidP="005B7375">
      <w:pPr>
        <w:spacing w:before="100" w:beforeAutospacing="1" w:after="100" w:afterAutospacing="1"/>
        <w:ind w:left="851" w:right="899"/>
        <w:contextualSpacing/>
        <w:jc w:val="both"/>
        <w:rPr>
          <w:rFonts w:ascii="Palatino Linotype" w:eastAsiaTheme="minorEastAsia" w:hAnsi="Palatino Linotype" w:cs="Arial"/>
          <w:i/>
          <w:color w:val="000000" w:themeColor="text1"/>
          <w:sz w:val="22"/>
          <w:lang w:val="es-ES_tradnl"/>
        </w:rPr>
      </w:pPr>
      <w:r w:rsidRPr="00CB2EA8">
        <w:rPr>
          <w:rFonts w:ascii="Palatino Linotype" w:eastAsiaTheme="minorEastAsia" w:hAnsi="Palatino Linotype" w:cs="Arial"/>
          <w:i/>
          <w:color w:val="000000" w:themeColor="text1"/>
          <w:sz w:val="22"/>
          <w:lang w:val="es-ES_tradnl"/>
        </w:rPr>
        <w:t>Excepcionalmente, considerando las circunstancias especiales del caso, los sujetos obligados podrán solicitar al Instituto, de manera fundada y motivada, una ampliación del plazo para el cumplimiento de la resolución.</w:t>
      </w:r>
    </w:p>
    <w:p w14:paraId="1D8B209E" w14:textId="77777777" w:rsidR="005B7375" w:rsidRPr="00CB2EA8" w:rsidRDefault="005B7375" w:rsidP="005B7375">
      <w:pPr>
        <w:spacing w:before="100" w:beforeAutospacing="1" w:after="100" w:afterAutospacing="1"/>
        <w:ind w:left="851" w:right="899"/>
        <w:contextualSpacing/>
        <w:jc w:val="both"/>
        <w:rPr>
          <w:rFonts w:ascii="Palatino Linotype" w:eastAsiaTheme="minorEastAsia" w:hAnsi="Palatino Linotype" w:cs="Arial"/>
          <w:color w:val="000000" w:themeColor="text1"/>
          <w:lang w:val="es-ES_tradnl"/>
        </w:rPr>
      </w:pPr>
      <w:r w:rsidRPr="00CB2EA8">
        <w:rPr>
          <w:rFonts w:ascii="Palatino Linotype" w:eastAsiaTheme="minorEastAsia" w:hAnsi="Palatino Linotype" w:cs="Arial"/>
          <w:i/>
          <w:color w:val="000000" w:themeColor="text1"/>
          <w:sz w:val="22"/>
          <w:lang w:val="es-ES_tradnl"/>
        </w:rPr>
        <w:t>Dicha solicitud deberá presentarse, a más tardar, dentro de los primeros tres días hábiles del plazo otorgado para el cumplimiento, a efecto de que el Instituto resuelva sobre la procedencia de la misma dentro de los cinco días hábiles siguientes.” (Sic)</w:t>
      </w:r>
    </w:p>
    <w:p w14:paraId="1D8B209F" w14:textId="77777777" w:rsidR="005B7375" w:rsidRPr="00CB2EA8" w:rsidRDefault="005B7375" w:rsidP="00265ED2">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p>
    <w:p w14:paraId="1D8B20A0" w14:textId="77777777" w:rsidR="00265ED2" w:rsidRPr="00CB2EA8" w:rsidRDefault="00265ED2" w:rsidP="00265ED2">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r w:rsidRPr="00CB2EA8">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CB2EA8">
        <w:rPr>
          <w:rFonts w:ascii="Palatino Linotype" w:eastAsiaTheme="minorEastAsia" w:hAnsi="Palatino Linotype" w:cs="Arial"/>
          <w:lang w:val="es-ES_tradnl"/>
        </w:rPr>
        <w:t xml:space="preserve">expedientes, reportes, estudios, actas, </w:t>
      </w:r>
      <w:r w:rsidRPr="00CB2EA8">
        <w:rPr>
          <w:rFonts w:ascii="Palatino Linotype" w:eastAsiaTheme="minorEastAsia" w:hAnsi="Palatino Linotype" w:cs="Arial"/>
          <w:b/>
          <w:lang w:val="es-ES_tradnl"/>
        </w:rPr>
        <w:t>resoluciones</w:t>
      </w:r>
      <w:r w:rsidRPr="00CB2EA8">
        <w:rPr>
          <w:rFonts w:ascii="Palatino Linotype" w:eastAsiaTheme="minorEastAsia" w:hAnsi="Palatino Linotype" w:cs="Arial"/>
          <w:lang w:val="es-ES_tradnl"/>
        </w:rPr>
        <w:t>, oficios, correspondencia, acuerdos, directivas, directrices, circulares, contratos, convenios, instructivos, notas, memorandos, estadísticas, o bien, cualquier otro registro que documente el ejercicio de las facultades, funciones y competencias de los Sujetos Obligados</w:t>
      </w:r>
      <w:r w:rsidRPr="00CB2EA8">
        <w:rPr>
          <w:rFonts w:ascii="Palatino Linotype" w:eastAsiaTheme="minorEastAsia" w:hAnsi="Palatino Linotype" w:cs="Arial"/>
          <w:color w:val="000000" w:themeColor="text1"/>
          <w:lang w:val="es-ES_tradnl"/>
        </w:rPr>
        <w:t xml:space="preserve">; los que, </w:t>
      </w:r>
      <w:r w:rsidRPr="00CB2EA8">
        <w:rPr>
          <w:rFonts w:ascii="Palatino Linotype" w:eastAsiaTheme="minorEastAsia" w:hAnsi="Palatino Linotype" w:cs="Arial"/>
          <w:lang w:val="es-ES_tradnl"/>
        </w:rPr>
        <w:t>podrán estar en cualquier medio, sea escrito, impreso, sonoro, visual, electrónico, informático u holográfico</w:t>
      </w:r>
      <w:r w:rsidRPr="00CB2EA8">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14:paraId="1D8B20A1"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p>
    <w:p w14:paraId="1D8B20A2"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CB2EA8">
        <w:rPr>
          <w:rFonts w:ascii="Palatino Linotype" w:eastAsiaTheme="minorEastAsia" w:hAnsi="Palatino Linotype" w:cs="Arial"/>
          <w:i/>
          <w:color w:val="000000"/>
          <w:sz w:val="22"/>
          <w:szCs w:val="22"/>
          <w:lang w:val="es-ES_tradnl"/>
        </w:rPr>
        <w:t>“</w:t>
      </w:r>
      <w:r w:rsidRPr="00CB2EA8">
        <w:rPr>
          <w:rFonts w:ascii="Palatino Linotype" w:eastAsiaTheme="minorEastAsia" w:hAnsi="Palatino Linotype" w:cs="Arial"/>
          <w:b/>
          <w:i/>
          <w:color w:val="000000"/>
          <w:sz w:val="22"/>
          <w:szCs w:val="22"/>
          <w:lang w:val="es-ES_tradnl"/>
        </w:rPr>
        <w:t xml:space="preserve">Artículo 3. </w:t>
      </w:r>
      <w:r w:rsidRPr="00CB2EA8">
        <w:rPr>
          <w:rFonts w:ascii="Palatino Linotype" w:eastAsiaTheme="minorEastAsia" w:hAnsi="Palatino Linotype" w:cs="Arial"/>
          <w:i/>
          <w:color w:val="000000"/>
          <w:sz w:val="22"/>
          <w:szCs w:val="22"/>
          <w:lang w:val="es-ES_tradnl"/>
        </w:rPr>
        <w:t>Para los efectos de la presente Ley se entenderá por:</w:t>
      </w:r>
    </w:p>
    <w:p w14:paraId="1D8B20A3" w14:textId="77777777" w:rsidR="00265ED2" w:rsidRPr="00CB2EA8" w:rsidRDefault="00265ED2" w:rsidP="00265ED2">
      <w:pPr>
        <w:spacing w:before="100" w:beforeAutospacing="1" w:after="100" w:afterAutospacing="1"/>
        <w:ind w:left="851" w:right="850"/>
        <w:contextualSpacing/>
        <w:jc w:val="both"/>
        <w:rPr>
          <w:rFonts w:ascii="Palatino Linotype" w:eastAsiaTheme="minorEastAsia" w:hAnsi="Palatino Linotype" w:cs="Arial"/>
          <w:i/>
          <w:color w:val="000000"/>
          <w:sz w:val="22"/>
          <w:szCs w:val="22"/>
          <w:lang w:val="es-ES_tradnl"/>
        </w:rPr>
      </w:pPr>
      <w:r w:rsidRPr="00CB2EA8">
        <w:rPr>
          <w:rFonts w:ascii="Palatino Linotype" w:eastAsiaTheme="minorEastAsia" w:hAnsi="Palatino Linotype" w:cs="Arial"/>
          <w:i/>
          <w:color w:val="000000"/>
          <w:sz w:val="22"/>
          <w:szCs w:val="22"/>
          <w:lang w:val="es-ES_tradnl"/>
        </w:rPr>
        <w:t>…</w:t>
      </w:r>
    </w:p>
    <w:p w14:paraId="1D8B20A4"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CB2EA8">
        <w:rPr>
          <w:rFonts w:ascii="Palatino Linotype" w:eastAsiaTheme="minorEastAsia" w:hAnsi="Palatino Linotype" w:cs="Arial"/>
          <w:b/>
          <w:i/>
          <w:color w:val="000000"/>
          <w:sz w:val="22"/>
          <w:szCs w:val="22"/>
          <w:lang w:val="es-ES_tradnl"/>
        </w:rPr>
        <w:t>XI. Documento:</w:t>
      </w:r>
      <w:r w:rsidRPr="00CB2EA8">
        <w:rPr>
          <w:rFonts w:ascii="Palatino Linotype" w:eastAsiaTheme="minorEastAsia" w:hAnsi="Palatino Linotype" w:cs="Arial"/>
          <w:i/>
          <w:color w:val="000000"/>
          <w:sz w:val="22"/>
          <w:szCs w:val="22"/>
          <w:lang w:val="es-ES_tradnl"/>
        </w:rPr>
        <w:t xml:space="preserve"> Los expedientes, reportes, estudios, actas, resoluciones</w:t>
      </w:r>
      <w:r w:rsidRPr="00CB2EA8">
        <w:rPr>
          <w:rFonts w:ascii="Palatino Linotype" w:eastAsiaTheme="minorEastAsia" w:hAnsi="Palatino Linotype" w:cs="Arial"/>
          <w:b/>
          <w:i/>
          <w:color w:val="000000"/>
          <w:sz w:val="22"/>
          <w:szCs w:val="22"/>
          <w:lang w:val="es-ES_tradnl"/>
        </w:rPr>
        <w:t>, oficios,</w:t>
      </w:r>
      <w:r w:rsidRPr="00CB2EA8">
        <w:rPr>
          <w:rFonts w:ascii="Palatino Linotype" w:eastAsiaTheme="minorEastAsia" w:hAnsi="Palatino Linotype" w:cs="Arial"/>
          <w:i/>
          <w:color w:val="000000"/>
          <w:sz w:val="22"/>
          <w:szCs w:val="22"/>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D8B20A5"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CB2EA8">
        <w:rPr>
          <w:rFonts w:ascii="Palatino Linotype" w:eastAsiaTheme="minorEastAsia" w:hAnsi="Palatino Linotype" w:cs="Arial"/>
          <w:b/>
          <w:i/>
          <w:color w:val="000000"/>
          <w:sz w:val="22"/>
          <w:szCs w:val="22"/>
          <w:lang w:val="es-ES_tradnl"/>
        </w:rPr>
        <w:lastRenderedPageBreak/>
        <w:t>…</w:t>
      </w:r>
      <w:r w:rsidRPr="00CB2EA8">
        <w:rPr>
          <w:rFonts w:ascii="Palatino Linotype" w:eastAsiaTheme="minorEastAsia" w:hAnsi="Palatino Linotype" w:cs="Arial"/>
          <w:i/>
          <w:color w:val="000000"/>
          <w:sz w:val="22"/>
          <w:szCs w:val="22"/>
          <w:lang w:val="es-ES_tradnl"/>
        </w:rPr>
        <w:t>”</w:t>
      </w:r>
    </w:p>
    <w:p w14:paraId="1D8B20A6" w14:textId="77777777" w:rsidR="00265ED2" w:rsidRPr="00CB2EA8" w:rsidRDefault="00265ED2" w:rsidP="00265ED2">
      <w:pPr>
        <w:spacing w:before="100" w:beforeAutospacing="1" w:after="100" w:afterAutospacing="1"/>
        <w:ind w:left="851" w:right="850"/>
        <w:contextualSpacing/>
        <w:jc w:val="both"/>
        <w:rPr>
          <w:rFonts w:ascii="Palatino Linotype" w:eastAsiaTheme="minorEastAsia" w:hAnsi="Palatino Linotype" w:cs="Arial"/>
          <w:sz w:val="22"/>
          <w:szCs w:val="22"/>
          <w:lang w:val="es-ES_tradnl"/>
        </w:rPr>
      </w:pPr>
    </w:p>
    <w:p w14:paraId="1D8B20A7" w14:textId="77777777" w:rsidR="00265ED2" w:rsidRPr="00CB2EA8" w:rsidRDefault="00265ED2" w:rsidP="00265ED2">
      <w:pPr>
        <w:autoSpaceDE w:val="0"/>
        <w:autoSpaceDN w:val="0"/>
        <w:adjustRightInd w:val="0"/>
        <w:spacing w:before="100" w:beforeAutospacing="1" w:after="100" w:afterAutospacing="1" w:line="360" w:lineRule="auto"/>
        <w:contextualSpacing/>
        <w:jc w:val="both"/>
        <w:rPr>
          <w:rFonts w:ascii="Palatino Linotype" w:eastAsiaTheme="minorEastAsia" w:hAnsi="Palatino Linotype" w:cs="Arial"/>
          <w:lang w:val="es-ES_tradnl"/>
        </w:rPr>
      </w:pPr>
      <w:r w:rsidRPr="00CB2EA8">
        <w:rPr>
          <w:rFonts w:ascii="Palatino Linotype" w:eastAsiaTheme="minorEastAsia" w:hAnsi="Palatino Linotype" w:cs="Arial"/>
          <w:lang w:val="es-ES_tradnl"/>
        </w:rPr>
        <w:t xml:space="preserve">Siendo aplicable el Criterio </w:t>
      </w:r>
      <w:r w:rsidRPr="00CB2EA8">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B2EA8">
        <w:rPr>
          <w:rFonts w:ascii="Palatino Linotype" w:eastAsiaTheme="minorEastAsia" w:hAnsi="Palatino Linotype" w:cs="Arial"/>
          <w:lang w:val="es-ES_tradnl"/>
        </w:rPr>
        <w:t>cuyo rubro y texto dispone:</w:t>
      </w:r>
    </w:p>
    <w:p w14:paraId="1D8B20A8" w14:textId="77777777" w:rsidR="00265ED2" w:rsidRPr="00CB2EA8" w:rsidRDefault="00265ED2" w:rsidP="00265ED2">
      <w:pPr>
        <w:spacing w:before="100" w:beforeAutospacing="1" w:after="100" w:afterAutospacing="1"/>
        <w:ind w:left="851" w:right="850"/>
        <w:contextualSpacing/>
        <w:jc w:val="both"/>
        <w:rPr>
          <w:rFonts w:ascii="Palatino Linotype" w:eastAsiaTheme="minorEastAsia" w:hAnsi="Palatino Linotype" w:cs="Arial"/>
          <w:sz w:val="20"/>
          <w:szCs w:val="20"/>
          <w:lang w:val="es-ES_tradnl"/>
        </w:rPr>
      </w:pPr>
    </w:p>
    <w:p w14:paraId="1D8B20A9"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b/>
          <w:i/>
          <w:sz w:val="22"/>
          <w:szCs w:val="22"/>
          <w:lang w:val="es-ES_tradnl" w:eastAsia="es-MX"/>
        </w:rPr>
      </w:pPr>
      <w:r w:rsidRPr="00CB2EA8">
        <w:rPr>
          <w:rFonts w:ascii="Palatino Linotype" w:eastAsiaTheme="minorEastAsia" w:hAnsi="Palatino Linotype" w:cs="Arial"/>
          <w:b/>
          <w:sz w:val="22"/>
          <w:szCs w:val="22"/>
          <w:lang w:val="es-ES_tradnl" w:eastAsia="es-MX"/>
        </w:rPr>
        <w:t>“</w:t>
      </w:r>
      <w:r w:rsidRPr="00CB2EA8">
        <w:rPr>
          <w:rFonts w:ascii="Palatino Linotype" w:eastAsiaTheme="minorEastAsia" w:hAnsi="Palatino Linotype" w:cs="Arial"/>
          <w:b/>
          <w:i/>
          <w:sz w:val="22"/>
          <w:szCs w:val="22"/>
          <w:lang w:val="es-ES_tradnl" w:eastAsia="es-MX"/>
        </w:rPr>
        <w:t>CRITERIO 0002-11</w:t>
      </w:r>
    </w:p>
    <w:p w14:paraId="1D8B20AA"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sz w:val="22"/>
          <w:szCs w:val="22"/>
          <w:lang w:val="es-ES_tradnl" w:eastAsia="es-MX"/>
        </w:rPr>
      </w:pPr>
      <w:r w:rsidRPr="00CB2EA8">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CB2EA8">
        <w:rPr>
          <w:rFonts w:ascii="Palatino Linotype" w:eastAsiaTheme="minorEastAsia" w:hAnsi="Palatino Linotype" w:cs="Arial"/>
          <w:b/>
          <w:bCs/>
          <w:i/>
          <w:sz w:val="22"/>
          <w:szCs w:val="22"/>
          <w:u w:val="single"/>
          <w:lang w:val="es-ES_tradnl" w:eastAsia="es-MX"/>
        </w:rPr>
        <w:t xml:space="preserve">V, XV, Y XVI, </w:t>
      </w:r>
      <w:r w:rsidRPr="00CB2EA8">
        <w:rPr>
          <w:rFonts w:ascii="Palatino Linotype" w:eastAsiaTheme="minorEastAsia" w:hAnsi="Palatino Linotype" w:cs="Arial"/>
          <w:b/>
          <w:i/>
          <w:sz w:val="22"/>
          <w:szCs w:val="22"/>
          <w:u w:val="single"/>
          <w:lang w:val="es-ES_tradnl" w:eastAsia="es-MX"/>
        </w:rPr>
        <w:t>3°, 4°, 11 Y 41.</w:t>
      </w:r>
      <w:r w:rsidRPr="00CB2EA8">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B20AB" w14:textId="77777777" w:rsidR="00265ED2" w:rsidRPr="00CB2EA8" w:rsidRDefault="00265ED2" w:rsidP="00265ED2">
      <w:pPr>
        <w:spacing w:before="100" w:beforeAutospacing="1" w:after="100" w:afterAutospacing="1"/>
        <w:ind w:left="851" w:right="850"/>
        <w:contextualSpacing/>
        <w:jc w:val="both"/>
        <w:rPr>
          <w:rFonts w:ascii="Palatino Linotype" w:eastAsiaTheme="minorEastAsia" w:hAnsi="Palatino Linotype" w:cs="Arial"/>
          <w:i/>
          <w:sz w:val="22"/>
          <w:szCs w:val="22"/>
          <w:lang w:val="es-ES_tradnl" w:eastAsia="es-MX"/>
        </w:rPr>
      </w:pPr>
      <w:r w:rsidRPr="00CB2EA8">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14:paraId="1D8B20AC"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b/>
          <w:i/>
          <w:sz w:val="22"/>
          <w:szCs w:val="22"/>
          <w:u w:val="single"/>
          <w:lang w:val="es-ES_tradnl" w:eastAsia="es-MX"/>
        </w:rPr>
      </w:pPr>
      <w:r w:rsidRPr="00CB2EA8">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14:paraId="1D8B20AD"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b/>
          <w:i/>
          <w:vanish/>
          <w:sz w:val="22"/>
          <w:szCs w:val="22"/>
          <w:u w:val="single"/>
          <w:lang w:val="es-ES_tradnl" w:eastAsia="es-MX"/>
        </w:rPr>
      </w:pPr>
      <w:r w:rsidRPr="00CB2EA8">
        <w:rPr>
          <w:rFonts w:ascii="Palatino Linotype" w:eastAsiaTheme="minorEastAsia" w:hAnsi="Palatino Linotype" w:cs="Arial"/>
          <w:b/>
          <w:i/>
          <w:sz w:val="22"/>
          <w:szCs w:val="22"/>
          <w:u w:val="single"/>
          <w:lang w:val="es-ES_tradnl" w:eastAsia="es-MX"/>
        </w:rPr>
        <w:t>2) Que se trate de información registrada en cualquier soporte documental, que en ejercicio de las atribuciones conferidas, sea administrada por los Sujetos Obligados, y</w:t>
      </w:r>
    </w:p>
    <w:p w14:paraId="1D8B20AE"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sz w:val="22"/>
          <w:szCs w:val="22"/>
          <w:lang w:val="es-ES_tradnl" w:eastAsia="es-MX"/>
        </w:rPr>
      </w:pPr>
      <w:r w:rsidRPr="00CB2EA8">
        <w:rPr>
          <w:rFonts w:ascii="Palatino Linotype" w:eastAsiaTheme="minorEastAsia" w:hAnsi="Palatino Linotype" w:cs="Arial"/>
          <w:b/>
          <w:i/>
          <w:sz w:val="22"/>
          <w:szCs w:val="22"/>
          <w:u w:val="single"/>
          <w:lang w:val="es-ES_tradnl" w:eastAsia="es-MX"/>
        </w:rPr>
        <w:t>3) Que se trate de información registrada en cualquier soporte documental, que en ejercicio de las atribuciones conferidas, se encuentre en posesión de los Sujetos Obligados</w:t>
      </w:r>
      <w:r w:rsidRPr="00CB2EA8">
        <w:rPr>
          <w:rFonts w:ascii="Palatino Linotype" w:eastAsiaTheme="minorEastAsia" w:hAnsi="Palatino Linotype" w:cs="Arial"/>
          <w:i/>
          <w:sz w:val="22"/>
          <w:szCs w:val="22"/>
          <w:lang w:val="es-ES_tradnl" w:eastAsia="es-MX"/>
        </w:rPr>
        <w:t>.” (SIC)</w:t>
      </w:r>
    </w:p>
    <w:p w14:paraId="1D8B20AF" w14:textId="77777777" w:rsidR="00265ED2" w:rsidRPr="00CB2EA8" w:rsidRDefault="00265ED2" w:rsidP="00265ED2">
      <w:pPr>
        <w:autoSpaceDE w:val="0"/>
        <w:autoSpaceDN w:val="0"/>
        <w:adjustRightInd w:val="0"/>
        <w:spacing w:before="100" w:beforeAutospacing="1" w:after="100" w:afterAutospacing="1" w:line="360" w:lineRule="auto"/>
        <w:contextualSpacing/>
        <w:jc w:val="both"/>
        <w:rPr>
          <w:rFonts w:ascii="Palatino Linotype" w:eastAsia="MS Mincho" w:hAnsi="Palatino Linotype" w:cstheme="minorBidi"/>
          <w:lang w:val="es-ES_tradnl"/>
        </w:rPr>
      </w:pPr>
    </w:p>
    <w:p w14:paraId="1D8B20B0" w14:textId="77777777" w:rsidR="00265ED2" w:rsidRPr="00CB2EA8" w:rsidRDefault="00265ED2" w:rsidP="00265ED2">
      <w:pPr>
        <w:autoSpaceDE w:val="0"/>
        <w:autoSpaceDN w:val="0"/>
        <w:adjustRightInd w:val="0"/>
        <w:spacing w:before="100" w:beforeAutospacing="1" w:after="100" w:afterAutospacing="1" w:line="360" w:lineRule="auto"/>
        <w:contextualSpacing/>
        <w:jc w:val="both"/>
        <w:rPr>
          <w:rFonts w:ascii="Palatino Linotype" w:eastAsia="MS Mincho" w:hAnsi="Palatino Linotype" w:cstheme="minorBidi"/>
          <w:lang w:val="es-ES_tradnl"/>
        </w:rPr>
      </w:pPr>
      <w:r w:rsidRPr="00CB2EA8">
        <w:rPr>
          <w:rFonts w:ascii="Palatino Linotype" w:eastAsia="MS Mincho" w:hAnsi="Palatino Linotype" w:cstheme="minorBidi"/>
          <w:lang w:val="es-ES_tradnl"/>
        </w:rPr>
        <w:t xml:space="preserve">Además, es importante señalar que, de conformidad con el artículo 18 de la Ley de Transparencia y Acceso a la Información Pública del Estado de México y Municipios, </w:t>
      </w:r>
      <w:r w:rsidRPr="00CB2EA8">
        <w:rPr>
          <w:rFonts w:ascii="Palatino Linotype" w:eastAsia="MS Mincho" w:hAnsi="Palatino Linotype" w:cstheme="minorBidi"/>
          <w:b/>
          <w:i/>
          <w:u w:val="single"/>
          <w:lang w:val="es-ES_tradnl"/>
        </w:rPr>
        <w:t xml:space="preserve">los Sujetos Obligados deben documentar todos sus actos que realicen derivado del </w:t>
      </w:r>
      <w:r w:rsidRPr="00CB2EA8">
        <w:rPr>
          <w:rFonts w:ascii="Palatino Linotype" w:eastAsia="MS Mincho" w:hAnsi="Palatino Linotype" w:cstheme="minorBidi"/>
          <w:b/>
          <w:i/>
          <w:u w:val="single"/>
          <w:lang w:val="es-ES_tradnl"/>
        </w:rPr>
        <w:lastRenderedPageBreak/>
        <w:t>ejercicio de sus atribuciones</w:t>
      </w:r>
      <w:r w:rsidRPr="00CB2EA8">
        <w:rPr>
          <w:rFonts w:ascii="Palatino Linotype" w:eastAsia="MS Mincho" w:hAnsi="Palatino Linotype" w:cstheme="minorBidi"/>
          <w:lang w:val="es-ES_tradnl"/>
        </w:rPr>
        <w:t>, como se aprecia de la lectura del precepto legal en comento:</w:t>
      </w:r>
    </w:p>
    <w:p w14:paraId="1D8B20B1"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Arial"/>
          <w:b/>
          <w:bCs/>
          <w:i/>
          <w:sz w:val="22"/>
          <w:szCs w:val="22"/>
        </w:rPr>
      </w:pPr>
    </w:p>
    <w:p w14:paraId="1D8B20B2"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Arial"/>
          <w:b/>
          <w:i/>
          <w:sz w:val="22"/>
          <w:szCs w:val="22"/>
        </w:rPr>
      </w:pPr>
      <w:r w:rsidRPr="00CB2EA8">
        <w:rPr>
          <w:rFonts w:ascii="Palatino Linotype" w:eastAsiaTheme="minorEastAsia" w:hAnsi="Palatino Linotype" w:cs="Arial"/>
          <w:b/>
          <w:bCs/>
          <w:i/>
          <w:sz w:val="22"/>
          <w:szCs w:val="22"/>
        </w:rPr>
        <w:t xml:space="preserve">“Artículo 18. </w:t>
      </w:r>
      <w:r w:rsidRPr="00CB2EA8">
        <w:rPr>
          <w:rFonts w:ascii="Palatino Linotype" w:eastAsiaTheme="minorEastAsia" w:hAnsi="Palatino Linotype" w:cs="Arial"/>
          <w:i/>
          <w:sz w:val="22"/>
          <w:szCs w:val="22"/>
        </w:rPr>
        <w:t xml:space="preserve">Los </w:t>
      </w:r>
      <w:r w:rsidRPr="00CB2EA8">
        <w:rPr>
          <w:rFonts w:ascii="Palatino Linotype" w:eastAsiaTheme="minorEastAsia" w:hAnsi="Palatino Linotype" w:cs="Arial"/>
          <w:b/>
          <w:i/>
          <w:sz w:val="22"/>
          <w:szCs w:val="22"/>
        </w:rPr>
        <w:t>sujetos obligados deberán documentar todo acto que derive del ejercicio de sus facultades, competencias o funciones, considerando desde su origen la eventual publicidad y reutilización de la información que generen</w:t>
      </w:r>
      <w:r w:rsidRPr="00CB2EA8">
        <w:rPr>
          <w:rFonts w:ascii="Palatino Linotype" w:eastAsiaTheme="minorEastAsia" w:hAnsi="Palatino Linotype" w:cs="Arial"/>
          <w:i/>
          <w:sz w:val="22"/>
          <w:szCs w:val="22"/>
        </w:rPr>
        <w:t>.” (Sic)</w:t>
      </w:r>
    </w:p>
    <w:p w14:paraId="1D8B20B3" w14:textId="77777777" w:rsidR="00265ED2" w:rsidRPr="00CB2EA8" w:rsidRDefault="00265ED2" w:rsidP="00265ED2">
      <w:pPr>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D8B20B4" w14:textId="77777777" w:rsidR="00265ED2" w:rsidRPr="00CB2EA8" w:rsidRDefault="00265ED2" w:rsidP="00265ED2">
      <w:pPr>
        <w:autoSpaceDE w:val="0"/>
        <w:autoSpaceDN w:val="0"/>
        <w:adjustRightInd w:val="0"/>
        <w:spacing w:before="100" w:beforeAutospacing="1" w:after="100" w:afterAutospacing="1" w:line="360" w:lineRule="auto"/>
        <w:contextualSpacing/>
        <w:jc w:val="both"/>
        <w:rPr>
          <w:rFonts w:ascii="Palatino Linotype" w:eastAsia="MS Mincho" w:hAnsi="Palatino Linotype" w:cs="Tahoma"/>
          <w:lang w:val="es-ES_tradnl"/>
        </w:rPr>
      </w:pPr>
      <w:r w:rsidRPr="00CB2EA8">
        <w:rPr>
          <w:rFonts w:ascii="Palatino Linotype" w:eastAsiaTheme="minorEastAsia" w:hAnsi="Palatino Linotype" w:cs="Arial"/>
          <w:lang w:val="es-ES_tradnl" w:eastAsia="es-MX"/>
        </w:rPr>
        <w:t xml:space="preserve">De la misma </w:t>
      </w:r>
      <w:r w:rsidRPr="00CB2EA8">
        <w:rPr>
          <w:rFonts w:ascii="Palatino Linotype" w:eastAsia="MS Mincho" w:hAnsi="Palatino Linotype" w:cstheme="minorBidi"/>
          <w:lang w:val="es-ES_tradnl"/>
        </w:rPr>
        <w:t>forma</w:t>
      </w:r>
      <w:r w:rsidRPr="00CB2EA8">
        <w:rPr>
          <w:rFonts w:ascii="Palatino Linotype" w:eastAsiaTheme="minorEastAsia" w:hAnsi="Palatino Linotype" w:cs="Arial"/>
          <w:lang w:val="es-ES_tradnl" w:eastAsia="es-MX"/>
        </w:rPr>
        <w:t xml:space="preserve">, </w:t>
      </w:r>
      <w:r w:rsidRPr="00CB2EA8">
        <w:rPr>
          <w:rFonts w:ascii="Palatino Linotype" w:eastAsia="MS Mincho" w:hAnsi="Palatino Linotype" w:cstheme="minorBidi"/>
          <w:lang w:val="es-ES_tradnl"/>
        </w:rPr>
        <w:t>se cita el contenido del artículo 160</w:t>
      </w:r>
      <w:r w:rsidRPr="00CB2EA8">
        <w:rPr>
          <w:rFonts w:ascii="Palatino Linotype" w:eastAsiaTheme="minorEastAsia" w:hAnsi="Palatino Linotype" w:cs="Arial"/>
          <w:lang w:val="es-ES_tradnl"/>
        </w:rPr>
        <w:t xml:space="preserve"> de la Ley </w:t>
      </w:r>
      <w:r w:rsidRPr="00CB2EA8">
        <w:rPr>
          <w:rFonts w:ascii="Palatino Linotype" w:eastAsia="MS Mincho" w:hAnsi="Palatino Linotype" w:cs="Tahoma"/>
          <w:lang w:val="es-ES_tradnl"/>
        </w:rPr>
        <w:t>General de Transparencia y Acceso a la Información Pública que a la letra dispone:</w:t>
      </w:r>
    </w:p>
    <w:p w14:paraId="1D8B20B5" w14:textId="77777777" w:rsidR="00265ED2" w:rsidRPr="00CB2EA8" w:rsidRDefault="00265ED2" w:rsidP="00265ED2">
      <w:pPr>
        <w:autoSpaceDE w:val="0"/>
        <w:autoSpaceDN w:val="0"/>
        <w:adjustRightInd w:val="0"/>
        <w:spacing w:before="100" w:beforeAutospacing="1" w:after="100" w:afterAutospacing="1"/>
        <w:contextualSpacing/>
        <w:jc w:val="both"/>
        <w:rPr>
          <w:rFonts w:ascii="Palatino Linotype" w:eastAsiaTheme="minorEastAsia" w:hAnsi="Palatino Linotype" w:cs="Arial"/>
          <w:lang w:val="es-ES_tradnl" w:eastAsia="es-MX"/>
        </w:rPr>
      </w:pPr>
    </w:p>
    <w:p w14:paraId="1D8B20B6" w14:textId="77777777" w:rsidR="00265ED2" w:rsidRPr="00CB2EA8" w:rsidRDefault="00265ED2" w:rsidP="00265ED2">
      <w:pPr>
        <w:spacing w:before="100" w:beforeAutospacing="1" w:after="100" w:afterAutospacing="1"/>
        <w:ind w:left="851" w:right="901"/>
        <w:contextualSpacing/>
        <w:jc w:val="both"/>
        <w:rPr>
          <w:rFonts w:ascii="Palatino Linotype" w:eastAsiaTheme="minorEastAsia" w:hAnsi="Palatino Linotype" w:cs="Arial"/>
          <w:i/>
          <w:sz w:val="22"/>
          <w:szCs w:val="22"/>
          <w:lang w:val="es-ES_tradnl" w:eastAsia="gl-ES"/>
        </w:rPr>
      </w:pPr>
      <w:r w:rsidRPr="00CB2EA8">
        <w:rPr>
          <w:rFonts w:ascii="Palatino Linotype" w:eastAsiaTheme="minorEastAsia" w:hAnsi="Palatino Linotype" w:cs="Arial"/>
          <w:b/>
          <w:i/>
          <w:sz w:val="22"/>
          <w:szCs w:val="22"/>
          <w:lang w:val="es-ES_tradnl" w:eastAsia="gl-ES"/>
        </w:rPr>
        <w:t>“Artículo 160</w:t>
      </w:r>
      <w:r w:rsidRPr="00CB2EA8">
        <w:rPr>
          <w:rFonts w:ascii="Palatino Linotype" w:eastAsiaTheme="minorEastAsia" w:hAnsi="Palatino Linotype" w:cs="Arial"/>
          <w:i/>
          <w:sz w:val="22"/>
          <w:szCs w:val="22"/>
          <w:lang w:val="es-ES_tradnl" w:eastAsia="gl-ES"/>
        </w:rPr>
        <w:t xml:space="preserve">. </w:t>
      </w:r>
      <w:r w:rsidRPr="00CB2EA8">
        <w:rPr>
          <w:rFonts w:ascii="Palatino Linotype" w:eastAsiaTheme="minorEastAsia" w:hAnsi="Palatino Linotype" w:cs="Arial"/>
          <w:b/>
          <w:i/>
          <w:sz w:val="22"/>
          <w:szCs w:val="22"/>
          <w:u w:val="single"/>
          <w:lang w:val="es-ES_tradnl" w:eastAsia="gl-ES"/>
        </w:rPr>
        <w:t xml:space="preserve">Los </w:t>
      </w:r>
      <w:r w:rsidRPr="00CB2EA8">
        <w:rPr>
          <w:rFonts w:ascii="Palatino Linotype" w:eastAsiaTheme="minorEastAsia" w:hAnsi="Palatino Linotype" w:cs="Arial"/>
          <w:b/>
          <w:i/>
          <w:sz w:val="22"/>
          <w:szCs w:val="22"/>
          <w:u w:val="single"/>
          <w:lang w:val="es-ES_tradnl" w:eastAsia="es-MX"/>
        </w:rPr>
        <w:t>sujetos</w:t>
      </w:r>
      <w:r w:rsidRPr="00CB2EA8">
        <w:rPr>
          <w:rFonts w:ascii="Palatino Linotype" w:eastAsiaTheme="minorEastAsia" w:hAnsi="Palatino Linotype" w:cs="Arial"/>
          <w:b/>
          <w:i/>
          <w:sz w:val="22"/>
          <w:szCs w:val="22"/>
          <w:u w:val="single"/>
          <w:lang w:val="es-ES_tradnl" w:eastAsia="gl-ES"/>
        </w:rPr>
        <w:t xml:space="preserve"> obligados deberán otorgar acceso a los documentos que se encuentren en sus archivos o que estén obligados a documentar de acuerdo con sus facultades, competencias o funciones </w:t>
      </w:r>
      <w:r w:rsidRPr="00CB2EA8">
        <w:rPr>
          <w:rFonts w:ascii="Palatino Linotype" w:eastAsiaTheme="minorEastAsia" w:hAnsi="Palatino Linotype" w:cs="Arial"/>
          <w:i/>
          <w:sz w:val="22"/>
          <w:szCs w:val="22"/>
          <w:lang w:val="es-ES_tradnl" w:eastAsia="gl-ES"/>
        </w:rPr>
        <w:t>en el formato que el solicitante manifieste, de entre aquellos formatos existentes, conforme a las características físicas de la información o del lugar donde se encuentre así lo permita”</w:t>
      </w:r>
      <w:r w:rsidRPr="00CB2EA8">
        <w:rPr>
          <w:rFonts w:ascii="Palatino Linotype" w:eastAsiaTheme="minorEastAsia" w:hAnsi="Palatino Linotype" w:cs="Arial"/>
          <w:i/>
          <w:sz w:val="22"/>
          <w:szCs w:val="22"/>
        </w:rPr>
        <w:t xml:space="preserve"> (Sic)</w:t>
      </w:r>
    </w:p>
    <w:p w14:paraId="1D8B20B7"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Arial"/>
          <w:lang w:val="es-ES_tradnl"/>
        </w:rPr>
      </w:pPr>
    </w:p>
    <w:p w14:paraId="33FE568D" w14:textId="71F23C7C" w:rsidR="00AD5F8F" w:rsidRPr="00CB2EA8" w:rsidRDefault="00AD5F8F" w:rsidP="00C739D8">
      <w:pPr>
        <w:pStyle w:val="Prrafodelista"/>
        <w:widowControl w:val="0"/>
        <w:tabs>
          <w:tab w:val="left" w:pos="1418"/>
        </w:tabs>
        <w:autoSpaceDE w:val="0"/>
        <w:autoSpaceDN w:val="0"/>
        <w:adjustRightInd w:val="0"/>
        <w:spacing w:before="200" w:after="200" w:line="360" w:lineRule="auto"/>
        <w:ind w:left="0"/>
        <w:jc w:val="both"/>
        <w:rPr>
          <w:rFonts w:ascii="Palatino Linotype" w:eastAsiaTheme="minorEastAsia" w:hAnsi="Palatino Linotype" w:cs="Arial"/>
          <w:lang w:val="es-ES_tradnl"/>
        </w:rPr>
      </w:pPr>
      <w:r w:rsidRPr="00CB2EA8">
        <w:rPr>
          <w:rFonts w:ascii="Palatino Linotype" w:eastAsiaTheme="minorEastAsia" w:hAnsi="Palatino Linotype" w:cs="Arial"/>
          <w:lang w:val="es-ES_tradnl"/>
        </w:rPr>
        <w:t>En esa tesitura, es importante señalar que en la página oficial de este Instituto, específicamente en el apartado de Estadística</w:t>
      </w:r>
      <w:r w:rsidRPr="00CB2EA8">
        <w:rPr>
          <w:rStyle w:val="Refdenotaalpie"/>
          <w:rFonts w:ascii="Palatino Linotype" w:eastAsiaTheme="minorEastAsia" w:hAnsi="Palatino Linotype" w:cs="Arial"/>
          <w:lang w:val="es-ES_tradnl"/>
        </w:rPr>
        <w:footnoteReference w:id="1"/>
      </w:r>
      <w:r w:rsidRPr="00CB2EA8">
        <w:rPr>
          <w:rFonts w:ascii="Palatino Linotype" w:eastAsiaTheme="minorEastAsia" w:hAnsi="Palatino Linotype" w:cs="Arial"/>
          <w:lang w:val="es-ES_tradnl"/>
        </w:rPr>
        <w:t xml:space="preserve"> se puede observar que </w:t>
      </w:r>
      <w:r w:rsidR="00794698" w:rsidRPr="00CB2EA8">
        <w:rPr>
          <w:rFonts w:ascii="Palatino Linotype" w:eastAsiaTheme="minorEastAsia" w:hAnsi="Palatino Linotype" w:cs="Arial"/>
          <w:lang w:val="es-ES_tradnl"/>
        </w:rPr>
        <w:t>dicho filtro permite realizar una búsqueda de las resoluciones por sentido</w:t>
      </w:r>
      <w:r w:rsidRPr="00CB2EA8">
        <w:rPr>
          <w:rFonts w:ascii="Palatino Linotype" w:eastAsiaTheme="minorEastAsia" w:hAnsi="Palatino Linotype" w:cs="Arial"/>
          <w:lang w:val="es-ES_tradnl"/>
        </w:rPr>
        <w:t xml:space="preserve">, tal y como se observa a continuación: </w:t>
      </w:r>
    </w:p>
    <w:p w14:paraId="3FA3D6CF" w14:textId="24D30F44" w:rsidR="00B331BB" w:rsidRPr="00CB2EA8" w:rsidRDefault="00B331BB" w:rsidP="00C739D8">
      <w:pPr>
        <w:pStyle w:val="Prrafodelista"/>
        <w:widowControl w:val="0"/>
        <w:tabs>
          <w:tab w:val="left" w:pos="1418"/>
        </w:tabs>
        <w:autoSpaceDE w:val="0"/>
        <w:autoSpaceDN w:val="0"/>
        <w:adjustRightInd w:val="0"/>
        <w:spacing w:before="200" w:after="200" w:line="360" w:lineRule="auto"/>
        <w:ind w:left="0"/>
        <w:jc w:val="both"/>
        <w:rPr>
          <w:rFonts w:ascii="Palatino Linotype" w:eastAsiaTheme="minorEastAsia" w:hAnsi="Palatino Linotype" w:cs="Arial"/>
          <w:lang w:val="es-ES_tradnl"/>
        </w:rPr>
      </w:pPr>
      <w:r w:rsidRPr="00CB2EA8">
        <w:rPr>
          <w:noProof/>
          <w:lang w:eastAsia="es-MX"/>
        </w:rPr>
        <w:lastRenderedPageBreak/>
        <w:drawing>
          <wp:inline distT="0" distB="0" distL="0" distR="0" wp14:anchorId="239777C2" wp14:editId="0458B53E">
            <wp:extent cx="5791835" cy="191833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18335"/>
                    </a:xfrm>
                    <a:prstGeom prst="rect">
                      <a:avLst/>
                    </a:prstGeom>
                  </pic:spPr>
                </pic:pic>
              </a:graphicData>
            </a:graphic>
          </wp:inline>
        </w:drawing>
      </w:r>
    </w:p>
    <w:p w14:paraId="750767D7" w14:textId="63F79805" w:rsidR="00794698" w:rsidRPr="00CB2EA8" w:rsidRDefault="00794698" w:rsidP="00C739D8">
      <w:pPr>
        <w:pStyle w:val="Prrafodelista"/>
        <w:widowControl w:val="0"/>
        <w:tabs>
          <w:tab w:val="left" w:pos="1418"/>
        </w:tabs>
        <w:autoSpaceDE w:val="0"/>
        <w:autoSpaceDN w:val="0"/>
        <w:adjustRightInd w:val="0"/>
        <w:spacing w:before="200" w:after="200" w:line="360" w:lineRule="auto"/>
        <w:ind w:left="0"/>
        <w:jc w:val="both"/>
        <w:rPr>
          <w:rFonts w:ascii="Palatino Linotype" w:eastAsiaTheme="minorEastAsia" w:hAnsi="Palatino Linotype" w:cs="Arial"/>
          <w:lang w:val="es-ES_tradnl"/>
        </w:rPr>
      </w:pPr>
      <w:r w:rsidRPr="00CB2EA8">
        <w:rPr>
          <w:noProof/>
          <w:lang w:eastAsia="es-MX"/>
        </w:rPr>
        <w:drawing>
          <wp:inline distT="0" distB="0" distL="0" distR="0" wp14:anchorId="2BD1E776" wp14:editId="2861C541">
            <wp:extent cx="5791835" cy="1371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71600"/>
                    </a:xfrm>
                    <a:prstGeom prst="rect">
                      <a:avLst/>
                    </a:prstGeom>
                  </pic:spPr>
                </pic:pic>
              </a:graphicData>
            </a:graphic>
          </wp:inline>
        </w:drawing>
      </w:r>
    </w:p>
    <w:p w14:paraId="2319CA9A" w14:textId="10750B87" w:rsidR="00794698" w:rsidRPr="00CB2EA8" w:rsidRDefault="00794698" w:rsidP="00C739D8">
      <w:pPr>
        <w:pStyle w:val="Prrafodelista"/>
        <w:widowControl w:val="0"/>
        <w:tabs>
          <w:tab w:val="left" w:pos="1418"/>
        </w:tabs>
        <w:autoSpaceDE w:val="0"/>
        <w:autoSpaceDN w:val="0"/>
        <w:adjustRightInd w:val="0"/>
        <w:spacing w:before="200" w:after="200" w:line="360" w:lineRule="auto"/>
        <w:ind w:left="0"/>
        <w:jc w:val="both"/>
        <w:rPr>
          <w:rFonts w:ascii="Palatino Linotype" w:eastAsiaTheme="minorEastAsia" w:hAnsi="Palatino Linotype" w:cs="Arial"/>
          <w:lang w:val="es-ES_tradnl"/>
        </w:rPr>
      </w:pPr>
      <w:r w:rsidRPr="00CB2EA8">
        <w:rPr>
          <w:noProof/>
          <w:lang w:eastAsia="es-MX"/>
        </w:rPr>
        <w:drawing>
          <wp:inline distT="0" distB="0" distL="0" distR="0" wp14:anchorId="5AFE6576" wp14:editId="37085465">
            <wp:extent cx="5791835" cy="54927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549275"/>
                    </a:xfrm>
                    <a:prstGeom prst="rect">
                      <a:avLst/>
                    </a:prstGeom>
                  </pic:spPr>
                </pic:pic>
              </a:graphicData>
            </a:graphic>
          </wp:inline>
        </w:drawing>
      </w:r>
    </w:p>
    <w:p w14:paraId="2A78506D" w14:textId="5CBCD674" w:rsidR="00794698" w:rsidRPr="00CB2EA8" w:rsidRDefault="00794698" w:rsidP="00C739D8">
      <w:pPr>
        <w:pStyle w:val="Prrafodelista"/>
        <w:widowControl w:val="0"/>
        <w:tabs>
          <w:tab w:val="left" w:pos="1418"/>
        </w:tabs>
        <w:autoSpaceDE w:val="0"/>
        <w:autoSpaceDN w:val="0"/>
        <w:adjustRightInd w:val="0"/>
        <w:spacing w:before="200" w:after="200" w:line="360" w:lineRule="auto"/>
        <w:ind w:left="0"/>
        <w:jc w:val="both"/>
        <w:rPr>
          <w:rFonts w:ascii="Palatino Linotype" w:eastAsiaTheme="minorEastAsia" w:hAnsi="Palatino Linotype" w:cs="Arial"/>
          <w:lang w:val="es-ES_tradnl"/>
        </w:rPr>
      </w:pPr>
      <w:r w:rsidRPr="00CB2EA8">
        <w:rPr>
          <w:noProof/>
          <w:lang w:eastAsia="es-MX"/>
        </w:rPr>
        <w:drawing>
          <wp:inline distT="0" distB="0" distL="0" distR="0" wp14:anchorId="1A754A17" wp14:editId="394942C2">
            <wp:extent cx="5791835" cy="14954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495425"/>
                    </a:xfrm>
                    <a:prstGeom prst="rect">
                      <a:avLst/>
                    </a:prstGeom>
                  </pic:spPr>
                </pic:pic>
              </a:graphicData>
            </a:graphic>
          </wp:inline>
        </w:drawing>
      </w:r>
    </w:p>
    <w:p w14:paraId="5D1CA416" w14:textId="7DE1E0C7" w:rsidR="00794698" w:rsidRPr="00CB2EA8" w:rsidRDefault="00794698" w:rsidP="00C739D8">
      <w:pPr>
        <w:pStyle w:val="Prrafodelista"/>
        <w:widowControl w:val="0"/>
        <w:tabs>
          <w:tab w:val="left" w:pos="1418"/>
        </w:tabs>
        <w:autoSpaceDE w:val="0"/>
        <w:autoSpaceDN w:val="0"/>
        <w:adjustRightInd w:val="0"/>
        <w:spacing w:before="200" w:after="200" w:line="360" w:lineRule="auto"/>
        <w:ind w:left="0"/>
        <w:jc w:val="both"/>
        <w:rPr>
          <w:rFonts w:ascii="Palatino Linotype" w:eastAsiaTheme="minorEastAsia" w:hAnsi="Palatino Linotype" w:cs="Arial"/>
          <w:lang w:val="es-ES_tradnl"/>
        </w:rPr>
      </w:pPr>
      <w:r w:rsidRPr="00CB2EA8">
        <w:rPr>
          <w:noProof/>
          <w:lang w:eastAsia="es-MX"/>
        </w:rPr>
        <w:drawing>
          <wp:inline distT="0" distB="0" distL="0" distR="0" wp14:anchorId="24ECA227" wp14:editId="5C5E588F">
            <wp:extent cx="5791835" cy="5226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522605"/>
                    </a:xfrm>
                    <a:prstGeom prst="rect">
                      <a:avLst/>
                    </a:prstGeom>
                  </pic:spPr>
                </pic:pic>
              </a:graphicData>
            </a:graphic>
          </wp:inline>
        </w:drawing>
      </w:r>
    </w:p>
    <w:p w14:paraId="0B7495B3" w14:textId="1CB05B1C" w:rsidR="00B331BB" w:rsidRPr="00CB2EA8" w:rsidRDefault="00AD5F8F" w:rsidP="00AA6EC0">
      <w:pPr>
        <w:spacing w:line="360" w:lineRule="auto"/>
        <w:jc w:val="both"/>
        <w:rPr>
          <w:rFonts w:ascii="Palatino Linotype" w:eastAsiaTheme="minorEastAsia" w:hAnsi="Palatino Linotype" w:cs="Arial"/>
          <w:lang w:val="es-ES_tradnl"/>
        </w:rPr>
      </w:pPr>
      <w:r w:rsidRPr="00CB2EA8">
        <w:rPr>
          <w:rFonts w:ascii="Palatino Linotype" w:hAnsi="Palatino Linotype" w:cs="Arial"/>
          <w:lang w:eastAsia="es-MX"/>
        </w:rPr>
        <w:lastRenderedPageBreak/>
        <w:t xml:space="preserve">Ahora bien, no se omite comentar que </w:t>
      </w:r>
      <w:r w:rsidRPr="00CB2EA8">
        <w:rPr>
          <w:rFonts w:ascii="Palatino Linotype" w:hAnsi="Palatino Linotype" w:cs="Arial"/>
          <w:b/>
          <w:lang w:eastAsia="es-MX"/>
        </w:rPr>
        <w:t xml:space="preserve">EL SUJETO OBLIGADO </w:t>
      </w:r>
      <w:r w:rsidRPr="00CB2EA8">
        <w:rPr>
          <w:rFonts w:ascii="Palatino Linotype" w:hAnsi="Palatino Linotype" w:cs="Arial"/>
          <w:lang w:eastAsia="es-MX"/>
        </w:rPr>
        <w:t xml:space="preserve">es el que al 12 de mayo de 2021, ocupa el primer lugar con el mayor número de recursos, tal como se muestra a continuación: </w:t>
      </w:r>
    </w:p>
    <w:p w14:paraId="1820462B" w14:textId="1DB53482" w:rsidR="002B5FFE" w:rsidRPr="00CB2EA8" w:rsidRDefault="002B5FFE" w:rsidP="00C739D8">
      <w:pPr>
        <w:pStyle w:val="Prrafodelista"/>
        <w:widowControl w:val="0"/>
        <w:tabs>
          <w:tab w:val="left" w:pos="1418"/>
        </w:tabs>
        <w:autoSpaceDE w:val="0"/>
        <w:autoSpaceDN w:val="0"/>
        <w:adjustRightInd w:val="0"/>
        <w:spacing w:before="200" w:after="200" w:line="360" w:lineRule="auto"/>
        <w:ind w:left="0"/>
        <w:jc w:val="both"/>
        <w:rPr>
          <w:rFonts w:ascii="Palatino Linotype" w:eastAsiaTheme="minorEastAsia" w:hAnsi="Palatino Linotype" w:cs="Arial"/>
          <w:lang w:val="es-ES_tradnl"/>
        </w:rPr>
      </w:pPr>
      <w:r w:rsidRPr="00CB2EA8">
        <w:rPr>
          <w:noProof/>
          <w:lang w:eastAsia="es-MX"/>
        </w:rPr>
        <w:drawing>
          <wp:inline distT="0" distB="0" distL="0" distR="0" wp14:anchorId="302E6DB7" wp14:editId="62AD1898">
            <wp:extent cx="5791835" cy="8051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805180"/>
                    </a:xfrm>
                    <a:prstGeom prst="rect">
                      <a:avLst/>
                    </a:prstGeom>
                  </pic:spPr>
                </pic:pic>
              </a:graphicData>
            </a:graphic>
          </wp:inline>
        </w:drawing>
      </w:r>
    </w:p>
    <w:p w14:paraId="065DF133" w14:textId="4B6BC946" w:rsidR="002B5FFE" w:rsidRPr="00CB2EA8" w:rsidRDefault="002B5FFE" w:rsidP="00C739D8">
      <w:pPr>
        <w:pStyle w:val="Prrafodelista"/>
        <w:widowControl w:val="0"/>
        <w:tabs>
          <w:tab w:val="left" w:pos="1418"/>
        </w:tabs>
        <w:autoSpaceDE w:val="0"/>
        <w:autoSpaceDN w:val="0"/>
        <w:adjustRightInd w:val="0"/>
        <w:spacing w:before="200" w:after="200" w:line="360" w:lineRule="auto"/>
        <w:ind w:left="0"/>
        <w:jc w:val="both"/>
        <w:rPr>
          <w:rFonts w:ascii="Palatino Linotype" w:eastAsiaTheme="minorEastAsia" w:hAnsi="Palatino Linotype" w:cs="Arial"/>
          <w:lang w:val="es-ES_tradnl"/>
        </w:rPr>
      </w:pPr>
      <w:r w:rsidRPr="00CB2EA8">
        <w:rPr>
          <w:noProof/>
          <w:lang w:eastAsia="es-MX"/>
        </w:rPr>
        <w:drawing>
          <wp:inline distT="0" distB="0" distL="0" distR="0" wp14:anchorId="4A669447" wp14:editId="7415E416">
            <wp:extent cx="5791835" cy="2305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2305050"/>
                    </a:xfrm>
                    <a:prstGeom prst="rect">
                      <a:avLst/>
                    </a:prstGeom>
                  </pic:spPr>
                </pic:pic>
              </a:graphicData>
            </a:graphic>
          </wp:inline>
        </w:drawing>
      </w:r>
    </w:p>
    <w:p w14:paraId="1D8B20B8" w14:textId="4E6D90BC" w:rsidR="00265ED2" w:rsidRPr="00CB2EA8" w:rsidRDefault="00AA6EC0" w:rsidP="00D86A2B">
      <w:pPr>
        <w:spacing w:line="360" w:lineRule="auto"/>
        <w:jc w:val="both"/>
        <w:rPr>
          <w:rFonts w:ascii="Palatino Linotype" w:hAnsi="Palatino Linotype" w:cs="Arial"/>
        </w:rPr>
      </w:pPr>
      <w:r w:rsidRPr="00CB2EA8">
        <w:rPr>
          <w:rFonts w:ascii="Palatino Linotype" w:hAnsi="Palatino Linotype" w:cs="Arial"/>
          <w:lang w:eastAsia="es-MX"/>
        </w:rPr>
        <w:t xml:space="preserve">En consecuencia de lo anterior, se puede acreditar que </w:t>
      </w:r>
      <w:r w:rsidRPr="00CB2EA8">
        <w:rPr>
          <w:rFonts w:ascii="Palatino Linotype" w:hAnsi="Palatino Linotype" w:cs="Arial"/>
          <w:b/>
          <w:lang w:eastAsia="es-MX"/>
        </w:rPr>
        <w:t>EL SUJETO OBLIGADO</w:t>
      </w:r>
      <w:r w:rsidRPr="00CB2EA8">
        <w:rPr>
          <w:rFonts w:ascii="Palatino Linotype" w:hAnsi="Palatino Linotype" w:cs="Arial"/>
          <w:lang w:eastAsia="es-MX"/>
        </w:rPr>
        <w:t xml:space="preserve"> </w:t>
      </w:r>
      <w:r w:rsidR="00D86A2B" w:rsidRPr="00CB2EA8">
        <w:rPr>
          <w:rFonts w:ascii="Palatino Linotype" w:hAnsi="Palatino Linotype" w:cs="Arial"/>
          <w:lang w:eastAsia="es-MX"/>
        </w:rPr>
        <w:t xml:space="preserve">cuenta con la información solicitada, </w:t>
      </w:r>
      <w:r w:rsidR="00F92880" w:rsidRPr="00CB2EA8">
        <w:rPr>
          <w:rFonts w:ascii="Palatino Linotype" w:eastAsiaTheme="minorEastAsia" w:hAnsi="Palatino Linotype" w:cs="Arial"/>
          <w:lang w:val="es-ES_tradnl"/>
        </w:rPr>
        <w:t xml:space="preserve">por lo que, </w:t>
      </w:r>
      <w:r w:rsidR="00265ED2" w:rsidRPr="00CB2EA8">
        <w:rPr>
          <w:rFonts w:ascii="Palatino Linotype" w:eastAsiaTheme="minorEastAsia" w:hAnsi="Palatino Linotype" w:cs="Arial"/>
          <w:lang w:val="es-ES_tradnl"/>
        </w:rPr>
        <w:t xml:space="preserve">deberá hacer entrega de </w:t>
      </w:r>
      <w:r w:rsidR="00C739D8" w:rsidRPr="00CB2EA8">
        <w:rPr>
          <w:rFonts w:ascii="Palatino Linotype" w:eastAsiaTheme="minorEastAsia" w:hAnsi="Palatino Linotype" w:cs="Arial"/>
          <w:lang w:val="es-ES_tradnl"/>
        </w:rPr>
        <w:t>las resoluciones notificadas por el Instituto de Transparencia, Acceso a la Información Pública y Protección de Datos Personales del Estado de México y Municipios mediante las cuales se modifique o revoque su respuesta, del 1 de enero al 11 de marzo de 2021</w:t>
      </w:r>
      <w:r w:rsidR="001C3B2B" w:rsidRPr="00CB2EA8">
        <w:rPr>
          <w:rFonts w:ascii="Palatino Linotype" w:hAnsi="Palatino Linotype" w:cs="Arial"/>
        </w:rPr>
        <w:t xml:space="preserve">, </w:t>
      </w:r>
      <w:r w:rsidR="00265ED2" w:rsidRPr="00CB2EA8">
        <w:rPr>
          <w:rFonts w:ascii="Palatino Linotype" w:eastAsiaTheme="minorEastAsia" w:hAnsi="Palatino Linotype" w:cs="Arial"/>
          <w:lang w:val="es-ES_tradnl"/>
        </w:rPr>
        <w:t xml:space="preserve">en </w:t>
      </w:r>
      <w:r w:rsidR="00265ED2" w:rsidRPr="00CB2EA8">
        <w:rPr>
          <w:rFonts w:ascii="Palatino Linotype" w:eastAsiaTheme="minorEastAsia" w:hAnsi="Palatino Linotype" w:cs="Arial"/>
          <w:b/>
          <w:lang w:val="es-ES_tradnl"/>
        </w:rPr>
        <w:t>versión pública</w:t>
      </w:r>
      <w:r w:rsidR="00265ED2" w:rsidRPr="00CB2EA8">
        <w:rPr>
          <w:rFonts w:ascii="Palatino Linotype" w:eastAsiaTheme="minorEastAsia" w:hAnsi="Palatino Linotype" w:cstheme="minorBidi"/>
          <w:lang w:val="es-ES_tradnl"/>
        </w:rPr>
        <w:t xml:space="preserve">, lo cual es de señalar que no opera con la simple supresión de datos que se haga en los documentos de que se trate o con la simple decisión que tome el Servidor Público Habilitado o el Responsable de la Unidad de Transparencia del </w:t>
      </w:r>
      <w:r w:rsidR="00265ED2" w:rsidRPr="00CB2EA8">
        <w:rPr>
          <w:rFonts w:ascii="Palatino Linotype" w:eastAsiaTheme="minorEastAsia" w:hAnsi="Palatino Linotype" w:cstheme="minorBidi"/>
          <w:b/>
          <w:lang w:val="es-ES_tradnl"/>
        </w:rPr>
        <w:t>SUJETO OBLIGADO</w:t>
      </w:r>
      <w:r w:rsidR="00265ED2" w:rsidRPr="00CB2EA8">
        <w:rPr>
          <w:rFonts w:ascii="Palatino Linotype" w:eastAsiaTheme="minorEastAsia" w:hAnsi="Palatino Linotype" w:cstheme="minorBidi"/>
          <w:lang w:val="es-ES_tradnl"/>
        </w:rPr>
        <w:t xml:space="preserve">, sino que ello deberá realizarse en términos </w:t>
      </w:r>
      <w:r w:rsidR="00265ED2" w:rsidRPr="00CB2EA8">
        <w:rPr>
          <w:rFonts w:ascii="Palatino Linotype" w:eastAsiaTheme="minorEastAsia" w:hAnsi="Palatino Linotype" w:cstheme="minorBidi"/>
          <w:lang w:val="es-ES_tradnl"/>
        </w:rPr>
        <w:lastRenderedPageBreak/>
        <w:t>de lo que disponen los artículos 3, fracciones IX, XX, XXI, XXXII, XLV; 6, 49, fracción VIII, 53, fracción X, 59, fracción V, 137, 143, fracción I de la Ley de Transparencia y Acceso a la Información Pública del Estado de México y Municipios vigente, que son del tenor literal siguiente:</w:t>
      </w:r>
    </w:p>
    <w:p w14:paraId="1D8B20B9"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b/>
          <w:i/>
          <w:sz w:val="22"/>
          <w:szCs w:val="22"/>
          <w:lang w:val="es-ES_tradnl"/>
        </w:rPr>
      </w:pPr>
    </w:p>
    <w:p w14:paraId="1D8B20BA"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“Artículo 3.</w:t>
      </w:r>
      <w:r w:rsidRPr="00CB2EA8">
        <w:rPr>
          <w:rFonts w:ascii="Palatino Linotype" w:eastAsiaTheme="minorEastAsia" w:hAnsi="Palatino Linotype" w:cstheme="minorBidi"/>
          <w:i/>
          <w:sz w:val="22"/>
          <w:szCs w:val="22"/>
          <w:lang w:val="es-ES_tradnl"/>
        </w:rPr>
        <w:t xml:space="preserve"> Para los efectos de la presente Ley se entenderá por:</w:t>
      </w:r>
    </w:p>
    <w:p w14:paraId="1D8B20BB"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IX. Datos personales:</w:t>
      </w:r>
      <w:r w:rsidRPr="00CB2EA8">
        <w:rPr>
          <w:rFonts w:ascii="Palatino Linotype" w:eastAsiaTheme="minorEastAsia" w:hAnsi="Palatino Linotype" w:cstheme="minorBidi"/>
          <w:i/>
          <w:sz w:val="22"/>
          <w:szCs w:val="22"/>
          <w:lang w:val="es-ES_tradnl"/>
        </w:rPr>
        <w:t xml:space="preserve"> La información concerniente a una persona, identificada o identificable según lo dispuesto por la Ley de Protección de Datos Personales del Estado de México;</w:t>
      </w:r>
    </w:p>
    <w:p w14:paraId="1D8B20BC"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XX. Información clasificada:</w:t>
      </w:r>
      <w:r w:rsidRPr="00CB2EA8">
        <w:rPr>
          <w:rFonts w:ascii="Palatino Linotype" w:eastAsiaTheme="minorEastAsia" w:hAnsi="Palatino Linotype" w:cstheme="minorBidi"/>
          <w:i/>
          <w:sz w:val="22"/>
          <w:szCs w:val="22"/>
          <w:lang w:val="es-ES_tradnl"/>
        </w:rPr>
        <w:t xml:space="preserve"> Aquella considerada por la presente Ley como reservada o confidencial;</w:t>
      </w:r>
    </w:p>
    <w:p w14:paraId="1D8B20BD"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 xml:space="preserve">XXI. Información confidencial: </w:t>
      </w:r>
      <w:r w:rsidRPr="00CB2EA8">
        <w:rPr>
          <w:rFonts w:ascii="Palatino Linotype" w:eastAsiaTheme="minorEastAsia" w:hAnsi="Palatino Linotype" w:cstheme="minorBidi"/>
          <w:i/>
          <w:sz w:val="22"/>
          <w:szCs w:val="22"/>
          <w:lang w:val="es-ES_tradnl"/>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8B20BE"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XXXII. Protección de Datos Personales:</w:t>
      </w:r>
      <w:r w:rsidRPr="00CB2EA8">
        <w:rPr>
          <w:rFonts w:ascii="Palatino Linotype" w:eastAsiaTheme="minorEastAsia" w:hAnsi="Palatino Linotype" w:cstheme="minorBidi"/>
          <w:i/>
          <w:sz w:val="22"/>
          <w:szCs w:val="22"/>
          <w:lang w:val="es-ES_tradnl"/>
        </w:rPr>
        <w:t xml:space="preserve"> Derecho humano que tutela la privacidad de datos personales en poder de los sujetos obligados y sujetos particulares;</w:t>
      </w:r>
    </w:p>
    <w:p w14:paraId="1D8B20BF"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XLV. Versión pública:</w:t>
      </w:r>
      <w:r w:rsidRPr="00CB2EA8">
        <w:rPr>
          <w:rFonts w:ascii="Palatino Linotype" w:eastAsiaTheme="minorEastAsia" w:hAnsi="Palatino Linotype" w:cstheme="minorBidi"/>
          <w:i/>
          <w:sz w:val="22"/>
          <w:szCs w:val="22"/>
          <w:lang w:val="es-ES_tradnl"/>
        </w:rPr>
        <w:t xml:space="preserve"> Documento en el que se elimine, suprime o borra la información clasificada como reservada o confidencial para permitir su acceso.</w:t>
      </w:r>
    </w:p>
    <w:p w14:paraId="1D8B20C0"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Artículo 6.</w:t>
      </w:r>
      <w:r w:rsidRPr="00CB2EA8">
        <w:rPr>
          <w:rFonts w:ascii="Palatino Linotype" w:eastAsiaTheme="minorEastAsia" w:hAnsi="Palatino Linotype" w:cstheme="minorBidi"/>
          <w:i/>
          <w:sz w:val="22"/>
          <w:szCs w:val="22"/>
          <w:lang w:val="es-ES_tradnl"/>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D8B20C1"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Artículo 49.</w:t>
      </w:r>
      <w:r w:rsidRPr="00CB2EA8">
        <w:rPr>
          <w:rFonts w:ascii="Palatino Linotype" w:eastAsiaTheme="minorEastAsia" w:hAnsi="Palatino Linotype" w:cstheme="minorBidi"/>
          <w:i/>
          <w:sz w:val="22"/>
          <w:szCs w:val="22"/>
          <w:lang w:val="es-ES_tradnl"/>
        </w:rPr>
        <w:t xml:space="preserve"> Los Comités de Transparencia tendrán las siguientes atribuciones:</w:t>
      </w:r>
    </w:p>
    <w:p w14:paraId="1D8B20C2"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VIII.</w:t>
      </w:r>
      <w:r w:rsidRPr="00CB2EA8">
        <w:rPr>
          <w:rFonts w:ascii="Palatino Linotype" w:eastAsiaTheme="minorEastAsia" w:hAnsi="Palatino Linotype" w:cstheme="minorBidi"/>
          <w:i/>
          <w:sz w:val="22"/>
          <w:szCs w:val="22"/>
          <w:lang w:val="es-ES_tradnl"/>
        </w:rPr>
        <w:t xml:space="preserve"> Aprobar, modificar o revocar la clasificación de la información…”</w:t>
      </w:r>
    </w:p>
    <w:p w14:paraId="1D8B20C3"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Artículo 53.</w:t>
      </w:r>
      <w:r w:rsidRPr="00CB2EA8">
        <w:rPr>
          <w:rFonts w:ascii="Palatino Linotype" w:eastAsiaTheme="minorEastAsia" w:hAnsi="Palatino Linotype" w:cstheme="minorBidi"/>
          <w:i/>
          <w:sz w:val="22"/>
          <w:szCs w:val="22"/>
          <w:lang w:val="es-ES_tradnl"/>
        </w:rPr>
        <w:t xml:space="preserve"> Las Unidades de Transparencia tendrán las siguientes funciones:</w:t>
      </w:r>
    </w:p>
    <w:p w14:paraId="1D8B20C4"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X.</w:t>
      </w:r>
      <w:r w:rsidRPr="00CB2EA8">
        <w:rPr>
          <w:rFonts w:ascii="Palatino Linotype" w:eastAsiaTheme="minorEastAsia" w:hAnsi="Palatino Linotype" w:cstheme="minorBidi"/>
          <w:i/>
          <w:sz w:val="22"/>
          <w:szCs w:val="22"/>
          <w:lang w:val="es-ES_tradnl"/>
        </w:rPr>
        <w:t xml:space="preserve"> Presentar ante el Comité, el proyecto de clasificación de información…” </w:t>
      </w:r>
    </w:p>
    <w:p w14:paraId="1D8B20C5"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Artículo 59.</w:t>
      </w:r>
      <w:r w:rsidRPr="00CB2EA8">
        <w:rPr>
          <w:rFonts w:ascii="Palatino Linotype" w:eastAsiaTheme="minorEastAsia" w:hAnsi="Palatino Linotype" w:cstheme="minorBidi"/>
          <w:i/>
          <w:sz w:val="22"/>
          <w:szCs w:val="22"/>
          <w:lang w:val="es-ES_tradnl"/>
        </w:rPr>
        <w:t xml:space="preserve"> Los servidores públicos habilitados tendrán las funciones siguientes:</w:t>
      </w:r>
    </w:p>
    <w:p w14:paraId="1D8B20C6"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V.</w:t>
      </w:r>
      <w:r w:rsidRPr="00CB2EA8">
        <w:rPr>
          <w:rFonts w:ascii="Palatino Linotype" w:eastAsiaTheme="minorEastAsia" w:hAnsi="Palatino Linotype" w:cstheme="minorBidi"/>
          <w:i/>
          <w:sz w:val="22"/>
          <w:szCs w:val="22"/>
          <w:lang w:val="es-ES_tradnl"/>
        </w:rPr>
        <w:t xml:space="preserve"> Integrar y presentar al responsable de la Unidad de Transparencia la propuesta de clasificación de información, la cual tendrá los fundamentos y argumentos en que se basa dicha propuesta…”</w:t>
      </w:r>
    </w:p>
    <w:p w14:paraId="1D8B20C7"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Artículo 137.</w:t>
      </w:r>
      <w:r w:rsidRPr="00CB2EA8">
        <w:rPr>
          <w:rFonts w:ascii="Palatino Linotype" w:eastAsiaTheme="minorEastAsia" w:hAnsi="Palatino Linotype" w:cstheme="minorBidi"/>
          <w:i/>
          <w:sz w:val="22"/>
          <w:szCs w:val="22"/>
          <w:lang w:val="es-ES_tradnl"/>
        </w:rPr>
        <w:t xml:space="preserve"> Cuando un mismo medio, impreso o electrónico, contenga información pública y reservada o confidencial, la Unidad de Transparencia para </w:t>
      </w:r>
      <w:r w:rsidRPr="00CB2EA8">
        <w:rPr>
          <w:rFonts w:ascii="Palatino Linotype" w:eastAsiaTheme="minorEastAsia" w:hAnsi="Palatino Linotype" w:cstheme="minorBidi"/>
          <w:i/>
          <w:sz w:val="22"/>
          <w:szCs w:val="22"/>
          <w:lang w:val="es-ES_tradnl"/>
        </w:rPr>
        <w:lastRenderedPageBreak/>
        <w:t>efectos de atender una solicitud de información, deberán elaborar una versión pública en la que se testen las partes o secciones clasificadas, indicando su contenido de manera genérica y fundando y motivando su clasificación.”</w:t>
      </w:r>
    </w:p>
    <w:p w14:paraId="1D8B20C8"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Artículo 143.</w:t>
      </w:r>
      <w:r w:rsidRPr="00CB2EA8">
        <w:rPr>
          <w:rFonts w:ascii="Palatino Linotype" w:eastAsiaTheme="minorEastAsia" w:hAnsi="Palatino Linotype" w:cstheme="minorBidi"/>
          <w:i/>
          <w:sz w:val="22"/>
          <w:szCs w:val="22"/>
          <w:lang w:val="es-ES_tradnl"/>
        </w:rPr>
        <w:t xml:space="preserve"> Para los efectos de esta Ley se considera información confidencial, la clasificada como tal, de manera permanente, por su naturaleza, cuando:</w:t>
      </w:r>
    </w:p>
    <w:p w14:paraId="1D8B20C9" w14:textId="77777777" w:rsidR="00265ED2" w:rsidRPr="00CB2EA8" w:rsidRDefault="00265ED2" w:rsidP="00265ED2">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I.</w:t>
      </w:r>
      <w:r w:rsidRPr="00CB2EA8">
        <w:rPr>
          <w:rFonts w:ascii="Palatino Linotype" w:eastAsiaTheme="minorEastAsia" w:hAnsi="Palatino Linotype" w:cstheme="minorBidi"/>
          <w:i/>
          <w:sz w:val="22"/>
          <w:szCs w:val="22"/>
          <w:lang w:val="es-ES_tradnl"/>
        </w:rPr>
        <w:t xml:space="preserve"> Se refiera a la información privada y los datos personales concernientes a una persona física o jurídico colectiva identificada o identificable…</w:t>
      </w:r>
      <w:r w:rsidRPr="00CB2EA8">
        <w:rPr>
          <w:rFonts w:ascii="Palatino Linotype" w:eastAsiaTheme="minorEastAsia" w:hAnsi="Palatino Linotype" w:cstheme="minorBidi"/>
          <w:b/>
          <w:i/>
          <w:sz w:val="22"/>
          <w:szCs w:val="22"/>
          <w:lang w:val="es-ES_tradnl"/>
        </w:rPr>
        <w:t>”</w:t>
      </w:r>
    </w:p>
    <w:p w14:paraId="1D8B20CA"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14:paraId="1D8B20CB"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CB2EA8">
        <w:rPr>
          <w:rFonts w:ascii="Palatino Linotype" w:eastAsiaTheme="minorEastAsia" w:hAnsi="Palatino Linotype" w:cstheme="minorBidi"/>
          <w:lang w:val="es-ES_tradnl"/>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Transparencia y del Comité de Transparencia del </w:t>
      </w:r>
      <w:r w:rsidRPr="00CB2EA8">
        <w:rPr>
          <w:rFonts w:ascii="Palatino Linotype" w:eastAsiaTheme="minorEastAsia" w:hAnsi="Palatino Linotype" w:cstheme="minorBidi"/>
          <w:b/>
          <w:lang w:val="es-ES_tradnl"/>
        </w:rPr>
        <w:t>SUJETO OBLIGADO</w:t>
      </w:r>
      <w:r w:rsidRPr="00CB2EA8">
        <w:rPr>
          <w:rFonts w:ascii="Palatino Linotype" w:eastAsiaTheme="minorEastAsia" w:hAnsi="Palatino Linotype" w:cstheme="minorBidi"/>
          <w:lang w:val="es-ES_tradnl"/>
        </w:rPr>
        <w:t>, teniendo el deber los primeros de ellos de presentar ante la Unidad de Transparencia la propuesta de la clasificación de la información, para que luego, ésta la presente ante al Comité de Transparencia, de así resultar procedente el proyecto de clasificación de la información y finalmente sea éste último quien apruebe, modifique o revoque la clasificación de la información solicitada.</w:t>
      </w:r>
    </w:p>
    <w:p w14:paraId="1D8B20CC"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14:paraId="1D8B20CD"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CB2EA8">
        <w:rPr>
          <w:rFonts w:ascii="Palatino Linotype" w:eastAsiaTheme="minorEastAsia" w:hAnsi="Palatino Linotype" w:cstheme="minorBidi"/>
          <w:lang w:val="es-ES_tradnl"/>
        </w:rPr>
        <w:t>Para lo cual, a su vez en el caso de información de carácter confidencial se debe atender a lo que señala el artículo 149 de la Ley de Transparencia Local vigente, cuyo contenido es de la literalidad siguiente:</w:t>
      </w:r>
    </w:p>
    <w:p w14:paraId="1D8B20CE" w14:textId="77777777" w:rsidR="00265ED2" w:rsidRPr="00CB2EA8" w:rsidRDefault="00265ED2" w:rsidP="00265ED2">
      <w:pPr>
        <w:autoSpaceDE w:val="0"/>
        <w:autoSpaceDN w:val="0"/>
        <w:adjustRightInd w:val="0"/>
        <w:spacing w:before="100" w:beforeAutospacing="1" w:after="100" w:afterAutospacing="1" w:line="264" w:lineRule="auto"/>
        <w:ind w:left="851" w:right="899"/>
        <w:contextualSpacing/>
        <w:jc w:val="both"/>
        <w:rPr>
          <w:rFonts w:ascii="Palatino Linotype" w:eastAsiaTheme="minorEastAsia" w:hAnsi="Palatino Linotype" w:cstheme="minorBidi"/>
          <w:b/>
          <w:i/>
          <w:sz w:val="22"/>
          <w:szCs w:val="22"/>
          <w:lang w:val="es-ES_tradnl"/>
        </w:rPr>
      </w:pPr>
    </w:p>
    <w:p w14:paraId="1D8B20CF" w14:textId="77777777" w:rsidR="00265ED2" w:rsidRPr="00CB2EA8" w:rsidRDefault="00265ED2" w:rsidP="00265ED2">
      <w:pPr>
        <w:autoSpaceDE w:val="0"/>
        <w:autoSpaceDN w:val="0"/>
        <w:adjustRightInd w:val="0"/>
        <w:spacing w:before="100" w:beforeAutospacing="1" w:after="100" w:afterAutospacing="1" w:line="264" w:lineRule="auto"/>
        <w:ind w:left="851" w:right="899"/>
        <w:contextualSpacing/>
        <w:jc w:val="both"/>
        <w:rPr>
          <w:rFonts w:ascii="Palatino Linotype" w:eastAsiaTheme="minorEastAsia" w:hAnsi="Palatino Linotype" w:cstheme="minorBidi"/>
          <w:b/>
          <w:i/>
          <w:sz w:val="22"/>
          <w:szCs w:val="22"/>
          <w:lang w:val="es-ES_tradnl"/>
        </w:rPr>
      </w:pPr>
      <w:r w:rsidRPr="00CB2EA8">
        <w:rPr>
          <w:rFonts w:ascii="Palatino Linotype" w:eastAsiaTheme="minorEastAsia" w:hAnsi="Palatino Linotype" w:cstheme="minorBidi"/>
          <w:b/>
          <w:i/>
          <w:sz w:val="22"/>
          <w:szCs w:val="22"/>
          <w:lang w:val="es-ES_tradnl"/>
        </w:rPr>
        <w:t>“Artículo 149.</w:t>
      </w:r>
      <w:r w:rsidRPr="00CB2EA8">
        <w:rPr>
          <w:rFonts w:ascii="Palatino Linotype" w:eastAsiaTheme="minorEastAsia" w:hAnsi="Palatino Linotype" w:cstheme="minorBidi"/>
          <w:i/>
          <w:sz w:val="22"/>
          <w:szCs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r w:rsidRPr="00CB2EA8">
        <w:rPr>
          <w:rFonts w:ascii="Palatino Linotype" w:eastAsiaTheme="minorEastAsia" w:hAnsi="Palatino Linotype" w:cstheme="minorBidi"/>
          <w:b/>
          <w:i/>
          <w:sz w:val="22"/>
          <w:szCs w:val="22"/>
          <w:lang w:val="es-ES_tradnl"/>
        </w:rPr>
        <w:t>”</w:t>
      </w:r>
    </w:p>
    <w:p w14:paraId="1D8B20D0" w14:textId="77777777" w:rsidR="00265ED2" w:rsidRPr="00CB2EA8" w:rsidRDefault="00265ED2" w:rsidP="00265ED2">
      <w:pPr>
        <w:autoSpaceDE w:val="0"/>
        <w:autoSpaceDN w:val="0"/>
        <w:adjustRightInd w:val="0"/>
        <w:spacing w:before="100" w:beforeAutospacing="1" w:after="100" w:afterAutospacing="1" w:line="264" w:lineRule="auto"/>
        <w:ind w:left="851" w:right="899"/>
        <w:contextualSpacing/>
        <w:jc w:val="both"/>
        <w:rPr>
          <w:rFonts w:ascii="Palatino Linotype" w:eastAsiaTheme="minorEastAsia" w:hAnsi="Palatino Linotype" w:cstheme="minorBidi"/>
          <w:i/>
          <w:sz w:val="22"/>
          <w:szCs w:val="22"/>
          <w:lang w:val="es-ES_tradnl"/>
        </w:rPr>
      </w:pPr>
    </w:p>
    <w:p w14:paraId="1D8B20D1"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CB2EA8">
        <w:rPr>
          <w:rFonts w:ascii="Palatino Linotype" w:eastAsiaTheme="minorEastAsia" w:hAnsi="Palatino Linotype" w:cstheme="minorBidi"/>
          <w:lang w:val="es-ES_tradnl"/>
        </w:rPr>
        <w:t xml:space="preserve">Es decir, </w:t>
      </w:r>
      <w:r w:rsidRPr="00CB2EA8">
        <w:rPr>
          <w:rFonts w:ascii="Palatino Linotype" w:eastAsiaTheme="minorEastAsia" w:hAnsi="Palatino Linotype" w:cstheme="minorBidi"/>
          <w:b/>
          <w:lang w:val="es-ES_tradnl"/>
        </w:rPr>
        <w:t>EL SUJETO OBLIGADO</w:t>
      </w:r>
      <w:r w:rsidRPr="00CB2EA8">
        <w:rPr>
          <w:rFonts w:ascii="Palatino Linotype" w:eastAsiaTheme="minorEastAsia" w:hAnsi="Palatino Linotype" w:cstheme="minorBidi"/>
          <w:lang w:val="es-ES_tradnl"/>
        </w:rPr>
        <w:t xml:space="preserve"> a través de su Comité de Transparencia, para la entrega de la información materia del presente recurso; deberá elaborar un Acuerdo </w:t>
      </w:r>
      <w:r w:rsidRPr="00CB2EA8">
        <w:rPr>
          <w:rFonts w:ascii="Palatino Linotype" w:eastAsiaTheme="minorEastAsia" w:hAnsi="Palatino Linotype" w:cstheme="minorBidi"/>
          <w:lang w:val="es-ES_tradnl"/>
        </w:rPr>
        <w:lastRenderedPageBreak/>
        <w:t>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transgrediendo el derecho de acceso a la información del solicitante.</w:t>
      </w:r>
    </w:p>
    <w:p w14:paraId="1D8B20D2"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14:paraId="1D8B20D3"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CB2EA8">
        <w:rPr>
          <w:rFonts w:ascii="Palatino Linotype" w:eastAsiaTheme="minorEastAsia" w:hAnsi="Palatino Linotype" w:cstheme="minorBidi"/>
          <w:lang w:val="es-ES_tradnl"/>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el Registro Federal de personas físicas(RFC), siempre que no sea de proveedores, la Clave Única de Registro de Población (CURP), nombres y domicilios de particulares, así como cualquier otra que incida en la vida priva privada de los mismos o en su patrimonio.</w:t>
      </w:r>
    </w:p>
    <w:p w14:paraId="1D8B20D4"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14:paraId="1D8B20D5"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CB2EA8">
        <w:rPr>
          <w:rFonts w:ascii="Palatino Linotype" w:eastAsiaTheme="minorEastAsia" w:hAnsi="Palatino Linotype" w:cstheme="minorBidi"/>
          <w:lang w:val="es-ES_tradnl"/>
        </w:rPr>
        <w:t xml:space="preserve">En cuanto al </w:t>
      </w:r>
      <w:r w:rsidRPr="00CB2EA8">
        <w:rPr>
          <w:rFonts w:ascii="Palatino Linotype" w:eastAsiaTheme="minorEastAsia" w:hAnsi="Palatino Linotype" w:cstheme="minorBidi"/>
          <w:b/>
          <w:lang w:val="es-ES_tradnl"/>
        </w:rPr>
        <w:t>RFC</w:t>
      </w:r>
      <w:r w:rsidRPr="00CB2EA8">
        <w:rPr>
          <w:rFonts w:ascii="Palatino Linotype" w:eastAsiaTheme="minorEastAsia" w:hAnsi="Palatino Linotype" w:cstheme="minorBidi"/>
          <w:lang w:val="es-ES_tradnl"/>
        </w:rPr>
        <w:t xml:space="preserve"> de personas físicas siempre que no sea de proveedores, constituye un dato personal, ya que para su obtención es necesario acreditar ante la autoridad fiscal previamente la identidad de la persona, su fecha de nacimiento, entre otros aspectos.</w:t>
      </w:r>
    </w:p>
    <w:p w14:paraId="1D8B20D6"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14:paraId="1D8B20D7"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CB2EA8">
        <w:rPr>
          <w:rFonts w:ascii="Palatino Linotype" w:eastAsiaTheme="minorEastAsia" w:hAnsi="Palatino Linotype" w:cstheme="minorBidi"/>
          <w:lang w:val="es-ES_tradnl"/>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D8B20D8"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14:paraId="1D8B20D9"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CB2EA8">
        <w:rPr>
          <w:rFonts w:ascii="Palatino Linotype" w:eastAsiaTheme="minorEastAsia" w:hAnsi="Palatino Linotype" w:cstheme="minorBidi"/>
          <w:lang w:val="es-ES_tradnl"/>
        </w:rPr>
        <w:t>Lo anterior es compartido por el Instituto Nacional de Transparencia, Acceso a la Información y Protección de Datos Personales (INAI), a través del Criterio 19/2017, el cual es del tenor literal siguiente:</w:t>
      </w:r>
    </w:p>
    <w:p w14:paraId="1D8B20DA"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b/>
          <w:i/>
          <w:sz w:val="22"/>
          <w:szCs w:val="22"/>
          <w:lang w:val="es-ES_tradnl"/>
        </w:rPr>
      </w:pPr>
    </w:p>
    <w:p w14:paraId="1D8B20DB"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b/>
          <w:i/>
          <w:sz w:val="22"/>
          <w:szCs w:val="22"/>
          <w:lang w:val="es-ES_tradnl"/>
        </w:rPr>
        <w:t>“</w:t>
      </w:r>
      <w:r w:rsidRPr="00CB2EA8">
        <w:rPr>
          <w:rFonts w:ascii="Palatino Linotype" w:eastAsiaTheme="minorEastAsia" w:hAnsi="Palatino Linotype" w:cstheme="minorBidi"/>
          <w:i/>
          <w:sz w:val="22"/>
          <w:szCs w:val="22"/>
          <w:lang w:val="es-ES_tradnl"/>
        </w:rPr>
        <w:t>Registro Federal de Contribuyentes (RFC) de personas físicas. El RFC es una clave de carácter fiscal, única e irrepetible, que permite identificar al titular, su edad y fecha de nacimiento, por lo que es un dato personal de carácter confidencial.</w:t>
      </w:r>
    </w:p>
    <w:p w14:paraId="1D8B20DC"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p>
    <w:p w14:paraId="1D8B20DD"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i/>
          <w:sz w:val="22"/>
          <w:szCs w:val="22"/>
          <w:lang w:val="es-ES_tradnl"/>
        </w:rPr>
        <w:t>Resoluciones:</w:t>
      </w:r>
    </w:p>
    <w:p w14:paraId="1D8B20DE"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i/>
          <w:sz w:val="22"/>
          <w:szCs w:val="22"/>
          <w:lang w:val="es-ES_tradnl"/>
        </w:rPr>
        <w:t>•</w:t>
      </w:r>
      <w:r w:rsidRPr="00CB2EA8">
        <w:rPr>
          <w:rFonts w:ascii="Palatino Linotype" w:eastAsiaTheme="minorEastAsia" w:hAnsi="Palatino Linotype" w:cstheme="minorBidi"/>
          <w:i/>
          <w:sz w:val="22"/>
          <w:szCs w:val="22"/>
          <w:lang w:val="es-ES_tradnl"/>
        </w:rPr>
        <w:tab/>
        <w:t>RRA 0189/17. Morena. 08 de febrero de 2017. Por unanimidad. Comisionado Ponente Joel Salas Suárez.</w:t>
      </w:r>
    </w:p>
    <w:p w14:paraId="1D8B20DF"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i/>
          <w:sz w:val="22"/>
          <w:szCs w:val="22"/>
          <w:lang w:val="es-ES_tradnl"/>
        </w:rPr>
        <w:t>•</w:t>
      </w:r>
      <w:r w:rsidRPr="00CB2EA8">
        <w:rPr>
          <w:rFonts w:ascii="Palatino Linotype" w:eastAsiaTheme="minorEastAsia" w:hAnsi="Palatino Linotype" w:cstheme="minorBidi"/>
          <w:i/>
          <w:sz w:val="22"/>
          <w:szCs w:val="22"/>
          <w:lang w:val="es-ES_tradnl"/>
        </w:rPr>
        <w:tab/>
        <w:t xml:space="preserve">RRA 0677/17. Universidad Nacional Autónoma de México. 08 de marzo de 2017. Por unanimidad. Comisionado Ponente Rosendoevgueni Monterrey Chepov. </w:t>
      </w:r>
    </w:p>
    <w:p w14:paraId="1D8B20E0"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i/>
          <w:sz w:val="22"/>
          <w:szCs w:val="22"/>
          <w:lang w:val="es-ES_tradnl"/>
        </w:rPr>
        <w:t>•</w:t>
      </w:r>
      <w:r w:rsidRPr="00CB2EA8">
        <w:rPr>
          <w:rFonts w:ascii="Palatino Linotype" w:eastAsiaTheme="minorEastAsia" w:hAnsi="Palatino Linotype" w:cstheme="minorBidi"/>
          <w:i/>
          <w:sz w:val="22"/>
          <w:szCs w:val="22"/>
          <w:lang w:val="es-ES_tradnl"/>
        </w:rPr>
        <w:tab/>
        <w:t>RRA 1564/17. Tribunal Electoral del Poder Judicial de la Federación. 26 de abril de 2017. Por unanimidad. Comisionado Ponente Oscar Mauricio Guerra Ford.</w:t>
      </w:r>
      <w:r w:rsidRPr="00CB2EA8">
        <w:rPr>
          <w:rFonts w:ascii="Palatino Linotype" w:eastAsiaTheme="minorEastAsia" w:hAnsi="Palatino Linotype" w:cstheme="minorBidi"/>
          <w:b/>
          <w:i/>
          <w:sz w:val="22"/>
          <w:szCs w:val="22"/>
          <w:lang w:val="es-ES_tradnl"/>
        </w:rPr>
        <w:t>”</w:t>
      </w:r>
    </w:p>
    <w:p w14:paraId="1D8B20E1"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14:paraId="1D8B20E2"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CB2EA8">
        <w:rPr>
          <w:rFonts w:ascii="Palatino Linotype" w:eastAsiaTheme="minorEastAsia" w:hAnsi="Palatino Linotype" w:cstheme="minorBidi"/>
          <w:lang w:val="es-ES_tradnl"/>
        </w:rPr>
        <w:t xml:space="preserve">Así, el RFC de particulares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w:t>
      </w:r>
      <w:r w:rsidRPr="00CB2EA8">
        <w:rPr>
          <w:rFonts w:ascii="Palatino Linotype" w:eastAsiaTheme="minorEastAsia" w:hAnsi="Palatino Linotype" w:cstheme="minorBidi"/>
          <w:b/>
          <w:lang w:val="es-ES_tradnl"/>
        </w:rPr>
        <w:t>a una persona física</w:t>
      </w:r>
      <w:r w:rsidRPr="00CB2EA8">
        <w:rPr>
          <w:rFonts w:ascii="Palatino Linotype" w:eastAsiaTheme="minorEastAsia" w:hAnsi="Palatino Linotype" w:cstheme="minorBidi"/>
          <w:lang w:val="es-ES_tradnl"/>
        </w:rPr>
        <w:t xml:space="preserve"> identificada e identificable; sin embargo, para las personas jurídico colectivas, es un dato que </w:t>
      </w:r>
      <w:r w:rsidRPr="00CB2EA8">
        <w:rPr>
          <w:rFonts w:ascii="Palatino Linotype" w:eastAsiaTheme="minorEastAsia" w:hAnsi="Palatino Linotype" w:cstheme="minorBidi"/>
          <w:b/>
          <w:lang w:val="es-ES_tradnl"/>
        </w:rPr>
        <w:t xml:space="preserve">EL SUJETO OBLIGADO </w:t>
      </w:r>
      <w:r w:rsidRPr="00CB2EA8">
        <w:rPr>
          <w:rFonts w:ascii="Palatino Linotype" w:eastAsiaTheme="minorEastAsia" w:hAnsi="Palatino Linotype" w:cstheme="minorBidi"/>
          <w:lang w:val="es-ES_tradnl"/>
        </w:rPr>
        <w:t>deberá dejar visible.</w:t>
      </w:r>
    </w:p>
    <w:p w14:paraId="1D8B20E3"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14:paraId="1D8B20E4"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CB2EA8">
        <w:rPr>
          <w:rFonts w:ascii="Palatino Linotype" w:eastAsiaTheme="minorEastAsia" w:hAnsi="Palatino Linotype" w:cstheme="minorBidi"/>
          <w:lang w:val="es-ES_tradnl"/>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D8B20E5" w14:textId="77777777" w:rsidR="001C3B2B" w:rsidRPr="00CB2EA8" w:rsidRDefault="001C3B2B"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14:paraId="1D8B20E6" w14:textId="77777777" w:rsidR="00265ED2" w:rsidRPr="00CB2EA8" w:rsidRDefault="00265ED2" w:rsidP="00265ED2">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CB2EA8">
        <w:rPr>
          <w:rFonts w:ascii="Palatino Linotype" w:eastAsiaTheme="minorEastAsia" w:hAnsi="Palatino Linotype" w:cstheme="minorBidi"/>
          <w:lang w:val="es-ES_tradnl"/>
        </w:rPr>
        <w:t xml:space="preserve">Argumento que es compartido por el Instituto Nacional de Transparencia, Acceso a la Información y Protección de Datos Personales (INAI), conforme al criterio número 18/2017, el cual refiere: </w:t>
      </w:r>
    </w:p>
    <w:p w14:paraId="1D8B20E7"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p>
    <w:p w14:paraId="1D8B20E8"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i/>
          <w:sz w:val="22"/>
          <w:szCs w:val="22"/>
          <w:lang w:val="es-ES_tradnl"/>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8B20E9"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p>
    <w:p w14:paraId="1D8B20EA"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i/>
          <w:sz w:val="22"/>
          <w:szCs w:val="22"/>
          <w:lang w:val="es-ES_tradnl"/>
        </w:rPr>
        <w:t>Resoluciones:</w:t>
      </w:r>
    </w:p>
    <w:p w14:paraId="1D8B20EB"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i/>
          <w:sz w:val="22"/>
          <w:szCs w:val="22"/>
          <w:lang w:val="es-ES_tradnl"/>
        </w:rPr>
        <w:t>•</w:t>
      </w:r>
      <w:r w:rsidRPr="00CB2EA8">
        <w:rPr>
          <w:rFonts w:ascii="Palatino Linotype" w:eastAsiaTheme="minorEastAsia" w:hAnsi="Palatino Linotype" w:cstheme="minorBidi"/>
          <w:i/>
          <w:sz w:val="22"/>
          <w:szCs w:val="22"/>
          <w:lang w:val="es-ES_tradnl"/>
        </w:rPr>
        <w:tab/>
        <w:t>RRA 3995/16. Secretaría de la Defensa Nacional. 1 de febrero de 2017. Por unanimidad. Comisionado Ponente Rosendoevgueni Monterrey Chepov.</w:t>
      </w:r>
    </w:p>
    <w:p w14:paraId="1D8B20EC"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i/>
          <w:sz w:val="22"/>
          <w:szCs w:val="22"/>
          <w:lang w:val="es-ES_tradnl"/>
        </w:rPr>
        <w:t>•</w:t>
      </w:r>
      <w:r w:rsidRPr="00CB2EA8">
        <w:rPr>
          <w:rFonts w:ascii="Palatino Linotype" w:eastAsiaTheme="minorEastAsia" w:hAnsi="Palatino Linotype" w:cstheme="minorBidi"/>
          <w:i/>
          <w:sz w:val="22"/>
          <w:szCs w:val="22"/>
          <w:lang w:val="es-ES_tradnl"/>
        </w:rPr>
        <w:tab/>
        <w:t xml:space="preserve">RRA 0937/17. Senado de la República. 15 de marzo de 2017. Por unanimidad. Comisionada Ponente Ximena Puente de la Mora. </w:t>
      </w:r>
    </w:p>
    <w:p w14:paraId="1D8B20ED" w14:textId="77777777" w:rsidR="00265ED2" w:rsidRPr="00CB2EA8" w:rsidRDefault="00265ED2" w:rsidP="00265ED2">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CB2EA8">
        <w:rPr>
          <w:rFonts w:ascii="Palatino Linotype" w:eastAsiaTheme="minorEastAsia" w:hAnsi="Palatino Linotype" w:cstheme="minorBidi"/>
          <w:i/>
          <w:sz w:val="22"/>
          <w:szCs w:val="22"/>
          <w:lang w:val="es-ES_tradnl"/>
        </w:rPr>
        <w:t>•</w:t>
      </w:r>
      <w:r w:rsidRPr="00CB2EA8">
        <w:rPr>
          <w:rFonts w:ascii="Palatino Linotype" w:eastAsiaTheme="minorEastAsia" w:hAnsi="Palatino Linotype" w:cstheme="minorBidi"/>
          <w:i/>
          <w:sz w:val="22"/>
          <w:szCs w:val="22"/>
          <w:lang w:val="es-ES_tradnl"/>
        </w:rPr>
        <w:tab/>
        <w:t>RRA 0478/17. Secretaría de Relaciones Exteriores. 26 de abril de 2017. Por unanimidad. Comisionada Ponente Areli Cano Guadiana.”</w:t>
      </w:r>
    </w:p>
    <w:p w14:paraId="1D8B20EE" w14:textId="77777777" w:rsidR="00265ED2" w:rsidRPr="00CB2EA8" w:rsidRDefault="00265ED2" w:rsidP="00265ED2">
      <w:pPr>
        <w:spacing w:before="100" w:beforeAutospacing="1" w:after="100" w:afterAutospacing="1" w:line="360" w:lineRule="auto"/>
        <w:contextualSpacing/>
        <w:jc w:val="both"/>
        <w:rPr>
          <w:rFonts w:ascii="Palatino Linotype" w:hAnsi="Palatino Linotype" w:cs="Arial"/>
          <w:bCs/>
          <w:color w:val="000000"/>
        </w:rPr>
      </w:pPr>
    </w:p>
    <w:p w14:paraId="1D8B20EF" w14:textId="77777777" w:rsidR="00265ED2" w:rsidRPr="00CB2EA8" w:rsidRDefault="00265ED2" w:rsidP="00265ED2">
      <w:pPr>
        <w:spacing w:before="100" w:beforeAutospacing="1" w:after="100" w:afterAutospacing="1" w:line="360" w:lineRule="auto"/>
        <w:contextualSpacing/>
        <w:jc w:val="both"/>
        <w:rPr>
          <w:rFonts w:ascii="Palatino Linotype" w:hAnsi="Palatino Linotype" w:cs="Arial"/>
        </w:rPr>
      </w:pPr>
      <w:r w:rsidRPr="00CB2EA8">
        <w:rPr>
          <w:rFonts w:ascii="Palatino Linotype" w:hAnsi="Palatino Linotype" w:cs="Arial"/>
          <w:bCs/>
          <w:color w:val="000000"/>
        </w:rPr>
        <w:t>Ahora bien, el domicilio de una persona física –domicilio particular-, conforme a lo dispuesto por el artículo 2.17 del Código Civil del Estado de México, éste</w:t>
      </w:r>
      <w:r w:rsidRPr="00CB2EA8">
        <w:rPr>
          <w:rFonts w:ascii="Palatino Linotype" w:hAnsi="Palatino Linotype" w:cs="Arial"/>
        </w:rPr>
        <w:t xml:space="preserve"> “</w:t>
      </w:r>
      <w:r w:rsidRPr="00CB2EA8">
        <w:rPr>
          <w:rFonts w:ascii="Palatino Linotype" w:hAnsi="Palatino Linotype" w:cs="Arial"/>
          <w:i/>
        </w:rPr>
        <w:t>es el lugar donde reside con el propósito de establecerse en él; a falta de éste, el lugar en que tiene el principal asiento de sus negocios; y a falta de uno y otro, el lugar en que se halle”</w:t>
      </w:r>
      <w:r w:rsidRPr="00CB2EA8">
        <w:rPr>
          <w:rFonts w:ascii="Palatino Linotype" w:hAnsi="Palatino Linotype" w:cs="Arial"/>
        </w:rPr>
        <w:t>.</w:t>
      </w:r>
    </w:p>
    <w:p w14:paraId="1D8B20F0" w14:textId="77777777" w:rsidR="00265ED2" w:rsidRPr="00CB2EA8" w:rsidRDefault="00265ED2" w:rsidP="00265ED2">
      <w:pPr>
        <w:spacing w:before="100" w:beforeAutospacing="1" w:after="100" w:afterAutospacing="1" w:line="360" w:lineRule="auto"/>
        <w:contextualSpacing/>
        <w:jc w:val="both"/>
        <w:rPr>
          <w:rFonts w:ascii="Palatino Linotype" w:hAnsi="Palatino Linotype" w:cs="Arial"/>
          <w:bCs/>
          <w:color w:val="000000"/>
        </w:rPr>
      </w:pPr>
    </w:p>
    <w:p w14:paraId="1D8B20F1" w14:textId="77777777" w:rsidR="00265ED2" w:rsidRPr="00CB2EA8" w:rsidRDefault="00265ED2" w:rsidP="00265ED2">
      <w:pPr>
        <w:spacing w:before="100" w:beforeAutospacing="1" w:after="100" w:afterAutospacing="1" w:line="360" w:lineRule="auto"/>
        <w:contextualSpacing/>
        <w:jc w:val="both"/>
        <w:rPr>
          <w:rFonts w:ascii="Palatino Linotype" w:hAnsi="Palatino Linotype" w:cs="Arial"/>
          <w:bCs/>
          <w:color w:val="000000"/>
        </w:rPr>
      </w:pPr>
      <w:r w:rsidRPr="00CB2EA8">
        <w:rPr>
          <w:rFonts w:ascii="Palatino Linotype" w:hAnsi="Palatino Linotype" w:cs="Arial"/>
          <w:bCs/>
          <w:color w:val="000000"/>
        </w:rPr>
        <w:lastRenderedPageBreak/>
        <w:t>En ese sentido, el dato sobre el domicilio particular es información de carácter confidencial, en términos de lo dispuesto por los artículos 3, fracción XXI, 122 y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14:paraId="1D8B20F2" w14:textId="77777777" w:rsidR="00265ED2" w:rsidRPr="00CB2EA8" w:rsidRDefault="00265ED2" w:rsidP="00265ED2">
      <w:pPr>
        <w:spacing w:before="100" w:beforeAutospacing="1" w:after="100" w:afterAutospacing="1" w:line="360" w:lineRule="auto"/>
        <w:contextualSpacing/>
        <w:jc w:val="both"/>
        <w:rPr>
          <w:rFonts w:ascii="Palatino Linotype" w:hAnsi="Palatino Linotype" w:cs="Arial"/>
          <w:bCs/>
          <w:color w:val="000000"/>
        </w:rPr>
      </w:pPr>
    </w:p>
    <w:p w14:paraId="1D8B20F3" w14:textId="77777777" w:rsidR="00265ED2" w:rsidRPr="00CB2EA8" w:rsidRDefault="00265ED2" w:rsidP="00265ED2">
      <w:pPr>
        <w:spacing w:before="100" w:beforeAutospacing="1" w:after="100" w:afterAutospacing="1" w:line="360" w:lineRule="auto"/>
        <w:contextualSpacing/>
        <w:jc w:val="both"/>
        <w:rPr>
          <w:rFonts w:ascii="Palatino Linotype" w:hAnsi="Palatino Linotype" w:cs="Arial"/>
          <w:bCs/>
          <w:color w:val="000000"/>
        </w:rPr>
      </w:pPr>
      <w:r w:rsidRPr="00CB2EA8">
        <w:rPr>
          <w:rFonts w:ascii="Palatino Linotype" w:hAnsi="Palatino Linotype" w:cs="Arial"/>
          <w:bCs/>
          <w:szCs w:val="22"/>
        </w:rPr>
        <w:t xml:space="preserve">En ese tenor, existe información </w:t>
      </w:r>
      <w:r w:rsidRPr="00CB2EA8">
        <w:rPr>
          <w:rFonts w:ascii="Palatino Linotype" w:eastAsia="Arial Unicode MS" w:hAnsi="Palatino Linotype" w:cs="Arial"/>
        </w:rPr>
        <w:t>personal</w:t>
      </w:r>
      <w:r w:rsidRPr="00CB2EA8">
        <w:rPr>
          <w:rFonts w:ascii="Palatino Linotype" w:hAnsi="Palatino Linotype" w:cs="Arial"/>
          <w:lang w:eastAsia="es-MX"/>
        </w:rPr>
        <w:t xml:space="preserve"> que tiene un grado de sensibilidad tal, que su revelación </w:t>
      </w:r>
      <w:r w:rsidRPr="00CB2EA8">
        <w:rPr>
          <w:rFonts w:ascii="Palatino Linotype" w:hAnsi="Palatino Linotype" w:cs="Arial"/>
        </w:rPr>
        <w:t>puede</w:t>
      </w:r>
      <w:r w:rsidRPr="00CB2EA8">
        <w:rPr>
          <w:rFonts w:ascii="Palatino Linotype" w:hAnsi="Palatino Linotype" w:cs="Arial"/>
          <w:lang w:eastAsia="es-MX"/>
        </w:rPr>
        <w:t xml:space="preserve"> poner en riesgo a las personas, las cuales, sin oponerse a lo anterior, son susceptibles de </w:t>
      </w:r>
      <w:r w:rsidRPr="00CB2EA8">
        <w:rPr>
          <w:rFonts w:ascii="Palatino Linotype" w:hAnsi="Palatino Linotype" w:cs="Arial"/>
          <w:bCs/>
          <w:szCs w:val="22"/>
        </w:rPr>
        <w:t>clasificarse</w:t>
      </w:r>
      <w:r w:rsidRPr="00CB2EA8">
        <w:rPr>
          <w:rFonts w:ascii="Palatino Linotype" w:hAnsi="Palatino Linotype" w:cs="Arial"/>
          <w:lang w:eastAsia="es-MX"/>
        </w:rPr>
        <w:t xml:space="preserve"> como confidenciales, como lo son el nombre, origen étnico o racial; características físicas; </w:t>
      </w:r>
      <w:r w:rsidRPr="00CB2EA8">
        <w:rPr>
          <w:rFonts w:ascii="Palatino Linotype" w:hAnsi="Palatino Linotype"/>
          <w:bCs/>
        </w:rPr>
        <w:t>características</w:t>
      </w:r>
      <w:r w:rsidRPr="00CB2EA8">
        <w:rPr>
          <w:rFonts w:ascii="Palatino Linotype" w:hAnsi="Palatino Linotype" w:cs="Arial"/>
          <w:lang w:eastAsia="es-MX"/>
        </w:rPr>
        <w:t xml:space="preserve">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CB2EA8">
        <w:rPr>
          <w:rFonts w:ascii="Palatino Linotype" w:eastAsia="Arial Unicode MS" w:hAnsi="Palatino Linotype" w:cs="Arial"/>
        </w:rPr>
        <w:t xml:space="preserve"> que pongan en riesgo la vida, seguridad o salud de las mismas.</w:t>
      </w:r>
    </w:p>
    <w:p w14:paraId="1D8B20F4" w14:textId="77777777" w:rsidR="00265ED2" w:rsidRPr="00CB2EA8" w:rsidRDefault="00265ED2" w:rsidP="00265ED2">
      <w:pPr>
        <w:spacing w:before="100" w:beforeAutospacing="1" w:after="100" w:afterAutospacing="1" w:line="360" w:lineRule="auto"/>
        <w:contextualSpacing/>
        <w:jc w:val="both"/>
        <w:rPr>
          <w:rFonts w:ascii="Palatino Linotype" w:hAnsi="Palatino Linotype" w:cs="Arial"/>
        </w:rPr>
      </w:pPr>
    </w:p>
    <w:p w14:paraId="1D8B20F5" w14:textId="77777777" w:rsidR="00265ED2" w:rsidRPr="00CB2EA8" w:rsidRDefault="00265ED2" w:rsidP="00265ED2">
      <w:pPr>
        <w:spacing w:before="100" w:beforeAutospacing="1" w:after="100" w:afterAutospacing="1" w:line="360" w:lineRule="auto"/>
        <w:contextualSpacing/>
        <w:jc w:val="both"/>
        <w:rPr>
          <w:rFonts w:ascii="Palatino Linotype" w:hAnsi="Palatino Linotype" w:cs="Arial"/>
        </w:rPr>
      </w:pPr>
      <w:r w:rsidRPr="00CB2EA8">
        <w:rPr>
          <w:rFonts w:ascii="Palatino Linotype" w:hAnsi="Palatino Linotype" w:cs="Arial"/>
        </w:rPr>
        <w:t xml:space="preserve">De esta manera el nombre de particulares a quienes las autoridades proporcionaron un servicio o que por otra razón aparezcan en documentos públicos, </w:t>
      </w:r>
      <w:r w:rsidRPr="00CB2EA8">
        <w:rPr>
          <w:rFonts w:ascii="Palatino Linotype" w:hAnsi="Palatino Linotype"/>
        </w:rPr>
        <w:t>se trata de</w:t>
      </w:r>
      <w:r w:rsidRPr="00CB2EA8">
        <w:rPr>
          <w:rFonts w:ascii="Palatino Linotype" w:hAnsi="Palatino Linotype" w:cs="Arial"/>
        </w:rPr>
        <w:t xml:space="preserve"> información privada que sólo les atañe a sus titulares, máxime que se trata de información que no es referente a </w:t>
      </w:r>
      <w:r w:rsidRPr="00CB2EA8">
        <w:rPr>
          <w:rFonts w:ascii="Palatino Linotype" w:hAnsi="Palatino Linotype" w:cs="Arial"/>
          <w:bCs/>
        </w:rPr>
        <w:t xml:space="preserve">servidores públicos sino de particulares y en nada abona a la transparencia ni a la rendición de cuentas, por ello debe testarse y emitir una versión publica del documento que lo contenga. </w:t>
      </w:r>
    </w:p>
    <w:p w14:paraId="1D8B20F6" w14:textId="77777777" w:rsidR="00265ED2" w:rsidRPr="00CB2EA8" w:rsidRDefault="00265ED2" w:rsidP="00265ED2">
      <w:pPr>
        <w:spacing w:before="100" w:beforeAutospacing="1" w:after="100" w:afterAutospacing="1" w:line="360" w:lineRule="auto"/>
        <w:contextualSpacing/>
        <w:jc w:val="both"/>
        <w:rPr>
          <w:rFonts w:ascii="Palatino Linotype" w:hAnsi="Palatino Linotype" w:cs="Arial"/>
        </w:rPr>
      </w:pPr>
    </w:p>
    <w:p w14:paraId="1D8B20F7" w14:textId="77777777" w:rsidR="00265ED2" w:rsidRPr="00CB2EA8" w:rsidRDefault="00265ED2" w:rsidP="00265ED2">
      <w:pPr>
        <w:spacing w:before="100" w:beforeAutospacing="1" w:after="100" w:afterAutospacing="1" w:line="360" w:lineRule="auto"/>
        <w:contextualSpacing/>
        <w:jc w:val="both"/>
        <w:rPr>
          <w:rFonts w:ascii="Palatino Linotype" w:hAnsi="Palatino Linotype" w:cs="Arial"/>
        </w:rPr>
      </w:pPr>
      <w:r w:rsidRPr="00CB2EA8">
        <w:rPr>
          <w:rFonts w:ascii="Palatino Linotype" w:hAnsi="Palatino Linotype" w:cs="Arial"/>
        </w:rPr>
        <w:lastRenderedPageBreak/>
        <w:t xml:space="preserve">Por lo tanto, la entrega de documentos en su versión pública debe acompañarse necesariamente del Acuerdo del Comité de Transparencia del </w:t>
      </w:r>
      <w:r w:rsidRPr="00CB2EA8">
        <w:rPr>
          <w:rFonts w:ascii="Palatino Linotype" w:hAnsi="Palatino Linotype" w:cs="Arial"/>
          <w:b/>
        </w:rPr>
        <w:t xml:space="preserve">SUJETO OBLIGADO </w:t>
      </w:r>
      <w:r w:rsidRPr="00CB2EA8">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4DF96BC" w14:textId="77777777" w:rsidR="00D86A2B" w:rsidRPr="00CB2EA8" w:rsidRDefault="00D86A2B" w:rsidP="00265ED2">
      <w:pPr>
        <w:spacing w:before="100" w:beforeAutospacing="1" w:after="100" w:afterAutospacing="1" w:line="360" w:lineRule="auto"/>
        <w:contextualSpacing/>
        <w:jc w:val="both"/>
        <w:rPr>
          <w:rFonts w:ascii="Palatino Linotype" w:hAnsi="Palatino Linotype" w:cs="Arial"/>
        </w:rPr>
      </w:pPr>
    </w:p>
    <w:p w14:paraId="1D8B20F8" w14:textId="401879E2" w:rsidR="00265ED2" w:rsidRPr="00CB2EA8" w:rsidRDefault="00D86A2B" w:rsidP="00D86A2B">
      <w:pPr>
        <w:autoSpaceDE w:val="0"/>
        <w:autoSpaceDN w:val="0"/>
        <w:adjustRightInd w:val="0"/>
        <w:spacing w:line="360" w:lineRule="auto"/>
        <w:ind w:right="-91"/>
        <w:jc w:val="both"/>
        <w:rPr>
          <w:rFonts w:ascii="Palatino Linotype" w:hAnsi="Palatino Linotype" w:cs="Arial"/>
          <w:lang w:eastAsia="es-CO"/>
        </w:rPr>
      </w:pPr>
      <w:r w:rsidRPr="00CB2EA8">
        <w:rPr>
          <w:rFonts w:ascii="Palatino Linotype" w:hAnsi="Palatino Linotype" w:cs="Arial"/>
          <w:lang w:eastAsia="es-CO"/>
        </w:rPr>
        <w:t xml:space="preserve">Finalmente, no se omite referir que dada la situación originada de la emergencia sanitaria causada por el Covid-19, se estima que de conformidad con el ordinal 186 de la Ley de la materia, y tomando en consideración las razones y fundamentos expresados a través de las respuestas del Sujeto obligado, así como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15 días para el cumplimiento de la presente resolución. </w:t>
      </w:r>
    </w:p>
    <w:p w14:paraId="0608A647" w14:textId="77777777" w:rsidR="00D86A2B" w:rsidRPr="00CB2EA8" w:rsidRDefault="00D86A2B" w:rsidP="00D86A2B">
      <w:pPr>
        <w:autoSpaceDE w:val="0"/>
        <w:autoSpaceDN w:val="0"/>
        <w:adjustRightInd w:val="0"/>
        <w:spacing w:line="360" w:lineRule="auto"/>
        <w:ind w:right="-91"/>
        <w:jc w:val="both"/>
      </w:pPr>
    </w:p>
    <w:p w14:paraId="1D8B20F9" w14:textId="77777777" w:rsidR="00DE0EAE" w:rsidRPr="00CB2EA8" w:rsidRDefault="00DE0EAE" w:rsidP="00DE0EAE">
      <w:pPr>
        <w:tabs>
          <w:tab w:val="left" w:pos="709"/>
        </w:tabs>
        <w:spacing w:before="100" w:beforeAutospacing="1" w:after="100" w:afterAutospacing="1" w:line="360" w:lineRule="auto"/>
        <w:ind w:right="51"/>
        <w:contextualSpacing/>
        <w:jc w:val="both"/>
        <w:rPr>
          <w:rFonts w:ascii="Palatino Linotype" w:hAnsi="Palatino Linotype"/>
          <w:color w:val="222222"/>
          <w:lang w:eastAsia="es-MX"/>
        </w:rPr>
      </w:pPr>
      <w:r w:rsidRPr="00CB2EA8">
        <w:rPr>
          <w:rFonts w:ascii="Palatino Linotype" w:hAnsi="Palatino Linotype" w:cs="Arial"/>
        </w:rPr>
        <w:lastRenderedPageBreak/>
        <w:t xml:space="preserve">En atención a las consideraciones antes señaladas, esta Ponencia Resolutora, determina que las razones o motivos de inconformidad devienen </w:t>
      </w:r>
      <w:r w:rsidRPr="00CB2EA8">
        <w:rPr>
          <w:rFonts w:ascii="Palatino Linotype" w:hAnsi="Palatino Linotype" w:cs="Arial"/>
          <w:b/>
        </w:rPr>
        <w:t>fundadas;</w:t>
      </w:r>
      <w:r w:rsidRPr="00CB2EA8">
        <w:rPr>
          <w:rFonts w:ascii="Palatino Linotype" w:hAnsi="Palatino Linotype" w:cs="Arial"/>
        </w:rPr>
        <w:t xml:space="preserve"> y suficientes para </w:t>
      </w:r>
      <w:r w:rsidRPr="00CB2EA8">
        <w:rPr>
          <w:rFonts w:ascii="Palatino Linotype" w:hAnsi="Palatino Linotype"/>
          <w:b/>
        </w:rPr>
        <w:t xml:space="preserve">REVOCAR </w:t>
      </w:r>
      <w:r w:rsidR="001C3B2B" w:rsidRPr="00CB2EA8">
        <w:rPr>
          <w:rFonts w:ascii="Palatino Linotype" w:hAnsi="Palatino Linotype"/>
        </w:rPr>
        <w:t>la respuesta a la solicitud</w:t>
      </w:r>
      <w:r w:rsidR="001C3B2B" w:rsidRPr="00CB2EA8">
        <w:rPr>
          <w:rFonts w:ascii="Palatino Linotype" w:hAnsi="Palatino Linotype"/>
          <w:b/>
        </w:rPr>
        <w:t xml:space="preserve"> 00319/IXTASAL/IP/2021</w:t>
      </w:r>
      <w:r w:rsidRPr="00CB2EA8">
        <w:rPr>
          <w:rFonts w:ascii="Palatino Linotype" w:hAnsi="Palatino Linotype"/>
          <w:b/>
        </w:rPr>
        <w:t>,</w:t>
      </w:r>
      <w:r w:rsidRPr="00CB2EA8">
        <w:rPr>
          <w:rFonts w:ascii="Palatino Linotype" w:hAnsi="Palatino Linotype"/>
        </w:rPr>
        <w:t xml:space="preserve"> en términos de lo dispuesto en el artículo 186, fracción III de la Ley de Transparencia y Acceso a la </w:t>
      </w:r>
      <w:r w:rsidRPr="00CB2EA8">
        <w:rPr>
          <w:rFonts w:ascii="Palatino Linotype" w:hAnsi="Palatino Linotype" w:cs="Arial"/>
        </w:rPr>
        <w:t>Información</w:t>
      </w:r>
      <w:r w:rsidRPr="00CB2EA8">
        <w:rPr>
          <w:rFonts w:ascii="Palatino Linotype" w:hAnsi="Palatino Linotype"/>
        </w:rPr>
        <w:t xml:space="preserve"> Pública del Estado de México y Municipios, y ordenar la entrega en </w:t>
      </w:r>
      <w:r w:rsidRPr="00CB2EA8">
        <w:rPr>
          <w:rFonts w:ascii="Palatino Linotype" w:hAnsi="Palatino Linotype"/>
          <w:b/>
        </w:rPr>
        <w:t xml:space="preserve">versión pública </w:t>
      </w:r>
      <w:r w:rsidRPr="00CB2EA8">
        <w:rPr>
          <w:rFonts w:ascii="Palatino Linotype" w:hAnsi="Palatino Linotype"/>
        </w:rPr>
        <w:t>de</w:t>
      </w:r>
      <w:r w:rsidRPr="00CB2EA8">
        <w:rPr>
          <w:rFonts w:ascii="Palatino Linotype" w:hAnsi="Palatino Linotype"/>
          <w:b/>
        </w:rPr>
        <w:t xml:space="preserve"> </w:t>
      </w:r>
      <w:r w:rsidR="001C3B2B" w:rsidRPr="00CB2EA8">
        <w:rPr>
          <w:rFonts w:ascii="Palatino Linotype" w:hAnsi="Palatino Linotype"/>
          <w:color w:val="222222"/>
          <w:lang w:eastAsia="es-MX"/>
        </w:rPr>
        <w:t>las resoluciones notificadas por el Instituto de Transparencia, Acceso a la Información Pública y Protección de Datos Personales del Estado de México y Municipios mediante las cuales se modifique o revoque su respuesta, del 1 de enero al 11 de marzo de 2021</w:t>
      </w:r>
      <w:r w:rsidR="00301C1B" w:rsidRPr="00CB2EA8">
        <w:rPr>
          <w:rFonts w:ascii="Palatino Linotype" w:hAnsi="Palatino Linotype"/>
          <w:color w:val="222222"/>
          <w:lang w:eastAsia="es-MX"/>
        </w:rPr>
        <w:t xml:space="preserve">. </w:t>
      </w:r>
    </w:p>
    <w:p w14:paraId="1D8B20FA" w14:textId="77777777" w:rsidR="00301C1B" w:rsidRPr="00CB2EA8" w:rsidRDefault="00301C1B" w:rsidP="00DE0EAE">
      <w:pPr>
        <w:tabs>
          <w:tab w:val="left" w:pos="709"/>
        </w:tabs>
        <w:spacing w:before="100" w:beforeAutospacing="1" w:after="100" w:afterAutospacing="1" w:line="360" w:lineRule="auto"/>
        <w:ind w:right="51"/>
        <w:contextualSpacing/>
        <w:jc w:val="both"/>
        <w:rPr>
          <w:rFonts w:ascii="Palatino Linotype" w:hAnsi="Palatino Linotype" w:cs="Arial"/>
          <w:b/>
        </w:rPr>
      </w:pPr>
    </w:p>
    <w:p w14:paraId="1D8B20FB" w14:textId="77777777" w:rsidR="00C33FD9" w:rsidRPr="00CB2EA8" w:rsidRDefault="00C33FD9" w:rsidP="00C33FD9">
      <w:pPr>
        <w:spacing w:before="100" w:beforeAutospacing="1" w:after="100" w:afterAutospacing="1" w:line="360" w:lineRule="auto"/>
        <w:jc w:val="both"/>
        <w:rPr>
          <w:rFonts w:ascii="Palatino Linotype" w:eastAsia="Calibri" w:hAnsi="Palatino Linotype" w:cs="Arial"/>
        </w:rPr>
      </w:pPr>
      <w:r w:rsidRPr="00CB2EA8">
        <w:rPr>
          <w:rFonts w:ascii="Palatino Linotype" w:eastAsia="Calibri" w:hAnsi="Palatino Linotype" w:cs="Arial"/>
        </w:rPr>
        <w:t xml:space="preserve">Así, con fundamento en lo prescrito en los artículos 5 párrafos </w:t>
      </w:r>
      <w:r w:rsidR="001C3B2B" w:rsidRPr="00CB2EA8">
        <w:rPr>
          <w:rFonts w:ascii="Palatino Linotype" w:hAnsi="Palatino Linotype"/>
        </w:rPr>
        <w:t>trigésimo</w:t>
      </w:r>
      <w:r w:rsidRPr="00CB2EA8">
        <w:rPr>
          <w:rFonts w:ascii="Palatino Linotype" w:hAnsi="Palatino Linotype"/>
        </w:rPr>
        <w:t xml:space="preserve">, </w:t>
      </w:r>
      <w:r w:rsidR="00D34ED8" w:rsidRPr="00CB2EA8">
        <w:rPr>
          <w:rFonts w:ascii="Palatino Linotype" w:hAnsi="Palatino Linotype"/>
        </w:rPr>
        <w:t>trigésimo</w:t>
      </w:r>
      <w:r w:rsidR="001C3B2B" w:rsidRPr="00CB2EA8">
        <w:rPr>
          <w:rFonts w:ascii="Palatino Linotype" w:hAnsi="Palatino Linotype"/>
        </w:rPr>
        <w:t xml:space="preserve"> primero </w:t>
      </w:r>
      <w:r w:rsidRPr="00CB2EA8">
        <w:rPr>
          <w:rFonts w:ascii="Palatino Linotype" w:hAnsi="Palatino Linotype"/>
        </w:rPr>
        <w:t xml:space="preserve">y </w:t>
      </w:r>
      <w:r w:rsidR="001C3B2B" w:rsidRPr="00CB2EA8">
        <w:rPr>
          <w:rFonts w:ascii="Palatino Linotype" w:hAnsi="Palatino Linotype"/>
        </w:rPr>
        <w:t>trigésimo segundo</w:t>
      </w:r>
      <w:r w:rsidRPr="00CB2EA8">
        <w:rPr>
          <w:rFonts w:ascii="Palatino Linotype" w:hAnsi="Palatino Linotype"/>
        </w:rPr>
        <w:t xml:space="preserve">, fracciones IV y V </w:t>
      </w:r>
      <w:r w:rsidRPr="00CB2EA8">
        <w:rPr>
          <w:rFonts w:ascii="Palatino Linotype" w:eastAsia="Calibri" w:hAnsi="Palatino Linotype" w:cs="Arial"/>
        </w:rPr>
        <w:t xml:space="preserve">de la Constitución Política del Estado Libre y Soberano de México; </w:t>
      </w:r>
      <w:r w:rsidRPr="00CB2EA8">
        <w:rPr>
          <w:rFonts w:ascii="Palatino Linotype" w:hAnsi="Palatino Linotype" w:cs="Arial"/>
        </w:rPr>
        <w:t>2 fracción II, 29, 36 fracciones I y II, 176, 178, 179, 181, 185 fracción I, 186 y 188</w:t>
      </w:r>
      <w:r w:rsidRPr="00CB2EA8">
        <w:rPr>
          <w:rFonts w:ascii="Palatino Linotype" w:eastAsia="Calibri" w:hAnsi="Palatino Linotype" w:cs="Arial"/>
        </w:rPr>
        <w:t xml:space="preserve"> de la Ley de Transparencia y Acceso a la Información Pública del Estado de México y Municipios, este Pleno: </w:t>
      </w:r>
    </w:p>
    <w:p w14:paraId="1D8B20FC" w14:textId="77777777" w:rsidR="00C33FD9" w:rsidRPr="00CB2EA8" w:rsidRDefault="00C33FD9" w:rsidP="00C33FD9">
      <w:pPr>
        <w:spacing w:before="240" w:after="120" w:line="360" w:lineRule="auto"/>
        <w:jc w:val="center"/>
        <w:rPr>
          <w:rFonts w:ascii="Palatino Linotype" w:hAnsi="Palatino Linotype" w:cs="Arial"/>
          <w:b/>
          <w:bCs/>
          <w:spacing w:val="40"/>
          <w:sz w:val="28"/>
          <w:szCs w:val="28"/>
          <w:lang w:val="es-ES_tradnl"/>
        </w:rPr>
      </w:pPr>
      <w:r w:rsidRPr="00CB2EA8">
        <w:rPr>
          <w:rFonts w:ascii="Palatino Linotype" w:hAnsi="Palatino Linotype" w:cs="Arial"/>
          <w:b/>
          <w:bCs/>
          <w:spacing w:val="40"/>
          <w:sz w:val="28"/>
          <w:szCs w:val="28"/>
          <w:lang w:val="es-ES_tradnl"/>
        </w:rPr>
        <w:t>RESUELVE</w:t>
      </w:r>
    </w:p>
    <w:p w14:paraId="1D8B20FD" w14:textId="512BF0E2" w:rsidR="00C33FD9" w:rsidRPr="00CB2EA8"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CB2EA8">
        <w:rPr>
          <w:rFonts w:ascii="Palatino Linotype" w:hAnsi="Palatino Linotype" w:cs="Arial"/>
          <w:b/>
          <w:sz w:val="28"/>
          <w:szCs w:val="28"/>
        </w:rPr>
        <w:t xml:space="preserve">PRIMERO. </w:t>
      </w:r>
      <w:r w:rsidRPr="00CB2EA8">
        <w:rPr>
          <w:rFonts w:ascii="Palatino Linotype" w:hAnsi="Palatino Linotype" w:cs="Arial"/>
        </w:rPr>
        <w:t xml:space="preserve">Resultan </w:t>
      </w:r>
      <w:r w:rsidR="0006116C" w:rsidRPr="00CB2EA8">
        <w:rPr>
          <w:rFonts w:ascii="Palatino Linotype" w:hAnsi="Palatino Linotype" w:cs="Arial"/>
          <w:b/>
        </w:rPr>
        <w:t>parcialmente</w:t>
      </w:r>
      <w:r w:rsidR="0006116C" w:rsidRPr="00CB2EA8">
        <w:rPr>
          <w:rFonts w:ascii="Palatino Linotype" w:hAnsi="Palatino Linotype" w:cs="Arial"/>
        </w:rPr>
        <w:t xml:space="preserve"> </w:t>
      </w:r>
      <w:r w:rsidRPr="00CB2EA8">
        <w:rPr>
          <w:rFonts w:ascii="Palatino Linotype" w:hAnsi="Palatino Linotype" w:cs="Arial"/>
          <w:b/>
        </w:rPr>
        <w:t>fundadas</w:t>
      </w:r>
      <w:r w:rsidRPr="00CB2EA8">
        <w:rPr>
          <w:rFonts w:ascii="Palatino Linotype" w:hAnsi="Palatino Linotype" w:cs="Arial"/>
        </w:rPr>
        <w:t xml:space="preserve"> las razones o motivos de inconformidad planteadas por </w:t>
      </w:r>
      <w:r w:rsidRPr="00CB2EA8">
        <w:rPr>
          <w:rFonts w:ascii="Palatino Linotype" w:hAnsi="Palatino Linotype" w:cs="Arial"/>
          <w:b/>
        </w:rPr>
        <w:t>L</w:t>
      </w:r>
      <w:r w:rsidR="001C3B2B" w:rsidRPr="00CB2EA8">
        <w:rPr>
          <w:rFonts w:ascii="Palatino Linotype" w:hAnsi="Palatino Linotype" w:cs="Arial"/>
          <w:b/>
        </w:rPr>
        <w:t>A</w:t>
      </w:r>
      <w:r w:rsidRPr="00CB2EA8">
        <w:rPr>
          <w:rFonts w:ascii="Palatino Linotype" w:hAnsi="Palatino Linotype" w:cs="Arial"/>
          <w:b/>
        </w:rPr>
        <w:t xml:space="preserve"> RECURRENTE</w:t>
      </w:r>
      <w:r w:rsidRPr="00CB2EA8">
        <w:rPr>
          <w:rFonts w:ascii="Palatino Linotype" w:hAnsi="Palatino Linotype" w:cs="Arial"/>
        </w:rPr>
        <w:t xml:space="preserve">, en el recurso de revisión </w:t>
      </w:r>
      <w:r w:rsidR="001C3B2B" w:rsidRPr="00CB2EA8">
        <w:rPr>
          <w:rFonts w:ascii="Palatino Linotype" w:hAnsi="Palatino Linotype" w:cs="Arial"/>
          <w:b/>
        </w:rPr>
        <w:t>01437</w:t>
      </w:r>
      <w:r w:rsidR="004A2CBC" w:rsidRPr="00CB2EA8">
        <w:rPr>
          <w:rFonts w:ascii="Palatino Linotype" w:hAnsi="Palatino Linotype" w:cs="Arial"/>
          <w:b/>
        </w:rPr>
        <w:t>/INFOEM/IP/RR/202</w:t>
      </w:r>
      <w:r w:rsidR="001C3B2B" w:rsidRPr="00CB2EA8">
        <w:rPr>
          <w:rFonts w:ascii="Palatino Linotype" w:hAnsi="Palatino Linotype" w:cs="Arial"/>
          <w:b/>
        </w:rPr>
        <w:t>1</w:t>
      </w:r>
      <w:r w:rsidRPr="00CB2EA8">
        <w:rPr>
          <w:rFonts w:ascii="Palatino Linotype" w:hAnsi="Palatino Linotype" w:cs="Arial"/>
          <w:b/>
        </w:rPr>
        <w:t xml:space="preserve"> </w:t>
      </w:r>
      <w:r w:rsidRPr="00CB2EA8">
        <w:rPr>
          <w:rFonts w:ascii="Palatino Linotype" w:hAnsi="Palatino Linotype" w:cs="Arial"/>
        </w:rPr>
        <w:t xml:space="preserve">en términos del Considerando </w:t>
      </w:r>
      <w:r w:rsidRPr="00CB2EA8">
        <w:rPr>
          <w:rFonts w:ascii="Palatino Linotype" w:hAnsi="Palatino Linotype" w:cs="Arial"/>
          <w:b/>
        </w:rPr>
        <w:t>QUINTO</w:t>
      </w:r>
      <w:r w:rsidRPr="00CB2EA8">
        <w:rPr>
          <w:rFonts w:ascii="Palatino Linotype" w:hAnsi="Palatino Linotype" w:cs="Arial"/>
        </w:rPr>
        <w:t xml:space="preserve"> de la presente resolución.</w:t>
      </w:r>
    </w:p>
    <w:p w14:paraId="1D8B20FE" w14:textId="77777777" w:rsidR="00C33FD9" w:rsidRPr="00CB2EA8"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CB2EA8">
        <w:rPr>
          <w:rFonts w:ascii="Palatino Linotype" w:hAnsi="Palatino Linotype" w:cs="Arial"/>
          <w:b/>
          <w:sz w:val="28"/>
          <w:szCs w:val="28"/>
        </w:rPr>
        <w:t>SEGUNDO</w:t>
      </w:r>
      <w:r w:rsidRPr="00CB2EA8">
        <w:rPr>
          <w:rFonts w:ascii="Palatino Linotype" w:hAnsi="Palatino Linotype" w:cs="Arial"/>
          <w:sz w:val="28"/>
          <w:szCs w:val="28"/>
        </w:rPr>
        <w:t>.</w:t>
      </w:r>
      <w:r w:rsidRPr="00CB2EA8">
        <w:rPr>
          <w:rFonts w:ascii="Palatino Linotype" w:hAnsi="Palatino Linotype" w:cs="Arial"/>
        </w:rPr>
        <w:t xml:space="preserve"> Se </w:t>
      </w:r>
      <w:r w:rsidR="00115EDF" w:rsidRPr="00CB2EA8">
        <w:rPr>
          <w:rFonts w:ascii="Palatino Linotype" w:hAnsi="Palatino Linotype" w:cs="Arial"/>
          <w:b/>
        </w:rPr>
        <w:t xml:space="preserve">REVOCA </w:t>
      </w:r>
      <w:r w:rsidRPr="00CB2EA8">
        <w:rPr>
          <w:rFonts w:ascii="Palatino Linotype" w:hAnsi="Palatino Linotype" w:cs="Arial"/>
        </w:rPr>
        <w:t xml:space="preserve">la respuesta otorgada por </w:t>
      </w:r>
      <w:r w:rsidRPr="00CB2EA8">
        <w:rPr>
          <w:rFonts w:ascii="Palatino Linotype" w:hAnsi="Palatino Linotype" w:cs="Arial"/>
          <w:b/>
        </w:rPr>
        <w:t xml:space="preserve">EL SUJETO OBLIGADO </w:t>
      </w:r>
      <w:r w:rsidRPr="00CB2EA8">
        <w:rPr>
          <w:rFonts w:ascii="Palatino Linotype" w:hAnsi="Palatino Linotype" w:cs="Arial"/>
          <w:bCs/>
        </w:rPr>
        <w:t xml:space="preserve">y se </w:t>
      </w:r>
      <w:r w:rsidRPr="00CB2EA8">
        <w:rPr>
          <w:rFonts w:ascii="Palatino Linotype" w:hAnsi="Palatino Linotype" w:cs="Arial"/>
          <w:b/>
          <w:bCs/>
        </w:rPr>
        <w:t xml:space="preserve">ordena </w:t>
      </w:r>
      <w:r w:rsidRPr="00CB2EA8">
        <w:rPr>
          <w:rFonts w:ascii="Palatino Linotype" w:hAnsi="Palatino Linotype" w:cs="Arial"/>
          <w:bCs/>
        </w:rPr>
        <w:t>haga entrega a</w:t>
      </w:r>
      <w:r w:rsidR="001C3B2B" w:rsidRPr="00CB2EA8">
        <w:rPr>
          <w:rFonts w:ascii="Palatino Linotype" w:hAnsi="Palatino Linotype" w:cs="Arial"/>
          <w:bCs/>
        </w:rPr>
        <w:t xml:space="preserve"> </w:t>
      </w:r>
      <w:r w:rsidR="001C3B2B" w:rsidRPr="00CB2EA8">
        <w:rPr>
          <w:rFonts w:ascii="Palatino Linotype" w:hAnsi="Palatino Linotype" w:cs="Arial"/>
          <w:b/>
          <w:bCs/>
        </w:rPr>
        <w:t>LA</w:t>
      </w:r>
      <w:r w:rsidRPr="00CB2EA8">
        <w:rPr>
          <w:rFonts w:ascii="Palatino Linotype" w:hAnsi="Palatino Linotype" w:cs="Arial"/>
          <w:bCs/>
        </w:rPr>
        <w:t xml:space="preserve"> </w:t>
      </w:r>
      <w:r w:rsidRPr="00CB2EA8">
        <w:rPr>
          <w:rFonts w:ascii="Palatino Linotype" w:hAnsi="Palatino Linotype" w:cs="Arial"/>
          <w:b/>
          <w:bCs/>
        </w:rPr>
        <w:t>RECURRENTE</w:t>
      </w:r>
      <w:r w:rsidRPr="00CB2EA8">
        <w:rPr>
          <w:rFonts w:ascii="Palatino Linotype" w:hAnsi="Palatino Linotype" w:cs="Arial"/>
          <w:bCs/>
        </w:rPr>
        <w:t>, en términos del Considerando</w:t>
      </w:r>
      <w:r w:rsidRPr="00CB2EA8">
        <w:rPr>
          <w:rFonts w:ascii="Palatino Linotype" w:hAnsi="Palatino Linotype" w:cs="Arial"/>
          <w:b/>
          <w:bCs/>
        </w:rPr>
        <w:t xml:space="preserve"> QUINTO </w:t>
      </w:r>
      <w:r w:rsidRPr="00CB2EA8">
        <w:rPr>
          <w:rFonts w:ascii="Palatino Linotype" w:hAnsi="Palatino Linotype" w:cs="Arial"/>
          <w:bCs/>
        </w:rPr>
        <w:lastRenderedPageBreak/>
        <w:t xml:space="preserve">de esta resolución, en </w:t>
      </w:r>
      <w:r w:rsidRPr="00CB2EA8">
        <w:rPr>
          <w:rFonts w:ascii="Palatino Linotype" w:hAnsi="Palatino Linotype" w:cs="Arial"/>
          <w:b/>
          <w:bCs/>
        </w:rPr>
        <w:t>versión pública</w:t>
      </w:r>
      <w:r w:rsidR="00115EDF" w:rsidRPr="00CB2EA8">
        <w:rPr>
          <w:rFonts w:ascii="Palatino Linotype" w:hAnsi="Palatino Linotype" w:cs="Arial"/>
          <w:bCs/>
        </w:rPr>
        <w:t>,</w:t>
      </w:r>
      <w:r w:rsidRPr="00CB2EA8">
        <w:rPr>
          <w:rFonts w:ascii="Palatino Linotype" w:hAnsi="Palatino Linotype" w:cs="Arial"/>
          <w:b/>
          <w:bCs/>
        </w:rPr>
        <w:t xml:space="preserve"> </w:t>
      </w:r>
      <w:r w:rsidRPr="00CB2EA8">
        <w:rPr>
          <w:rFonts w:ascii="Palatino Linotype" w:hAnsi="Palatino Linotype" w:cs="Arial"/>
          <w:bCs/>
        </w:rPr>
        <w:t>vía</w:t>
      </w:r>
      <w:r w:rsidR="005C6CA0" w:rsidRPr="00CB2EA8">
        <w:rPr>
          <w:rFonts w:ascii="Palatino Linotype" w:hAnsi="Palatino Linotype" w:cs="Arial"/>
          <w:b/>
          <w:bCs/>
        </w:rPr>
        <w:t xml:space="preserve"> SAIMEX, </w:t>
      </w:r>
      <w:r w:rsidRPr="00CB2EA8">
        <w:rPr>
          <w:rFonts w:ascii="Palatino Linotype" w:hAnsi="Palatino Linotype" w:cs="Arial"/>
          <w:bCs/>
        </w:rPr>
        <w:t>de lo siguiente</w:t>
      </w:r>
      <w:r w:rsidRPr="00CB2EA8">
        <w:rPr>
          <w:rFonts w:ascii="Palatino Linotype" w:hAnsi="Palatino Linotype" w:cs="Arial"/>
          <w:b/>
          <w:bCs/>
        </w:rPr>
        <w:t>:</w:t>
      </w:r>
    </w:p>
    <w:p w14:paraId="1D8B20FF" w14:textId="29BA4F6B" w:rsidR="00115EDF" w:rsidRPr="00CB2EA8" w:rsidRDefault="00C33FD9" w:rsidP="00C33FD9">
      <w:pPr>
        <w:spacing w:before="100" w:beforeAutospacing="1" w:after="100" w:afterAutospacing="1"/>
        <w:ind w:left="851" w:right="902" w:hanging="142"/>
        <w:jc w:val="both"/>
        <w:rPr>
          <w:rFonts w:ascii="Palatino Linotype" w:hAnsi="Palatino Linotype"/>
          <w:bCs/>
          <w:i/>
          <w:sz w:val="22"/>
          <w:szCs w:val="22"/>
        </w:rPr>
      </w:pPr>
      <w:r w:rsidRPr="00CB2EA8">
        <w:rPr>
          <w:rFonts w:ascii="Palatino Linotype" w:hAnsi="Palatino Linotype"/>
          <w:bCs/>
          <w:i/>
          <w:sz w:val="22"/>
          <w:szCs w:val="22"/>
        </w:rPr>
        <w:t>“</w:t>
      </w:r>
      <w:r w:rsidR="001C3B2B" w:rsidRPr="00CB2EA8">
        <w:rPr>
          <w:rFonts w:ascii="Palatino Linotype" w:hAnsi="Palatino Linotype"/>
          <w:bCs/>
          <w:i/>
          <w:sz w:val="22"/>
          <w:szCs w:val="22"/>
        </w:rPr>
        <w:t xml:space="preserve">Las resoluciones notificadas por el Instituto de Transparencia, Acceso a la Información Pública y Protección de Datos Personales del Estado de México y Municipios mediante las cuales se modifique o revoque </w:t>
      </w:r>
      <w:r w:rsidR="00B331BB" w:rsidRPr="00CB2EA8">
        <w:rPr>
          <w:rFonts w:ascii="Palatino Linotype" w:hAnsi="Palatino Linotype"/>
          <w:bCs/>
          <w:i/>
          <w:sz w:val="22"/>
          <w:szCs w:val="22"/>
        </w:rPr>
        <w:t xml:space="preserve">la respuesta del </w:t>
      </w:r>
      <w:r w:rsidR="00B331BB" w:rsidRPr="00CB2EA8">
        <w:rPr>
          <w:rFonts w:ascii="Palatino Linotype" w:hAnsi="Palatino Linotype"/>
          <w:b/>
          <w:bCs/>
          <w:i/>
          <w:sz w:val="22"/>
          <w:szCs w:val="22"/>
        </w:rPr>
        <w:t>SUJETO OBLIGADO</w:t>
      </w:r>
      <w:r w:rsidR="001C3B2B" w:rsidRPr="00CB2EA8">
        <w:rPr>
          <w:rFonts w:ascii="Palatino Linotype" w:hAnsi="Palatino Linotype"/>
          <w:bCs/>
          <w:i/>
          <w:sz w:val="22"/>
          <w:szCs w:val="22"/>
        </w:rPr>
        <w:t xml:space="preserve">, </w:t>
      </w:r>
      <w:r w:rsidR="00B331BB" w:rsidRPr="00CB2EA8">
        <w:rPr>
          <w:rFonts w:ascii="Palatino Linotype" w:hAnsi="Palatino Linotype"/>
          <w:bCs/>
          <w:i/>
          <w:sz w:val="22"/>
          <w:szCs w:val="22"/>
        </w:rPr>
        <w:t xml:space="preserve">durante el periodo </w:t>
      </w:r>
      <w:r w:rsidR="001C3B2B" w:rsidRPr="00CB2EA8">
        <w:rPr>
          <w:rFonts w:ascii="Palatino Linotype" w:hAnsi="Palatino Linotype"/>
          <w:bCs/>
          <w:i/>
          <w:sz w:val="22"/>
          <w:szCs w:val="22"/>
        </w:rPr>
        <w:t>del 1 de enero al 11 de marzo de 2021</w:t>
      </w:r>
      <w:r w:rsidR="00B331BB" w:rsidRPr="00CB2EA8">
        <w:rPr>
          <w:rFonts w:ascii="Palatino Linotype" w:hAnsi="Palatino Linotype"/>
          <w:bCs/>
          <w:i/>
          <w:sz w:val="22"/>
          <w:szCs w:val="22"/>
        </w:rPr>
        <w:t xml:space="preserve">. </w:t>
      </w:r>
    </w:p>
    <w:p w14:paraId="1D8B2101" w14:textId="074D9F89" w:rsidR="00C33FD9" w:rsidRPr="00CB2EA8" w:rsidRDefault="00C33FD9" w:rsidP="00C33FD9">
      <w:pPr>
        <w:spacing w:before="100" w:beforeAutospacing="1" w:after="100" w:afterAutospacing="1"/>
        <w:ind w:left="851" w:right="902"/>
        <w:jc w:val="both"/>
        <w:rPr>
          <w:rFonts w:ascii="Palatino Linotype" w:hAnsi="Palatino Linotype"/>
          <w:bCs/>
          <w:i/>
          <w:sz w:val="22"/>
          <w:szCs w:val="22"/>
        </w:rPr>
      </w:pPr>
      <w:r w:rsidRPr="00CB2EA8">
        <w:rPr>
          <w:rFonts w:ascii="Palatino Linotype" w:hAnsi="Palatino Linotype"/>
          <w:bCs/>
          <w:i/>
          <w:sz w:val="22"/>
          <w:szCs w:val="22"/>
        </w:rPr>
        <w:t xml:space="preserve">Debiendo notificar al </w:t>
      </w:r>
      <w:r w:rsidRPr="00CB2EA8">
        <w:rPr>
          <w:rFonts w:ascii="Palatino Linotype" w:hAnsi="Palatino Linotype"/>
          <w:b/>
          <w:bCs/>
          <w:i/>
          <w:sz w:val="22"/>
          <w:szCs w:val="22"/>
        </w:rPr>
        <w:t>RECURRENTE</w:t>
      </w:r>
      <w:r w:rsidRPr="00CB2EA8">
        <w:rPr>
          <w:rFonts w:ascii="Palatino Linotype" w:hAnsi="Palatino Linotype"/>
          <w:bCs/>
          <w:i/>
          <w:sz w:val="22"/>
          <w:szCs w:val="22"/>
        </w:rPr>
        <w:t xml:space="preserve"> el Acuerdo de Clasificación de la información que emita el Comité de Transparencia con motivo de la versión pública.”</w:t>
      </w:r>
    </w:p>
    <w:p w14:paraId="1D8B2102" w14:textId="266D0163" w:rsidR="00C33FD9" w:rsidRPr="00CB2EA8"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B2EA8">
        <w:rPr>
          <w:rFonts w:ascii="Palatino Linotype" w:hAnsi="Palatino Linotype" w:cs="Arial"/>
          <w:b/>
          <w:sz w:val="28"/>
          <w:szCs w:val="28"/>
        </w:rPr>
        <w:t xml:space="preserve">TERCERO. </w:t>
      </w:r>
      <w:r w:rsidRPr="00CB2EA8">
        <w:rPr>
          <w:rFonts w:ascii="Palatino Linotype" w:hAnsi="Palatino Linotype" w:cs="Arial"/>
          <w:b/>
        </w:rPr>
        <w:t>Notifíquese</w:t>
      </w:r>
      <w:r w:rsidRPr="00CB2EA8">
        <w:rPr>
          <w:rFonts w:ascii="Palatino Linotype" w:hAnsi="Palatino Linotype" w:cs="Arial"/>
        </w:rPr>
        <w:t xml:space="preserve"> la presente resolución a</w:t>
      </w:r>
      <w:r w:rsidR="0006116C" w:rsidRPr="00CB2EA8">
        <w:rPr>
          <w:rFonts w:ascii="Palatino Linotype" w:hAnsi="Palatino Linotype" w:cs="Arial"/>
        </w:rPr>
        <w:t xml:space="preserve"> </w:t>
      </w:r>
      <w:r w:rsidRPr="00CB2EA8">
        <w:rPr>
          <w:rFonts w:ascii="Palatino Linotype" w:hAnsi="Palatino Linotype" w:cs="Arial"/>
        </w:rPr>
        <w:t>l</w:t>
      </w:r>
      <w:r w:rsidR="0006116C" w:rsidRPr="00CB2EA8">
        <w:rPr>
          <w:rFonts w:ascii="Palatino Linotype" w:hAnsi="Palatino Linotype" w:cs="Arial"/>
        </w:rPr>
        <w:t>a</w:t>
      </w:r>
      <w:r w:rsidRPr="00CB2EA8">
        <w:rPr>
          <w:rFonts w:ascii="Palatino Linotype" w:hAnsi="Palatino Linotype" w:cs="Arial"/>
        </w:rPr>
        <w:t xml:space="preserve"> Titular de la Unidad de Transparencia del </w:t>
      </w:r>
      <w:r w:rsidRPr="00CB2EA8">
        <w:rPr>
          <w:rFonts w:ascii="Palatino Linotype" w:hAnsi="Palatino Linotype" w:cs="Arial"/>
          <w:b/>
        </w:rPr>
        <w:t>SUJETO OBLIGADO</w:t>
      </w:r>
      <w:r w:rsidRPr="00CB2EA8">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w:t>
      </w:r>
      <w:r w:rsidR="00B331BB" w:rsidRPr="00CB2EA8">
        <w:rPr>
          <w:rFonts w:ascii="Palatino Linotype" w:hAnsi="Palatino Linotype" w:cs="Arial"/>
        </w:rPr>
        <w:t xml:space="preserve">quince </w:t>
      </w:r>
      <w:r w:rsidRPr="00CB2EA8">
        <w:rPr>
          <w:rFonts w:ascii="Palatino Linotype" w:hAnsi="Palatino Linotype" w:cs="Arial"/>
        </w:rPr>
        <w:t>días hábiles, debiendo informar a este Instituto, en un plazo de tres días hábiles siguientes, sobre el cumplimiento dado a la presente resolución.</w:t>
      </w:r>
    </w:p>
    <w:p w14:paraId="1D8B2103" w14:textId="77777777" w:rsidR="002A6046" w:rsidRPr="00CB2EA8" w:rsidRDefault="004A2CBC" w:rsidP="00C33FD9">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CB2EA8">
        <w:rPr>
          <w:rFonts w:ascii="Palatino Linotype" w:hAnsi="Palatino Linotype" w:cs="Arial"/>
          <w:b/>
          <w:sz w:val="28"/>
          <w:lang w:val="es-ES_tradnl"/>
        </w:rPr>
        <w:t xml:space="preserve">CUARTO. </w:t>
      </w:r>
      <w:r w:rsidR="002A6046" w:rsidRPr="00CB2EA8">
        <w:rPr>
          <w:rFonts w:ascii="Palatino Linotype" w:hAnsi="Palatino Linotype" w:cs="Arial"/>
          <w:szCs w:val="28"/>
        </w:rPr>
        <w:t xml:space="preserve">Con fundamento en el artículo 198 de la Ley de Transparencia y Acceso a la Información Pública del Estado de México y Municipios, se apercibe al </w:t>
      </w:r>
      <w:r w:rsidR="002A6046" w:rsidRPr="00CB2EA8">
        <w:rPr>
          <w:rFonts w:ascii="Palatino Linotype" w:hAnsi="Palatino Linotype" w:cs="Arial"/>
          <w:b/>
          <w:szCs w:val="28"/>
        </w:rPr>
        <w:t>SUJETO OBLIGADO</w:t>
      </w:r>
      <w:r w:rsidR="002A6046" w:rsidRPr="00CB2EA8">
        <w:rPr>
          <w:rFonts w:ascii="Palatino Linotype" w:hAnsi="Palatino Linotype" w:cs="Arial"/>
          <w:szCs w:val="28"/>
        </w:rPr>
        <w:t xml:space="preserve"> que, en caso de negarse a cumplir la presente resolución o hacerlo de manera parcial se actuará de conformidad con lo previsto en los artículos 213, 214, 216 y 217 de dicha Ley.</w:t>
      </w:r>
    </w:p>
    <w:p w14:paraId="1D8B2104" w14:textId="77777777" w:rsidR="00C33FD9" w:rsidRPr="00CB2EA8" w:rsidRDefault="004A2CBC" w:rsidP="00C33FD9">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CB2EA8">
        <w:rPr>
          <w:rFonts w:ascii="Palatino Linotype" w:hAnsi="Palatino Linotype" w:cs="Arial"/>
          <w:b/>
          <w:sz w:val="28"/>
          <w:lang w:val="es-ES_tradnl"/>
        </w:rPr>
        <w:t>QUINTO</w:t>
      </w:r>
      <w:r w:rsidR="00C33FD9" w:rsidRPr="00CB2EA8">
        <w:rPr>
          <w:rFonts w:ascii="Palatino Linotype" w:hAnsi="Palatino Linotype" w:cs="Arial"/>
          <w:b/>
          <w:sz w:val="28"/>
          <w:lang w:val="es-ES_tradnl"/>
        </w:rPr>
        <w:t xml:space="preserve">. </w:t>
      </w:r>
      <w:r w:rsidR="00C33FD9" w:rsidRPr="00CB2EA8">
        <w:rPr>
          <w:rFonts w:ascii="Palatino Linotype" w:hAnsi="Palatino Linotype"/>
          <w:b/>
          <w:bCs/>
          <w:color w:val="222222"/>
          <w:lang w:eastAsia="es-MX"/>
        </w:rPr>
        <w:t>Notifíquese</w:t>
      </w:r>
      <w:r w:rsidR="00C33FD9" w:rsidRPr="00CB2EA8">
        <w:rPr>
          <w:rFonts w:ascii="Palatino Linotype" w:hAnsi="Palatino Linotype"/>
          <w:color w:val="222222"/>
          <w:lang w:eastAsia="es-MX"/>
        </w:rPr>
        <w:t xml:space="preserve"> a</w:t>
      </w:r>
      <w:r w:rsidR="001C3B2B" w:rsidRPr="00CB2EA8">
        <w:rPr>
          <w:rFonts w:ascii="Palatino Linotype" w:hAnsi="Palatino Linotype"/>
          <w:color w:val="222222"/>
          <w:lang w:eastAsia="es-MX"/>
        </w:rPr>
        <w:t xml:space="preserve"> </w:t>
      </w:r>
      <w:r w:rsidR="001C3B2B" w:rsidRPr="00CB2EA8">
        <w:rPr>
          <w:rFonts w:ascii="Palatino Linotype" w:hAnsi="Palatino Linotype"/>
          <w:b/>
          <w:color w:val="222222"/>
          <w:lang w:eastAsia="es-MX"/>
        </w:rPr>
        <w:t>LA</w:t>
      </w:r>
      <w:r w:rsidR="00C33FD9" w:rsidRPr="00CB2EA8">
        <w:rPr>
          <w:rFonts w:ascii="Palatino Linotype" w:hAnsi="Palatino Linotype"/>
          <w:b/>
          <w:color w:val="222222"/>
          <w:lang w:eastAsia="es-MX"/>
        </w:rPr>
        <w:t xml:space="preserve"> </w:t>
      </w:r>
      <w:r w:rsidR="00C33FD9" w:rsidRPr="00CB2EA8">
        <w:rPr>
          <w:rFonts w:ascii="Palatino Linotype" w:hAnsi="Palatino Linotype"/>
          <w:b/>
          <w:bCs/>
          <w:color w:val="222222"/>
          <w:lang w:eastAsia="es-MX"/>
        </w:rPr>
        <w:t>RECURRENTE</w:t>
      </w:r>
      <w:r w:rsidR="00C33FD9" w:rsidRPr="00CB2EA8">
        <w:rPr>
          <w:rFonts w:ascii="Palatino Linotype" w:hAnsi="Palatino Linotype"/>
          <w:color w:val="222222"/>
          <w:lang w:eastAsia="es-MX"/>
        </w:rPr>
        <w:t xml:space="preserve"> la presente resolución.</w:t>
      </w:r>
    </w:p>
    <w:p w14:paraId="1D8B2105" w14:textId="77777777" w:rsidR="00C33FD9" w:rsidRPr="00CB2EA8" w:rsidRDefault="004A2CBC" w:rsidP="00C33FD9">
      <w:pPr>
        <w:spacing w:before="100" w:beforeAutospacing="1" w:after="100" w:afterAutospacing="1" w:line="360" w:lineRule="auto"/>
        <w:ind w:right="49"/>
        <w:jc w:val="both"/>
        <w:rPr>
          <w:rFonts w:ascii="Palatino Linotype" w:hAnsi="Palatino Linotype"/>
          <w:color w:val="222222"/>
          <w:lang w:eastAsia="es-MX"/>
        </w:rPr>
      </w:pPr>
      <w:r w:rsidRPr="00CB2EA8">
        <w:rPr>
          <w:rFonts w:ascii="Palatino Linotype" w:hAnsi="Palatino Linotype"/>
          <w:b/>
          <w:color w:val="222222"/>
          <w:sz w:val="28"/>
          <w:szCs w:val="28"/>
          <w:lang w:eastAsia="es-ES_tradnl"/>
        </w:rPr>
        <w:t>SEXTO</w:t>
      </w:r>
      <w:r w:rsidR="00C33FD9" w:rsidRPr="00CB2EA8">
        <w:rPr>
          <w:rFonts w:ascii="Palatino Linotype" w:hAnsi="Palatino Linotype"/>
          <w:b/>
          <w:color w:val="222222"/>
          <w:sz w:val="28"/>
          <w:szCs w:val="28"/>
          <w:lang w:eastAsia="es-ES_tradnl"/>
        </w:rPr>
        <w:t>.</w:t>
      </w:r>
      <w:r w:rsidR="00C33FD9" w:rsidRPr="00CB2EA8">
        <w:rPr>
          <w:rFonts w:ascii="Palatino Linotype" w:hAnsi="Palatino Linotype"/>
          <w:b/>
          <w:color w:val="222222"/>
          <w:szCs w:val="17"/>
          <w:lang w:eastAsia="es-ES_tradnl"/>
        </w:rPr>
        <w:t xml:space="preserve"> </w:t>
      </w:r>
      <w:r w:rsidR="00C33FD9" w:rsidRPr="00CB2EA8">
        <w:rPr>
          <w:rFonts w:ascii="Palatino Linotype" w:hAnsi="Palatino Linotype"/>
          <w:b/>
          <w:bCs/>
          <w:color w:val="222222"/>
          <w:lang w:eastAsia="es-MX"/>
        </w:rPr>
        <w:t>Hágase del conocimiento</w:t>
      </w:r>
      <w:r w:rsidR="00C33FD9" w:rsidRPr="00CB2EA8">
        <w:rPr>
          <w:rFonts w:ascii="Palatino Linotype" w:hAnsi="Palatino Linotype"/>
          <w:color w:val="222222"/>
          <w:lang w:eastAsia="es-MX"/>
        </w:rPr>
        <w:t xml:space="preserve"> de</w:t>
      </w:r>
      <w:r w:rsidR="001C3B2B" w:rsidRPr="00CB2EA8">
        <w:rPr>
          <w:rFonts w:ascii="Palatino Linotype" w:hAnsi="Palatino Linotype"/>
          <w:color w:val="222222"/>
          <w:lang w:eastAsia="es-MX"/>
        </w:rPr>
        <w:t xml:space="preserve"> </w:t>
      </w:r>
      <w:r w:rsidR="001C3B2B" w:rsidRPr="00CB2EA8">
        <w:rPr>
          <w:rFonts w:ascii="Palatino Linotype" w:hAnsi="Palatino Linotype"/>
          <w:b/>
          <w:color w:val="222222"/>
          <w:lang w:eastAsia="es-MX"/>
        </w:rPr>
        <w:t>LA</w:t>
      </w:r>
      <w:r w:rsidR="00C33FD9" w:rsidRPr="00CB2EA8">
        <w:rPr>
          <w:rFonts w:ascii="Palatino Linotype" w:hAnsi="Palatino Linotype"/>
          <w:color w:val="222222"/>
          <w:lang w:eastAsia="es-MX"/>
        </w:rPr>
        <w:t xml:space="preserve"> </w:t>
      </w:r>
      <w:r w:rsidR="00C33FD9" w:rsidRPr="00CB2EA8">
        <w:rPr>
          <w:rFonts w:ascii="Palatino Linotype" w:hAnsi="Palatino Linotype"/>
          <w:b/>
          <w:color w:val="222222"/>
          <w:lang w:eastAsia="es-MX"/>
        </w:rPr>
        <w:t>RECURRENTE</w:t>
      </w:r>
      <w:r w:rsidR="00C33FD9" w:rsidRPr="00CB2EA8">
        <w:rPr>
          <w:rFonts w:ascii="Palatino Linotype" w:hAnsi="Palatino Linotype"/>
          <w:color w:val="222222"/>
          <w:lang w:eastAsia="es-MX"/>
        </w:rPr>
        <w:t xml:space="preserve"> que, de conformidad con lo establecido en el artículo 196 de la Ley de Transparencia y Acceso a la Información </w:t>
      </w:r>
      <w:r w:rsidR="00C33FD9" w:rsidRPr="00CB2EA8">
        <w:rPr>
          <w:rFonts w:ascii="Palatino Linotype" w:hAnsi="Palatino Linotype"/>
          <w:color w:val="222222"/>
          <w:lang w:eastAsia="es-MX"/>
        </w:rPr>
        <w:lastRenderedPageBreak/>
        <w:t>Pública del Estado de México y Municipios, podrá impugnarla vía Juicio de Amparo, en los términos de las leyes aplicables.</w:t>
      </w:r>
    </w:p>
    <w:p w14:paraId="093A8885" w14:textId="77777777" w:rsidR="002C2D8B" w:rsidRPr="00CB2EA8" w:rsidRDefault="002C2D8B" w:rsidP="002C2D8B">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CB2EA8">
        <w:rPr>
          <w:rFonts w:ascii="Palatino Linotype" w:hAnsi="Palatino Linotype" w:cs="Arial"/>
          <w:b/>
          <w:bCs/>
          <w:sz w:val="28"/>
          <w:lang w:eastAsia="es-MX"/>
        </w:rPr>
        <w:t xml:space="preserve">SÉPTIMO. </w:t>
      </w:r>
      <w:r w:rsidRPr="00CB2EA8">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Pr="00CB2EA8">
        <w:rPr>
          <w:rFonts w:ascii="Palatino Linotype" w:hAnsi="Palatino Linotype"/>
          <w:b/>
          <w:color w:val="222222"/>
          <w:szCs w:val="17"/>
          <w:lang w:eastAsia="es-ES_tradnl"/>
        </w:rPr>
        <w:t>EL SUJETO OBLIGADO</w:t>
      </w:r>
      <w:r w:rsidRPr="00CB2EA8">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1D8B2106" w14:textId="77777777" w:rsidR="00C33FD9" w:rsidRPr="00CB2EA8" w:rsidRDefault="00D568E1" w:rsidP="00C33FD9">
      <w:pPr>
        <w:spacing w:line="360" w:lineRule="auto"/>
        <w:jc w:val="both"/>
        <w:rPr>
          <w:rFonts w:ascii="Palatino Linotype" w:hAnsi="Palatino Linotype" w:cs="Arial"/>
        </w:rPr>
      </w:pPr>
      <w:r w:rsidRPr="00CB2EA8">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Pr="00CB2EA8">
        <w:rPr>
          <w:rFonts w:ascii="Palatino Linotype" w:hAnsi="Palatino Linotype"/>
          <w:color w:val="000000" w:themeColor="text1"/>
          <w:lang w:val="es-ES_tradnl"/>
        </w:rPr>
        <w:t xml:space="preserve">JOSÉ GUADALUPE LUNA HERNÁNDEZ, </w:t>
      </w:r>
      <w:r w:rsidRPr="00CB2EA8">
        <w:rPr>
          <w:rFonts w:ascii="Palatino Linotype" w:hAnsi="Palatino Linotype" w:cs="Arial"/>
          <w:color w:val="000000" w:themeColor="text1"/>
        </w:rPr>
        <w:t xml:space="preserve">JAVIER MARTÍNEZ CRUZ Y LUIS GUSTAVO PARRA NORIEGA; EN LA </w:t>
      </w:r>
      <w:r w:rsidR="002A6046" w:rsidRPr="00CB2EA8">
        <w:rPr>
          <w:rFonts w:ascii="Palatino Linotype" w:hAnsi="Palatino Linotype" w:cs="Arial"/>
          <w:color w:val="000000" w:themeColor="text1"/>
        </w:rPr>
        <w:t xml:space="preserve">DÉCIMA </w:t>
      </w:r>
      <w:r w:rsidR="001C3B2B" w:rsidRPr="00CB2EA8">
        <w:rPr>
          <w:rFonts w:ascii="Palatino Linotype" w:hAnsi="Palatino Linotype" w:cs="Arial"/>
          <w:color w:val="000000" w:themeColor="text1"/>
        </w:rPr>
        <w:t>SÉPTIMA</w:t>
      </w:r>
      <w:r w:rsidRPr="00CB2EA8">
        <w:rPr>
          <w:rFonts w:ascii="Palatino Linotype" w:hAnsi="Palatino Linotype" w:cs="Arial"/>
          <w:color w:val="000000" w:themeColor="text1"/>
        </w:rPr>
        <w:t xml:space="preserve"> SESIÓN ORDINARIA CELEBRADA EL </w:t>
      </w:r>
      <w:r w:rsidR="001C3B2B" w:rsidRPr="00CB2EA8">
        <w:rPr>
          <w:rFonts w:ascii="Palatino Linotype" w:hAnsi="Palatino Linotype" w:cs="Arial"/>
          <w:color w:val="000000" w:themeColor="text1"/>
        </w:rPr>
        <w:t>DIECINUEVE DE MAYO DE DOS MIL VEINTIUNO</w:t>
      </w:r>
      <w:r w:rsidRPr="00CB2EA8">
        <w:rPr>
          <w:rFonts w:ascii="Palatino Linotype" w:hAnsi="Palatino Linotype" w:cs="Arial"/>
          <w:color w:val="000000" w:themeColor="text1"/>
        </w:rPr>
        <w:t>, ANTE EL SECRETARIO TÉCNICO DEL PLENO ALEXIS TAPIA RAMÍREZ.</w:t>
      </w:r>
    </w:p>
    <w:p w14:paraId="1D8B2107" w14:textId="77777777" w:rsidR="00C23B43" w:rsidRDefault="004A2CBC" w:rsidP="00115EDF">
      <w:pPr>
        <w:jc w:val="both"/>
        <w:rPr>
          <w:rFonts w:ascii="Palatino Linotype" w:hAnsi="Palatino Linotype" w:cs="Arial"/>
          <w:sz w:val="20"/>
          <w:szCs w:val="20"/>
        </w:rPr>
      </w:pPr>
      <w:r w:rsidRPr="00CB2EA8">
        <w:rPr>
          <w:rFonts w:ascii="Palatino Linotype" w:hAnsi="Palatino Linotype" w:cs="Arial"/>
          <w:sz w:val="20"/>
          <w:szCs w:val="20"/>
        </w:rPr>
        <w:t>YSM/IAHA</w:t>
      </w:r>
    </w:p>
    <w:p w14:paraId="1D8B2108" w14:textId="77777777" w:rsidR="000C4AAD" w:rsidRDefault="000C4AAD">
      <w:pPr>
        <w:spacing w:after="160" w:line="259" w:lineRule="auto"/>
        <w:rPr>
          <w:rFonts w:ascii="Palatino Linotype" w:hAnsi="Palatino Linotype" w:cs="Arial"/>
          <w:sz w:val="20"/>
          <w:szCs w:val="20"/>
        </w:rPr>
      </w:pPr>
      <w:r>
        <w:rPr>
          <w:rFonts w:ascii="Palatino Linotype" w:hAnsi="Palatino Linotype" w:cs="Arial"/>
          <w:sz w:val="20"/>
          <w:szCs w:val="20"/>
        </w:rPr>
        <w:br w:type="page"/>
      </w:r>
    </w:p>
    <w:p w14:paraId="1D8B2109" w14:textId="77777777" w:rsidR="000C4AAD" w:rsidRDefault="000C4AAD" w:rsidP="00115EDF">
      <w:pPr>
        <w:jc w:val="both"/>
      </w:pPr>
    </w:p>
    <w:sectPr w:rsidR="000C4AAD" w:rsidSect="00631FB5">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5490D" w16cex:dateUtc="2021-05-11T23:18:00Z"/>
  <w16cex:commentExtensible w16cex:durableId="24454B29" w16cex:dateUtc="2021-05-11T23:27:00Z"/>
  <w16cex:commentExtensible w16cex:durableId="24454B58" w16cex:dateUtc="2021-05-11T23:28:00Z"/>
  <w16cex:commentExtensible w16cex:durableId="24454BB7" w16cex:dateUtc="2021-05-11T23:30:00Z"/>
  <w16cex:commentExtensible w16cex:durableId="24454C2C" w16cex:dateUtc="2021-05-11T23:32:00Z"/>
  <w16cex:commentExtensible w16cex:durableId="24454C89" w16cex:dateUtc="2021-05-11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9D942B" w16cid:durableId="2445490D"/>
  <w16cid:commentId w16cid:paraId="5F1DB3A3" w16cid:durableId="24454B29"/>
  <w16cid:commentId w16cid:paraId="7D073088" w16cid:durableId="24454B58"/>
  <w16cid:commentId w16cid:paraId="4AF1AC9A" w16cid:durableId="24454BB7"/>
  <w16cid:commentId w16cid:paraId="18BF7F2A" w16cid:durableId="24454C2C"/>
  <w16cid:commentId w16cid:paraId="44F7F4E6" w16cid:durableId="24454C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932C3" w14:textId="77777777" w:rsidR="00C54C0E" w:rsidRDefault="00C54C0E" w:rsidP="00C33FD9">
      <w:r>
        <w:separator/>
      </w:r>
    </w:p>
  </w:endnote>
  <w:endnote w:type="continuationSeparator" w:id="0">
    <w:p w14:paraId="5141E6AE" w14:textId="77777777" w:rsidR="00C54C0E" w:rsidRDefault="00C54C0E" w:rsidP="00C3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2120" w14:textId="77777777" w:rsidR="00631FB5" w:rsidRPr="00A2780F" w:rsidRDefault="00631FB5" w:rsidP="00631FB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25821">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25821">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2133" w14:textId="77777777" w:rsidR="00631FB5" w:rsidRPr="00070856" w:rsidRDefault="00631FB5" w:rsidP="00631FB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2582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25821">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F2726" w14:textId="77777777" w:rsidR="00C54C0E" w:rsidRDefault="00C54C0E" w:rsidP="00C33FD9">
      <w:r>
        <w:separator/>
      </w:r>
    </w:p>
  </w:footnote>
  <w:footnote w:type="continuationSeparator" w:id="0">
    <w:p w14:paraId="2B4757D3" w14:textId="77777777" w:rsidR="00C54C0E" w:rsidRDefault="00C54C0E" w:rsidP="00C33FD9">
      <w:r>
        <w:continuationSeparator/>
      </w:r>
    </w:p>
  </w:footnote>
  <w:footnote w:id="1">
    <w:p w14:paraId="7AAAE8E5" w14:textId="1694D53C" w:rsidR="00AD5F8F" w:rsidRDefault="00AD5F8F">
      <w:pPr>
        <w:pStyle w:val="Textonotapie"/>
      </w:pPr>
      <w:r>
        <w:rPr>
          <w:rStyle w:val="Refdenotaalpie"/>
        </w:rPr>
        <w:footnoteRef/>
      </w:r>
      <w:r>
        <w:t xml:space="preserve"> Consultable en: </w:t>
      </w:r>
      <w:hyperlink r:id="rId1" w:history="1">
        <w:r w:rsidRPr="00361052">
          <w:rPr>
            <w:rStyle w:val="Hipervnculo"/>
          </w:rPr>
          <w:t>https://www.infoem.org.mx/est_/recursos.php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2112" w14:textId="00829D10" w:rsidR="00631FB5" w:rsidRDefault="00CB2EA8" w:rsidP="00631FB5">
    <w:pPr>
      <w:pStyle w:val="Encabezado"/>
      <w:tabs>
        <w:tab w:val="clear" w:pos="4252"/>
        <w:tab w:val="clear" w:pos="8504"/>
        <w:tab w:val="left" w:pos="2326"/>
      </w:tabs>
      <w:rPr>
        <w:rFonts w:ascii="Palatino Linotype" w:hAnsi="Palatino Linotype"/>
        <w:sz w:val="28"/>
        <w:szCs w:val="28"/>
      </w:rPr>
    </w:pPr>
    <w:r>
      <w:rPr>
        <w:noProof/>
        <w:lang w:val="es-MX" w:eastAsia="es-MX"/>
      </w:rPr>
      <w:drawing>
        <wp:anchor distT="0" distB="0" distL="114300" distR="114300" simplePos="0" relativeHeight="251658240" behindDoc="0" locked="0" layoutInCell="1" allowOverlap="1" wp14:anchorId="0E98D887" wp14:editId="5DC756E2">
          <wp:simplePos x="0" y="0"/>
          <wp:positionH relativeFrom="column">
            <wp:posOffset>114300</wp:posOffset>
          </wp:positionH>
          <wp:positionV relativeFrom="paragraph">
            <wp:posOffset>221615</wp:posOffset>
          </wp:positionV>
          <wp:extent cx="1663440"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p>
  <w:tbl>
    <w:tblPr>
      <w:tblW w:w="9498" w:type="dxa"/>
      <w:tblInd w:w="-142" w:type="dxa"/>
      <w:tblLayout w:type="fixed"/>
      <w:tblLook w:val="04A0" w:firstRow="1" w:lastRow="0" w:firstColumn="1" w:lastColumn="0" w:noHBand="0" w:noVBand="1"/>
    </w:tblPr>
    <w:tblGrid>
      <w:gridCol w:w="3970"/>
      <w:gridCol w:w="2556"/>
      <w:gridCol w:w="2972"/>
    </w:tblGrid>
    <w:tr w:rsidR="00631FB5" w:rsidRPr="008F2CCC" w14:paraId="1D8B2116" w14:textId="77777777" w:rsidTr="00631FB5">
      <w:tc>
        <w:tcPr>
          <w:tcW w:w="3970" w:type="dxa"/>
        </w:tcPr>
        <w:p w14:paraId="1D8B2113" w14:textId="77777777" w:rsidR="00631FB5" w:rsidRPr="008F2CCC" w:rsidRDefault="00631FB5" w:rsidP="00E36BD5">
          <w:pPr>
            <w:rPr>
              <w:rFonts w:ascii="Palatino Linotype" w:hAnsi="Palatino Linotype"/>
              <w:b/>
              <w:sz w:val="22"/>
              <w:szCs w:val="22"/>
              <w:lang w:val="es-ES_tradnl"/>
            </w:rPr>
          </w:pPr>
        </w:p>
      </w:tc>
      <w:tc>
        <w:tcPr>
          <w:tcW w:w="2556" w:type="dxa"/>
          <w:shd w:val="clear" w:color="auto" w:fill="auto"/>
        </w:tcPr>
        <w:p w14:paraId="1D8B2114" w14:textId="77777777" w:rsidR="00631FB5" w:rsidRPr="00664658" w:rsidRDefault="00631FB5" w:rsidP="00E36BD5">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2" w:type="dxa"/>
          <w:shd w:val="clear" w:color="auto" w:fill="auto"/>
          <w:vAlign w:val="center"/>
        </w:tcPr>
        <w:p w14:paraId="1D8B2115" w14:textId="77777777" w:rsidR="00631FB5" w:rsidRPr="00664658" w:rsidRDefault="00631FB5" w:rsidP="00F10D20">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sidR="0016453E">
            <w:rPr>
              <w:rFonts w:ascii="Palatino Linotype" w:hAnsi="Palatino Linotype"/>
              <w:b/>
              <w:sz w:val="22"/>
              <w:szCs w:val="22"/>
              <w:lang w:val="es-ES_tradnl"/>
            </w:rPr>
            <w:t>1437/INFOEM/IP/RR/2021</w:t>
          </w:r>
        </w:p>
      </w:tc>
    </w:tr>
    <w:tr w:rsidR="00631FB5" w:rsidRPr="008F2CCC" w14:paraId="1D8B211A" w14:textId="77777777" w:rsidTr="00631FB5">
      <w:tc>
        <w:tcPr>
          <w:tcW w:w="3970" w:type="dxa"/>
        </w:tcPr>
        <w:p w14:paraId="1D8B2117" w14:textId="77777777" w:rsidR="00631FB5" w:rsidRPr="008F2CCC" w:rsidRDefault="00631FB5" w:rsidP="00E36BD5">
          <w:pPr>
            <w:rPr>
              <w:rFonts w:ascii="Palatino Linotype" w:hAnsi="Palatino Linotype"/>
              <w:b/>
              <w:sz w:val="22"/>
              <w:szCs w:val="22"/>
              <w:lang w:val="es-ES_tradnl"/>
            </w:rPr>
          </w:pPr>
        </w:p>
      </w:tc>
      <w:tc>
        <w:tcPr>
          <w:tcW w:w="2556" w:type="dxa"/>
          <w:shd w:val="clear" w:color="auto" w:fill="auto"/>
        </w:tcPr>
        <w:p w14:paraId="1D8B2118" w14:textId="77777777" w:rsidR="00631FB5" w:rsidRPr="00664658" w:rsidRDefault="00631FB5" w:rsidP="00E36BD5">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2" w:type="dxa"/>
          <w:shd w:val="clear" w:color="auto" w:fill="auto"/>
          <w:vAlign w:val="center"/>
        </w:tcPr>
        <w:p w14:paraId="1D8B2119" w14:textId="77777777" w:rsidR="00631FB5" w:rsidRPr="00664658" w:rsidRDefault="0016453E" w:rsidP="00F10D20">
          <w:pPr>
            <w:jc w:val="both"/>
            <w:rPr>
              <w:rFonts w:ascii="Palatino Linotype" w:hAnsi="Palatino Linotype"/>
              <w:b/>
              <w:sz w:val="22"/>
              <w:szCs w:val="22"/>
              <w:lang w:val="es-ES_tradnl"/>
            </w:rPr>
          </w:pPr>
          <w:r w:rsidRPr="0016453E">
            <w:rPr>
              <w:rFonts w:ascii="Palatino Linotype" w:hAnsi="Palatino Linotype"/>
              <w:b/>
              <w:sz w:val="22"/>
              <w:szCs w:val="22"/>
              <w:lang w:val="es-ES_tradnl"/>
            </w:rPr>
            <w:t>Ayuntamiento de Ixtapan de la Sal</w:t>
          </w:r>
        </w:p>
      </w:tc>
    </w:tr>
    <w:tr w:rsidR="00631FB5" w:rsidRPr="008F2CCC" w14:paraId="1D8B211E" w14:textId="77777777" w:rsidTr="00631FB5">
      <w:trPr>
        <w:trHeight w:val="228"/>
      </w:trPr>
      <w:tc>
        <w:tcPr>
          <w:tcW w:w="3970" w:type="dxa"/>
        </w:tcPr>
        <w:p w14:paraId="1D8B211B" w14:textId="77777777" w:rsidR="00631FB5" w:rsidRPr="008F2CCC" w:rsidRDefault="00631FB5" w:rsidP="00E36BD5">
          <w:pPr>
            <w:rPr>
              <w:rFonts w:ascii="Palatino Linotype" w:hAnsi="Palatino Linotype"/>
              <w:b/>
              <w:sz w:val="22"/>
              <w:szCs w:val="22"/>
              <w:lang w:val="es-ES_tradnl"/>
            </w:rPr>
          </w:pPr>
        </w:p>
      </w:tc>
      <w:tc>
        <w:tcPr>
          <w:tcW w:w="2556" w:type="dxa"/>
          <w:shd w:val="clear" w:color="auto" w:fill="auto"/>
        </w:tcPr>
        <w:p w14:paraId="1D8B211C" w14:textId="77777777" w:rsidR="00631FB5" w:rsidRPr="00664658" w:rsidRDefault="00631FB5" w:rsidP="00E36BD5">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2" w:type="dxa"/>
          <w:shd w:val="clear" w:color="auto" w:fill="auto"/>
        </w:tcPr>
        <w:p w14:paraId="1D8B211D" w14:textId="77777777" w:rsidR="00631FB5" w:rsidRPr="00664658" w:rsidRDefault="00631FB5" w:rsidP="00E36BD5">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1D8B211F" w14:textId="7F23916B" w:rsidR="00631FB5" w:rsidRPr="00E36BD5" w:rsidRDefault="00C54C0E" w:rsidP="00631FB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pt;margin-top:-60.6pt;width:540pt;height:10in;z-index:-251654144;mso-wrap-edited:f;mso-position-horizontal-relative:margin;mso-position-vertical-relative:margin" wrapcoords="-30 0 -30 21555 21600 21555 21600 0 -30 0">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2121" w14:textId="364D9F05" w:rsidR="00631FB5" w:rsidRDefault="00CB2EA8">
    <w:pPr>
      <w:pStyle w:val="Encabezado"/>
      <w:rPr>
        <w:sz w:val="28"/>
        <w:szCs w:val="28"/>
      </w:rPr>
    </w:pPr>
    <w:r>
      <w:rPr>
        <w:noProof/>
        <w:lang w:val="es-MX" w:eastAsia="es-MX"/>
      </w:rPr>
      <w:drawing>
        <wp:anchor distT="0" distB="0" distL="114300" distR="114300" simplePos="0" relativeHeight="251668992" behindDoc="0" locked="0" layoutInCell="1" allowOverlap="1" wp14:anchorId="5ADA4607" wp14:editId="02BD51C3">
          <wp:simplePos x="0" y="0"/>
          <wp:positionH relativeFrom="column">
            <wp:posOffset>266700</wp:posOffset>
          </wp:positionH>
          <wp:positionV relativeFrom="paragraph">
            <wp:posOffset>374015</wp:posOffset>
          </wp:positionV>
          <wp:extent cx="1663440"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p>
  <w:tbl>
    <w:tblPr>
      <w:tblW w:w="9922" w:type="dxa"/>
      <w:tblInd w:w="-142" w:type="dxa"/>
      <w:tblLayout w:type="fixed"/>
      <w:tblLook w:val="04A0" w:firstRow="1" w:lastRow="0" w:firstColumn="1" w:lastColumn="0" w:noHBand="0" w:noVBand="1"/>
    </w:tblPr>
    <w:tblGrid>
      <w:gridCol w:w="3686"/>
      <w:gridCol w:w="2693"/>
      <w:gridCol w:w="3543"/>
    </w:tblGrid>
    <w:tr w:rsidR="00631FB5" w:rsidRPr="008F2CCC" w14:paraId="1D8B2125" w14:textId="77777777" w:rsidTr="00631FB5">
      <w:tc>
        <w:tcPr>
          <w:tcW w:w="3686" w:type="dxa"/>
          <w:vMerge w:val="restart"/>
        </w:tcPr>
        <w:p w14:paraId="1D8B2122" w14:textId="77777777" w:rsidR="00631FB5" w:rsidRPr="008F2CCC" w:rsidRDefault="00631FB5" w:rsidP="00E36BD5">
          <w:pPr>
            <w:rPr>
              <w:rFonts w:ascii="Palatino Linotype" w:hAnsi="Palatino Linotype"/>
              <w:b/>
              <w:sz w:val="22"/>
              <w:szCs w:val="22"/>
              <w:lang w:val="es-ES_tradnl"/>
            </w:rPr>
          </w:pPr>
        </w:p>
      </w:tc>
      <w:tc>
        <w:tcPr>
          <w:tcW w:w="2693" w:type="dxa"/>
          <w:shd w:val="clear" w:color="auto" w:fill="auto"/>
        </w:tcPr>
        <w:p w14:paraId="1D8B2123" w14:textId="77777777" w:rsidR="00631FB5" w:rsidRPr="008F2CCC" w:rsidRDefault="00631FB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3" w:type="dxa"/>
          <w:shd w:val="clear" w:color="auto" w:fill="auto"/>
          <w:vAlign w:val="center"/>
        </w:tcPr>
        <w:p w14:paraId="1D8B2124" w14:textId="77777777" w:rsidR="00631FB5" w:rsidRPr="008F2CCC" w:rsidRDefault="0016453E" w:rsidP="0016453E">
          <w:pPr>
            <w:ind w:right="317"/>
            <w:jc w:val="both"/>
            <w:rPr>
              <w:rFonts w:ascii="Palatino Linotype" w:hAnsi="Palatino Linotype"/>
              <w:b/>
              <w:sz w:val="22"/>
              <w:szCs w:val="22"/>
              <w:lang w:val="es-ES_tradnl"/>
            </w:rPr>
          </w:pPr>
          <w:r>
            <w:rPr>
              <w:rFonts w:ascii="Palatino Linotype" w:hAnsi="Palatino Linotype"/>
              <w:b/>
              <w:sz w:val="22"/>
              <w:szCs w:val="22"/>
              <w:lang w:val="es-ES_tradnl"/>
            </w:rPr>
            <w:t>01437</w:t>
          </w:r>
          <w:r w:rsidR="00631FB5">
            <w:rPr>
              <w:rFonts w:ascii="Palatino Linotype" w:hAnsi="Palatino Linotype"/>
              <w:b/>
              <w:sz w:val="22"/>
              <w:szCs w:val="22"/>
              <w:lang w:val="es-ES_tradnl"/>
            </w:rPr>
            <w:t>/INFOEM/IP/RR/202</w:t>
          </w:r>
          <w:r>
            <w:rPr>
              <w:rFonts w:ascii="Palatino Linotype" w:hAnsi="Palatino Linotype"/>
              <w:b/>
              <w:sz w:val="22"/>
              <w:szCs w:val="22"/>
              <w:lang w:val="es-ES_tradnl"/>
            </w:rPr>
            <w:t>1</w:t>
          </w:r>
        </w:p>
      </w:tc>
    </w:tr>
    <w:tr w:rsidR="00631FB5" w:rsidRPr="008F2CCC" w14:paraId="1D8B2129" w14:textId="77777777" w:rsidTr="00631FB5">
      <w:tc>
        <w:tcPr>
          <w:tcW w:w="3686" w:type="dxa"/>
          <w:vMerge/>
        </w:tcPr>
        <w:p w14:paraId="1D8B2126" w14:textId="77777777" w:rsidR="00631FB5" w:rsidRPr="008F2CCC" w:rsidRDefault="00631FB5" w:rsidP="00E36BD5">
          <w:pPr>
            <w:rPr>
              <w:rFonts w:ascii="Palatino Linotype" w:hAnsi="Palatino Linotype"/>
              <w:b/>
              <w:sz w:val="22"/>
              <w:szCs w:val="22"/>
              <w:lang w:val="es-ES_tradnl"/>
            </w:rPr>
          </w:pPr>
        </w:p>
      </w:tc>
      <w:tc>
        <w:tcPr>
          <w:tcW w:w="2693" w:type="dxa"/>
          <w:shd w:val="clear" w:color="auto" w:fill="auto"/>
          <w:vAlign w:val="center"/>
        </w:tcPr>
        <w:p w14:paraId="1D8B2127" w14:textId="77777777" w:rsidR="00631FB5" w:rsidRPr="008F2CCC" w:rsidRDefault="00631FB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1D8B2128" w14:textId="0B74AAD0" w:rsidR="00631FB5" w:rsidRPr="008F2CCC" w:rsidRDefault="00925821" w:rsidP="00925821">
          <w:pPr>
            <w:ind w:right="317"/>
            <w:jc w:val="both"/>
            <w:rPr>
              <w:rFonts w:ascii="Palatino Linotype" w:hAnsi="Palatino Linotype"/>
              <w:b/>
              <w:sz w:val="22"/>
              <w:szCs w:val="22"/>
              <w:lang w:val="es-ES_tradnl"/>
            </w:rPr>
          </w:pPr>
          <w:r>
            <w:rPr>
              <w:rFonts w:ascii="Palatino Linotype" w:hAnsi="Palatino Linotype"/>
              <w:b/>
              <w:sz w:val="22"/>
              <w:szCs w:val="22"/>
              <w:lang w:val="es-ES_tradnl"/>
            </w:rPr>
            <w:t>Xxxxx</w:t>
          </w:r>
          <w:r w:rsidR="0016453E" w:rsidRPr="0016453E">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16453E" w:rsidRPr="0016453E">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631FB5" w:rsidRPr="008F2CCC" w14:paraId="1D8B212D" w14:textId="77777777" w:rsidTr="00631FB5">
      <w:trPr>
        <w:trHeight w:val="228"/>
      </w:trPr>
      <w:tc>
        <w:tcPr>
          <w:tcW w:w="3686" w:type="dxa"/>
          <w:vMerge/>
        </w:tcPr>
        <w:p w14:paraId="1D8B212A" w14:textId="77777777" w:rsidR="00631FB5" w:rsidRPr="008F2CCC" w:rsidRDefault="00631FB5" w:rsidP="00E36BD5">
          <w:pPr>
            <w:rPr>
              <w:rFonts w:ascii="Palatino Linotype" w:hAnsi="Palatino Linotype"/>
              <w:b/>
              <w:sz w:val="22"/>
              <w:szCs w:val="22"/>
              <w:lang w:val="es-ES_tradnl"/>
            </w:rPr>
          </w:pPr>
        </w:p>
      </w:tc>
      <w:tc>
        <w:tcPr>
          <w:tcW w:w="2693" w:type="dxa"/>
          <w:shd w:val="clear" w:color="auto" w:fill="auto"/>
        </w:tcPr>
        <w:p w14:paraId="1D8B212B" w14:textId="77777777" w:rsidR="00631FB5" w:rsidRPr="008F2CCC" w:rsidRDefault="00631FB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3" w:type="dxa"/>
          <w:shd w:val="clear" w:color="auto" w:fill="auto"/>
          <w:vAlign w:val="center"/>
        </w:tcPr>
        <w:p w14:paraId="1D8B212C" w14:textId="77777777" w:rsidR="00631FB5" w:rsidRPr="004D6488" w:rsidRDefault="0016453E" w:rsidP="00E36BD5">
          <w:pPr>
            <w:ind w:right="317"/>
            <w:jc w:val="both"/>
            <w:rPr>
              <w:rFonts w:ascii="Palatino Linotype" w:hAnsi="Palatino Linotype"/>
              <w:b/>
              <w:sz w:val="22"/>
              <w:szCs w:val="22"/>
              <w:lang w:val="es-ES_tradnl"/>
            </w:rPr>
          </w:pPr>
          <w:r w:rsidRPr="0016453E">
            <w:rPr>
              <w:rFonts w:ascii="Palatino Linotype" w:hAnsi="Palatino Linotype"/>
              <w:b/>
              <w:sz w:val="22"/>
              <w:szCs w:val="22"/>
              <w:lang w:val="es-ES_tradnl"/>
            </w:rPr>
            <w:t>Ayuntamiento de Ixtapan de la Sal</w:t>
          </w:r>
        </w:p>
      </w:tc>
    </w:tr>
    <w:tr w:rsidR="00631FB5" w:rsidRPr="008F2CCC" w14:paraId="1D8B2131" w14:textId="77777777" w:rsidTr="00631FB5">
      <w:tc>
        <w:tcPr>
          <w:tcW w:w="3686" w:type="dxa"/>
          <w:vMerge/>
        </w:tcPr>
        <w:p w14:paraId="1D8B212E" w14:textId="77777777" w:rsidR="00631FB5" w:rsidRPr="008F2CCC" w:rsidRDefault="00631FB5" w:rsidP="00E36BD5">
          <w:pPr>
            <w:rPr>
              <w:rFonts w:ascii="Palatino Linotype" w:hAnsi="Palatino Linotype"/>
              <w:b/>
              <w:sz w:val="22"/>
              <w:szCs w:val="22"/>
              <w:lang w:val="es-ES_tradnl"/>
            </w:rPr>
          </w:pPr>
        </w:p>
      </w:tc>
      <w:tc>
        <w:tcPr>
          <w:tcW w:w="2693" w:type="dxa"/>
          <w:shd w:val="clear" w:color="auto" w:fill="auto"/>
        </w:tcPr>
        <w:p w14:paraId="1D8B212F" w14:textId="77777777" w:rsidR="00631FB5" w:rsidRPr="008F2CCC" w:rsidRDefault="00631FB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3" w:type="dxa"/>
          <w:shd w:val="clear" w:color="auto" w:fill="auto"/>
        </w:tcPr>
        <w:p w14:paraId="1D8B2130" w14:textId="77777777" w:rsidR="00631FB5" w:rsidRPr="008F2CCC" w:rsidRDefault="00631FB5" w:rsidP="00E36BD5">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1D8B2132" w14:textId="33F669CD" w:rsidR="00631FB5" w:rsidRPr="00E36BD5" w:rsidRDefault="00C54C0E">
    <w:pPr>
      <w:pStyle w:val="Encabezado"/>
      <w:rPr>
        <w:sz w:val="28"/>
        <w:szCs w:val="28"/>
      </w:rPr>
    </w:pPr>
    <w:r>
      <w:rPr>
        <w:noProof/>
        <w:sz w:val="28"/>
        <w:szCs w:val="28"/>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42pt;margin-top:-71.85pt;width:540pt;height:10in;z-index:-251655168;mso-wrap-edited:f;mso-position-horizontal-relative:margin;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7875740B"/>
    <w:multiLevelType w:val="hybridMultilevel"/>
    <w:tmpl w:val="1376D3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D9"/>
    <w:rsid w:val="00017A22"/>
    <w:rsid w:val="0006116C"/>
    <w:rsid w:val="0009129A"/>
    <w:rsid w:val="000C4AAD"/>
    <w:rsid w:val="00110527"/>
    <w:rsid w:val="00115EDF"/>
    <w:rsid w:val="0016453E"/>
    <w:rsid w:val="001A56CC"/>
    <w:rsid w:val="001A6272"/>
    <w:rsid w:val="001C3B2B"/>
    <w:rsid w:val="00206EF6"/>
    <w:rsid w:val="002120C9"/>
    <w:rsid w:val="00265ED2"/>
    <w:rsid w:val="002A6046"/>
    <w:rsid w:val="002B5FFE"/>
    <w:rsid w:val="002C2D8B"/>
    <w:rsid w:val="00301C1B"/>
    <w:rsid w:val="00325BA0"/>
    <w:rsid w:val="003322BC"/>
    <w:rsid w:val="0036794A"/>
    <w:rsid w:val="00385E03"/>
    <w:rsid w:val="003A04C6"/>
    <w:rsid w:val="003D7313"/>
    <w:rsid w:val="003E3BC4"/>
    <w:rsid w:val="00416A60"/>
    <w:rsid w:val="004234EE"/>
    <w:rsid w:val="004714C1"/>
    <w:rsid w:val="004733AB"/>
    <w:rsid w:val="004A2CBC"/>
    <w:rsid w:val="004B22A5"/>
    <w:rsid w:val="00516043"/>
    <w:rsid w:val="005572AD"/>
    <w:rsid w:val="005A1B9F"/>
    <w:rsid w:val="005B7375"/>
    <w:rsid w:val="005C6CA0"/>
    <w:rsid w:val="00602444"/>
    <w:rsid w:val="00631FB5"/>
    <w:rsid w:val="00632ED3"/>
    <w:rsid w:val="006602A2"/>
    <w:rsid w:val="00681904"/>
    <w:rsid w:val="006C1D07"/>
    <w:rsid w:val="006F61AE"/>
    <w:rsid w:val="00735911"/>
    <w:rsid w:val="00756790"/>
    <w:rsid w:val="007604B1"/>
    <w:rsid w:val="00764F1E"/>
    <w:rsid w:val="00794698"/>
    <w:rsid w:val="007A023B"/>
    <w:rsid w:val="007C755B"/>
    <w:rsid w:val="007E46E4"/>
    <w:rsid w:val="007F510D"/>
    <w:rsid w:val="00833FFB"/>
    <w:rsid w:val="00876CAB"/>
    <w:rsid w:val="00925821"/>
    <w:rsid w:val="009A0B20"/>
    <w:rsid w:val="009D0C6E"/>
    <w:rsid w:val="00A14C68"/>
    <w:rsid w:val="00A766C0"/>
    <w:rsid w:val="00A86F4C"/>
    <w:rsid w:val="00AA6EC0"/>
    <w:rsid w:val="00AD5F8F"/>
    <w:rsid w:val="00AD6542"/>
    <w:rsid w:val="00B331BB"/>
    <w:rsid w:val="00B36A84"/>
    <w:rsid w:val="00B43656"/>
    <w:rsid w:val="00C23B43"/>
    <w:rsid w:val="00C3047E"/>
    <w:rsid w:val="00C33FD9"/>
    <w:rsid w:val="00C54C0E"/>
    <w:rsid w:val="00C739D8"/>
    <w:rsid w:val="00C9714C"/>
    <w:rsid w:val="00CB2EA8"/>
    <w:rsid w:val="00CC7048"/>
    <w:rsid w:val="00CC79D6"/>
    <w:rsid w:val="00D34ED8"/>
    <w:rsid w:val="00D568E1"/>
    <w:rsid w:val="00D74178"/>
    <w:rsid w:val="00D76F31"/>
    <w:rsid w:val="00D86A2B"/>
    <w:rsid w:val="00DA7C5C"/>
    <w:rsid w:val="00DE0EAE"/>
    <w:rsid w:val="00E253B3"/>
    <w:rsid w:val="00E36BD5"/>
    <w:rsid w:val="00EA40A6"/>
    <w:rsid w:val="00EC169D"/>
    <w:rsid w:val="00EC6D7F"/>
    <w:rsid w:val="00F10D20"/>
    <w:rsid w:val="00F9288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D8B2062"/>
  <w15:docId w15:val="{4D8345EF-977D-47AC-9FE3-43A3820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FD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3FD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33FD9"/>
    <w:rPr>
      <w:rFonts w:eastAsiaTheme="minorEastAsia"/>
      <w:sz w:val="24"/>
      <w:szCs w:val="24"/>
      <w:lang w:val="es-ES_tradnl" w:eastAsia="es-ES"/>
    </w:rPr>
  </w:style>
  <w:style w:type="paragraph" w:styleId="Piedepgina">
    <w:name w:val="footer"/>
    <w:basedOn w:val="Normal"/>
    <w:link w:val="PiedepginaCar"/>
    <w:uiPriority w:val="99"/>
    <w:unhideWhenUsed/>
    <w:rsid w:val="00C33FD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33FD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33FD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33FD9"/>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C33FD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33FD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33FD9"/>
    <w:rPr>
      <w:sz w:val="20"/>
      <w:szCs w:val="20"/>
    </w:rPr>
  </w:style>
  <w:style w:type="paragraph" w:customStyle="1" w:styleId="FAFunotente1">
    <w:name w:val="FA Fu?notente1"/>
    <w:basedOn w:val="Normal"/>
    <w:next w:val="Textonotapie"/>
    <w:uiPriority w:val="99"/>
    <w:unhideWhenUsed/>
    <w:rsid w:val="00C33FD9"/>
    <w:rPr>
      <w:rFonts w:ascii="Palatino Linotype" w:eastAsia="Cambria" w:hAnsi="Palatino Linotype"/>
      <w:sz w:val="20"/>
      <w:szCs w:val="20"/>
      <w:lang w:eastAsia="en-US"/>
    </w:rPr>
  </w:style>
  <w:style w:type="character" w:styleId="Hipervnculo">
    <w:name w:val="Hyperlink"/>
    <w:basedOn w:val="Fuentedeprrafopredeter"/>
    <w:uiPriority w:val="99"/>
    <w:unhideWhenUsed/>
    <w:rsid w:val="00C33FD9"/>
    <w:rPr>
      <w:color w:val="0000FF"/>
      <w:u w:val="single"/>
    </w:rPr>
  </w:style>
  <w:style w:type="paragraph" w:styleId="Textodeglobo">
    <w:name w:val="Balloon Text"/>
    <w:basedOn w:val="Normal"/>
    <w:link w:val="TextodegloboCar"/>
    <w:uiPriority w:val="99"/>
    <w:semiHidden/>
    <w:unhideWhenUsed/>
    <w:rsid w:val="00115E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5EDF"/>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1A56CC"/>
    <w:rPr>
      <w:sz w:val="16"/>
      <w:szCs w:val="16"/>
    </w:rPr>
  </w:style>
  <w:style w:type="paragraph" w:styleId="Textocomentario">
    <w:name w:val="annotation text"/>
    <w:basedOn w:val="Normal"/>
    <w:link w:val="TextocomentarioCar"/>
    <w:uiPriority w:val="99"/>
    <w:semiHidden/>
    <w:unhideWhenUsed/>
    <w:rsid w:val="001A56CC"/>
    <w:rPr>
      <w:sz w:val="20"/>
      <w:szCs w:val="20"/>
    </w:rPr>
  </w:style>
  <w:style w:type="character" w:customStyle="1" w:styleId="TextocomentarioCar">
    <w:name w:val="Texto comentario Car"/>
    <w:basedOn w:val="Fuentedeprrafopredeter"/>
    <w:link w:val="Textocomentario"/>
    <w:uiPriority w:val="99"/>
    <w:semiHidden/>
    <w:rsid w:val="001A56C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A56CC"/>
    <w:rPr>
      <w:b/>
      <w:bCs/>
    </w:rPr>
  </w:style>
  <w:style w:type="character" w:customStyle="1" w:styleId="AsuntodelcomentarioCar">
    <w:name w:val="Asunto del comentario Car"/>
    <w:basedOn w:val="TextocomentarioCar"/>
    <w:link w:val="Asuntodelcomentario"/>
    <w:uiPriority w:val="99"/>
    <w:semiHidden/>
    <w:rsid w:val="001A56C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est_/recursos.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FFA4-B3E7-4F2A-B500-EA6463A3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6025</Words>
  <Characters>33141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4</cp:revision>
  <cp:lastPrinted>2021-05-20T02:33:00Z</cp:lastPrinted>
  <dcterms:created xsi:type="dcterms:W3CDTF">2021-05-20T02:33:00Z</dcterms:created>
  <dcterms:modified xsi:type="dcterms:W3CDTF">2021-06-07T06:20:00Z</dcterms:modified>
</cp:coreProperties>
</file>