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B7395">
        <w:rPr>
          <w:rFonts w:ascii="Palatino Linotype" w:hAnsi="Palatino Linotype"/>
          <w:sz w:val="24"/>
          <w:szCs w:val="24"/>
          <w:lang w:eastAsia="es-MX"/>
        </w:rPr>
        <w:t>siete de julio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0B4F6A">
        <w:rPr>
          <w:rFonts w:ascii="Palatino Linotype" w:hAnsi="Palatino Linotype"/>
          <w:sz w:val="24"/>
          <w:szCs w:val="24"/>
          <w:lang w:eastAsia="es-MX"/>
        </w:rPr>
        <w:t>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84061E">
        <w:rPr>
          <w:rFonts w:ascii="Palatino Linotype" w:hAnsi="Palatino Linotype"/>
          <w:b/>
          <w:bCs/>
          <w:sz w:val="24"/>
          <w:szCs w:val="24"/>
          <w:lang w:eastAsia="es-MX"/>
        </w:rPr>
        <w:t>00460/INFOEM/IP/RR/2021</w:t>
      </w:r>
      <w:r w:rsidR="003C3124">
        <w:rPr>
          <w:rFonts w:ascii="Palatino Linotype" w:hAnsi="Palatino Linotype"/>
          <w:sz w:val="24"/>
          <w:szCs w:val="24"/>
        </w:rPr>
        <w:t>, interpuest</w:t>
      </w:r>
      <w:r w:rsidR="0084061E">
        <w:rPr>
          <w:rFonts w:ascii="Palatino Linotype" w:hAnsi="Palatino Linotype"/>
          <w:sz w:val="24"/>
          <w:szCs w:val="24"/>
        </w:rPr>
        <w:t>o por</w:t>
      </w:r>
      <w:r w:rsidR="001829E5">
        <w:rPr>
          <w:rFonts w:ascii="Palatino Linotype" w:hAnsi="Palatino Linotype"/>
          <w:sz w:val="24"/>
          <w:szCs w:val="24"/>
        </w:rPr>
        <w:t xml:space="preserve"> </w:t>
      </w:r>
      <w:r w:rsidR="000733C7">
        <w:rPr>
          <w:rFonts w:ascii="Palatino Linotype" w:hAnsi="Palatino Linotype"/>
          <w:b/>
          <w:sz w:val="24"/>
          <w:szCs w:val="24"/>
        </w:rPr>
        <w:t>xxxxxxxxxxxxxxxxxxxxxxx</w:t>
      </w:r>
      <w:r w:rsidR="001829E5">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84061E" w:rsidRPr="0084061E">
        <w:rPr>
          <w:rFonts w:ascii="Palatino Linotype" w:hAnsi="Palatino Linotype" w:cs="Arial"/>
          <w:b/>
          <w:sz w:val="24"/>
          <w:szCs w:val="24"/>
        </w:rPr>
        <w:t>Ayuntamiento de Chiconcuac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D0226">
        <w:rPr>
          <w:rFonts w:ascii="Palatino Linotype" w:hAnsi="Palatino Linotype"/>
          <w:sz w:val="24"/>
          <w:szCs w:val="24"/>
        </w:rPr>
        <w:t>veintinueve</w:t>
      </w:r>
      <w:r w:rsidR="0084061E">
        <w:rPr>
          <w:rFonts w:ascii="Palatino Linotype" w:hAnsi="Palatino Linotype"/>
          <w:sz w:val="24"/>
          <w:szCs w:val="24"/>
        </w:rPr>
        <w:t xml:space="preserve"> de enero de dos mil veintiuno</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5D0226">
        <w:rPr>
          <w:rFonts w:ascii="Palatino Linotype" w:hAnsi="Palatino Linotype"/>
          <w:b/>
          <w:sz w:val="24"/>
          <w:szCs w:val="24"/>
        </w:rPr>
        <w:t>00018/CHICONCU/IP/2021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9A0FCA" w:rsidRPr="009A0FCA">
        <w:rPr>
          <w:rFonts w:ascii="Palatino Linotype" w:eastAsia="Times New Roman" w:hAnsi="Palatino Linotype" w:cs="Times New Roman"/>
          <w:i/>
          <w:sz w:val="24"/>
          <w:szCs w:val="24"/>
          <w:lang w:val="es-ES_tradnl" w:eastAsia="es-ES"/>
        </w:rPr>
        <w:t>Solicitamos de la Presidenta Municipal y/o Agustina Catalina Velasco Vicuña y de la Tesorera Municipal y/o Lucia Baños Gálvez sus declaraciones patrimoniales, de intereses y fiscal o manifestación de bienes, o cualquier denomicación de los años 2018, 2019, 2020</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5D0226" w:rsidRDefault="005D0226"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5F4160">
        <w:rPr>
          <w:rFonts w:ascii="Palatino Linotype" w:eastAsia="Times New Roman" w:hAnsi="Palatino Linotype" w:cs="Times New Roman"/>
          <w:b/>
          <w:sz w:val="24"/>
          <w:szCs w:val="24"/>
          <w:lang w:val="es-ES_tradnl" w:eastAsia="es-ES"/>
        </w:rPr>
        <w:t>A través del SAIMEX</w:t>
      </w:r>
      <w:r w:rsidR="006F3CFF">
        <w:rPr>
          <w:rFonts w:ascii="Palatino Linotype" w:eastAsia="Times New Roman" w:hAnsi="Palatino Linotype" w:cs="Times New Roman"/>
          <w:b/>
          <w:sz w:val="24"/>
          <w:szCs w:val="24"/>
          <w:lang w:val="es-ES_tradnl" w:eastAsia="es-ES"/>
        </w:rPr>
        <w:t>.</w:t>
      </w:r>
    </w:p>
    <w:p w:rsidR="007E2E80" w:rsidRPr="00DD5971" w:rsidRDefault="00911C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97709E">
        <w:rPr>
          <w:rFonts w:ascii="Palatino Linotype" w:hAnsi="Palatino Linotype"/>
          <w:sz w:val="24"/>
        </w:rPr>
        <w:t>quince de febrero</w:t>
      </w:r>
      <w:r w:rsidR="008C0E72">
        <w:rPr>
          <w:rFonts w:ascii="Palatino Linotype" w:hAnsi="Palatino Linotype"/>
          <w:sz w:val="24"/>
        </w:rPr>
        <w:t xml:space="preserve"> de </w:t>
      </w:r>
      <w:r w:rsidR="000A75BE">
        <w:rPr>
          <w:rFonts w:ascii="Palatino Linotype" w:hAnsi="Palatino Linotype"/>
          <w:sz w:val="24"/>
        </w:rPr>
        <w:t xml:space="preserve">dos mil </w:t>
      </w:r>
      <w:r w:rsidR="0097709E">
        <w:rPr>
          <w:rFonts w:ascii="Palatino Linotype" w:hAnsi="Palatino Linotype"/>
          <w:sz w:val="24"/>
        </w:rPr>
        <w:t>veintiuno</w:t>
      </w:r>
      <w:r w:rsidRPr="00C35F18">
        <w:rPr>
          <w:rFonts w:ascii="Palatino Linotype" w:hAnsi="Palatino Linotype"/>
          <w:sz w:val="24"/>
        </w:rPr>
        <w:t xml:space="preserve">, </w:t>
      </w:r>
      <w:r w:rsidR="008C0E72">
        <w:rPr>
          <w:rFonts w:ascii="Palatino Linotype" w:hAnsi="Palatino Linotype"/>
          <w:sz w:val="24"/>
        </w:rPr>
        <w:t>manifestando lo siguiente:</w:t>
      </w:r>
    </w:p>
    <w:p w:rsidR="00695F63" w:rsidRDefault="00695F63" w:rsidP="0014447C">
      <w:pPr>
        <w:pStyle w:val="Sinespaciado"/>
        <w:spacing w:line="360" w:lineRule="auto"/>
        <w:jc w:val="both"/>
        <w:rPr>
          <w:rFonts w:ascii="Verdana" w:hAnsi="Verdana"/>
          <w:color w:val="000000"/>
          <w:sz w:val="18"/>
          <w:szCs w:val="18"/>
        </w:rPr>
      </w:pPr>
    </w:p>
    <w:p w:rsidR="0097709E" w:rsidRDefault="0097709E" w:rsidP="0014447C">
      <w:pPr>
        <w:pStyle w:val="Sinespaciado"/>
        <w:spacing w:line="360" w:lineRule="auto"/>
        <w:jc w:val="both"/>
        <w:rPr>
          <w:rFonts w:ascii="Verdana" w:hAnsi="Verdana"/>
          <w:sz w:val="18"/>
          <w:szCs w:val="1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D0226" w:rsidRPr="00F11FB3" w:rsidTr="00F11FB3">
        <w:trPr>
          <w:trHeight w:val="150"/>
          <w:tblCellSpacing w:w="0" w:type="dxa"/>
          <w:jc w:val="center"/>
        </w:trPr>
        <w:tc>
          <w:tcPr>
            <w:tcW w:w="0" w:type="auto"/>
            <w:vAlign w:val="center"/>
            <w:hideMark/>
          </w:tcPr>
          <w:p w:rsidR="005D0226" w:rsidRDefault="005D0226" w:rsidP="005D0226">
            <w:pPr>
              <w:ind w:left="709" w:right="719"/>
              <w:jc w:val="both"/>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D0226" w:rsidRPr="00F11FB3" w:rsidTr="00F11FB3">
        <w:trPr>
          <w:trHeight w:val="375"/>
          <w:tblCellSpacing w:w="0" w:type="dxa"/>
          <w:jc w:val="center"/>
        </w:trPr>
        <w:tc>
          <w:tcPr>
            <w:tcW w:w="0" w:type="auto"/>
            <w:vAlign w:val="center"/>
            <w:hideMark/>
          </w:tcPr>
          <w:p w:rsidR="005D0226" w:rsidRDefault="005D0226" w:rsidP="005D0226">
            <w:pPr>
              <w:ind w:left="709" w:right="719"/>
              <w:jc w:val="both"/>
            </w:pPr>
          </w:p>
        </w:tc>
      </w:tr>
      <w:tr w:rsidR="005D0226" w:rsidRPr="00F11FB3" w:rsidTr="00F11FB3">
        <w:trPr>
          <w:trHeight w:val="150"/>
          <w:tblCellSpacing w:w="0" w:type="dxa"/>
          <w:jc w:val="center"/>
        </w:trPr>
        <w:tc>
          <w:tcPr>
            <w:tcW w:w="0" w:type="auto"/>
            <w:vAlign w:val="center"/>
            <w:hideMark/>
          </w:tcPr>
          <w:p w:rsidR="005D0226" w:rsidRDefault="005D0226" w:rsidP="005D0226">
            <w:pPr>
              <w:ind w:left="709" w:right="719"/>
              <w:jc w:val="both"/>
              <w:rPr>
                <w:sz w:val="24"/>
                <w:szCs w:val="24"/>
              </w:rPr>
            </w:pPr>
            <w:r>
              <w:rPr>
                <w:rFonts w:ascii="Verdana" w:hAnsi="Verdana"/>
                <w:sz w:val="18"/>
                <w:szCs w:val="18"/>
              </w:rPr>
              <w:t>Por medio de la presente y en relación a su solicitud marcada con el número de oficio 00018/CHICONCU/IP/2021, una vez turnada al área correspondiente, “Contraloría” le remito la siguiente respuesta: De acuerdo a la LEY GENERAL DE TRANSPARENCIA Y ACCESO A LA INFORMACIÓN PÚBLICA. Capítulo III De la Información Confidencial protección de datos. Artículo 116. Se considera información confidencial la que contiene datos personales concernientes a una persona identificada o identificable. La información confidencial no estará sujeta a temporalidad alguna y sólo podrán tener acceso a ella los titulares de la misma, sus representantes y los Servidores Públicos facultados para ello.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por lo mismo, no se le puede hacer entrega de Se hace de su conocimiento e impedimento que asiste a esta Autoridad Administrativa para proporcionar la información solicitada, ello en virtud de tratarse de datos personales de los que no se cuenta con el consentimiento expreso del titular para su transmisión a otro particular, ello conformado a lo señalado en el artículo 4 fracción X y 40 de la Ley de Protección de Datos personales en posesión de sujetos obligados del Estado de México y Municipios. Sin mas por el momento quedo de Usted.</w:t>
            </w:r>
          </w:p>
        </w:tc>
      </w:tr>
      <w:tr w:rsidR="00F11FB3" w:rsidRPr="00F11FB3" w:rsidTr="00F11FB3">
        <w:trPr>
          <w:trHeight w:val="375"/>
          <w:tblCellSpacing w:w="0" w:type="dxa"/>
          <w:jc w:val="center"/>
        </w:trPr>
        <w:tc>
          <w:tcPr>
            <w:tcW w:w="0" w:type="auto"/>
            <w:vAlign w:val="center"/>
            <w:hideMark/>
          </w:tcPr>
          <w:p w:rsidR="00F11FB3" w:rsidRPr="00F11FB3" w:rsidRDefault="00F11FB3" w:rsidP="005D0226">
            <w:pPr>
              <w:spacing w:after="0" w:line="240" w:lineRule="auto"/>
              <w:ind w:left="709" w:right="719"/>
              <w:jc w:val="both"/>
              <w:rPr>
                <w:rFonts w:ascii="Times New Roman" w:eastAsia="Times New Roman" w:hAnsi="Times New Roman" w:cs="Times New Roman"/>
                <w:sz w:val="24"/>
                <w:szCs w:val="24"/>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5D0226">
            <w:pPr>
              <w:spacing w:after="0" w:line="240" w:lineRule="auto"/>
              <w:ind w:left="709" w:right="719"/>
              <w:jc w:val="both"/>
              <w:rPr>
                <w:rFonts w:ascii="Times New Roman" w:eastAsia="Times New Roman" w:hAnsi="Times New Roman" w:cs="Times New Roman"/>
                <w:sz w:val="20"/>
                <w:szCs w:val="20"/>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5D0226">
            <w:pPr>
              <w:spacing w:after="0" w:line="240" w:lineRule="auto"/>
              <w:ind w:left="709" w:right="719"/>
              <w:jc w:val="both"/>
              <w:rPr>
                <w:rFonts w:ascii="Times New Roman" w:eastAsia="Times New Roman" w:hAnsi="Times New Roman" w:cs="Times New Roman"/>
                <w:sz w:val="20"/>
                <w:szCs w:val="20"/>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5D0226">
            <w:pPr>
              <w:spacing w:after="0" w:line="240" w:lineRule="auto"/>
              <w:ind w:left="709" w:right="719"/>
              <w:jc w:val="both"/>
              <w:rPr>
                <w:rFonts w:ascii="Times New Roman" w:eastAsia="Times New Roman" w:hAnsi="Times New Roman" w:cs="Times New Roman"/>
                <w:sz w:val="24"/>
                <w:szCs w:val="24"/>
                <w:lang w:eastAsia="es-MX"/>
              </w:rPr>
            </w:pPr>
            <w:r w:rsidRPr="00F11FB3">
              <w:rPr>
                <w:rFonts w:ascii="Verdana" w:eastAsia="Times New Roman" w:hAnsi="Verdana" w:cs="Times New Roman"/>
                <w:sz w:val="18"/>
                <w:szCs w:val="18"/>
                <w:lang w:eastAsia="es-MX"/>
              </w:rPr>
              <w:t>ATENTAMENTE</w:t>
            </w:r>
          </w:p>
        </w:tc>
      </w:tr>
      <w:tr w:rsidR="00F11FB3" w:rsidRPr="00F11FB3" w:rsidTr="00F11FB3">
        <w:trPr>
          <w:trHeight w:val="225"/>
          <w:tblCellSpacing w:w="0" w:type="dxa"/>
          <w:jc w:val="center"/>
        </w:trPr>
        <w:tc>
          <w:tcPr>
            <w:tcW w:w="0" w:type="auto"/>
            <w:vAlign w:val="center"/>
            <w:hideMark/>
          </w:tcPr>
          <w:p w:rsidR="00F11FB3" w:rsidRPr="00F11FB3" w:rsidRDefault="00F11FB3" w:rsidP="005D0226">
            <w:pPr>
              <w:spacing w:after="0" w:line="240" w:lineRule="auto"/>
              <w:ind w:left="709" w:right="719"/>
              <w:jc w:val="both"/>
              <w:rPr>
                <w:rFonts w:ascii="Times New Roman" w:eastAsia="Times New Roman" w:hAnsi="Times New Roman" w:cs="Times New Roman"/>
                <w:sz w:val="24"/>
                <w:szCs w:val="24"/>
                <w:lang w:eastAsia="es-MX"/>
              </w:rPr>
            </w:pPr>
          </w:p>
        </w:tc>
      </w:tr>
      <w:tr w:rsidR="00F11FB3" w:rsidRPr="00F11FB3" w:rsidTr="00F11FB3">
        <w:trPr>
          <w:trHeight w:val="150"/>
          <w:tblCellSpacing w:w="0" w:type="dxa"/>
          <w:jc w:val="center"/>
        </w:trPr>
        <w:tc>
          <w:tcPr>
            <w:tcW w:w="0" w:type="auto"/>
            <w:vAlign w:val="center"/>
            <w:hideMark/>
          </w:tcPr>
          <w:p w:rsidR="00F11FB3" w:rsidRPr="00F11FB3" w:rsidRDefault="00F11FB3" w:rsidP="005D0226">
            <w:pPr>
              <w:spacing w:after="0" w:line="240" w:lineRule="auto"/>
              <w:ind w:left="709" w:right="719"/>
              <w:jc w:val="both"/>
              <w:rPr>
                <w:rFonts w:ascii="Times New Roman" w:eastAsia="Times New Roman" w:hAnsi="Times New Roman" w:cs="Times New Roman"/>
                <w:sz w:val="24"/>
                <w:szCs w:val="24"/>
                <w:lang w:eastAsia="es-MX"/>
              </w:rPr>
            </w:pPr>
            <w:r w:rsidRPr="00F11FB3">
              <w:rPr>
                <w:rFonts w:ascii="Verdana" w:eastAsia="Times New Roman" w:hAnsi="Verdana" w:cs="Times New Roman"/>
                <w:sz w:val="18"/>
                <w:szCs w:val="18"/>
                <w:lang w:eastAsia="es-MX"/>
              </w:rPr>
              <w:t>C. Mariela Romero Balderas</w:t>
            </w:r>
          </w:p>
        </w:tc>
      </w:tr>
    </w:tbl>
    <w:p w:rsidR="00AF6E3A" w:rsidRDefault="00AF6E3A" w:rsidP="00AF6E3A">
      <w:pPr>
        <w:pStyle w:val="Sinespaciado"/>
        <w:spacing w:line="360" w:lineRule="auto"/>
        <w:jc w:val="both"/>
        <w:rPr>
          <w:rFonts w:ascii="Verdana" w:hAnsi="Verdana"/>
          <w:sz w:val="18"/>
          <w:szCs w:val="18"/>
        </w:rPr>
      </w:pPr>
    </w:p>
    <w:p w:rsidR="00AF6E3A" w:rsidRDefault="00AF6E3A" w:rsidP="00AF6E3A">
      <w:pPr>
        <w:pStyle w:val="Sinespaciado"/>
        <w:spacing w:line="360" w:lineRule="auto"/>
        <w:jc w:val="both"/>
        <w:rPr>
          <w:rFonts w:ascii="Verdana" w:hAnsi="Verdana"/>
          <w:sz w:val="18"/>
          <w:szCs w:val="18"/>
        </w:rPr>
      </w:pP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p>
        </w:tc>
      </w:tr>
    </w:tbl>
    <w:p w:rsidR="007E2E80" w:rsidRPr="00D04234" w:rsidRDefault="009E08B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E97904">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007C75D7">
        <w:rPr>
          <w:rFonts w:ascii="Palatino Linotype" w:hAnsi="Palatino Linotype"/>
          <w:sz w:val="24"/>
          <w:szCs w:val="24"/>
        </w:rPr>
        <w:t xml:space="preserve"> Recurrente interpuso</w:t>
      </w:r>
      <w:r w:rsidR="00E97904">
        <w:rPr>
          <w:rFonts w:ascii="Palatino Linotype" w:hAnsi="Palatino Linotype"/>
          <w:sz w:val="24"/>
          <w:szCs w:val="24"/>
        </w:rPr>
        <w:t xml:space="preserve"> </w:t>
      </w:r>
      <w:r w:rsidRPr="00D04234">
        <w:rPr>
          <w:rFonts w:ascii="Palatino Linotype" w:hAnsi="Palatino Linotype"/>
          <w:sz w:val="24"/>
          <w:szCs w:val="24"/>
        </w:rPr>
        <w:t xml:space="preserve">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D85E01">
        <w:rPr>
          <w:rFonts w:ascii="Palatino Linotype" w:hAnsi="Palatino Linotype"/>
          <w:sz w:val="24"/>
          <w:szCs w:val="24"/>
        </w:rPr>
        <w:t>dieciocho de febrero de dos mil veintiuno</w:t>
      </w:r>
      <w:r w:rsidR="00852DE6">
        <w:rPr>
          <w:rFonts w:ascii="Palatino Linotype" w:hAnsi="Palatino Linotype"/>
          <w:sz w:val="24"/>
          <w:szCs w:val="24"/>
        </w:rPr>
        <w:t>, el cual</w:t>
      </w:r>
      <w:r w:rsidR="00E9790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sistema elect</w:t>
      </w:r>
      <w:r w:rsidR="00E97904">
        <w:rPr>
          <w:rFonts w:ascii="Palatino Linotype" w:hAnsi="Palatino Linotype"/>
          <w:sz w:val="24"/>
          <w:szCs w:val="24"/>
        </w:rPr>
        <w:t xml:space="preserve">rónico con el expediente número </w:t>
      </w:r>
      <w:r w:rsidR="0084061E">
        <w:rPr>
          <w:rFonts w:ascii="Palatino Linotype" w:hAnsi="Palatino Linotype"/>
          <w:b/>
          <w:bCs/>
          <w:sz w:val="24"/>
          <w:szCs w:val="24"/>
          <w:lang w:eastAsia="es-MX"/>
        </w:rPr>
        <w:t>00460/INFOEM/IP/RR/2021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5D0226" w:rsidRPr="005D0226">
        <w:rPr>
          <w:rFonts w:ascii="Palatino Linotype" w:hAnsi="Palatino Linotype" w:cs="Arial"/>
          <w:i/>
          <w:sz w:val="24"/>
        </w:rPr>
        <w:t>Supuesta respuesta a la solicitud de información</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E97904">
      <w:pPr>
        <w:spacing w:line="240" w:lineRule="auto"/>
        <w:ind w:left="567" w:right="567"/>
        <w:jc w:val="both"/>
        <w:rPr>
          <w:rFonts w:ascii="Palatino Linotype" w:hAnsi="Palatino Linotype" w:cs="Arial"/>
          <w:i/>
          <w:sz w:val="24"/>
        </w:rPr>
      </w:pPr>
      <w:r w:rsidRPr="00D46905">
        <w:rPr>
          <w:rFonts w:ascii="Palatino Linotype" w:hAnsi="Palatino Linotype" w:cs="Arial"/>
          <w:i/>
          <w:sz w:val="24"/>
        </w:rPr>
        <w:t>“</w:t>
      </w:r>
      <w:r w:rsidR="005D0226" w:rsidRPr="005D0226">
        <w:rPr>
          <w:rFonts w:ascii="Palatino Linotype" w:hAnsi="Palatino Linotype" w:cs="Arial"/>
          <w:i/>
          <w:sz w:val="24"/>
        </w:rPr>
        <w:t>La falta de certeza en la supuesta respuesta que remite el sujeto obligado y la falta de transparencia en su actuar así como la saña en su respuesta toda vez que solo menciona que se trata de información confidencial sin adjuntar un acuerdo de clasificación al respecto, y tanpoco adjunta documentos de natulareza ública que puedan contener dtos personales, mismos que por su naturaleza se trata de los precisamente solicitados en mi solicitud, por lo que de nueva cuenta soliciti a ese H Órgano Garante proteja mis derechos consagrados en el artículo 6 de la CPEUM y corrija las omisiones dolosas a las cuales acude el sujeto obligado.</w:t>
      </w:r>
      <w:r w:rsidR="006A3A54" w:rsidRPr="00D46905">
        <w:rPr>
          <w:rFonts w:ascii="Palatino Linotype" w:hAnsi="Palatino Linotype" w:cs="Arial"/>
          <w:i/>
          <w:sz w:val="24"/>
        </w:rPr>
        <w:t>” (Sic)</w:t>
      </w:r>
    </w:p>
    <w:p w:rsidR="00CF5F51" w:rsidRDefault="00CF5F51" w:rsidP="004657BE">
      <w:pPr>
        <w:pStyle w:val="Sinespaciado"/>
        <w:spacing w:line="360" w:lineRule="auto"/>
        <w:jc w:val="both"/>
        <w:rPr>
          <w:rFonts w:ascii="Palatino Linotype" w:hAnsi="Palatino Linotype"/>
          <w:sz w:val="24"/>
          <w:szCs w:val="24"/>
        </w:rPr>
      </w:pPr>
    </w:p>
    <w:p w:rsidR="007E2E80" w:rsidRDefault="00607CCB"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6450A">
        <w:rPr>
          <w:rFonts w:ascii="Palatino Linotype" w:hAnsi="Palatino Linotype"/>
          <w:sz w:val="24"/>
          <w:szCs w:val="24"/>
        </w:rPr>
        <w:t>veinticuatro de febrero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8D7ECF">
        <w:rPr>
          <w:rFonts w:ascii="Palatino Linotype" w:hAnsi="Palatino Linotype"/>
          <w:sz w:val="24"/>
          <w:szCs w:val="24"/>
        </w:rPr>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F519F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abierta la etapa de instrucción, en el sumario se observa que </w:t>
      </w:r>
      <w:r w:rsidR="00B77BD1">
        <w:rPr>
          <w:rFonts w:ascii="Palatino Linotype" w:hAnsi="Palatino Linotype"/>
          <w:sz w:val="24"/>
          <w:szCs w:val="24"/>
        </w:rPr>
        <w:t xml:space="preserve">tanto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w:t>
      </w:r>
      <w:r w:rsidR="002B23C3">
        <w:rPr>
          <w:rFonts w:ascii="Palatino Linotype" w:hAnsi="Palatino Linotype"/>
          <w:sz w:val="24"/>
          <w:szCs w:val="24"/>
        </w:rPr>
        <w:t xml:space="preserve">no remitió manifestación alguna, por su parte el Sujeto Obligado rindió su informe justificado en tiempo y forma. </w:t>
      </w:r>
    </w:p>
    <w:p w:rsidR="00423C27" w:rsidRPr="0014447C" w:rsidRDefault="00F519F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B4F6A">
        <w:rPr>
          <w:rFonts w:ascii="Palatino Linotype" w:hAnsi="Palatino Linotype"/>
          <w:sz w:val="24"/>
          <w:szCs w:val="24"/>
        </w:rPr>
        <w:t>diecisiete</w:t>
      </w:r>
      <w:r w:rsidR="002933A7">
        <w:rPr>
          <w:rFonts w:ascii="Palatino Linotype" w:hAnsi="Palatino Linotype"/>
          <w:sz w:val="24"/>
          <w:szCs w:val="24"/>
        </w:rPr>
        <w:t xml:space="preserve"> de 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2933A7">
        <w:rPr>
          <w:rFonts w:ascii="Palatino Linotype" w:hAnsi="Palatino Linotype"/>
          <w:sz w:val="24"/>
          <w:szCs w:val="24"/>
        </w:rPr>
        <w:t>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2B23C3" w:rsidRPr="0014447C" w:rsidRDefault="002B23C3" w:rsidP="0014447C">
      <w:pPr>
        <w:pStyle w:val="Sinespaciado"/>
        <w:spacing w:line="360" w:lineRule="auto"/>
        <w:jc w:val="both"/>
        <w:rPr>
          <w:rFonts w:ascii="Palatino Linotype" w:hAnsi="Palatino Linotype"/>
          <w:sz w:val="24"/>
          <w:szCs w:val="24"/>
        </w:rPr>
      </w:pPr>
    </w:p>
    <w:p w:rsidR="00DC6FE7" w:rsidRPr="00DC6FE7" w:rsidRDefault="00F519F9" w:rsidP="00DC6FE7">
      <w:pPr>
        <w:spacing w:after="0"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0B4F6A">
        <w:rPr>
          <w:rFonts w:ascii="Palatino Linotype" w:hAnsi="Palatino Linotype" w:cs="Arial"/>
          <w:sz w:val="24"/>
          <w:szCs w:val="24"/>
        </w:rPr>
        <w:t>diecisiete de mayo</w:t>
      </w:r>
      <w:r w:rsidR="00EB5002" w:rsidRPr="00CA5653">
        <w:rPr>
          <w:rFonts w:ascii="Palatino Linotype" w:hAnsi="Palatino Linotype" w:cs="Arial"/>
          <w:sz w:val="24"/>
          <w:szCs w:val="24"/>
        </w:rPr>
        <w:t xml:space="preserve"> </w:t>
      </w:r>
      <w:r w:rsidR="006F59E5">
        <w:rPr>
          <w:rFonts w:ascii="Palatino Linotype" w:hAnsi="Palatino Linotype" w:cs="Arial"/>
          <w:sz w:val="24"/>
          <w:szCs w:val="24"/>
        </w:rPr>
        <w:t>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xml:space="preserve">, 181 párrafo tercero, 182, 185, 188 </w:t>
      </w:r>
      <w:r w:rsidRPr="0014447C">
        <w:rPr>
          <w:rFonts w:ascii="Palatino Linotype" w:hAnsi="Palatino Linotype"/>
          <w:sz w:val="24"/>
          <w:szCs w:val="24"/>
        </w:rPr>
        <w:lastRenderedPageBreak/>
        <w:t>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C2C4D" w:rsidRDefault="009C2C4D" w:rsidP="0014447C">
      <w:pPr>
        <w:pStyle w:val="Sinespaciado"/>
        <w:spacing w:line="360" w:lineRule="auto"/>
        <w:jc w:val="both"/>
        <w:rPr>
          <w:rFonts w:ascii="Palatino Linotype" w:hAnsi="Palatino Linotype"/>
          <w:sz w:val="24"/>
          <w:szCs w:val="24"/>
        </w:rPr>
      </w:pPr>
    </w:p>
    <w:p w:rsidR="009C2C4D" w:rsidRDefault="009C2C4D" w:rsidP="009C2C4D">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9C2C4D" w:rsidRPr="004F59FF" w:rsidRDefault="009C2C4D" w:rsidP="009C2C4D">
      <w:pPr>
        <w:pStyle w:val="Sinespaciado"/>
        <w:jc w:val="both"/>
        <w:rPr>
          <w:rFonts w:ascii="Palatino Linotype" w:hAnsi="Palatino Linotype"/>
          <w:b/>
          <w:sz w:val="14"/>
          <w:szCs w:val="26"/>
          <w:lang w:val="es-ES"/>
        </w:rPr>
      </w:pPr>
    </w:p>
    <w:p w:rsidR="009C2C4D" w:rsidRDefault="009C2C4D" w:rsidP="009C2C4D">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9C2C4D" w:rsidRPr="00890DBD" w:rsidRDefault="009C2C4D" w:rsidP="009C2C4D">
      <w:pPr>
        <w:pStyle w:val="Sinespaciado"/>
        <w:spacing w:line="360" w:lineRule="auto"/>
        <w:jc w:val="both"/>
        <w:rPr>
          <w:rFonts w:ascii="Palatino Linotype" w:hAnsi="Palatino Linotype"/>
          <w:lang w:val="es-ES"/>
        </w:rPr>
      </w:pP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lastRenderedPageBreak/>
        <w:t>IV. La fecha en que fue notificada la respuesta al solicitante o tuvo conocimiento del acto reclamado, o de presentación de la solicitud, en caso de falta de respuesta;</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9C2C4D" w:rsidRPr="00890DBD" w:rsidRDefault="009C2C4D" w:rsidP="009C2C4D">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9C2C4D" w:rsidRPr="00311EE6" w:rsidRDefault="009C2C4D" w:rsidP="009C2C4D">
      <w:pPr>
        <w:pStyle w:val="Sinespaciado"/>
        <w:jc w:val="both"/>
        <w:rPr>
          <w:rFonts w:ascii="Palatino Linotype" w:hAnsi="Palatino Linotype"/>
          <w:b/>
          <w:i/>
          <w:lang w:val="es-ES"/>
        </w:rPr>
      </w:pPr>
      <w:r w:rsidRPr="00890DBD">
        <w:rPr>
          <w:rFonts w:ascii="Palatino Linotype" w:hAnsi="Palatino Linotype"/>
          <w:b/>
          <w:i/>
          <w:lang w:val="es-ES"/>
        </w:rPr>
        <w:t>[Énfasis añadido]</w:t>
      </w:r>
    </w:p>
    <w:p w:rsidR="009C2C4D" w:rsidRDefault="009C2C4D" w:rsidP="009C2C4D">
      <w:pPr>
        <w:pStyle w:val="Sinespaciado"/>
        <w:spacing w:line="360" w:lineRule="auto"/>
        <w:jc w:val="both"/>
        <w:rPr>
          <w:rFonts w:ascii="Palatino Linotype" w:hAnsi="Palatino Linotype"/>
        </w:rPr>
      </w:pPr>
    </w:p>
    <w:p w:rsidR="009C2C4D" w:rsidRDefault="009C2C4D" w:rsidP="009C2C4D">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w:t>
      </w:r>
      <w:r w:rsidRPr="00890DBD">
        <w:rPr>
          <w:rFonts w:ascii="Palatino Linotype" w:hAnsi="Palatino Linotype"/>
        </w:rPr>
        <w:lastRenderedPageBreak/>
        <w:t>nombre que permita tener certeza sobre su identidad, no constituye un elemento que impida el estudiar el asunto y por consecuencia emitir la resolución correspondiente</w:t>
      </w:r>
      <w:r>
        <w:rPr>
          <w:rFonts w:ascii="Palatino Linotype" w:hAnsi="Palatino Linotype"/>
        </w:rPr>
        <w:t>.</w:t>
      </w:r>
    </w:p>
    <w:p w:rsidR="009C2C4D" w:rsidRDefault="009C2C4D" w:rsidP="0014447C">
      <w:pPr>
        <w:pStyle w:val="Sinespaciado"/>
        <w:spacing w:line="360" w:lineRule="auto"/>
        <w:jc w:val="both"/>
        <w:rPr>
          <w:rFonts w:ascii="Palatino Linotype" w:hAnsi="Palatino Linotype"/>
          <w:sz w:val="24"/>
          <w:szCs w:val="24"/>
        </w:rPr>
      </w:pPr>
    </w:p>
    <w:p w:rsidR="00705D1C" w:rsidRPr="0014447C" w:rsidRDefault="009C2C4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F4D1E" w:rsidRPr="0014447C" w:rsidRDefault="001F4D1E"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C2C4D" w:rsidRDefault="009C2C4D" w:rsidP="00705D1C">
      <w:pPr>
        <w:pStyle w:val="Sinespaciado"/>
        <w:spacing w:line="360" w:lineRule="auto"/>
        <w:jc w:val="both"/>
        <w:rPr>
          <w:rFonts w:ascii="Palatino Linotype" w:hAnsi="Palatino Linotype"/>
          <w:sz w:val="24"/>
          <w:szCs w:val="24"/>
        </w:rPr>
      </w:pPr>
    </w:p>
    <w:p w:rsidR="007E2E80" w:rsidRPr="0014447C" w:rsidRDefault="009C2C4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866CF8" w:rsidRPr="0014447C" w:rsidRDefault="00866CF8" w:rsidP="0014447C">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F4D1E"/>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CA6CCD">
      <w:pPr>
        <w:pStyle w:val="Sinespaciado"/>
        <w:numPr>
          <w:ilvl w:val="0"/>
          <w:numId w:val="2"/>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6376FA">
        <w:rPr>
          <w:rFonts w:ascii="Palatino Linotype" w:hAnsi="Palatino Linotype"/>
          <w:b/>
          <w:i/>
          <w:u w:val="single"/>
        </w:rPr>
        <w:lastRenderedPageBreak/>
        <w:t>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374DF" w:rsidRDefault="00E374DF" w:rsidP="0014447C">
      <w:pPr>
        <w:pStyle w:val="Sinespaciado"/>
        <w:spacing w:line="360" w:lineRule="auto"/>
        <w:jc w:val="both"/>
        <w:rPr>
          <w:rFonts w:ascii="Palatino Linotype" w:hAnsi="Palatino Linotype"/>
          <w:sz w:val="24"/>
          <w:szCs w:val="24"/>
        </w:rPr>
      </w:pPr>
    </w:p>
    <w:p w:rsidR="00AB6FE4" w:rsidRDefault="00E374D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Expuesto lo anterior</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w:t>
      </w:r>
      <w:r w:rsidR="008766CC">
        <w:rPr>
          <w:rFonts w:ascii="Palatino Linotype" w:hAnsi="Palatino Linotype"/>
          <w:sz w:val="24"/>
          <w:szCs w:val="24"/>
        </w:rPr>
        <w:t>solicitó</w:t>
      </w:r>
      <w:r w:rsidR="00336EDF">
        <w:rPr>
          <w:rFonts w:ascii="Palatino Linotype" w:hAnsi="Palatino Linotype"/>
          <w:sz w:val="24"/>
          <w:szCs w:val="24"/>
        </w:rPr>
        <w:t xml:space="preserve">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2B23C3" w:rsidRPr="002B23C3" w:rsidRDefault="002B23C3" w:rsidP="002B23C3">
      <w:pPr>
        <w:pStyle w:val="Sinespaciado"/>
        <w:ind w:left="567" w:right="567"/>
        <w:jc w:val="both"/>
        <w:rPr>
          <w:rFonts w:ascii="Palatino Linotype" w:eastAsia="Times New Roman" w:hAnsi="Palatino Linotype" w:cs="Times New Roman"/>
          <w:sz w:val="24"/>
          <w:szCs w:val="24"/>
          <w:lang w:val="es-ES_tradnl" w:eastAsia="es-ES"/>
        </w:rPr>
      </w:pPr>
      <w:r w:rsidRPr="002B23C3">
        <w:rPr>
          <w:rFonts w:ascii="Palatino Linotype" w:eastAsia="Times New Roman" w:hAnsi="Palatino Linotype" w:cs="Times New Roman"/>
          <w:sz w:val="24"/>
          <w:szCs w:val="24"/>
          <w:lang w:val="es-ES_tradnl" w:eastAsia="es-ES"/>
        </w:rPr>
        <w:t>De la Presidenta Municipal y de la Tesorera Municipal sus declaraciones patrimoniales, de intereses y fiscal o manifestación de bienes, de los años 2018, 2019, 2020</w:t>
      </w:r>
      <w:r w:rsidR="00992D26">
        <w:rPr>
          <w:rFonts w:ascii="Palatino Linotype" w:eastAsia="Times New Roman" w:hAnsi="Palatino Linotype" w:cs="Times New Roman"/>
          <w:sz w:val="24"/>
          <w:szCs w:val="24"/>
          <w:lang w:val="es-ES_tradnl" w:eastAsia="es-ES"/>
        </w:rPr>
        <w:t>.</w:t>
      </w:r>
    </w:p>
    <w:p w:rsidR="00B04829" w:rsidRDefault="00B04829" w:rsidP="0014447C">
      <w:pPr>
        <w:pStyle w:val="Sinespaciado"/>
        <w:spacing w:line="360" w:lineRule="auto"/>
        <w:jc w:val="both"/>
        <w:rPr>
          <w:rFonts w:ascii="Palatino Linotype" w:hAnsi="Palatino Linotype"/>
          <w:sz w:val="24"/>
          <w:szCs w:val="24"/>
        </w:rPr>
      </w:pPr>
    </w:p>
    <w:p w:rsidR="00992D26"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w:t>
      </w:r>
      <w:r w:rsidR="00992D26">
        <w:rPr>
          <w:rFonts w:ascii="Palatino Linotype" w:hAnsi="Palatino Linotype"/>
          <w:sz w:val="24"/>
          <w:szCs w:val="24"/>
        </w:rPr>
        <w:t xml:space="preserve">manifestó como </w:t>
      </w:r>
      <w:r w:rsidR="00F364A2">
        <w:rPr>
          <w:rFonts w:ascii="Palatino Linotype" w:hAnsi="Palatino Linotype"/>
          <w:sz w:val="24"/>
          <w:szCs w:val="24"/>
        </w:rPr>
        <w:t>respuesta</w:t>
      </w:r>
      <w:r w:rsidR="00992D26">
        <w:rPr>
          <w:rFonts w:ascii="Palatino Linotype" w:hAnsi="Palatino Linotype"/>
          <w:sz w:val="24"/>
          <w:szCs w:val="24"/>
        </w:rPr>
        <w:t xml:space="preserve"> lo siguiente “</w:t>
      </w:r>
      <w:r w:rsidR="00992D26" w:rsidRPr="00992D26">
        <w:rPr>
          <w:rFonts w:ascii="Palatino Linotype" w:hAnsi="Palatino Linotype"/>
          <w:sz w:val="24"/>
          <w:szCs w:val="24"/>
        </w:rPr>
        <w:t xml:space="preserve">una vez turnada al área correspondiente, “Contraloría” le remito la siguiente respuesta: De acuerdo a la LEY GENERAL DE TRANSPARENCIA Y ACCESO A LA INFORMACIÓN PÚBLICA. Capítulo III De la Información Confidencial protección de datos. Artículo 116. Se considera información confidencial la que contiene datos personales concernientes a una persona identificada o identificable. La información confidencial no estará sujeta a temporalidad alguna y sólo podrán tener acceso a ella los titulares de la misma, sus representantes y los Servidores Públicos facultados para ello. Se considera como información confidencial: los secretos bancario, fiduciario, industrial, comercial, fiscal, bursátil y postal, cuya titularidad corresponda a particulares, sujetos de derecho internacional o a sujetos </w:t>
      </w:r>
      <w:r w:rsidR="00992D26" w:rsidRPr="00992D26">
        <w:rPr>
          <w:rFonts w:ascii="Palatino Linotype" w:hAnsi="Palatino Linotype"/>
          <w:sz w:val="24"/>
          <w:szCs w:val="24"/>
        </w:rPr>
        <w:lastRenderedPageBreak/>
        <w:t>obligados cuando no involucren el ejercicio de recursos públicos, por lo mismo, no se le puede hacer entrega de Se hace de su conocimiento e impedimento que asiste a esta Autoridad Administrativa para proporcionar la información solicitada, ello en virtud de tratarse de datos personales de los que no se cuenta con el consentimiento expreso del titular para su transmisión a otro particular, ello conformado a lo señalado en el artículo 4 fracción X y 40 de la Ley de Protección de Datos personales en posesión de sujetos obligados del Estado de México y Municipios. Sin mas por el momento quedo de Usted.</w:t>
      </w:r>
      <w:r w:rsidR="00992D26">
        <w:rPr>
          <w:rFonts w:ascii="Palatino Linotype" w:hAnsi="Palatino Linotype"/>
          <w:sz w:val="24"/>
          <w:szCs w:val="24"/>
        </w:rPr>
        <w:t>” Sic</w:t>
      </w:r>
    </w:p>
    <w:p w:rsidR="00B77B60" w:rsidRDefault="00F364A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D72DF5"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sidR="00051CBA">
        <w:rPr>
          <w:rFonts w:ascii="Palatino Linotype" w:hAnsi="Palatino Linotype"/>
          <w:sz w:val="24"/>
        </w:rPr>
        <w:t xml:space="preserve"> intenta dar </w:t>
      </w:r>
      <w:r>
        <w:rPr>
          <w:rFonts w:ascii="Palatino Linotype" w:hAnsi="Palatino Linotype"/>
          <w:sz w:val="24"/>
        </w:rPr>
        <w:t>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w:t>
      </w:r>
    </w:p>
    <w:p w:rsidR="002136DF" w:rsidRPr="00051CBA" w:rsidRDefault="002136DF" w:rsidP="00D72DF5">
      <w:pPr>
        <w:autoSpaceDE w:val="0"/>
        <w:autoSpaceDN w:val="0"/>
        <w:adjustRightInd w:val="0"/>
        <w:spacing w:after="0" w:line="360" w:lineRule="auto"/>
        <w:jc w:val="both"/>
        <w:rPr>
          <w:rFonts w:ascii="Palatino Linotype" w:hAnsi="Palatino Linotype"/>
          <w:sz w:val="24"/>
          <w:szCs w:val="24"/>
          <w:lang w:val="es-ES"/>
        </w:rPr>
      </w:pPr>
    </w:p>
    <w:p w:rsidR="00C674E5" w:rsidRPr="00437C40" w:rsidRDefault="008E5479" w:rsidP="00437C40">
      <w:pPr>
        <w:autoSpaceDE w:val="0"/>
        <w:autoSpaceDN w:val="0"/>
        <w:adjustRightInd w:val="0"/>
        <w:spacing w:line="360" w:lineRule="auto"/>
        <w:jc w:val="both"/>
        <w:rPr>
          <w:rFonts w:ascii="Palatino Linotype" w:hAnsi="Palatino Linotype"/>
        </w:rPr>
      </w:pPr>
      <w:r w:rsidRPr="00E7513E">
        <w:rPr>
          <w:rFonts w:ascii="Palatino Linotype" w:hAnsi="Palatino Linotype"/>
          <w:sz w:val="24"/>
        </w:rPr>
        <w:t>É</w:t>
      </w:r>
      <w:r w:rsidR="00C674E5" w:rsidRPr="00E7513E">
        <w:rPr>
          <w:rFonts w:ascii="Palatino Linotype" w:hAnsi="Palatino Linotype"/>
          <w:sz w:val="24"/>
        </w:rPr>
        <w:t>ste Órgano Garante considera que una vez existido pronun</w:t>
      </w:r>
      <w:r w:rsidRPr="00E7513E">
        <w:rPr>
          <w:rFonts w:ascii="Palatino Linotype" w:hAnsi="Palatino Linotype"/>
          <w:sz w:val="24"/>
        </w:rPr>
        <w:t>ciamiento por parte del Sujeto O</w:t>
      </w:r>
      <w:r w:rsidR="00C674E5" w:rsidRPr="00E7513E">
        <w:rPr>
          <w:rFonts w:ascii="Palatino Linotype" w:hAnsi="Palatino Linotype"/>
          <w:sz w:val="24"/>
        </w:rPr>
        <w:t>bligado al</w:t>
      </w:r>
      <w:r w:rsidR="002A1F8A" w:rsidRPr="00E7513E">
        <w:rPr>
          <w:rFonts w:ascii="Palatino Linotype" w:hAnsi="Palatino Linotype"/>
          <w:sz w:val="24"/>
        </w:rPr>
        <w:t xml:space="preserve"> momento de dar respuesta a la referida solicitud</w:t>
      </w:r>
      <w:r w:rsidR="00C674E5" w:rsidRPr="00E7513E">
        <w:rPr>
          <w:rFonts w:ascii="Palatino Linotype" w:hAnsi="Palatino Linotype"/>
          <w:sz w:val="24"/>
        </w:rPr>
        <w:t xml:space="preserve"> de información</w:t>
      </w:r>
      <w:r w:rsidR="002A1F8A" w:rsidRPr="00E7513E">
        <w:rPr>
          <w:rFonts w:ascii="Palatino Linotype" w:hAnsi="Palatino Linotype"/>
          <w:sz w:val="24"/>
        </w:rPr>
        <w:t>,</w:t>
      </w:r>
      <w:r w:rsidR="00C674E5" w:rsidRPr="00E7513E">
        <w:rPr>
          <w:rFonts w:ascii="Palatino Linotype" w:hAnsi="Palatino Linotype"/>
          <w:sz w:val="24"/>
        </w:rPr>
        <w:t xml:space="preserve"> se advierte que es competente para generar, administrar o poseer </w:t>
      </w:r>
      <w:r w:rsidR="00C674E5" w:rsidRPr="00E7513E">
        <w:rPr>
          <w:rFonts w:ascii="Palatino Linotype" w:hAnsi="Palatino Linotype" w:cs="Arial"/>
          <w:sz w:val="24"/>
        </w:rPr>
        <w:t>la información solicitada, dado que éste ha asumido la misma, en razón de que da respuesta a la solicitu</w:t>
      </w:r>
      <w:r w:rsidR="007265DE" w:rsidRPr="00E7513E">
        <w:rPr>
          <w:rFonts w:ascii="Palatino Linotype" w:hAnsi="Palatino Linotype" w:cs="Arial"/>
          <w:sz w:val="24"/>
        </w:rPr>
        <w:t>d de información</w:t>
      </w:r>
      <w:r w:rsidR="00E7513E">
        <w:rPr>
          <w:rFonts w:ascii="Palatino Linotype" w:hAnsi="Palatino Linotype" w:cs="Arial"/>
          <w:sz w:val="24"/>
        </w:rPr>
        <w:t xml:space="preserve"> po</w:t>
      </w:r>
      <w:r w:rsidR="00AE25A1">
        <w:rPr>
          <w:rFonts w:ascii="Palatino Linotype" w:hAnsi="Palatino Linotype" w:cs="Arial"/>
          <w:sz w:val="24"/>
        </w:rPr>
        <w:t>r medio de</w:t>
      </w:r>
      <w:r w:rsidR="00973C09">
        <w:rPr>
          <w:rFonts w:ascii="Palatino Linotype" w:hAnsi="Palatino Linotype" w:cs="Arial"/>
          <w:sz w:val="24"/>
        </w:rPr>
        <w:t>l plan de desarrollo municipal 2019-2021</w:t>
      </w:r>
      <w:r w:rsidR="00847400" w:rsidRPr="00E7513E">
        <w:rPr>
          <w:rFonts w:ascii="Palatino Linotype" w:hAnsi="Palatino Linotype" w:cs="Arial"/>
          <w:sz w:val="24"/>
        </w:rPr>
        <w:t>, por lo que</w:t>
      </w:r>
      <w:r w:rsidR="00C674E5" w:rsidRPr="00E7513E">
        <w:rPr>
          <w:rFonts w:ascii="Palatino Linotype" w:hAnsi="Palatino Linotype" w:cs="Arial"/>
          <w:sz w:val="24"/>
        </w:rPr>
        <w:t xml:space="preserve"> el hecho de que el sujeto obligado haya inte</w:t>
      </w:r>
      <w:r w:rsidR="004D4CFC" w:rsidRPr="00E7513E">
        <w:rPr>
          <w:rFonts w:ascii="Palatino Linotype" w:hAnsi="Palatino Linotype" w:cs="Arial"/>
          <w:sz w:val="24"/>
        </w:rPr>
        <w:t>ntado otorgar lo solicitado a El</w:t>
      </w:r>
      <w:r w:rsidR="00C674E5" w:rsidRPr="00E7513E">
        <w:rPr>
          <w:rFonts w:ascii="Palatino Linotype" w:hAnsi="Palatino Linotype" w:cs="Arial"/>
          <w:sz w:val="24"/>
        </w:rPr>
        <w:t xml:space="preserve"> </w:t>
      </w:r>
      <w:r w:rsidR="004D4CFC" w:rsidRPr="00E7513E">
        <w:rPr>
          <w:rFonts w:ascii="Palatino Linotype" w:hAnsi="Palatino Linotype" w:cs="Arial"/>
          <w:sz w:val="24"/>
        </w:rPr>
        <w:t>R</w:t>
      </w:r>
      <w:r w:rsidR="00C674E5" w:rsidRPr="00E7513E">
        <w:rPr>
          <w:rFonts w:ascii="Palatino Linotype" w:hAnsi="Palatino Linotype" w:cs="Arial"/>
          <w:sz w:val="24"/>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BE2380">
        <w:rPr>
          <w:rFonts w:ascii="Palatino Linotype" w:hAnsi="Palatino Linotype" w:cs="Arial"/>
          <w:sz w:val="24"/>
        </w:rPr>
        <w:t xml:space="preserve"> puntualizando la información remitida en </w:t>
      </w:r>
      <w:r w:rsidR="00071AAE">
        <w:rPr>
          <w:rFonts w:ascii="Palatino Linotype" w:hAnsi="Palatino Linotype" w:cs="Arial"/>
          <w:sz w:val="24"/>
        </w:rPr>
        <w:t xml:space="preserve">el </w:t>
      </w:r>
      <w:r w:rsidR="00BE2380">
        <w:rPr>
          <w:rFonts w:ascii="Palatino Linotype" w:hAnsi="Palatino Linotype" w:cs="Arial"/>
          <w:sz w:val="24"/>
        </w:rPr>
        <w:t>arc</w:t>
      </w:r>
      <w:r w:rsidR="00071AAE">
        <w:rPr>
          <w:rFonts w:ascii="Palatino Linotype" w:hAnsi="Palatino Linotype" w:cs="Arial"/>
          <w:sz w:val="24"/>
        </w:rPr>
        <w:t>hivo</w:t>
      </w:r>
      <w:r w:rsidR="00BE2380">
        <w:rPr>
          <w:rFonts w:ascii="Palatino Linotype" w:hAnsi="Palatino Linotype" w:cs="Arial"/>
          <w:sz w:val="24"/>
        </w:rPr>
        <w:t xml:space="preserve"> visto con anterioridad</w:t>
      </w:r>
      <w:r w:rsidR="00307EF2" w:rsidRPr="00E7513E">
        <w:rPr>
          <w:rFonts w:ascii="Palatino Linotype" w:hAnsi="Palatino Linotype" w:cs="Arial"/>
          <w:sz w:val="24"/>
        </w:rPr>
        <w:t xml:space="preserve">. </w:t>
      </w:r>
    </w:p>
    <w:p w:rsidR="00C674E5" w:rsidRDefault="00C674E5" w:rsidP="00B6022C">
      <w:pPr>
        <w:pStyle w:val="Sinespaciado"/>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w:t>
      </w:r>
      <w:r w:rsidR="00E50BCB">
        <w:rPr>
          <w:rFonts w:ascii="Palatino Linotype" w:hAnsi="Palatino Linotype" w:cs="Arial"/>
        </w:rPr>
        <w:t xml:space="preserve"> acto impugnado y</w:t>
      </w:r>
      <w:r w:rsidR="00101AEA" w:rsidRPr="00835647">
        <w:rPr>
          <w:rFonts w:ascii="Palatino Linotype" w:hAnsi="Palatino Linotype" w:cs="Arial"/>
        </w:rPr>
        <w:t xml:space="preserve"> motivos </w:t>
      </w:r>
      <w:r w:rsidR="00753E08">
        <w:rPr>
          <w:rFonts w:ascii="Palatino Linotype" w:hAnsi="Palatino Linotype" w:cs="Arial"/>
        </w:rPr>
        <w:t>de inconformidad lo siguiente: “</w:t>
      </w:r>
      <w:r w:rsidR="00992D26" w:rsidRPr="00992D26">
        <w:rPr>
          <w:rFonts w:ascii="Palatino Linotype" w:hAnsi="Palatino Linotype" w:cs="Arial"/>
          <w:i/>
        </w:rPr>
        <w:t>La falta de certeza en la supuesta respuesta que remite el sujeto obligado y la falta de transparencia en su actuar así como la saña en su respuesta toda vez que solo menciona que se trata de información confidencial sin adjuntar un acuerdo de clasificación al respecto, y tanpoco adjunta documentos de natulareza ública que puedan contener dtos personales, mismos que por su naturaleza se trata de los precisamente solicitados en mi solicitud, por lo que de nueva cuenta soliciti a ese H Órgano Garante proteja mis derechos consagrados en el artículo 6 de la CPEUM y corrija las omisiones dolosas a las cuales acude el sujeto obligado.</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554B8A" w:rsidRDefault="00554B8A" w:rsidP="00101AEA">
      <w:pPr>
        <w:pStyle w:val="Prrafodelista"/>
        <w:autoSpaceDE w:val="0"/>
        <w:autoSpaceDN w:val="0"/>
        <w:adjustRightInd w:val="0"/>
        <w:spacing w:line="360" w:lineRule="auto"/>
        <w:ind w:left="0"/>
        <w:jc w:val="both"/>
        <w:rPr>
          <w:rFonts w:ascii="Palatino Linotype" w:hAnsi="Palatino Linotype" w:cs="Arial"/>
        </w:rPr>
      </w:pPr>
    </w:p>
    <w:p w:rsidR="00E03C99" w:rsidRDefault="00E03C99" w:rsidP="00753E08">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w:t>
      </w:r>
      <w:r w:rsidR="00753E08">
        <w:rPr>
          <w:rFonts w:ascii="Palatino Linotype" w:hAnsi="Palatino Linotype"/>
          <w:sz w:val="24"/>
          <w:szCs w:val="24"/>
        </w:rPr>
        <w:t xml:space="preserve"> el sujeto obligado adjunto </w:t>
      </w:r>
      <w:r w:rsidR="00F07427">
        <w:rPr>
          <w:rFonts w:ascii="Palatino Linotype" w:hAnsi="Palatino Linotype"/>
          <w:sz w:val="24"/>
          <w:szCs w:val="24"/>
        </w:rPr>
        <w:t xml:space="preserve">un </w:t>
      </w:r>
      <w:r w:rsidR="00753E08">
        <w:rPr>
          <w:rFonts w:ascii="Palatino Linotype" w:hAnsi="Palatino Linotype"/>
          <w:sz w:val="24"/>
          <w:szCs w:val="24"/>
        </w:rPr>
        <w:t xml:space="preserve">archivos </w:t>
      </w:r>
      <w:r w:rsidR="00E975EE">
        <w:rPr>
          <w:rFonts w:ascii="Palatino Linotype" w:hAnsi="Palatino Linotype"/>
          <w:sz w:val="24"/>
          <w:szCs w:val="24"/>
        </w:rPr>
        <w:t>signado por la Titular de la Unidad de Transparencia</w:t>
      </w:r>
      <w:r w:rsidR="0054368D">
        <w:rPr>
          <w:rFonts w:ascii="Palatino Linotype" w:hAnsi="Palatino Linotype"/>
          <w:sz w:val="24"/>
          <w:szCs w:val="24"/>
        </w:rPr>
        <w:t xml:space="preserve"> </w:t>
      </w:r>
      <w:r w:rsidR="00E975EE">
        <w:rPr>
          <w:rFonts w:ascii="Palatino Linotype" w:hAnsi="Palatino Linotype"/>
          <w:sz w:val="24"/>
          <w:szCs w:val="24"/>
        </w:rPr>
        <w:t xml:space="preserve">donde </w:t>
      </w:r>
      <w:r w:rsidR="0054368D">
        <w:rPr>
          <w:rFonts w:ascii="Palatino Linotype" w:hAnsi="Palatino Linotype"/>
          <w:sz w:val="24"/>
          <w:szCs w:val="24"/>
        </w:rPr>
        <w:t xml:space="preserve">se le informa al particular que </w:t>
      </w:r>
      <w:r w:rsidR="00F07427">
        <w:rPr>
          <w:rFonts w:ascii="Palatino Linotype" w:hAnsi="Palatino Linotype"/>
          <w:sz w:val="24"/>
          <w:szCs w:val="24"/>
        </w:rPr>
        <w:t xml:space="preserve">para poder proporcionar la información peticionada se requiere la </w:t>
      </w:r>
      <w:r w:rsidR="00A157E3">
        <w:rPr>
          <w:rFonts w:ascii="Palatino Linotype" w:hAnsi="Palatino Linotype"/>
          <w:sz w:val="24"/>
          <w:szCs w:val="24"/>
        </w:rPr>
        <w:t xml:space="preserve">autorización de los servidores públicos referidos en la solicitud en materia. Toda vez que es información confidencial de la cual solo podrán tener acceso los titulares de la misma, Como versa a continuación; </w:t>
      </w:r>
    </w:p>
    <w:p w:rsidR="00F07427" w:rsidRPr="00E06A24" w:rsidRDefault="000733C7" w:rsidP="00753E08">
      <w:pPr>
        <w:pStyle w:val="Sinespaciado"/>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524500" cy="7442729"/>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0282" cy="7450519"/>
                    </a:xfrm>
                    <a:prstGeom prst="rect">
                      <a:avLst/>
                    </a:prstGeom>
                    <a:noFill/>
                    <a:ln>
                      <a:noFill/>
                    </a:ln>
                  </pic:spPr>
                </pic:pic>
              </a:graphicData>
            </a:graphic>
          </wp:inline>
        </w:drawing>
      </w:r>
      <w:bookmarkStart w:id="0" w:name="_GoBack"/>
      <w:bookmarkEnd w:id="0"/>
    </w:p>
    <w:p w:rsidR="00E03C99" w:rsidRDefault="00E03C99" w:rsidP="00A96DF8">
      <w:pPr>
        <w:pStyle w:val="Sinespaciado"/>
      </w:pPr>
    </w:p>
    <w:p w:rsidR="00C816BF" w:rsidRPr="005801C0" w:rsidRDefault="00C816BF" w:rsidP="00C816BF">
      <w:pPr>
        <w:pStyle w:val="Prrafodelista"/>
        <w:spacing w:line="360" w:lineRule="auto"/>
        <w:ind w:left="0"/>
        <w:contextualSpacing/>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801C0">
        <w:rPr>
          <w:rFonts w:ascii="Palatino Linotype" w:hAnsi="Palatino Linotype"/>
          <w:b/>
        </w:rPr>
        <w:t xml:space="preserve">SUJETO OBLIGADO </w:t>
      </w:r>
      <w:r w:rsidRPr="005801C0">
        <w:rPr>
          <w:rFonts w:ascii="Palatino Linotype" w:hAnsi="Palatino Linotype"/>
        </w:rPr>
        <w:t xml:space="preserve">mediante su </w:t>
      </w:r>
      <w:r>
        <w:rPr>
          <w:rFonts w:ascii="Palatino Linotype" w:hAnsi="Palatino Linotype"/>
        </w:rPr>
        <w:t xml:space="preserve">respuesta e </w:t>
      </w:r>
      <w:r w:rsidRPr="005801C0">
        <w:rPr>
          <w:rFonts w:ascii="Palatino Linotype" w:hAnsi="Palatino Linotype"/>
        </w:rPr>
        <w:t>informe justificado.</w:t>
      </w:r>
    </w:p>
    <w:p w:rsidR="00C816BF" w:rsidRPr="005801C0" w:rsidRDefault="00C816BF" w:rsidP="00C816BF">
      <w:pPr>
        <w:pStyle w:val="Prrafodelista"/>
        <w:spacing w:line="360" w:lineRule="auto"/>
        <w:ind w:left="0"/>
        <w:jc w:val="both"/>
        <w:rPr>
          <w:rFonts w:ascii="Palatino Linotype" w:hAnsi="Palatino Linotype"/>
        </w:rPr>
      </w:pPr>
    </w:p>
    <w:p w:rsidR="006C44FF" w:rsidRPr="00EF3689" w:rsidRDefault="00EF3689" w:rsidP="006C44FF">
      <w:pPr>
        <w:tabs>
          <w:tab w:val="left" w:pos="4962"/>
        </w:tabs>
        <w:spacing w:line="360" w:lineRule="auto"/>
        <w:jc w:val="both"/>
        <w:rPr>
          <w:rFonts w:ascii="Palatino Linotype" w:hAnsi="Palatino Linotype" w:cs="Tahoma"/>
          <w:sz w:val="24"/>
        </w:rPr>
      </w:pPr>
      <w:r w:rsidRPr="00EF3689">
        <w:rPr>
          <w:rFonts w:ascii="Palatino Linotype" w:eastAsia="Calibri" w:hAnsi="Palatino Linotype" w:cs="Tahoma"/>
          <w:bCs/>
          <w:sz w:val="24"/>
        </w:rPr>
        <w:t>Ahora bien,</w:t>
      </w:r>
      <w:r w:rsidR="006C44FF" w:rsidRPr="00EF3689">
        <w:rPr>
          <w:rFonts w:ascii="Palatino Linotype" w:eastAsia="Calibri" w:hAnsi="Palatino Linotype" w:cs="Tahoma"/>
          <w:bCs/>
          <w:sz w:val="24"/>
        </w:rPr>
        <w:t xml:space="preserve"> este Instituto no tiene atribuciones para </w:t>
      </w:r>
      <w:r w:rsidR="006C44FF" w:rsidRPr="00EF3689">
        <w:rPr>
          <w:rFonts w:ascii="Palatino Linotype" w:hAnsi="Palatino Linotype" w:cs="Tahoma"/>
          <w:sz w:val="24"/>
        </w:rPr>
        <w:t>pronunciarse respecto a la veracidad de la información proporcionada por el Sujeto Obligado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rsidR="006C44FF" w:rsidRPr="006C44FF" w:rsidRDefault="006C44FF" w:rsidP="00EF3689">
      <w:pPr>
        <w:pStyle w:val="Sinespaciado"/>
        <w:rPr>
          <w:highlight w:val="lightGray"/>
        </w:rPr>
      </w:pPr>
    </w:p>
    <w:p w:rsidR="006C44FF" w:rsidRPr="00EF3689" w:rsidRDefault="006C44FF" w:rsidP="006C44FF">
      <w:pPr>
        <w:tabs>
          <w:tab w:val="left" w:pos="4962"/>
        </w:tabs>
        <w:spacing w:line="360" w:lineRule="auto"/>
        <w:jc w:val="both"/>
        <w:rPr>
          <w:rFonts w:ascii="Palatino Linotype" w:hAnsi="Palatino Linotype" w:cs="Tahoma"/>
          <w:sz w:val="24"/>
        </w:rPr>
      </w:pPr>
      <w:r w:rsidRPr="00EF3689">
        <w:rPr>
          <w:rFonts w:ascii="Palatino Linotype" w:hAnsi="Palatino Linotype" w:cs="Tahoma"/>
          <w:sz w:val="24"/>
        </w:rPr>
        <w:t xml:space="preserve">A manera de referencia, resulta oportuno citar el Criterio 31/10, del ahora </w:t>
      </w:r>
      <w:r w:rsidRPr="00EF3689">
        <w:rPr>
          <w:rFonts w:ascii="Palatino Linotype" w:eastAsia="Calibri" w:hAnsi="Palatino Linotype" w:cs="Tahoma"/>
          <w:bCs/>
          <w:iCs/>
          <w:sz w:val="24"/>
          <w:lang w:eastAsia="es-ES_tradnl"/>
        </w:rPr>
        <w:t>Instituto Nacional de Transparencia, Acceso a la Información y Protección de Datos Personales (INAI)</w:t>
      </w:r>
      <w:r w:rsidRPr="00EF3689">
        <w:rPr>
          <w:rFonts w:ascii="Palatino Linotype" w:hAnsi="Palatino Linotype" w:cs="Tahoma"/>
          <w:sz w:val="24"/>
        </w:rPr>
        <w:t xml:space="preserve">, mismo que se cita a continuación: </w:t>
      </w:r>
    </w:p>
    <w:p w:rsidR="006C44FF" w:rsidRPr="00EF3689" w:rsidRDefault="006C44FF" w:rsidP="00762684">
      <w:pPr>
        <w:pStyle w:val="Sinespaciado"/>
      </w:pPr>
    </w:p>
    <w:p w:rsidR="006C44FF" w:rsidRPr="00EF3689" w:rsidRDefault="006C44FF" w:rsidP="006C44FF">
      <w:pPr>
        <w:tabs>
          <w:tab w:val="left" w:pos="4962"/>
        </w:tabs>
        <w:spacing w:line="360" w:lineRule="auto"/>
        <w:ind w:left="567" w:right="567"/>
        <w:jc w:val="both"/>
        <w:rPr>
          <w:rFonts w:ascii="Palatino Linotype" w:hAnsi="Palatino Linotype" w:cs="Tahoma"/>
          <w:i/>
          <w:sz w:val="24"/>
        </w:rPr>
      </w:pPr>
      <w:r w:rsidRPr="00EF3689">
        <w:rPr>
          <w:rFonts w:ascii="Palatino Linotype" w:hAnsi="Palatino Linotype" w:cs="Tahoma"/>
          <w:b/>
          <w:i/>
          <w:sz w:val="24"/>
        </w:rPr>
        <w:t xml:space="preserve">El Instituto Federal de Acceso a la Información y Protección de Datos no cuenta con facultades para pronunciarse respecto de la veracidad de los documentos proporcionados por los sujetos obligados. </w:t>
      </w:r>
      <w:r w:rsidRPr="00EF3689">
        <w:rPr>
          <w:rFonts w:ascii="Palatino Linotype" w:hAnsi="Palatino Linotype" w:cs="Tahoma"/>
          <w:i/>
          <w:sz w:val="24"/>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EF3689">
        <w:rPr>
          <w:rFonts w:ascii="Palatino Linotype" w:hAnsi="Palatino Linotype" w:cs="Tahoma"/>
          <w:i/>
          <w:sz w:val="24"/>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C44FF" w:rsidRPr="006C44FF" w:rsidRDefault="006C44FF" w:rsidP="00834D2A">
      <w:pPr>
        <w:pStyle w:val="Sinespaciado"/>
        <w:rPr>
          <w:highlight w:val="lightGray"/>
        </w:rPr>
      </w:pPr>
    </w:p>
    <w:p w:rsidR="00D15BF2" w:rsidRDefault="00D15BF2" w:rsidP="00D15BF2">
      <w:pPr>
        <w:autoSpaceDE w:val="0"/>
        <w:autoSpaceDN w:val="0"/>
        <w:adjustRightInd w:val="0"/>
        <w:spacing w:line="360" w:lineRule="auto"/>
        <w:jc w:val="both"/>
        <w:rPr>
          <w:rFonts w:ascii="Palatino Linotype" w:hAnsi="Palatino Linotype" w:cs="Tahoma"/>
          <w:b/>
          <w:bCs/>
          <w:sz w:val="24"/>
          <w:szCs w:val="24"/>
          <w:u w:val="single"/>
        </w:rPr>
      </w:pPr>
      <w:r w:rsidRPr="00734B12">
        <w:rPr>
          <w:rFonts w:ascii="Palatino Linotype" w:hAnsi="Palatino Linotype" w:cs="Tahoma"/>
          <w:sz w:val="24"/>
          <w:szCs w:val="24"/>
        </w:rPr>
        <w:t xml:space="preserve">De manera complementaria, en términos de la Ley de Responsabilidades Administrativas del Estado de México y Municipios, están obligados a presentar las declaraciones de situación </w:t>
      </w:r>
      <w:r w:rsidRPr="00734B12">
        <w:rPr>
          <w:rFonts w:ascii="Palatino Linotype" w:hAnsi="Palatino Linotype" w:cs="Tahoma"/>
          <w:b/>
          <w:bCs/>
          <w:sz w:val="24"/>
          <w:szCs w:val="24"/>
          <w:u w:val="single"/>
        </w:rPr>
        <w:t xml:space="preserve">patrimonial </w:t>
      </w:r>
      <w:r w:rsidRPr="00734B12">
        <w:rPr>
          <w:rFonts w:ascii="Palatino Linotype" w:hAnsi="Palatino Linotype" w:cs="Tahoma"/>
          <w:sz w:val="24"/>
          <w:szCs w:val="24"/>
        </w:rPr>
        <w:t>y de intereses, bajo protesta de decir verdad</w:t>
      </w:r>
      <w:r w:rsidRPr="00734B12">
        <w:rPr>
          <w:rFonts w:ascii="Palatino Linotype" w:hAnsi="Palatino Linotype" w:cs="Tahoma"/>
          <w:sz w:val="24"/>
          <w:szCs w:val="24"/>
          <w:u w:val="single"/>
        </w:rPr>
        <w:t xml:space="preserve"> ante la </w:t>
      </w:r>
      <w:r w:rsidRPr="00734B12">
        <w:rPr>
          <w:rFonts w:ascii="Palatino Linotype" w:hAnsi="Palatino Linotype" w:cs="Tahoma"/>
          <w:b/>
          <w:bCs/>
          <w:sz w:val="24"/>
          <w:szCs w:val="24"/>
          <w:u w:val="single"/>
        </w:rPr>
        <w:t>Secretaría de la Contraloría</w:t>
      </w:r>
      <w:r w:rsidRPr="00734B12">
        <w:rPr>
          <w:rFonts w:ascii="Palatino Linotype" w:hAnsi="Palatino Linotype" w:cs="Tahoma"/>
          <w:sz w:val="24"/>
          <w:szCs w:val="24"/>
          <w:u w:val="single"/>
        </w:rPr>
        <w:t xml:space="preserve"> </w:t>
      </w:r>
      <w:r w:rsidRPr="00734B12">
        <w:rPr>
          <w:rFonts w:ascii="Palatino Linotype" w:hAnsi="Palatino Linotype" w:cs="Tahoma"/>
          <w:sz w:val="24"/>
          <w:szCs w:val="24"/>
        </w:rPr>
        <w:t xml:space="preserve">o los órganos internos de control, </w:t>
      </w:r>
      <w:r w:rsidRPr="00734B12">
        <w:rPr>
          <w:rFonts w:ascii="Palatino Linotype" w:hAnsi="Palatino Linotype" w:cs="Tahoma"/>
          <w:b/>
          <w:bCs/>
          <w:sz w:val="24"/>
          <w:szCs w:val="24"/>
          <w:u w:val="single"/>
        </w:rPr>
        <w:t>todos los servidores públicos estatales y municipales</w:t>
      </w:r>
      <w:r>
        <w:rPr>
          <w:rFonts w:ascii="Palatino Linotype" w:hAnsi="Palatino Linotype" w:cs="Tahoma"/>
          <w:b/>
          <w:bCs/>
          <w:sz w:val="24"/>
          <w:szCs w:val="24"/>
          <w:u w:val="single"/>
        </w:rPr>
        <w:t xml:space="preserve">, englobando a aquellos adscritos a órganos constitucionalmente autónomos. </w:t>
      </w:r>
    </w:p>
    <w:p w:rsidR="00D15BF2" w:rsidRDefault="00D15BF2" w:rsidP="00D15BF2">
      <w:pPr>
        <w:autoSpaceDE w:val="0"/>
        <w:autoSpaceDN w:val="0"/>
        <w:adjustRightInd w:val="0"/>
        <w:spacing w:line="360" w:lineRule="auto"/>
        <w:jc w:val="both"/>
        <w:rPr>
          <w:rFonts w:ascii="Palatino Linotype" w:hAnsi="Palatino Linotype" w:cs="Tahoma"/>
          <w:sz w:val="24"/>
          <w:szCs w:val="24"/>
        </w:rPr>
      </w:pPr>
      <w:r>
        <w:rPr>
          <w:rFonts w:ascii="Palatino Linotype" w:hAnsi="Palatino Linotype" w:cs="Tahoma"/>
          <w:sz w:val="24"/>
          <w:szCs w:val="24"/>
        </w:rPr>
        <w:t>En este tenor, la declaración de situación patrimonial deberá presentarse en los siguientes plazos:</w:t>
      </w:r>
    </w:p>
    <w:p w:rsidR="00A157E3" w:rsidRDefault="00A157E3" w:rsidP="00D15BF2">
      <w:pPr>
        <w:autoSpaceDE w:val="0"/>
        <w:autoSpaceDN w:val="0"/>
        <w:adjustRightInd w:val="0"/>
        <w:spacing w:line="360" w:lineRule="auto"/>
        <w:jc w:val="both"/>
        <w:rPr>
          <w:rFonts w:ascii="Palatino Linotype" w:hAnsi="Palatino Linotype" w:cs="Tahoma"/>
          <w:sz w:val="24"/>
          <w:szCs w:val="24"/>
        </w:rPr>
      </w:pPr>
    </w:p>
    <w:p w:rsidR="00D15BF2" w:rsidRDefault="00D15BF2" w:rsidP="00D15BF2">
      <w:pPr>
        <w:pStyle w:val="Prrafodelista"/>
        <w:numPr>
          <w:ilvl w:val="0"/>
          <w:numId w:val="10"/>
        </w:numPr>
        <w:autoSpaceDE w:val="0"/>
        <w:autoSpaceDN w:val="0"/>
        <w:adjustRightInd w:val="0"/>
        <w:spacing w:line="360" w:lineRule="auto"/>
        <w:jc w:val="both"/>
        <w:rPr>
          <w:rFonts w:ascii="Palatino Linotype" w:hAnsi="Palatino Linotype" w:cs="Tahoma"/>
        </w:rPr>
      </w:pPr>
      <w:r>
        <w:rPr>
          <w:rFonts w:ascii="Palatino Linotype" w:hAnsi="Palatino Linotype" w:cs="Tahoma"/>
        </w:rPr>
        <w:t>Declaración inicial, dentro de los sesenta días naturales siguientes a la toma de la posesión con motivo del:</w:t>
      </w:r>
    </w:p>
    <w:p w:rsidR="00D15BF2" w:rsidRDefault="00D15BF2" w:rsidP="00D15BF2">
      <w:pPr>
        <w:pStyle w:val="Prrafodelista"/>
        <w:numPr>
          <w:ilvl w:val="0"/>
          <w:numId w:val="11"/>
        </w:numPr>
        <w:autoSpaceDE w:val="0"/>
        <w:autoSpaceDN w:val="0"/>
        <w:adjustRightInd w:val="0"/>
        <w:spacing w:line="360" w:lineRule="auto"/>
        <w:jc w:val="both"/>
        <w:rPr>
          <w:rFonts w:ascii="Palatino Linotype" w:hAnsi="Palatino Linotype" w:cs="Tahoma"/>
        </w:rPr>
      </w:pPr>
      <w:r>
        <w:rPr>
          <w:rFonts w:ascii="Palatino Linotype" w:hAnsi="Palatino Linotype" w:cs="Tahoma"/>
        </w:rPr>
        <w:t>Ingreso al servicio público por primera vez.</w:t>
      </w:r>
    </w:p>
    <w:p w:rsidR="00D15BF2" w:rsidRDefault="00D15BF2" w:rsidP="00D15BF2">
      <w:pPr>
        <w:pStyle w:val="Prrafodelista"/>
        <w:numPr>
          <w:ilvl w:val="0"/>
          <w:numId w:val="11"/>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Reingreso al servicio público después de sesenta días naturales de la conclusión de su último encargo. </w:t>
      </w:r>
    </w:p>
    <w:p w:rsidR="00D15BF2" w:rsidRDefault="00D15BF2" w:rsidP="00D15BF2">
      <w:pPr>
        <w:pStyle w:val="Prrafodelista"/>
        <w:numPr>
          <w:ilvl w:val="0"/>
          <w:numId w:val="10"/>
        </w:numPr>
        <w:autoSpaceDE w:val="0"/>
        <w:autoSpaceDN w:val="0"/>
        <w:adjustRightInd w:val="0"/>
        <w:spacing w:line="360" w:lineRule="auto"/>
        <w:jc w:val="both"/>
        <w:rPr>
          <w:rFonts w:ascii="Palatino Linotype" w:hAnsi="Palatino Linotype" w:cs="Tahoma"/>
        </w:rPr>
      </w:pPr>
      <w:r>
        <w:rPr>
          <w:rFonts w:ascii="Palatino Linotype" w:hAnsi="Palatino Linotype" w:cs="Tahoma"/>
        </w:rPr>
        <w:lastRenderedPageBreak/>
        <w:t xml:space="preserve">Declaración de modificación patrimonial, durante el mes de mayo de cada año. </w:t>
      </w:r>
    </w:p>
    <w:p w:rsidR="00D15BF2" w:rsidRPr="00734B12" w:rsidRDefault="00D15BF2" w:rsidP="00D15BF2">
      <w:pPr>
        <w:pStyle w:val="Prrafodelista"/>
        <w:numPr>
          <w:ilvl w:val="0"/>
          <w:numId w:val="10"/>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Declaración de conclusión del encargo, dentro de los sesenta días naturales siguientes a la conclusión. </w:t>
      </w:r>
    </w:p>
    <w:p w:rsidR="00D15BF2" w:rsidRDefault="00D15BF2" w:rsidP="00D15BF2">
      <w:pPr>
        <w:autoSpaceDE w:val="0"/>
        <w:autoSpaceDN w:val="0"/>
        <w:adjustRightInd w:val="0"/>
        <w:spacing w:line="360" w:lineRule="auto"/>
        <w:jc w:val="both"/>
        <w:rPr>
          <w:rFonts w:ascii="Palatino Linotype" w:hAnsi="Palatino Linotype" w:cs="Tahoma"/>
          <w:sz w:val="24"/>
          <w:szCs w:val="24"/>
        </w:rPr>
      </w:pPr>
    </w:p>
    <w:p w:rsidR="00D15BF2" w:rsidRPr="00D800B9" w:rsidRDefault="00D15BF2" w:rsidP="00D15BF2">
      <w:pPr>
        <w:autoSpaceDE w:val="0"/>
        <w:autoSpaceDN w:val="0"/>
        <w:adjustRightInd w:val="0"/>
        <w:spacing w:line="360" w:lineRule="auto"/>
        <w:jc w:val="both"/>
        <w:rPr>
          <w:rFonts w:ascii="Palatino Linotype" w:hAnsi="Palatino Linotype" w:cs="Tahoma"/>
          <w:sz w:val="24"/>
          <w:szCs w:val="24"/>
        </w:rPr>
      </w:pPr>
      <w:r w:rsidRPr="00D800B9">
        <w:rPr>
          <w:rFonts w:ascii="Palatino Linotype" w:hAnsi="Palatino Linotype" w:cs="Tahoma"/>
          <w:sz w:val="24"/>
          <w:szCs w:val="24"/>
        </w:rPr>
        <w:t>En la declaración inicial y de conclusión del encargo se manifestarán los bienes inmuebles, con la fecha y valor de adquisición y en las declaraciones de modificación patrimonial se manifestarán sólo las modificaciones al patrimonio, con fecha y valor de adquisición, y en todo caso el medio por el que se hizo la adquisición.</w:t>
      </w:r>
    </w:p>
    <w:p w:rsidR="00D15BF2" w:rsidRPr="00D800B9" w:rsidRDefault="00D15BF2" w:rsidP="00D15BF2">
      <w:pPr>
        <w:autoSpaceDE w:val="0"/>
        <w:autoSpaceDN w:val="0"/>
        <w:adjustRightInd w:val="0"/>
        <w:spacing w:line="360" w:lineRule="auto"/>
        <w:jc w:val="both"/>
        <w:rPr>
          <w:rFonts w:ascii="Palatino Linotype" w:hAnsi="Palatino Linotype" w:cs="Tahoma"/>
          <w:sz w:val="24"/>
          <w:szCs w:val="24"/>
        </w:rPr>
      </w:pPr>
      <w:r w:rsidRPr="00D800B9">
        <w:rPr>
          <w:rFonts w:ascii="Palatino Linotype" w:hAnsi="Palatino Linotype" w:cs="Tahoma"/>
          <w:sz w:val="24"/>
          <w:szCs w:val="24"/>
        </w:rPr>
        <w:t>Así de lo anterior, el sistema de evolución patrimonial en términos de lo establecido por los artículos 27 y 28 de la Ley de Responsabilidades en cita, se almacenará en la plataforma digital estatal a cargo de La Secretaría Ejecutiva del Sistema Estatal y Municipal Anticorrupción.</w:t>
      </w:r>
    </w:p>
    <w:p w:rsidR="00D15BF2" w:rsidRPr="00D800B9" w:rsidRDefault="00D15BF2" w:rsidP="00D15BF2">
      <w:pPr>
        <w:autoSpaceDE w:val="0"/>
        <w:autoSpaceDN w:val="0"/>
        <w:adjustRightInd w:val="0"/>
        <w:spacing w:line="360" w:lineRule="auto"/>
        <w:jc w:val="both"/>
        <w:rPr>
          <w:rFonts w:ascii="Palatino Linotype" w:hAnsi="Palatino Linotype" w:cs="Tahoma"/>
          <w:b/>
          <w:bCs/>
          <w:sz w:val="24"/>
          <w:szCs w:val="24"/>
          <w:u w:val="single"/>
        </w:rPr>
      </w:pPr>
      <w:r w:rsidRPr="00D800B9">
        <w:rPr>
          <w:rFonts w:ascii="Palatino Linotype" w:hAnsi="Palatino Linotype" w:cs="Tahoma"/>
          <w:b/>
          <w:bCs/>
          <w:sz w:val="24"/>
          <w:szCs w:val="24"/>
          <w:u w:val="single"/>
        </w:rPr>
        <w:t>Adicionalmente. para tal efecto, el Comité Coordinador, emitirá los formatos respectivos, en apego a las leyes y ordenamientos en la materia, garantizando que los rubros que pudieran afectar los derechos aludidos queden en resguardo de las autoridades competentes.</w:t>
      </w:r>
    </w:p>
    <w:p w:rsidR="00D15BF2" w:rsidRPr="00D800B9" w:rsidRDefault="00D15BF2" w:rsidP="00D15BF2">
      <w:pPr>
        <w:autoSpaceDE w:val="0"/>
        <w:autoSpaceDN w:val="0"/>
        <w:adjustRightInd w:val="0"/>
        <w:spacing w:line="360" w:lineRule="auto"/>
        <w:jc w:val="both"/>
        <w:rPr>
          <w:rFonts w:ascii="Palatino Linotype" w:hAnsi="Palatino Linotype" w:cs="Tahoma"/>
          <w:sz w:val="24"/>
          <w:szCs w:val="24"/>
        </w:rPr>
      </w:pPr>
      <w:r w:rsidRPr="00D800B9">
        <w:rPr>
          <w:rFonts w:ascii="Palatino Linotype" w:hAnsi="Palatino Linotype" w:cs="Tahoma"/>
          <w:sz w:val="24"/>
          <w:szCs w:val="24"/>
        </w:rPr>
        <w:t>En este orden de ideas, atendiendo a la naturaleza de la declaración patrimonial es identificar de manera inequívoca un registro confiable que evalúe el patrimonio de los servidores públicos, se debe entender que los documentos en referencia incluyen datos personales.</w:t>
      </w:r>
    </w:p>
    <w:p w:rsidR="00D15BF2" w:rsidRPr="00D800B9" w:rsidRDefault="00D15BF2" w:rsidP="00D15BF2">
      <w:pPr>
        <w:autoSpaceDE w:val="0"/>
        <w:autoSpaceDN w:val="0"/>
        <w:adjustRightInd w:val="0"/>
        <w:spacing w:line="360" w:lineRule="auto"/>
        <w:jc w:val="both"/>
        <w:rPr>
          <w:rStyle w:val="Hipervnculo"/>
          <w:rFonts w:ascii="Palatino Linotype" w:hAnsi="Palatino Linotype" w:cs="Tahoma"/>
          <w:color w:val="auto"/>
          <w:sz w:val="24"/>
          <w:szCs w:val="24"/>
          <w:u w:val="none"/>
        </w:rPr>
      </w:pPr>
      <w:r>
        <w:rPr>
          <w:rFonts w:ascii="Palatino Linotype" w:hAnsi="Palatino Linotype" w:cs="Tahoma"/>
          <w:noProof/>
          <w:sz w:val="24"/>
          <w:szCs w:val="24"/>
          <w:lang w:eastAsia="es-MX"/>
        </w:rPr>
        <mc:AlternateContent>
          <mc:Choice Requires="wps">
            <w:drawing>
              <wp:anchor distT="0" distB="0" distL="114300" distR="114300" simplePos="0" relativeHeight="251662336" behindDoc="0" locked="0" layoutInCell="1" allowOverlap="1" wp14:anchorId="54348D35" wp14:editId="7F1A06CA">
                <wp:simplePos x="0" y="0"/>
                <wp:positionH relativeFrom="column">
                  <wp:posOffset>-253285</wp:posOffset>
                </wp:positionH>
                <wp:positionV relativeFrom="paragraph">
                  <wp:posOffset>2104240</wp:posOffset>
                </wp:positionV>
                <wp:extent cx="6371617" cy="2052537"/>
                <wp:effectExtent l="0" t="0" r="29210" b="24130"/>
                <wp:wrapNone/>
                <wp:docPr id="5" name="Conector recto 5"/>
                <wp:cNvGraphicFramePr/>
                <a:graphic xmlns:a="http://schemas.openxmlformats.org/drawingml/2006/main">
                  <a:graphicData uri="http://schemas.microsoft.com/office/word/2010/wordprocessingShape">
                    <wps:wsp>
                      <wps:cNvCnPr/>
                      <wps:spPr>
                        <a:xfrm>
                          <a:off x="0" y="0"/>
                          <a:ext cx="6371617" cy="20525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58482"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95pt,165.7pt" to="481.75pt,3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" strokecolor="#5b9bd5 [3204]" strokeweight=".5pt">
                <v:stroke joinstyle="miter"/>
              </v:line>
            </w:pict>
          </mc:Fallback>
        </mc:AlternateContent>
      </w:r>
      <w:r w:rsidRPr="00D800B9">
        <w:rPr>
          <w:rFonts w:ascii="Palatino Linotype" w:hAnsi="Palatino Linotype" w:cs="Tahoma"/>
          <w:sz w:val="24"/>
          <w:szCs w:val="24"/>
        </w:rPr>
        <w:t xml:space="preserve">Así, una vez que se identificó que las declaraciones patrimoniales, como documento final, se encuentran en poder de la Secretaría Ejecutiva del Sistema Estatal Anticorrupción, </w:t>
      </w:r>
      <w:r w:rsidRPr="00D800B9">
        <w:rPr>
          <w:rFonts w:ascii="Palatino Linotype" w:hAnsi="Palatino Linotype" w:cs="Tahoma"/>
          <w:b/>
          <w:bCs/>
          <w:sz w:val="24"/>
          <w:szCs w:val="24"/>
          <w:u w:val="single"/>
        </w:rPr>
        <w:t xml:space="preserve">instancia encargada de generar un formato que permita la entrega </w:t>
      </w:r>
      <w:r w:rsidRPr="00D800B9">
        <w:rPr>
          <w:rFonts w:ascii="Palatino Linotype" w:hAnsi="Palatino Linotype" w:cs="Tahoma"/>
          <w:b/>
          <w:bCs/>
          <w:sz w:val="24"/>
          <w:szCs w:val="24"/>
          <w:u w:val="single"/>
        </w:rPr>
        <w:lastRenderedPageBreak/>
        <w:t xml:space="preserve">de la información en un documento que haga las veces de una versión pública, </w:t>
      </w:r>
      <w:r w:rsidRPr="00D800B9">
        <w:rPr>
          <w:rFonts w:ascii="Palatino Linotype" w:hAnsi="Palatino Linotype" w:cs="Tahoma"/>
          <w:sz w:val="24"/>
          <w:szCs w:val="24"/>
        </w:rPr>
        <w:t>de una inspección al portal web</w:t>
      </w:r>
      <w:r>
        <w:rPr>
          <w:rFonts w:ascii="Palatino Linotype" w:hAnsi="Palatino Linotype" w:cs="Tahoma"/>
          <w:sz w:val="24"/>
          <w:szCs w:val="24"/>
        </w:rPr>
        <w:t xml:space="preserve"> </w:t>
      </w:r>
      <w:r w:rsidRPr="00D800B9">
        <w:rPr>
          <w:rFonts w:ascii="Palatino Linotype" w:hAnsi="Palatino Linotype" w:cs="Tahoma"/>
          <w:sz w:val="24"/>
          <w:szCs w:val="24"/>
        </w:rPr>
        <w:t xml:space="preserve"> </w:t>
      </w:r>
      <w:hyperlink r:id="rId9" w:history="1">
        <w:r w:rsidRPr="00D800B9">
          <w:rPr>
            <w:rStyle w:val="Hipervnculo"/>
            <w:rFonts w:ascii="Palatino Linotype" w:hAnsi="Palatino Linotype" w:cs="Tahoma"/>
            <w:sz w:val="24"/>
            <w:szCs w:val="24"/>
          </w:rPr>
          <w:t>https://www.sesaemm.gob.mx/</w:t>
        </w:r>
      </w:hyperlink>
      <w:r w:rsidRPr="00D800B9">
        <w:rPr>
          <w:rStyle w:val="Hipervnculo"/>
          <w:rFonts w:ascii="Palatino Linotype" w:hAnsi="Palatino Linotype" w:cs="Tahoma"/>
          <w:sz w:val="24"/>
          <w:szCs w:val="24"/>
        </w:rPr>
        <w:t xml:space="preserve">, </w:t>
      </w:r>
      <w:r>
        <w:rPr>
          <w:rStyle w:val="Hipervnculo"/>
          <w:rFonts w:ascii="Palatino Linotype" w:hAnsi="Palatino Linotype" w:cs="Tahoma"/>
          <w:color w:val="auto"/>
          <w:sz w:val="24"/>
          <w:szCs w:val="24"/>
          <w:u w:val="none"/>
        </w:rPr>
        <w:t>resultan de nuestro interés las siguientes imágenes ilustrativas:</w:t>
      </w:r>
    </w:p>
    <w:p w:rsidR="00D15BF2" w:rsidRPr="00D800B9" w:rsidRDefault="00D15BF2" w:rsidP="00D15BF2">
      <w:pPr>
        <w:autoSpaceDE w:val="0"/>
        <w:autoSpaceDN w:val="0"/>
        <w:adjustRightInd w:val="0"/>
        <w:spacing w:line="360" w:lineRule="auto"/>
        <w:jc w:val="both"/>
        <w:rPr>
          <w:rFonts w:ascii="Palatino Linotype" w:hAnsi="Palatino Linotype" w:cs="Tahoma"/>
          <w:sz w:val="24"/>
          <w:szCs w:val="24"/>
        </w:rPr>
      </w:pPr>
      <w:r>
        <w:rPr>
          <w:rFonts w:ascii="Palatino Linotype" w:hAnsi="Palatino Linotype" w:cs="Tahoma"/>
          <w:noProof/>
          <w:lang w:eastAsia="es-MX"/>
        </w:rPr>
        <w:lastRenderedPageBreak/>
        <w:drawing>
          <wp:anchor distT="0" distB="0" distL="114300" distR="114300" simplePos="0" relativeHeight="251660288" behindDoc="0" locked="0" layoutInCell="1" allowOverlap="1" wp14:anchorId="248370BD" wp14:editId="6188D827">
            <wp:simplePos x="0" y="0"/>
            <wp:positionH relativeFrom="margin">
              <wp:align>left</wp:align>
            </wp:positionH>
            <wp:positionV relativeFrom="paragraph">
              <wp:posOffset>3437255</wp:posOffset>
            </wp:positionV>
            <wp:extent cx="5599430" cy="3216910"/>
            <wp:effectExtent l="19050" t="19050" r="20320" b="21590"/>
            <wp:wrapThrough wrapText="bothSides">
              <wp:wrapPolygon edited="0">
                <wp:start x="-73" y="-128"/>
                <wp:lineTo x="-73" y="21617"/>
                <wp:lineTo x="21605" y="21617"/>
                <wp:lineTo x="21605" y="-128"/>
                <wp:lineTo x="-73" y="-128"/>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9430" cy="32169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Tahoma"/>
          <w:noProof/>
          <w:lang w:eastAsia="es-MX"/>
        </w:rPr>
        <w:drawing>
          <wp:anchor distT="0" distB="0" distL="114300" distR="114300" simplePos="0" relativeHeight="251661312" behindDoc="0" locked="0" layoutInCell="1" allowOverlap="1" wp14:anchorId="59D933AC" wp14:editId="7CA02FB6">
            <wp:simplePos x="0" y="0"/>
            <wp:positionH relativeFrom="page">
              <wp:align>center</wp:align>
            </wp:positionH>
            <wp:positionV relativeFrom="paragraph">
              <wp:posOffset>19050</wp:posOffset>
            </wp:positionV>
            <wp:extent cx="5638800" cy="3233420"/>
            <wp:effectExtent l="19050" t="19050" r="19050" b="24130"/>
            <wp:wrapThrough wrapText="bothSides">
              <wp:wrapPolygon edited="0">
                <wp:start x="-73" y="-127"/>
                <wp:lineTo x="-73" y="21634"/>
                <wp:lineTo x="21600" y="21634"/>
                <wp:lineTo x="21600" y="-127"/>
                <wp:lineTo x="-73" y="-127"/>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3510" cy="323630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15BF2" w:rsidRDefault="00D15BF2" w:rsidP="00D15BF2">
      <w:pPr>
        <w:autoSpaceDE w:val="0"/>
        <w:autoSpaceDN w:val="0"/>
        <w:adjustRightInd w:val="0"/>
        <w:spacing w:line="360" w:lineRule="auto"/>
        <w:jc w:val="both"/>
        <w:rPr>
          <w:rFonts w:ascii="Palatino Linotype" w:hAnsi="Palatino Linotype" w:cs="Tahoma"/>
        </w:rPr>
      </w:pPr>
      <w:r>
        <w:rPr>
          <w:rFonts w:ascii="Palatino Linotype" w:hAnsi="Palatino Linotype" w:cs="Tahoma"/>
          <w:noProof/>
          <w:lang w:eastAsia="es-MX"/>
        </w:rPr>
        <w:lastRenderedPageBreak/>
        <w:drawing>
          <wp:anchor distT="0" distB="0" distL="114300" distR="114300" simplePos="0" relativeHeight="251659264" behindDoc="0" locked="0" layoutInCell="1" allowOverlap="1" wp14:anchorId="28535E57" wp14:editId="215707F3">
            <wp:simplePos x="0" y="0"/>
            <wp:positionH relativeFrom="page">
              <wp:align>center</wp:align>
            </wp:positionH>
            <wp:positionV relativeFrom="paragraph">
              <wp:posOffset>19231</wp:posOffset>
            </wp:positionV>
            <wp:extent cx="5713730" cy="3211195"/>
            <wp:effectExtent l="19050" t="19050" r="20320" b="27305"/>
            <wp:wrapThrough wrapText="bothSides">
              <wp:wrapPolygon edited="0">
                <wp:start x="-72" y="-128"/>
                <wp:lineTo x="-72" y="21656"/>
                <wp:lineTo x="21605" y="21656"/>
                <wp:lineTo x="21605" y="-128"/>
                <wp:lineTo x="-72" y="-128"/>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32111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15BF2" w:rsidRDefault="00D15BF2" w:rsidP="00D15BF2">
      <w:pPr>
        <w:spacing w:line="360" w:lineRule="auto"/>
        <w:jc w:val="both"/>
        <w:rPr>
          <w:rFonts w:ascii="Palatino Linotype" w:hAnsi="Palatino Linotype" w:cs="Arial"/>
          <w:color w:val="000000" w:themeColor="text1"/>
          <w:sz w:val="24"/>
          <w:szCs w:val="24"/>
        </w:rPr>
      </w:pPr>
      <w:r w:rsidRPr="00E221CA">
        <w:rPr>
          <w:rFonts w:ascii="Palatino Linotype" w:hAnsi="Palatino Linotype" w:cs="Arial"/>
          <w:color w:val="000000" w:themeColor="text1"/>
          <w:sz w:val="24"/>
          <w:szCs w:val="24"/>
        </w:rPr>
        <w:t xml:space="preserve">En este sentido, es posible advertir que </w:t>
      </w:r>
      <w:r>
        <w:rPr>
          <w:rFonts w:ascii="Palatino Linotype" w:hAnsi="Palatino Linotype" w:cs="Arial"/>
          <w:color w:val="000000" w:themeColor="text1"/>
          <w:sz w:val="24"/>
          <w:szCs w:val="24"/>
        </w:rPr>
        <w:t xml:space="preserve"> </w:t>
      </w:r>
      <w:r w:rsidRPr="00E221CA">
        <w:rPr>
          <w:rFonts w:ascii="Palatino Linotype" w:hAnsi="Palatino Linotype" w:cs="Arial"/>
          <w:color w:val="000000" w:themeColor="text1"/>
          <w:sz w:val="24"/>
          <w:szCs w:val="24"/>
        </w:rPr>
        <w:t xml:space="preserve">a la fecha de resolución del presente medio de impugnación, no han sido emitidos </w:t>
      </w:r>
      <w:r>
        <w:rPr>
          <w:rFonts w:ascii="Palatino Linotype" w:hAnsi="Palatino Linotype" w:cs="Arial"/>
          <w:color w:val="000000" w:themeColor="text1"/>
          <w:sz w:val="24"/>
          <w:szCs w:val="24"/>
        </w:rPr>
        <w:t xml:space="preserve">los nuevos formatos de declaraciones patrimoniales y de intereses, actualizando  la hipótesis normativa inmersa en el artículo </w:t>
      </w:r>
      <w:r w:rsidRPr="00C750C6">
        <w:rPr>
          <w:rFonts w:ascii="Palatino Linotype" w:hAnsi="Palatino Linotype" w:cs="Arial"/>
          <w:b/>
          <w:bCs/>
          <w:color w:val="000000" w:themeColor="text1"/>
          <w:sz w:val="24"/>
          <w:szCs w:val="24"/>
        </w:rPr>
        <w:t>NOVENO</w:t>
      </w:r>
      <w:r>
        <w:rPr>
          <w:rFonts w:ascii="Palatino Linotype" w:hAnsi="Palatino Linotype" w:cs="Arial"/>
          <w:color w:val="000000" w:themeColor="text1"/>
          <w:sz w:val="24"/>
          <w:szCs w:val="24"/>
        </w:rPr>
        <w:t xml:space="preserve"> transitorio de la Ley de Responsabilidades Administrativas del Estado de México y Municipios, cuyo contenido literal es el siguiente: </w:t>
      </w:r>
    </w:p>
    <w:p w:rsidR="00D15BF2" w:rsidRPr="00C750C6" w:rsidRDefault="00D15BF2" w:rsidP="00D15BF2">
      <w:pPr>
        <w:pStyle w:val="Citas"/>
        <w:rPr>
          <w:b/>
          <w:bCs/>
          <w:color w:val="000000" w:themeColor="text1"/>
          <w:sz w:val="24"/>
          <w:szCs w:val="24"/>
        </w:rPr>
      </w:pPr>
      <w:r>
        <w:t xml:space="preserve">“NOVENO. (…) 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 </w:t>
      </w:r>
      <w:r>
        <w:rPr>
          <w:b/>
          <w:bCs/>
        </w:rPr>
        <w:t>[Sic]</w:t>
      </w:r>
    </w:p>
    <w:p w:rsidR="00D15BF2" w:rsidRDefault="00D15BF2" w:rsidP="00D15BF2">
      <w:pPr>
        <w:spacing w:line="360" w:lineRule="auto"/>
        <w:jc w:val="both"/>
        <w:rPr>
          <w:rFonts w:ascii="Palatino Linotype" w:hAnsi="Palatino Linotype" w:cs="Arial"/>
          <w:color w:val="000000" w:themeColor="text1"/>
          <w:sz w:val="24"/>
          <w:szCs w:val="24"/>
        </w:rPr>
      </w:pPr>
    </w:p>
    <w:p w:rsidR="00D15BF2" w:rsidRDefault="00D15BF2" w:rsidP="00D15BF2">
      <w:pPr>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Pr="00A308B4">
        <w:rPr>
          <w:rFonts w:ascii="Palatino Linotype" w:hAnsi="Palatino Linotype"/>
          <w:sz w:val="24"/>
          <w:szCs w:val="24"/>
        </w:rPr>
        <w:t xml:space="preserve">, se tiene que los servidores públicos sujetos a la presentación de las declaraciones en comento deberán hacerlo en los formatos vigentes hasta que el Comité Coordinador de mérito autorice los nuevos formatos y, en su caso, emita los lineamientos y criterios que le competan. </w:t>
      </w:r>
    </w:p>
    <w:p w:rsidR="00D15BF2" w:rsidRPr="00E221CA" w:rsidRDefault="00D15BF2" w:rsidP="00D15BF2">
      <w:pPr>
        <w:spacing w:line="360" w:lineRule="auto"/>
        <w:jc w:val="both"/>
        <w:rPr>
          <w:rFonts w:ascii="Palatino Linotype" w:hAnsi="Palatino Linotype" w:cs="Arial"/>
          <w:color w:val="000000" w:themeColor="text1"/>
          <w:sz w:val="24"/>
          <w:szCs w:val="24"/>
        </w:rPr>
      </w:pPr>
      <w:r w:rsidRPr="00A308B4">
        <w:rPr>
          <w:rFonts w:ascii="Palatino Linotype" w:hAnsi="Palatino Linotype"/>
          <w:sz w:val="24"/>
          <w:szCs w:val="24"/>
        </w:rPr>
        <w:t xml:space="preserve">Por ello, cabe señalar que al momento no se han emitido dichos formatos por parte del Comité Coordinador del Sistema Estatal Anticorrupción </w:t>
      </w:r>
      <w:r w:rsidRPr="00A308B4">
        <w:rPr>
          <w:rFonts w:ascii="Palatino Linotype" w:hAnsi="Palatino Linotype"/>
          <w:b/>
          <w:bCs/>
          <w:sz w:val="24"/>
          <w:szCs w:val="24"/>
          <w:u w:val="single"/>
        </w:rPr>
        <w:t xml:space="preserve">En concordancia, dado que los nuevos formatos y lineamientos relativos aún no se han publicado, </w:t>
      </w:r>
      <w:r>
        <w:rPr>
          <w:rFonts w:ascii="Palatino Linotype" w:hAnsi="Palatino Linotype"/>
          <w:b/>
          <w:bCs/>
          <w:sz w:val="24"/>
          <w:szCs w:val="24"/>
          <w:u w:val="single"/>
        </w:rPr>
        <w:t>luego entonces</w:t>
      </w:r>
      <w:r w:rsidRPr="00A308B4">
        <w:rPr>
          <w:rFonts w:ascii="Palatino Linotype" w:hAnsi="Palatino Linotype"/>
          <w:b/>
          <w:bCs/>
          <w:sz w:val="24"/>
          <w:szCs w:val="24"/>
          <w:u w:val="single"/>
        </w:rPr>
        <w:t xml:space="preserve"> prevalecen los formatos que se encontraban vigentes, en los cuales se establece la posibilidad para el servidor público obligado de autorizar o no la publicidad de lo declarado en los mismos</w:t>
      </w:r>
      <w:r>
        <w:rPr>
          <w:rFonts w:ascii="Palatino Linotype" w:hAnsi="Palatino Linotype"/>
          <w:b/>
          <w:bCs/>
          <w:sz w:val="24"/>
          <w:szCs w:val="24"/>
          <w:u w:val="single"/>
        </w:rPr>
        <w:t xml:space="preserve">, consecuentemente, la publicidad de la información requerida se encuentra supeditada al consentimiento del servidor público, </w:t>
      </w:r>
      <w:r>
        <w:rPr>
          <w:rFonts w:ascii="Palatino Linotype" w:hAnsi="Palatino Linotype"/>
          <w:sz w:val="24"/>
          <w:szCs w:val="24"/>
        </w:rPr>
        <w:t xml:space="preserve">lo anterior en atención al consentimiento, principio imperante en la materia de conformidad con </w:t>
      </w:r>
      <w:r w:rsidRPr="00E221CA">
        <w:rPr>
          <w:rFonts w:ascii="Palatino Linotype" w:hAnsi="Palatino Linotype"/>
          <w:sz w:val="24"/>
          <w:szCs w:val="24"/>
        </w:rPr>
        <w:t xml:space="preserve">los artículos 18, 20 22 y 25 de la Ley de Protección de Datos Personales Local, </w:t>
      </w:r>
      <w:r>
        <w:rPr>
          <w:rFonts w:ascii="Palatino Linotype" w:hAnsi="Palatino Linotype"/>
          <w:sz w:val="24"/>
          <w:szCs w:val="24"/>
        </w:rPr>
        <w:t>porciones normativas que a la letra disponen lo siguiente:</w:t>
      </w:r>
    </w:p>
    <w:p w:rsidR="00D15BF2" w:rsidRPr="00C750C6" w:rsidRDefault="00D15BF2" w:rsidP="00D15BF2">
      <w:pPr>
        <w:pStyle w:val="Citas"/>
        <w:rPr>
          <w:b/>
          <w:bCs/>
          <w:u w:val="single"/>
        </w:rPr>
      </w:pPr>
      <w:r>
        <w:t>“</w:t>
      </w:r>
      <w:r w:rsidRPr="00C750C6">
        <w:rPr>
          <w:b/>
          <w:bCs/>
          <w:u w:val="single"/>
        </w:rPr>
        <w:t xml:space="preserve">Artículo 18. El tratamiento de datos personales en posesión de los sujetos obligados contará con el consentimiento de su titular previo al tratamiento, salvo los supuestos de excepción previstos en la presente Ley y demás disposiciones legales aplicables. </w:t>
      </w:r>
    </w:p>
    <w:p w:rsidR="00D15BF2" w:rsidRDefault="00D15BF2" w:rsidP="00D15BF2">
      <w:pPr>
        <w:pStyle w:val="Citas"/>
      </w:pPr>
      <w:r>
        <w:t xml:space="preserve">El responsable demostrará que la o el titular consintió el tratamiento de sus datos personales. </w:t>
      </w:r>
    </w:p>
    <w:p w:rsidR="00D15BF2" w:rsidRDefault="00D15BF2" w:rsidP="00D15BF2">
      <w:pPr>
        <w:pStyle w:val="Citas"/>
        <w:rPr>
          <w:color w:val="000000" w:themeColor="text1"/>
        </w:rPr>
      </w:pPr>
      <w:r>
        <w:t>El consentimiento será revocado en cualquier momento sin que se le atribuyan efectos retroactivos, en los términos previstos en la Ley. Para revocar el consentimiento, el responsable deberá realizar la indicación respectiva en el aviso de privacidad.</w:t>
      </w:r>
      <w:r>
        <w:tab/>
      </w:r>
    </w:p>
    <w:p w:rsidR="00D15BF2" w:rsidRPr="00E221CA" w:rsidRDefault="00D15BF2" w:rsidP="00D15BF2">
      <w:pPr>
        <w:pStyle w:val="Citas"/>
        <w:rPr>
          <w:b/>
          <w:bCs/>
          <w:u w:val="single"/>
        </w:rPr>
      </w:pPr>
      <w:r w:rsidRPr="00E221CA">
        <w:rPr>
          <w:b/>
          <w:bCs/>
          <w:u w:val="single"/>
        </w:rPr>
        <w:lastRenderedPageBreak/>
        <w:t xml:space="preserve">Artículo 20. El consentimiento podrá manifestarse de forma expresa o tácita. </w:t>
      </w:r>
    </w:p>
    <w:p w:rsidR="00D15BF2" w:rsidRDefault="00D15BF2" w:rsidP="00D15BF2">
      <w:pPr>
        <w:pStyle w:val="Citas"/>
      </w:pPr>
      <w:r>
        <w:t xml:space="preserve">El consentimiento será tácito cuando habiéndose puesto a disposición de la o el titular el aviso de privacidad, éste no manifieste su voluntad en sentido contrario. </w:t>
      </w:r>
    </w:p>
    <w:p w:rsidR="00D15BF2" w:rsidRDefault="00D15BF2" w:rsidP="00D15BF2">
      <w:pPr>
        <w:pStyle w:val="Citas"/>
      </w:pPr>
      <w:r>
        <w:t xml:space="preserve">Por regla general será válido el consentimiento tácito, salvo que la Ley o las disposiciones legales aplicables exijan que la voluntad del titular se manifieste expresamente. </w:t>
      </w:r>
    </w:p>
    <w:p w:rsidR="00D15BF2" w:rsidRDefault="00D15BF2" w:rsidP="00D15BF2">
      <w:pPr>
        <w:pStyle w:val="Citas"/>
      </w:pPr>
      <w: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rsidR="00D15BF2" w:rsidRDefault="00D15BF2" w:rsidP="00D15BF2">
      <w:pPr>
        <w:pStyle w:val="Citas"/>
      </w:pPr>
      <w: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rsidR="00D15BF2" w:rsidRDefault="00D15BF2" w:rsidP="00D15BF2">
      <w:pPr>
        <w:pStyle w:val="Citas"/>
      </w:pPr>
      <w:r>
        <w:t>Artículo 22. Todo tratamiento de datos personales que efectúe el responsable deberá estar justificado por finalidades concretas, lícitas, explícitas y legítimas, relacionadas con las atribuciones que la normatividad aplicable les confiera.</w:t>
      </w:r>
    </w:p>
    <w:p w:rsidR="00D15BF2" w:rsidRDefault="00D15BF2" w:rsidP="00D15BF2">
      <w:pPr>
        <w:pStyle w:val="Citas"/>
      </w:pPr>
      <w:r>
        <w:t xml:space="preserve"> El responsable podrá tratar datos personales para finalidades distintas a aquéllas establecidas en el aviso de privacidad, en los casos siguientes:</w:t>
      </w:r>
    </w:p>
    <w:p w:rsidR="00D15BF2" w:rsidRDefault="00D15BF2" w:rsidP="00D15BF2">
      <w:pPr>
        <w:pStyle w:val="Citas"/>
      </w:pPr>
      <w:r>
        <w:t xml:space="preserve"> I. Cuente con atribuciones conferidas en ley y medie el consentimiento del titular. </w:t>
      </w:r>
    </w:p>
    <w:p w:rsidR="00D15BF2" w:rsidRDefault="00D15BF2" w:rsidP="00D15BF2">
      <w:pPr>
        <w:pStyle w:val="Citas"/>
      </w:pPr>
      <w:r>
        <w:lastRenderedPageBreak/>
        <w:t>II. Se trate de una persona reportada como desaparecida, en los términos previstos en la presente Ley y demás disposiciones legales aplicables.</w:t>
      </w:r>
    </w:p>
    <w:p w:rsidR="00D15BF2" w:rsidRDefault="00D15BF2" w:rsidP="00D15BF2">
      <w:pPr>
        <w:pStyle w:val="Citas"/>
      </w:pPr>
      <w:r>
        <w:t>Artículo 25. El tratamiento de datos personales por parte del responsable deberá sujetarse a las facultades o atribuciones que la normatividad aplicable le confiera.</w:t>
      </w:r>
    </w:p>
    <w:p w:rsidR="00D15BF2" w:rsidRDefault="00D15BF2" w:rsidP="00D15BF2">
      <w:pPr>
        <w:pStyle w:val="Citas"/>
      </w:pPr>
      <w:r>
        <w:t xml:space="preserve"> El responsable podrá considerar los siguientes parámetros a fin de determinar si el tratamiento que realiza es lícito:</w:t>
      </w:r>
    </w:p>
    <w:p w:rsidR="00D15BF2" w:rsidRDefault="00D15BF2" w:rsidP="00D15BF2">
      <w:pPr>
        <w:pStyle w:val="Citas"/>
      </w:pPr>
      <w:r>
        <w:t xml:space="preserve"> a) La o el titular dio su consentimiento expreso y por escrito para el tratamiento de sus datos personales para uno o varios fines específicos.</w:t>
      </w:r>
    </w:p>
    <w:p w:rsidR="00D15BF2" w:rsidRDefault="00D15BF2" w:rsidP="00D15BF2">
      <w:pPr>
        <w:pStyle w:val="Citas"/>
      </w:pPr>
      <w:r>
        <w:t xml:space="preserve"> b) La ejecución de un contrato en el que el interesado es parte o para la aplicación a petición de este de medidas precontractuales.</w:t>
      </w:r>
    </w:p>
    <w:p w:rsidR="00D15BF2" w:rsidRDefault="00D15BF2" w:rsidP="00D15BF2">
      <w:pPr>
        <w:pStyle w:val="Citas"/>
      </w:pPr>
      <w:r>
        <w:t xml:space="preserve"> c) El cumplimiento de una obligación legal aplicable al responsable.</w:t>
      </w:r>
    </w:p>
    <w:p w:rsidR="00D15BF2" w:rsidRDefault="00D15BF2" w:rsidP="00D15BF2">
      <w:pPr>
        <w:pStyle w:val="Citas"/>
      </w:pPr>
      <w:r>
        <w:t xml:space="preserve"> d) La protección de intereses vitales de la o el titular o de otra persona física. </w:t>
      </w:r>
    </w:p>
    <w:p w:rsidR="00D15BF2" w:rsidRDefault="00D15BF2" w:rsidP="00D15BF2">
      <w:pPr>
        <w:pStyle w:val="Citas"/>
      </w:pPr>
      <w:r>
        <w:t xml:space="preserve">e) Cumplir con el interés público o en el ejercicio de poderes públicos conferidos al responsable. </w:t>
      </w:r>
    </w:p>
    <w:p w:rsidR="00D15BF2" w:rsidRDefault="00D15BF2" w:rsidP="00D15BF2">
      <w:pPr>
        <w:pStyle w:val="Citas"/>
      </w:pPr>
      <w:r>
        <w:t xml:space="preserve">f) La satisfacción de intereses legítimos perseguidos por el responsable o por un tercero, cuando no prevalecen los intereses, los derechos y libertades fundamentales de la o el titular que requieran la protección de datos personales, en particular cuando el interesado sea un menor de edad. </w:t>
      </w:r>
    </w:p>
    <w:p w:rsidR="00D15BF2" w:rsidRDefault="00D15BF2" w:rsidP="00D15BF2">
      <w:pPr>
        <w:pStyle w:val="Citas"/>
      </w:pPr>
      <w:r>
        <w:t>Lo dispuesto en el inciso f) no será de aplicación al tratamiento realizado por las autoridades públicas en el ejercicio de sus funciones.</w:t>
      </w:r>
    </w:p>
    <w:p w:rsidR="00D15BF2" w:rsidRDefault="00D15BF2" w:rsidP="00D15BF2">
      <w:pPr>
        <w:pStyle w:val="Citas"/>
        <w:tabs>
          <w:tab w:val="left" w:pos="8190"/>
        </w:tabs>
        <w:ind w:left="0" w:right="72"/>
        <w:rPr>
          <w:i w:val="0"/>
          <w:iCs/>
          <w:color w:val="000000" w:themeColor="text1"/>
          <w:sz w:val="24"/>
          <w:szCs w:val="24"/>
        </w:rPr>
      </w:pPr>
    </w:p>
    <w:p w:rsidR="005174DC" w:rsidRDefault="005174DC" w:rsidP="005174DC">
      <w:pPr>
        <w:pStyle w:val="Prrafodelista"/>
        <w:spacing w:line="360" w:lineRule="auto"/>
        <w:ind w:left="0"/>
        <w:jc w:val="both"/>
        <w:rPr>
          <w:rFonts w:ascii="Palatino Linotype" w:eastAsia="Calibri" w:hAnsi="Palatino Linotype"/>
        </w:rPr>
      </w:pPr>
      <w:r>
        <w:rPr>
          <w:rFonts w:ascii="Palatino Linotype" w:eastAsia="Calibri" w:hAnsi="Palatino Linotype"/>
        </w:rPr>
        <w:lastRenderedPageBreak/>
        <w:t xml:space="preserve">Es imprescindible traer a colación lo que se entiende por </w:t>
      </w:r>
      <w:r w:rsidRPr="00A77795">
        <w:rPr>
          <w:rFonts w:ascii="Palatino Linotype" w:eastAsia="Calibri" w:hAnsi="Palatino Linotype"/>
        </w:rPr>
        <w:t>“Declarante”,</w:t>
      </w:r>
      <w:r>
        <w:rPr>
          <w:rFonts w:ascii="Palatino Linotype" w:eastAsia="Calibri" w:hAnsi="Palatino Linotype"/>
        </w:rPr>
        <w:t xml:space="preserve"> el cual es definido en la fracción VIII del artículo 3 de la </w:t>
      </w:r>
      <w:r w:rsidRPr="00A77795">
        <w:rPr>
          <w:rFonts w:ascii="Palatino Linotype" w:eastAsia="Calibri" w:hAnsi="Palatino Linotype"/>
        </w:rPr>
        <w:t xml:space="preserve">Ley de Responsabilidades Administrativas del Estado de México y Municipios </w:t>
      </w:r>
      <w:r>
        <w:rPr>
          <w:rFonts w:ascii="Palatino Linotype" w:eastAsia="Calibri" w:hAnsi="Palatino Linotype"/>
        </w:rPr>
        <w:t>como:</w:t>
      </w:r>
    </w:p>
    <w:p w:rsidR="005174DC" w:rsidRDefault="005174DC" w:rsidP="005174DC">
      <w:pPr>
        <w:pStyle w:val="Prrafodelista"/>
        <w:spacing w:line="360" w:lineRule="auto"/>
        <w:ind w:left="0"/>
        <w:jc w:val="both"/>
        <w:rPr>
          <w:rFonts w:ascii="Palatino Linotype" w:eastAsia="Calibri" w:hAnsi="Palatino Linotype"/>
        </w:rPr>
      </w:pPr>
    </w:p>
    <w:p w:rsidR="005174DC" w:rsidRPr="00EC06C9" w:rsidRDefault="005174DC" w:rsidP="005174DC">
      <w:pPr>
        <w:pStyle w:val="Prrafodelista"/>
        <w:spacing w:line="360" w:lineRule="auto"/>
        <w:ind w:left="567" w:right="616"/>
        <w:jc w:val="both"/>
        <w:rPr>
          <w:rFonts w:ascii="Palatino Linotype" w:hAnsi="Palatino Linotype"/>
          <w:i/>
          <w:sz w:val="22"/>
        </w:rPr>
      </w:pPr>
      <w:r>
        <w:rPr>
          <w:rFonts w:ascii="Palatino Linotype" w:hAnsi="Palatino Linotype"/>
          <w:i/>
          <w:sz w:val="22"/>
        </w:rPr>
        <w:t>“</w:t>
      </w:r>
      <w:r w:rsidRPr="00EC06C9">
        <w:rPr>
          <w:rFonts w:ascii="Palatino Linotype" w:hAnsi="Palatino Linotype"/>
          <w:b/>
          <w:i/>
          <w:sz w:val="22"/>
        </w:rPr>
        <w:t>Artículo 3.</w:t>
      </w:r>
      <w:r w:rsidRPr="00EC06C9">
        <w:rPr>
          <w:rFonts w:ascii="Palatino Linotype" w:hAnsi="Palatino Linotype"/>
          <w:i/>
          <w:sz w:val="22"/>
        </w:rPr>
        <w:t xml:space="preserve"> Para los efectos de la presente Ley, se entenderá por:</w:t>
      </w:r>
    </w:p>
    <w:p w:rsidR="005174DC" w:rsidRPr="00EC06C9" w:rsidRDefault="005174DC" w:rsidP="005174DC">
      <w:pPr>
        <w:pStyle w:val="Prrafodelista"/>
        <w:spacing w:line="360" w:lineRule="auto"/>
        <w:ind w:left="567" w:right="616"/>
        <w:jc w:val="both"/>
        <w:rPr>
          <w:rFonts w:ascii="Palatino Linotype" w:eastAsia="Calibri" w:hAnsi="Palatino Linotype"/>
          <w:i/>
          <w:sz w:val="22"/>
        </w:rPr>
      </w:pPr>
      <w:r w:rsidRPr="00EC06C9">
        <w:rPr>
          <w:rFonts w:ascii="Palatino Linotype" w:hAnsi="Palatino Linotype"/>
          <w:i/>
          <w:sz w:val="22"/>
        </w:rPr>
        <w:t>[…]</w:t>
      </w:r>
    </w:p>
    <w:p w:rsidR="005174DC" w:rsidRPr="00EC06C9" w:rsidRDefault="005174DC" w:rsidP="005174DC">
      <w:pPr>
        <w:pStyle w:val="Prrafodelista"/>
        <w:spacing w:line="360" w:lineRule="auto"/>
        <w:ind w:left="567" w:right="616"/>
        <w:jc w:val="both"/>
        <w:rPr>
          <w:rFonts w:ascii="Palatino Linotype" w:hAnsi="Palatino Linotype"/>
          <w:i/>
          <w:sz w:val="22"/>
        </w:rPr>
      </w:pPr>
      <w:r w:rsidRPr="00EC06C9">
        <w:rPr>
          <w:rFonts w:ascii="Palatino Linotype" w:hAnsi="Palatino Linotype"/>
          <w:b/>
          <w:i/>
          <w:sz w:val="22"/>
        </w:rPr>
        <w:t>VIII. Declarante:</w:t>
      </w:r>
      <w:r w:rsidRPr="00EC06C9">
        <w:rPr>
          <w:rFonts w:ascii="Palatino Linotype" w:hAnsi="Palatino Linotype"/>
          <w:i/>
          <w:sz w:val="22"/>
        </w:rPr>
        <w:t xml:space="preserve"> Al servidor público obligado a presentar la declaración de situación patrimonial, la declaración de intereses y la presentación de la constancia de declaración fiscal, en los términos establecidos en la presente Ley.</w:t>
      </w:r>
    </w:p>
    <w:p w:rsidR="005174DC" w:rsidRPr="00EC06C9" w:rsidRDefault="005174DC" w:rsidP="005174DC">
      <w:pPr>
        <w:pStyle w:val="Prrafodelista"/>
        <w:spacing w:line="360" w:lineRule="auto"/>
        <w:ind w:left="567" w:right="616"/>
        <w:jc w:val="both"/>
        <w:rPr>
          <w:rFonts w:ascii="Palatino Linotype" w:eastAsia="Calibri" w:hAnsi="Palatino Linotype"/>
          <w:i/>
          <w:sz w:val="22"/>
        </w:rPr>
      </w:pPr>
      <w:r w:rsidRPr="00EC06C9">
        <w:rPr>
          <w:rFonts w:ascii="Palatino Linotype" w:hAnsi="Palatino Linotype"/>
          <w:i/>
          <w:sz w:val="22"/>
        </w:rPr>
        <w:t>[…]</w:t>
      </w:r>
      <w:r>
        <w:rPr>
          <w:rFonts w:ascii="Palatino Linotype" w:hAnsi="Palatino Linotype"/>
          <w:i/>
          <w:sz w:val="22"/>
        </w:rPr>
        <w:t xml:space="preserve">”. </w:t>
      </w:r>
    </w:p>
    <w:p w:rsidR="005174DC" w:rsidRDefault="005174DC" w:rsidP="005174DC">
      <w:pPr>
        <w:pStyle w:val="Prrafodelista"/>
        <w:spacing w:line="360" w:lineRule="auto"/>
        <w:ind w:left="0"/>
        <w:jc w:val="both"/>
        <w:rPr>
          <w:rFonts w:ascii="Palatino Linotype" w:eastAsia="Calibri" w:hAnsi="Palatino Linotype"/>
        </w:rPr>
      </w:pPr>
    </w:p>
    <w:p w:rsidR="005174DC" w:rsidRPr="00206F1E" w:rsidRDefault="005174DC" w:rsidP="005174DC">
      <w:pPr>
        <w:pStyle w:val="Prrafodelista"/>
        <w:spacing w:line="360" w:lineRule="auto"/>
        <w:ind w:left="0"/>
        <w:jc w:val="both"/>
        <w:rPr>
          <w:rFonts w:ascii="Palatino Linotype" w:eastAsia="Calibri" w:hAnsi="Palatino Linotype"/>
        </w:rPr>
      </w:pPr>
      <w:r w:rsidRPr="00206F1E">
        <w:rPr>
          <w:rFonts w:ascii="Palatino Linotype" w:eastAsia="Calibri" w:hAnsi="Palatino Linotype"/>
        </w:rPr>
        <w:t xml:space="preserve">Aunado a lo anterior, la Ley de Responsabilidades Administrativas del Estado de México y Municipios, establece en su artículo 2 fracción VI que el objeto de la Ley es </w:t>
      </w:r>
      <w:r w:rsidRPr="00206F1E">
        <w:rPr>
          <w:rFonts w:ascii="Palatino Linotype" w:eastAsia="Calibri" w:hAnsi="Palatino Linotype"/>
          <w:i/>
        </w:rPr>
        <w:t>“V. Establecer las obligac</w:t>
      </w:r>
      <w:r>
        <w:rPr>
          <w:rFonts w:ascii="Palatino Linotype" w:eastAsia="Calibri" w:hAnsi="Palatino Linotype"/>
          <w:i/>
        </w:rPr>
        <w:t>iones y el procedimiento para la</w:t>
      </w:r>
      <w:r w:rsidRPr="00206F1E">
        <w:rPr>
          <w:rFonts w:ascii="Palatino Linotype" w:eastAsia="Calibri" w:hAnsi="Palatino Linotype"/>
          <w:i/>
        </w:rPr>
        <w:t xml:space="preserve"> declaración de situación patrimonial, la declaración de intereses y la presentación de la constancia de declaración fiscal de los servidores públicos”. </w:t>
      </w:r>
    </w:p>
    <w:p w:rsidR="005174DC" w:rsidRPr="00206F1E" w:rsidRDefault="005174DC" w:rsidP="005174DC">
      <w:pPr>
        <w:pStyle w:val="Prrafodelista"/>
        <w:spacing w:line="360" w:lineRule="auto"/>
        <w:ind w:left="0"/>
        <w:jc w:val="both"/>
        <w:rPr>
          <w:rFonts w:ascii="Palatino Linotype" w:eastAsia="Calibri" w:hAnsi="Palatino Linotype"/>
        </w:rPr>
      </w:pPr>
    </w:p>
    <w:p w:rsidR="005174DC" w:rsidRPr="00B81829" w:rsidRDefault="005174DC" w:rsidP="005174DC">
      <w:pPr>
        <w:spacing w:line="360" w:lineRule="auto"/>
        <w:jc w:val="both"/>
        <w:rPr>
          <w:rFonts w:ascii="Palatino Linotype" w:eastAsia="Calibri" w:hAnsi="Palatino Linotype" w:cs="Times New Roman"/>
          <w:lang w:val="es-ES"/>
        </w:rPr>
      </w:pPr>
      <w:r w:rsidRPr="00B81829">
        <w:rPr>
          <w:rFonts w:ascii="Palatino Linotype" w:eastAsia="Calibri" w:hAnsi="Palatino Linotype" w:cs="Times New Roman"/>
          <w:lang w:val="es-ES"/>
        </w:rPr>
        <w:t xml:space="preserve">De igual forma, cabe precisar que el artículo 33 de la Ley de Responsabilidades Administrativas Estatal señala que </w:t>
      </w:r>
      <w:r w:rsidRPr="00B81829">
        <w:rPr>
          <w:rFonts w:ascii="Palatino Linotype" w:eastAsia="Calibri" w:hAnsi="Palatino Linotype" w:cs="Times New Roman"/>
          <w:b/>
          <w:i/>
          <w:lang w:val="es-ES"/>
        </w:rPr>
        <w:t xml:space="preserve">“Estarán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r w:rsidRPr="00B81829">
        <w:rPr>
          <w:rFonts w:ascii="Palatino Linotype" w:eastAsia="Calibri" w:hAnsi="Palatino Linotype" w:cs="Times New Roman"/>
          <w:i/>
          <w:lang w:val="es-ES"/>
        </w:rPr>
        <w:t xml:space="preserve">[…]”. </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5174DC">
      <w:pPr>
        <w:pStyle w:val="Prrafodelista"/>
        <w:numPr>
          <w:ilvl w:val="0"/>
          <w:numId w:val="14"/>
        </w:numPr>
        <w:spacing w:line="360" w:lineRule="auto"/>
        <w:ind w:left="0" w:firstLine="0"/>
        <w:contextualSpacing/>
        <w:jc w:val="both"/>
        <w:rPr>
          <w:rFonts w:ascii="Palatino Linotype" w:eastAsia="Calibri" w:hAnsi="Palatino Linotype"/>
        </w:rPr>
      </w:pPr>
      <w:r w:rsidRPr="00A77795">
        <w:rPr>
          <w:rFonts w:ascii="Palatino Linotype" w:eastAsia="Calibri" w:hAnsi="Palatino Linotype"/>
        </w:rPr>
        <w:t xml:space="preserve">Por su parte, los artículos </w:t>
      </w:r>
      <w:r>
        <w:rPr>
          <w:rFonts w:ascii="Palatino Linotype" w:eastAsia="Calibri" w:hAnsi="Palatino Linotype"/>
        </w:rPr>
        <w:t>34, 35 y 46 de la Ley referida, mencionan lo siguiente:</w:t>
      </w:r>
    </w:p>
    <w:p w:rsidR="005174DC" w:rsidRDefault="005174DC" w:rsidP="005174DC">
      <w:pPr>
        <w:pStyle w:val="Prrafodelista"/>
        <w:spacing w:line="360" w:lineRule="auto"/>
        <w:ind w:left="0"/>
        <w:jc w:val="both"/>
        <w:rPr>
          <w:rFonts w:ascii="Palatino Linotype" w:eastAsia="Calibri" w:hAnsi="Palatino Linotype"/>
        </w:rPr>
      </w:pP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Pr>
          <w:rFonts w:ascii="Palatino Linotype" w:hAnsi="Palatino Linotype"/>
          <w:i/>
          <w:sz w:val="22"/>
          <w:szCs w:val="22"/>
        </w:rPr>
        <w:lastRenderedPageBreak/>
        <w:t>“</w:t>
      </w:r>
      <w:r w:rsidRPr="009C2398">
        <w:rPr>
          <w:rFonts w:ascii="Palatino Linotype" w:hAnsi="Palatino Linotype"/>
          <w:b/>
          <w:i/>
          <w:sz w:val="22"/>
          <w:szCs w:val="22"/>
        </w:rPr>
        <w:t>Artículo 34.</w:t>
      </w:r>
      <w:r w:rsidRPr="009C2398">
        <w:rPr>
          <w:rFonts w:ascii="Palatino Linotype" w:hAnsi="Palatino Linotype"/>
          <w:i/>
          <w:sz w:val="22"/>
          <w:szCs w:val="22"/>
        </w:rPr>
        <w:t xml:space="preserve"> La declaración de situación patrimonial, deberá presentarse en los siguientes plazos: </w:t>
      </w:r>
    </w:p>
    <w:p w:rsidR="005174DC" w:rsidRPr="009C2398" w:rsidRDefault="005174DC" w:rsidP="005174DC">
      <w:pPr>
        <w:pStyle w:val="Prrafodelista"/>
        <w:spacing w:line="360" w:lineRule="auto"/>
        <w:ind w:left="567" w:right="616"/>
        <w:jc w:val="both"/>
        <w:rPr>
          <w:rFonts w:ascii="Palatino Linotype" w:hAnsi="Palatino Linotype"/>
          <w:b/>
          <w:i/>
          <w:sz w:val="22"/>
          <w:szCs w:val="22"/>
        </w:rPr>
      </w:pPr>
      <w:r w:rsidRPr="009C2398">
        <w:rPr>
          <w:rFonts w:ascii="Palatino Linotype" w:hAnsi="Palatino Linotype"/>
          <w:b/>
          <w:i/>
          <w:sz w:val="22"/>
          <w:szCs w:val="22"/>
        </w:rPr>
        <w:t xml:space="preserve">I. Declaración inicial, dentro de los sesenta días naturales siguientes a la toma de posesión con motivo del: </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a) Ingreso al servicio público por primera vez.</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b) Reingreso al servicio público después de sesenta días naturales de la conclusión de su último encargo. </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II. Declaración de modificación patrimonial, durante el mes de mayo de cada año. </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III. Declaración de conclusión del encargo, dentro de los sesenta días naturales siguientes a la conclusión. </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lastRenderedPageBreak/>
        <w:t xml:space="preserve">El incumplimiento por no separar del cargo al servidor público por parte del titular de alguno de los entes públicos, será causa de responsabilidad administrativa en los términos de la presente Ley. </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p>
    <w:p w:rsidR="005174DC" w:rsidRPr="009C2398"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 xml:space="preserve">Para el caso de omisión, sin causa justificada, en la presentación de la declaración a que se refiere la fracción III de este artículo, se inhabilitará al infractor de tres meses a un año. </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p>
    <w:p w:rsidR="005174DC" w:rsidRDefault="005174DC" w:rsidP="005174DC">
      <w:pPr>
        <w:pStyle w:val="Prrafodelista"/>
        <w:spacing w:line="360" w:lineRule="auto"/>
        <w:ind w:left="567" w:right="616"/>
        <w:jc w:val="both"/>
        <w:rPr>
          <w:rFonts w:ascii="Palatino Linotype" w:hAnsi="Palatino Linotype"/>
          <w:i/>
          <w:sz w:val="22"/>
          <w:szCs w:val="22"/>
        </w:rPr>
      </w:pPr>
      <w:r w:rsidRPr="009C2398">
        <w:rPr>
          <w:rFonts w:ascii="Palatino Linotype" w:hAnsi="Palatino Linotype"/>
          <w:i/>
          <w:sz w:val="22"/>
          <w:szCs w:val="22"/>
        </w:rPr>
        <w:t>Para la imposición de las sanciones a que se refiere este artículo deberá sustanciarse el procedimiento de responsabilidad administrativa por faltas administrativas previsto en el Título Segundo del Libro Segundo de la presente Ley.</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p>
    <w:p w:rsidR="005174DC" w:rsidRPr="009C2398" w:rsidRDefault="005174DC" w:rsidP="005174DC">
      <w:pPr>
        <w:spacing w:line="360" w:lineRule="auto"/>
        <w:ind w:left="567" w:right="616"/>
        <w:jc w:val="both"/>
        <w:rPr>
          <w:rFonts w:ascii="Palatino Linotype" w:hAnsi="Palatino Linotype"/>
          <w:i/>
        </w:rPr>
      </w:pPr>
      <w:r w:rsidRPr="009C2398">
        <w:rPr>
          <w:rFonts w:ascii="Palatino Linotype" w:hAnsi="Palatino Linotype"/>
          <w:b/>
          <w:i/>
        </w:rPr>
        <w:t>Artículo 35.</w:t>
      </w:r>
      <w:r w:rsidRPr="009C2398">
        <w:rPr>
          <w:rFonts w:ascii="Palatino Linotype" w:hAnsi="Palatino Linotype"/>
          <w:i/>
        </w:rPr>
        <w:t xml:space="preserve"> </w:t>
      </w:r>
      <w:r w:rsidRPr="009C2398">
        <w:rPr>
          <w:rFonts w:ascii="Palatino Linotype" w:hAnsi="Palatino Linotype"/>
          <w:b/>
          <w:i/>
        </w:rPr>
        <w:t>La declaración de situación patrimonial, deberá ser presentada a través de medios electrónicos</w:t>
      </w:r>
      <w:r w:rsidRPr="009C2398">
        <w:rPr>
          <w:rFonts w:ascii="Palatino Linotype" w:hAnsi="Palatino Linotype"/>
          <w:i/>
        </w:rPr>
        <w:t>, empleándose medios de identificación electrónica.</w:t>
      </w:r>
    </w:p>
    <w:p w:rsidR="005174DC" w:rsidRPr="009C2398" w:rsidRDefault="005174DC" w:rsidP="005174DC">
      <w:pPr>
        <w:spacing w:line="360" w:lineRule="auto"/>
        <w:ind w:left="567" w:right="616"/>
        <w:jc w:val="both"/>
        <w:rPr>
          <w:rFonts w:ascii="Palatino Linotype" w:hAnsi="Palatino Linotype"/>
          <w:i/>
        </w:rPr>
      </w:pPr>
      <w:r w:rsidRPr="009C2398">
        <w:rPr>
          <w:rFonts w:ascii="Palatino Linotype" w:hAnsi="Palatino Linotype"/>
          <w:b/>
          <w:i/>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9C2398">
        <w:rPr>
          <w:rFonts w:ascii="Palatino Linotype" w:hAnsi="Palatino Linotype"/>
          <w:i/>
        </w:rPr>
        <w:t>.</w:t>
      </w:r>
    </w:p>
    <w:p w:rsidR="005174DC" w:rsidRPr="009C2398" w:rsidRDefault="005174DC" w:rsidP="005174DC">
      <w:pPr>
        <w:spacing w:line="360" w:lineRule="auto"/>
        <w:ind w:left="567" w:right="616"/>
        <w:jc w:val="both"/>
        <w:rPr>
          <w:rFonts w:ascii="Palatino Linotype" w:hAnsi="Palatino Linotype"/>
          <w:i/>
        </w:rPr>
      </w:pPr>
      <w:r w:rsidRPr="009C2398">
        <w:rPr>
          <w:rFonts w:ascii="Palatino Linotype" w:hAnsi="Palatino Linotype"/>
          <w:i/>
        </w:rPr>
        <w:t xml:space="preserve">La </w:t>
      </w:r>
      <w:r w:rsidRPr="009C2398">
        <w:rPr>
          <w:rFonts w:ascii="Palatino Linotype" w:hAnsi="Palatino Linotype"/>
          <w:b/>
          <w:i/>
        </w:rPr>
        <w:t>Secretaría de la Contraloría tendrá a su cargo el sistema de certificación de los medios de identificación electrónica que utilicen los servidores públicos y llevará el control de dicho medio</w:t>
      </w:r>
      <w:r w:rsidRPr="009C2398">
        <w:rPr>
          <w:rFonts w:ascii="Palatino Linotype" w:hAnsi="Palatino Linotype"/>
          <w:i/>
        </w:rPr>
        <w:t>.</w:t>
      </w:r>
    </w:p>
    <w:p w:rsidR="005174DC" w:rsidRPr="009C2398" w:rsidRDefault="005174DC" w:rsidP="005174DC">
      <w:pPr>
        <w:spacing w:line="360" w:lineRule="auto"/>
        <w:ind w:left="567" w:right="616"/>
        <w:jc w:val="both"/>
        <w:rPr>
          <w:rFonts w:ascii="Palatino Linotype" w:hAnsi="Palatino Linotype"/>
          <w:i/>
        </w:rPr>
      </w:pPr>
      <w:r w:rsidRPr="009C2398">
        <w:rPr>
          <w:rFonts w:ascii="Palatino Linotype" w:hAnsi="Palatino Linotype"/>
          <w:i/>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w:t>
      </w:r>
      <w:r w:rsidRPr="009C2398">
        <w:rPr>
          <w:rFonts w:ascii="Palatino Linotype" w:hAnsi="Palatino Linotype"/>
          <w:i/>
        </w:rPr>
        <w:lastRenderedPageBreak/>
        <w:t xml:space="preserve">caso, la constancia de presentación de la declaración fiscal, así como los manuales e instructivos, observando lo dispuesto por esta Ley. </w:t>
      </w:r>
    </w:p>
    <w:p w:rsidR="005174DC" w:rsidRPr="009C2398" w:rsidRDefault="005174DC" w:rsidP="005174DC">
      <w:pPr>
        <w:spacing w:line="360" w:lineRule="auto"/>
        <w:ind w:left="567" w:right="616"/>
        <w:jc w:val="both"/>
        <w:rPr>
          <w:rFonts w:ascii="Palatino Linotype" w:hAnsi="Palatino Linotype"/>
          <w:i/>
        </w:rPr>
      </w:pPr>
      <w:r w:rsidRPr="009C2398">
        <w:rPr>
          <w:rFonts w:ascii="Palatino Linotype" w:hAnsi="Palatino Linotype"/>
          <w:i/>
        </w:rPr>
        <w:t xml:space="preserve">Para los efectos de los procedimientos penales que se deriven de la aplicación de las disposiciones del presente Título, </w:t>
      </w:r>
      <w:r w:rsidRPr="009C2398">
        <w:rPr>
          <w:rFonts w:ascii="Palatino Linotype" w:hAnsi="Palatino Linotype"/>
          <w:b/>
          <w:i/>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9C2398">
        <w:rPr>
          <w:rFonts w:ascii="Palatino Linotype" w:hAnsi="Palatino Linotype"/>
          <w:i/>
        </w:rPr>
        <w:t>.</w:t>
      </w:r>
    </w:p>
    <w:p w:rsidR="005174DC" w:rsidRPr="009C2398" w:rsidRDefault="005174DC" w:rsidP="005174DC">
      <w:pPr>
        <w:spacing w:line="360" w:lineRule="auto"/>
        <w:ind w:left="567" w:right="616"/>
        <w:jc w:val="both"/>
        <w:rPr>
          <w:rFonts w:ascii="Palatino Linotype" w:hAnsi="Palatino Linotype"/>
          <w:i/>
        </w:rPr>
      </w:pPr>
      <w:r w:rsidRPr="009C2398">
        <w:rPr>
          <w:rFonts w:ascii="Palatino Linotype" w:hAnsi="Palatino Linotype"/>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5174DC" w:rsidRPr="009C2398" w:rsidRDefault="005174DC" w:rsidP="005174DC">
      <w:pPr>
        <w:spacing w:line="360" w:lineRule="auto"/>
        <w:ind w:left="567" w:right="616"/>
        <w:jc w:val="both"/>
        <w:rPr>
          <w:rFonts w:ascii="Palatino Linotype" w:hAnsi="Palatino Linotype"/>
          <w:i/>
        </w:rPr>
      </w:pPr>
    </w:p>
    <w:p w:rsidR="005174DC" w:rsidRPr="009C2398" w:rsidRDefault="005174DC" w:rsidP="005174DC">
      <w:pPr>
        <w:spacing w:line="360" w:lineRule="auto"/>
        <w:ind w:left="567" w:right="616"/>
        <w:jc w:val="both"/>
        <w:rPr>
          <w:rFonts w:ascii="Palatino Linotype" w:hAnsi="Palatino Linotype"/>
          <w:i/>
        </w:rPr>
      </w:pPr>
      <w:r w:rsidRPr="009C2398">
        <w:rPr>
          <w:rFonts w:ascii="Palatino Linotype" w:hAnsi="Palatino Linotype"/>
          <w:i/>
        </w:rPr>
        <w:t xml:space="preserve"> (Énfasis añadido)</w:t>
      </w:r>
    </w:p>
    <w:p w:rsidR="005174DC" w:rsidRPr="009C2398" w:rsidRDefault="005174DC" w:rsidP="005174DC">
      <w:pPr>
        <w:pStyle w:val="Prrafodelista"/>
        <w:spacing w:line="360" w:lineRule="auto"/>
        <w:ind w:left="567" w:right="616"/>
        <w:jc w:val="both"/>
        <w:rPr>
          <w:rFonts w:ascii="Palatino Linotype" w:hAnsi="Palatino Linotype"/>
          <w:i/>
          <w:sz w:val="22"/>
          <w:szCs w:val="22"/>
        </w:rPr>
      </w:pPr>
    </w:p>
    <w:p w:rsidR="005174DC" w:rsidRPr="009C2398" w:rsidRDefault="005174DC" w:rsidP="005174DC">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i/>
          <w:sz w:val="22"/>
          <w:szCs w:val="22"/>
        </w:rPr>
        <w:t>“</w:t>
      </w:r>
      <w:r w:rsidRPr="009C2398">
        <w:rPr>
          <w:rFonts w:ascii="Palatino Linotype" w:hAnsi="Palatino Linotype"/>
          <w:b/>
          <w:i/>
          <w:sz w:val="22"/>
          <w:szCs w:val="22"/>
        </w:rPr>
        <w:t>Artículo 46. …</w:t>
      </w:r>
    </w:p>
    <w:p w:rsidR="005174DC" w:rsidRPr="009C2398" w:rsidRDefault="005174DC" w:rsidP="005174DC">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b/>
          <w:i/>
          <w:sz w:val="22"/>
          <w:szCs w:val="22"/>
        </w:rPr>
        <w:t>La declaración de intereses deberá presentarse en los plazos a que se refiere el artículo 34 de esta Ley</w:t>
      </w:r>
      <w:r w:rsidRPr="009C2398">
        <w:rPr>
          <w:rFonts w:ascii="Palatino Linotype" w:hAnsi="Palatino Linotype"/>
          <w:i/>
          <w:sz w:val="22"/>
          <w:szCs w:val="22"/>
        </w:rPr>
        <w:t>, y de la misma manera le serán aplicables los procedimientos establecidos en dicho artículo, para el incumplimiento de dichos plazos.</w:t>
      </w:r>
    </w:p>
    <w:p w:rsidR="005174DC" w:rsidRPr="009C2398" w:rsidRDefault="005174DC" w:rsidP="005174DC">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b/>
          <w:i/>
          <w:sz w:val="22"/>
          <w:szCs w:val="22"/>
        </w:rPr>
        <w:t>…”</w:t>
      </w:r>
    </w:p>
    <w:p w:rsidR="005174DC" w:rsidRPr="009C2398" w:rsidRDefault="005174DC" w:rsidP="005174DC">
      <w:pPr>
        <w:pStyle w:val="Prrafodelista"/>
        <w:spacing w:before="240" w:after="240" w:line="360" w:lineRule="auto"/>
        <w:ind w:left="567" w:right="616"/>
        <w:jc w:val="both"/>
        <w:rPr>
          <w:rFonts w:ascii="Palatino Linotype" w:hAnsi="Palatino Linotype"/>
          <w:i/>
          <w:sz w:val="22"/>
          <w:szCs w:val="22"/>
        </w:rPr>
      </w:pPr>
      <w:r w:rsidRPr="009C2398">
        <w:rPr>
          <w:rFonts w:ascii="Palatino Linotype" w:hAnsi="Palatino Linotype"/>
          <w:i/>
          <w:sz w:val="22"/>
          <w:szCs w:val="22"/>
        </w:rPr>
        <w:t>(Énfasis añadido)</w:t>
      </w:r>
    </w:p>
    <w:p w:rsidR="005174DC" w:rsidRPr="0074285B" w:rsidRDefault="005174DC" w:rsidP="005174DC">
      <w:pPr>
        <w:spacing w:line="360" w:lineRule="auto"/>
        <w:ind w:right="616"/>
        <w:jc w:val="both"/>
        <w:rPr>
          <w:rFonts w:ascii="Palatino Linotype" w:hAnsi="Palatino Linotype"/>
          <w:i/>
        </w:rPr>
      </w:pPr>
      <w:r w:rsidRPr="0074285B">
        <w:rPr>
          <w:rFonts w:ascii="Palatino Linotype" w:hAnsi="Palatino Linotype"/>
          <w:i/>
        </w:rPr>
        <w:t xml:space="preserve"> </w:t>
      </w:r>
    </w:p>
    <w:p w:rsidR="005174DC"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lastRenderedPageBreak/>
        <w:t xml:space="preserve">De los dispositivos legales referidos, se advierte que la Ley de Responsabilidades Administrativas del Estado de México y Municipios, establece quiénes son los servidores públicos a presentar la </w:t>
      </w:r>
      <w:r>
        <w:rPr>
          <w:rFonts w:ascii="Palatino Linotype" w:eastAsia="Calibri" w:hAnsi="Palatino Linotype"/>
          <w:b/>
        </w:rPr>
        <w:t>declaración de situación patrimonial</w:t>
      </w:r>
      <w:r>
        <w:rPr>
          <w:rFonts w:ascii="Palatino Linotype" w:eastAsia="Calibri" w:hAnsi="Palatino Linotype"/>
        </w:rPr>
        <w:t>, así como los plazos en que deben de cumplir para presentar la misma.</w:t>
      </w:r>
    </w:p>
    <w:p w:rsidR="005174DC" w:rsidRDefault="005174DC" w:rsidP="005174DC">
      <w:pPr>
        <w:pStyle w:val="Prrafodelista"/>
        <w:spacing w:line="360" w:lineRule="auto"/>
        <w:ind w:left="0"/>
        <w:jc w:val="both"/>
        <w:rPr>
          <w:rFonts w:ascii="Palatino Linotype" w:eastAsia="Calibri" w:hAnsi="Palatino Linotype"/>
        </w:rPr>
      </w:pPr>
    </w:p>
    <w:p w:rsidR="005174DC" w:rsidRPr="009C2398"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t xml:space="preserve">Asimismo, 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Pr>
          <w:rFonts w:ascii="Palatino Linotype" w:eastAsia="Calibri" w:hAnsi="Palatino Linotype"/>
          <w:b/>
        </w:rPr>
        <w:t xml:space="preserve">sistema de certificación de los medios de identificación electrónica </w:t>
      </w:r>
      <w:r>
        <w:rPr>
          <w:rFonts w:ascii="Palatino Linotype" w:eastAsia="Calibri" w:hAnsi="Palatino Linotype"/>
        </w:rPr>
        <w:t xml:space="preserve">que utilicen los servidores públicos y llevará el control de dicho medio. </w:t>
      </w:r>
    </w:p>
    <w:p w:rsidR="005174DC" w:rsidRDefault="005174DC" w:rsidP="005174DC">
      <w:pPr>
        <w:pStyle w:val="Prrafodelista"/>
        <w:spacing w:line="360" w:lineRule="auto"/>
        <w:ind w:left="0"/>
        <w:jc w:val="both"/>
        <w:rPr>
          <w:rFonts w:ascii="Palatino Linotype" w:eastAsia="Calibri" w:hAnsi="Palatino Linotype"/>
        </w:rPr>
      </w:pPr>
    </w:p>
    <w:p w:rsidR="005174DC" w:rsidRPr="003C6070" w:rsidRDefault="005174DC" w:rsidP="003C6070">
      <w:pPr>
        <w:spacing w:line="360" w:lineRule="auto"/>
        <w:contextualSpacing/>
        <w:jc w:val="both"/>
        <w:rPr>
          <w:rFonts w:ascii="Palatino Linotype" w:eastAsia="Calibri" w:hAnsi="Palatino Linotype"/>
        </w:rPr>
      </w:pPr>
      <w:r w:rsidRPr="003C6070">
        <w:rPr>
          <w:rFonts w:ascii="Palatino Linotype" w:eastAsia="Calibri" w:hAnsi="Palatino Linotype"/>
        </w:rPr>
        <w:lastRenderedPageBreak/>
        <w:t>En el mismo orden de ideas, es pertinente señalar que los artículos 27</w:t>
      </w:r>
      <w:r>
        <w:rPr>
          <w:rStyle w:val="Refdenotaalpie"/>
          <w:rFonts w:ascii="Palatino Linotype" w:eastAsia="Calibri" w:hAnsi="Palatino Linotype"/>
        </w:rPr>
        <w:footnoteReference w:id="2"/>
      </w:r>
      <w:r w:rsidRPr="003C6070">
        <w:rPr>
          <w:rFonts w:ascii="Palatino Linotype" w:eastAsia="Calibri" w:hAnsi="Palatino Linotype"/>
        </w:rPr>
        <w:t>, 28</w:t>
      </w:r>
      <w:r>
        <w:rPr>
          <w:rStyle w:val="Refdenotaalpie"/>
          <w:rFonts w:ascii="Palatino Linotype" w:eastAsia="Calibri" w:hAnsi="Palatino Linotype"/>
        </w:rPr>
        <w:footnoteReference w:id="3"/>
      </w:r>
      <w:r w:rsidRPr="003C6070">
        <w:rPr>
          <w:rFonts w:ascii="Palatino Linotype" w:eastAsia="Calibri" w:hAnsi="Palatino Linotype"/>
        </w:rPr>
        <w:t xml:space="preserve"> y 32</w:t>
      </w:r>
      <w:r>
        <w:rPr>
          <w:rStyle w:val="Refdenotaalpie"/>
          <w:rFonts w:ascii="Palatino Linotype" w:eastAsia="Calibri" w:hAnsi="Palatino Linotype"/>
        </w:rPr>
        <w:footnoteReference w:id="4"/>
      </w:r>
      <w:r w:rsidRPr="003C6070">
        <w:rPr>
          <w:rFonts w:ascii="Palatino Linotype" w:eastAsia="Calibri" w:hAnsi="Palatino Linotype"/>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y Municipios. Ahora bien, en el sistema de evolución patrimonial, de declaración de intereses y de constancia de presentación de la declaración fiscal de la </w:t>
      </w:r>
      <w:r w:rsidRPr="003C6070">
        <w:rPr>
          <w:rFonts w:ascii="Palatino Linotype" w:eastAsia="Calibri" w:hAnsi="Palatino Linotype"/>
        </w:rPr>
        <w:lastRenderedPageBreak/>
        <w:t xml:space="preserve">plataforma digital estatal, se inscribirán los datos públicos de los servidores públicos obligados a presentar declaraciones de situación patrimonial y de intereses. </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t xml:space="preserve">Es 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t xml:space="preserve">De lo precisado con anterioridad, </w:t>
      </w:r>
      <w:r>
        <w:rPr>
          <w:rFonts w:ascii="Palatino Linotype" w:eastAsia="Calibri" w:hAnsi="Palatino Linotype"/>
          <w:b/>
        </w:rPr>
        <w:t>NO</w:t>
      </w:r>
      <w:r>
        <w:rPr>
          <w:rFonts w:ascii="Palatino Linotype" w:eastAsia="Calibri" w:hAnsi="Palatino Linotype"/>
        </w:rPr>
        <w:t xml:space="preserve"> se advierte que el </w:t>
      </w:r>
      <w:r>
        <w:rPr>
          <w:rFonts w:ascii="Palatino Linotype" w:eastAsia="Calibri" w:hAnsi="Palatino Linotype"/>
          <w:b/>
        </w:rPr>
        <w:t xml:space="preserve">Sujeto Obligado </w:t>
      </w:r>
      <w:r>
        <w:rPr>
          <w:rFonts w:ascii="Palatino Linotype" w:eastAsia="Calibri" w:hAnsi="Palatino Linotype"/>
        </w:rPr>
        <w:t>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Pr>
          <w:rStyle w:val="Refdenotaalpie"/>
          <w:rFonts w:ascii="Palatino Linotype" w:eastAsia="Calibri" w:hAnsi="Palatino Linotype"/>
        </w:rPr>
        <w:footnoteReference w:id="5"/>
      </w:r>
      <w:r>
        <w:rPr>
          <w:rFonts w:ascii="Palatino Linotype" w:eastAsia="Calibri" w:hAnsi="Palatino Linotype"/>
        </w:rPr>
        <w:t xml:space="preserve">. </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t xml:space="preserve">Por otro lado, la Ley Orgánica de la Administración Pública del Estado de México, en sus artículos 38 bis, fracción XVII, establece como competencia de la Secretaría de la Contraloría </w:t>
      </w:r>
      <w:r>
        <w:rPr>
          <w:rFonts w:ascii="Palatino Linotype" w:eastAsia="Calibri" w:hAnsi="Palatino Linotype"/>
          <w:b/>
        </w:rPr>
        <w:t>recibir y registrar la declaración de situación patrimonial</w:t>
      </w:r>
      <w:r>
        <w:rPr>
          <w:rFonts w:ascii="Palatino Linotype" w:eastAsia="Calibri" w:hAnsi="Palatino Linotype"/>
        </w:rPr>
        <w:t xml:space="preserve">, la declaración de intereses, la presentación de la constancia de declaración fiscal y determinar el Conflicto de Intereses </w:t>
      </w:r>
      <w:r>
        <w:rPr>
          <w:rFonts w:ascii="Palatino Linotype" w:eastAsia="Calibri" w:hAnsi="Palatino Linotype"/>
          <w:b/>
        </w:rPr>
        <w:t xml:space="preserve">de los servidores públicos </w:t>
      </w:r>
      <w:r>
        <w:rPr>
          <w:rFonts w:ascii="Palatino Linotype" w:eastAsia="Calibri" w:hAnsi="Palatino Linotype"/>
        </w:rPr>
        <w:t xml:space="preserve">del Estado y municipios. </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lastRenderedPageBreak/>
        <w:t xml:space="preserve">De lo precisado se advierte que las Contralorías Municipales deben verificar el cumplimiento por parte de los servidores públicos de presentar oportunamente su declaración patrimonial, pero es otro </w:t>
      </w:r>
      <w:r>
        <w:rPr>
          <w:rFonts w:ascii="Palatino Linotype" w:eastAsia="Calibri" w:hAnsi="Palatino Linotype"/>
          <w:b/>
        </w:rPr>
        <w:t xml:space="preserve">Sujeto Obligado </w:t>
      </w:r>
      <w:r>
        <w:rPr>
          <w:rFonts w:ascii="Palatino Linotype" w:eastAsia="Calibri" w:hAnsi="Palatino Linotype"/>
        </w:rPr>
        <w:t xml:space="preserve">el que administra y posee el documento en donde costa la declaración patrimonial de los servidores públicos obligados, en el caso específico es la Secretaría de la Contraloría, de ahí que este Órgano Garante se encuentra imposibilitado para ordenar la entrega del soporte documental que contenga las declaraciones patrimoniales. </w:t>
      </w:r>
    </w:p>
    <w:p w:rsidR="005174DC" w:rsidRPr="00A932DF" w:rsidRDefault="005174DC" w:rsidP="005174DC">
      <w:pPr>
        <w:spacing w:line="360" w:lineRule="auto"/>
        <w:jc w:val="both"/>
        <w:rPr>
          <w:rFonts w:ascii="Palatino Linotype" w:eastAsia="Calibri" w:hAnsi="Palatino Linotype" w:cs="Times New Roman"/>
          <w:lang w:val="es-ES"/>
        </w:rPr>
      </w:pPr>
    </w:p>
    <w:p w:rsidR="005174DC" w:rsidRDefault="005174DC" w:rsidP="003C6070">
      <w:pPr>
        <w:pStyle w:val="Prrafodelista"/>
        <w:spacing w:line="360" w:lineRule="auto"/>
        <w:ind w:left="0"/>
        <w:contextualSpacing/>
        <w:jc w:val="both"/>
        <w:rPr>
          <w:rFonts w:ascii="Palatino Linotype" w:eastAsia="Calibri" w:hAnsi="Palatino Linotype"/>
        </w:rPr>
      </w:pPr>
      <w:r w:rsidRPr="00982E41">
        <w:rPr>
          <w:rFonts w:ascii="Palatino Linotype" w:eastAsia="Calibri" w:hAnsi="Palatino Linotype"/>
        </w:rPr>
        <w:t xml:space="preserve">Es ideal recordar que el </w:t>
      </w:r>
      <w:r w:rsidRPr="00982E41">
        <w:rPr>
          <w:rFonts w:ascii="Palatino Linotype" w:eastAsia="Calibri" w:hAnsi="Palatino Linotype"/>
          <w:b/>
        </w:rPr>
        <w:t xml:space="preserve">Sujeto Obligado </w:t>
      </w:r>
      <w:r w:rsidRPr="00982E41">
        <w:rPr>
          <w:rFonts w:ascii="Palatino Linotype" w:eastAsia="Calibri" w:hAnsi="Palatino Linotype"/>
        </w:rPr>
        <w:t xml:space="preserve">en respuesta mencionó que </w:t>
      </w:r>
      <w:r>
        <w:rPr>
          <w:rFonts w:ascii="Palatino Linotype" w:eastAsia="Calibri" w:hAnsi="Palatino Linotype"/>
        </w:rPr>
        <w:t>la información solicitada, se encuentra sujeta a la autorización de los servidores públicos</w:t>
      </w:r>
      <w:r w:rsidRPr="00982E41">
        <w:rPr>
          <w:rFonts w:ascii="Palatino Linotype" w:eastAsia="Calibri" w:hAnsi="Palatino Linotype"/>
        </w:rPr>
        <w:t>. No obstante, del estudio efectu</w:t>
      </w:r>
      <w:r>
        <w:rPr>
          <w:rFonts w:ascii="Palatino Linotype" w:eastAsia="Calibri" w:hAnsi="Palatino Linotype"/>
        </w:rPr>
        <w:t xml:space="preserve">ado, también se determinó que el </w:t>
      </w:r>
      <w:r>
        <w:rPr>
          <w:rFonts w:ascii="Palatino Linotype" w:eastAsia="Calibri" w:hAnsi="Palatino Linotype"/>
          <w:b/>
        </w:rPr>
        <w:t xml:space="preserve">Sujeto Obligado </w:t>
      </w:r>
      <w:r>
        <w:rPr>
          <w:rFonts w:ascii="Palatino Linotype" w:eastAsia="Calibri" w:hAnsi="Palatino Linotype"/>
        </w:rPr>
        <w:t>se encuentra imposibilitado para entregar lo solicitado, en razón de que no cuenta en sus archivos con la información que el solicitante requiere, pues es la Secretaría de la Contraloría quien se encarga de recibir y registrar la declaración de situación patrimonial, la declaración de intereses, la presentación de la constancia de declaración fiscal y determinar el conflicto de intereses de los servidores públicos del Estado de México y Municipios, circunstancia que ya se estableció anteriormente</w:t>
      </w:r>
      <w:r w:rsidRPr="00982E41">
        <w:rPr>
          <w:rFonts w:ascii="Palatino Linotype" w:eastAsia="Calibri" w:hAnsi="Palatino Linotype"/>
        </w:rPr>
        <w:t xml:space="preserve">. </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t xml:space="preserve">Ahora bien, la Ley General de Responsabilidades Administrativas en su artículo 29, así como el artículo 30 de la similar legislación local, establecen lo siguiente: </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5174DC">
      <w:pPr>
        <w:pStyle w:val="Prrafodelista"/>
        <w:spacing w:before="240" w:after="240" w:line="360" w:lineRule="auto"/>
        <w:ind w:left="567" w:right="567"/>
        <w:jc w:val="both"/>
        <w:rPr>
          <w:rFonts w:ascii="Palatino Linotype" w:eastAsia="MS Mincho" w:hAnsi="Palatino Linotype"/>
          <w:i/>
          <w:color w:val="000000"/>
          <w:sz w:val="22"/>
        </w:rPr>
      </w:pPr>
      <w:r>
        <w:rPr>
          <w:rFonts w:ascii="Palatino Linotype" w:eastAsia="MS Mincho" w:hAnsi="Palatino Linotype"/>
          <w:i/>
          <w:color w:val="000000"/>
          <w:sz w:val="22"/>
        </w:rPr>
        <w:t>“</w:t>
      </w:r>
      <w:r w:rsidRPr="007F3CB7">
        <w:rPr>
          <w:rFonts w:ascii="Palatino Linotype" w:eastAsia="MS Mincho" w:hAnsi="Palatino Linotype"/>
          <w:i/>
          <w:color w:val="000000"/>
          <w:sz w:val="22"/>
        </w:rPr>
        <w:t xml:space="preserve">Artículo 29. </w:t>
      </w:r>
      <w:r w:rsidRPr="00B53616">
        <w:rPr>
          <w:rFonts w:ascii="Palatino Linotype" w:eastAsia="MS Mincho" w:hAnsi="Palatino Linotype"/>
          <w:b/>
          <w:i/>
          <w:color w:val="000000"/>
          <w:sz w:val="22"/>
        </w:rPr>
        <w:t>Las declaraciones patrimoniales y de intereses serán públicas salvo los rubros cuya publicidad pueda afectar la vida privada</w:t>
      </w:r>
      <w:r w:rsidRPr="007F3CB7">
        <w:rPr>
          <w:rFonts w:ascii="Palatino Linotype" w:eastAsia="MS Mincho" w:hAnsi="Palatino Linotype"/>
          <w:i/>
          <w:color w:val="000000"/>
          <w:sz w:val="22"/>
        </w:rPr>
        <w:t xml:space="preserve"> </w:t>
      </w:r>
      <w:r w:rsidRPr="002A61A7">
        <w:rPr>
          <w:rFonts w:ascii="Palatino Linotype" w:eastAsia="MS Mincho" w:hAnsi="Palatino Linotype"/>
          <w:b/>
          <w:i/>
          <w:color w:val="000000"/>
          <w:sz w:val="22"/>
        </w:rPr>
        <w:t>o los datos personales protegidos por la Constitución</w:t>
      </w:r>
      <w:r w:rsidRPr="007F3CB7">
        <w:rPr>
          <w:rFonts w:ascii="Palatino Linotype" w:eastAsia="MS Mincho" w:hAnsi="Palatino Linotype"/>
          <w:i/>
          <w:color w:val="000000"/>
          <w:sz w:val="22"/>
        </w:rPr>
        <w:t xml:space="preserve">. Para tal efecto, el Comité Coordinador, a propuesta del </w:t>
      </w:r>
      <w:r w:rsidRPr="007F3CB7">
        <w:rPr>
          <w:rFonts w:ascii="Palatino Linotype" w:eastAsia="MS Mincho" w:hAnsi="Palatino Linotype"/>
          <w:i/>
          <w:color w:val="000000"/>
          <w:sz w:val="22"/>
        </w:rPr>
        <w:lastRenderedPageBreak/>
        <w:t xml:space="preserve">Comité de Participación Ciudadana, </w:t>
      </w:r>
      <w:r w:rsidRPr="00B53616">
        <w:rPr>
          <w:rFonts w:ascii="Palatino Linotype" w:eastAsia="MS Mincho" w:hAnsi="Palatino Linotype"/>
          <w:b/>
          <w:i/>
          <w:color w:val="000000"/>
          <w:sz w:val="22"/>
        </w:rPr>
        <w:t xml:space="preserve">emitirá los </w:t>
      </w:r>
      <w:r w:rsidRPr="002A61A7">
        <w:rPr>
          <w:rFonts w:ascii="Palatino Linotype" w:eastAsia="MS Mincho" w:hAnsi="Palatino Linotype"/>
          <w:b/>
          <w:i/>
          <w:color w:val="000000"/>
          <w:sz w:val="22"/>
          <w:u w:val="single"/>
        </w:rPr>
        <w:t xml:space="preserve">formatos </w:t>
      </w:r>
      <w:r w:rsidRPr="00B53616">
        <w:rPr>
          <w:rFonts w:ascii="Palatino Linotype" w:eastAsia="MS Mincho" w:hAnsi="Palatino Linotype"/>
          <w:b/>
          <w:i/>
          <w:color w:val="000000"/>
          <w:sz w:val="22"/>
        </w:rPr>
        <w:t>respectivos</w:t>
      </w:r>
      <w:r w:rsidRPr="007F3CB7">
        <w:rPr>
          <w:rFonts w:ascii="Palatino Linotype" w:eastAsia="MS Mincho" w:hAnsi="Palatino Linotype"/>
          <w:i/>
          <w:color w:val="000000"/>
          <w:sz w:val="22"/>
        </w:rPr>
        <w:t>, garantizando que los rubros que pudieran afectar los derechos aludidos queden en resguardo de las autoridades competentes.</w:t>
      </w:r>
      <w:r>
        <w:rPr>
          <w:rFonts w:ascii="Palatino Linotype" w:eastAsia="MS Mincho" w:hAnsi="Palatino Linotype"/>
          <w:i/>
          <w:color w:val="000000"/>
          <w:sz w:val="22"/>
        </w:rPr>
        <w:t xml:space="preserve">” </w:t>
      </w:r>
    </w:p>
    <w:p w:rsidR="005174DC" w:rsidRDefault="005174DC" w:rsidP="005174DC">
      <w:pPr>
        <w:pStyle w:val="Prrafodelista"/>
        <w:spacing w:before="240" w:after="240" w:line="360" w:lineRule="auto"/>
        <w:ind w:left="567" w:right="567"/>
        <w:jc w:val="both"/>
        <w:rPr>
          <w:rFonts w:ascii="Palatino Linotype" w:eastAsia="MS Mincho" w:hAnsi="Palatino Linotype"/>
          <w:i/>
          <w:color w:val="000000"/>
          <w:sz w:val="22"/>
        </w:rPr>
      </w:pPr>
    </w:p>
    <w:p w:rsidR="005174DC" w:rsidRPr="00D902A3" w:rsidRDefault="005174DC" w:rsidP="005174DC">
      <w:pPr>
        <w:pStyle w:val="Prrafodelista"/>
        <w:spacing w:before="240" w:after="240" w:line="360" w:lineRule="auto"/>
        <w:ind w:left="567" w:right="567"/>
        <w:jc w:val="both"/>
        <w:rPr>
          <w:rFonts w:ascii="Palatino Linotype" w:eastAsia="MS Mincho" w:hAnsi="Palatino Linotype"/>
          <w:i/>
          <w:color w:val="000000"/>
          <w:sz w:val="22"/>
        </w:rPr>
      </w:pPr>
      <w:r>
        <w:rPr>
          <w:rFonts w:ascii="Palatino Linotype" w:hAnsi="Palatino Linotype"/>
          <w:i/>
          <w:sz w:val="22"/>
        </w:rPr>
        <w:t>“</w:t>
      </w:r>
      <w:r w:rsidRPr="00F31039">
        <w:rPr>
          <w:rFonts w:ascii="Palatino Linotype" w:hAnsi="Palatino Linotype"/>
          <w:i/>
          <w:sz w:val="22"/>
        </w:rPr>
        <w:t xml:space="preserve">Artículo 30. </w:t>
      </w:r>
      <w:r w:rsidRPr="003D3C1A">
        <w:rPr>
          <w:rFonts w:ascii="Palatino Linotype" w:hAnsi="Palatino Linotype"/>
          <w:b/>
          <w:i/>
          <w:sz w:val="22"/>
          <w:u w:val="single"/>
        </w:rPr>
        <w:t>Las declaraciones patrimonial y de intereses</w:t>
      </w:r>
      <w:r w:rsidRPr="00F31039">
        <w:rPr>
          <w:rFonts w:ascii="Palatino Linotype" w:hAnsi="Palatino Linotype"/>
          <w:b/>
          <w:i/>
          <w:sz w:val="22"/>
        </w:rPr>
        <w:t>, serán públicas salvo los rubros cuya publicidad pueda afectar la vida privada o los datos personales protegidos por las Constituciones federal y local.</w:t>
      </w:r>
      <w:r w:rsidRPr="00F31039">
        <w:rPr>
          <w:rFonts w:ascii="Palatino Linotype" w:hAnsi="Palatino Linotype"/>
          <w:i/>
          <w:sz w:val="22"/>
        </w:rPr>
        <w:t xml:space="preserve"> Para tal efecto, el Comité Coordinador, a propuesta del Comité de Participación Ciudadana, </w:t>
      </w:r>
      <w:r w:rsidRPr="00F31039">
        <w:rPr>
          <w:rFonts w:ascii="Palatino Linotype" w:hAnsi="Palatino Linotype"/>
          <w:b/>
          <w:i/>
          <w:sz w:val="22"/>
        </w:rPr>
        <w:t xml:space="preserve">emitirá los </w:t>
      </w:r>
      <w:r w:rsidRPr="00F31039">
        <w:rPr>
          <w:rFonts w:ascii="Palatino Linotype" w:hAnsi="Palatino Linotype"/>
          <w:b/>
          <w:i/>
          <w:sz w:val="22"/>
          <w:u w:val="single"/>
        </w:rPr>
        <w:t>formatos</w:t>
      </w:r>
      <w:r w:rsidRPr="00F31039">
        <w:rPr>
          <w:rFonts w:ascii="Palatino Linotype" w:hAnsi="Palatino Linotype"/>
          <w:b/>
          <w:i/>
          <w:sz w:val="22"/>
        </w:rPr>
        <w:t xml:space="preserve"> respectivos</w:t>
      </w:r>
      <w:r w:rsidRPr="00F31039">
        <w:rPr>
          <w:rFonts w:ascii="Palatino Linotype" w:hAnsi="Palatino Linotype"/>
          <w:i/>
          <w:sz w:val="22"/>
        </w:rPr>
        <w:t>, en apego a las leyes y ordenamientos en la materia, garantizando que los rubros que pudieran afectar los derechos aludidos queden en resguardo de las autoridades competentes.</w:t>
      </w:r>
      <w:r>
        <w:rPr>
          <w:rFonts w:ascii="Palatino Linotype" w:hAnsi="Palatino Linotype"/>
          <w:i/>
          <w:sz w:val="22"/>
        </w:rPr>
        <w:t>”</w:t>
      </w:r>
    </w:p>
    <w:p w:rsidR="005174DC" w:rsidRDefault="005174DC" w:rsidP="005174DC">
      <w:pPr>
        <w:pStyle w:val="Prrafodelista"/>
        <w:spacing w:line="360" w:lineRule="auto"/>
        <w:ind w:left="0"/>
        <w:jc w:val="both"/>
        <w:rPr>
          <w:rFonts w:ascii="Palatino Linotype" w:eastAsia="Calibri" w:hAnsi="Palatino Linotype"/>
        </w:rPr>
      </w:pPr>
    </w:p>
    <w:p w:rsidR="005174DC" w:rsidRDefault="005174DC" w:rsidP="003C6070">
      <w:pPr>
        <w:pStyle w:val="Prrafodelista"/>
        <w:spacing w:line="360" w:lineRule="auto"/>
        <w:ind w:left="0"/>
        <w:contextualSpacing/>
        <w:jc w:val="both"/>
        <w:rPr>
          <w:rFonts w:ascii="Palatino Linotype" w:eastAsia="Calibri" w:hAnsi="Palatino Linotype"/>
        </w:rPr>
      </w:pPr>
      <w:r>
        <w:rPr>
          <w:rFonts w:ascii="Palatino Linotype" w:eastAsia="Calibri" w:hAnsi="Palatino Linotype"/>
        </w:rPr>
        <w:t xml:space="preserve">De lo anterior, se advierte que las declaraciones patrimoniales y de intereses </w:t>
      </w:r>
      <w:r>
        <w:rPr>
          <w:rFonts w:ascii="Palatino Linotype" w:eastAsia="Calibri" w:hAnsi="Palatino Linotype"/>
          <w:b/>
        </w:rPr>
        <w:t>serán públicas</w:t>
      </w:r>
      <w:r>
        <w:rPr>
          <w:rFonts w:ascii="Palatino Linotype" w:eastAsia="Calibri" w:hAnsi="Palatino Linotype"/>
        </w:rPr>
        <w:t xml:space="preserve">,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 </w:t>
      </w:r>
    </w:p>
    <w:p w:rsidR="005174DC" w:rsidRDefault="005174DC" w:rsidP="00D15BF2">
      <w:pPr>
        <w:pStyle w:val="Citas"/>
        <w:tabs>
          <w:tab w:val="left" w:pos="8190"/>
        </w:tabs>
        <w:ind w:left="0" w:right="72"/>
        <w:rPr>
          <w:i w:val="0"/>
          <w:iCs/>
          <w:color w:val="000000" w:themeColor="text1"/>
          <w:sz w:val="24"/>
          <w:szCs w:val="24"/>
        </w:rPr>
      </w:pPr>
    </w:p>
    <w:p w:rsidR="00D15BF2" w:rsidRDefault="00D15BF2" w:rsidP="00D15BF2">
      <w:pPr>
        <w:pStyle w:val="Citas"/>
        <w:tabs>
          <w:tab w:val="left" w:pos="8190"/>
        </w:tabs>
        <w:ind w:left="0" w:right="72"/>
        <w:rPr>
          <w:rFonts w:cs="Tahoma"/>
          <w:bCs/>
          <w:i w:val="0"/>
          <w:iCs/>
          <w:sz w:val="24"/>
          <w:szCs w:val="24"/>
        </w:rPr>
      </w:pPr>
      <w:r>
        <w:rPr>
          <w:i w:val="0"/>
          <w:iCs/>
          <w:color w:val="000000" w:themeColor="text1"/>
          <w:sz w:val="24"/>
          <w:szCs w:val="24"/>
        </w:rPr>
        <w:t xml:space="preserve">Fijado lo anterior, en el caso en particular se arriba a la conclusión de que los servidores públicos referidos en la solicitud de información </w:t>
      </w:r>
      <w:r w:rsidRPr="00BF41E6">
        <w:rPr>
          <w:rFonts w:cs="Tahoma"/>
          <w:b/>
          <w:i w:val="0"/>
          <w:iCs/>
          <w:sz w:val="24"/>
          <w:szCs w:val="24"/>
        </w:rPr>
        <w:t>00443/INFOEM/IP/2020</w:t>
      </w:r>
      <w:r>
        <w:rPr>
          <w:rFonts w:cs="Tahoma"/>
          <w:b/>
          <w:i w:val="0"/>
          <w:iCs/>
          <w:sz w:val="24"/>
          <w:szCs w:val="24"/>
        </w:rPr>
        <w:t xml:space="preserve"> </w:t>
      </w:r>
      <w:r>
        <w:rPr>
          <w:rFonts w:cs="Tahoma"/>
          <w:bCs/>
          <w:i w:val="0"/>
          <w:iCs/>
          <w:sz w:val="24"/>
          <w:szCs w:val="24"/>
        </w:rPr>
        <w:t xml:space="preserve">rindieron sus obligaciones fiscales mediante el uso de los formatos vigentes, soportes </w:t>
      </w:r>
      <w:r>
        <w:rPr>
          <w:rFonts w:cs="Tahoma"/>
          <w:bCs/>
          <w:i w:val="0"/>
          <w:iCs/>
          <w:sz w:val="24"/>
          <w:szCs w:val="24"/>
        </w:rPr>
        <w:lastRenderedPageBreak/>
        <w:t xml:space="preserve">documentales que conciben su propia publicidad como una figura potestativa, sujeta al consentimiento de los propios servidores públicos, por ello, ante su ausencia, resulta procedente clasificar la información como confidencial. </w:t>
      </w:r>
    </w:p>
    <w:p w:rsidR="00E07BDB" w:rsidRPr="00D15BF2" w:rsidRDefault="00D15BF2" w:rsidP="00CC1394">
      <w:pPr>
        <w:spacing w:line="360" w:lineRule="auto"/>
        <w:jc w:val="both"/>
        <w:rPr>
          <w:rFonts w:ascii="Palatino Linotype" w:hAnsi="Palatino Linotype" w:cs="Arial"/>
          <w:sz w:val="28"/>
          <w:szCs w:val="24"/>
        </w:rPr>
      </w:pPr>
      <w:r w:rsidRPr="00D15BF2">
        <w:rPr>
          <w:rFonts w:ascii="Palatino Linotype" w:hAnsi="Palatino Linotype"/>
          <w:sz w:val="24"/>
        </w:rPr>
        <w:t>Previa fundamentación y motivación se ordena el acuerdo de clasificación como confidencial de las declaraciones patrimoniales de los servidores públicos referidos en la solicitud de información</w:t>
      </w:r>
      <w:r w:rsidRPr="00D15BF2">
        <w:rPr>
          <w:rFonts w:ascii="Palatino Linotype" w:hAnsi="Palatino Linotype"/>
          <w:b/>
          <w:bCs/>
          <w:sz w:val="24"/>
        </w:rPr>
        <w:t xml:space="preserve">, </w:t>
      </w:r>
      <w:r w:rsidRPr="00D15BF2">
        <w:rPr>
          <w:rFonts w:ascii="Palatino Linotype" w:hAnsi="Palatino Linotype"/>
          <w:sz w:val="24"/>
        </w:rPr>
        <w:t>toda vez que de su lectura integral no se advierte el consentimiento para que se hagan públicas, por lo que resulta improcedente la entrega de la información.</w:t>
      </w: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9A0FCA">
        <w:rPr>
          <w:rFonts w:ascii="Palatino Linotype" w:hAnsi="Palatino Linotype"/>
          <w:b/>
          <w:sz w:val="24"/>
          <w:szCs w:val="24"/>
        </w:rPr>
        <w:t>MODIFICA</w:t>
      </w:r>
      <w:r w:rsidR="00EF4D17"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5D0226">
        <w:rPr>
          <w:rFonts w:ascii="Palatino Linotype" w:hAnsi="Palatino Linotype"/>
          <w:b/>
          <w:sz w:val="24"/>
          <w:szCs w:val="24"/>
        </w:rPr>
        <w:t>00018/CHICONCU/IP/2021</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A40CC8" w:rsidRPr="00F16A6A" w:rsidRDefault="00A40CC8" w:rsidP="00A40CC8">
      <w:pPr>
        <w:pStyle w:val="Sinespaciado"/>
        <w:rPr>
          <w:sz w:val="10"/>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523FAA" w:rsidRPr="00F16A6A" w:rsidRDefault="00523FAA" w:rsidP="00523FAA">
      <w:pPr>
        <w:pStyle w:val="Sinespaciado"/>
        <w:rPr>
          <w:sz w:val="6"/>
          <w:lang w:val="es-ES_tradnl"/>
        </w:rPr>
      </w:pPr>
    </w:p>
    <w:p w:rsidR="008B47E5" w:rsidRPr="00A27F3D" w:rsidRDefault="008B47E5" w:rsidP="00A27F3D">
      <w:pPr>
        <w:pStyle w:val="Sinespaciado"/>
        <w:rPr>
          <w:sz w:val="4"/>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parcialmente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5D0226">
        <w:rPr>
          <w:rFonts w:ascii="Palatino Linotype" w:hAnsi="Palatino Linotype"/>
          <w:b/>
          <w:sz w:val="24"/>
          <w:szCs w:val="24"/>
        </w:rPr>
        <w:t>00018/CHICONCU/IP/2021</w:t>
      </w:r>
      <w:r w:rsidR="00EB2549">
        <w:rPr>
          <w:rFonts w:ascii="Palatino Linotype" w:hAnsi="Palatino Linotype" w:cs="Arial"/>
          <w:b/>
          <w:bCs/>
          <w:sz w:val="24"/>
        </w:rPr>
        <w:t xml:space="preserve"> </w:t>
      </w:r>
      <w:r w:rsidRPr="00C608E1">
        <w:rPr>
          <w:rFonts w:ascii="Palatino Linotype" w:hAnsi="Palatino Linotype" w:cs="Arial"/>
          <w:sz w:val="24"/>
          <w:szCs w:val="24"/>
        </w:rPr>
        <w:t xml:space="preserve">inmersa en el expediente </w:t>
      </w:r>
      <w:r w:rsidRPr="00C608E1">
        <w:rPr>
          <w:rFonts w:ascii="Palatino Linotype" w:hAnsi="Palatino Linotype" w:cs="Arial"/>
          <w:sz w:val="24"/>
          <w:szCs w:val="24"/>
        </w:rPr>
        <w:lastRenderedPageBreak/>
        <w:t>electrónico del recurso de revisión</w:t>
      </w:r>
      <w:r>
        <w:rPr>
          <w:rFonts w:ascii="Palatino Linotype" w:hAnsi="Palatino Linotype" w:cs="Arial"/>
          <w:sz w:val="24"/>
          <w:szCs w:val="24"/>
        </w:rPr>
        <w:t xml:space="preserve"> </w:t>
      </w:r>
      <w:r w:rsidR="004D766B">
        <w:rPr>
          <w:rFonts w:ascii="Palatino Linotype" w:hAnsi="Palatino Linotype" w:cs="Arial"/>
          <w:b/>
          <w:bCs/>
          <w:sz w:val="24"/>
          <w:szCs w:val="24"/>
        </w:rPr>
        <w:t>00885</w:t>
      </w:r>
      <w:r w:rsidR="0084061E">
        <w:rPr>
          <w:rFonts w:ascii="Palatino Linotype" w:hAnsi="Palatino Linotype" w:cs="Arial"/>
          <w:b/>
          <w:bCs/>
          <w:sz w:val="24"/>
          <w:szCs w:val="24"/>
        </w:rPr>
        <w:t>/INFOEM/IP/RR/2021</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9C2C4D">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1501AD" w:rsidRDefault="001501AD" w:rsidP="009A0FCA">
      <w:pPr>
        <w:pStyle w:val="Citas"/>
        <w:rPr>
          <w:lang w:val="es-ES_tradnl"/>
        </w:rPr>
      </w:pPr>
    </w:p>
    <w:p w:rsidR="00E259A6" w:rsidRDefault="004D5BAF" w:rsidP="00E259A6">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a través del SAIMEX</w:t>
      </w:r>
      <w:r w:rsidR="00ED64DF">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00E259A6">
        <w:rPr>
          <w:rFonts w:ascii="Palatino Linotype" w:hAnsi="Palatino Linotype"/>
          <w:sz w:val="24"/>
          <w:szCs w:val="24"/>
        </w:rPr>
        <w:t>;</w:t>
      </w:r>
    </w:p>
    <w:p w:rsidR="00E259A6" w:rsidRPr="00E43EB9" w:rsidRDefault="00E259A6" w:rsidP="00467C19">
      <w:pPr>
        <w:pStyle w:val="Sinespaciado"/>
        <w:rPr>
          <w:sz w:val="24"/>
        </w:rPr>
      </w:pPr>
    </w:p>
    <w:p w:rsidR="0050634D" w:rsidRPr="000221B6" w:rsidRDefault="0050634D" w:rsidP="0050634D">
      <w:pPr>
        <w:pStyle w:val="Prrafodelista"/>
        <w:numPr>
          <w:ilvl w:val="0"/>
          <w:numId w:val="13"/>
        </w:numPr>
        <w:spacing w:line="360" w:lineRule="auto"/>
        <w:ind w:left="851" w:right="567"/>
        <w:contextualSpacing/>
        <w:jc w:val="both"/>
        <w:rPr>
          <w:rFonts w:ascii="Palatino Linotype" w:hAnsi="Palatino Linotype"/>
        </w:rPr>
      </w:pPr>
      <w:r>
        <w:rPr>
          <w:rFonts w:ascii="Palatino Linotype" w:hAnsi="Palatino Linotype"/>
          <w:b/>
          <w:bCs/>
          <w:color w:val="000000"/>
        </w:rPr>
        <w:t xml:space="preserve">El Acuerdo que emita el Comité de Transparencia en el que se confirme la declaración de incompetencia del Sujeto Obligado respecto de la información solicitada. </w:t>
      </w:r>
    </w:p>
    <w:p w:rsidR="00881A12" w:rsidRDefault="00881A12" w:rsidP="00881A12"/>
    <w:p w:rsid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xml:space="preserve">, para que conforme al artículo 186 último párrafo, 189 segundo párrafo y 194 de la Ley de </w:t>
      </w:r>
      <w:r w:rsidR="002F6A15" w:rsidRPr="00715558">
        <w:rPr>
          <w:rFonts w:ascii="Palatino Linotype" w:hAnsi="Palatino Linotype" w:cs="Arial"/>
        </w:rPr>
        <w:t>Transparen</w:t>
      </w:r>
      <w:r w:rsidR="002F6A15">
        <w:rPr>
          <w:rFonts w:ascii="Palatino Linotype" w:hAnsi="Palatino Linotype" w:cs="Arial"/>
        </w:rPr>
        <w:t>c</w:t>
      </w:r>
      <w:r w:rsidR="002F6A15" w:rsidRPr="00715558">
        <w:rPr>
          <w:rFonts w:ascii="Palatino Linotype" w:hAnsi="Palatino Linotype" w:cs="Arial"/>
        </w:rPr>
        <w:t>ia</w:t>
      </w:r>
      <w:r w:rsidRPr="00715558">
        <w:rPr>
          <w:rFonts w:ascii="Palatino Linotype" w:hAnsi="Palatino Linotype" w:cs="Arial"/>
        </w:rPr>
        <w:t xml:space="preserve">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16A6A" w:rsidRPr="00F16A6A" w:rsidRDefault="00F16A6A" w:rsidP="00FF6EB3">
      <w:pPr>
        <w:pStyle w:val="Prrafodelista"/>
        <w:autoSpaceDE w:val="0"/>
        <w:autoSpaceDN w:val="0"/>
        <w:adjustRightInd w:val="0"/>
        <w:spacing w:before="240" w:line="360" w:lineRule="auto"/>
        <w:ind w:left="0" w:right="49"/>
        <w:jc w:val="both"/>
        <w:rPr>
          <w:rFonts w:ascii="Palatino Linotype" w:hAnsi="Palatino Linotype" w:cs="Arial"/>
          <w:sz w:val="6"/>
        </w:rPr>
      </w:pPr>
    </w:p>
    <w:p w:rsidR="00A91351" w:rsidRDefault="00A91351" w:rsidP="00A91351">
      <w:pPr>
        <w:autoSpaceDE w:val="0"/>
        <w:autoSpaceDN w:val="0"/>
        <w:adjustRightInd w:val="0"/>
        <w:spacing w:before="240" w:line="360" w:lineRule="auto"/>
        <w:jc w:val="both"/>
        <w:rPr>
          <w:rFonts w:ascii="Palatino Linotype" w:hAnsi="Palatino Linotype" w:cs="Arial"/>
        </w:rPr>
      </w:pPr>
      <w:r w:rsidRPr="00DB3202">
        <w:rPr>
          <w:rFonts w:ascii="Palatino Linotype" w:eastAsia="Calibri" w:hAnsi="Palatino Linotype" w:cs="Arial"/>
          <w:b/>
          <w:sz w:val="28"/>
          <w:szCs w:val="28"/>
        </w:rPr>
        <w:t>CUARTO.</w:t>
      </w:r>
      <w:r w:rsidRPr="00435A05">
        <w:rPr>
          <w:rFonts w:ascii="Palatino Linotype" w:hAnsi="Palatino Linotype" w:cs="Arial"/>
          <w:b/>
        </w:rPr>
        <w:t xml:space="preserve"> </w:t>
      </w:r>
      <w:r w:rsidRPr="00435A05">
        <w:rPr>
          <w:rFonts w:ascii="Palatino Linotype" w:hAnsi="Palatino Linotype" w:cs="Arial"/>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rPr>
        <w:t>Sujeto Obligado</w:t>
      </w:r>
      <w:r w:rsidRPr="00435A05">
        <w:rPr>
          <w:rFonts w:ascii="Palatino Linotype" w:hAnsi="Palatino Linotype" w:cs="Arial"/>
        </w:rPr>
        <w:t xml:space="preserve"> de manera fundada y motivada, podrá solicitar una ampliación de plazo para el cumplimiento de la presente resolución.</w:t>
      </w:r>
    </w:p>
    <w:p w:rsidR="00A91351" w:rsidRDefault="00A91351" w:rsidP="00A91351"/>
    <w:p w:rsidR="00323A22" w:rsidRDefault="00A91351" w:rsidP="00DB763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QUINTO</w:t>
      </w:r>
      <w:r w:rsidR="004D5BAF" w:rsidRPr="00FD7DA6">
        <w:rPr>
          <w:rFonts w:ascii="Palatino Linotype" w:hAnsi="Palatino Linotype" w:cs="Arial"/>
          <w:sz w:val="28"/>
          <w:szCs w:val="28"/>
        </w:rPr>
        <w:t>.</w:t>
      </w:r>
      <w:r w:rsidR="004D5BAF" w:rsidRPr="00FD7DA6">
        <w:rPr>
          <w:rFonts w:ascii="Palatino Linotype" w:hAnsi="Palatino Linotype" w:cs="Arial"/>
          <w:sz w:val="24"/>
          <w:szCs w:val="24"/>
        </w:rPr>
        <w:t xml:space="preserve"> </w:t>
      </w:r>
      <w:r w:rsidR="004D5BAF"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004D5BAF"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52712E" w:rsidRPr="00DB7636" w:rsidRDefault="0052712E" w:rsidP="0052712E">
      <w:pPr>
        <w:pStyle w:val="Sinespaciado"/>
      </w:pPr>
    </w:p>
    <w:p w:rsidR="008B7395" w:rsidRDefault="007E2E80" w:rsidP="007A452D">
      <w:pPr>
        <w:pStyle w:val="Sinespaciado"/>
        <w:spacing w:line="360" w:lineRule="auto"/>
        <w:jc w:val="both"/>
        <w:rPr>
          <w:rFonts w:ascii="Palatino Linotype" w:hAnsi="Palatino Linotype" w:cs="Arial"/>
          <w:sz w:val="18"/>
          <w:szCs w:val="20"/>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F3424C">
        <w:rPr>
          <w:rFonts w:ascii="Palatino Linotype" w:hAnsi="Palatino Linotype"/>
          <w:sz w:val="24"/>
          <w:szCs w:val="24"/>
        </w:rPr>
        <w:t xml:space="preserve"> (EMITIENDO VOTO PARTICULAR)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00F91340" w:rsidRPr="00523FAA">
        <w:rPr>
          <w:rFonts w:ascii="Palatino Linotype" w:hAnsi="Palatino Linotype"/>
          <w:sz w:val="24"/>
          <w:szCs w:val="24"/>
        </w:rPr>
        <w:t>JAVIER MARTÍNEZ CRUZ</w:t>
      </w:r>
      <w:r w:rsidR="0064060C">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F3424C">
        <w:rPr>
          <w:rFonts w:ascii="Palatino Linotype" w:hAnsi="Palatino Linotype"/>
          <w:sz w:val="24"/>
          <w:szCs w:val="24"/>
        </w:rPr>
        <w:t xml:space="preserve">  (EMITIENDO VOTO PARTICULAR)</w:t>
      </w:r>
      <w:r w:rsidR="006D0DD5">
        <w:rPr>
          <w:rFonts w:ascii="Palatino Linotype" w:hAnsi="Palatino Linotype"/>
          <w:sz w:val="24"/>
          <w:szCs w:val="24"/>
        </w:rPr>
        <w:t xml:space="preserve">, EN LA </w:t>
      </w:r>
      <w:r w:rsidR="008B7395">
        <w:rPr>
          <w:rFonts w:ascii="Palatino Linotype" w:hAnsi="Palatino Linotype"/>
          <w:sz w:val="24"/>
          <w:szCs w:val="24"/>
        </w:rPr>
        <w:t>VIGÉSIMA CUARTA</w:t>
      </w:r>
      <w:r w:rsidR="00126D0D">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8B7395">
        <w:rPr>
          <w:rFonts w:ascii="Palatino Linotype" w:hAnsi="Palatino Linotype"/>
          <w:sz w:val="24"/>
          <w:szCs w:val="24"/>
        </w:rPr>
        <w:t>SIETE DE JULIO</w:t>
      </w:r>
      <w:r w:rsidR="00126D0D">
        <w:rPr>
          <w:rFonts w:ascii="Palatino Linotype" w:hAnsi="Palatino Linotype"/>
          <w:sz w:val="24"/>
          <w:szCs w:val="24"/>
        </w:rPr>
        <w:t xml:space="preserve"> DEL DOS MIL VEINTIUNO</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8B47E5">
        <w:rPr>
          <w:rFonts w:ascii="Palatino Linotype" w:hAnsi="Palatino Linotype"/>
          <w:sz w:val="24"/>
          <w:szCs w:val="24"/>
        </w:rPr>
        <w:t>------------------------------------------------------------------------------------------------------------------------------------------------------------------------------------------------------------------------------------------------------------------------------------------------------------------------------------------------------------------------------------------------------------------------------------------------------------------------------------------------------------------------------------------------------------------------------</w:t>
      </w:r>
      <w:r w:rsidR="008B7395">
        <w:rPr>
          <w:rFonts w:ascii="Palatino Linotype" w:hAnsi="Palatino Linotype"/>
          <w:sz w:val="24"/>
          <w:szCs w:val="24"/>
        </w:rPr>
        <w:t>---------------------</w:t>
      </w:r>
      <w:r w:rsidR="008B47E5">
        <w:rPr>
          <w:rFonts w:ascii="Palatino Linotype" w:hAnsi="Palatino Linotype"/>
          <w:sz w:val="24"/>
          <w:szCs w:val="24"/>
        </w:rPr>
        <w:t>-----------------------------------------------------------------------</w:t>
      </w:r>
      <w:r w:rsidR="008B7395">
        <w:rPr>
          <w:rFonts w:ascii="Palatino Linotype" w:hAnsi="Palatino Linotype"/>
          <w:sz w:val="24"/>
          <w:szCs w:val="24"/>
        </w:rPr>
        <w:t>---------------------------------------------------------------------------------------------------------------------------------------------------------------------------------------------------------------------------------------------------------------------------------------------------------------------------------------------------------------------------------------------------------------------------------------</w:t>
      </w:r>
      <w:r w:rsidR="00F3424C">
        <w:rPr>
          <w:rFonts w:ascii="Palatino Linotype" w:hAnsi="Palatino Linotype"/>
          <w:sz w:val="24"/>
          <w:szCs w:val="24"/>
        </w:rPr>
        <w:t>------------------</w:t>
      </w:r>
      <w:r w:rsidR="008B7395">
        <w:rPr>
          <w:rFonts w:ascii="Palatino Linotype" w:hAnsi="Palatino Linotype"/>
          <w:sz w:val="24"/>
          <w:szCs w:val="24"/>
        </w:rPr>
        <w:t>---</w:t>
      </w:r>
      <w:r w:rsidR="007A452D">
        <w:rPr>
          <w:rFonts w:ascii="Palatino Linotype" w:hAnsi="Palatino Linotype" w:cs="Arial"/>
          <w:sz w:val="18"/>
          <w:szCs w:val="20"/>
        </w:rPr>
        <w:t xml:space="preserve"> </w:t>
      </w:r>
    </w:p>
    <w:p w:rsidR="008B7395" w:rsidRDefault="008B7395" w:rsidP="000B7E56">
      <w:pPr>
        <w:spacing w:after="0" w:line="240" w:lineRule="auto"/>
        <w:jc w:val="both"/>
        <w:rPr>
          <w:rFonts w:ascii="Palatino Linotype" w:hAnsi="Palatino Linotype" w:cs="Arial"/>
          <w:sz w:val="18"/>
          <w:szCs w:val="20"/>
        </w:rPr>
      </w:pPr>
    </w:p>
    <w:p w:rsidR="007E2E80" w:rsidRDefault="000B7E56" w:rsidP="0052712E">
      <w:pPr>
        <w:spacing w:after="0" w:line="240" w:lineRule="auto"/>
        <w:rPr>
          <w:rFonts w:ascii="Palatino Linotype" w:hAnsi="Palatino Linotype"/>
          <w:sz w:val="16"/>
          <w:szCs w:val="20"/>
        </w:rPr>
      </w:pPr>
      <w:r w:rsidRPr="00601C70">
        <w:rPr>
          <w:rFonts w:ascii="Palatino Linotype" w:hAnsi="Palatino Linotype"/>
          <w:sz w:val="16"/>
          <w:szCs w:val="20"/>
        </w:rPr>
        <w:t>ZMS/OSAM</w:t>
      </w:r>
      <w:r>
        <w:rPr>
          <w:rFonts w:ascii="Palatino Linotype" w:hAnsi="Palatino Linotype"/>
          <w:sz w:val="16"/>
          <w:szCs w:val="20"/>
        </w:rPr>
        <w:t>/RDPG</w:t>
      </w:r>
    </w:p>
    <w:p w:rsidR="007A452D" w:rsidRDefault="007A452D" w:rsidP="0052712E">
      <w:pPr>
        <w:spacing w:after="0" w:line="240" w:lineRule="auto"/>
        <w:rPr>
          <w:rFonts w:ascii="Palatino Linotype" w:hAnsi="Palatino Linotype"/>
          <w:sz w:val="16"/>
          <w:szCs w:val="20"/>
        </w:rPr>
      </w:pPr>
    </w:p>
    <w:p w:rsidR="007A452D" w:rsidRDefault="007A452D" w:rsidP="0052712E">
      <w:pPr>
        <w:spacing w:after="0" w:line="240" w:lineRule="auto"/>
        <w:rPr>
          <w:rFonts w:ascii="Palatino Linotype" w:hAnsi="Palatino Linotype"/>
          <w:sz w:val="16"/>
          <w:szCs w:val="20"/>
        </w:rPr>
      </w:pPr>
    </w:p>
    <w:p w:rsidR="007A452D" w:rsidRDefault="007A452D" w:rsidP="0052712E">
      <w:pPr>
        <w:spacing w:after="0" w:line="240" w:lineRule="auto"/>
        <w:rPr>
          <w:rFonts w:ascii="Palatino Linotype" w:hAnsi="Palatino Linotype"/>
          <w:sz w:val="16"/>
          <w:szCs w:val="20"/>
        </w:rPr>
      </w:pPr>
    </w:p>
    <w:p w:rsidR="007A452D" w:rsidRDefault="007A452D" w:rsidP="0052712E">
      <w:pPr>
        <w:spacing w:after="0" w:line="240" w:lineRule="auto"/>
        <w:rPr>
          <w:rFonts w:ascii="Palatino Linotype" w:hAnsi="Palatino Linotype"/>
          <w:sz w:val="16"/>
          <w:szCs w:val="20"/>
        </w:rPr>
      </w:pPr>
    </w:p>
    <w:p w:rsidR="007A452D" w:rsidRDefault="007A452D" w:rsidP="0052712E">
      <w:pPr>
        <w:spacing w:after="0" w:line="240" w:lineRule="auto"/>
        <w:rPr>
          <w:rFonts w:ascii="Palatino Linotype" w:hAnsi="Palatino Linotype"/>
          <w:sz w:val="16"/>
          <w:szCs w:val="20"/>
        </w:rPr>
      </w:pPr>
    </w:p>
    <w:p w:rsidR="007A452D" w:rsidRDefault="007A452D" w:rsidP="0052712E">
      <w:pPr>
        <w:spacing w:after="0" w:line="240" w:lineRule="auto"/>
        <w:rPr>
          <w:rFonts w:ascii="Palatino Linotype" w:hAnsi="Palatino Linotype"/>
          <w:sz w:val="16"/>
          <w:szCs w:val="20"/>
        </w:rPr>
      </w:pPr>
    </w:p>
    <w:p w:rsidR="007A452D" w:rsidRPr="0052712E" w:rsidRDefault="007A452D" w:rsidP="0052712E">
      <w:pPr>
        <w:spacing w:after="0" w:line="240" w:lineRule="auto"/>
        <w:rPr>
          <w:sz w:val="24"/>
        </w:rPr>
      </w:pPr>
    </w:p>
    <w:sectPr w:rsidR="007A452D" w:rsidRPr="0052712E" w:rsidSect="00050A9C">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C87" w:rsidRDefault="00E26C87" w:rsidP="007E2E80">
      <w:pPr>
        <w:spacing w:after="0" w:line="240" w:lineRule="auto"/>
      </w:pPr>
      <w:r>
        <w:separator/>
      </w:r>
    </w:p>
  </w:endnote>
  <w:endnote w:type="continuationSeparator" w:id="0">
    <w:p w:rsidR="00E26C87" w:rsidRDefault="00E26C8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Pr="000B69FA" w:rsidRDefault="00A5221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3C7">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33C7">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Pr="000B69FA" w:rsidRDefault="00A5221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3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33C7">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C87" w:rsidRDefault="00E26C87" w:rsidP="007E2E80">
      <w:pPr>
        <w:spacing w:after="0" w:line="240" w:lineRule="auto"/>
      </w:pPr>
      <w:r>
        <w:separator/>
      </w:r>
    </w:p>
  </w:footnote>
  <w:footnote w:type="continuationSeparator" w:id="0">
    <w:p w:rsidR="00E26C87" w:rsidRDefault="00E26C87" w:rsidP="007E2E80">
      <w:pPr>
        <w:spacing w:after="0" w:line="240" w:lineRule="auto"/>
      </w:pPr>
      <w:r>
        <w:continuationSeparator/>
      </w:r>
    </w:p>
  </w:footnote>
  <w:footnote w:id="1">
    <w:p w:rsidR="00A52218" w:rsidRPr="00615B4B" w:rsidRDefault="00A5221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52218" w:rsidRPr="00615B4B" w:rsidRDefault="00A5221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174DC" w:rsidRDefault="005174DC" w:rsidP="005174DC">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rsidR="005174DC" w:rsidRPr="006036B0" w:rsidRDefault="005174DC" w:rsidP="005174DC">
      <w:pPr>
        <w:pStyle w:val="Prrafodelista"/>
        <w:spacing w:line="276" w:lineRule="auto"/>
        <w:ind w:left="0" w:right="49"/>
        <w:jc w:val="both"/>
        <w:rPr>
          <w:rFonts w:ascii="Palatino Linotype" w:hAnsi="Palatino Linotype"/>
          <w:i/>
          <w:sz w:val="18"/>
        </w:rPr>
      </w:pPr>
    </w:p>
  </w:footnote>
  <w:footnote w:id="3">
    <w:p w:rsidR="005174DC" w:rsidRPr="006036B0" w:rsidRDefault="005174DC" w:rsidP="005174DC">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rsidR="005174DC" w:rsidRDefault="005174DC" w:rsidP="005174DC">
      <w:pPr>
        <w:pStyle w:val="Textonotapie"/>
      </w:pPr>
    </w:p>
  </w:footnote>
  <w:footnote w:id="4">
    <w:p w:rsidR="005174DC" w:rsidRDefault="005174DC" w:rsidP="005174DC">
      <w:pPr>
        <w:pStyle w:val="Textonotapie"/>
        <w:jc w:val="both"/>
        <w:rPr>
          <w:rFonts w:ascii="Palatino Linotype" w:hAnsi="Palatino Linotype"/>
          <w:i/>
          <w:sz w:val="18"/>
        </w:rPr>
      </w:pPr>
      <w:r w:rsidRPr="006036B0">
        <w:rPr>
          <w:rStyle w:val="Refdenotaalpie"/>
          <w:rFonts w:ascii="Palatino Linotype" w:hAnsi="Palatino Linotype"/>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rsidR="005174DC" w:rsidRDefault="005174DC" w:rsidP="005174DC">
      <w:pPr>
        <w:pStyle w:val="Textonotapie"/>
        <w:jc w:val="both"/>
        <w:rPr>
          <w:rFonts w:ascii="Palatino Linotype" w:hAnsi="Palatino Linotype"/>
          <w:i/>
          <w:sz w:val="18"/>
        </w:rPr>
      </w:pPr>
    </w:p>
    <w:p w:rsidR="005174DC" w:rsidRPr="006036B0" w:rsidRDefault="005174DC" w:rsidP="005174DC">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5">
    <w:p w:rsidR="005174DC" w:rsidRDefault="005174DC" w:rsidP="005174DC">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52D" w:rsidRDefault="00E26C8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10578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8" w:rsidRDefault="00E26C8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105783"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218" w:rsidTr="00182616">
      <w:trPr>
        <w:trHeight w:val="227"/>
      </w:trPr>
      <w:tc>
        <w:tcPr>
          <w:tcW w:w="5949" w:type="dxa"/>
          <w:hideMark/>
        </w:tcPr>
        <w:p w:rsidR="00A52218" w:rsidRDefault="00A5221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52218" w:rsidRDefault="009A0FCA"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00885</w:t>
          </w:r>
          <w:r w:rsidR="0084061E">
            <w:rPr>
              <w:rFonts w:ascii="Palatino Linotype" w:hAnsi="Palatino Linotype" w:cs="Arial"/>
              <w:bCs/>
              <w:sz w:val="24"/>
              <w:lang w:eastAsia="es-MX"/>
            </w:rPr>
            <w:t>/INFOEM/IP/RR/2021</w:t>
          </w:r>
        </w:p>
      </w:tc>
    </w:tr>
    <w:tr w:rsidR="00A52218" w:rsidTr="00182616">
      <w:trPr>
        <w:trHeight w:val="242"/>
      </w:trPr>
      <w:tc>
        <w:tcPr>
          <w:tcW w:w="5949" w:type="dxa"/>
          <w:hideMark/>
        </w:tcPr>
        <w:p w:rsidR="00A52218" w:rsidRDefault="00A5221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218" w:rsidRDefault="0084061E" w:rsidP="00A608EC">
          <w:pPr>
            <w:spacing w:after="120" w:line="256" w:lineRule="auto"/>
            <w:ind w:left="72" w:right="214"/>
            <w:jc w:val="right"/>
            <w:rPr>
              <w:rFonts w:ascii="Palatino Linotype" w:hAnsi="Palatino Linotype" w:cs="Arial"/>
              <w:szCs w:val="20"/>
            </w:rPr>
          </w:pPr>
          <w:r w:rsidRPr="0084061E">
            <w:rPr>
              <w:rFonts w:ascii="Palatino Linotype" w:hAnsi="Palatino Linotype" w:cs="Arial"/>
              <w:szCs w:val="20"/>
            </w:rPr>
            <w:t>Ayuntamiento de Chiconcuac</w:t>
          </w:r>
        </w:p>
      </w:tc>
    </w:tr>
    <w:tr w:rsidR="00A52218" w:rsidTr="00182616">
      <w:trPr>
        <w:trHeight w:val="342"/>
      </w:trPr>
      <w:tc>
        <w:tcPr>
          <w:tcW w:w="5949" w:type="dxa"/>
          <w:hideMark/>
        </w:tcPr>
        <w:p w:rsidR="00A52218" w:rsidRDefault="00A5221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218" w:rsidRDefault="00A5221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218" w:rsidRDefault="00A522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218" w:rsidTr="00182616">
      <w:trPr>
        <w:trHeight w:val="227"/>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52218" w:rsidRPr="00B4142F" w:rsidRDefault="009A0FCA" w:rsidP="009A0FCA">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00885</w:t>
          </w:r>
          <w:r w:rsidR="000A42FE">
            <w:rPr>
              <w:rFonts w:ascii="Palatino Linotype" w:hAnsi="Palatino Linotype" w:cs="Arial"/>
              <w:bCs/>
              <w:sz w:val="24"/>
              <w:lang w:eastAsia="es-MX"/>
            </w:rPr>
            <w:t>/INFOEM/IP/RR/2021</w:t>
          </w:r>
        </w:p>
      </w:tc>
    </w:tr>
    <w:tr w:rsidR="00A52218" w:rsidTr="00182616">
      <w:trPr>
        <w:trHeight w:val="196"/>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218" w:rsidRPr="00F06FED" w:rsidRDefault="000733C7" w:rsidP="00F672EE">
          <w:pPr>
            <w:spacing w:after="120" w:line="256" w:lineRule="auto"/>
            <w:ind w:left="208" w:right="214"/>
            <w:jc w:val="right"/>
            <w:rPr>
              <w:rFonts w:ascii="Palatino Linotype" w:hAnsi="Palatino Linotype" w:cs="Arial"/>
            </w:rPr>
          </w:pPr>
          <w:r>
            <w:rPr>
              <w:rFonts w:ascii="Palatino Linotype" w:hAnsi="Palatino Linotype" w:cs="Arial"/>
            </w:rPr>
            <w:t>xxxxxxxxxxxxxxxxxxxxxx</w:t>
          </w:r>
        </w:p>
      </w:tc>
    </w:tr>
    <w:tr w:rsidR="00A52218" w:rsidTr="00182616">
      <w:trPr>
        <w:trHeight w:val="242"/>
      </w:trPr>
      <w:tc>
        <w:tcPr>
          <w:tcW w:w="5103" w:type="dxa"/>
          <w:hideMark/>
        </w:tcPr>
        <w:p w:rsidR="00A52218" w:rsidRDefault="00A5221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218" w:rsidRDefault="000A42FE" w:rsidP="00472B53">
          <w:pPr>
            <w:spacing w:after="120" w:line="256" w:lineRule="auto"/>
            <w:ind w:left="208" w:right="214"/>
            <w:jc w:val="right"/>
            <w:rPr>
              <w:rFonts w:ascii="Palatino Linotype" w:hAnsi="Palatino Linotype" w:cs="Arial"/>
              <w:szCs w:val="20"/>
            </w:rPr>
          </w:pPr>
          <w:r w:rsidRPr="000A42FE">
            <w:rPr>
              <w:rFonts w:ascii="Palatino Linotype" w:hAnsi="Palatino Linotype" w:cs="Arial"/>
              <w:szCs w:val="20"/>
            </w:rPr>
            <w:t>Ayuntamiento de Chiconcuac</w:t>
          </w:r>
        </w:p>
      </w:tc>
    </w:tr>
    <w:tr w:rsidR="00A52218" w:rsidTr="00182616">
      <w:trPr>
        <w:trHeight w:val="342"/>
      </w:trPr>
      <w:tc>
        <w:tcPr>
          <w:tcW w:w="5103" w:type="dxa"/>
          <w:hideMark/>
        </w:tcPr>
        <w:p w:rsidR="00A52218" w:rsidRDefault="00A5221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218" w:rsidRDefault="00A5221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218" w:rsidRDefault="00E26C8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105781"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856EC"/>
    <w:multiLevelType w:val="hybridMultilevel"/>
    <w:tmpl w:val="6FF21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3C5042"/>
    <w:multiLevelType w:val="hybridMultilevel"/>
    <w:tmpl w:val="525A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E3B22EC"/>
    <w:multiLevelType w:val="hybridMultilevel"/>
    <w:tmpl w:val="DAFE0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5076DDA"/>
    <w:multiLevelType w:val="hybridMultilevel"/>
    <w:tmpl w:val="D06A0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81F0CF4"/>
    <w:multiLevelType w:val="hybridMultilevel"/>
    <w:tmpl w:val="A9FC95DE"/>
    <w:lvl w:ilvl="0" w:tplc="E0887C46">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5945627"/>
    <w:multiLevelType w:val="hybridMultilevel"/>
    <w:tmpl w:val="32FEB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FA50F3C"/>
    <w:multiLevelType w:val="hybridMultilevel"/>
    <w:tmpl w:val="29502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56259A"/>
    <w:multiLevelType w:val="hybridMultilevel"/>
    <w:tmpl w:val="C7B628EC"/>
    <w:lvl w:ilvl="0" w:tplc="2BA6D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A07B5F"/>
    <w:multiLevelType w:val="hybridMultilevel"/>
    <w:tmpl w:val="5BF2DC7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9"/>
  </w:num>
  <w:num w:numId="7">
    <w:abstractNumId w:val="8"/>
  </w:num>
  <w:num w:numId="8">
    <w:abstractNumId w:val="13"/>
  </w:num>
  <w:num w:numId="9">
    <w:abstractNumId w:val="4"/>
  </w:num>
  <w:num w:numId="10">
    <w:abstractNumId w:val="10"/>
  </w:num>
  <w:num w:numId="11">
    <w:abstractNumId w:val="12"/>
  </w:num>
  <w:num w:numId="12">
    <w:abstractNumId w:val="6"/>
  </w:num>
  <w:num w:numId="13">
    <w:abstractNumId w:val="0"/>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46A2"/>
    <w:rsid w:val="00014D80"/>
    <w:rsid w:val="00015200"/>
    <w:rsid w:val="00015A5D"/>
    <w:rsid w:val="0001660E"/>
    <w:rsid w:val="0001784D"/>
    <w:rsid w:val="00017C6F"/>
    <w:rsid w:val="000204E1"/>
    <w:rsid w:val="00020F9B"/>
    <w:rsid w:val="00021D9A"/>
    <w:rsid w:val="00022E72"/>
    <w:rsid w:val="000232F8"/>
    <w:rsid w:val="00023AAC"/>
    <w:rsid w:val="00026FFE"/>
    <w:rsid w:val="000276E0"/>
    <w:rsid w:val="00031BDD"/>
    <w:rsid w:val="00032DBD"/>
    <w:rsid w:val="00033949"/>
    <w:rsid w:val="00033A37"/>
    <w:rsid w:val="00033FC4"/>
    <w:rsid w:val="000340A4"/>
    <w:rsid w:val="000402BD"/>
    <w:rsid w:val="00041557"/>
    <w:rsid w:val="00042CDE"/>
    <w:rsid w:val="00043018"/>
    <w:rsid w:val="000475BC"/>
    <w:rsid w:val="00050126"/>
    <w:rsid w:val="000505EC"/>
    <w:rsid w:val="00050A9C"/>
    <w:rsid w:val="00051311"/>
    <w:rsid w:val="00051CBA"/>
    <w:rsid w:val="00053C9B"/>
    <w:rsid w:val="000547C4"/>
    <w:rsid w:val="00055FDB"/>
    <w:rsid w:val="00057570"/>
    <w:rsid w:val="00061CDD"/>
    <w:rsid w:val="00061CE1"/>
    <w:rsid w:val="00062331"/>
    <w:rsid w:val="00062407"/>
    <w:rsid w:val="00062E1A"/>
    <w:rsid w:val="000632CD"/>
    <w:rsid w:val="000674FE"/>
    <w:rsid w:val="00070473"/>
    <w:rsid w:val="00071AAE"/>
    <w:rsid w:val="0007328F"/>
    <w:rsid w:val="000733C7"/>
    <w:rsid w:val="000738E9"/>
    <w:rsid w:val="0008042E"/>
    <w:rsid w:val="00081888"/>
    <w:rsid w:val="000824AF"/>
    <w:rsid w:val="00083F7E"/>
    <w:rsid w:val="000865FD"/>
    <w:rsid w:val="0008795C"/>
    <w:rsid w:val="00087B62"/>
    <w:rsid w:val="00090705"/>
    <w:rsid w:val="00091E32"/>
    <w:rsid w:val="0009220B"/>
    <w:rsid w:val="00092805"/>
    <w:rsid w:val="0009497C"/>
    <w:rsid w:val="00095218"/>
    <w:rsid w:val="00096DEA"/>
    <w:rsid w:val="00097AF9"/>
    <w:rsid w:val="000A1166"/>
    <w:rsid w:val="000A27C1"/>
    <w:rsid w:val="000A3303"/>
    <w:rsid w:val="000A42FE"/>
    <w:rsid w:val="000A6723"/>
    <w:rsid w:val="000A75BE"/>
    <w:rsid w:val="000B0E94"/>
    <w:rsid w:val="000B36FD"/>
    <w:rsid w:val="000B37DE"/>
    <w:rsid w:val="000B45D8"/>
    <w:rsid w:val="000B4C07"/>
    <w:rsid w:val="000B4F6A"/>
    <w:rsid w:val="000B6DB9"/>
    <w:rsid w:val="000B7E56"/>
    <w:rsid w:val="000C3D1A"/>
    <w:rsid w:val="000C6DF8"/>
    <w:rsid w:val="000C7BD4"/>
    <w:rsid w:val="000D47AB"/>
    <w:rsid w:val="000D645F"/>
    <w:rsid w:val="000D6982"/>
    <w:rsid w:val="000D756B"/>
    <w:rsid w:val="000E2E36"/>
    <w:rsid w:val="000E36AC"/>
    <w:rsid w:val="000E39E5"/>
    <w:rsid w:val="000E58D0"/>
    <w:rsid w:val="000E6069"/>
    <w:rsid w:val="000E631B"/>
    <w:rsid w:val="000E7C0A"/>
    <w:rsid w:val="000F0B5A"/>
    <w:rsid w:val="000F199E"/>
    <w:rsid w:val="000F3722"/>
    <w:rsid w:val="00100385"/>
    <w:rsid w:val="0010147D"/>
    <w:rsid w:val="00101AEA"/>
    <w:rsid w:val="00107AFD"/>
    <w:rsid w:val="00110B97"/>
    <w:rsid w:val="0011305B"/>
    <w:rsid w:val="001145F4"/>
    <w:rsid w:val="00114C3C"/>
    <w:rsid w:val="001152B8"/>
    <w:rsid w:val="00115F6D"/>
    <w:rsid w:val="001160EB"/>
    <w:rsid w:val="00116211"/>
    <w:rsid w:val="00116C6E"/>
    <w:rsid w:val="00117646"/>
    <w:rsid w:val="0012039D"/>
    <w:rsid w:val="00121C19"/>
    <w:rsid w:val="00122CD0"/>
    <w:rsid w:val="0012508A"/>
    <w:rsid w:val="00125F0D"/>
    <w:rsid w:val="00126959"/>
    <w:rsid w:val="001269C0"/>
    <w:rsid w:val="00126D0D"/>
    <w:rsid w:val="001307C3"/>
    <w:rsid w:val="00130FC7"/>
    <w:rsid w:val="00132B8D"/>
    <w:rsid w:val="00132E9F"/>
    <w:rsid w:val="001346D9"/>
    <w:rsid w:val="0013524D"/>
    <w:rsid w:val="00135494"/>
    <w:rsid w:val="0013614A"/>
    <w:rsid w:val="00136E60"/>
    <w:rsid w:val="00137C50"/>
    <w:rsid w:val="00140426"/>
    <w:rsid w:val="001408CB"/>
    <w:rsid w:val="00140AE4"/>
    <w:rsid w:val="00140C2F"/>
    <w:rsid w:val="0014191F"/>
    <w:rsid w:val="00143581"/>
    <w:rsid w:val="00143AC6"/>
    <w:rsid w:val="0014447C"/>
    <w:rsid w:val="00146808"/>
    <w:rsid w:val="001501AD"/>
    <w:rsid w:val="00150FB6"/>
    <w:rsid w:val="001510E8"/>
    <w:rsid w:val="00151AE0"/>
    <w:rsid w:val="00153BFD"/>
    <w:rsid w:val="00154709"/>
    <w:rsid w:val="001552E9"/>
    <w:rsid w:val="001555CD"/>
    <w:rsid w:val="0015760E"/>
    <w:rsid w:val="0016102E"/>
    <w:rsid w:val="00162176"/>
    <w:rsid w:val="00165929"/>
    <w:rsid w:val="00166046"/>
    <w:rsid w:val="00166623"/>
    <w:rsid w:val="00166C5F"/>
    <w:rsid w:val="00166FB7"/>
    <w:rsid w:val="00167049"/>
    <w:rsid w:val="001703C6"/>
    <w:rsid w:val="00172644"/>
    <w:rsid w:val="00172D85"/>
    <w:rsid w:val="00173168"/>
    <w:rsid w:val="00174164"/>
    <w:rsid w:val="0017516F"/>
    <w:rsid w:val="00175B0B"/>
    <w:rsid w:val="0017632D"/>
    <w:rsid w:val="0018048C"/>
    <w:rsid w:val="00180F6B"/>
    <w:rsid w:val="00181D2F"/>
    <w:rsid w:val="00182616"/>
    <w:rsid w:val="001829E5"/>
    <w:rsid w:val="00183E6C"/>
    <w:rsid w:val="001844B5"/>
    <w:rsid w:val="00186CFB"/>
    <w:rsid w:val="00191C1E"/>
    <w:rsid w:val="00195360"/>
    <w:rsid w:val="00195ADE"/>
    <w:rsid w:val="00195E24"/>
    <w:rsid w:val="001963FA"/>
    <w:rsid w:val="00196888"/>
    <w:rsid w:val="00196A6D"/>
    <w:rsid w:val="00197AA8"/>
    <w:rsid w:val="001A0927"/>
    <w:rsid w:val="001A17B9"/>
    <w:rsid w:val="001A1DEE"/>
    <w:rsid w:val="001A4700"/>
    <w:rsid w:val="001A6811"/>
    <w:rsid w:val="001A7955"/>
    <w:rsid w:val="001B0C65"/>
    <w:rsid w:val="001B0E74"/>
    <w:rsid w:val="001B16FD"/>
    <w:rsid w:val="001B17AB"/>
    <w:rsid w:val="001B5DCE"/>
    <w:rsid w:val="001B743F"/>
    <w:rsid w:val="001C0CE9"/>
    <w:rsid w:val="001C2DBA"/>
    <w:rsid w:val="001C4BDC"/>
    <w:rsid w:val="001C69FC"/>
    <w:rsid w:val="001D0755"/>
    <w:rsid w:val="001D126B"/>
    <w:rsid w:val="001D39A1"/>
    <w:rsid w:val="001D6114"/>
    <w:rsid w:val="001D61D0"/>
    <w:rsid w:val="001E07AC"/>
    <w:rsid w:val="001E0C03"/>
    <w:rsid w:val="001E2E5E"/>
    <w:rsid w:val="001E477F"/>
    <w:rsid w:val="001E4D4B"/>
    <w:rsid w:val="001E60B7"/>
    <w:rsid w:val="001E73AC"/>
    <w:rsid w:val="001F021C"/>
    <w:rsid w:val="001F06DD"/>
    <w:rsid w:val="001F0F78"/>
    <w:rsid w:val="001F1904"/>
    <w:rsid w:val="001F1F38"/>
    <w:rsid w:val="001F2BFA"/>
    <w:rsid w:val="001F4D1E"/>
    <w:rsid w:val="001F54F6"/>
    <w:rsid w:val="001F5577"/>
    <w:rsid w:val="001F77D7"/>
    <w:rsid w:val="00201358"/>
    <w:rsid w:val="00203FA5"/>
    <w:rsid w:val="002054AF"/>
    <w:rsid w:val="00205BF1"/>
    <w:rsid w:val="00207DA3"/>
    <w:rsid w:val="002108D8"/>
    <w:rsid w:val="00211473"/>
    <w:rsid w:val="002120C3"/>
    <w:rsid w:val="00212498"/>
    <w:rsid w:val="002136DF"/>
    <w:rsid w:val="0021396E"/>
    <w:rsid w:val="0021442E"/>
    <w:rsid w:val="00215370"/>
    <w:rsid w:val="00216B8D"/>
    <w:rsid w:val="00221F0B"/>
    <w:rsid w:val="002236A1"/>
    <w:rsid w:val="00223A64"/>
    <w:rsid w:val="002252AD"/>
    <w:rsid w:val="00225A00"/>
    <w:rsid w:val="00230FFA"/>
    <w:rsid w:val="0023288B"/>
    <w:rsid w:val="00235186"/>
    <w:rsid w:val="00235C45"/>
    <w:rsid w:val="00240D01"/>
    <w:rsid w:val="00240F31"/>
    <w:rsid w:val="00241F4F"/>
    <w:rsid w:val="002433F6"/>
    <w:rsid w:val="002450D9"/>
    <w:rsid w:val="00246D5F"/>
    <w:rsid w:val="00247E1F"/>
    <w:rsid w:val="002502EE"/>
    <w:rsid w:val="00252745"/>
    <w:rsid w:val="00253F6F"/>
    <w:rsid w:val="00254523"/>
    <w:rsid w:val="002545F8"/>
    <w:rsid w:val="00255005"/>
    <w:rsid w:val="00255E3F"/>
    <w:rsid w:val="002572CF"/>
    <w:rsid w:val="0026191D"/>
    <w:rsid w:val="00262857"/>
    <w:rsid w:val="002669A8"/>
    <w:rsid w:val="00271762"/>
    <w:rsid w:val="002718DB"/>
    <w:rsid w:val="00271C39"/>
    <w:rsid w:val="0027490E"/>
    <w:rsid w:val="002755AA"/>
    <w:rsid w:val="002765BB"/>
    <w:rsid w:val="00276C2C"/>
    <w:rsid w:val="00276E33"/>
    <w:rsid w:val="00276FFD"/>
    <w:rsid w:val="002809F3"/>
    <w:rsid w:val="0028122B"/>
    <w:rsid w:val="0028218C"/>
    <w:rsid w:val="00283F65"/>
    <w:rsid w:val="0028427C"/>
    <w:rsid w:val="0028471A"/>
    <w:rsid w:val="002847CC"/>
    <w:rsid w:val="00284C4B"/>
    <w:rsid w:val="0028585E"/>
    <w:rsid w:val="00287072"/>
    <w:rsid w:val="00290397"/>
    <w:rsid w:val="002910A3"/>
    <w:rsid w:val="002933A7"/>
    <w:rsid w:val="00296F49"/>
    <w:rsid w:val="002A10EC"/>
    <w:rsid w:val="002A1622"/>
    <w:rsid w:val="002A1927"/>
    <w:rsid w:val="002A1F8A"/>
    <w:rsid w:val="002A26E0"/>
    <w:rsid w:val="002A5F76"/>
    <w:rsid w:val="002A613F"/>
    <w:rsid w:val="002B23C3"/>
    <w:rsid w:val="002B2ACC"/>
    <w:rsid w:val="002B5B14"/>
    <w:rsid w:val="002B70F8"/>
    <w:rsid w:val="002C0C6A"/>
    <w:rsid w:val="002C10B1"/>
    <w:rsid w:val="002C2A2E"/>
    <w:rsid w:val="002C2D19"/>
    <w:rsid w:val="002C45D8"/>
    <w:rsid w:val="002C47F3"/>
    <w:rsid w:val="002C529C"/>
    <w:rsid w:val="002D06AD"/>
    <w:rsid w:val="002D086B"/>
    <w:rsid w:val="002D1713"/>
    <w:rsid w:val="002D477F"/>
    <w:rsid w:val="002D4991"/>
    <w:rsid w:val="002D55FE"/>
    <w:rsid w:val="002D6110"/>
    <w:rsid w:val="002D6CF8"/>
    <w:rsid w:val="002E018A"/>
    <w:rsid w:val="002E22D8"/>
    <w:rsid w:val="002E2D4C"/>
    <w:rsid w:val="002E3B0C"/>
    <w:rsid w:val="002E6036"/>
    <w:rsid w:val="002F044A"/>
    <w:rsid w:val="002F0955"/>
    <w:rsid w:val="002F160B"/>
    <w:rsid w:val="002F17FB"/>
    <w:rsid w:val="002F368C"/>
    <w:rsid w:val="002F44CE"/>
    <w:rsid w:val="002F6A15"/>
    <w:rsid w:val="0030019C"/>
    <w:rsid w:val="00300FA1"/>
    <w:rsid w:val="00301A01"/>
    <w:rsid w:val="00301D32"/>
    <w:rsid w:val="003021C1"/>
    <w:rsid w:val="00303FAF"/>
    <w:rsid w:val="00304C91"/>
    <w:rsid w:val="003050F0"/>
    <w:rsid w:val="00305B06"/>
    <w:rsid w:val="00305F05"/>
    <w:rsid w:val="00307784"/>
    <w:rsid w:val="00307EF2"/>
    <w:rsid w:val="00310760"/>
    <w:rsid w:val="00311191"/>
    <w:rsid w:val="00311BCD"/>
    <w:rsid w:val="00311EE6"/>
    <w:rsid w:val="00312E7E"/>
    <w:rsid w:val="00315192"/>
    <w:rsid w:val="003153A1"/>
    <w:rsid w:val="00315E55"/>
    <w:rsid w:val="0031621C"/>
    <w:rsid w:val="0032163A"/>
    <w:rsid w:val="0032245D"/>
    <w:rsid w:val="00322F4D"/>
    <w:rsid w:val="003230BE"/>
    <w:rsid w:val="00323A22"/>
    <w:rsid w:val="00323B11"/>
    <w:rsid w:val="00327932"/>
    <w:rsid w:val="00330A59"/>
    <w:rsid w:val="0033514A"/>
    <w:rsid w:val="0033566D"/>
    <w:rsid w:val="00336EDF"/>
    <w:rsid w:val="0033741E"/>
    <w:rsid w:val="00337DE4"/>
    <w:rsid w:val="003441A9"/>
    <w:rsid w:val="00345A90"/>
    <w:rsid w:val="0034665B"/>
    <w:rsid w:val="00346C7A"/>
    <w:rsid w:val="00346C7E"/>
    <w:rsid w:val="00347B91"/>
    <w:rsid w:val="00347C37"/>
    <w:rsid w:val="003505B4"/>
    <w:rsid w:val="00353FE3"/>
    <w:rsid w:val="00355336"/>
    <w:rsid w:val="00356B63"/>
    <w:rsid w:val="00360599"/>
    <w:rsid w:val="003614AC"/>
    <w:rsid w:val="00363308"/>
    <w:rsid w:val="003653BC"/>
    <w:rsid w:val="00365441"/>
    <w:rsid w:val="00365567"/>
    <w:rsid w:val="00365ADF"/>
    <w:rsid w:val="00373289"/>
    <w:rsid w:val="00374450"/>
    <w:rsid w:val="003756AB"/>
    <w:rsid w:val="00375FF5"/>
    <w:rsid w:val="00376934"/>
    <w:rsid w:val="00380DA0"/>
    <w:rsid w:val="0038385D"/>
    <w:rsid w:val="0038396D"/>
    <w:rsid w:val="00385482"/>
    <w:rsid w:val="00386799"/>
    <w:rsid w:val="00390343"/>
    <w:rsid w:val="003908F4"/>
    <w:rsid w:val="003919AC"/>
    <w:rsid w:val="003935C9"/>
    <w:rsid w:val="00396CE1"/>
    <w:rsid w:val="003A0554"/>
    <w:rsid w:val="003A13D2"/>
    <w:rsid w:val="003A1408"/>
    <w:rsid w:val="003A2DB6"/>
    <w:rsid w:val="003A3096"/>
    <w:rsid w:val="003A7587"/>
    <w:rsid w:val="003A79DD"/>
    <w:rsid w:val="003B1044"/>
    <w:rsid w:val="003B2500"/>
    <w:rsid w:val="003B4AE6"/>
    <w:rsid w:val="003B61F0"/>
    <w:rsid w:val="003B74CF"/>
    <w:rsid w:val="003B7C36"/>
    <w:rsid w:val="003B7CED"/>
    <w:rsid w:val="003C3124"/>
    <w:rsid w:val="003C3718"/>
    <w:rsid w:val="003C6070"/>
    <w:rsid w:val="003C621F"/>
    <w:rsid w:val="003C74AF"/>
    <w:rsid w:val="003D2672"/>
    <w:rsid w:val="003D3420"/>
    <w:rsid w:val="003D4B31"/>
    <w:rsid w:val="003E08B9"/>
    <w:rsid w:val="003E0E76"/>
    <w:rsid w:val="003E6927"/>
    <w:rsid w:val="003E7830"/>
    <w:rsid w:val="003E7B02"/>
    <w:rsid w:val="003F1569"/>
    <w:rsid w:val="003F37C0"/>
    <w:rsid w:val="003F5460"/>
    <w:rsid w:val="00400852"/>
    <w:rsid w:val="00404631"/>
    <w:rsid w:val="00404F9D"/>
    <w:rsid w:val="00405FAF"/>
    <w:rsid w:val="004060AE"/>
    <w:rsid w:val="004068AA"/>
    <w:rsid w:val="00406B61"/>
    <w:rsid w:val="00407282"/>
    <w:rsid w:val="00410A41"/>
    <w:rsid w:val="00410F99"/>
    <w:rsid w:val="004130BD"/>
    <w:rsid w:val="00413243"/>
    <w:rsid w:val="004132B8"/>
    <w:rsid w:val="00413C81"/>
    <w:rsid w:val="00415B13"/>
    <w:rsid w:val="0041610A"/>
    <w:rsid w:val="00416669"/>
    <w:rsid w:val="0041729D"/>
    <w:rsid w:val="00417EBD"/>
    <w:rsid w:val="00421BA3"/>
    <w:rsid w:val="00423281"/>
    <w:rsid w:val="00423C27"/>
    <w:rsid w:val="00425199"/>
    <w:rsid w:val="00425534"/>
    <w:rsid w:val="004307FD"/>
    <w:rsid w:val="00435752"/>
    <w:rsid w:val="0043594D"/>
    <w:rsid w:val="0043616A"/>
    <w:rsid w:val="00437C40"/>
    <w:rsid w:val="004425FC"/>
    <w:rsid w:val="00442A47"/>
    <w:rsid w:val="00443826"/>
    <w:rsid w:val="0044723A"/>
    <w:rsid w:val="0045258F"/>
    <w:rsid w:val="0045270C"/>
    <w:rsid w:val="00452ABA"/>
    <w:rsid w:val="00453099"/>
    <w:rsid w:val="0045396C"/>
    <w:rsid w:val="00453E58"/>
    <w:rsid w:val="00454829"/>
    <w:rsid w:val="004572BE"/>
    <w:rsid w:val="00461687"/>
    <w:rsid w:val="004617C7"/>
    <w:rsid w:val="004644F0"/>
    <w:rsid w:val="00464EFB"/>
    <w:rsid w:val="004657BE"/>
    <w:rsid w:val="00467C19"/>
    <w:rsid w:val="004724CC"/>
    <w:rsid w:val="00472B53"/>
    <w:rsid w:val="0047461E"/>
    <w:rsid w:val="004807F7"/>
    <w:rsid w:val="004812BD"/>
    <w:rsid w:val="00481558"/>
    <w:rsid w:val="00481A59"/>
    <w:rsid w:val="00482D37"/>
    <w:rsid w:val="004830B5"/>
    <w:rsid w:val="00484C6D"/>
    <w:rsid w:val="00484E47"/>
    <w:rsid w:val="0048603C"/>
    <w:rsid w:val="00487B8B"/>
    <w:rsid w:val="0049099B"/>
    <w:rsid w:val="00496DD1"/>
    <w:rsid w:val="00497642"/>
    <w:rsid w:val="00497B93"/>
    <w:rsid w:val="004A3217"/>
    <w:rsid w:val="004A51FF"/>
    <w:rsid w:val="004B12F3"/>
    <w:rsid w:val="004B1E77"/>
    <w:rsid w:val="004B2184"/>
    <w:rsid w:val="004B2C63"/>
    <w:rsid w:val="004B3642"/>
    <w:rsid w:val="004B4721"/>
    <w:rsid w:val="004B5492"/>
    <w:rsid w:val="004B656C"/>
    <w:rsid w:val="004B68E5"/>
    <w:rsid w:val="004C01A7"/>
    <w:rsid w:val="004C0FAC"/>
    <w:rsid w:val="004C35F2"/>
    <w:rsid w:val="004C6C07"/>
    <w:rsid w:val="004C7647"/>
    <w:rsid w:val="004C7E18"/>
    <w:rsid w:val="004D4CFC"/>
    <w:rsid w:val="004D568A"/>
    <w:rsid w:val="004D5BAF"/>
    <w:rsid w:val="004D5D52"/>
    <w:rsid w:val="004D6F40"/>
    <w:rsid w:val="004D766B"/>
    <w:rsid w:val="004E26A1"/>
    <w:rsid w:val="004F1671"/>
    <w:rsid w:val="004F483E"/>
    <w:rsid w:val="004F59FF"/>
    <w:rsid w:val="004F71B4"/>
    <w:rsid w:val="005006A9"/>
    <w:rsid w:val="0050104C"/>
    <w:rsid w:val="005017E1"/>
    <w:rsid w:val="005023F4"/>
    <w:rsid w:val="00502D6D"/>
    <w:rsid w:val="00503118"/>
    <w:rsid w:val="005033CC"/>
    <w:rsid w:val="0050543A"/>
    <w:rsid w:val="0050634D"/>
    <w:rsid w:val="005115A5"/>
    <w:rsid w:val="00512CDD"/>
    <w:rsid w:val="00514C3B"/>
    <w:rsid w:val="00515EBB"/>
    <w:rsid w:val="005174DC"/>
    <w:rsid w:val="00520620"/>
    <w:rsid w:val="00521CC2"/>
    <w:rsid w:val="00521F65"/>
    <w:rsid w:val="00522235"/>
    <w:rsid w:val="00522379"/>
    <w:rsid w:val="00522751"/>
    <w:rsid w:val="0052393E"/>
    <w:rsid w:val="00523FAA"/>
    <w:rsid w:val="005240C5"/>
    <w:rsid w:val="00524986"/>
    <w:rsid w:val="00525A6B"/>
    <w:rsid w:val="0052712E"/>
    <w:rsid w:val="0052723E"/>
    <w:rsid w:val="005325C5"/>
    <w:rsid w:val="005328FB"/>
    <w:rsid w:val="00535EB8"/>
    <w:rsid w:val="00537419"/>
    <w:rsid w:val="00537D90"/>
    <w:rsid w:val="005419F8"/>
    <w:rsid w:val="005421C7"/>
    <w:rsid w:val="0054368D"/>
    <w:rsid w:val="005448FA"/>
    <w:rsid w:val="00544BFD"/>
    <w:rsid w:val="00554B8A"/>
    <w:rsid w:val="005552AF"/>
    <w:rsid w:val="00561AB1"/>
    <w:rsid w:val="0056536D"/>
    <w:rsid w:val="00566699"/>
    <w:rsid w:val="00567676"/>
    <w:rsid w:val="0057288B"/>
    <w:rsid w:val="00572D86"/>
    <w:rsid w:val="005733EB"/>
    <w:rsid w:val="0057534D"/>
    <w:rsid w:val="00577231"/>
    <w:rsid w:val="00581DFE"/>
    <w:rsid w:val="00583DD0"/>
    <w:rsid w:val="005840A1"/>
    <w:rsid w:val="005848CE"/>
    <w:rsid w:val="00584D5A"/>
    <w:rsid w:val="00586730"/>
    <w:rsid w:val="00586933"/>
    <w:rsid w:val="00590126"/>
    <w:rsid w:val="0059176E"/>
    <w:rsid w:val="00591988"/>
    <w:rsid w:val="00592F63"/>
    <w:rsid w:val="00594C38"/>
    <w:rsid w:val="00596856"/>
    <w:rsid w:val="005A0B85"/>
    <w:rsid w:val="005A18AF"/>
    <w:rsid w:val="005A35E2"/>
    <w:rsid w:val="005A6F55"/>
    <w:rsid w:val="005B25EF"/>
    <w:rsid w:val="005B2A31"/>
    <w:rsid w:val="005B4E0C"/>
    <w:rsid w:val="005B6D6C"/>
    <w:rsid w:val="005B7E58"/>
    <w:rsid w:val="005C057C"/>
    <w:rsid w:val="005C3FB8"/>
    <w:rsid w:val="005C445A"/>
    <w:rsid w:val="005C510D"/>
    <w:rsid w:val="005C5192"/>
    <w:rsid w:val="005C6027"/>
    <w:rsid w:val="005C76D5"/>
    <w:rsid w:val="005D0226"/>
    <w:rsid w:val="005D02A8"/>
    <w:rsid w:val="005D50D2"/>
    <w:rsid w:val="005D5EEB"/>
    <w:rsid w:val="005D755F"/>
    <w:rsid w:val="005D785D"/>
    <w:rsid w:val="005E2C13"/>
    <w:rsid w:val="005E3F88"/>
    <w:rsid w:val="005E67A2"/>
    <w:rsid w:val="005F0909"/>
    <w:rsid w:val="005F1019"/>
    <w:rsid w:val="005F15DA"/>
    <w:rsid w:val="005F198B"/>
    <w:rsid w:val="005F4160"/>
    <w:rsid w:val="005F5985"/>
    <w:rsid w:val="00600D67"/>
    <w:rsid w:val="006022B4"/>
    <w:rsid w:val="006056D6"/>
    <w:rsid w:val="0060633A"/>
    <w:rsid w:val="00607CCB"/>
    <w:rsid w:val="00612309"/>
    <w:rsid w:val="006149F1"/>
    <w:rsid w:val="00614D94"/>
    <w:rsid w:val="00620FA6"/>
    <w:rsid w:val="00621130"/>
    <w:rsid w:val="006212F5"/>
    <w:rsid w:val="0062140D"/>
    <w:rsid w:val="0062145A"/>
    <w:rsid w:val="006246A5"/>
    <w:rsid w:val="0062522A"/>
    <w:rsid w:val="00625F7E"/>
    <w:rsid w:val="00627F9C"/>
    <w:rsid w:val="00631F1B"/>
    <w:rsid w:val="00631FF9"/>
    <w:rsid w:val="0063354F"/>
    <w:rsid w:val="00633C3F"/>
    <w:rsid w:val="006368CE"/>
    <w:rsid w:val="0063755D"/>
    <w:rsid w:val="00637FF6"/>
    <w:rsid w:val="0064060C"/>
    <w:rsid w:val="00640D07"/>
    <w:rsid w:val="0064122A"/>
    <w:rsid w:val="00642541"/>
    <w:rsid w:val="00644363"/>
    <w:rsid w:val="006446F7"/>
    <w:rsid w:val="00646BCD"/>
    <w:rsid w:val="00646C82"/>
    <w:rsid w:val="00647B4C"/>
    <w:rsid w:val="0065315B"/>
    <w:rsid w:val="006547E8"/>
    <w:rsid w:val="00655F80"/>
    <w:rsid w:val="00661204"/>
    <w:rsid w:val="00662639"/>
    <w:rsid w:val="006650A4"/>
    <w:rsid w:val="0066610F"/>
    <w:rsid w:val="00670A00"/>
    <w:rsid w:val="006718D3"/>
    <w:rsid w:val="00672FB1"/>
    <w:rsid w:val="00673D7C"/>
    <w:rsid w:val="006749FD"/>
    <w:rsid w:val="00676C32"/>
    <w:rsid w:val="00676FBF"/>
    <w:rsid w:val="006806F1"/>
    <w:rsid w:val="00680B33"/>
    <w:rsid w:val="00680D39"/>
    <w:rsid w:val="0068260A"/>
    <w:rsid w:val="006831F9"/>
    <w:rsid w:val="00686027"/>
    <w:rsid w:val="00686046"/>
    <w:rsid w:val="0068674C"/>
    <w:rsid w:val="006875A3"/>
    <w:rsid w:val="00687A21"/>
    <w:rsid w:val="006914EA"/>
    <w:rsid w:val="006933E1"/>
    <w:rsid w:val="0069391A"/>
    <w:rsid w:val="00694291"/>
    <w:rsid w:val="006956C7"/>
    <w:rsid w:val="00695F63"/>
    <w:rsid w:val="0069776E"/>
    <w:rsid w:val="006A0ADE"/>
    <w:rsid w:val="006A29C5"/>
    <w:rsid w:val="006A388C"/>
    <w:rsid w:val="006A3A54"/>
    <w:rsid w:val="006A561E"/>
    <w:rsid w:val="006A5DD3"/>
    <w:rsid w:val="006A61AF"/>
    <w:rsid w:val="006B122F"/>
    <w:rsid w:val="006B1CFA"/>
    <w:rsid w:val="006B2EEE"/>
    <w:rsid w:val="006C17FB"/>
    <w:rsid w:val="006C1F26"/>
    <w:rsid w:val="006C44FF"/>
    <w:rsid w:val="006C6176"/>
    <w:rsid w:val="006D01DC"/>
    <w:rsid w:val="006D0DD5"/>
    <w:rsid w:val="006D1136"/>
    <w:rsid w:val="006D254A"/>
    <w:rsid w:val="006D4AD4"/>
    <w:rsid w:val="006D5419"/>
    <w:rsid w:val="006D635C"/>
    <w:rsid w:val="006D780C"/>
    <w:rsid w:val="006D7880"/>
    <w:rsid w:val="006E0601"/>
    <w:rsid w:val="006E2511"/>
    <w:rsid w:val="006E2D42"/>
    <w:rsid w:val="006E35C3"/>
    <w:rsid w:val="006E6394"/>
    <w:rsid w:val="006E6C81"/>
    <w:rsid w:val="006F18FD"/>
    <w:rsid w:val="006F3CFF"/>
    <w:rsid w:val="006F4A35"/>
    <w:rsid w:val="006F509E"/>
    <w:rsid w:val="006F5333"/>
    <w:rsid w:val="006F536C"/>
    <w:rsid w:val="006F59E5"/>
    <w:rsid w:val="006F657A"/>
    <w:rsid w:val="006F6EAA"/>
    <w:rsid w:val="00702997"/>
    <w:rsid w:val="00702DB6"/>
    <w:rsid w:val="00705D1C"/>
    <w:rsid w:val="007078D3"/>
    <w:rsid w:val="00710E56"/>
    <w:rsid w:val="00711E37"/>
    <w:rsid w:val="0071210D"/>
    <w:rsid w:val="00712CDD"/>
    <w:rsid w:val="00715558"/>
    <w:rsid w:val="00715B40"/>
    <w:rsid w:val="00720C22"/>
    <w:rsid w:val="007218F2"/>
    <w:rsid w:val="00722551"/>
    <w:rsid w:val="00723B96"/>
    <w:rsid w:val="007256EA"/>
    <w:rsid w:val="007265DE"/>
    <w:rsid w:val="00727C51"/>
    <w:rsid w:val="00730DE0"/>
    <w:rsid w:val="0073148C"/>
    <w:rsid w:val="007331AF"/>
    <w:rsid w:val="00734ABD"/>
    <w:rsid w:val="0074093D"/>
    <w:rsid w:val="007437D5"/>
    <w:rsid w:val="00745032"/>
    <w:rsid w:val="007523B1"/>
    <w:rsid w:val="00753E08"/>
    <w:rsid w:val="00754061"/>
    <w:rsid w:val="00754BDC"/>
    <w:rsid w:val="0075639C"/>
    <w:rsid w:val="0075676A"/>
    <w:rsid w:val="00757E32"/>
    <w:rsid w:val="007619E3"/>
    <w:rsid w:val="00762673"/>
    <w:rsid w:val="00762684"/>
    <w:rsid w:val="007626CF"/>
    <w:rsid w:val="00763D73"/>
    <w:rsid w:val="007640C8"/>
    <w:rsid w:val="0076517C"/>
    <w:rsid w:val="00765B1B"/>
    <w:rsid w:val="007660A1"/>
    <w:rsid w:val="0076691D"/>
    <w:rsid w:val="00766A8A"/>
    <w:rsid w:val="00767422"/>
    <w:rsid w:val="007676AF"/>
    <w:rsid w:val="00770CA7"/>
    <w:rsid w:val="0077188E"/>
    <w:rsid w:val="00773727"/>
    <w:rsid w:val="00773E9D"/>
    <w:rsid w:val="00775590"/>
    <w:rsid w:val="00775826"/>
    <w:rsid w:val="00776087"/>
    <w:rsid w:val="007773F3"/>
    <w:rsid w:val="00777482"/>
    <w:rsid w:val="00784375"/>
    <w:rsid w:val="00784A9C"/>
    <w:rsid w:val="00785145"/>
    <w:rsid w:val="00785483"/>
    <w:rsid w:val="00786497"/>
    <w:rsid w:val="00790289"/>
    <w:rsid w:val="007903FC"/>
    <w:rsid w:val="007930D8"/>
    <w:rsid w:val="0079323B"/>
    <w:rsid w:val="0079780D"/>
    <w:rsid w:val="00797BE3"/>
    <w:rsid w:val="007A0571"/>
    <w:rsid w:val="007A12BC"/>
    <w:rsid w:val="007A223B"/>
    <w:rsid w:val="007A452D"/>
    <w:rsid w:val="007A4AC3"/>
    <w:rsid w:val="007A4E13"/>
    <w:rsid w:val="007A620E"/>
    <w:rsid w:val="007B0292"/>
    <w:rsid w:val="007B0E30"/>
    <w:rsid w:val="007B2FC6"/>
    <w:rsid w:val="007B3BBE"/>
    <w:rsid w:val="007C09EB"/>
    <w:rsid w:val="007C15E0"/>
    <w:rsid w:val="007C223E"/>
    <w:rsid w:val="007C23A2"/>
    <w:rsid w:val="007C2757"/>
    <w:rsid w:val="007C2FC9"/>
    <w:rsid w:val="007C5405"/>
    <w:rsid w:val="007C5FBD"/>
    <w:rsid w:val="007C72C0"/>
    <w:rsid w:val="007C75D7"/>
    <w:rsid w:val="007D0512"/>
    <w:rsid w:val="007D0857"/>
    <w:rsid w:val="007D0CFF"/>
    <w:rsid w:val="007D536D"/>
    <w:rsid w:val="007D6A85"/>
    <w:rsid w:val="007E2E80"/>
    <w:rsid w:val="007E3FDC"/>
    <w:rsid w:val="007E644E"/>
    <w:rsid w:val="007F0FDD"/>
    <w:rsid w:val="007F282E"/>
    <w:rsid w:val="007F2B5D"/>
    <w:rsid w:val="007F336B"/>
    <w:rsid w:val="007F4F8E"/>
    <w:rsid w:val="007F5267"/>
    <w:rsid w:val="007F6BFF"/>
    <w:rsid w:val="007F7846"/>
    <w:rsid w:val="00801019"/>
    <w:rsid w:val="008041A7"/>
    <w:rsid w:val="0080536C"/>
    <w:rsid w:val="00805672"/>
    <w:rsid w:val="008103B2"/>
    <w:rsid w:val="00812455"/>
    <w:rsid w:val="00812590"/>
    <w:rsid w:val="0081299A"/>
    <w:rsid w:val="00812E10"/>
    <w:rsid w:val="008132B7"/>
    <w:rsid w:val="00816BFA"/>
    <w:rsid w:val="00821898"/>
    <w:rsid w:val="00823454"/>
    <w:rsid w:val="00824894"/>
    <w:rsid w:val="008250D6"/>
    <w:rsid w:val="008276F5"/>
    <w:rsid w:val="008307E5"/>
    <w:rsid w:val="0083107D"/>
    <w:rsid w:val="0083122A"/>
    <w:rsid w:val="00831499"/>
    <w:rsid w:val="00832A2E"/>
    <w:rsid w:val="0083437D"/>
    <w:rsid w:val="00834D2A"/>
    <w:rsid w:val="00835BAA"/>
    <w:rsid w:val="0083624F"/>
    <w:rsid w:val="00837C42"/>
    <w:rsid w:val="00837D87"/>
    <w:rsid w:val="0084061E"/>
    <w:rsid w:val="00843EA1"/>
    <w:rsid w:val="008455DC"/>
    <w:rsid w:val="00845873"/>
    <w:rsid w:val="00847400"/>
    <w:rsid w:val="00851302"/>
    <w:rsid w:val="00851658"/>
    <w:rsid w:val="00852DE6"/>
    <w:rsid w:val="00853CC3"/>
    <w:rsid w:val="0085578D"/>
    <w:rsid w:val="00856768"/>
    <w:rsid w:val="0085776C"/>
    <w:rsid w:val="00860786"/>
    <w:rsid w:val="00862A29"/>
    <w:rsid w:val="0086486E"/>
    <w:rsid w:val="00866CF8"/>
    <w:rsid w:val="00867D56"/>
    <w:rsid w:val="00870064"/>
    <w:rsid w:val="008725EE"/>
    <w:rsid w:val="008731D1"/>
    <w:rsid w:val="00873349"/>
    <w:rsid w:val="00874EEC"/>
    <w:rsid w:val="0087503D"/>
    <w:rsid w:val="008766CC"/>
    <w:rsid w:val="00877BB7"/>
    <w:rsid w:val="00881A12"/>
    <w:rsid w:val="00882567"/>
    <w:rsid w:val="00884C6F"/>
    <w:rsid w:val="00890DBD"/>
    <w:rsid w:val="00892543"/>
    <w:rsid w:val="0089326D"/>
    <w:rsid w:val="00893A7C"/>
    <w:rsid w:val="00895DA4"/>
    <w:rsid w:val="0089781F"/>
    <w:rsid w:val="008A0CF0"/>
    <w:rsid w:val="008A1C19"/>
    <w:rsid w:val="008A2647"/>
    <w:rsid w:val="008A4673"/>
    <w:rsid w:val="008B0B60"/>
    <w:rsid w:val="008B2F46"/>
    <w:rsid w:val="008B47E5"/>
    <w:rsid w:val="008B5137"/>
    <w:rsid w:val="008B5610"/>
    <w:rsid w:val="008B7395"/>
    <w:rsid w:val="008C0E72"/>
    <w:rsid w:val="008C0F70"/>
    <w:rsid w:val="008C296A"/>
    <w:rsid w:val="008C351E"/>
    <w:rsid w:val="008C651F"/>
    <w:rsid w:val="008C7CEB"/>
    <w:rsid w:val="008D17A8"/>
    <w:rsid w:val="008D523F"/>
    <w:rsid w:val="008D5661"/>
    <w:rsid w:val="008D7ECF"/>
    <w:rsid w:val="008E1983"/>
    <w:rsid w:val="008E352E"/>
    <w:rsid w:val="008E4C83"/>
    <w:rsid w:val="008E5479"/>
    <w:rsid w:val="008E572E"/>
    <w:rsid w:val="008E63C2"/>
    <w:rsid w:val="008E7F8E"/>
    <w:rsid w:val="008F0C26"/>
    <w:rsid w:val="008F14B6"/>
    <w:rsid w:val="008F1E1F"/>
    <w:rsid w:val="008F3791"/>
    <w:rsid w:val="008F5C2F"/>
    <w:rsid w:val="008F7F12"/>
    <w:rsid w:val="00902C53"/>
    <w:rsid w:val="00902D1E"/>
    <w:rsid w:val="00903599"/>
    <w:rsid w:val="009038D9"/>
    <w:rsid w:val="00904C08"/>
    <w:rsid w:val="00905CE1"/>
    <w:rsid w:val="00911C11"/>
    <w:rsid w:val="00912BEB"/>
    <w:rsid w:val="009133DF"/>
    <w:rsid w:val="009151CF"/>
    <w:rsid w:val="00915450"/>
    <w:rsid w:val="00916463"/>
    <w:rsid w:val="00920F2D"/>
    <w:rsid w:val="00926E28"/>
    <w:rsid w:val="009272C6"/>
    <w:rsid w:val="00927B06"/>
    <w:rsid w:val="00930F68"/>
    <w:rsid w:val="009339EC"/>
    <w:rsid w:val="00936715"/>
    <w:rsid w:val="0093743A"/>
    <w:rsid w:val="00937605"/>
    <w:rsid w:val="00937BFA"/>
    <w:rsid w:val="00942349"/>
    <w:rsid w:val="00942FF0"/>
    <w:rsid w:val="00943B37"/>
    <w:rsid w:val="00953EB8"/>
    <w:rsid w:val="00954D0A"/>
    <w:rsid w:val="00954DC1"/>
    <w:rsid w:val="00960D8F"/>
    <w:rsid w:val="00960E17"/>
    <w:rsid w:val="0096284F"/>
    <w:rsid w:val="0096359D"/>
    <w:rsid w:val="00966583"/>
    <w:rsid w:val="00967270"/>
    <w:rsid w:val="00967A2A"/>
    <w:rsid w:val="00967EF9"/>
    <w:rsid w:val="00971DDA"/>
    <w:rsid w:val="00973C09"/>
    <w:rsid w:val="00973F82"/>
    <w:rsid w:val="0097416D"/>
    <w:rsid w:val="00974496"/>
    <w:rsid w:val="00975521"/>
    <w:rsid w:val="009759F9"/>
    <w:rsid w:val="00975D05"/>
    <w:rsid w:val="0097709E"/>
    <w:rsid w:val="00984436"/>
    <w:rsid w:val="00984AA7"/>
    <w:rsid w:val="00984CA8"/>
    <w:rsid w:val="00984CE9"/>
    <w:rsid w:val="00984ED1"/>
    <w:rsid w:val="009859B8"/>
    <w:rsid w:val="00987D8A"/>
    <w:rsid w:val="00992D26"/>
    <w:rsid w:val="009930C2"/>
    <w:rsid w:val="00993DE1"/>
    <w:rsid w:val="00994FE7"/>
    <w:rsid w:val="009956C4"/>
    <w:rsid w:val="00995987"/>
    <w:rsid w:val="009976F4"/>
    <w:rsid w:val="0099770C"/>
    <w:rsid w:val="009A0327"/>
    <w:rsid w:val="009A0FCA"/>
    <w:rsid w:val="009A1573"/>
    <w:rsid w:val="009B205B"/>
    <w:rsid w:val="009B21B5"/>
    <w:rsid w:val="009B3592"/>
    <w:rsid w:val="009B5A90"/>
    <w:rsid w:val="009B70C3"/>
    <w:rsid w:val="009C1EA2"/>
    <w:rsid w:val="009C2C4D"/>
    <w:rsid w:val="009C3FC7"/>
    <w:rsid w:val="009C4F59"/>
    <w:rsid w:val="009C560B"/>
    <w:rsid w:val="009C5D31"/>
    <w:rsid w:val="009C6390"/>
    <w:rsid w:val="009D3547"/>
    <w:rsid w:val="009D4CD4"/>
    <w:rsid w:val="009D56AA"/>
    <w:rsid w:val="009D6234"/>
    <w:rsid w:val="009E0089"/>
    <w:rsid w:val="009E08B5"/>
    <w:rsid w:val="009E14CC"/>
    <w:rsid w:val="009E1890"/>
    <w:rsid w:val="009E396D"/>
    <w:rsid w:val="009E3FBD"/>
    <w:rsid w:val="009E76F1"/>
    <w:rsid w:val="009F26DD"/>
    <w:rsid w:val="009F7B22"/>
    <w:rsid w:val="00A00BD5"/>
    <w:rsid w:val="00A01F59"/>
    <w:rsid w:val="00A06551"/>
    <w:rsid w:val="00A10000"/>
    <w:rsid w:val="00A10775"/>
    <w:rsid w:val="00A112EB"/>
    <w:rsid w:val="00A11406"/>
    <w:rsid w:val="00A11DDF"/>
    <w:rsid w:val="00A11F28"/>
    <w:rsid w:val="00A14AF7"/>
    <w:rsid w:val="00A157E3"/>
    <w:rsid w:val="00A15AA1"/>
    <w:rsid w:val="00A20A70"/>
    <w:rsid w:val="00A2127A"/>
    <w:rsid w:val="00A2199B"/>
    <w:rsid w:val="00A21DB0"/>
    <w:rsid w:val="00A22469"/>
    <w:rsid w:val="00A23C6C"/>
    <w:rsid w:val="00A25867"/>
    <w:rsid w:val="00A2645E"/>
    <w:rsid w:val="00A26AC5"/>
    <w:rsid w:val="00A27F3D"/>
    <w:rsid w:val="00A30E51"/>
    <w:rsid w:val="00A3134D"/>
    <w:rsid w:val="00A33B3A"/>
    <w:rsid w:val="00A3547B"/>
    <w:rsid w:val="00A35B31"/>
    <w:rsid w:val="00A40CC8"/>
    <w:rsid w:val="00A41D28"/>
    <w:rsid w:val="00A4214D"/>
    <w:rsid w:val="00A45333"/>
    <w:rsid w:val="00A47235"/>
    <w:rsid w:val="00A47698"/>
    <w:rsid w:val="00A52218"/>
    <w:rsid w:val="00A54A1C"/>
    <w:rsid w:val="00A55C1E"/>
    <w:rsid w:val="00A56706"/>
    <w:rsid w:val="00A579CA"/>
    <w:rsid w:val="00A608EC"/>
    <w:rsid w:val="00A61731"/>
    <w:rsid w:val="00A62727"/>
    <w:rsid w:val="00A63AAB"/>
    <w:rsid w:val="00A64034"/>
    <w:rsid w:val="00A6450A"/>
    <w:rsid w:val="00A64FBE"/>
    <w:rsid w:val="00A6567E"/>
    <w:rsid w:val="00A65C29"/>
    <w:rsid w:val="00A65D02"/>
    <w:rsid w:val="00A666CE"/>
    <w:rsid w:val="00A7161E"/>
    <w:rsid w:val="00A7232A"/>
    <w:rsid w:val="00A73E40"/>
    <w:rsid w:val="00A74209"/>
    <w:rsid w:val="00A74D01"/>
    <w:rsid w:val="00A777CC"/>
    <w:rsid w:val="00A77930"/>
    <w:rsid w:val="00A803ED"/>
    <w:rsid w:val="00A8353A"/>
    <w:rsid w:val="00A8601F"/>
    <w:rsid w:val="00A8643B"/>
    <w:rsid w:val="00A871F0"/>
    <w:rsid w:val="00A91351"/>
    <w:rsid w:val="00A9172E"/>
    <w:rsid w:val="00A92E97"/>
    <w:rsid w:val="00A94BF6"/>
    <w:rsid w:val="00A95D46"/>
    <w:rsid w:val="00A96DF8"/>
    <w:rsid w:val="00AA05A0"/>
    <w:rsid w:val="00AA0676"/>
    <w:rsid w:val="00AA3840"/>
    <w:rsid w:val="00AA4F9A"/>
    <w:rsid w:val="00AA5A0A"/>
    <w:rsid w:val="00AA7A42"/>
    <w:rsid w:val="00AB1AF3"/>
    <w:rsid w:val="00AB481C"/>
    <w:rsid w:val="00AB6FE4"/>
    <w:rsid w:val="00AB7939"/>
    <w:rsid w:val="00AC0E61"/>
    <w:rsid w:val="00AC1AD9"/>
    <w:rsid w:val="00AC231E"/>
    <w:rsid w:val="00AC39E8"/>
    <w:rsid w:val="00AC44F1"/>
    <w:rsid w:val="00AD0168"/>
    <w:rsid w:val="00AD1C0A"/>
    <w:rsid w:val="00AD3C94"/>
    <w:rsid w:val="00AD4675"/>
    <w:rsid w:val="00AD4FDB"/>
    <w:rsid w:val="00AD5294"/>
    <w:rsid w:val="00AE0F0D"/>
    <w:rsid w:val="00AE25A1"/>
    <w:rsid w:val="00AE53A0"/>
    <w:rsid w:val="00AE5D07"/>
    <w:rsid w:val="00AE658B"/>
    <w:rsid w:val="00AF1F1C"/>
    <w:rsid w:val="00AF2270"/>
    <w:rsid w:val="00AF5920"/>
    <w:rsid w:val="00AF6E3A"/>
    <w:rsid w:val="00B00A36"/>
    <w:rsid w:val="00B04829"/>
    <w:rsid w:val="00B05C18"/>
    <w:rsid w:val="00B070F5"/>
    <w:rsid w:val="00B07CEE"/>
    <w:rsid w:val="00B07D40"/>
    <w:rsid w:val="00B10DAE"/>
    <w:rsid w:val="00B12CBA"/>
    <w:rsid w:val="00B138D5"/>
    <w:rsid w:val="00B13D61"/>
    <w:rsid w:val="00B1467E"/>
    <w:rsid w:val="00B14683"/>
    <w:rsid w:val="00B16CAC"/>
    <w:rsid w:val="00B20595"/>
    <w:rsid w:val="00B20661"/>
    <w:rsid w:val="00B24972"/>
    <w:rsid w:val="00B30308"/>
    <w:rsid w:val="00B31ACE"/>
    <w:rsid w:val="00B33307"/>
    <w:rsid w:val="00B34943"/>
    <w:rsid w:val="00B34950"/>
    <w:rsid w:val="00B35271"/>
    <w:rsid w:val="00B352EF"/>
    <w:rsid w:val="00B3792A"/>
    <w:rsid w:val="00B37950"/>
    <w:rsid w:val="00B43514"/>
    <w:rsid w:val="00B43BFD"/>
    <w:rsid w:val="00B45D16"/>
    <w:rsid w:val="00B501B2"/>
    <w:rsid w:val="00B5051E"/>
    <w:rsid w:val="00B525C1"/>
    <w:rsid w:val="00B5318A"/>
    <w:rsid w:val="00B549E1"/>
    <w:rsid w:val="00B56587"/>
    <w:rsid w:val="00B56F97"/>
    <w:rsid w:val="00B575B8"/>
    <w:rsid w:val="00B6022C"/>
    <w:rsid w:val="00B6242B"/>
    <w:rsid w:val="00B65E1E"/>
    <w:rsid w:val="00B6799A"/>
    <w:rsid w:val="00B73E6C"/>
    <w:rsid w:val="00B743C6"/>
    <w:rsid w:val="00B75842"/>
    <w:rsid w:val="00B77270"/>
    <w:rsid w:val="00B77B60"/>
    <w:rsid w:val="00B77BD1"/>
    <w:rsid w:val="00B85B98"/>
    <w:rsid w:val="00B863A5"/>
    <w:rsid w:val="00B87359"/>
    <w:rsid w:val="00B93C5C"/>
    <w:rsid w:val="00B951C4"/>
    <w:rsid w:val="00B96B2B"/>
    <w:rsid w:val="00B976F5"/>
    <w:rsid w:val="00B97CAC"/>
    <w:rsid w:val="00BA4129"/>
    <w:rsid w:val="00BA69A0"/>
    <w:rsid w:val="00BA6E9C"/>
    <w:rsid w:val="00BB2359"/>
    <w:rsid w:val="00BB2580"/>
    <w:rsid w:val="00BB5394"/>
    <w:rsid w:val="00BB587B"/>
    <w:rsid w:val="00BB5AB8"/>
    <w:rsid w:val="00BC28DB"/>
    <w:rsid w:val="00BC3F29"/>
    <w:rsid w:val="00BC64D4"/>
    <w:rsid w:val="00BD0B96"/>
    <w:rsid w:val="00BD1DE7"/>
    <w:rsid w:val="00BD20DA"/>
    <w:rsid w:val="00BD6522"/>
    <w:rsid w:val="00BD705D"/>
    <w:rsid w:val="00BE100C"/>
    <w:rsid w:val="00BE2380"/>
    <w:rsid w:val="00BE48F3"/>
    <w:rsid w:val="00BE4DBC"/>
    <w:rsid w:val="00BE6D77"/>
    <w:rsid w:val="00BF0AEC"/>
    <w:rsid w:val="00BF123B"/>
    <w:rsid w:val="00BF123D"/>
    <w:rsid w:val="00BF3765"/>
    <w:rsid w:val="00BF3950"/>
    <w:rsid w:val="00BF426E"/>
    <w:rsid w:val="00BF5EE2"/>
    <w:rsid w:val="00BF69B1"/>
    <w:rsid w:val="00C0025C"/>
    <w:rsid w:val="00C0077B"/>
    <w:rsid w:val="00C00E55"/>
    <w:rsid w:val="00C03ABF"/>
    <w:rsid w:val="00C06E74"/>
    <w:rsid w:val="00C07F95"/>
    <w:rsid w:val="00C109FA"/>
    <w:rsid w:val="00C10AAE"/>
    <w:rsid w:val="00C115F4"/>
    <w:rsid w:val="00C1217D"/>
    <w:rsid w:val="00C12774"/>
    <w:rsid w:val="00C12DEF"/>
    <w:rsid w:val="00C14421"/>
    <w:rsid w:val="00C16DBD"/>
    <w:rsid w:val="00C16E6B"/>
    <w:rsid w:val="00C17644"/>
    <w:rsid w:val="00C203E8"/>
    <w:rsid w:val="00C2107B"/>
    <w:rsid w:val="00C22A05"/>
    <w:rsid w:val="00C23100"/>
    <w:rsid w:val="00C25822"/>
    <w:rsid w:val="00C25B89"/>
    <w:rsid w:val="00C25E33"/>
    <w:rsid w:val="00C277F4"/>
    <w:rsid w:val="00C31B8E"/>
    <w:rsid w:val="00C34B47"/>
    <w:rsid w:val="00C35F18"/>
    <w:rsid w:val="00C36A74"/>
    <w:rsid w:val="00C36CFB"/>
    <w:rsid w:val="00C40345"/>
    <w:rsid w:val="00C40B89"/>
    <w:rsid w:val="00C43944"/>
    <w:rsid w:val="00C4424D"/>
    <w:rsid w:val="00C51021"/>
    <w:rsid w:val="00C55087"/>
    <w:rsid w:val="00C614A7"/>
    <w:rsid w:val="00C61CBD"/>
    <w:rsid w:val="00C620DC"/>
    <w:rsid w:val="00C641A8"/>
    <w:rsid w:val="00C6454B"/>
    <w:rsid w:val="00C645FA"/>
    <w:rsid w:val="00C6603E"/>
    <w:rsid w:val="00C66B27"/>
    <w:rsid w:val="00C66C58"/>
    <w:rsid w:val="00C6743B"/>
    <w:rsid w:val="00C674E5"/>
    <w:rsid w:val="00C67A59"/>
    <w:rsid w:val="00C71887"/>
    <w:rsid w:val="00C73D77"/>
    <w:rsid w:val="00C74A73"/>
    <w:rsid w:val="00C77B28"/>
    <w:rsid w:val="00C816BF"/>
    <w:rsid w:val="00C83259"/>
    <w:rsid w:val="00C84B79"/>
    <w:rsid w:val="00C85341"/>
    <w:rsid w:val="00C8573E"/>
    <w:rsid w:val="00C858B7"/>
    <w:rsid w:val="00C8635E"/>
    <w:rsid w:val="00C86FCF"/>
    <w:rsid w:val="00C90CE9"/>
    <w:rsid w:val="00C911DE"/>
    <w:rsid w:val="00C913C0"/>
    <w:rsid w:val="00C921D5"/>
    <w:rsid w:val="00C92864"/>
    <w:rsid w:val="00C93C65"/>
    <w:rsid w:val="00C95F13"/>
    <w:rsid w:val="00C9613E"/>
    <w:rsid w:val="00CA2ED9"/>
    <w:rsid w:val="00CA2F0F"/>
    <w:rsid w:val="00CA3ACB"/>
    <w:rsid w:val="00CA3DD3"/>
    <w:rsid w:val="00CA5653"/>
    <w:rsid w:val="00CA5EC1"/>
    <w:rsid w:val="00CA6CCD"/>
    <w:rsid w:val="00CA6D10"/>
    <w:rsid w:val="00CB4203"/>
    <w:rsid w:val="00CB4DE8"/>
    <w:rsid w:val="00CC1394"/>
    <w:rsid w:val="00CC2538"/>
    <w:rsid w:val="00CC3038"/>
    <w:rsid w:val="00CC3873"/>
    <w:rsid w:val="00CC4800"/>
    <w:rsid w:val="00CC5CE0"/>
    <w:rsid w:val="00CD5D9E"/>
    <w:rsid w:val="00CE15C8"/>
    <w:rsid w:val="00CE295D"/>
    <w:rsid w:val="00CE4A42"/>
    <w:rsid w:val="00CE56AE"/>
    <w:rsid w:val="00CE6A47"/>
    <w:rsid w:val="00CF27C6"/>
    <w:rsid w:val="00CF2B8B"/>
    <w:rsid w:val="00CF41EE"/>
    <w:rsid w:val="00CF4FA8"/>
    <w:rsid w:val="00CF5F51"/>
    <w:rsid w:val="00CF61B3"/>
    <w:rsid w:val="00CF780F"/>
    <w:rsid w:val="00CF784A"/>
    <w:rsid w:val="00CF7A24"/>
    <w:rsid w:val="00CF7E3D"/>
    <w:rsid w:val="00D01B24"/>
    <w:rsid w:val="00D020E2"/>
    <w:rsid w:val="00D04234"/>
    <w:rsid w:val="00D053BD"/>
    <w:rsid w:val="00D0540D"/>
    <w:rsid w:val="00D111C8"/>
    <w:rsid w:val="00D13AC8"/>
    <w:rsid w:val="00D13B83"/>
    <w:rsid w:val="00D14D51"/>
    <w:rsid w:val="00D14E3B"/>
    <w:rsid w:val="00D15BF2"/>
    <w:rsid w:val="00D1755E"/>
    <w:rsid w:val="00D20DEA"/>
    <w:rsid w:val="00D23750"/>
    <w:rsid w:val="00D23F11"/>
    <w:rsid w:val="00D2488D"/>
    <w:rsid w:val="00D32449"/>
    <w:rsid w:val="00D32E6F"/>
    <w:rsid w:val="00D34492"/>
    <w:rsid w:val="00D34DEA"/>
    <w:rsid w:val="00D37E5F"/>
    <w:rsid w:val="00D40F92"/>
    <w:rsid w:val="00D43783"/>
    <w:rsid w:val="00D46905"/>
    <w:rsid w:val="00D46EED"/>
    <w:rsid w:val="00D5329C"/>
    <w:rsid w:val="00D54889"/>
    <w:rsid w:val="00D55F40"/>
    <w:rsid w:val="00D5656D"/>
    <w:rsid w:val="00D57072"/>
    <w:rsid w:val="00D57A8D"/>
    <w:rsid w:val="00D61A59"/>
    <w:rsid w:val="00D62B87"/>
    <w:rsid w:val="00D633B6"/>
    <w:rsid w:val="00D6429F"/>
    <w:rsid w:val="00D64F6D"/>
    <w:rsid w:val="00D66D83"/>
    <w:rsid w:val="00D70758"/>
    <w:rsid w:val="00D72130"/>
    <w:rsid w:val="00D72377"/>
    <w:rsid w:val="00D72DF5"/>
    <w:rsid w:val="00D72FF4"/>
    <w:rsid w:val="00D74F7B"/>
    <w:rsid w:val="00D760EF"/>
    <w:rsid w:val="00D77F62"/>
    <w:rsid w:val="00D80239"/>
    <w:rsid w:val="00D80E2D"/>
    <w:rsid w:val="00D82C3F"/>
    <w:rsid w:val="00D85E01"/>
    <w:rsid w:val="00D86D55"/>
    <w:rsid w:val="00D871ED"/>
    <w:rsid w:val="00D942F6"/>
    <w:rsid w:val="00D94A38"/>
    <w:rsid w:val="00DA043B"/>
    <w:rsid w:val="00DA0E70"/>
    <w:rsid w:val="00DA140B"/>
    <w:rsid w:val="00DA19D8"/>
    <w:rsid w:val="00DA1E7A"/>
    <w:rsid w:val="00DA21DB"/>
    <w:rsid w:val="00DA5A00"/>
    <w:rsid w:val="00DA68B9"/>
    <w:rsid w:val="00DA6917"/>
    <w:rsid w:val="00DA7FE3"/>
    <w:rsid w:val="00DB0E86"/>
    <w:rsid w:val="00DB15BB"/>
    <w:rsid w:val="00DB21AB"/>
    <w:rsid w:val="00DB3989"/>
    <w:rsid w:val="00DB4592"/>
    <w:rsid w:val="00DB5FF7"/>
    <w:rsid w:val="00DB5FFB"/>
    <w:rsid w:val="00DB68C0"/>
    <w:rsid w:val="00DB6E30"/>
    <w:rsid w:val="00DB7636"/>
    <w:rsid w:val="00DB7B01"/>
    <w:rsid w:val="00DC0CB0"/>
    <w:rsid w:val="00DC1275"/>
    <w:rsid w:val="00DC23FE"/>
    <w:rsid w:val="00DC34B2"/>
    <w:rsid w:val="00DC4E35"/>
    <w:rsid w:val="00DC6FE7"/>
    <w:rsid w:val="00DD0417"/>
    <w:rsid w:val="00DD0DA2"/>
    <w:rsid w:val="00DD13E2"/>
    <w:rsid w:val="00DD2781"/>
    <w:rsid w:val="00DD2D53"/>
    <w:rsid w:val="00DD5971"/>
    <w:rsid w:val="00DD5DC9"/>
    <w:rsid w:val="00DE0587"/>
    <w:rsid w:val="00DE16E2"/>
    <w:rsid w:val="00DE1CF8"/>
    <w:rsid w:val="00DE33B1"/>
    <w:rsid w:val="00DE6F78"/>
    <w:rsid w:val="00DF02BC"/>
    <w:rsid w:val="00DF0AF9"/>
    <w:rsid w:val="00DF1527"/>
    <w:rsid w:val="00DF1972"/>
    <w:rsid w:val="00DF2F2C"/>
    <w:rsid w:val="00DF3485"/>
    <w:rsid w:val="00DF35CC"/>
    <w:rsid w:val="00DF51C8"/>
    <w:rsid w:val="00DF574D"/>
    <w:rsid w:val="00DF74F3"/>
    <w:rsid w:val="00DF76CD"/>
    <w:rsid w:val="00E014FE"/>
    <w:rsid w:val="00E01664"/>
    <w:rsid w:val="00E03C99"/>
    <w:rsid w:val="00E0535B"/>
    <w:rsid w:val="00E07BDB"/>
    <w:rsid w:val="00E126F6"/>
    <w:rsid w:val="00E1520C"/>
    <w:rsid w:val="00E228BF"/>
    <w:rsid w:val="00E23E06"/>
    <w:rsid w:val="00E25492"/>
    <w:rsid w:val="00E25933"/>
    <w:rsid w:val="00E259A6"/>
    <w:rsid w:val="00E26C87"/>
    <w:rsid w:val="00E270F7"/>
    <w:rsid w:val="00E2784F"/>
    <w:rsid w:val="00E31685"/>
    <w:rsid w:val="00E325CC"/>
    <w:rsid w:val="00E345C3"/>
    <w:rsid w:val="00E35ED1"/>
    <w:rsid w:val="00E374DF"/>
    <w:rsid w:val="00E37AA1"/>
    <w:rsid w:val="00E40784"/>
    <w:rsid w:val="00E40933"/>
    <w:rsid w:val="00E40AF4"/>
    <w:rsid w:val="00E40B44"/>
    <w:rsid w:val="00E426C9"/>
    <w:rsid w:val="00E43EB9"/>
    <w:rsid w:val="00E476BB"/>
    <w:rsid w:val="00E47C9E"/>
    <w:rsid w:val="00E50BCB"/>
    <w:rsid w:val="00E50C2C"/>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3ACE"/>
    <w:rsid w:val="00E7413A"/>
    <w:rsid w:val="00E7513E"/>
    <w:rsid w:val="00E755E5"/>
    <w:rsid w:val="00E81795"/>
    <w:rsid w:val="00E817D5"/>
    <w:rsid w:val="00E831CA"/>
    <w:rsid w:val="00E83DA0"/>
    <w:rsid w:val="00E8432B"/>
    <w:rsid w:val="00E85324"/>
    <w:rsid w:val="00E85A03"/>
    <w:rsid w:val="00E867AF"/>
    <w:rsid w:val="00E8788F"/>
    <w:rsid w:val="00E91735"/>
    <w:rsid w:val="00E92BF8"/>
    <w:rsid w:val="00E93579"/>
    <w:rsid w:val="00E93609"/>
    <w:rsid w:val="00E96D82"/>
    <w:rsid w:val="00E975EE"/>
    <w:rsid w:val="00E97904"/>
    <w:rsid w:val="00EA0886"/>
    <w:rsid w:val="00EA2AAB"/>
    <w:rsid w:val="00EA33F9"/>
    <w:rsid w:val="00EA3AAA"/>
    <w:rsid w:val="00EA4698"/>
    <w:rsid w:val="00EA7961"/>
    <w:rsid w:val="00EB2068"/>
    <w:rsid w:val="00EB2549"/>
    <w:rsid w:val="00EB4CDE"/>
    <w:rsid w:val="00EB5002"/>
    <w:rsid w:val="00EC01EB"/>
    <w:rsid w:val="00EC0B03"/>
    <w:rsid w:val="00EC1776"/>
    <w:rsid w:val="00EC3F2F"/>
    <w:rsid w:val="00EC4B6A"/>
    <w:rsid w:val="00EC5573"/>
    <w:rsid w:val="00ED0209"/>
    <w:rsid w:val="00ED17D5"/>
    <w:rsid w:val="00ED4829"/>
    <w:rsid w:val="00ED60C2"/>
    <w:rsid w:val="00ED64DF"/>
    <w:rsid w:val="00ED78F3"/>
    <w:rsid w:val="00ED7AA0"/>
    <w:rsid w:val="00EE03F5"/>
    <w:rsid w:val="00EE12D8"/>
    <w:rsid w:val="00EE17E6"/>
    <w:rsid w:val="00EE40D8"/>
    <w:rsid w:val="00EE44C4"/>
    <w:rsid w:val="00EE5906"/>
    <w:rsid w:val="00EF0410"/>
    <w:rsid w:val="00EF045F"/>
    <w:rsid w:val="00EF3689"/>
    <w:rsid w:val="00EF3F0F"/>
    <w:rsid w:val="00EF4D17"/>
    <w:rsid w:val="00EF536F"/>
    <w:rsid w:val="00EF6B28"/>
    <w:rsid w:val="00F00889"/>
    <w:rsid w:val="00F06A21"/>
    <w:rsid w:val="00F07427"/>
    <w:rsid w:val="00F07DC2"/>
    <w:rsid w:val="00F10958"/>
    <w:rsid w:val="00F11368"/>
    <w:rsid w:val="00F11DA0"/>
    <w:rsid w:val="00F11FB3"/>
    <w:rsid w:val="00F12705"/>
    <w:rsid w:val="00F14C9C"/>
    <w:rsid w:val="00F15EF3"/>
    <w:rsid w:val="00F1657E"/>
    <w:rsid w:val="00F16A6A"/>
    <w:rsid w:val="00F1770B"/>
    <w:rsid w:val="00F20846"/>
    <w:rsid w:val="00F2178A"/>
    <w:rsid w:val="00F22D93"/>
    <w:rsid w:val="00F2343A"/>
    <w:rsid w:val="00F23CA6"/>
    <w:rsid w:val="00F25FE1"/>
    <w:rsid w:val="00F26605"/>
    <w:rsid w:val="00F2718C"/>
    <w:rsid w:val="00F27794"/>
    <w:rsid w:val="00F31260"/>
    <w:rsid w:val="00F336DD"/>
    <w:rsid w:val="00F3424C"/>
    <w:rsid w:val="00F364A2"/>
    <w:rsid w:val="00F3773C"/>
    <w:rsid w:val="00F409ED"/>
    <w:rsid w:val="00F420D8"/>
    <w:rsid w:val="00F431CB"/>
    <w:rsid w:val="00F44637"/>
    <w:rsid w:val="00F45389"/>
    <w:rsid w:val="00F46398"/>
    <w:rsid w:val="00F46730"/>
    <w:rsid w:val="00F4708B"/>
    <w:rsid w:val="00F519F9"/>
    <w:rsid w:val="00F52366"/>
    <w:rsid w:val="00F5249C"/>
    <w:rsid w:val="00F53B53"/>
    <w:rsid w:val="00F53F38"/>
    <w:rsid w:val="00F56ECE"/>
    <w:rsid w:val="00F662D1"/>
    <w:rsid w:val="00F66A72"/>
    <w:rsid w:val="00F672EE"/>
    <w:rsid w:val="00F724FE"/>
    <w:rsid w:val="00F753BF"/>
    <w:rsid w:val="00F7575B"/>
    <w:rsid w:val="00F75846"/>
    <w:rsid w:val="00F76569"/>
    <w:rsid w:val="00F7667E"/>
    <w:rsid w:val="00F80564"/>
    <w:rsid w:val="00F82DE8"/>
    <w:rsid w:val="00F83F9F"/>
    <w:rsid w:val="00F8521C"/>
    <w:rsid w:val="00F86466"/>
    <w:rsid w:val="00F8666D"/>
    <w:rsid w:val="00F90DDA"/>
    <w:rsid w:val="00F91340"/>
    <w:rsid w:val="00F9160F"/>
    <w:rsid w:val="00F91B5F"/>
    <w:rsid w:val="00F92D09"/>
    <w:rsid w:val="00F9346E"/>
    <w:rsid w:val="00FA09FA"/>
    <w:rsid w:val="00FA1E70"/>
    <w:rsid w:val="00FA26DB"/>
    <w:rsid w:val="00FA396A"/>
    <w:rsid w:val="00FA47E2"/>
    <w:rsid w:val="00FA5B39"/>
    <w:rsid w:val="00FA6C7F"/>
    <w:rsid w:val="00FB0C4D"/>
    <w:rsid w:val="00FB1594"/>
    <w:rsid w:val="00FB2F77"/>
    <w:rsid w:val="00FB4B56"/>
    <w:rsid w:val="00FB53B1"/>
    <w:rsid w:val="00FB55E9"/>
    <w:rsid w:val="00FB5B4C"/>
    <w:rsid w:val="00FB681D"/>
    <w:rsid w:val="00FB7657"/>
    <w:rsid w:val="00FB7F64"/>
    <w:rsid w:val="00FC067E"/>
    <w:rsid w:val="00FC4083"/>
    <w:rsid w:val="00FC43C9"/>
    <w:rsid w:val="00FC4881"/>
    <w:rsid w:val="00FC584E"/>
    <w:rsid w:val="00FC7D8B"/>
    <w:rsid w:val="00FD0CEE"/>
    <w:rsid w:val="00FD1E3D"/>
    <w:rsid w:val="00FD26EE"/>
    <w:rsid w:val="00FD3A3C"/>
    <w:rsid w:val="00FD4EB1"/>
    <w:rsid w:val="00FD7EE2"/>
    <w:rsid w:val="00FE1927"/>
    <w:rsid w:val="00FE6B22"/>
    <w:rsid w:val="00FE7A66"/>
    <w:rsid w:val="00FF0836"/>
    <w:rsid w:val="00FF15F9"/>
    <w:rsid w:val="00FF2DB1"/>
    <w:rsid w:val="00FF55EA"/>
    <w:rsid w:val="00FF6EB3"/>
    <w:rsid w:val="00FF7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paragraph" w:customStyle="1" w:styleId="Citas">
    <w:name w:val="Citas"/>
    <w:basedOn w:val="Normal"/>
    <w:qFormat/>
    <w:rsid w:val="00D15BF2"/>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D15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188489191">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85438011">
      <w:bodyDiv w:val="1"/>
      <w:marLeft w:val="0"/>
      <w:marRight w:val="0"/>
      <w:marTop w:val="0"/>
      <w:marBottom w:val="0"/>
      <w:divBdr>
        <w:top w:val="none" w:sz="0" w:space="0" w:color="auto"/>
        <w:left w:val="none" w:sz="0" w:space="0" w:color="auto"/>
        <w:bottom w:val="none" w:sz="0" w:space="0" w:color="auto"/>
        <w:right w:val="none" w:sz="0" w:space="0" w:color="auto"/>
      </w:divBdr>
    </w:div>
    <w:div w:id="557282772">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58926356">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42152137">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87728756">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03399935">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46576761">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138998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89296383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saemm.gob.m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0ED0-E22D-43FD-95B9-4E945740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7589</Words>
  <Characters>41740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2021-07-11T19:49:00Z</cp:lastPrinted>
  <dcterms:created xsi:type="dcterms:W3CDTF">2021-07-11T19:50:00Z</dcterms:created>
  <dcterms:modified xsi:type="dcterms:W3CDTF">2021-08-05T00:35:00Z</dcterms:modified>
</cp:coreProperties>
</file>