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2F702454"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E64A3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4623D">
        <w:rPr>
          <w:rFonts w:ascii="Palatino Linotype" w:eastAsia="Times New Roman" w:hAnsi="Palatino Linotype" w:cs="Arial"/>
          <w:color w:val="000000"/>
          <w:sz w:val="24"/>
          <w:szCs w:val="24"/>
          <w:lang w:eastAsia="es-MX"/>
        </w:rPr>
        <w:t xml:space="preserve">seis de octubre de dos mil veintiuno. </w:t>
      </w:r>
      <w:r w:rsidR="0018726A">
        <w:rPr>
          <w:rFonts w:ascii="Palatino Linotype" w:eastAsia="Times New Roman" w:hAnsi="Palatino Linotype" w:cs="Arial"/>
          <w:color w:val="000000"/>
          <w:sz w:val="24"/>
          <w:szCs w:val="24"/>
          <w:lang w:eastAsia="es-MX"/>
        </w:rPr>
        <w:t xml:space="preserve"> </w:t>
      </w:r>
      <w:r w:rsidR="003869DF">
        <w:rPr>
          <w:rFonts w:ascii="Palatino Linotype" w:eastAsia="Times New Roman" w:hAnsi="Palatino Linotype" w:cs="Arial"/>
          <w:color w:val="000000"/>
          <w:sz w:val="24"/>
          <w:szCs w:val="24"/>
          <w:lang w:eastAsia="es-MX"/>
        </w:rPr>
        <w:t xml:space="preserve"> </w:t>
      </w:r>
      <w:r w:rsidR="006323CA">
        <w:rPr>
          <w:rFonts w:ascii="Palatino Linotype" w:eastAsia="Times New Roman" w:hAnsi="Palatino Linotype" w:cs="Arial"/>
          <w:color w:val="000000"/>
          <w:sz w:val="24"/>
          <w:szCs w:val="24"/>
          <w:lang w:eastAsia="es-MX"/>
        </w:rPr>
        <w:t xml:space="preserve"> </w:t>
      </w:r>
    </w:p>
    <w:p w14:paraId="50DDC256" w14:textId="2309864B" w:rsidR="00E322B3" w:rsidRPr="00E322B3" w:rsidRDefault="006168E4" w:rsidP="00844569">
      <w:pPr>
        <w:tabs>
          <w:tab w:val="left" w:pos="1701"/>
        </w:tabs>
        <w:spacing w:before="240" w:line="360" w:lineRule="auto"/>
        <w:jc w:val="both"/>
        <w:rPr>
          <w:rFonts w:ascii="Palatino Linotype" w:hAnsi="Palatino Linotype" w:cs="Arial"/>
          <w:sz w:val="24"/>
          <w:szCs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E322B3">
        <w:rPr>
          <w:rFonts w:ascii="Palatino Linotype" w:hAnsi="Palatino Linotype" w:cs="Arial"/>
          <w:b/>
          <w:bCs/>
          <w:sz w:val="24"/>
          <w:lang w:eastAsia="es-MX"/>
        </w:rPr>
        <w:t>4100</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w:t>
      </w:r>
      <w:r w:rsidR="00EC3C36">
        <w:rPr>
          <w:rFonts w:ascii="Palatino Linotype" w:hAnsi="Palatino Linotype" w:cs="Arial"/>
          <w:b/>
          <w:bCs/>
          <w:sz w:val="24"/>
          <w:lang w:eastAsia="es-MX"/>
        </w:rPr>
        <w:t>21</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E322B3">
        <w:rPr>
          <w:rFonts w:ascii="Palatino Linotype" w:hAnsi="Palatino Linotype" w:cs="Arial"/>
          <w:sz w:val="24"/>
          <w:szCs w:val="24"/>
        </w:rPr>
        <w:t xml:space="preserve">un particular, en lo subsecuente </w:t>
      </w:r>
      <w:r w:rsidR="00E322B3">
        <w:rPr>
          <w:rFonts w:ascii="Palatino Linotype" w:hAnsi="Palatino Linotype" w:cs="Arial"/>
          <w:b/>
          <w:sz w:val="24"/>
          <w:szCs w:val="24"/>
        </w:rPr>
        <w:t xml:space="preserve">El Recurrente, </w:t>
      </w:r>
      <w:r w:rsidR="00E322B3">
        <w:rPr>
          <w:rFonts w:ascii="Palatino Linotype" w:hAnsi="Palatino Linotype" w:cs="Arial"/>
          <w:sz w:val="24"/>
          <w:szCs w:val="24"/>
        </w:rPr>
        <w:t xml:space="preserve">en contra de la respuesta de la </w:t>
      </w:r>
      <w:r w:rsidR="00E322B3">
        <w:rPr>
          <w:rFonts w:ascii="Palatino Linotype" w:hAnsi="Palatino Linotype" w:cs="Arial"/>
          <w:b/>
          <w:sz w:val="24"/>
          <w:szCs w:val="24"/>
        </w:rPr>
        <w:t xml:space="preserve">Secretaría de Cultura y Turismo, </w:t>
      </w:r>
      <w:r w:rsidR="00E322B3">
        <w:rPr>
          <w:rFonts w:ascii="Palatino Linotype" w:hAnsi="Palatino Linotype" w:cs="Arial"/>
          <w:sz w:val="24"/>
          <w:szCs w:val="24"/>
        </w:rPr>
        <w:t xml:space="preserve">en lo subsecuente </w:t>
      </w:r>
      <w:r w:rsidR="00E322B3">
        <w:rPr>
          <w:rFonts w:ascii="Palatino Linotype" w:hAnsi="Palatino Linotype" w:cs="Arial"/>
          <w:b/>
          <w:sz w:val="24"/>
          <w:szCs w:val="24"/>
        </w:rPr>
        <w:t xml:space="preserve">El Sujeto Obligado, </w:t>
      </w:r>
      <w:r w:rsidR="00E322B3">
        <w:rPr>
          <w:rFonts w:ascii="Palatino Linotype" w:hAnsi="Palatino Linotype" w:cs="Arial"/>
          <w:sz w:val="24"/>
          <w:szCs w:val="24"/>
        </w:rPr>
        <w:t xml:space="preserve">se procede a dictar la presente resolución. </w:t>
      </w:r>
    </w:p>
    <w:p w14:paraId="3B58C095" w14:textId="77777777" w:rsidR="00E322B3" w:rsidRDefault="00E322B3" w:rsidP="00844569">
      <w:pPr>
        <w:tabs>
          <w:tab w:val="left" w:pos="1701"/>
        </w:tabs>
        <w:spacing w:before="240" w:line="360" w:lineRule="auto"/>
        <w:jc w:val="both"/>
        <w:rPr>
          <w:rFonts w:ascii="Palatino Linotype" w:hAnsi="Palatino Linotype" w:cs="Arial"/>
          <w:sz w:val="24"/>
          <w:szCs w:val="24"/>
        </w:rPr>
      </w:pPr>
    </w:p>
    <w:p w14:paraId="39A8E1A3" w14:textId="7B30AA56"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1EE5021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3F71C0F7" w14:textId="18609E77" w:rsidR="00E322B3"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F4623D">
        <w:rPr>
          <w:rFonts w:ascii="Palatino Linotype" w:hAnsi="Palatino Linotype" w:cs="Arial"/>
          <w:sz w:val="24"/>
        </w:rPr>
        <w:t xml:space="preserve"> </w:t>
      </w:r>
      <w:r w:rsidR="00E322B3">
        <w:rPr>
          <w:rFonts w:ascii="Palatino Linotype" w:hAnsi="Palatino Linotype" w:cs="Arial"/>
          <w:sz w:val="24"/>
        </w:rPr>
        <w:t xml:space="preserve">dos de agosto de dos mil veintiuno, </w:t>
      </w:r>
      <w:r w:rsidR="00E322B3">
        <w:rPr>
          <w:rFonts w:ascii="Palatino Linotype" w:hAnsi="Palatino Linotype" w:cs="Arial"/>
          <w:b/>
          <w:sz w:val="24"/>
        </w:rPr>
        <w:t xml:space="preserve">El Recurrente, </w:t>
      </w:r>
      <w:r w:rsidR="00E322B3">
        <w:rPr>
          <w:rFonts w:ascii="Palatino Linotype" w:hAnsi="Palatino Linotype" w:cs="Arial"/>
          <w:sz w:val="24"/>
        </w:rPr>
        <w:t>presentó a través del Sistema de Acceso a la Información Mexiquense (</w:t>
      </w:r>
      <w:r w:rsidR="00E322B3">
        <w:rPr>
          <w:rFonts w:ascii="Palatino Linotype" w:hAnsi="Palatino Linotype" w:cs="Arial"/>
          <w:b/>
          <w:sz w:val="24"/>
        </w:rPr>
        <w:t>SAIMEX)</w:t>
      </w:r>
      <w:r w:rsidR="00E322B3">
        <w:rPr>
          <w:rFonts w:ascii="Palatino Linotype" w:hAnsi="Palatino Linotype" w:cs="Arial"/>
          <w:sz w:val="24"/>
        </w:rPr>
        <w:t xml:space="preserve"> ante </w:t>
      </w:r>
      <w:r w:rsidR="00E322B3">
        <w:rPr>
          <w:rFonts w:ascii="Palatino Linotype" w:hAnsi="Palatino Linotype" w:cs="Arial"/>
          <w:b/>
          <w:sz w:val="24"/>
        </w:rPr>
        <w:t>El Sujeto Obligado</w:t>
      </w:r>
      <w:r w:rsidR="00E322B3">
        <w:rPr>
          <w:rFonts w:ascii="Palatino Linotype" w:hAnsi="Palatino Linotype" w:cs="Arial"/>
          <w:sz w:val="24"/>
        </w:rPr>
        <w:t xml:space="preserve">, solicitud de acceso a la información pública, registrada bajo el número de expediente </w:t>
      </w:r>
      <w:r w:rsidR="00E322B3">
        <w:rPr>
          <w:rFonts w:ascii="Palatino Linotype" w:hAnsi="Palatino Linotype" w:cs="Arial"/>
          <w:b/>
          <w:sz w:val="24"/>
        </w:rPr>
        <w:t xml:space="preserve">00100/SCTUR/IP/2021, </w:t>
      </w:r>
      <w:r w:rsidR="00E322B3">
        <w:rPr>
          <w:rFonts w:ascii="Palatino Linotype" w:hAnsi="Palatino Linotype" w:cs="Arial"/>
          <w:sz w:val="24"/>
        </w:rPr>
        <w:t xml:space="preserve">mediante la cual solicitó información en el tenor siguiente: </w:t>
      </w:r>
    </w:p>
    <w:p w14:paraId="4DABF7C6" w14:textId="55CD1D4A" w:rsidR="00E322B3" w:rsidRPr="00E322B3" w:rsidRDefault="00E322B3" w:rsidP="00E322B3">
      <w:pPr>
        <w:pStyle w:val="Citas"/>
        <w:rPr>
          <w:b/>
          <w:sz w:val="24"/>
        </w:rPr>
      </w:pPr>
      <w:r>
        <w:t xml:space="preserve">“De acuerdo al Avance financiero mensual por unidad responsable y objeto de gasto de esta dependencia del 2020, se autorizaron 690 mil 440.77 pesos para la compra de Árboles y plantas de ornato, en la partida presupuestal 248. Por ello solicito a esta dependencia el desglose de ese gasto de ese año, de 2017, 2018, 2019 y lo que va del 2021, es decir, cuántas se compraron, costo por unidad, empresa o vendedor, proceso de licitación, etc.” </w:t>
      </w:r>
      <w:r>
        <w:rPr>
          <w:b/>
        </w:rPr>
        <w:t xml:space="preserve">[Sic] </w:t>
      </w:r>
    </w:p>
    <w:p w14:paraId="73DDF68A" w14:textId="5E7DB1EA" w:rsidR="00F462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lastRenderedPageBreak/>
        <w:t>Modalidad de entrega:</w:t>
      </w:r>
      <w:r w:rsidRPr="00CA1161">
        <w:rPr>
          <w:rFonts w:ascii="Palatino Linotype" w:eastAsia="Times New Roman" w:hAnsi="Palatino Linotype" w:cs="Times New Roman"/>
          <w:sz w:val="24"/>
          <w:szCs w:val="24"/>
          <w:lang w:val="es-ES_tradnl" w:eastAsia="es-ES"/>
        </w:rPr>
        <w:t xml:space="preserve"> </w:t>
      </w:r>
      <w:r w:rsidR="0018726A">
        <w:rPr>
          <w:rFonts w:ascii="Palatino Linotype" w:eastAsia="Times New Roman" w:hAnsi="Palatino Linotype" w:cs="Times New Roman"/>
          <w:sz w:val="24"/>
          <w:szCs w:val="24"/>
          <w:lang w:val="es-ES_tradnl" w:eastAsia="es-ES"/>
        </w:rPr>
        <w:t xml:space="preserve">A </w:t>
      </w:r>
      <w:r w:rsidR="00F4623D">
        <w:rPr>
          <w:rFonts w:ascii="Palatino Linotype" w:eastAsia="Times New Roman" w:hAnsi="Palatino Linotype" w:cs="Times New Roman"/>
          <w:sz w:val="24"/>
          <w:szCs w:val="24"/>
          <w:lang w:val="es-ES_tradnl" w:eastAsia="es-ES"/>
        </w:rPr>
        <w:t xml:space="preserve">través del SAIMEX. </w:t>
      </w:r>
    </w:p>
    <w:p w14:paraId="171F5299" w14:textId="77777777" w:rsidR="00F4623D" w:rsidRDefault="00F4623D" w:rsidP="00F4623D">
      <w:pPr>
        <w:spacing w:before="240" w:line="360" w:lineRule="auto"/>
        <w:ind w:right="850"/>
        <w:jc w:val="both"/>
        <w:rPr>
          <w:rFonts w:ascii="Palatino Linotype" w:hAnsi="Palatino Linotype" w:cs="Arial"/>
          <w:b/>
          <w:sz w:val="28"/>
        </w:rPr>
      </w:pPr>
    </w:p>
    <w:p w14:paraId="1B7C3267" w14:textId="37E99483" w:rsidR="006168E4" w:rsidRDefault="006323CA"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38E97CA5" w14:textId="0D9B949F" w:rsidR="00E322B3"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el </w:t>
      </w:r>
      <w:r w:rsidR="00E322B3">
        <w:rPr>
          <w:rFonts w:ascii="Palatino Linotype" w:hAnsi="Palatino Linotype" w:cs="Arial"/>
          <w:sz w:val="24"/>
          <w:szCs w:val="24"/>
        </w:rPr>
        <w:t xml:space="preserve">dieciocho de agosto de dos mil veintiuno, </w:t>
      </w:r>
      <w:r w:rsidR="00E322B3">
        <w:rPr>
          <w:rFonts w:ascii="Palatino Linotype" w:hAnsi="Palatino Linotype" w:cs="Arial"/>
          <w:b/>
          <w:sz w:val="24"/>
          <w:szCs w:val="24"/>
        </w:rPr>
        <w:t xml:space="preserve">El Sujeto Obligado </w:t>
      </w:r>
      <w:r w:rsidR="00E322B3">
        <w:rPr>
          <w:rFonts w:ascii="Palatino Linotype" w:hAnsi="Palatino Linotype" w:cs="Arial"/>
          <w:sz w:val="24"/>
          <w:szCs w:val="24"/>
        </w:rPr>
        <w:t xml:space="preserve">dio respuesta a la solicitud de información </w:t>
      </w:r>
      <w:r w:rsidR="00E322B3">
        <w:rPr>
          <w:rFonts w:ascii="Palatino Linotype" w:hAnsi="Palatino Linotype" w:cs="Arial"/>
          <w:b/>
          <w:sz w:val="24"/>
          <w:szCs w:val="24"/>
        </w:rPr>
        <w:t xml:space="preserve">00100/SCTUR/IP/2021, </w:t>
      </w:r>
      <w:r w:rsidR="00E322B3">
        <w:rPr>
          <w:rFonts w:ascii="Palatino Linotype" w:hAnsi="Palatino Linotype" w:cs="Arial"/>
          <w:sz w:val="24"/>
          <w:szCs w:val="24"/>
        </w:rPr>
        <w:t xml:space="preserve">resulta de nuestro interés lo siguiente: </w:t>
      </w:r>
    </w:p>
    <w:p w14:paraId="2F7FF274" w14:textId="0BD13CDD" w:rsidR="00E322B3" w:rsidRDefault="00E322B3" w:rsidP="00E322B3">
      <w:pPr>
        <w:pStyle w:val="Citas"/>
        <w:rPr>
          <w:lang w:eastAsia="es-MX"/>
        </w:rPr>
      </w:pPr>
      <w:r>
        <w:rPr>
          <w:lang w:eastAsia="es-MX"/>
        </w:rPr>
        <w:t xml:space="preserve">“En </w:t>
      </w:r>
      <w:r w:rsidRPr="00E322B3">
        <w:rPr>
          <w:lang w:eastAsia="es-MX"/>
        </w:rPr>
        <w:t>respuesta a la solicitud recibida, nos permitimos hacer de su conocimiento que con fundamento en el artículo 53, Fracciones: II, V y VI de la Ley de Transparencia y Acceso a la Información Pública del Estado de México y Municipios, le contestamos que:</w:t>
      </w:r>
    </w:p>
    <w:p w14:paraId="65F35CB1" w14:textId="18B209AB" w:rsidR="00E322B3" w:rsidRPr="00E322B3" w:rsidRDefault="00E322B3" w:rsidP="00E322B3">
      <w:pPr>
        <w:pStyle w:val="Citas"/>
        <w:rPr>
          <w:b/>
          <w:lang w:eastAsia="es-MX"/>
        </w:rPr>
      </w:pPr>
      <w:r>
        <w:rPr>
          <w:lang w:eastAsia="es-MX"/>
        </w:rPr>
        <w:t xml:space="preserve">EN </w:t>
      </w:r>
      <w:r w:rsidRPr="00E322B3">
        <w:rPr>
          <w:lang w:eastAsia="es-MX"/>
        </w:rPr>
        <w:t xml:space="preserve">OBSERVANCIA AL ARTÍCULO ARTÍCULOS 53, 59 FRACCIÓN II DE LA LEY DE TRANSPARENCIA Y ACCESO A LA INFORMACIÓN PÚBLICA DEL ESTADO DE MÉXICO Y MUNICIPIOS; ME PERMITO DAR CONTESTACIÓN EN TIEMPO Y FORMA, BAJO LOS SIGUIENTES ARGUMENTOS: 1. POR LO QUE RESPECTA AL DESGLOSE DE GASTOS SEÑALADO POR EL CIUDADANO (CUÁNTAS SE COMPRARON, COSTO POR UNIDAD, EMPRESA O VENDEDOR, PROCESO DE LICITACIÓN), CORRESPONDIENTE AL EJERCICIO FISCAL 2017, 2018, 2019, 2020 Y 2021, </w:t>
      </w:r>
      <w:r w:rsidRPr="00446F3F">
        <w:rPr>
          <w:b/>
          <w:u w:val="single"/>
          <w:lang w:eastAsia="es-MX"/>
        </w:rPr>
        <w:t>EN CUANTO A LA PARTIDA 248. CABE SEÑALAR, QUE EL MANUAL ÚNICO DE CONTABILIDAD GUBERNAMENTAL PARA LAS DEPENDENCIAS Y ENTIDADES PÚBLICAS DEL GOBIERNO Y MUNICIPIOS DEL ESTADO DE MÉXICO, NO CONTEMPLA DICHA PARTIDA.</w:t>
      </w:r>
      <w:r w:rsidRPr="00E322B3">
        <w:rPr>
          <w:lang w:eastAsia="es-MX"/>
        </w:rPr>
        <w:t xml:space="preserve"> POR LO TANTO, NO SE PUEDE</w:t>
      </w:r>
      <w:bookmarkStart w:id="0" w:name="_GoBack"/>
      <w:bookmarkEnd w:id="0"/>
      <w:r w:rsidRPr="00E322B3">
        <w:rPr>
          <w:lang w:eastAsia="es-MX"/>
        </w:rPr>
        <w:t xml:space="preserve"> DESCRIBIR EN LOS </w:t>
      </w:r>
      <w:r w:rsidRPr="00E322B3">
        <w:rPr>
          <w:lang w:eastAsia="es-MX"/>
        </w:rPr>
        <w:lastRenderedPageBreak/>
        <w:t>TÉRMINOS SOLICITADOS</w:t>
      </w:r>
      <w:r w:rsidRPr="00446F3F">
        <w:rPr>
          <w:b/>
          <w:u w:val="single"/>
          <w:lang w:eastAsia="es-MX"/>
        </w:rPr>
        <w:t>. 2. EN LO REFERENTE A LOS PROCESOS DE LICITACIÓN, ESTOS SON SUSTANCIADOS POR LA DIRECCIÓN GENERAL DE RECURSOS MATERIALES DE LA SECRETARÍA DE FINANZAS DEL GOBIERNO DEL ESTADO DE MÉXICO, EN OBSERVANCIA EN LA LEY DE CONTRATACIÓN PÚBLICA DEL ESTADO DE MÉXICO Y MUNICIPIOS, ASÍ COMO, EN EL ACUERDO POR EL QUE SE ESTABLECEN LAS POLÍTICAS, BASES Y LINEAMIENTOS EN MATERIA DE ADQUISICIONES, ARRENDAMIENTOS Y SERVICIOS DE LAS DEPENDENCIAS DEL PODER EJECUTIVO DEL GOBIERNO DEL ESTADO DE MÉXICO”</w:t>
      </w:r>
      <w:r>
        <w:rPr>
          <w:lang w:eastAsia="es-MX"/>
        </w:rPr>
        <w:t xml:space="preserve"> </w:t>
      </w:r>
      <w:r>
        <w:rPr>
          <w:b/>
          <w:lang w:eastAsia="es-MX"/>
        </w:rPr>
        <w:t xml:space="preserve">[Sic] </w:t>
      </w:r>
    </w:p>
    <w:p w14:paraId="4437CDB7" w14:textId="77777777" w:rsidR="00E322B3" w:rsidRDefault="00E322B3" w:rsidP="00045379">
      <w:pPr>
        <w:spacing w:before="240" w:line="360" w:lineRule="auto"/>
        <w:jc w:val="both"/>
        <w:rPr>
          <w:rFonts w:ascii="Palatino Linotype" w:hAnsi="Palatino Linotype" w:cs="Arial"/>
          <w:sz w:val="24"/>
          <w:szCs w:val="24"/>
        </w:rPr>
      </w:pPr>
    </w:p>
    <w:p w14:paraId="37F573AF" w14:textId="0D7336A5" w:rsidR="006168E4" w:rsidRDefault="00774A9C"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012991EF" w14:textId="38BEE60F" w:rsidR="00E322B3"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F4623D">
        <w:rPr>
          <w:rFonts w:ascii="Palatino Linotype" w:hAnsi="Palatino Linotype" w:cs="Arial"/>
          <w:b/>
          <w:sz w:val="24"/>
          <w:szCs w:val="24"/>
        </w:rPr>
        <w:t>El</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E322B3">
        <w:rPr>
          <w:rFonts w:ascii="Palatino Linotype" w:hAnsi="Palatino Linotype" w:cs="Arial"/>
          <w:sz w:val="24"/>
          <w:szCs w:val="24"/>
        </w:rPr>
        <w:t xml:space="preserve"> veinte de agosto de dos mil veintiuno, el cual fue registrado en el sistema electrónico con el expediente número </w:t>
      </w:r>
      <w:r w:rsidR="00E322B3">
        <w:rPr>
          <w:rFonts w:ascii="Palatino Linotype" w:hAnsi="Palatino Linotype" w:cs="Arial"/>
          <w:b/>
          <w:sz w:val="24"/>
          <w:szCs w:val="24"/>
        </w:rPr>
        <w:t xml:space="preserve">04100/INFOEM/IP/RR/2021, </w:t>
      </w:r>
      <w:r w:rsidR="00E322B3">
        <w:rPr>
          <w:rFonts w:ascii="Palatino Linotype" w:hAnsi="Palatino Linotype" w:cs="Arial"/>
          <w:sz w:val="24"/>
          <w:szCs w:val="24"/>
        </w:rPr>
        <w:t xml:space="preserve">en el cual arguye las siguientes manifestaciones: </w:t>
      </w:r>
    </w:p>
    <w:p w14:paraId="3774298B"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E6A8AF1" w14:textId="59F66060" w:rsidR="006168E4" w:rsidRPr="00AA207C" w:rsidRDefault="006168E4" w:rsidP="00AA207C">
      <w:pPr>
        <w:pStyle w:val="Citas"/>
        <w:rPr>
          <w:b/>
        </w:rPr>
      </w:pPr>
      <w:r w:rsidRPr="00E322B3">
        <w:t>“</w:t>
      </w:r>
      <w:r w:rsidR="00E322B3" w:rsidRPr="00E322B3">
        <w:t xml:space="preserve">La secretaria respondió: "QUE EL MANUAL ÚNICO DE CONTABILIDAD GUBERNAMENTAL PARA LAS DEPENDENCIAS Y ENTIDADES PÚBLICAS DEL GOBIERNO Y MUNICIPIOS DEL ESTADO DE MÉXICO, NO CONTEMPLA DICHA PARTIDA. POR LO TANTO, NO SE PUEDE DESCRIBIR EN LOS TÉRMINOS SOLICITADOS"; sin embargo en el avance presupuesta global (se adjunta) que se publica a través de la página de la secretaría </w:t>
      </w:r>
      <w:r w:rsidR="00E322B3" w:rsidRPr="00E322B3">
        <w:lastRenderedPageBreak/>
        <w:t xml:space="preserve">de finanzas la partida existe, misma que la secretaria de cultura ha usado, por lo que solicito se responda la información solicitada que es: De acuerdo al Avance financiero mensual por unidad responsable y objeto de gasto de esta dependencia del 2020, se autorizaron 690 mil 440.77 pesos para la compra de Árboles y plantas de ornato, en la partida presupuestal 248. Por ello solicito a esta dependencia el desglose de ese gasto de ese año, de 2017, 2018, 2019 y lo que va del 2021, es decir, cuántas se compraron, costo por unidad, empresa o vendedor, proceso de licitación, etc. o en su defecto especifica en que se </w:t>
      </w:r>
      <w:proofErr w:type="spellStart"/>
      <w:r w:rsidR="00E322B3" w:rsidRPr="00E322B3">
        <w:t>uso</w:t>
      </w:r>
      <w:proofErr w:type="spellEnd"/>
      <w:r w:rsidR="00E322B3" w:rsidRPr="00E322B3">
        <w:t xml:space="preserve"> ese dinero aprobado para dicha partida </w:t>
      </w:r>
      <w:proofErr w:type="spellStart"/>
      <w:r w:rsidR="00E322B3" w:rsidRPr="00E322B3">
        <w:t>presupuesta</w:t>
      </w:r>
      <w:proofErr w:type="spellEnd"/>
      <w:r w:rsidR="00E322B3" w:rsidRPr="00E322B3">
        <w:t>.</w:t>
      </w:r>
      <w:r w:rsidRPr="00E322B3">
        <w:t>”</w:t>
      </w:r>
      <w:r w:rsidR="00454CE6" w:rsidRPr="00AA207C">
        <w:t xml:space="preserve"> </w:t>
      </w:r>
      <w:r w:rsidR="00E322B3" w:rsidRPr="00E322B3">
        <w:rPr>
          <w:b/>
        </w:rPr>
        <w:t>[</w:t>
      </w:r>
      <w:r w:rsidR="00AA207C">
        <w:rPr>
          <w:b/>
        </w:rPr>
        <w:t>Sic]</w:t>
      </w:r>
    </w:p>
    <w:p w14:paraId="01878A36" w14:textId="77777777" w:rsidR="00DC168A" w:rsidRPr="000B426F" w:rsidRDefault="00DC168A" w:rsidP="00DC168A">
      <w:pPr>
        <w:jc w:val="both"/>
      </w:pPr>
    </w:p>
    <w:p w14:paraId="22A465C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7E1F550" w14:textId="09BC8585" w:rsidR="00DB5E40" w:rsidRDefault="00EE2C8C" w:rsidP="00AA207C">
      <w:pPr>
        <w:pStyle w:val="Citas"/>
        <w:rPr>
          <w:b/>
        </w:rPr>
      </w:pPr>
      <w:r w:rsidRPr="00E322B3">
        <w:t>“</w:t>
      </w:r>
      <w:r w:rsidR="00E322B3" w:rsidRPr="00E322B3">
        <w:t xml:space="preserve">La secretaria respondió: "QUE EL MANUAL ÚNICO DE CONTABILIDAD GUBERNAMENTAL PARA LAS DEPENDENCIAS Y ENTIDADES PÚBLICAS DEL GOBIERNO Y MUNICIPIOS DEL ESTADO DE MÉXICO, NO CONTEMPLA DICHA PARTIDA. POR LO TANTO, NO SE PUEDE DESCRIBIR EN LOS TÉRMINOS SOLICITADOS"; sin embargo en el avance presupuesta global (se adjunta) que se publica a través de la página de la secretaría de finanzas la partida existe, misma que la secretaria de cultura ha usado, por lo que solicito se responda la información solicitada que es: De acuerdo al Avance financiero mensual por unidad responsable y objeto de gasto de esta dependencia del 2020, se autorizaron 690 mil 440.77 pesos para la compra de Árboles y plantas de ornato, en la partida presupuestal 248. Por ello solicito a esta dependencia el desglose de ese gasto de ese año, de 2017, 2018, 2019 y lo que va del 2021, es decir, cuántas se compraron, costo por unidad, empresa o vendedor, proceso de licitación, etc. o en su </w:t>
      </w:r>
      <w:r w:rsidR="00E322B3" w:rsidRPr="00E322B3">
        <w:lastRenderedPageBreak/>
        <w:t xml:space="preserve">defecto especifica en que se </w:t>
      </w:r>
      <w:proofErr w:type="spellStart"/>
      <w:r w:rsidR="00E322B3" w:rsidRPr="00E322B3">
        <w:t>uso</w:t>
      </w:r>
      <w:proofErr w:type="spellEnd"/>
      <w:r w:rsidR="00E322B3" w:rsidRPr="00E322B3">
        <w:t xml:space="preserve"> ese dinero aprobado para dicha partida </w:t>
      </w:r>
      <w:proofErr w:type="spellStart"/>
      <w:r w:rsidR="00E322B3" w:rsidRPr="00E322B3">
        <w:t>presupuesta</w:t>
      </w:r>
      <w:proofErr w:type="spellEnd"/>
      <w:r w:rsidR="00E322B3" w:rsidRPr="00E322B3">
        <w:t>.</w:t>
      </w:r>
      <w:r w:rsidR="00AA207C" w:rsidRPr="00E322B3">
        <w:t>”</w:t>
      </w:r>
      <w:r w:rsidR="00AA207C">
        <w:t xml:space="preserve"> </w:t>
      </w:r>
      <w:r w:rsidR="00AA207C">
        <w:rPr>
          <w:b/>
        </w:rPr>
        <w:t>[Sic]</w:t>
      </w:r>
    </w:p>
    <w:p w14:paraId="60FF8009" w14:textId="7A3DA1C1" w:rsidR="00AA207C" w:rsidRPr="00E322B3" w:rsidRDefault="00E322B3" w:rsidP="00E322B3">
      <w:pPr>
        <w:pStyle w:val="Citas"/>
        <w:ind w:left="0" w:right="0"/>
        <w:rPr>
          <w:i w:val="0"/>
          <w:sz w:val="24"/>
          <w:szCs w:val="24"/>
        </w:rPr>
      </w:pPr>
      <w:r>
        <w:rPr>
          <w:i w:val="0"/>
          <w:sz w:val="24"/>
          <w:szCs w:val="24"/>
        </w:rPr>
        <w:t xml:space="preserve">Adicionalmente, el particular adjuntó los documentos electrónicos </w:t>
      </w:r>
      <w:r>
        <w:rPr>
          <w:b/>
          <w:i w:val="0"/>
          <w:sz w:val="24"/>
          <w:szCs w:val="24"/>
        </w:rPr>
        <w:t xml:space="preserve">“PARTIDA PRESUPUESTAL copia.png” </w:t>
      </w:r>
      <w:r>
        <w:rPr>
          <w:i w:val="0"/>
          <w:sz w:val="24"/>
          <w:szCs w:val="24"/>
        </w:rPr>
        <w:t xml:space="preserve">y </w:t>
      </w:r>
      <w:r>
        <w:rPr>
          <w:b/>
          <w:i w:val="0"/>
          <w:sz w:val="24"/>
          <w:szCs w:val="24"/>
        </w:rPr>
        <w:t xml:space="preserve">“partida </w:t>
      </w:r>
      <w:proofErr w:type="spellStart"/>
      <w:r>
        <w:rPr>
          <w:b/>
          <w:i w:val="0"/>
          <w:sz w:val="24"/>
          <w:szCs w:val="24"/>
        </w:rPr>
        <w:t>presupuesta</w:t>
      </w:r>
      <w:proofErr w:type="spellEnd"/>
      <w:r>
        <w:rPr>
          <w:b/>
          <w:i w:val="0"/>
          <w:sz w:val="24"/>
          <w:szCs w:val="24"/>
        </w:rPr>
        <w:t xml:space="preserve"> Arboles y plantas.png”, </w:t>
      </w:r>
      <w:r>
        <w:rPr>
          <w:i w:val="0"/>
          <w:sz w:val="24"/>
          <w:szCs w:val="24"/>
        </w:rPr>
        <w:t xml:space="preserve">cuyo contenido será materia de estudio en el considerando respectivo. </w:t>
      </w:r>
    </w:p>
    <w:p w14:paraId="69E1D536" w14:textId="77777777" w:rsidR="00E322B3" w:rsidRPr="00AA207C" w:rsidRDefault="00E322B3" w:rsidP="00AA207C">
      <w:pPr>
        <w:pStyle w:val="Citas"/>
        <w:rPr>
          <w:b/>
        </w:rPr>
      </w:pPr>
    </w:p>
    <w:p w14:paraId="7E88DE81" w14:textId="5F87B745" w:rsidR="006168E4"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63CCE915" w14:textId="677C039E"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18726A">
        <w:rPr>
          <w:rFonts w:ascii="Palatino Linotype" w:hAnsi="Palatino Linotype" w:cs="Arial"/>
          <w:sz w:val="24"/>
          <w:szCs w:val="24"/>
        </w:rPr>
        <w:t>al Comisionado</w:t>
      </w:r>
      <w:r>
        <w:rPr>
          <w:rFonts w:ascii="Palatino Linotype" w:hAnsi="Palatino Linotype" w:cs="Arial"/>
          <w:sz w:val="24"/>
          <w:szCs w:val="24"/>
        </w:rPr>
        <w:t xml:space="preserve"> </w:t>
      </w:r>
      <w:r w:rsidR="000E5F05">
        <w:rPr>
          <w:rFonts w:ascii="Palatino Linotype" w:hAnsi="Palatino Linotype" w:cs="Arial"/>
          <w:b/>
          <w:sz w:val="24"/>
          <w:szCs w:val="24"/>
        </w:rPr>
        <w:t>José Martínez Vilchis</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Pr>
          <w:rFonts w:ascii="Palatino Linotype" w:hAnsi="Palatino Linotype" w:cs="Arial"/>
          <w:sz w:val="24"/>
          <w:szCs w:val="24"/>
        </w:rPr>
        <w:t xml:space="preserve"> </w:t>
      </w:r>
      <w:r w:rsidR="00D904DA">
        <w:rPr>
          <w:rFonts w:ascii="Palatino Linotype" w:hAnsi="Palatino Linotype" w:cs="Arial"/>
          <w:sz w:val="24"/>
          <w:szCs w:val="24"/>
        </w:rPr>
        <w:t xml:space="preserve">veinticinco de agosto de dos mil veintiuno, </w:t>
      </w:r>
      <w:r>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Default="005E46D0" w:rsidP="00844569">
      <w:pPr>
        <w:spacing w:before="240" w:line="360" w:lineRule="auto"/>
        <w:jc w:val="both"/>
        <w:rPr>
          <w:rFonts w:ascii="Palatino Linotype" w:hAnsi="Palatino Linotype" w:cs="Arial"/>
          <w:sz w:val="24"/>
          <w:szCs w:val="24"/>
        </w:rPr>
      </w:pPr>
    </w:p>
    <w:p w14:paraId="4BCFD455" w14:textId="249654CB" w:rsidR="006168E4" w:rsidRPr="00B07D6D" w:rsidRDefault="00774A9C"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6168E4" w:rsidRPr="00B07D6D">
        <w:rPr>
          <w:rFonts w:ascii="Palatino Linotype" w:hAnsi="Palatino Linotype" w:cs="Arial"/>
          <w:b/>
          <w:sz w:val="24"/>
          <w:szCs w:val="24"/>
        </w:rPr>
        <w:t xml:space="preserve">. </w:t>
      </w:r>
      <w:r w:rsidR="006168E4" w:rsidRPr="00B07D6D">
        <w:rPr>
          <w:rFonts w:ascii="Palatino Linotype" w:hAnsi="Palatino Linotype" w:cs="Arial"/>
          <w:b/>
          <w:sz w:val="28"/>
          <w:szCs w:val="28"/>
        </w:rPr>
        <w:t>De la etapa de instrucción.</w:t>
      </w:r>
    </w:p>
    <w:p w14:paraId="161458F1" w14:textId="0A3D13CD" w:rsidR="00D904DA" w:rsidRPr="00965139" w:rsidRDefault="00D904DA" w:rsidP="00D904DA">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obran en el expediente electrónico del </w:t>
      </w:r>
      <w:r>
        <w:rPr>
          <w:rFonts w:ascii="Palatino Linotype" w:hAnsi="Palatino Linotype" w:cs="Arial"/>
          <w:b/>
          <w:bCs/>
          <w:sz w:val="24"/>
          <w:szCs w:val="24"/>
        </w:rPr>
        <w:t xml:space="preserve">SAIMEX, </w:t>
      </w:r>
      <w:r>
        <w:rPr>
          <w:rFonts w:ascii="Palatino Linotype" w:hAnsi="Palatino Linotype" w:cs="Arial"/>
          <w:sz w:val="24"/>
          <w:szCs w:val="24"/>
        </w:rPr>
        <w:t xml:space="preserve">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presentó su respectivo informe justificado, en fecha tres de septiembre, mismo que se puso a la vista del </w:t>
      </w:r>
      <w:r>
        <w:rPr>
          <w:rFonts w:ascii="Palatino Linotype" w:hAnsi="Palatino Linotype" w:cs="Arial"/>
          <w:b/>
          <w:sz w:val="24"/>
          <w:szCs w:val="24"/>
        </w:rPr>
        <w:t xml:space="preserve">Recurrente, </w:t>
      </w:r>
      <w:r>
        <w:rPr>
          <w:rFonts w:ascii="Palatino Linotype" w:hAnsi="Palatino Linotype" w:cs="Arial"/>
          <w:sz w:val="24"/>
          <w:szCs w:val="24"/>
        </w:rPr>
        <w:t xml:space="preserve">el siete de septiembre, ambos de dos mil veintiuno. </w:t>
      </w:r>
    </w:p>
    <w:p w14:paraId="25A4D012" w14:textId="0030D20B" w:rsidR="00D904DA" w:rsidRDefault="00D904DA" w:rsidP="00D904DA">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que una vez </w:t>
      </w:r>
      <w:r w:rsidRPr="00F12BAF">
        <w:rPr>
          <w:rFonts w:ascii="Palatino Linotype" w:hAnsi="Palatino Linotype" w:cs="Arial"/>
          <w:sz w:val="24"/>
          <w:szCs w:val="24"/>
        </w:rPr>
        <w:t xml:space="preserve">transcurrido el </w:t>
      </w:r>
      <w:r w:rsidRPr="0060304F">
        <w:rPr>
          <w:rFonts w:ascii="Palatino Linotype" w:hAnsi="Palatino Linotype" w:cs="Arial"/>
          <w:sz w:val="24"/>
          <w:szCs w:val="24"/>
        </w:rPr>
        <w:t xml:space="preserve">plazo establecido para que las partes manifestaran lo que a su derecho conviniera, en fecha </w:t>
      </w:r>
      <w:r w:rsidR="002163FD">
        <w:rPr>
          <w:rFonts w:ascii="Palatino Linotype" w:hAnsi="Palatino Linotype" w:cs="Arial"/>
          <w:sz w:val="24"/>
          <w:szCs w:val="24"/>
        </w:rPr>
        <w:t>catorce</w:t>
      </w:r>
      <w:r>
        <w:rPr>
          <w:rFonts w:ascii="Palatino Linotype" w:hAnsi="Palatino Linotype" w:cs="Arial"/>
          <w:sz w:val="24"/>
          <w:szCs w:val="24"/>
        </w:rPr>
        <w:t xml:space="preserve"> de septiembre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0037B78E" w14:textId="77777777" w:rsidR="005E46D0" w:rsidRDefault="005E46D0" w:rsidP="005E46D0">
      <w:pPr>
        <w:spacing w:before="240" w:line="360" w:lineRule="auto"/>
        <w:jc w:val="both"/>
        <w:rPr>
          <w:rFonts w:ascii="Palatino Linotype" w:hAnsi="Palatino Linotype" w:cs="Arial"/>
          <w:sz w:val="24"/>
          <w:szCs w:val="24"/>
        </w:rPr>
      </w:pPr>
    </w:p>
    <w:p w14:paraId="67D0FD90"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579C7ABE"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361B7392" w14:textId="77777777" w:rsidR="000E5F05" w:rsidRDefault="000E5F05" w:rsidP="000E5F05">
      <w:pPr>
        <w:spacing w:after="0" w:line="360" w:lineRule="auto"/>
        <w:jc w:val="both"/>
        <w:rPr>
          <w:rFonts w:ascii="Palatino Linotype" w:eastAsia="Calibri" w:hAnsi="Palatino Linotype" w:cs="Arial"/>
          <w:b/>
          <w:color w:val="000000" w:themeColor="text1"/>
          <w:sz w:val="24"/>
          <w:szCs w:val="24"/>
        </w:rPr>
      </w:pPr>
      <w:r w:rsidRPr="00582D89">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582D89">
        <w:rPr>
          <w:rFonts w:ascii="Palatino Linotype" w:hAnsi="Palatino Linotype" w:cs="Arial"/>
          <w:b/>
          <w:sz w:val="24"/>
          <w:szCs w:val="24"/>
          <w:lang w:val="es-ES"/>
        </w:rPr>
        <w:t xml:space="preserve">la parte recurrente </w:t>
      </w:r>
      <w:r w:rsidRPr="00582D89">
        <w:rPr>
          <w:rFonts w:ascii="Palatino Linotype" w:hAnsi="Palatino Linotype" w:cs="Arial"/>
          <w:sz w:val="24"/>
          <w:szCs w:val="24"/>
          <w:lang w:val="es-ES"/>
        </w:rPr>
        <w:t xml:space="preserve">conforme a lo dispuesto en los artículos 1, párrafos segundo y tercero, </w:t>
      </w:r>
      <w:r w:rsidRPr="00582D89">
        <w:rPr>
          <w:rFonts w:ascii="Palatino Linotype" w:eastAsia="Calibri" w:hAnsi="Palatino Linotype"/>
          <w:color w:val="000000" w:themeColor="text1"/>
          <w:sz w:val="24"/>
          <w:szCs w:val="24"/>
        </w:rPr>
        <w:t xml:space="preserve">6, apartado A, fracción IV de la </w:t>
      </w:r>
      <w:r w:rsidRPr="00582D89">
        <w:rPr>
          <w:rFonts w:ascii="Palatino Linotype" w:eastAsia="Calibri" w:hAnsi="Palatino Linotype"/>
          <w:b/>
          <w:color w:val="000000" w:themeColor="text1"/>
          <w:sz w:val="24"/>
          <w:szCs w:val="24"/>
        </w:rPr>
        <w:t>Constitución Política de los Estados Unidos Mexicanos</w:t>
      </w:r>
      <w:r w:rsidRPr="00582D89">
        <w:rPr>
          <w:rFonts w:ascii="Palatino Linotype" w:eastAsia="Calibri" w:hAnsi="Palatino Linotype"/>
          <w:color w:val="000000" w:themeColor="text1"/>
          <w:sz w:val="24"/>
          <w:szCs w:val="24"/>
        </w:rPr>
        <w:t xml:space="preserve">; 5, párrafos trigésimo, trigésimo primero y trigésimo segundo, fracciones IV y V, de la </w:t>
      </w:r>
      <w:r w:rsidRPr="00582D89">
        <w:rPr>
          <w:rFonts w:ascii="Palatino Linotype" w:eastAsia="Calibri" w:hAnsi="Palatino Linotype"/>
          <w:b/>
          <w:color w:val="000000" w:themeColor="text1"/>
          <w:sz w:val="24"/>
          <w:szCs w:val="24"/>
        </w:rPr>
        <w:t>Constitución Política del Estado Libre y Soberano de México</w:t>
      </w:r>
      <w:r w:rsidRPr="00582D89">
        <w:rPr>
          <w:rFonts w:ascii="Palatino Linotype" w:eastAsia="Calibri" w:hAnsi="Palatino Linotype"/>
          <w:color w:val="000000" w:themeColor="text1"/>
          <w:sz w:val="24"/>
          <w:szCs w:val="24"/>
        </w:rPr>
        <w:t xml:space="preserve">; artículos 1, 2 fracción II, 13, 29, 36 fracciones I y II, 176, 178, 179, 181 párrafo tercero y 185 </w:t>
      </w:r>
      <w:r w:rsidRPr="00582D89">
        <w:rPr>
          <w:rFonts w:ascii="Palatino Linotype" w:eastAsia="Calibri" w:hAnsi="Palatino Linotype" w:cs="Arial"/>
          <w:color w:val="000000" w:themeColor="text1"/>
          <w:sz w:val="24"/>
          <w:szCs w:val="24"/>
        </w:rPr>
        <w:t xml:space="preserve">de la </w:t>
      </w:r>
      <w:r w:rsidRPr="00582D89">
        <w:rPr>
          <w:rFonts w:ascii="Palatino Linotype" w:eastAsia="Calibri" w:hAnsi="Palatino Linotype" w:cs="Arial"/>
          <w:b/>
          <w:color w:val="000000" w:themeColor="text1"/>
          <w:sz w:val="24"/>
          <w:szCs w:val="24"/>
        </w:rPr>
        <w:t>Ley de Transparencia y Acceso a la Información Pública del Estado de México y Municipios</w:t>
      </w:r>
      <w:r w:rsidRPr="00582D89">
        <w:rPr>
          <w:rFonts w:ascii="Palatino Linotype" w:eastAsia="Calibri" w:hAnsi="Palatino Linotype" w:cs="Arial"/>
          <w:color w:val="000000" w:themeColor="text1"/>
          <w:sz w:val="24"/>
          <w:szCs w:val="24"/>
        </w:rPr>
        <w:t xml:space="preserve">; y 10, 7, 9 fracciones I y XXIV, y 11 del </w:t>
      </w:r>
      <w:r w:rsidRPr="00582D89">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4A0E9978" w14:textId="77777777" w:rsidR="000E5F05" w:rsidRDefault="000E5F05" w:rsidP="00BF01A7">
      <w:pPr>
        <w:spacing w:after="0" w:line="360" w:lineRule="auto"/>
        <w:jc w:val="both"/>
        <w:rPr>
          <w:rFonts w:ascii="Palatino Linotype" w:hAnsi="Palatino Linotype" w:cs="Arial"/>
          <w:sz w:val="24"/>
          <w:szCs w:val="24"/>
        </w:rPr>
      </w:pPr>
    </w:p>
    <w:p w14:paraId="5D1F9081" w14:textId="77777777" w:rsidR="00BF01A7" w:rsidRDefault="00BF01A7" w:rsidP="00BF01A7">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 xml:space="preserve">Aunado a lo anterior, este Órgano Garante estima pertinente realizar un pronunciamiento ya que consientes de la situación que se vive en la actualidad a fin </w:t>
      </w:r>
      <w:r w:rsidRPr="00D67E30">
        <w:rPr>
          <w:rFonts w:ascii="Palatino Linotype" w:hAnsi="Palatino Linotype" w:cs="Arial"/>
          <w:sz w:val="24"/>
          <w:szCs w:val="24"/>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C3892D5" w14:textId="77777777" w:rsidR="0010372C" w:rsidRDefault="0010372C" w:rsidP="00BF01A7">
      <w:pPr>
        <w:spacing w:after="0" w:line="360" w:lineRule="auto"/>
        <w:jc w:val="both"/>
        <w:rPr>
          <w:rFonts w:ascii="Palatino Linotype" w:hAnsi="Palatino Linotype" w:cs="Arial"/>
          <w:sz w:val="24"/>
          <w:szCs w:val="24"/>
        </w:rPr>
      </w:pPr>
    </w:p>
    <w:p w14:paraId="71AC3F8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80F37AC"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1940D13A" w14:textId="77777777" w:rsidR="005E46D0" w:rsidRDefault="005E46D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4802B99" w14:textId="77777777" w:rsidR="007B0046" w:rsidRDefault="007B0046" w:rsidP="007B004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4AD25E27" w14:textId="77777777" w:rsidR="002163FD" w:rsidRPr="00187D70" w:rsidRDefault="002163FD" w:rsidP="002163FD">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0372E1C0" w14:textId="77777777" w:rsidR="002163FD" w:rsidRPr="00187D70" w:rsidRDefault="002163FD" w:rsidP="002163F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lastRenderedPageBreak/>
        <w:t xml:space="preserve">“Artículo 180. </w:t>
      </w:r>
      <w:r w:rsidRPr="00187D70">
        <w:rPr>
          <w:rFonts w:ascii="Palatino Linotype" w:eastAsia="Times New Roman" w:hAnsi="Palatino Linotype" w:cs="Arial"/>
          <w:i/>
          <w:lang w:eastAsia="es-ES"/>
        </w:rPr>
        <w:t>El recurso de revisión contendrá:</w:t>
      </w:r>
    </w:p>
    <w:p w14:paraId="694B4595" w14:textId="77777777" w:rsidR="002163FD" w:rsidRPr="00187D70" w:rsidRDefault="002163FD" w:rsidP="002163F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07B9663C" w14:textId="77777777" w:rsidR="002163FD" w:rsidRPr="00187D70" w:rsidRDefault="002163FD" w:rsidP="002163FD">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6E93BDFF" w14:textId="77777777" w:rsidR="002163FD" w:rsidRPr="00187D70" w:rsidRDefault="002163FD" w:rsidP="002163F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34ECD44D" w14:textId="77777777" w:rsidR="002163FD" w:rsidRPr="00187D70" w:rsidRDefault="002163FD" w:rsidP="002163F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7C9960C4" w14:textId="77777777" w:rsidR="002163FD" w:rsidRPr="00187D70" w:rsidRDefault="002163FD" w:rsidP="002163F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23223465" w14:textId="77777777" w:rsidR="002163FD" w:rsidRPr="00187D70" w:rsidRDefault="002163FD" w:rsidP="002163F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7240BD76" w14:textId="77777777" w:rsidR="002163FD" w:rsidRPr="00187D70" w:rsidRDefault="002163FD" w:rsidP="002163F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8B14F9A" w14:textId="77777777" w:rsidR="002163FD" w:rsidRPr="00187D70" w:rsidRDefault="002163FD" w:rsidP="002163F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0547AAFA" w14:textId="77777777" w:rsidR="002163FD" w:rsidRPr="00187D70" w:rsidRDefault="002163FD" w:rsidP="002163F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2976FF1B" w14:textId="77777777" w:rsidR="002163FD" w:rsidRPr="00187D70" w:rsidRDefault="002163FD" w:rsidP="002163F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552570D2" w14:textId="77777777" w:rsidR="002163FD" w:rsidRPr="009B74C2" w:rsidRDefault="002163FD" w:rsidP="002163FD">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lastRenderedPageBreak/>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1866031B" w14:textId="77777777" w:rsidR="002163FD" w:rsidRPr="00187D70" w:rsidRDefault="002163FD" w:rsidP="002163FD">
      <w:pPr>
        <w:spacing w:after="0" w:line="360" w:lineRule="auto"/>
        <w:jc w:val="both"/>
        <w:rPr>
          <w:rFonts w:ascii="Palatino Linotype" w:eastAsia="Times New Roman" w:hAnsi="Palatino Linotype" w:cs="Arial"/>
          <w:b/>
          <w:i/>
          <w:sz w:val="24"/>
          <w:szCs w:val="24"/>
          <w:lang w:eastAsia="es-ES"/>
        </w:rPr>
      </w:pPr>
    </w:p>
    <w:p w14:paraId="1C91DBFB" w14:textId="77777777" w:rsidR="002163FD" w:rsidRPr="00187D70" w:rsidRDefault="002163FD" w:rsidP="002163FD">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2B0F65D" w14:textId="77777777" w:rsidR="002163FD" w:rsidRDefault="002163FD" w:rsidP="002163FD">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79E820E1" w14:textId="77777777" w:rsidR="002163FD" w:rsidRPr="009B74C2" w:rsidRDefault="002163FD" w:rsidP="002163FD">
      <w:pPr>
        <w:spacing w:before="240" w:line="360" w:lineRule="auto"/>
        <w:ind w:left="851" w:right="851"/>
        <w:jc w:val="both"/>
        <w:rPr>
          <w:rFonts w:ascii="Palatino Linotype" w:eastAsia="Calibri" w:hAnsi="Palatino Linotype" w:cs="Arial"/>
          <w:b/>
          <w:i/>
          <w:lang w:val="es-ES" w:eastAsia="es-ES"/>
        </w:rPr>
      </w:pPr>
    </w:p>
    <w:p w14:paraId="5942426F" w14:textId="77777777" w:rsidR="002163FD" w:rsidRDefault="002163FD" w:rsidP="002163FD">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16B6CF7B" w14:textId="77777777" w:rsidR="002163FD" w:rsidRPr="00187D70" w:rsidRDefault="002163FD" w:rsidP="002163FD">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7E42511C"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187D70">
        <w:rPr>
          <w:rFonts w:ascii="Palatino Linotype" w:eastAsia="Times New Roman" w:hAnsi="Palatino Linotype" w:cs="Times New Roman"/>
          <w:i/>
          <w:lang w:val="es-ES" w:eastAsia="es-ES"/>
        </w:rPr>
        <w:lastRenderedPageBreak/>
        <w:t>de réplica será ejercido en los términos dispuestos por la ley. El derecho a la información será garantizado por el Estado.</w:t>
      </w:r>
    </w:p>
    <w:p w14:paraId="512E9E8D"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48558F9"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0AB30275"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1071E63F"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C9ACB03"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596B20E8" w14:textId="77777777" w:rsidR="002163FD" w:rsidRDefault="002163FD" w:rsidP="002163FD">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7DDA56FE" w14:textId="77777777" w:rsidR="002163FD" w:rsidRPr="00E71AB2" w:rsidRDefault="002163FD" w:rsidP="002163FD">
      <w:pPr>
        <w:spacing w:before="240" w:line="360" w:lineRule="auto"/>
        <w:ind w:left="851" w:right="851"/>
        <w:jc w:val="both"/>
        <w:rPr>
          <w:rFonts w:ascii="Palatino Linotype" w:eastAsia="Times New Roman" w:hAnsi="Palatino Linotype" w:cs="Times New Roman"/>
          <w:b/>
          <w:i/>
          <w:lang w:val="es-ES" w:eastAsia="es-ES"/>
        </w:rPr>
      </w:pPr>
    </w:p>
    <w:p w14:paraId="3C4851FF" w14:textId="77777777" w:rsidR="002163FD" w:rsidRDefault="002163FD" w:rsidP="002163FD">
      <w:pPr>
        <w:spacing w:before="240" w:line="360" w:lineRule="auto"/>
        <w:ind w:left="851" w:right="851"/>
        <w:jc w:val="center"/>
        <w:rPr>
          <w:rFonts w:ascii="Palatino Linotype" w:eastAsia="Times New Roman" w:hAnsi="Palatino Linotype" w:cs="Times New Roman"/>
          <w:b/>
          <w:i/>
          <w:u w:val="single"/>
          <w:lang w:val="es-ES" w:eastAsia="es-ES"/>
        </w:rPr>
      </w:pPr>
    </w:p>
    <w:p w14:paraId="3D7E8A10" w14:textId="77777777" w:rsidR="002163FD" w:rsidRPr="00187D70" w:rsidRDefault="002163FD" w:rsidP="002163FD">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3A836D44"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w:t>
      </w:r>
      <w:r w:rsidRPr="00187D70">
        <w:rPr>
          <w:rFonts w:ascii="Palatino Linotype" w:eastAsia="Times New Roman" w:hAnsi="Palatino Linotype" w:cs="Times New Roman"/>
          <w:i/>
          <w:lang w:val="es-ES" w:eastAsia="es-ES"/>
        </w:rPr>
        <w:lastRenderedPageBreak/>
        <w:t>para su protección, las cuales no podrán restringirse ni suspenderse salvo en los casos y bajo las condiciones que la Constitución Política de los Estados Unidos Mexicanos establece.</w:t>
      </w:r>
    </w:p>
    <w:p w14:paraId="5F03A14B"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294FA10D"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6EE22B4A"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75A39F3B"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21208343"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758594F"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13671FD7"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763D438F"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2755B797" w14:textId="77777777" w:rsidR="002163FD" w:rsidRPr="00187D70" w:rsidRDefault="002163FD" w:rsidP="002163F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1E70F266" w14:textId="77777777" w:rsidR="002163FD" w:rsidRPr="009B74C2" w:rsidRDefault="002163FD" w:rsidP="002163FD">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6E100506" w14:textId="77777777" w:rsidR="002163FD" w:rsidRDefault="002163FD" w:rsidP="002163FD">
      <w:pPr>
        <w:spacing w:after="0" w:line="360" w:lineRule="auto"/>
        <w:jc w:val="both"/>
        <w:rPr>
          <w:rFonts w:ascii="Palatino Linotype" w:eastAsia="Times New Roman" w:hAnsi="Palatino Linotype" w:cs="Times New Roman"/>
          <w:sz w:val="24"/>
          <w:szCs w:val="24"/>
          <w:lang w:val="es-ES" w:eastAsia="es-ES"/>
        </w:rPr>
      </w:pPr>
    </w:p>
    <w:p w14:paraId="779DAC70" w14:textId="77777777" w:rsidR="002163FD" w:rsidRPr="00187D70" w:rsidRDefault="002163FD" w:rsidP="002163FD">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76ED4F3A" w14:textId="77777777" w:rsidR="002163FD" w:rsidRPr="00187D70" w:rsidRDefault="002163FD" w:rsidP="002163FD">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9055EBB" w14:textId="77777777" w:rsidR="002163FD" w:rsidRPr="00187D70" w:rsidRDefault="002163FD" w:rsidP="002163FD">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2E0FECBF" w14:textId="77777777" w:rsidR="002163FD" w:rsidRPr="009B74C2" w:rsidRDefault="002163FD" w:rsidP="002163FD">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33FA39CC" w14:textId="77777777" w:rsidR="002163FD" w:rsidRDefault="002163FD" w:rsidP="002163FD">
      <w:pPr>
        <w:spacing w:after="0" w:line="360" w:lineRule="auto"/>
        <w:jc w:val="both"/>
        <w:rPr>
          <w:rFonts w:ascii="Palatino Linotype" w:eastAsia="Times New Roman" w:hAnsi="Palatino Linotype" w:cs="Times New Roman"/>
          <w:sz w:val="24"/>
          <w:szCs w:val="24"/>
          <w:lang w:val="es-ES" w:eastAsia="es-ES"/>
        </w:rPr>
      </w:pPr>
    </w:p>
    <w:p w14:paraId="21881BDB" w14:textId="77777777" w:rsidR="002163FD" w:rsidRDefault="002163FD" w:rsidP="002163FD">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48214B6F" w14:textId="77777777" w:rsidR="007B0046" w:rsidRPr="00514E66" w:rsidRDefault="007B0046" w:rsidP="007B0046">
      <w:pPr>
        <w:pStyle w:val="Prrafodelista"/>
        <w:autoSpaceDE w:val="0"/>
        <w:autoSpaceDN w:val="0"/>
        <w:adjustRightInd w:val="0"/>
        <w:spacing w:line="360" w:lineRule="auto"/>
        <w:ind w:left="0"/>
        <w:jc w:val="both"/>
        <w:rPr>
          <w:rFonts w:ascii="Palatino Linotype" w:hAnsi="Palatino Linotype" w:cs="Arial"/>
        </w:rPr>
      </w:pPr>
    </w:p>
    <w:p w14:paraId="4057BC66" w14:textId="77777777" w:rsidR="007B0046" w:rsidRPr="009A0D0A" w:rsidRDefault="007B0046" w:rsidP="007B0046">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p>
    <w:p w14:paraId="00E379C3" w14:textId="77777777" w:rsidR="007B0046"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505517">
        <w:rPr>
          <w:rFonts w:ascii="Palatino Linotype" w:hAnsi="Palatino Linotype" w:cs="Arial"/>
        </w:rPr>
        <w:lastRenderedPageBreak/>
        <w:t xml:space="preserve">que el Estado Mexicano sea parte, en concordancia con el párrafo tercero del artículo 1 de la Constitución Federal y el diverso 8 de la Ley de Transparencia local. </w:t>
      </w:r>
    </w:p>
    <w:p w14:paraId="31C2E61D" w14:textId="77777777" w:rsidR="007B0046" w:rsidRPr="002869E1" w:rsidRDefault="007B0046" w:rsidP="007B0046">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8543637" w14:textId="77777777" w:rsidR="007B0046" w:rsidRPr="006010FE"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1B0A33C"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0732B0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EDAE629" w14:textId="77777777" w:rsidR="007B0046" w:rsidRPr="006010FE" w:rsidRDefault="007B0046" w:rsidP="007B0046">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6E4CCA" w:rsidRDefault="007B0046" w:rsidP="007B0046">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2DC40FC5" w14:textId="77777777" w:rsidR="007B0046" w:rsidRDefault="007B0046" w:rsidP="007B0046">
      <w:pPr>
        <w:spacing w:after="0" w:line="360" w:lineRule="auto"/>
        <w:jc w:val="both"/>
        <w:rPr>
          <w:rFonts w:ascii="Palatino Linotype" w:eastAsia="Times New Roman" w:hAnsi="Palatino Linotype" w:cs="Times New Roman"/>
          <w:sz w:val="24"/>
          <w:szCs w:val="24"/>
          <w:lang w:eastAsia="es-ES"/>
        </w:rPr>
      </w:pPr>
    </w:p>
    <w:p w14:paraId="559DC5F7" w14:textId="77777777" w:rsidR="007B0046" w:rsidRPr="006010FE" w:rsidRDefault="007B0046" w:rsidP="007B0046">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w:t>
      </w:r>
      <w:r w:rsidRPr="006010FE">
        <w:rPr>
          <w:rFonts w:ascii="Palatino Linotype" w:eastAsia="Times New Roman" w:hAnsi="Palatino Linotype" w:cs="Times New Roman"/>
          <w:sz w:val="24"/>
          <w:szCs w:val="24"/>
          <w:lang w:eastAsia="es-ES"/>
        </w:rPr>
        <w:lastRenderedPageBreak/>
        <w:t xml:space="preserve">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0C086EC" w14:textId="77777777" w:rsidR="007B0046" w:rsidRDefault="007B0046" w:rsidP="007B004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A3ED66A" w14:textId="77777777" w:rsidR="00367CC7" w:rsidRPr="006E4CCA" w:rsidRDefault="00367CC7" w:rsidP="007B0046">
      <w:pPr>
        <w:spacing w:before="240" w:line="360" w:lineRule="auto"/>
        <w:ind w:left="851" w:right="851"/>
        <w:jc w:val="both"/>
        <w:rPr>
          <w:rFonts w:ascii="Palatino Linotype" w:eastAsia="Times New Roman" w:hAnsi="Palatino Linotype" w:cs="Arial"/>
          <w:i/>
          <w:lang w:eastAsia="es-ES"/>
        </w:rPr>
      </w:pPr>
    </w:p>
    <w:p w14:paraId="40DBF3B3" w14:textId="7B668D1C" w:rsidR="00B85EF3" w:rsidRDefault="000E5F05" w:rsidP="000E5F05">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de una interpretación armónica a la solicitud de información </w:t>
      </w:r>
      <w:r w:rsidR="002163FD">
        <w:rPr>
          <w:rFonts w:ascii="Palatino Linotype" w:hAnsi="Palatino Linotype" w:cs="Arial"/>
          <w:b/>
          <w:sz w:val="24"/>
          <w:szCs w:val="24"/>
        </w:rPr>
        <w:t>00100/SCTUR/IP/2021</w:t>
      </w:r>
      <w:r w:rsidR="005E46D0">
        <w:rPr>
          <w:rFonts w:ascii="Palatino Linotype" w:hAnsi="Palatino Linotype" w:cs="Arial"/>
          <w:b/>
          <w:sz w:val="24"/>
          <w:szCs w:val="24"/>
        </w:rPr>
        <w:t xml:space="preserve">, </w:t>
      </w:r>
      <w:r w:rsidR="005E46D0">
        <w:rPr>
          <w:rFonts w:ascii="Palatino Linotype" w:hAnsi="Palatino Linotype" w:cs="Arial"/>
          <w:sz w:val="24"/>
          <w:szCs w:val="24"/>
        </w:rPr>
        <w:t xml:space="preserve">es procedente mencionar que fue formulado un requerimiento, respecto del cual fue precisado como elemento temporal </w:t>
      </w:r>
      <w:r w:rsidR="005E46D0">
        <w:rPr>
          <w:rFonts w:ascii="Palatino Linotype" w:hAnsi="Palatino Linotype" w:cs="Arial"/>
          <w:i/>
          <w:sz w:val="24"/>
          <w:szCs w:val="24"/>
        </w:rPr>
        <w:t>“</w:t>
      </w:r>
      <w:r w:rsidR="002163FD">
        <w:rPr>
          <w:rFonts w:ascii="Palatino Linotype" w:hAnsi="Palatino Linotype" w:cs="Arial"/>
          <w:i/>
          <w:sz w:val="24"/>
          <w:szCs w:val="24"/>
        </w:rPr>
        <w:t>… de esta dependencia del 2020…el desglose de ese gasto de ese año, de 2017, 2018, 2019 y lo que va de 2021</w:t>
      </w:r>
      <w:r w:rsidR="00B85EF3" w:rsidRPr="002163FD">
        <w:rPr>
          <w:rFonts w:ascii="Palatino Linotype" w:hAnsi="Palatino Linotype" w:cs="Arial"/>
          <w:b/>
          <w:i/>
          <w:sz w:val="24"/>
          <w:szCs w:val="24"/>
        </w:rPr>
        <w:t>”</w:t>
      </w:r>
      <w:r w:rsidR="002163FD">
        <w:rPr>
          <w:rFonts w:ascii="Palatino Linotype" w:hAnsi="Palatino Linotype" w:cs="Arial"/>
          <w:b/>
          <w:i/>
          <w:sz w:val="24"/>
          <w:szCs w:val="24"/>
        </w:rPr>
        <w:t xml:space="preserve">, </w:t>
      </w:r>
      <w:r w:rsidR="002163FD">
        <w:rPr>
          <w:rFonts w:ascii="Palatino Linotype" w:hAnsi="Palatino Linotype" w:cs="Arial"/>
          <w:sz w:val="24"/>
          <w:szCs w:val="24"/>
        </w:rPr>
        <w:t xml:space="preserve">luego entonces si el particular ejerció el derecho de acceso a la información en fecha dos de agosto de dos mil veintiuno, resulta inconcuso que alude el periodo comprendido del uno de enero de dos mil diecisiete al dos de agosto de dos mil veintiuno. </w:t>
      </w:r>
    </w:p>
    <w:p w14:paraId="69091D7C" w14:textId="34627FFC" w:rsidR="002163FD" w:rsidRDefault="002163FD" w:rsidP="000E5F05">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Ahora bien, resulta imprescindible referir que el veintinueve de septiembre de dos mil veinte fue publicado en el Periódico Oficial “Gaceta del Gobierno del Estado Libre y Soberano de México”, el Decreto número 191 </w:t>
      </w:r>
      <w:r w:rsidR="00F50159">
        <w:rPr>
          <w:rFonts w:ascii="Palatino Linotype" w:hAnsi="Palatino Linotype" w:cs="Arial"/>
          <w:sz w:val="24"/>
          <w:szCs w:val="24"/>
        </w:rPr>
        <w:t xml:space="preserve">del Poder Ejecutivo, </w:t>
      </w:r>
      <w:r w:rsidR="00C620A9">
        <w:rPr>
          <w:rFonts w:ascii="Palatino Linotype" w:hAnsi="Palatino Linotype" w:cs="Arial"/>
          <w:sz w:val="24"/>
          <w:szCs w:val="24"/>
        </w:rPr>
        <w:t xml:space="preserve">mediante el cual se </w:t>
      </w:r>
      <w:r w:rsidR="000E582E">
        <w:rPr>
          <w:rFonts w:ascii="Palatino Linotype" w:hAnsi="Palatino Linotype" w:cs="Arial"/>
          <w:sz w:val="24"/>
          <w:szCs w:val="24"/>
        </w:rPr>
        <w:t>propuso</w:t>
      </w:r>
      <w:r w:rsidR="00C620A9">
        <w:rPr>
          <w:rFonts w:ascii="Palatino Linotype" w:hAnsi="Palatino Linotype" w:cs="Arial"/>
          <w:sz w:val="24"/>
          <w:szCs w:val="24"/>
        </w:rPr>
        <w:t xml:space="preserve"> fundamentalmente lo siguiente: </w:t>
      </w:r>
    </w:p>
    <w:p w14:paraId="24631F7E" w14:textId="77AA5FB4" w:rsidR="00C620A9" w:rsidRDefault="00C620A9" w:rsidP="00C620A9">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Crear la Secretaría de la Mujer, a partir de la transformación del Consejo Estatal de la Mujer y Bienestar Social. </w:t>
      </w:r>
    </w:p>
    <w:p w14:paraId="66236A1A" w14:textId="0FF73A0A" w:rsidR="00C620A9" w:rsidRDefault="00C620A9" w:rsidP="00C620A9">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Modificar la denominación de la Secretaría de Desarrollo Agropecuario, por Secretaría del Campo. </w:t>
      </w:r>
    </w:p>
    <w:p w14:paraId="5A9136FC" w14:textId="043697FC" w:rsidR="00C620A9" w:rsidRDefault="000E582E" w:rsidP="00C620A9">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Fusionar la Secretaría de Desarrollo Urbano y Metropolitano con la Secretaría de Obra Pública, para la creación de la Secretaría de Desarrollo Urbano y Obra. </w:t>
      </w:r>
    </w:p>
    <w:p w14:paraId="7E9A658C" w14:textId="13003C7E" w:rsidR="000E582E" w:rsidRDefault="000E582E" w:rsidP="00C620A9">
      <w:pPr>
        <w:pStyle w:val="Prrafodelista"/>
        <w:numPr>
          <w:ilvl w:val="0"/>
          <w:numId w:val="13"/>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Fusionar la Secretaría de Comunicaciones con la Secretaría de Movilidad, creando una nueva dependencia que conserva el nombre de Secretaría de Movilidad. </w:t>
      </w:r>
    </w:p>
    <w:p w14:paraId="2E6FD30C" w14:textId="167ED7C7" w:rsidR="000E582E" w:rsidRPr="000E582E" w:rsidRDefault="000E582E" w:rsidP="00C620A9">
      <w:pPr>
        <w:pStyle w:val="Prrafodelista"/>
        <w:numPr>
          <w:ilvl w:val="0"/>
          <w:numId w:val="13"/>
        </w:numPr>
        <w:autoSpaceDE w:val="0"/>
        <w:autoSpaceDN w:val="0"/>
        <w:adjustRightInd w:val="0"/>
        <w:spacing w:line="360" w:lineRule="auto"/>
        <w:jc w:val="both"/>
        <w:rPr>
          <w:rFonts w:ascii="Palatino Linotype" w:hAnsi="Palatino Linotype" w:cs="Arial"/>
          <w:b/>
          <w:u w:val="single"/>
        </w:rPr>
      </w:pPr>
      <w:r w:rsidRPr="000E582E">
        <w:rPr>
          <w:rFonts w:ascii="Palatino Linotype" w:hAnsi="Palatino Linotype" w:cs="Arial"/>
          <w:b/>
          <w:u w:val="single"/>
        </w:rPr>
        <w:t xml:space="preserve">Fusionar la Secretaría de Cultura y Deporte con la Secretaría de Turismo, para la creación de la Secretaría de Cultura y Turismo. </w:t>
      </w:r>
    </w:p>
    <w:p w14:paraId="304C696C" w14:textId="1B28BA19" w:rsidR="00C620A9" w:rsidRDefault="00C620A9" w:rsidP="000E582E">
      <w:pPr>
        <w:pStyle w:val="infoem0"/>
        <w:ind w:left="0"/>
      </w:pPr>
    </w:p>
    <w:p w14:paraId="374453C8" w14:textId="7BAC3142" w:rsidR="00F50159" w:rsidRDefault="00E100FB" w:rsidP="000E5F05">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De forma complementaria, es menester señalar que el diecisiete de noviembre de dos mil veinte fue modificado el Padrón de Sujetos Obligados en Materia de Transparencia y Acceso a la Información Pública del Estado de México y Municipios, incorporando a los entes públicos referidos en el párrafo inmediato. </w:t>
      </w:r>
    </w:p>
    <w:p w14:paraId="7BED9739" w14:textId="77777777" w:rsidR="00E100FB" w:rsidRDefault="000E5990" w:rsidP="000E5F05">
      <w:pPr>
        <w:autoSpaceDE w:val="0"/>
        <w:autoSpaceDN w:val="0"/>
        <w:adjustRightInd w:val="0"/>
        <w:spacing w:line="360" w:lineRule="auto"/>
        <w:jc w:val="both"/>
        <w:rPr>
          <w:rFonts w:ascii="Palatino Linotype" w:hAnsi="Palatino Linotype" w:cs="Arial"/>
          <w:sz w:val="24"/>
          <w:szCs w:val="24"/>
          <w:shd w:val="clear" w:color="auto" w:fill="FFFFFF"/>
        </w:rPr>
      </w:pPr>
      <w:hyperlink r:id="rId8" w:history="1">
        <w:r w:rsidR="00E100FB" w:rsidRPr="00EC03DE">
          <w:rPr>
            <w:rStyle w:val="Hipervnculo"/>
            <w:rFonts w:ascii="Palatino Linotype" w:hAnsi="Palatino Linotype" w:cs="Arial"/>
            <w:sz w:val="24"/>
            <w:szCs w:val="24"/>
            <w:shd w:val="clear" w:color="auto" w:fill="FFFFFF"/>
          </w:rPr>
          <w:t>https://pub:blic@repositorio.ipomex.org.mx:8443/OpenKM/Download?uuid=9ea74df4-bc2f-4bcc-be41-dd2b1b288be4</w:t>
        </w:r>
      </w:hyperlink>
      <w:r w:rsidR="00E100FB">
        <w:rPr>
          <w:rFonts w:ascii="Palatino Linotype" w:hAnsi="Palatino Linotype" w:cs="Arial"/>
          <w:sz w:val="24"/>
          <w:szCs w:val="24"/>
          <w:shd w:val="clear" w:color="auto" w:fill="FFFFFF"/>
        </w:rPr>
        <w:t xml:space="preserve"> </w:t>
      </w:r>
    </w:p>
    <w:p w14:paraId="7FE4F716" w14:textId="77777777" w:rsidR="00E100FB" w:rsidRDefault="00E100FB" w:rsidP="000E5F05">
      <w:pPr>
        <w:autoSpaceDE w:val="0"/>
        <w:autoSpaceDN w:val="0"/>
        <w:adjustRightInd w:val="0"/>
        <w:spacing w:line="360" w:lineRule="auto"/>
        <w:jc w:val="both"/>
        <w:rPr>
          <w:rFonts w:ascii="Palatino Linotype" w:hAnsi="Palatino Linotype" w:cs="Arial"/>
          <w:sz w:val="24"/>
          <w:szCs w:val="24"/>
          <w:shd w:val="clear" w:color="auto" w:fill="FFFFFF"/>
        </w:rPr>
      </w:pPr>
    </w:p>
    <w:p w14:paraId="6CA2A1B7" w14:textId="62575F20" w:rsidR="00F50159" w:rsidRPr="00E100FB" w:rsidRDefault="00E100FB" w:rsidP="000E5F05">
      <w:pPr>
        <w:autoSpaceDE w:val="0"/>
        <w:autoSpaceDN w:val="0"/>
        <w:adjustRightInd w:val="0"/>
        <w:spacing w:line="360" w:lineRule="auto"/>
        <w:jc w:val="both"/>
        <w:rPr>
          <w:rFonts w:ascii="Palatino Linotype" w:hAnsi="Palatino Linotype" w:cs="Arial"/>
          <w:b/>
          <w:sz w:val="24"/>
          <w:szCs w:val="24"/>
        </w:rPr>
      </w:pPr>
      <w:r>
        <w:rPr>
          <w:rFonts w:ascii="Palatino Linotype" w:hAnsi="Palatino Linotype" w:cs="Arial"/>
          <w:sz w:val="24"/>
          <w:szCs w:val="24"/>
        </w:rPr>
        <w:t xml:space="preserve">Luego entonces, el elemento temporal debe de ser concebido del veintinueve de septiembre de dos mil veinte </w:t>
      </w:r>
      <w:r>
        <w:rPr>
          <w:rFonts w:ascii="Palatino Linotype" w:hAnsi="Palatino Linotype" w:cs="Arial"/>
          <w:b/>
          <w:sz w:val="24"/>
          <w:szCs w:val="24"/>
        </w:rPr>
        <w:t xml:space="preserve">–fecha de creación del sujeto obligado- </w:t>
      </w:r>
      <w:r>
        <w:rPr>
          <w:rFonts w:ascii="Palatino Linotype" w:hAnsi="Palatino Linotype" w:cs="Arial"/>
          <w:sz w:val="24"/>
          <w:szCs w:val="24"/>
        </w:rPr>
        <w:t xml:space="preserve">al dos de agosto de dos mil veintiuno </w:t>
      </w:r>
      <w:r>
        <w:rPr>
          <w:rFonts w:ascii="Palatino Linotype" w:hAnsi="Palatino Linotype" w:cs="Arial"/>
          <w:b/>
          <w:sz w:val="24"/>
          <w:szCs w:val="24"/>
        </w:rPr>
        <w:t xml:space="preserve">–fecha en que se ejerció el derecho de acceso a la información pública-. </w:t>
      </w:r>
    </w:p>
    <w:p w14:paraId="21B2779C" w14:textId="77777777" w:rsidR="00015D83" w:rsidRPr="00653D2A" w:rsidRDefault="00015D83" w:rsidP="00015D83">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Dicha precisión, con fundamento en los artículos </w:t>
      </w:r>
      <w:r w:rsidRPr="00653D2A">
        <w:rPr>
          <w:rFonts w:ascii="Palatino Linotype" w:hAnsi="Palatino Linotype"/>
        </w:rPr>
        <w:t xml:space="preserve">13 y 181 cuarto párrafo de la Ley en materia, los cuales a la letra rezan: </w:t>
      </w:r>
    </w:p>
    <w:p w14:paraId="56A35DAF" w14:textId="77777777" w:rsidR="00015D83" w:rsidRPr="009878C2" w:rsidRDefault="00015D83" w:rsidP="00015D83">
      <w:pPr>
        <w:tabs>
          <w:tab w:val="left" w:pos="709"/>
        </w:tabs>
        <w:spacing w:before="240" w:line="360" w:lineRule="auto"/>
        <w:ind w:left="851" w:right="851"/>
        <w:jc w:val="both"/>
        <w:rPr>
          <w:rFonts w:ascii="Palatino Linotype" w:hAnsi="Palatino Linotype"/>
          <w:i/>
        </w:rPr>
      </w:pPr>
      <w:r>
        <w:rPr>
          <w:rFonts w:ascii="Palatino Linotype" w:hAnsi="Palatino Linotype"/>
          <w:b/>
          <w:bCs/>
          <w:i/>
        </w:rPr>
        <w:lastRenderedPageBreak/>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544DDD63" w14:textId="77777777" w:rsidR="00015D83" w:rsidRPr="009878C2" w:rsidRDefault="00015D83" w:rsidP="00015D83">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4A32FE80" w14:textId="77777777" w:rsidR="00015D83" w:rsidRPr="009878C2" w:rsidRDefault="00015D83" w:rsidP="00015D83">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215A3EAE" w14:textId="77777777" w:rsidR="00015D83" w:rsidRDefault="00015D83" w:rsidP="00015D83">
      <w:pPr>
        <w:pStyle w:val="Sinespaciado"/>
        <w:spacing w:line="360" w:lineRule="auto"/>
        <w:jc w:val="both"/>
        <w:rPr>
          <w:rFonts w:ascii="Palatino Linotype" w:hAnsi="Palatino Linotype"/>
        </w:rPr>
      </w:pPr>
    </w:p>
    <w:p w14:paraId="1E236C4F" w14:textId="65A3709A" w:rsidR="00015D83" w:rsidRDefault="00015D83" w:rsidP="00015D83">
      <w:pPr>
        <w:pStyle w:val="Sinespaciado"/>
        <w:spacing w:line="360" w:lineRule="auto"/>
        <w:jc w:val="both"/>
        <w:rPr>
          <w:rFonts w:ascii="Palatino Linotype" w:hAnsi="Palatino Linotype"/>
        </w:rPr>
      </w:pPr>
      <w:r>
        <w:rPr>
          <w:rFonts w:ascii="Palatino Linotype" w:hAnsi="Palatino Linotype"/>
        </w:rPr>
        <w:t xml:space="preserve">Bajo estas líneas argumentativas, al retomar y delimitar el requerimiento formulado por la ahora </w:t>
      </w:r>
      <w:r>
        <w:rPr>
          <w:rFonts w:ascii="Palatino Linotype" w:hAnsi="Palatino Linotype"/>
          <w:b/>
        </w:rPr>
        <w:t xml:space="preserve">Recurrente, </w:t>
      </w:r>
      <w:r>
        <w:rPr>
          <w:rFonts w:ascii="Palatino Linotype" w:hAnsi="Palatino Linotype"/>
        </w:rPr>
        <w:t xml:space="preserve">de manera objetiva se precisa que versa en conocer la siguiente información: </w:t>
      </w:r>
    </w:p>
    <w:p w14:paraId="07404F53" w14:textId="411FA79D" w:rsidR="00A00E96" w:rsidRDefault="00E100FB" w:rsidP="00E65AC5">
      <w:pPr>
        <w:pStyle w:val="Prrafodelista"/>
        <w:numPr>
          <w:ilvl w:val="0"/>
          <w:numId w:val="1"/>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el desglose de gasto para la compra de árboles y plantas de ornato </w:t>
      </w:r>
      <w:r w:rsidR="008C0FC1">
        <w:rPr>
          <w:rFonts w:ascii="Palatino Linotype" w:hAnsi="Palatino Linotype" w:cs="Arial"/>
        </w:rPr>
        <w:t xml:space="preserve">(unidades adquiridas, costo por unidad, empresa o vendedor, proceso de licitación, entre otros), del periodo comprendido del veintinueve de septiembre de dos mil veinte al dos de agosto de dos mil veintiuno. </w:t>
      </w:r>
    </w:p>
    <w:p w14:paraId="532BEC11" w14:textId="77777777" w:rsidR="00E100FB" w:rsidRPr="00E100FB" w:rsidRDefault="00E100FB" w:rsidP="00E100FB">
      <w:pPr>
        <w:autoSpaceDE w:val="0"/>
        <w:autoSpaceDN w:val="0"/>
        <w:adjustRightInd w:val="0"/>
        <w:spacing w:line="360" w:lineRule="auto"/>
        <w:jc w:val="both"/>
        <w:rPr>
          <w:rFonts w:ascii="Palatino Linotype" w:hAnsi="Palatino Linotype" w:cs="Arial"/>
        </w:rPr>
      </w:pPr>
    </w:p>
    <w:p w14:paraId="28A6CD68" w14:textId="01590A56" w:rsidR="00BA7F17" w:rsidRDefault="00BA7F17" w:rsidP="00BA7F17">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Una vez sentado lo anterior</w:t>
      </w:r>
      <w:r w:rsidRPr="008D1DFF">
        <w:rPr>
          <w:rFonts w:ascii="Palatino Linotype" w:hAnsi="Palatino Linotype" w:cs="Arial"/>
          <w:sz w:val="24"/>
          <w:szCs w:val="24"/>
        </w:rPr>
        <w:t xml:space="preserve">, en alusión </w:t>
      </w:r>
      <w:r>
        <w:rPr>
          <w:rFonts w:ascii="Palatino Linotype" w:hAnsi="Palatino Linotype" w:cs="Arial"/>
          <w:sz w:val="24"/>
          <w:szCs w:val="24"/>
        </w:rPr>
        <w:t>al requerimiento formulado</w:t>
      </w:r>
      <w:r w:rsidRPr="008D1DFF">
        <w:rPr>
          <w:rFonts w:ascii="Palatino Linotype" w:hAnsi="Palatino Linotype" w:cs="Arial"/>
          <w:sz w:val="24"/>
          <w:szCs w:val="24"/>
        </w:rPr>
        <w:t xml:space="preserve"> por el particular, resulta oportuno traer a colación </w:t>
      </w:r>
      <w:r>
        <w:rPr>
          <w:rFonts w:ascii="Palatino Linotype" w:hAnsi="Palatino Linotype" w:cs="Arial"/>
          <w:sz w:val="24"/>
          <w:szCs w:val="24"/>
        </w:rPr>
        <w:t xml:space="preserve">los artículos 24, fracción XII y 92, fracción II de la Ley de Transparencia y Acceso a la Información Pública del Estado de México y Municipios, dispositivos jurídicos que disponen a la literalidad lo siguiente: </w:t>
      </w:r>
    </w:p>
    <w:p w14:paraId="2222E94C" w14:textId="77777777" w:rsidR="00BA7F17" w:rsidRPr="008B4658" w:rsidRDefault="00BA7F17" w:rsidP="00BA7F17">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lastRenderedPageBreak/>
        <w:t>“Artículo 24. Para el cumplimiento de los objetivos de esta Ley, los sujetos obligados deberán cumplir con las siguientes obligaciones, según corresponda, de acuerdo a su naturaleza:</w:t>
      </w:r>
    </w:p>
    <w:p w14:paraId="305CCC45" w14:textId="77777777" w:rsidR="00BA7F17" w:rsidRPr="008B4658" w:rsidRDefault="00BA7F17" w:rsidP="00BA7F17">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73154DBA" w14:textId="77777777" w:rsidR="00BA7F17" w:rsidRPr="008B4658" w:rsidRDefault="00BA7F17" w:rsidP="00BA7F17">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1353D089" w14:textId="77777777" w:rsidR="00BA7F17" w:rsidRPr="008B4658" w:rsidRDefault="00BA7F17" w:rsidP="00BA7F17">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173C3E8" w14:textId="77777777" w:rsidR="00BA7F17" w:rsidRPr="008B4658" w:rsidRDefault="00BA7F17" w:rsidP="00BA7F17">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212F4E3C" w14:textId="77777777" w:rsidR="00BA7F17" w:rsidRPr="008B4658" w:rsidRDefault="00BA7F17" w:rsidP="00BA7F17">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ED91B0E" w14:textId="0EEA4070" w:rsidR="00BA7F17" w:rsidRPr="008F7D3E" w:rsidRDefault="00BA7F17" w:rsidP="00BA7F17">
      <w:pPr>
        <w:autoSpaceDE w:val="0"/>
        <w:autoSpaceDN w:val="0"/>
        <w:adjustRightInd w:val="0"/>
        <w:spacing w:before="240" w:line="360" w:lineRule="auto"/>
        <w:ind w:left="851" w:right="851"/>
        <w:jc w:val="both"/>
        <w:rPr>
          <w:rFonts w:ascii="Palatino Linotype" w:hAnsi="Palatino Linotype"/>
          <w:b/>
          <w:bCs/>
          <w:i/>
          <w:iCs/>
        </w:rPr>
      </w:pPr>
      <w:r w:rsidRPr="008B4658">
        <w:rPr>
          <w:rFonts w:ascii="Palatino Linotype" w:hAnsi="Palatino Linotype"/>
          <w:i/>
          <w:iCs/>
        </w:rPr>
        <w:t xml:space="preserve">(…)” </w:t>
      </w:r>
      <w:r w:rsidR="008F7D3E">
        <w:rPr>
          <w:rFonts w:ascii="Palatino Linotype" w:hAnsi="Palatino Linotype"/>
          <w:b/>
          <w:bCs/>
          <w:i/>
          <w:iCs/>
        </w:rPr>
        <w:t xml:space="preserve">[Sic] </w:t>
      </w:r>
    </w:p>
    <w:p w14:paraId="59EFB7F5" w14:textId="77777777" w:rsidR="00BA7F17" w:rsidRDefault="00BA7F17" w:rsidP="00BA7F17">
      <w:pPr>
        <w:autoSpaceDE w:val="0"/>
        <w:autoSpaceDN w:val="0"/>
        <w:adjustRightInd w:val="0"/>
        <w:spacing w:before="240" w:line="360" w:lineRule="auto"/>
        <w:jc w:val="both"/>
        <w:rPr>
          <w:rFonts w:ascii="Palatino Linotype" w:hAnsi="Palatino Linotype" w:cs="Arial"/>
          <w:sz w:val="24"/>
          <w:szCs w:val="24"/>
        </w:rPr>
      </w:pPr>
    </w:p>
    <w:p w14:paraId="366054ED" w14:textId="77777777" w:rsidR="00BA7F17" w:rsidRDefault="00BA7F17" w:rsidP="008C0FC1">
      <w:pPr>
        <w:autoSpaceDE w:val="0"/>
        <w:autoSpaceDN w:val="0"/>
        <w:adjustRightInd w:val="0"/>
        <w:spacing w:line="360" w:lineRule="auto"/>
        <w:jc w:val="both"/>
        <w:rPr>
          <w:rFonts w:ascii="Palatino Linotype" w:hAnsi="Palatino Linotype" w:cs="Arial"/>
          <w:sz w:val="24"/>
          <w:szCs w:val="24"/>
        </w:rPr>
      </w:pPr>
    </w:p>
    <w:p w14:paraId="6DAF45EC" w14:textId="5915F12F" w:rsidR="00BA7F17" w:rsidRDefault="00BA7F17" w:rsidP="008C0FC1">
      <w:pPr>
        <w:autoSpaceDE w:val="0"/>
        <w:autoSpaceDN w:val="0"/>
        <w:adjustRightInd w:val="0"/>
        <w:spacing w:line="360" w:lineRule="auto"/>
        <w:jc w:val="both"/>
        <w:rPr>
          <w:rFonts w:ascii="Palatino Linotype" w:hAnsi="Palatino Linotype" w:cs="Arial"/>
          <w:sz w:val="24"/>
          <w:szCs w:val="24"/>
        </w:rPr>
      </w:pPr>
      <w:r w:rsidRPr="00CF2623">
        <w:rPr>
          <w:rFonts w:ascii="Palatino Linotype" w:hAnsi="Palatino Linotype" w:cs="Arial"/>
          <w:sz w:val="24"/>
          <w:szCs w:val="24"/>
        </w:rPr>
        <w:lastRenderedPageBreak/>
        <w:t xml:space="preserve">A mayor abundamiento, en alusión a la normatividad previamente plasmada, sirven de sustento las siguientes imágenes ilustrativas, correspondientes al organigrama del </w:t>
      </w:r>
      <w:r w:rsidRPr="00CF2623">
        <w:rPr>
          <w:rFonts w:ascii="Palatino Linotype" w:hAnsi="Palatino Linotype" w:cs="Arial"/>
          <w:b/>
          <w:bCs/>
          <w:sz w:val="24"/>
          <w:szCs w:val="24"/>
        </w:rPr>
        <w:t xml:space="preserve">Sujeto Obligado, </w:t>
      </w:r>
      <w:r w:rsidRPr="00CF2623">
        <w:rPr>
          <w:rFonts w:ascii="Palatino Linotype" w:hAnsi="Palatino Linotype" w:cs="Arial"/>
          <w:sz w:val="24"/>
          <w:szCs w:val="24"/>
        </w:rPr>
        <w:t>mismo que puede ser consultado en la</w:t>
      </w:r>
      <w:r w:rsidR="00B23FE0">
        <w:rPr>
          <w:rFonts w:ascii="Palatino Linotype" w:hAnsi="Palatino Linotype" w:cs="Arial"/>
          <w:sz w:val="24"/>
          <w:szCs w:val="24"/>
        </w:rPr>
        <w:t>s</w:t>
      </w:r>
      <w:r w:rsidRPr="00CF2623">
        <w:rPr>
          <w:rFonts w:ascii="Palatino Linotype" w:hAnsi="Palatino Linotype" w:cs="Arial"/>
          <w:sz w:val="24"/>
          <w:szCs w:val="24"/>
        </w:rPr>
        <w:t xml:space="preserve"> siguiente</w:t>
      </w:r>
      <w:r w:rsidR="00B23FE0">
        <w:rPr>
          <w:rFonts w:ascii="Palatino Linotype" w:hAnsi="Palatino Linotype" w:cs="Arial"/>
          <w:sz w:val="24"/>
          <w:szCs w:val="24"/>
        </w:rPr>
        <w:t>s direccio</w:t>
      </w:r>
      <w:r w:rsidRPr="00CF2623">
        <w:rPr>
          <w:rFonts w:ascii="Palatino Linotype" w:hAnsi="Palatino Linotype" w:cs="Arial"/>
          <w:sz w:val="24"/>
          <w:szCs w:val="24"/>
        </w:rPr>
        <w:t>n</w:t>
      </w:r>
      <w:r w:rsidR="00B23FE0">
        <w:rPr>
          <w:rFonts w:ascii="Palatino Linotype" w:hAnsi="Palatino Linotype" w:cs="Arial"/>
          <w:sz w:val="24"/>
          <w:szCs w:val="24"/>
        </w:rPr>
        <w:t>es</w:t>
      </w:r>
      <w:r w:rsidRPr="00CF2623">
        <w:rPr>
          <w:rFonts w:ascii="Palatino Linotype" w:hAnsi="Palatino Linotype" w:cs="Arial"/>
          <w:sz w:val="24"/>
          <w:szCs w:val="24"/>
        </w:rPr>
        <w:t xml:space="preserve"> electrónica</w:t>
      </w:r>
      <w:r w:rsidR="00B23FE0">
        <w:rPr>
          <w:rFonts w:ascii="Palatino Linotype" w:hAnsi="Palatino Linotype" w:cs="Arial"/>
          <w:sz w:val="24"/>
          <w:szCs w:val="24"/>
        </w:rPr>
        <w:t>s</w:t>
      </w:r>
      <w:r w:rsidRPr="00CF2623">
        <w:rPr>
          <w:rFonts w:ascii="Palatino Linotype" w:hAnsi="Palatino Linotype" w:cs="Arial"/>
          <w:sz w:val="24"/>
          <w:szCs w:val="24"/>
        </w:rPr>
        <w:t xml:space="preserve">:  </w:t>
      </w:r>
    </w:p>
    <w:p w14:paraId="5C28B2C2" w14:textId="7ABE32C9" w:rsidR="00904248" w:rsidRDefault="000E5990" w:rsidP="008C0FC1">
      <w:pPr>
        <w:autoSpaceDE w:val="0"/>
        <w:autoSpaceDN w:val="0"/>
        <w:adjustRightInd w:val="0"/>
        <w:spacing w:line="360" w:lineRule="auto"/>
        <w:jc w:val="both"/>
        <w:rPr>
          <w:rFonts w:ascii="Palatino Linotype" w:hAnsi="Palatino Linotype" w:cs="Arial"/>
          <w:sz w:val="24"/>
          <w:szCs w:val="24"/>
        </w:rPr>
      </w:pPr>
      <w:hyperlink r:id="rId9" w:history="1">
        <w:r w:rsidR="00904248" w:rsidRPr="00EC03DE">
          <w:rPr>
            <w:rStyle w:val="Hipervnculo"/>
            <w:rFonts w:ascii="Palatino Linotype" w:hAnsi="Palatino Linotype" w:cs="Arial"/>
            <w:sz w:val="24"/>
            <w:szCs w:val="24"/>
          </w:rPr>
          <w:t>https://cultura.edomex.gob.mx/organigrama</w:t>
        </w:r>
      </w:hyperlink>
      <w:r w:rsidR="00904248">
        <w:rPr>
          <w:rFonts w:ascii="Palatino Linotype" w:hAnsi="Palatino Linotype" w:cs="Arial"/>
          <w:sz w:val="24"/>
          <w:szCs w:val="24"/>
        </w:rPr>
        <w:t xml:space="preserve"> </w:t>
      </w:r>
    </w:p>
    <w:p w14:paraId="41EE87E7" w14:textId="318F60CC" w:rsidR="00124A47" w:rsidRDefault="000E5990" w:rsidP="008C0FC1">
      <w:pPr>
        <w:autoSpaceDE w:val="0"/>
        <w:autoSpaceDN w:val="0"/>
        <w:adjustRightInd w:val="0"/>
        <w:spacing w:line="360" w:lineRule="auto"/>
        <w:jc w:val="both"/>
        <w:rPr>
          <w:rFonts w:ascii="Palatino Linotype" w:hAnsi="Palatino Linotype" w:cs="Arial"/>
          <w:sz w:val="24"/>
          <w:szCs w:val="24"/>
        </w:rPr>
      </w:pPr>
      <w:hyperlink r:id="rId10" w:history="1">
        <w:r w:rsidR="00124A47" w:rsidRPr="00EC03DE">
          <w:rPr>
            <w:rStyle w:val="Hipervnculo"/>
            <w:rFonts w:ascii="Palatino Linotype" w:hAnsi="Palatino Linotype" w:cs="Arial"/>
            <w:sz w:val="24"/>
            <w:szCs w:val="24"/>
          </w:rPr>
          <w:t>https://dgi.edomex.gob.mx/sites/dgi.edomex.gob.mx/files/organigramas/pdf/8502323515771.pdf</w:t>
        </w:r>
      </w:hyperlink>
      <w:r w:rsidR="00124A47">
        <w:rPr>
          <w:rFonts w:ascii="Palatino Linotype" w:hAnsi="Palatino Linotype" w:cs="Arial"/>
          <w:sz w:val="24"/>
          <w:szCs w:val="24"/>
        </w:rPr>
        <w:t xml:space="preserve"> </w:t>
      </w:r>
    </w:p>
    <w:p w14:paraId="331A2D78" w14:textId="16150F5B" w:rsidR="00904248" w:rsidRDefault="00124A47" w:rsidP="008C0FC1">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751414" behindDoc="0" locked="0" layoutInCell="1" allowOverlap="1" wp14:anchorId="1665DC77" wp14:editId="2CF7D4EA">
            <wp:simplePos x="0" y="0"/>
            <wp:positionH relativeFrom="column">
              <wp:posOffset>99477</wp:posOffset>
            </wp:positionH>
            <wp:positionV relativeFrom="paragraph">
              <wp:posOffset>434975</wp:posOffset>
            </wp:positionV>
            <wp:extent cx="5511800" cy="3614420"/>
            <wp:effectExtent l="19050" t="19050" r="12700" b="24130"/>
            <wp:wrapThrough wrapText="bothSides">
              <wp:wrapPolygon edited="0">
                <wp:start x="-75" y="-114"/>
                <wp:lineTo x="-75" y="21630"/>
                <wp:lineTo x="21575" y="21630"/>
                <wp:lineTo x="21575" y="-114"/>
                <wp:lineTo x="-75" y="-114"/>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1800" cy="36144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E4F3242" w14:textId="599AA870" w:rsidR="00904248" w:rsidRDefault="00904248" w:rsidP="008C0FC1">
      <w:pPr>
        <w:autoSpaceDE w:val="0"/>
        <w:autoSpaceDN w:val="0"/>
        <w:adjustRightInd w:val="0"/>
        <w:spacing w:line="360" w:lineRule="auto"/>
        <w:jc w:val="both"/>
        <w:rPr>
          <w:rFonts w:ascii="Palatino Linotype" w:hAnsi="Palatino Linotype" w:cs="Arial"/>
          <w:sz w:val="24"/>
          <w:szCs w:val="24"/>
        </w:rPr>
      </w:pPr>
    </w:p>
    <w:p w14:paraId="0F47C367" w14:textId="40FAC0EC" w:rsidR="00904248" w:rsidRDefault="008F7D3E" w:rsidP="008C0FC1">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52438" behindDoc="0" locked="0" layoutInCell="1" allowOverlap="1" wp14:anchorId="2043C4AA" wp14:editId="40F7AC0E">
                <wp:simplePos x="0" y="0"/>
                <wp:positionH relativeFrom="column">
                  <wp:posOffset>-173685</wp:posOffset>
                </wp:positionH>
                <wp:positionV relativeFrom="paragraph">
                  <wp:posOffset>143510</wp:posOffset>
                </wp:positionV>
                <wp:extent cx="6224132" cy="553803"/>
                <wp:effectExtent l="0" t="0" r="24765" b="36830"/>
                <wp:wrapNone/>
                <wp:docPr id="12" name="Conector recto 12"/>
                <wp:cNvGraphicFramePr/>
                <a:graphic xmlns:a="http://schemas.openxmlformats.org/drawingml/2006/main">
                  <a:graphicData uri="http://schemas.microsoft.com/office/word/2010/wordprocessingShape">
                    <wps:wsp>
                      <wps:cNvCnPr/>
                      <wps:spPr>
                        <a:xfrm>
                          <a:off x="0" y="0"/>
                          <a:ext cx="6224132" cy="55380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A82810" id="Conector recto 12" o:spid="_x0000_s1026" style="position:absolute;z-index:251752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11.3pt" to="476.4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" strokecolor="#5b9bd5 [3204]" strokeweight=".5pt">
                <v:stroke joinstyle="miter"/>
              </v:line>
            </w:pict>
          </mc:Fallback>
        </mc:AlternateContent>
      </w:r>
    </w:p>
    <w:p w14:paraId="0057B9FF" w14:textId="1E3B1BD0" w:rsidR="00124A47" w:rsidRDefault="00AE24EE" w:rsidP="008C0FC1">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55510" behindDoc="0" locked="0" layoutInCell="1" allowOverlap="1" wp14:anchorId="42C30A41" wp14:editId="5CA6CBEF">
            <wp:simplePos x="0" y="0"/>
            <wp:positionH relativeFrom="column">
              <wp:posOffset>2020376</wp:posOffset>
            </wp:positionH>
            <wp:positionV relativeFrom="paragraph">
              <wp:posOffset>4034790</wp:posOffset>
            </wp:positionV>
            <wp:extent cx="1612265" cy="1057275"/>
            <wp:effectExtent l="19050" t="19050" r="26035" b="28575"/>
            <wp:wrapThrough wrapText="bothSides">
              <wp:wrapPolygon edited="0">
                <wp:start x="-255" y="-389"/>
                <wp:lineTo x="-255" y="21795"/>
                <wp:lineTo x="21694" y="21795"/>
                <wp:lineTo x="21694" y="-389"/>
                <wp:lineTo x="-255" y="-389"/>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265" cy="1057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56534" behindDoc="0" locked="0" layoutInCell="1" allowOverlap="1" wp14:anchorId="6C8D5ACF" wp14:editId="4056B1ED">
            <wp:simplePos x="0" y="0"/>
            <wp:positionH relativeFrom="column">
              <wp:posOffset>3983355</wp:posOffset>
            </wp:positionH>
            <wp:positionV relativeFrom="paragraph">
              <wp:posOffset>4041775</wp:posOffset>
            </wp:positionV>
            <wp:extent cx="1604010" cy="1064895"/>
            <wp:effectExtent l="19050" t="19050" r="15240" b="20955"/>
            <wp:wrapThrough wrapText="bothSides">
              <wp:wrapPolygon edited="0">
                <wp:start x="-257" y="-386"/>
                <wp:lineTo x="-257" y="21639"/>
                <wp:lineTo x="21549" y="21639"/>
                <wp:lineTo x="21549" y="-386"/>
                <wp:lineTo x="-257" y="-386"/>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4010" cy="10648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24A47">
        <w:rPr>
          <w:rFonts w:ascii="Palatino Linotype" w:hAnsi="Palatino Linotype" w:cs="Arial"/>
          <w:noProof/>
          <w:sz w:val="24"/>
          <w:szCs w:val="24"/>
          <w:lang w:eastAsia="es-MX"/>
        </w:rPr>
        <w:drawing>
          <wp:anchor distT="0" distB="0" distL="114300" distR="114300" simplePos="0" relativeHeight="251754486" behindDoc="0" locked="0" layoutInCell="1" allowOverlap="1" wp14:anchorId="52466FF8" wp14:editId="77D7173B">
            <wp:simplePos x="0" y="0"/>
            <wp:positionH relativeFrom="column">
              <wp:posOffset>72197</wp:posOffset>
            </wp:positionH>
            <wp:positionV relativeFrom="paragraph">
              <wp:posOffset>4034900</wp:posOffset>
            </wp:positionV>
            <wp:extent cx="1612851" cy="1057524"/>
            <wp:effectExtent l="19050" t="19050" r="26035" b="9525"/>
            <wp:wrapThrough wrapText="bothSides">
              <wp:wrapPolygon edited="0">
                <wp:start x="-255" y="-389"/>
                <wp:lineTo x="-255" y="21405"/>
                <wp:lineTo x="21694" y="21405"/>
                <wp:lineTo x="21694" y="-389"/>
                <wp:lineTo x="-255" y="-389"/>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851" cy="105752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24A47">
        <w:rPr>
          <w:rFonts w:ascii="Palatino Linotype" w:hAnsi="Palatino Linotype" w:cs="Arial"/>
          <w:noProof/>
          <w:sz w:val="24"/>
          <w:szCs w:val="24"/>
          <w:lang w:eastAsia="es-MX"/>
        </w:rPr>
        <w:drawing>
          <wp:anchor distT="0" distB="0" distL="114300" distR="114300" simplePos="0" relativeHeight="251753462" behindDoc="0" locked="0" layoutInCell="1" allowOverlap="1" wp14:anchorId="00E1FAF3" wp14:editId="17A2EBAE">
            <wp:simplePos x="0" y="0"/>
            <wp:positionH relativeFrom="column">
              <wp:posOffset>72804</wp:posOffset>
            </wp:positionH>
            <wp:positionV relativeFrom="paragraph">
              <wp:posOffset>19326</wp:posOffset>
            </wp:positionV>
            <wp:extent cx="5511800" cy="3614420"/>
            <wp:effectExtent l="19050" t="19050" r="12700" b="24130"/>
            <wp:wrapThrough wrapText="bothSides">
              <wp:wrapPolygon edited="0">
                <wp:start x="-75" y="-114"/>
                <wp:lineTo x="-75" y="21630"/>
                <wp:lineTo x="21575" y="21630"/>
                <wp:lineTo x="21575" y="-114"/>
                <wp:lineTo x="-75" y="-114"/>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800" cy="36144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0871FA3" w14:textId="7F739CCA" w:rsidR="00124A47" w:rsidRDefault="00124A47" w:rsidP="008C0FC1">
      <w:pPr>
        <w:autoSpaceDE w:val="0"/>
        <w:autoSpaceDN w:val="0"/>
        <w:adjustRightInd w:val="0"/>
        <w:spacing w:line="360" w:lineRule="auto"/>
        <w:jc w:val="both"/>
        <w:rPr>
          <w:rFonts w:ascii="Palatino Linotype" w:hAnsi="Palatino Linotype" w:cs="Arial"/>
          <w:sz w:val="24"/>
          <w:szCs w:val="24"/>
        </w:rPr>
      </w:pPr>
    </w:p>
    <w:p w14:paraId="09019891" w14:textId="77777777" w:rsidR="00AE24EE" w:rsidRPr="0010150E" w:rsidRDefault="00AE24EE" w:rsidP="008C0FC1">
      <w:pPr>
        <w:autoSpaceDE w:val="0"/>
        <w:autoSpaceDN w:val="0"/>
        <w:adjustRightInd w:val="0"/>
        <w:spacing w:line="360" w:lineRule="auto"/>
        <w:jc w:val="both"/>
        <w:rPr>
          <w:rFonts w:ascii="Palatino Linotype" w:hAnsi="Palatino Linotype" w:cs="Arial"/>
          <w:sz w:val="24"/>
          <w:szCs w:val="24"/>
        </w:rPr>
      </w:pPr>
    </w:p>
    <w:p w14:paraId="1DC202B7" w14:textId="7EF8A940" w:rsidR="00AE24EE" w:rsidRPr="0010150E" w:rsidRDefault="00AE24EE" w:rsidP="008C0FC1">
      <w:pPr>
        <w:autoSpaceDE w:val="0"/>
        <w:autoSpaceDN w:val="0"/>
        <w:adjustRightInd w:val="0"/>
        <w:spacing w:line="360" w:lineRule="auto"/>
        <w:jc w:val="both"/>
        <w:rPr>
          <w:rFonts w:ascii="Palatino Linotype" w:hAnsi="Palatino Linotype" w:cs="Arial"/>
          <w:sz w:val="24"/>
          <w:szCs w:val="24"/>
        </w:rPr>
      </w:pPr>
      <w:r w:rsidRPr="0010150E">
        <w:rPr>
          <w:rFonts w:ascii="Palatino Linotype" w:hAnsi="Palatino Linotype" w:cs="Arial"/>
          <w:sz w:val="24"/>
          <w:szCs w:val="24"/>
        </w:rPr>
        <w:t xml:space="preserve">De lo expuesto con anterioridad, se desprende que </w:t>
      </w:r>
      <w:r w:rsidRPr="0010150E">
        <w:rPr>
          <w:rFonts w:ascii="Palatino Linotype" w:hAnsi="Palatino Linotype" w:cs="Arial"/>
          <w:b/>
          <w:bCs/>
          <w:sz w:val="24"/>
          <w:szCs w:val="24"/>
        </w:rPr>
        <w:t xml:space="preserve">El Sujeto Obligado </w:t>
      </w:r>
      <w:r w:rsidRPr="0010150E">
        <w:rPr>
          <w:rFonts w:ascii="Palatino Linotype" w:hAnsi="Palatino Linotype" w:cs="Arial"/>
          <w:sz w:val="24"/>
          <w:szCs w:val="24"/>
        </w:rPr>
        <w:t xml:space="preserve">se auxilia de diversas Coordinaciones, Direcciones y Departamentos para cumplir con sus fines y objetivos, resultando de nuestro interés la Coordinación Administrativa, la Dirección de Administración, así como el Departamento de Recursos Materiales. </w:t>
      </w:r>
    </w:p>
    <w:p w14:paraId="7BAFBEC1" w14:textId="7C11DE97" w:rsidR="0010150E" w:rsidRPr="006820B6" w:rsidRDefault="0010150E" w:rsidP="0010150E">
      <w:pPr>
        <w:autoSpaceDE w:val="0"/>
        <w:autoSpaceDN w:val="0"/>
        <w:adjustRightInd w:val="0"/>
        <w:spacing w:line="360" w:lineRule="auto"/>
        <w:jc w:val="both"/>
        <w:rPr>
          <w:rFonts w:ascii="Palatino Linotype" w:hAnsi="Palatino Linotype" w:cs="Arial"/>
          <w:color w:val="000000"/>
          <w:sz w:val="24"/>
          <w:szCs w:val="24"/>
          <w:lang w:val="es-ES_tradnl"/>
        </w:rPr>
      </w:pPr>
      <w:r w:rsidRPr="006820B6">
        <w:rPr>
          <w:rFonts w:ascii="Palatino Linotype" w:hAnsi="Palatino Linotype" w:cs="Arial"/>
          <w:sz w:val="24"/>
          <w:szCs w:val="24"/>
        </w:rPr>
        <w:lastRenderedPageBreak/>
        <w:t xml:space="preserve">Adicionalmente, </w:t>
      </w:r>
      <w:r w:rsidRPr="006820B6">
        <w:rPr>
          <w:rFonts w:ascii="Palatino Linotype" w:hAnsi="Palatino Linotype" w:cs="Arial"/>
          <w:color w:val="000000"/>
          <w:sz w:val="24"/>
          <w:szCs w:val="24"/>
          <w:lang w:val="es-ES_tradnl"/>
        </w:rPr>
        <w:t xml:space="preserve">resulta de nuestro más amplio interés referir en términos generales las fronteras competenciales del </w:t>
      </w:r>
      <w:r w:rsidRPr="006820B6">
        <w:rPr>
          <w:rFonts w:ascii="Palatino Linotype" w:hAnsi="Palatino Linotype" w:cs="Arial"/>
          <w:b/>
          <w:color w:val="000000"/>
          <w:sz w:val="24"/>
          <w:szCs w:val="24"/>
          <w:lang w:val="es-ES_tradnl"/>
        </w:rPr>
        <w:t xml:space="preserve">Sujeto Obligado, </w:t>
      </w:r>
      <w:r w:rsidRPr="006820B6">
        <w:rPr>
          <w:rFonts w:ascii="Palatino Linotype" w:hAnsi="Palatino Linotype" w:cs="Arial"/>
          <w:color w:val="000000"/>
          <w:sz w:val="24"/>
          <w:szCs w:val="24"/>
          <w:lang w:val="es-ES_tradnl"/>
        </w:rPr>
        <w:t xml:space="preserve">por ello, con base en el artículo 38 de la Ley Orgánica de la Administración Pública del Estado de México, estás son susceptibles de ser sintetizadas en los siguientes términos: </w:t>
      </w:r>
    </w:p>
    <w:p w14:paraId="5495543F" w14:textId="36199471" w:rsidR="0010150E" w:rsidRPr="006820B6" w:rsidRDefault="0010150E" w:rsidP="0010150E">
      <w:pPr>
        <w:pStyle w:val="Prrafodelista"/>
        <w:numPr>
          <w:ilvl w:val="0"/>
          <w:numId w:val="14"/>
        </w:numPr>
        <w:autoSpaceDE w:val="0"/>
        <w:autoSpaceDN w:val="0"/>
        <w:adjustRightInd w:val="0"/>
        <w:spacing w:line="360" w:lineRule="auto"/>
        <w:jc w:val="both"/>
        <w:rPr>
          <w:rFonts w:ascii="Palatino Linotype" w:hAnsi="Palatino Linotype" w:cs="Arial"/>
          <w:color w:val="000000"/>
          <w:lang w:val="es-ES_tradnl"/>
        </w:rPr>
      </w:pPr>
      <w:r w:rsidRPr="006820B6">
        <w:rPr>
          <w:rFonts w:ascii="Palatino Linotype" w:hAnsi="Palatino Linotype" w:cs="Arial"/>
          <w:color w:val="000000"/>
          <w:lang w:val="es-ES_tradnl"/>
        </w:rPr>
        <w:t xml:space="preserve">Propiciar el desarrollo integral de la cultura en el Estado de México. </w:t>
      </w:r>
    </w:p>
    <w:p w14:paraId="6480A3D2" w14:textId="7D739B6D" w:rsidR="0010150E" w:rsidRPr="006820B6" w:rsidRDefault="0010150E" w:rsidP="0010150E">
      <w:pPr>
        <w:pStyle w:val="Prrafodelista"/>
        <w:numPr>
          <w:ilvl w:val="0"/>
          <w:numId w:val="14"/>
        </w:numPr>
        <w:autoSpaceDE w:val="0"/>
        <w:autoSpaceDN w:val="0"/>
        <w:adjustRightInd w:val="0"/>
        <w:spacing w:line="360" w:lineRule="auto"/>
        <w:jc w:val="both"/>
        <w:rPr>
          <w:rFonts w:ascii="Palatino Linotype" w:hAnsi="Palatino Linotype" w:cs="Arial"/>
          <w:color w:val="000000"/>
          <w:lang w:val="es-ES_tradnl"/>
        </w:rPr>
      </w:pPr>
      <w:r w:rsidRPr="006820B6">
        <w:rPr>
          <w:rFonts w:ascii="Palatino Linotype" w:hAnsi="Palatino Linotype" w:cs="Arial"/>
          <w:color w:val="000000"/>
          <w:lang w:val="es-ES_tradnl"/>
        </w:rPr>
        <w:t xml:space="preserve">Fomentar mecanismos que garanticen el derecho a participar en la vida cultural de la comunidad. </w:t>
      </w:r>
    </w:p>
    <w:p w14:paraId="46D8925C" w14:textId="0A1265A7" w:rsidR="0010150E" w:rsidRPr="006820B6" w:rsidRDefault="0010150E" w:rsidP="0010150E">
      <w:pPr>
        <w:pStyle w:val="Prrafodelista"/>
        <w:numPr>
          <w:ilvl w:val="0"/>
          <w:numId w:val="14"/>
        </w:numPr>
        <w:autoSpaceDE w:val="0"/>
        <w:autoSpaceDN w:val="0"/>
        <w:adjustRightInd w:val="0"/>
        <w:spacing w:line="360" w:lineRule="auto"/>
        <w:jc w:val="both"/>
        <w:rPr>
          <w:rFonts w:ascii="Palatino Linotype" w:hAnsi="Palatino Linotype" w:cs="Arial"/>
          <w:color w:val="000000"/>
          <w:lang w:val="es-ES_tradnl"/>
        </w:rPr>
      </w:pPr>
      <w:r w:rsidRPr="006820B6">
        <w:rPr>
          <w:rFonts w:ascii="Palatino Linotype" w:hAnsi="Palatino Linotype" w:cs="Arial"/>
          <w:color w:val="000000"/>
          <w:lang w:val="es-ES_tradnl"/>
        </w:rPr>
        <w:t xml:space="preserve">Rescatar y preservar el patrimonio cultural mexiquense. </w:t>
      </w:r>
    </w:p>
    <w:p w14:paraId="4B189B80" w14:textId="20EB7F8D" w:rsidR="0010150E" w:rsidRPr="006820B6" w:rsidRDefault="0010150E" w:rsidP="0010150E">
      <w:pPr>
        <w:pStyle w:val="Prrafodelista"/>
        <w:numPr>
          <w:ilvl w:val="0"/>
          <w:numId w:val="14"/>
        </w:numPr>
        <w:autoSpaceDE w:val="0"/>
        <w:autoSpaceDN w:val="0"/>
        <w:adjustRightInd w:val="0"/>
        <w:spacing w:line="360" w:lineRule="auto"/>
        <w:jc w:val="both"/>
        <w:rPr>
          <w:rFonts w:ascii="Palatino Linotype" w:hAnsi="Palatino Linotype" w:cs="Arial"/>
          <w:color w:val="000000"/>
          <w:lang w:val="es-ES_tradnl"/>
        </w:rPr>
      </w:pPr>
      <w:r w:rsidRPr="006820B6">
        <w:rPr>
          <w:rFonts w:ascii="Palatino Linotype" w:hAnsi="Palatino Linotype" w:cs="Arial"/>
          <w:color w:val="000000"/>
          <w:lang w:val="es-ES_tradnl"/>
        </w:rPr>
        <w:t xml:space="preserve">Impulsar actividades de difusión y fomento cultural. </w:t>
      </w:r>
    </w:p>
    <w:p w14:paraId="6AD24D47" w14:textId="50FFCA74" w:rsidR="0010150E" w:rsidRPr="006820B6" w:rsidRDefault="0010150E" w:rsidP="0010150E">
      <w:pPr>
        <w:pStyle w:val="Prrafodelista"/>
        <w:numPr>
          <w:ilvl w:val="0"/>
          <w:numId w:val="14"/>
        </w:numPr>
        <w:autoSpaceDE w:val="0"/>
        <w:autoSpaceDN w:val="0"/>
        <w:adjustRightInd w:val="0"/>
        <w:spacing w:line="360" w:lineRule="auto"/>
        <w:jc w:val="both"/>
        <w:rPr>
          <w:rFonts w:ascii="Palatino Linotype" w:hAnsi="Palatino Linotype" w:cs="Arial"/>
          <w:color w:val="000000"/>
          <w:lang w:val="es-ES_tradnl"/>
        </w:rPr>
      </w:pPr>
      <w:r w:rsidRPr="006820B6">
        <w:rPr>
          <w:rFonts w:ascii="Palatino Linotype" w:hAnsi="Palatino Linotype" w:cs="Arial"/>
          <w:color w:val="000000"/>
          <w:lang w:val="es-ES_tradnl"/>
        </w:rPr>
        <w:t xml:space="preserve">Coordinar los programas culturales del Estado, con los desarrollados por la Federación. </w:t>
      </w:r>
    </w:p>
    <w:p w14:paraId="18AD721F" w14:textId="45A2479F" w:rsidR="0010150E" w:rsidRPr="006820B6" w:rsidRDefault="0010150E" w:rsidP="0010150E">
      <w:pPr>
        <w:pStyle w:val="Prrafodelista"/>
        <w:numPr>
          <w:ilvl w:val="0"/>
          <w:numId w:val="14"/>
        </w:numPr>
        <w:autoSpaceDE w:val="0"/>
        <w:autoSpaceDN w:val="0"/>
        <w:adjustRightInd w:val="0"/>
        <w:spacing w:line="360" w:lineRule="auto"/>
        <w:jc w:val="both"/>
        <w:rPr>
          <w:rFonts w:ascii="Palatino Linotype" w:hAnsi="Palatino Linotype" w:cs="Arial"/>
          <w:color w:val="000000"/>
          <w:lang w:val="es-ES_tradnl"/>
        </w:rPr>
      </w:pPr>
      <w:r w:rsidRPr="006820B6">
        <w:rPr>
          <w:rFonts w:ascii="Palatino Linotype" w:hAnsi="Palatino Linotype" w:cs="Arial"/>
          <w:color w:val="000000"/>
          <w:lang w:val="es-ES_tradnl"/>
        </w:rPr>
        <w:t xml:space="preserve">Organizar y fomentar la producción artesanal en el Estado. </w:t>
      </w:r>
    </w:p>
    <w:p w14:paraId="1B1311E5" w14:textId="57CEEBAE" w:rsidR="0010150E" w:rsidRPr="006820B6" w:rsidRDefault="0010150E" w:rsidP="0010150E">
      <w:pPr>
        <w:pStyle w:val="Prrafodelista"/>
        <w:numPr>
          <w:ilvl w:val="0"/>
          <w:numId w:val="14"/>
        </w:numPr>
        <w:autoSpaceDE w:val="0"/>
        <w:autoSpaceDN w:val="0"/>
        <w:adjustRightInd w:val="0"/>
        <w:spacing w:line="360" w:lineRule="auto"/>
        <w:jc w:val="both"/>
        <w:rPr>
          <w:rFonts w:ascii="Palatino Linotype" w:hAnsi="Palatino Linotype" w:cs="Arial"/>
          <w:color w:val="000000"/>
          <w:lang w:val="es-ES_tradnl"/>
        </w:rPr>
      </w:pPr>
      <w:r w:rsidRPr="006820B6">
        <w:rPr>
          <w:rFonts w:ascii="Palatino Linotype" w:hAnsi="Palatino Linotype" w:cs="Arial"/>
          <w:color w:val="000000"/>
          <w:lang w:val="es-ES_tradnl"/>
        </w:rPr>
        <w:t xml:space="preserve">Crear, fomentar y dirigir bibliotecas, hemerotecas, casas de cultura y museos. </w:t>
      </w:r>
    </w:p>
    <w:p w14:paraId="64B6E729" w14:textId="6FEB3796" w:rsidR="0010150E" w:rsidRPr="006820B6" w:rsidRDefault="0010150E" w:rsidP="0010150E">
      <w:pPr>
        <w:pStyle w:val="Prrafodelista"/>
        <w:numPr>
          <w:ilvl w:val="0"/>
          <w:numId w:val="14"/>
        </w:numPr>
        <w:autoSpaceDE w:val="0"/>
        <w:autoSpaceDN w:val="0"/>
        <w:adjustRightInd w:val="0"/>
        <w:spacing w:line="360" w:lineRule="auto"/>
        <w:jc w:val="both"/>
        <w:rPr>
          <w:rFonts w:ascii="Palatino Linotype" w:hAnsi="Palatino Linotype" w:cs="Arial"/>
          <w:color w:val="000000"/>
          <w:lang w:val="es-ES_tradnl"/>
        </w:rPr>
      </w:pPr>
      <w:r w:rsidRPr="006820B6">
        <w:rPr>
          <w:rFonts w:ascii="Palatino Linotype" w:hAnsi="Palatino Linotype" w:cs="Arial"/>
          <w:color w:val="000000"/>
          <w:lang w:val="es-ES_tradnl"/>
        </w:rPr>
        <w:t xml:space="preserve">Realizar publicaciones oficiales de carácter cultural. </w:t>
      </w:r>
    </w:p>
    <w:p w14:paraId="1BBAFF92" w14:textId="5DF3B12B" w:rsidR="0010150E" w:rsidRPr="006820B6" w:rsidRDefault="0010150E" w:rsidP="0010150E">
      <w:pPr>
        <w:pStyle w:val="Prrafodelista"/>
        <w:numPr>
          <w:ilvl w:val="0"/>
          <w:numId w:val="14"/>
        </w:numPr>
        <w:autoSpaceDE w:val="0"/>
        <w:autoSpaceDN w:val="0"/>
        <w:adjustRightInd w:val="0"/>
        <w:spacing w:line="360" w:lineRule="auto"/>
        <w:jc w:val="both"/>
        <w:rPr>
          <w:rFonts w:ascii="Palatino Linotype" w:hAnsi="Palatino Linotype" w:cs="Arial"/>
          <w:color w:val="000000"/>
          <w:lang w:val="es-ES_tradnl"/>
        </w:rPr>
      </w:pPr>
      <w:r w:rsidRPr="006820B6">
        <w:rPr>
          <w:rFonts w:ascii="Palatino Linotype" w:hAnsi="Palatino Linotype" w:cs="Arial"/>
          <w:color w:val="000000"/>
          <w:lang w:val="es-ES_tradnl"/>
        </w:rPr>
        <w:t xml:space="preserve">Administrar la Orquesta Sinfónica y el Conservatorio de Música. </w:t>
      </w:r>
    </w:p>
    <w:p w14:paraId="68E0A605" w14:textId="7781BB8D" w:rsidR="0010150E" w:rsidRPr="006820B6" w:rsidRDefault="0010150E" w:rsidP="0010150E">
      <w:pPr>
        <w:pStyle w:val="Prrafodelista"/>
        <w:numPr>
          <w:ilvl w:val="0"/>
          <w:numId w:val="14"/>
        </w:numPr>
        <w:autoSpaceDE w:val="0"/>
        <w:autoSpaceDN w:val="0"/>
        <w:adjustRightInd w:val="0"/>
        <w:spacing w:line="360" w:lineRule="auto"/>
        <w:jc w:val="both"/>
        <w:rPr>
          <w:rFonts w:ascii="Palatino Linotype" w:hAnsi="Palatino Linotype" w:cs="Arial"/>
          <w:color w:val="000000"/>
          <w:lang w:val="es-ES_tradnl"/>
        </w:rPr>
      </w:pPr>
      <w:r w:rsidRPr="006820B6">
        <w:rPr>
          <w:rFonts w:ascii="Palatino Linotype" w:hAnsi="Palatino Linotype" w:cs="Arial"/>
          <w:color w:val="000000"/>
          <w:lang w:val="es-ES_tradnl"/>
        </w:rPr>
        <w:t xml:space="preserve">Actualizar el inventario de bienes de patrimonio arqueológico, histórico, artístico y cultural, el inventario de atractivos turísticos y el directorio de servicios en el ramo. </w:t>
      </w:r>
    </w:p>
    <w:p w14:paraId="318286FF" w14:textId="374896FA" w:rsidR="0010150E" w:rsidRPr="006820B6" w:rsidRDefault="0010150E" w:rsidP="0010150E">
      <w:pPr>
        <w:pStyle w:val="Prrafodelista"/>
        <w:numPr>
          <w:ilvl w:val="0"/>
          <w:numId w:val="14"/>
        </w:numPr>
        <w:autoSpaceDE w:val="0"/>
        <w:autoSpaceDN w:val="0"/>
        <w:adjustRightInd w:val="0"/>
        <w:spacing w:line="360" w:lineRule="auto"/>
        <w:jc w:val="both"/>
        <w:rPr>
          <w:rFonts w:ascii="Palatino Linotype" w:hAnsi="Palatino Linotype" w:cs="Arial"/>
          <w:color w:val="000000"/>
          <w:lang w:val="es-ES_tradnl"/>
        </w:rPr>
      </w:pPr>
      <w:r w:rsidRPr="006820B6">
        <w:rPr>
          <w:rFonts w:ascii="Palatino Linotype" w:hAnsi="Palatino Linotype" w:cs="Arial"/>
          <w:color w:val="000000"/>
          <w:lang w:val="es-ES_tradnl"/>
        </w:rPr>
        <w:t>Elaborar el Programa Estatal de Cultura Física y Deporte</w:t>
      </w:r>
    </w:p>
    <w:p w14:paraId="2FD68B0A" w14:textId="408179E0" w:rsidR="0010150E" w:rsidRPr="006820B6" w:rsidRDefault="0010150E" w:rsidP="0010150E">
      <w:pPr>
        <w:pStyle w:val="Prrafodelista"/>
        <w:numPr>
          <w:ilvl w:val="0"/>
          <w:numId w:val="14"/>
        </w:numPr>
        <w:autoSpaceDE w:val="0"/>
        <w:autoSpaceDN w:val="0"/>
        <w:adjustRightInd w:val="0"/>
        <w:spacing w:line="360" w:lineRule="auto"/>
        <w:jc w:val="both"/>
        <w:rPr>
          <w:rFonts w:ascii="Palatino Linotype" w:hAnsi="Palatino Linotype" w:cs="Arial"/>
          <w:color w:val="000000"/>
          <w:lang w:val="es-ES_tradnl"/>
        </w:rPr>
      </w:pPr>
      <w:r w:rsidRPr="006820B6">
        <w:rPr>
          <w:rFonts w:ascii="Palatino Linotype" w:hAnsi="Palatino Linotype" w:cs="Arial"/>
          <w:color w:val="000000"/>
          <w:lang w:val="es-ES_tradnl"/>
        </w:rPr>
        <w:t xml:space="preserve">Otras. </w:t>
      </w:r>
    </w:p>
    <w:p w14:paraId="5D1D1A29" w14:textId="77777777" w:rsidR="0010150E" w:rsidRPr="006820B6" w:rsidRDefault="0010150E" w:rsidP="0010150E">
      <w:pPr>
        <w:autoSpaceDE w:val="0"/>
        <w:autoSpaceDN w:val="0"/>
        <w:adjustRightInd w:val="0"/>
        <w:spacing w:line="360" w:lineRule="auto"/>
        <w:jc w:val="both"/>
        <w:rPr>
          <w:rFonts w:ascii="Palatino Linotype" w:hAnsi="Palatino Linotype" w:cs="Arial"/>
          <w:color w:val="000000"/>
          <w:sz w:val="24"/>
          <w:szCs w:val="24"/>
          <w:lang w:val="es-ES_tradnl"/>
        </w:rPr>
      </w:pPr>
    </w:p>
    <w:p w14:paraId="51C33DE9" w14:textId="619229AD" w:rsidR="00E8308B" w:rsidRDefault="006820B6" w:rsidP="008C0FC1">
      <w:pPr>
        <w:autoSpaceDE w:val="0"/>
        <w:autoSpaceDN w:val="0"/>
        <w:adjustRightInd w:val="0"/>
        <w:spacing w:line="360" w:lineRule="auto"/>
        <w:jc w:val="both"/>
        <w:rPr>
          <w:rFonts w:ascii="Palatino Linotype" w:hAnsi="Palatino Linotype" w:cs="Arial"/>
          <w:sz w:val="24"/>
          <w:szCs w:val="24"/>
        </w:rPr>
      </w:pPr>
      <w:r w:rsidRPr="006820B6">
        <w:rPr>
          <w:rFonts w:ascii="Palatino Linotype" w:hAnsi="Palatino Linotype" w:cs="Arial"/>
          <w:color w:val="000000"/>
          <w:sz w:val="24"/>
          <w:szCs w:val="24"/>
          <w:lang w:val="es-ES_tradnl"/>
        </w:rPr>
        <w:t xml:space="preserve">Luego entonces, </w:t>
      </w:r>
      <w:r w:rsidR="00796AFA">
        <w:rPr>
          <w:rFonts w:ascii="Palatino Linotype" w:hAnsi="Palatino Linotype" w:cs="Arial"/>
          <w:color w:val="000000"/>
          <w:sz w:val="24"/>
          <w:szCs w:val="24"/>
          <w:lang w:val="es-ES_tradnl"/>
        </w:rPr>
        <w:t xml:space="preserve">para dar cumplimiento a sus atribuciones invariablemente requiere de recursos humanos, técnicos, financieros y materiales. En este tenor, </w:t>
      </w:r>
      <w:r w:rsidR="005732F9">
        <w:rPr>
          <w:rFonts w:ascii="Palatino Linotype" w:hAnsi="Palatino Linotype" w:cs="Arial"/>
          <w:sz w:val="24"/>
          <w:szCs w:val="24"/>
        </w:rPr>
        <w:t>resulta oportuno traer a colaci</w:t>
      </w:r>
      <w:r w:rsidR="002A19DF">
        <w:rPr>
          <w:rFonts w:ascii="Palatino Linotype" w:hAnsi="Palatino Linotype" w:cs="Arial"/>
          <w:sz w:val="24"/>
          <w:szCs w:val="24"/>
        </w:rPr>
        <w:t xml:space="preserve">ón </w:t>
      </w:r>
      <w:r w:rsidR="00796AFA">
        <w:rPr>
          <w:rFonts w:ascii="Palatino Linotype" w:hAnsi="Palatino Linotype" w:cs="Arial"/>
          <w:sz w:val="24"/>
          <w:szCs w:val="24"/>
        </w:rPr>
        <w:t>el artículo</w:t>
      </w:r>
      <w:r w:rsidR="005732F9">
        <w:rPr>
          <w:rFonts w:ascii="Palatino Linotype" w:hAnsi="Palatino Linotype" w:cs="Arial"/>
          <w:sz w:val="24"/>
          <w:szCs w:val="24"/>
        </w:rPr>
        <w:t xml:space="preserve"> </w:t>
      </w:r>
      <w:r w:rsidR="002A19DF">
        <w:rPr>
          <w:rFonts w:ascii="Palatino Linotype" w:hAnsi="Palatino Linotype" w:cs="Arial"/>
          <w:sz w:val="24"/>
          <w:szCs w:val="24"/>
        </w:rPr>
        <w:t>24 fracciones XXXVII y XXXVIII</w:t>
      </w:r>
      <w:r w:rsidR="00904248">
        <w:rPr>
          <w:rFonts w:ascii="Palatino Linotype" w:hAnsi="Palatino Linotype" w:cs="Arial"/>
          <w:sz w:val="24"/>
          <w:szCs w:val="24"/>
        </w:rPr>
        <w:t xml:space="preserve"> </w:t>
      </w:r>
      <w:r w:rsidR="002A19DF">
        <w:rPr>
          <w:rFonts w:ascii="Palatino Linotype" w:hAnsi="Palatino Linotype" w:cs="Arial"/>
          <w:sz w:val="24"/>
          <w:szCs w:val="24"/>
        </w:rPr>
        <w:t xml:space="preserve">de la Ley </w:t>
      </w:r>
      <w:r w:rsidR="003A0EDC">
        <w:rPr>
          <w:rFonts w:ascii="Palatino Linotype" w:hAnsi="Palatino Linotype" w:cs="Arial"/>
          <w:sz w:val="24"/>
          <w:szCs w:val="24"/>
        </w:rPr>
        <w:lastRenderedPageBreak/>
        <w:t>Orgánica</w:t>
      </w:r>
      <w:r w:rsidR="002A19DF">
        <w:rPr>
          <w:rFonts w:ascii="Palatino Linotype" w:hAnsi="Palatino Linotype" w:cs="Arial"/>
          <w:sz w:val="24"/>
          <w:szCs w:val="24"/>
        </w:rPr>
        <w:t xml:space="preserve"> de la Administración Pública del </w:t>
      </w:r>
      <w:r w:rsidR="003A0EDC">
        <w:rPr>
          <w:rFonts w:ascii="Palatino Linotype" w:hAnsi="Palatino Linotype" w:cs="Arial"/>
          <w:sz w:val="24"/>
          <w:szCs w:val="24"/>
        </w:rPr>
        <w:t xml:space="preserve">Estado de México, así como </w:t>
      </w:r>
      <w:r w:rsidR="00904248">
        <w:rPr>
          <w:rFonts w:ascii="Palatino Linotype" w:hAnsi="Palatino Linotype" w:cs="Arial"/>
          <w:sz w:val="24"/>
          <w:szCs w:val="24"/>
        </w:rPr>
        <w:t xml:space="preserve">los numerales 1 fracciones I a la V, 3 fracción IX, 5 de la Ley de Contratación Pública del Estado de México, porciones normativas que disponen a la literalidad lo siguiente: </w:t>
      </w:r>
    </w:p>
    <w:p w14:paraId="2264D1C7" w14:textId="10D07193" w:rsidR="00904248" w:rsidRPr="00904248" w:rsidRDefault="00904248" w:rsidP="00904248">
      <w:pPr>
        <w:pStyle w:val="Citas"/>
        <w:jc w:val="center"/>
        <w:rPr>
          <w:b/>
        </w:rPr>
      </w:pPr>
      <w:r w:rsidRPr="00904248">
        <w:rPr>
          <w:b/>
          <w:sz w:val="24"/>
          <w:szCs w:val="24"/>
        </w:rPr>
        <w:t>Ley Orgánica de la Administración Pública del Estado de México</w:t>
      </w:r>
    </w:p>
    <w:p w14:paraId="3DC3881C" w14:textId="01C1CEA1" w:rsidR="000251CC" w:rsidRDefault="00904248" w:rsidP="00904248">
      <w:pPr>
        <w:pStyle w:val="Citas"/>
      </w:pPr>
      <w:r>
        <w:t>“</w:t>
      </w:r>
      <w:r w:rsidR="005732F9">
        <w:t>Artículo 24.- A la Secretaría de Finanzas, corresponde el despacho de los siguientes asuntos:</w:t>
      </w:r>
    </w:p>
    <w:p w14:paraId="5992A974" w14:textId="4C32B077" w:rsidR="005732F9" w:rsidRDefault="005732F9" w:rsidP="00904248">
      <w:pPr>
        <w:pStyle w:val="Citas"/>
      </w:pPr>
      <w:r>
        <w:t>(…)</w:t>
      </w:r>
    </w:p>
    <w:p w14:paraId="4FA8A896" w14:textId="13A2911F" w:rsidR="005732F9" w:rsidRPr="00904248" w:rsidRDefault="005732F9" w:rsidP="00904248">
      <w:pPr>
        <w:pStyle w:val="Citas"/>
        <w:rPr>
          <w:b/>
          <w:u w:val="single"/>
        </w:rPr>
      </w:pPr>
      <w:r w:rsidRPr="00904248">
        <w:rPr>
          <w:b/>
          <w:u w:val="single"/>
        </w:rPr>
        <w:t>XXXVII. Adquirir los bienes y servicios que requiera el funcionamiento del Poder Ejecutivo del Estado, con recursos federales o estatales;</w:t>
      </w:r>
    </w:p>
    <w:p w14:paraId="5EA5FF12" w14:textId="558BC323" w:rsidR="005732F9" w:rsidRDefault="005732F9" w:rsidP="00904248">
      <w:pPr>
        <w:pStyle w:val="Citas"/>
      </w:pPr>
      <w:r>
        <w:t>XXXVIII. Proveer oportunamente a las dependencias del ejecutivo de los elementos y materiales de trabajo necesarios para el desarrollo de sus funciones;</w:t>
      </w:r>
    </w:p>
    <w:p w14:paraId="6DC9FA44" w14:textId="10711D2F" w:rsidR="005732F9" w:rsidRPr="008C0FC1" w:rsidRDefault="005732F9" w:rsidP="00904248">
      <w:pPr>
        <w:pStyle w:val="Citas"/>
        <w:rPr>
          <w:iCs/>
        </w:rPr>
      </w:pPr>
      <w:r>
        <w:t>(…)</w:t>
      </w:r>
    </w:p>
    <w:p w14:paraId="3E7188E2" w14:textId="2C8D967D" w:rsidR="005732F9" w:rsidRPr="00904248" w:rsidRDefault="00904248" w:rsidP="00904248">
      <w:pPr>
        <w:pStyle w:val="Citas"/>
        <w:rPr>
          <w:b/>
        </w:rPr>
      </w:pPr>
      <w:r>
        <w:t xml:space="preserve">Artículo 37.- La Secretaría de Cultura y Turismo tiene por objeto vincular a la sociedad con el quehacer cultural, turístico y artesanal de la entidad, así como planear, organizar, coordinar, promover, ejecutar y evaluar las políticas, programas y acciones necesarias para desarrollar la cultura, la cultura física, el deporte, y el fomento al turismo y desarrollo artesanal en el Estado de México.” </w:t>
      </w:r>
      <w:r>
        <w:rPr>
          <w:b/>
        </w:rPr>
        <w:t xml:space="preserve">[Sic] </w:t>
      </w:r>
    </w:p>
    <w:p w14:paraId="44DE2469" w14:textId="77777777" w:rsidR="00904248" w:rsidRDefault="00904248" w:rsidP="00E8308B">
      <w:pPr>
        <w:autoSpaceDE w:val="0"/>
        <w:autoSpaceDN w:val="0"/>
        <w:adjustRightInd w:val="0"/>
        <w:spacing w:before="240" w:line="360" w:lineRule="auto"/>
        <w:jc w:val="both"/>
      </w:pPr>
    </w:p>
    <w:p w14:paraId="40C67292" w14:textId="12B53484" w:rsidR="00904248" w:rsidRPr="00904248" w:rsidRDefault="00904248" w:rsidP="00904248">
      <w:pPr>
        <w:pStyle w:val="Citas"/>
        <w:jc w:val="center"/>
        <w:rPr>
          <w:b/>
        </w:rPr>
      </w:pPr>
      <w:r w:rsidRPr="00904248">
        <w:rPr>
          <w:b/>
        </w:rPr>
        <w:t>Ley de Contratación Pública del Estado de México</w:t>
      </w:r>
    </w:p>
    <w:p w14:paraId="06C78AA2" w14:textId="1EFD040D" w:rsidR="00904248" w:rsidRDefault="00904248" w:rsidP="00904248">
      <w:pPr>
        <w:pStyle w:val="Citas"/>
      </w:pPr>
      <w:r>
        <w:t xml:space="preserve">“Artículo I.- Esta Ley tiene por objeto regular los actos relativos a la planeación, programación, </w:t>
      </w:r>
      <w:proofErr w:type="spellStart"/>
      <w:r>
        <w:t>presupuestación</w:t>
      </w:r>
      <w:proofErr w:type="spellEnd"/>
      <w:r>
        <w:t xml:space="preserve">, ejecución y control de la adquisición, enajenación y </w:t>
      </w:r>
      <w:r>
        <w:lastRenderedPageBreak/>
        <w:t xml:space="preserve">arrendamiento de bienes, y la contratación de servicios de cualquier naturaleza, que realicen: </w:t>
      </w:r>
    </w:p>
    <w:p w14:paraId="0E0C35DF" w14:textId="77777777" w:rsidR="00904248" w:rsidRPr="00904248" w:rsidRDefault="00904248" w:rsidP="00904248">
      <w:pPr>
        <w:pStyle w:val="Citas"/>
        <w:rPr>
          <w:b/>
          <w:u w:val="single"/>
        </w:rPr>
      </w:pPr>
      <w:r w:rsidRPr="00904248">
        <w:rPr>
          <w:b/>
          <w:u w:val="single"/>
        </w:rPr>
        <w:t>I. Las secretarías y las unidades administrativas del Poder Ejecutivo del Estado.</w:t>
      </w:r>
    </w:p>
    <w:p w14:paraId="0CA2FE5A" w14:textId="77777777" w:rsidR="00904248" w:rsidRDefault="00904248" w:rsidP="00904248">
      <w:pPr>
        <w:pStyle w:val="Citas"/>
      </w:pPr>
      <w:r>
        <w:t xml:space="preserve"> II. La Procuraduría General de Justicia.</w:t>
      </w:r>
    </w:p>
    <w:p w14:paraId="614DEF40" w14:textId="6404792B" w:rsidR="00904248" w:rsidRDefault="00904248" w:rsidP="00904248">
      <w:pPr>
        <w:pStyle w:val="Citas"/>
      </w:pPr>
      <w:r>
        <w:t xml:space="preserve"> III. Los ayuntamientos de los municipios del Estado.</w:t>
      </w:r>
    </w:p>
    <w:p w14:paraId="1AA9427C" w14:textId="77777777" w:rsidR="00904248" w:rsidRDefault="00904248" w:rsidP="00904248">
      <w:pPr>
        <w:pStyle w:val="Citas"/>
      </w:pPr>
      <w:r>
        <w:t xml:space="preserve"> IV. Los organismos auxiliares y fideicomisos públicos, de carácter estatal o municipal. </w:t>
      </w:r>
    </w:p>
    <w:p w14:paraId="374F5568" w14:textId="6A685D0C" w:rsidR="005732F9" w:rsidRDefault="00904248" w:rsidP="00904248">
      <w:pPr>
        <w:pStyle w:val="Citas"/>
      </w:pPr>
      <w:r>
        <w:t>V. Los tribunales administrativos.</w:t>
      </w:r>
    </w:p>
    <w:p w14:paraId="7E95CB0B" w14:textId="281C7D7E" w:rsidR="00904248" w:rsidRDefault="00904248" w:rsidP="00904248">
      <w:pPr>
        <w:pStyle w:val="Citas"/>
      </w:pPr>
      <w:r>
        <w:t>(…)</w:t>
      </w:r>
    </w:p>
    <w:p w14:paraId="680707D6" w14:textId="79701654" w:rsidR="00904248" w:rsidRDefault="00904248" w:rsidP="00904248">
      <w:pPr>
        <w:pStyle w:val="Citas"/>
      </w:pPr>
      <w:r>
        <w:t>Artículo 3.- Para los efectos de la presente Ley se entenderá por:</w:t>
      </w:r>
    </w:p>
    <w:p w14:paraId="5C159371" w14:textId="021500AE" w:rsidR="00904248" w:rsidRDefault="00904248" w:rsidP="00904248">
      <w:pPr>
        <w:pStyle w:val="Citas"/>
      </w:pPr>
      <w:r>
        <w:t>(…)</w:t>
      </w:r>
    </w:p>
    <w:p w14:paraId="7AC7D166" w14:textId="7A3EAC67" w:rsidR="00904248" w:rsidRDefault="00904248" w:rsidP="00904248">
      <w:pPr>
        <w:pStyle w:val="Citas"/>
      </w:pPr>
      <w:r>
        <w:t>IX. Secretaría: A la Secretaría de Finanzas</w:t>
      </w:r>
    </w:p>
    <w:p w14:paraId="5168E7CC" w14:textId="613986F9" w:rsidR="00904248" w:rsidRDefault="00904248" w:rsidP="00904248">
      <w:pPr>
        <w:pStyle w:val="Citas"/>
      </w:pPr>
      <w:r>
        <w:t>(…)</w:t>
      </w:r>
    </w:p>
    <w:p w14:paraId="76FBF2E4" w14:textId="77777777" w:rsidR="00904248" w:rsidRPr="008F7D3E" w:rsidRDefault="00904248" w:rsidP="00904248">
      <w:pPr>
        <w:pStyle w:val="Citas"/>
        <w:rPr>
          <w:b/>
          <w:bCs/>
          <w:u w:val="single"/>
        </w:rPr>
      </w:pPr>
      <w:r w:rsidRPr="008F7D3E">
        <w:rPr>
          <w:b/>
          <w:bCs/>
          <w:u w:val="single"/>
        </w:rPr>
        <w:t xml:space="preserve">Artículo 5.- La Secretaría llevará a cabo los procedimientos de adquisición de bienes o servicios que requieran las dependencias, conforme a sus respectivos programas de adquisiciones. </w:t>
      </w:r>
    </w:p>
    <w:p w14:paraId="789A53CE" w14:textId="77777777" w:rsidR="00904248" w:rsidRDefault="00904248" w:rsidP="00904248">
      <w:pPr>
        <w:pStyle w:val="Citas"/>
      </w:pPr>
      <w:r>
        <w:t xml:space="preserve">Las entidades, tribunales administrativos y ayuntamientos, en el ámbito de su respectiva competencia, tendrán a su cargo el trámite de los procedimientos de </w:t>
      </w:r>
      <w:r>
        <w:lastRenderedPageBreak/>
        <w:t xml:space="preserve">adquisición de bienes, contratación de servicios, arrendamientos y enajenaciones de bienes muebles e inmuebles. </w:t>
      </w:r>
    </w:p>
    <w:p w14:paraId="240800BE" w14:textId="77F88F32" w:rsidR="00904248" w:rsidRPr="00904248" w:rsidRDefault="00904248" w:rsidP="00904248">
      <w:pPr>
        <w:pStyle w:val="Citas"/>
        <w:rPr>
          <w:b/>
        </w:rPr>
      </w:pPr>
      <w:r>
        <w:t xml:space="preserve">En el ámbito de la administración pública estatal central, corresponde a la Secretaría el trámite de los procedimientos de contratos, relativos a arrendamientos, adquisiciones de inmuebles y enajenaciones de bienes muebles e inmuebles, observando al respecto las medidas de austeridad señaladas en el Presupuesto de Egresos.” </w:t>
      </w:r>
      <w:r>
        <w:rPr>
          <w:b/>
        </w:rPr>
        <w:t xml:space="preserve">[Sic] </w:t>
      </w:r>
    </w:p>
    <w:p w14:paraId="798C551D" w14:textId="77777777" w:rsidR="005732F9" w:rsidRDefault="005732F9" w:rsidP="00E8308B">
      <w:pPr>
        <w:autoSpaceDE w:val="0"/>
        <w:autoSpaceDN w:val="0"/>
        <w:adjustRightInd w:val="0"/>
        <w:spacing w:before="240" w:line="360" w:lineRule="auto"/>
        <w:jc w:val="both"/>
      </w:pPr>
    </w:p>
    <w:p w14:paraId="62993CEE" w14:textId="22DBB78F" w:rsidR="002F4D6F" w:rsidRDefault="00796AFA" w:rsidP="00DF723C">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rPr>
        <w:t xml:space="preserve">En efecto, de la normatividad plasmada con anterioridad se desprende que la Secretaría de Finanzas, </w:t>
      </w:r>
      <w:r w:rsidR="0080747E">
        <w:rPr>
          <w:rFonts w:ascii="Palatino Linotype" w:hAnsi="Palatino Linotype" w:cs="Arial"/>
        </w:rPr>
        <w:t>funge como el ente público encargado de llevar a cabo los procedimientos de adquisición de bienes o servicios que requieran las dependencias</w:t>
      </w:r>
      <w:r w:rsidR="007C35A0">
        <w:rPr>
          <w:rFonts w:ascii="Palatino Linotype" w:hAnsi="Palatino Linotype" w:cs="Arial"/>
        </w:rPr>
        <w:t xml:space="preserve"> de sector central </w:t>
      </w:r>
      <w:r w:rsidR="007C35A0">
        <w:rPr>
          <w:rFonts w:ascii="Palatino Linotype" w:hAnsi="Palatino Linotype" w:cs="Arial"/>
          <w:b/>
        </w:rPr>
        <w:t>–entre otras-</w:t>
      </w:r>
      <w:r w:rsidR="0080747E">
        <w:rPr>
          <w:rFonts w:ascii="Palatino Linotype" w:hAnsi="Palatino Linotype" w:cs="Arial"/>
        </w:rPr>
        <w:t xml:space="preserve">, englobando al </w:t>
      </w:r>
      <w:r w:rsidR="0080747E">
        <w:rPr>
          <w:rFonts w:ascii="Palatino Linotype" w:hAnsi="Palatino Linotype" w:cs="Arial"/>
          <w:b/>
        </w:rPr>
        <w:t xml:space="preserve">Sujeto Obligado. </w:t>
      </w:r>
    </w:p>
    <w:p w14:paraId="7FB5A297" w14:textId="77777777" w:rsidR="002F4D6F" w:rsidRDefault="002F4D6F" w:rsidP="00DF723C">
      <w:pPr>
        <w:pStyle w:val="Prrafodelista"/>
        <w:autoSpaceDE w:val="0"/>
        <w:autoSpaceDN w:val="0"/>
        <w:adjustRightInd w:val="0"/>
        <w:spacing w:line="360" w:lineRule="auto"/>
        <w:ind w:left="0"/>
        <w:jc w:val="both"/>
        <w:rPr>
          <w:rFonts w:ascii="Palatino Linotype" w:hAnsi="Palatino Linotype" w:cs="Arial"/>
          <w:b/>
        </w:rPr>
      </w:pPr>
    </w:p>
    <w:p w14:paraId="6A4798A2" w14:textId="2BC3558C" w:rsidR="0080747E" w:rsidRDefault="0080747E" w:rsidP="00DF723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De forma complementaria, no resulta desapercibido para esta Ponencia Resolutora precisar que los procedimientos adquisitivos de la Secretaría de Finanzas, se inician a petición de parte, es decir, dichas adquisiciones se encuentran supeditadas al programa de adquisiciones de los entes públicos. </w:t>
      </w:r>
    </w:p>
    <w:p w14:paraId="1B8B0952" w14:textId="77777777" w:rsidR="0080747E" w:rsidRDefault="0080747E" w:rsidP="00DF723C">
      <w:pPr>
        <w:pStyle w:val="Prrafodelista"/>
        <w:autoSpaceDE w:val="0"/>
        <w:autoSpaceDN w:val="0"/>
        <w:adjustRightInd w:val="0"/>
        <w:spacing w:line="360" w:lineRule="auto"/>
        <w:ind w:left="0"/>
        <w:jc w:val="both"/>
        <w:rPr>
          <w:rFonts w:ascii="Palatino Linotype" w:hAnsi="Palatino Linotype" w:cs="Arial"/>
        </w:rPr>
      </w:pPr>
    </w:p>
    <w:p w14:paraId="7D1F9DA8" w14:textId="0A6BB83A" w:rsidR="002F4D6F" w:rsidRPr="00DA4E80" w:rsidRDefault="0080747E" w:rsidP="00DF723C">
      <w:pPr>
        <w:pStyle w:val="Prrafodelista"/>
        <w:autoSpaceDE w:val="0"/>
        <w:autoSpaceDN w:val="0"/>
        <w:adjustRightInd w:val="0"/>
        <w:spacing w:line="360" w:lineRule="auto"/>
        <w:ind w:left="0"/>
        <w:jc w:val="both"/>
        <w:rPr>
          <w:rFonts w:ascii="Palatino Linotype" w:hAnsi="Palatino Linotype" w:cs="Arial"/>
          <w:b/>
          <w:u w:val="single"/>
        </w:rPr>
      </w:pPr>
      <w:r w:rsidRPr="00DA4E80">
        <w:rPr>
          <w:rFonts w:ascii="Palatino Linotype" w:hAnsi="Palatino Linotype" w:cs="Arial"/>
          <w:b/>
          <w:u w:val="single"/>
        </w:rPr>
        <w:t xml:space="preserve">Luego entonces, es posible advertir que El Sujeto Obligado no es competente </w:t>
      </w:r>
      <w:r w:rsidR="002F4D6F" w:rsidRPr="00DA4E80">
        <w:rPr>
          <w:rFonts w:ascii="Palatino Linotype" w:hAnsi="Palatino Linotype" w:cs="Arial"/>
          <w:b/>
          <w:u w:val="single"/>
        </w:rPr>
        <w:t xml:space="preserve">por cuanto hace a los </w:t>
      </w:r>
      <w:r w:rsidRPr="00DA4E80">
        <w:rPr>
          <w:rFonts w:ascii="Palatino Linotype" w:hAnsi="Palatino Linotype" w:cs="Arial"/>
          <w:b/>
          <w:u w:val="single"/>
        </w:rPr>
        <w:t>procesos de licitaci</w:t>
      </w:r>
      <w:r w:rsidR="002F4D6F" w:rsidRPr="00DA4E80">
        <w:rPr>
          <w:rFonts w:ascii="Palatino Linotype" w:hAnsi="Palatino Linotype" w:cs="Arial"/>
          <w:b/>
          <w:u w:val="single"/>
        </w:rPr>
        <w:t>ón</w:t>
      </w:r>
      <w:r w:rsidR="0011781F">
        <w:rPr>
          <w:rFonts w:ascii="Palatino Linotype" w:hAnsi="Palatino Linotype" w:cs="Arial"/>
          <w:b/>
          <w:u w:val="single"/>
        </w:rPr>
        <w:t xml:space="preserve">. </w:t>
      </w:r>
      <w:r w:rsidR="002F4D6F" w:rsidRPr="00DA4E80">
        <w:rPr>
          <w:rFonts w:ascii="Palatino Linotype" w:hAnsi="Palatino Linotype" w:cs="Arial"/>
          <w:b/>
          <w:u w:val="single"/>
        </w:rPr>
        <w:t>En sentido contrario, lo relativo a compra de árboles y plantas de ornato (unidades adquiridas</w:t>
      </w:r>
      <w:r w:rsidR="00DA4E80" w:rsidRPr="00DA4E80">
        <w:rPr>
          <w:rFonts w:ascii="Palatino Linotype" w:hAnsi="Palatino Linotype" w:cs="Arial"/>
          <w:b/>
          <w:u w:val="single"/>
        </w:rPr>
        <w:t xml:space="preserve">, </w:t>
      </w:r>
      <w:r w:rsidR="002F4D6F" w:rsidRPr="00DA4E80">
        <w:rPr>
          <w:rFonts w:ascii="Palatino Linotype" w:hAnsi="Palatino Linotype" w:cs="Arial"/>
          <w:b/>
          <w:u w:val="single"/>
        </w:rPr>
        <w:t>costo por unidad</w:t>
      </w:r>
      <w:r w:rsidR="00DA4E80" w:rsidRPr="00DA4E80">
        <w:rPr>
          <w:rFonts w:ascii="Palatino Linotype" w:hAnsi="Palatino Linotype" w:cs="Arial"/>
          <w:b/>
          <w:u w:val="single"/>
        </w:rPr>
        <w:t>, así como la empresa o vendedor</w:t>
      </w:r>
      <w:r w:rsidR="008F7D3E">
        <w:rPr>
          <w:rFonts w:ascii="Palatino Linotype" w:hAnsi="Palatino Linotype" w:cs="Arial"/>
          <w:b/>
          <w:u w:val="single"/>
        </w:rPr>
        <w:t>, otros</w:t>
      </w:r>
      <w:r w:rsidR="002F4D6F" w:rsidRPr="00DA4E80">
        <w:rPr>
          <w:rFonts w:ascii="Palatino Linotype" w:hAnsi="Palatino Linotype" w:cs="Arial"/>
          <w:b/>
          <w:u w:val="single"/>
        </w:rPr>
        <w:t xml:space="preserve">) sí resultan ámbito de su competencia. </w:t>
      </w:r>
    </w:p>
    <w:p w14:paraId="7AE4A520" w14:textId="77777777" w:rsidR="002F4D6F" w:rsidRDefault="002F4D6F" w:rsidP="00DF723C">
      <w:pPr>
        <w:pStyle w:val="Prrafodelista"/>
        <w:autoSpaceDE w:val="0"/>
        <w:autoSpaceDN w:val="0"/>
        <w:adjustRightInd w:val="0"/>
        <w:spacing w:line="360" w:lineRule="auto"/>
        <w:ind w:left="0"/>
        <w:jc w:val="both"/>
        <w:rPr>
          <w:rFonts w:ascii="Palatino Linotype" w:hAnsi="Palatino Linotype" w:cs="Arial"/>
        </w:rPr>
      </w:pPr>
    </w:p>
    <w:p w14:paraId="5D1C8D24" w14:textId="77777777" w:rsidR="001B3239" w:rsidRDefault="001B3239" w:rsidP="00DF723C">
      <w:pPr>
        <w:pStyle w:val="Prrafodelista"/>
        <w:autoSpaceDE w:val="0"/>
        <w:autoSpaceDN w:val="0"/>
        <w:adjustRightInd w:val="0"/>
        <w:spacing w:line="360" w:lineRule="auto"/>
        <w:ind w:left="0"/>
        <w:jc w:val="both"/>
        <w:rPr>
          <w:rFonts w:ascii="Palatino Linotype" w:hAnsi="Palatino Linotype" w:cs="Arial"/>
        </w:rPr>
      </w:pPr>
    </w:p>
    <w:p w14:paraId="309FBD21" w14:textId="1512DE04" w:rsidR="002F4D6F" w:rsidRDefault="002F4D6F" w:rsidP="00DF723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Robustece lo anterior, </w:t>
      </w:r>
      <w:r w:rsidR="00DA4E80">
        <w:rPr>
          <w:rFonts w:ascii="Palatino Linotype" w:hAnsi="Palatino Linotype" w:cs="Arial"/>
        </w:rPr>
        <w:t>los siguientes extractos</w:t>
      </w:r>
      <w:r>
        <w:rPr>
          <w:rFonts w:ascii="Palatino Linotype" w:hAnsi="Palatino Linotype" w:cs="Arial"/>
        </w:rPr>
        <w:t xml:space="preserve">, correspondientes al </w:t>
      </w:r>
      <w:r w:rsidR="00DA4E80">
        <w:rPr>
          <w:rFonts w:ascii="Palatino Linotype" w:hAnsi="Palatino Linotype" w:cs="Arial"/>
        </w:rPr>
        <w:t xml:space="preserve">Manual Único de Contabilidad Gubernamental para las Dependencias y Entidades Públicas del Gobierno y Municipios del Estado de México (Decimonovena edición) 2020: </w:t>
      </w:r>
    </w:p>
    <w:p w14:paraId="01AC9D04" w14:textId="349F0C73" w:rsidR="001B3239" w:rsidRDefault="00DA4E80" w:rsidP="00DA4E80">
      <w:pPr>
        <w:pStyle w:val="Citas"/>
      </w:pPr>
      <w:r>
        <w:t>“</w:t>
      </w:r>
      <w:r w:rsidR="001B3239">
        <w:t>PRESENTACIÓN</w:t>
      </w:r>
    </w:p>
    <w:p w14:paraId="54AD609B" w14:textId="4617B863" w:rsidR="001B3239" w:rsidRDefault="001B3239" w:rsidP="00DA4E80">
      <w:pPr>
        <w:pStyle w:val="Citas"/>
      </w:pPr>
      <w:r>
        <w:t>(…)</w:t>
      </w:r>
    </w:p>
    <w:p w14:paraId="17098782" w14:textId="67622F9C" w:rsidR="001B3239" w:rsidRPr="001B3239" w:rsidRDefault="001B3239" w:rsidP="00DA4E80">
      <w:pPr>
        <w:pStyle w:val="Citas"/>
        <w:rPr>
          <w:b/>
          <w:u w:val="single"/>
        </w:rPr>
      </w:pPr>
      <w:r w:rsidRPr="001B3239">
        <w:rPr>
          <w:b/>
          <w:u w:val="single"/>
        </w:rPr>
        <w:t>Para efectos de este manual se entenderá como:</w:t>
      </w:r>
    </w:p>
    <w:p w14:paraId="3CC965CA" w14:textId="0C1B990C" w:rsidR="001B3239" w:rsidRDefault="001B3239" w:rsidP="00DA4E80">
      <w:pPr>
        <w:pStyle w:val="Citas"/>
      </w:pPr>
      <w:r>
        <w:t>(…)</w:t>
      </w:r>
    </w:p>
    <w:p w14:paraId="19CB1BF5" w14:textId="0B67CC50" w:rsidR="001B3239" w:rsidRDefault="001B3239" w:rsidP="00DA4E80">
      <w:pPr>
        <w:pStyle w:val="Citas"/>
        <w:rPr>
          <w:b/>
          <w:u w:val="single"/>
        </w:rPr>
      </w:pPr>
      <w:r w:rsidRPr="001B3239">
        <w:rPr>
          <w:b/>
          <w:u w:val="single"/>
        </w:rPr>
        <w:t>Dependencias: Son todos los órganos administrativos del Sector Central de la Administración Pública, incluyendo a la Fiscalía General de Justicia</w:t>
      </w:r>
    </w:p>
    <w:p w14:paraId="2815C01A" w14:textId="193C464C" w:rsidR="001B3239" w:rsidRPr="001B3239" w:rsidRDefault="001B3239" w:rsidP="00DA4E80">
      <w:pPr>
        <w:pStyle w:val="Citas"/>
      </w:pPr>
      <w:r w:rsidRPr="001B3239">
        <w:t>(…)</w:t>
      </w:r>
    </w:p>
    <w:p w14:paraId="6AADF597" w14:textId="56104944" w:rsidR="00DA4E80" w:rsidRDefault="00DA4E80" w:rsidP="00DA4E80">
      <w:pPr>
        <w:pStyle w:val="Citas"/>
      </w:pPr>
      <w:r>
        <w:t>CLASIFICADOR POR OBJETO DEL GASTO 2020 ESTATAL-MUNICIPAL</w:t>
      </w:r>
    </w:p>
    <w:p w14:paraId="76FB1883" w14:textId="295D24D4" w:rsidR="00DA4E80" w:rsidRDefault="00DA4E80" w:rsidP="00DA4E80">
      <w:pPr>
        <w:pStyle w:val="Citas"/>
      </w:pPr>
      <w:r>
        <w:t>(…)</w:t>
      </w:r>
    </w:p>
    <w:p w14:paraId="3C3A6CAC" w14:textId="59C5091A" w:rsidR="00DA4E80" w:rsidRDefault="00DA4E80" w:rsidP="00DA4E80">
      <w:pPr>
        <w:pStyle w:val="Citas"/>
      </w:pPr>
      <w:r>
        <w:t>2000 MATERIALES Y SUMINISTROS. Agrupa las asignaciones destinadas a la adquisición de toda clase de insumos y suministros requeridos para la prestación de bienes y servicios públicos y para el desempeño de las actividades administrativas</w:t>
      </w:r>
    </w:p>
    <w:p w14:paraId="755AA930" w14:textId="514AF706" w:rsidR="00DA4E80" w:rsidRDefault="00DA4E80" w:rsidP="00DA4E80">
      <w:pPr>
        <w:pStyle w:val="Citas"/>
      </w:pPr>
      <w:r>
        <w:t>(…)</w:t>
      </w:r>
    </w:p>
    <w:p w14:paraId="5F3BF35D" w14:textId="5704BA68" w:rsidR="00357911" w:rsidRDefault="00357911" w:rsidP="00DA4E80">
      <w:pPr>
        <w:pStyle w:val="Citas"/>
      </w:pPr>
      <w:r>
        <w:t>2400 MATERIALES Y ARTICULOS DE CONSTRUCCION Y DE REPARACIÓN.</w:t>
      </w:r>
    </w:p>
    <w:p w14:paraId="6B70104E" w14:textId="03341347" w:rsidR="00357911" w:rsidRDefault="00357911" w:rsidP="00DA4E80">
      <w:pPr>
        <w:pStyle w:val="Citas"/>
      </w:pPr>
      <w:r>
        <w:t>(…)</w:t>
      </w:r>
    </w:p>
    <w:p w14:paraId="43F38A14" w14:textId="5BF04419" w:rsidR="00DA4E80" w:rsidRPr="00357911" w:rsidRDefault="00DA4E80" w:rsidP="00DA4E80">
      <w:pPr>
        <w:pStyle w:val="Citas"/>
        <w:rPr>
          <w:b/>
          <w:u w:val="single"/>
        </w:rPr>
      </w:pPr>
      <w:r w:rsidRPr="00357911">
        <w:rPr>
          <w:b/>
          <w:u w:val="single"/>
        </w:rPr>
        <w:lastRenderedPageBreak/>
        <w:t>2483 Árboles y plantas de ornato. Asignación destinada para la adquisición de todo tipo de árboles, plantas de ornato y materiales para la conservación de áreas y jardines, así como para la dignificación de oficinas.</w:t>
      </w:r>
    </w:p>
    <w:p w14:paraId="7FD42DC8" w14:textId="2A74CCCE" w:rsidR="00357911" w:rsidRPr="00357911" w:rsidRDefault="00357911" w:rsidP="00DA4E80">
      <w:pPr>
        <w:pStyle w:val="Citas"/>
        <w:rPr>
          <w:b/>
        </w:rPr>
      </w:pPr>
      <w:r>
        <w:t xml:space="preserve">(…)” </w:t>
      </w:r>
      <w:r>
        <w:rPr>
          <w:b/>
        </w:rPr>
        <w:t xml:space="preserve">[Sic] </w:t>
      </w:r>
    </w:p>
    <w:p w14:paraId="2867E6F7" w14:textId="77777777" w:rsidR="00DA4E80" w:rsidRDefault="00DA4E80" w:rsidP="00DF723C">
      <w:pPr>
        <w:pStyle w:val="Prrafodelista"/>
        <w:autoSpaceDE w:val="0"/>
        <w:autoSpaceDN w:val="0"/>
        <w:adjustRightInd w:val="0"/>
        <w:spacing w:line="360" w:lineRule="auto"/>
        <w:ind w:left="0"/>
        <w:jc w:val="both"/>
        <w:rPr>
          <w:rFonts w:ascii="Palatino Linotype" w:hAnsi="Palatino Linotype" w:cs="Arial"/>
        </w:rPr>
      </w:pPr>
    </w:p>
    <w:p w14:paraId="5BB93DD2" w14:textId="1A0D0639" w:rsidR="002F4D6F" w:rsidRPr="001B3239" w:rsidRDefault="001B3239" w:rsidP="00DF723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Con base en lo anteriormente expuesto, es posible advertir que la información requerida por el particular es susceptible de ser parcialmente generada, poseída y administrada por </w:t>
      </w:r>
      <w:r>
        <w:rPr>
          <w:rFonts w:ascii="Palatino Linotype" w:hAnsi="Palatino Linotype" w:cs="Arial"/>
          <w:b/>
        </w:rPr>
        <w:t xml:space="preserve">El Sujeto Obligado. </w:t>
      </w:r>
    </w:p>
    <w:p w14:paraId="0DC49564" w14:textId="15D8DA97" w:rsidR="00446F3F" w:rsidRDefault="00211C66" w:rsidP="00271EED">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Ahora bien</w:t>
      </w:r>
      <w:r w:rsidR="000B7D23">
        <w:rPr>
          <w:rFonts w:ascii="Palatino Linotype" w:hAnsi="Palatino Linotype"/>
          <w:noProof/>
          <w:lang w:eastAsia="es-MX"/>
        </w:rPr>
        <w:t xml:space="preserve">, como se mencionó en el antecedente segundo, </w:t>
      </w:r>
      <w:r w:rsidR="000B7D23">
        <w:rPr>
          <w:rFonts w:ascii="Palatino Linotype" w:hAnsi="Palatino Linotype"/>
          <w:b/>
          <w:noProof/>
          <w:lang w:eastAsia="es-MX"/>
        </w:rPr>
        <w:t xml:space="preserve">El Sujeto Obligado </w:t>
      </w:r>
      <w:r w:rsidR="000B7D23">
        <w:rPr>
          <w:rFonts w:ascii="Palatino Linotype" w:hAnsi="Palatino Linotype"/>
          <w:noProof/>
          <w:lang w:eastAsia="es-MX"/>
        </w:rPr>
        <w:t xml:space="preserve">en fecha </w:t>
      </w:r>
      <w:r w:rsidR="001B3239">
        <w:rPr>
          <w:rFonts w:ascii="Palatino Linotype" w:hAnsi="Palatino Linotype"/>
          <w:noProof/>
          <w:lang w:eastAsia="es-MX"/>
        </w:rPr>
        <w:t xml:space="preserve">dieciocho de agosto de dos mil veintiuno, rindió su respuesta a la solicitud de información formulada por el particular, en los siguientes términos: </w:t>
      </w:r>
    </w:p>
    <w:p w14:paraId="6C5F2C9F" w14:textId="77777777" w:rsidR="001B3239" w:rsidRDefault="001B3239" w:rsidP="001B3239">
      <w:pPr>
        <w:pStyle w:val="Citas"/>
        <w:rPr>
          <w:lang w:eastAsia="es-MX"/>
        </w:rPr>
      </w:pPr>
      <w:r>
        <w:rPr>
          <w:lang w:eastAsia="es-MX"/>
        </w:rPr>
        <w:t xml:space="preserve">“En </w:t>
      </w:r>
      <w:r w:rsidRPr="00E322B3">
        <w:rPr>
          <w:lang w:eastAsia="es-MX"/>
        </w:rPr>
        <w:t>respuesta a la solicitud recibida, nos permitimos hacer de su conocimiento que con fundamento en el artículo 53, Fracciones: II, V y VI de la Ley de Transparencia y Acceso a la Información Pública del Estado de México y Municipios, le contestamos que:</w:t>
      </w:r>
    </w:p>
    <w:p w14:paraId="1A3FCC5F" w14:textId="77777777" w:rsidR="001B3239" w:rsidRPr="00E322B3" w:rsidRDefault="001B3239" w:rsidP="001B3239">
      <w:pPr>
        <w:pStyle w:val="Citas"/>
        <w:rPr>
          <w:b/>
          <w:lang w:eastAsia="es-MX"/>
        </w:rPr>
      </w:pPr>
      <w:r>
        <w:rPr>
          <w:lang w:eastAsia="es-MX"/>
        </w:rPr>
        <w:t xml:space="preserve">EN </w:t>
      </w:r>
      <w:r w:rsidRPr="00E322B3">
        <w:rPr>
          <w:lang w:eastAsia="es-MX"/>
        </w:rPr>
        <w:t xml:space="preserve">OBSERVANCIA AL ARTÍCULO ARTÍCULOS 53, 59 FRACCIÓN II DE LA LEY DE TRANSPARENCIA Y ACCESO A LA INFORMACIÓN PÚBLICA DEL ESTADO DE MÉXICO Y MUNICIPIOS; ME PERMITO DAR CONTESTACIÓN EN TIEMPO Y FORMA, BAJO LOS SIGUIENTES ARGUMENTOS: 1. POR LO QUE RESPECTA AL DESGLOSE DE GASTOS SEÑALADO POR EL CIUDADANO (CUÁNTAS SE COMPRARON, COSTO POR UNIDAD, EMPRESA O VENDEDOR, PROCESO DE LICITACIÓN), CORRESPONDIENTE AL EJERCICIO FISCAL 2017, 2018, 2019, 2020 Y 2021, </w:t>
      </w:r>
      <w:r w:rsidRPr="00446F3F">
        <w:rPr>
          <w:b/>
          <w:u w:val="single"/>
          <w:lang w:eastAsia="es-MX"/>
        </w:rPr>
        <w:lastRenderedPageBreak/>
        <w:t>EN CUANTO A LA PARTIDA 248. CABE SEÑALAR, QUE EL MANUAL ÚNICO DE CONTABILIDAD GUBERNAMENTAL PARA LAS DEPENDENCIAS Y ENTIDADES PÚBLICAS DEL GOBIERNO Y MUNICIPIOS DEL ESTADO DE MÉXICO, NO CONTEMPLA DICHA PARTIDA.</w:t>
      </w:r>
      <w:r w:rsidRPr="00E322B3">
        <w:rPr>
          <w:lang w:eastAsia="es-MX"/>
        </w:rPr>
        <w:t xml:space="preserve"> POR LO TANTO, NO SE PUEDE DESCRIBIR EN LOS TÉRMINOS SOLICITADOS</w:t>
      </w:r>
      <w:r w:rsidRPr="00446F3F">
        <w:rPr>
          <w:b/>
          <w:u w:val="single"/>
          <w:lang w:eastAsia="es-MX"/>
        </w:rPr>
        <w:t>. 2. EN LO REFERENTE A LOS PROCESOS DE LICITACIÓN, ESTOS SON SUSTANCIADOS POR LA DIRECCIÓN GENERAL DE RECURSOS MATERIALES DE LA SECRETARÍA DE FINANZAS DEL GOBIERNO DEL ESTADO DE MÉXICO, EN OBSERVANCIA EN LA LEY DE CONTRATACIÓN PÚBLICA DEL ESTADO DE MÉXICO Y MUNICIPIOS, ASÍ COMO, EN EL ACUERDO POR EL QUE SE ESTABLECEN LAS POLÍTICAS, BASES Y LINEAMIENTOS EN MATERIA DE ADQUISICIONES, ARRENDAMIENTOS Y SERVICIOS DE LAS DEPENDENCIAS DEL PODER EJECUTIVO DEL GOBIERNO DEL ESTADO DE MÉXICO”</w:t>
      </w:r>
      <w:r>
        <w:rPr>
          <w:lang w:eastAsia="es-MX"/>
        </w:rPr>
        <w:t xml:space="preserve"> </w:t>
      </w:r>
      <w:r>
        <w:rPr>
          <w:b/>
          <w:lang w:eastAsia="es-MX"/>
        </w:rPr>
        <w:t xml:space="preserve">[Sic] </w:t>
      </w:r>
    </w:p>
    <w:p w14:paraId="35082DFC" w14:textId="77777777" w:rsidR="001B3239" w:rsidRDefault="001B3239" w:rsidP="00271EED">
      <w:pPr>
        <w:pStyle w:val="Default"/>
        <w:spacing w:before="240" w:after="160" w:line="360" w:lineRule="auto"/>
        <w:jc w:val="both"/>
        <w:rPr>
          <w:rFonts w:ascii="Palatino Linotype" w:hAnsi="Palatino Linotype"/>
          <w:noProof/>
          <w:lang w:eastAsia="es-MX"/>
        </w:rPr>
      </w:pPr>
    </w:p>
    <w:p w14:paraId="1957944F" w14:textId="25DD15BF" w:rsidR="00C33C2E" w:rsidRDefault="001B3239" w:rsidP="00271EED">
      <w:pPr>
        <w:pStyle w:val="Default"/>
        <w:spacing w:before="240" w:after="160" w:line="360" w:lineRule="auto"/>
        <w:jc w:val="both"/>
        <w:rPr>
          <w:rFonts w:ascii="Palatino Linotype" w:hAnsi="Palatino Linotype"/>
          <w:b/>
          <w:u w:val="single"/>
        </w:rPr>
      </w:pPr>
      <w:r w:rsidRPr="001B3239">
        <w:rPr>
          <w:rFonts w:ascii="Palatino Linotype" w:hAnsi="Palatino Linotype"/>
          <w:noProof/>
          <w:lang w:eastAsia="es-MX"/>
        </w:rPr>
        <w:t xml:space="preserve">Bajo estas líneas argumentativas, de una interpretación literal y gramatica a la respuesta del </w:t>
      </w:r>
      <w:r w:rsidRPr="001B3239">
        <w:rPr>
          <w:rFonts w:ascii="Palatino Linotype" w:hAnsi="Palatino Linotype"/>
          <w:b/>
          <w:noProof/>
          <w:lang w:eastAsia="es-MX"/>
        </w:rPr>
        <w:t xml:space="preserve">Sujeto Obligado, </w:t>
      </w:r>
      <w:r w:rsidRPr="001B3239">
        <w:rPr>
          <w:rFonts w:ascii="Palatino Linotype" w:hAnsi="Palatino Linotype"/>
          <w:noProof/>
          <w:lang w:eastAsia="es-MX"/>
        </w:rPr>
        <w:t xml:space="preserve">es posible advertir que no colmó el derecho de acceso a la información ya que inobservó el principio de suplencia de la queja deficiente imperante en la materia, al limitarse a señalar que no tiene una partida 248, </w:t>
      </w:r>
      <w:r>
        <w:rPr>
          <w:rFonts w:ascii="Palatino Linotype" w:hAnsi="Palatino Linotype"/>
          <w:noProof/>
          <w:lang w:eastAsia="es-MX"/>
        </w:rPr>
        <w:t xml:space="preserve">ya que como </w:t>
      </w:r>
      <w:r w:rsidR="00D57658">
        <w:rPr>
          <w:rFonts w:ascii="Palatino Linotype" w:hAnsi="Palatino Linotype"/>
          <w:noProof/>
          <w:lang w:eastAsia="es-MX"/>
        </w:rPr>
        <w:t xml:space="preserve">fue </w:t>
      </w:r>
      <w:r>
        <w:rPr>
          <w:rFonts w:ascii="Palatino Linotype" w:hAnsi="Palatino Linotype"/>
          <w:noProof/>
          <w:lang w:eastAsia="es-MX"/>
        </w:rPr>
        <w:t xml:space="preserve">expuesto en parrafos precedentes </w:t>
      </w:r>
      <w:r w:rsidRPr="001B3239">
        <w:rPr>
          <w:rFonts w:ascii="Palatino Linotype" w:hAnsi="Palatino Linotype"/>
          <w:noProof/>
          <w:lang w:eastAsia="es-MX"/>
        </w:rPr>
        <w:t xml:space="preserve">sí </w:t>
      </w:r>
      <w:r>
        <w:rPr>
          <w:rFonts w:ascii="Palatino Linotype" w:hAnsi="Palatino Linotype"/>
          <w:noProof/>
          <w:lang w:eastAsia="es-MX"/>
        </w:rPr>
        <w:t xml:space="preserve">cuenta con </w:t>
      </w:r>
      <w:r w:rsidRPr="001B3239">
        <w:rPr>
          <w:rFonts w:ascii="Palatino Linotype" w:hAnsi="Palatino Linotype"/>
          <w:noProof/>
          <w:lang w:eastAsia="es-MX"/>
        </w:rPr>
        <w:t xml:space="preserve">la partida </w:t>
      </w:r>
      <w:r w:rsidRPr="001B3239">
        <w:rPr>
          <w:rFonts w:ascii="Palatino Linotype" w:hAnsi="Palatino Linotype"/>
          <w:b/>
          <w:u w:val="single"/>
        </w:rPr>
        <w:t xml:space="preserve">2483 Árboles y plantas de ornato. </w:t>
      </w:r>
    </w:p>
    <w:p w14:paraId="1C900EB0" w14:textId="4FE15A63" w:rsidR="001B3239" w:rsidRDefault="001B3239" w:rsidP="00271EED">
      <w:pPr>
        <w:pStyle w:val="Default"/>
        <w:spacing w:before="240" w:after="160" w:line="360" w:lineRule="auto"/>
        <w:jc w:val="both"/>
        <w:rPr>
          <w:rFonts w:ascii="Palatino Linotype" w:hAnsi="Palatino Linotype"/>
        </w:rPr>
      </w:pPr>
      <w:r>
        <w:rPr>
          <w:rFonts w:ascii="Palatino Linotype" w:hAnsi="Palatino Linotype"/>
        </w:rPr>
        <w:t xml:space="preserve">Adicionalmente, </w:t>
      </w:r>
      <w:r>
        <w:rPr>
          <w:rFonts w:ascii="Palatino Linotype" w:hAnsi="Palatino Linotype"/>
          <w:b/>
        </w:rPr>
        <w:t xml:space="preserve">El Sujeto Obligado </w:t>
      </w:r>
      <w:r>
        <w:rPr>
          <w:rFonts w:ascii="Palatino Linotype" w:hAnsi="Palatino Linotype"/>
        </w:rPr>
        <w:t xml:space="preserve">fue omiso en remitir  el Acuerdo emitido por el Comité de Transparencia en donde confirme la incompetencia respecto de los </w:t>
      </w:r>
      <w:r>
        <w:rPr>
          <w:rFonts w:ascii="Palatino Linotype" w:hAnsi="Palatino Linotype"/>
        </w:rPr>
        <w:lastRenderedPageBreak/>
        <w:t xml:space="preserve">procedimientos de licitaciones, inobservando el numeral 167 de la Ley de Transparencia local, porción normativa cuyo contenido literal es el siguiente: </w:t>
      </w:r>
    </w:p>
    <w:p w14:paraId="72FF6630" w14:textId="139CC7F3" w:rsidR="00C33C2E" w:rsidRDefault="00C33C2E" w:rsidP="00C33C2E">
      <w:pPr>
        <w:pStyle w:val="Citas"/>
      </w:pPr>
      <w:r>
        <w:t>“</w:t>
      </w:r>
      <w:r w:rsidR="001B3239">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5FE1B300" w14:textId="77777777" w:rsidR="00C33C2E" w:rsidRDefault="001B3239" w:rsidP="00C33C2E">
      <w:pPr>
        <w:pStyle w:val="Citas"/>
      </w:pPr>
      <w: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6A421397" w14:textId="34A42CCD" w:rsidR="001B3239" w:rsidRPr="00C33C2E" w:rsidRDefault="001B3239" w:rsidP="00C33C2E">
      <w:pPr>
        <w:pStyle w:val="Citas"/>
        <w:rPr>
          <w:b/>
        </w:rPr>
      </w:pPr>
      <w:r>
        <w:t>Si transcurrido el plazo señalado en el primer párrafo de este artículo, el sujeto obligado no declina la competencia en los términos establecidos, podrá canalizar la solicitud ante el sujeto obligado competente.</w:t>
      </w:r>
      <w:r w:rsidR="00C33C2E">
        <w:t xml:space="preserve">” </w:t>
      </w:r>
      <w:r w:rsidR="00C33C2E">
        <w:rPr>
          <w:b/>
        </w:rPr>
        <w:t xml:space="preserve">[Sic] </w:t>
      </w:r>
    </w:p>
    <w:p w14:paraId="3227F808" w14:textId="77777777" w:rsidR="001B3239" w:rsidRPr="001B3239" w:rsidRDefault="001B3239" w:rsidP="00271EED">
      <w:pPr>
        <w:pStyle w:val="Default"/>
        <w:spacing w:before="240" w:after="160" w:line="360" w:lineRule="auto"/>
        <w:jc w:val="both"/>
        <w:rPr>
          <w:rFonts w:ascii="Palatino Linotype" w:hAnsi="Palatino Linotype"/>
          <w:noProof/>
          <w:lang w:eastAsia="es-MX"/>
        </w:rPr>
      </w:pPr>
    </w:p>
    <w:p w14:paraId="135570F1" w14:textId="2DDBFCD7" w:rsidR="00C33C2E" w:rsidRDefault="00353C25" w:rsidP="00211C66">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 xml:space="preserve">Inconforme con la respuesta rendida por </w:t>
      </w:r>
      <w:r w:rsidR="00AE33FE">
        <w:rPr>
          <w:rFonts w:ascii="Palatino Linotype" w:hAnsi="Palatino Linotype"/>
          <w:b/>
          <w:noProof/>
          <w:lang w:eastAsia="es-MX"/>
        </w:rPr>
        <w:t>El Sujeto Obligado, El</w:t>
      </w:r>
      <w:r>
        <w:rPr>
          <w:rFonts w:ascii="Palatino Linotype" w:hAnsi="Palatino Linotype"/>
          <w:b/>
          <w:noProof/>
          <w:lang w:eastAsia="es-MX"/>
        </w:rPr>
        <w:t xml:space="preserve"> Recurrente </w:t>
      </w:r>
      <w:r>
        <w:rPr>
          <w:rFonts w:ascii="Palatino Linotype" w:hAnsi="Palatino Linotype"/>
          <w:noProof/>
          <w:lang w:eastAsia="es-MX"/>
        </w:rPr>
        <w:t xml:space="preserve">interpuso recurso de revisión en fecha </w:t>
      </w:r>
      <w:r w:rsidR="00C33C2E">
        <w:rPr>
          <w:rFonts w:ascii="Palatino Linotype" w:hAnsi="Palatino Linotype"/>
          <w:noProof/>
          <w:lang w:eastAsia="es-MX"/>
        </w:rPr>
        <w:t xml:space="preserve">veinte de agosto, admitiendose el veinticinco de agosto,ambos de dos mil veintiuno. Señalando como razones o motivos de inconformidad: </w:t>
      </w:r>
    </w:p>
    <w:p w14:paraId="1A3CE9A4" w14:textId="03903153" w:rsidR="00C33C2E" w:rsidRPr="00C33C2E" w:rsidRDefault="00C33C2E" w:rsidP="00C33C2E">
      <w:pPr>
        <w:pStyle w:val="Citas"/>
        <w:rPr>
          <w:b/>
          <w:noProof/>
          <w:lang w:eastAsia="es-MX"/>
        </w:rPr>
      </w:pPr>
      <w:r>
        <w:t xml:space="preserve">“La secretaria respondió: "QUE EL MANUAL ÚNICO DE CONTABILIDAD GUBERNAMENTAL PARA LAS DEPENDENCIAS Y ENTIDADES PÚBLICAS DEL GOBIERNO Y MUNICIPIOS DEL ESTADO DE MÉXICO, NO CONTEMPLA DICHA PARTIDA. POR LO TANTO, NO SE PUEDE </w:t>
      </w:r>
      <w:r>
        <w:lastRenderedPageBreak/>
        <w:t xml:space="preserve">DESCRIBIR EN LOS TÉRMINOS SOLICITADOS"; </w:t>
      </w:r>
      <w:r w:rsidRPr="00FB7DDC">
        <w:rPr>
          <w:b/>
          <w:u w:val="single"/>
        </w:rPr>
        <w:t>sin embargo en el avance presupuesta global (se adjunta) que se publica a través de la página de la secretaría de finanzas la partida existe, misma que la secretaria de cultura ha usado, por lo que solicito se responda la información solicitada que es:</w:t>
      </w:r>
      <w:r>
        <w:t xml:space="preserve"> De acuerdo al Avance financiero mensual por unidad responsable y objeto de gasto de esta dependencia del 2020, se autorizaron 690 mil 440.77 pesos para la compra de Árboles y plantas de ornato, en la partida presupuestal 248. Por ello solicito a esta dependencia el desglose de ese gasto de ese año, de 2017, 2018, 2019 y lo que va del 2021, es decir, cuántas se compraron, costo por unidad, empresa o vendedor, proceso de licitación, etc. o en su defecto especifica en que se </w:t>
      </w:r>
      <w:proofErr w:type="spellStart"/>
      <w:r>
        <w:t>uso</w:t>
      </w:r>
      <w:proofErr w:type="spellEnd"/>
      <w:r>
        <w:t xml:space="preserve"> ese dinero aprobado para dicha partida </w:t>
      </w:r>
      <w:proofErr w:type="spellStart"/>
      <w:r>
        <w:t>presupuesta</w:t>
      </w:r>
      <w:proofErr w:type="spellEnd"/>
      <w:r>
        <w:t xml:space="preserve">.” </w:t>
      </w:r>
      <w:r>
        <w:rPr>
          <w:b/>
        </w:rPr>
        <w:t xml:space="preserve">[Sic] </w:t>
      </w:r>
    </w:p>
    <w:p w14:paraId="0F54FB89" w14:textId="77777777" w:rsidR="00C33C2E" w:rsidRDefault="00C33C2E" w:rsidP="00211C66">
      <w:pPr>
        <w:pStyle w:val="Default"/>
        <w:spacing w:before="240" w:after="160" w:line="360" w:lineRule="auto"/>
        <w:jc w:val="both"/>
        <w:rPr>
          <w:rFonts w:ascii="Palatino Linotype" w:hAnsi="Palatino Linotype"/>
          <w:noProof/>
          <w:lang w:eastAsia="es-MX"/>
        </w:rPr>
      </w:pPr>
    </w:p>
    <w:p w14:paraId="17750A8D" w14:textId="1725AB06" w:rsidR="00C33C2E" w:rsidRDefault="00C33C2E" w:rsidP="00211C66">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 xml:space="preserve">Por otra parte, como fue referido en el antecedente tercero, </w:t>
      </w:r>
      <w:r>
        <w:rPr>
          <w:rFonts w:ascii="Palatino Linotype" w:hAnsi="Palatino Linotype"/>
          <w:b/>
          <w:noProof/>
          <w:lang w:eastAsia="es-MX"/>
        </w:rPr>
        <w:t xml:space="preserve">El Recurrente </w:t>
      </w:r>
      <w:r>
        <w:rPr>
          <w:rFonts w:ascii="Palatino Linotype" w:hAnsi="Palatino Linotype"/>
          <w:noProof/>
          <w:lang w:eastAsia="es-MX"/>
        </w:rPr>
        <w:t xml:space="preserve">adjuntó los siguientes documentos electrónicos: </w:t>
      </w:r>
    </w:p>
    <w:p w14:paraId="7AACCF9E" w14:textId="1FF0E427" w:rsidR="00C33C2E" w:rsidRPr="004313D2" w:rsidRDefault="004313D2" w:rsidP="00C33C2E">
      <w:pPr>
        <w:pStyle w:val="Default"/>
        <w:numPr>
          <w:ilvl w:val="0"/>
          <w:numId w:val="15"/>
        </w:numPr>
        <w:spacing w:before="240" w:after="160" w:line="360" w:lineRule="auto"/>
        <w:jc w:val="both"/>
        <w:rPr>
          <w:rFonts w:ascii="Palatino Linotype" w:hAnsi="Palatino Linotype"/>
          <w:b/>
          <w:noProof/>
          <w:u w:val="single"/>
          <w:lang w:eastAsia="es-MX"/>
        </w:rPr>
      </w:pPr>
      <w:r>
        <w:rPr>
          <w:rFonts w:ascii="Palatino Linotype" w:hAnsi="Palatino Linotype"/>
          <w:noProof/>
          <w:lang w:eastAsia="es-MX"/>
        </w:rPr>
        <mc:AlternateContent>
          <mc:Choice Requires="wps">
            <w:drawing>
              <wp:anchor distT="0" distB="0" distL="114300" distR="114300" simplePos="0" relativeHeight="251757558" behindDoc="0" locked="0" layoutInCell="1" allowOverlap="1" wp14:anchorId="59B8EECB" wp14:editId="0B23F95E">
                <wp:simplePos x="0" y="0"/>
                <wp:positionH relativeFrom="column">
                  <wp:posOffset>-133350</wp:posOffset>
                </wp:positionH>
                <wp:positionV relativeFrom="paragraph">
                  <wp:posOffset>1858175</wp:posOffset>
                </wp:positionV>
                <wp:extent cx="6528021" cy="1518699"/>
                <wp:effectExtent l="0" t="0" r="25400" b="24765"/>
                <wp:wrapNone/>
                <wp:docPr id="19" name="Conector recto 19"/>
                <wp:cNvGraphicFramePr/>
                <a:graphic xmlns:a="http://schemas.openxmlformats.org/drawingml/2006/main">
                  <a:graphicData uri="http://schemas.microsoft.com/office/word/2010/wordprocessingShape">
                    <wps:wsp>
                      <wps:cNvCnPr/>
                      <wps:spPr>
                        <a:xfrm>
                          <a:off x="0" y="0"/>
                          <a:ext cx="6528021" cy="15186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8AA033" id="Conector recto 19" o:spid="_x0000_s1026" style="position:absolute;z-index:251757558;visibility:visible;mso-wrap-style:square;mso-wrap-distance-left:9pt;mso-wrap-distance-top:0;mso-wrap-distance-right:9pt;mso-wrap-distance-bottom:0;mso-position-horizontal:absolute;mso-position-horizontal-relative:text;mso-position-vertical:absolute;mso-position-vertical-relative:text" from="-10.5pt,146.3pt" to="503.5pt,2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" strokecolor="#5b9bd5 [3204]" strokeweight=".5pt">
                <v:stroke joinstyle="miter"/>
              </v:line>
            </w:pict>
          </mc:Fallback>
        </mc:AlternateContent>
      </w:r>
      <w:r w:rsidR="00C33C2E">
        <w:rPr>
          <w:rFonts w:ascii="Palatino Linotype" w:hAnsi="Palatino Linotype"/>
          <w:b/>
          <w:noProof/>
          <w:lang w:eastAsia="es-MX"/>
        </w:rPr>
        <w:t xml:space="preserve">“PARTIDA PRESUPUESTAL copia.png” </w:t>
      </w:r>
      <w:r w:rsidR="00C33C2E">
        <w:rPr>
          <w:rFonts w:ascii="Palatino Linotype" w:hAnsi="Palatino Linotype"/>
          <w:noProof/>
          <w:lang w:eastAsia="es-MX"/>
        </w:rPr>
        <w:t xml:space="preserve">y </w:t>
      </w:r>
      <w:r w:rsidR="00C33C2E">
        <w:rPr>
          <w:rFonts w:ascii="Palatino Linotype" w:hAnsi="Palatino Linotype"/>
          <w:b/>
          <w:noProof/>
          <w:lang w:eastAsia="es-MX"/>
        </w:rPr>
        <w:t xml:space="preserve">“partida presupuesta Arboles y plantas.png”: </w:t>
      </w:r>
      <w:r w:rsidR="00C33C2E">
        <w:rPr>
          <w:rFonts w:ascii="Palatino Linotype" w:hAnsi="Palatino Linotype"/>
          <w:noProof/>
          <w:lang w:eastAsia="es-MX"/>
        </w:rPr>
        <w:t xml:space="preserve">Avance presupuestal, refleja partida, descripción aprobado, ampliación, reducción, modificado, ejercido, variación ABS y variación %. Del cotejo entre ambos soportes documentales se desprende que reflejan el mismo contenido, </w:t>
      </w:r>
      <w:r w:rsidR="00C33C2E" w:rsidRPr="004313D2">
        <w:rPr>
          <w:rFonts w:ascii="Palatino Linotype" w:hAnsi="Palatino Linotype"/>
          <w:b/>
          <w:noProof/>
          <w:u w:val="single"/>
          <w:lang w:eastAsia="es-MX"/>
        </w:rPr>
        <w:t>sirve de sustento la siguiente imagen ilustrativa</w:t>
      </w:r>
      <w:r w:rsidRPr="004313D2">
        <w:rPr>
          <w:rFonts w:ascii="Palatino Linotype" w:hAnsi="Palatino Linotype"/>
          <w:b/>
          <w:noProof/>
          <w:u w:val="single"/>
          <w:lang w:eastAsia="es-MX"/>
        </w:rPr>
        <w:t xml:space="preserve">, correspondiente a su reproducción original: </w:t>
      </w:r>
    </w:p>
    <w:p w14:paraId="4DC0DD72" w14:textId="4C8B8818" w:rsidR="00C33C2E" w:rsidRDefault="00C33C2E" w:rsidP="00271EED">
      <w:pPr>
        <w:pStyle w:val="Default"/>
        <w:spacing w:before="240" w:after="160" w:line="360" w:lineRule="auto"/>
        <w:jc w:val="both"/>
        <w:rPr>
          <w:rFonts w:ascii="Palatino Linotype" w:hAnsi="Palatino Linotype"/>
          <w:noProof/>
          <w:lang w:eastAsia="es-MX"/>
        </w:rPr>
      </w:pPr>
    </w:p>
    <w:p w14:paraId="7AFC4344" w14:textId="77777777" w:rsidR="00C33C2E" w:rsidRDefault="00C33C2E" w:rsidP="00271EED">
      <w:pPr>
        <w:pStyle w:val="Default"/>
        <w:spacing w:before="240" w:after="160" w:line="360" w:lineRule="auto"/>
        <w:jc w:val="both"/>
        <w:rPr>
          <w:rFonts w:ascii="Palatino Linotype" w:hAnsi="Palatino Linotype"/>
          <w:noProof/>
          <w:lang w:eastAsia="es-MX"/>
        </w:rPr>
      </w:pPr>
    </w:p>
    <w:p w14:paraId="3AAD7446" w14:textId="7B7159AB" w:rsidR="00C33C2E" w:rsidRDefault="00FB7DDC" w:rsidP="00271EED">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lastRenderedPageBreak/>
        <w:drawing>
          <wp:anchor distT="0" distB="0" distL="114300" distR="114300" simplePos="0" relativeHeight="251758582" behindDoc="0" locked="0" layoutInCell="1" allowOverlap="1" wp14:anchorId="37A8B415" wp14:editId="57063D67">
            <wp:simplePos x="0" y="0"/>
            <wp:positionH relativeFrom="column">
              <wp:posOffset>17145</wp:posOffset>
            </wp:positionH>
            <wp:positionV relativeFrom="paragraph">
              <wp:posOffset>19050</wp:posOffset>
            </wp:positionV>
            <wp:extent cx="5515610" cy="3614420"/>
            <wp:effectExtent l="19050" t="19050" r="27940" b="24130"/>
            <wp:wrapThrough wrapText="bothSides">
              <wp:wrapPolygon edited="0">
                <wp:start x="-75" y="-114"/>
                <wp:lineTo x="-75" y="21630"/>
                <wp:lineTo x="21635" y="21630"/>
                <wp:lineTo x="21635" y="-114"/>
                <wp:lineTo x="-75" y="-114"/>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5610" cy="36144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641BB24" w14:textId="6EE0F22D" w:rsidR="00FB7DDC" w:rsidRDefault="00FB7DDC" w:rsidP="00271EED">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 xml:space="preserve">En suma, los motivos de inconformidad esgrimidos por el particular se encuentran encauzados a denotar la actualización de las causales de procedencia inmersas en el numeral 179, fracciones I y IV de la Ley de Transparencia y Acceso a la Información Pública del Estado de México y Municipios, porciones normativas que señalan a la literalidad lo siguiente: </w:t>
      </w:r>
    </w:p>
    <w:p w14:paraId="74D633B3" w14:textId="61EFD7F9" w:rsidR="00FB7DDC" w:rsidRDefault="00FB7DDC" w:rsidP="00FB7DDC">
      <w:pPr>
        <w:pStyle w:val="Citas"/>
      </w:pPr>
      <w:r>
        <w:t xml:space="preserve">“Artículo 179. El recurso de revisión es un medio de protección que la Ley otorga a los particulares, para hacer valer su derecho de acceso a la información pública, y procederá en contra de las siguientes causas: </w:t>
      </w:r>
    </w:p>
    <w:p w14:paraId="6588C6CD" w14:textId="588A416D" w:rsidR="00FB7DDC" w:rsidRDefault="00FB7DDC" w:rsidP="00FB7DDC">
      <w:pPr>
        <w:pStyle w:val="Citas"/>
      </w:pPr>
      <w:r>
        <w:t>I. La negativa a la información solicitada;</w:t>
      </w:r>
    </w:p>
    <w:p w14:paraId="4AFCE5E9" w14:textId="1DC051FB" w:rsidR="00FB7DDC" w:rsidRDefault="00FB7DDC" w:rsidP="00FB7DDC">
      <w:pPr>
        <w:pStyle w:val="Citas"/>
        <w:rPr>
          <w:noProof/>
          <w:lang w:eastAsia="es-MX"/>
        </w:rPr>
      </w:pPr>
      <w:r>
        <w:rPr>
          <w:noProof/>
          <w:lang w:eastAsia="es-MX"/>
        </w:rPr>
        <w:lastRenderedPageBreak/>
        <w:t>(…)</w:t>
      </w:r>
    </w:p>
    <w:p w14:paraId="7615CCCB" w14:textId="53FD6008" w:rsidR="00FB7DDC" w:rsidRDefault="00FB7DDC" w:rsidP="00FB7DDC">
      <w:pPr>
        <w:pStyle w:val="Citas"/>
      </w:pPr>
      <w:r>
        <w:t>IV. La declaración de incompetencia por el sujeto obligado;</w:t>
      </w:r>
    </w:p>
    <w:p w14:paraId="3A59F5D0" w14:textId="028DBB1C" w:rsidR="00FB7DDC" w:rsidRPr="00FB7DDC" w:rsidRDefault="00FB7DDC" w:rsidP="00FB7DDC">
      <w:pPr>
        <w:pStyle w:val="Citas"/>
        <w:rPr>
          <w:b/>
          <w:noProof/>
          <w:lang w:eastAsia="es-MX"/>
        </w:rPr>
      </w:pPr>
      <w:r>
        <w:t xml:space="preserve">(…)” </w:t>
      </w:r>
      <w:r>
        <w:rPr>
          <w:b/>
        </w:rPr>
        <w:t xml:space="preserve">[Sic] </w:t>
      </w:r>
    </w:p>
    <w:p w14:paraId="4B3F8C99" w14:textId="77777777" w:rsidR="00FB7DDC" w:rsidRDefault="00FB7DDC" w:rsidP="00271EED">
      <w:pPr>
        <w:pStyle w:val="Default"/>
        <w:spacing w:before="240" w:after="160" w:line="360" w:lineRule="auto"/>
        <w:jc w:val="both"/>
        <w:rPr>
          <w:rFonts w:ascii="Palatino Linotype" w:hAnsi="Palatino Linotype"/>
          <w:noProof/>
          <w:lang w:eastAsia="es-MX"/>
        </w:rPr>
      </w:pPr>
    </w:p>
    <w:p w14:paraId="2CC44169" w14:textId="07543F17" w:rsidR="00E243E6" w:rsidRPr="00E243E6" w:rsidRDefault="00FB7DDC" w:rsidP="00FB7DDC">
      <w:pPr>
        <w:spacing w:before="240" w:line="360" w:lineRule="auto"/>
        <w:jc w:val="both"/>
        <w:rPr>
          <w:rFonts w:ascii="Palatino Linotype" w:hAnsi="Palatino Linotype"/>
          <w:bCs/>
          <w:sz w:val="24"/>
          <w:szCs w:val="24"/>
        </w:rPr>
      </w:pPr>
      <w:r w:rsidRPr="00E243E6">
        <w:rPr>
          <w:rFonts w:ascii="Palatino Linotype" w:hAnsi="Palatino Linotype"/>
          <w:sz w:val="24"/>
          <w:szCs w:val="24"/>
        </w:rPr>
        <w:t xml:space="preserve">Por otra parte, como fue mencionado en el antecedente quinto, </w:t>
      </w:r>
      <w:r w:rsidRPr="00E243E6">
        <w:rPr>
          <w:rFonts w:ascii="Palatino Linotype" w:hAnsi="Palatino Linotype"/>
          <w:b/>
          <w:sz w:val="24"/>
          <w:szCs w:val="24"/>
        </w:rPr>
        <w:t xml:space="preserve">El Sujeto Obligado </w:t>
      </w:r>
      <w:r w:rsidRPr="00E243E6">
        <w:rPr>
          <w:rFonts w:ascii="Palatino Linotype" w:hAnsi="Palatino Linotype"/>
          <w:bCs/>
          <w:sz w:val="24"/>
          <w:szCs w:val="24"/>
        </w:rPr>
        <w:t xml:space="preserve">rindió su informe justificado en fecha </w:t>
      </w:r>
      <w:r w:rsidR="00E243E6" w:rsidRPr="00E243E6">
        <w:rPr>
          <w:rFonts w:ascii="Palatino Linotype" w:hAnsi="Palatino Linotype"/>
          <w:bCs/>
          <w:sz w:val="24"/>
          <w:szCs w:val="24"/>
        </w:rPr>
        <w:t xml:space="preserve">tres de septiembre, mismo que fue puesto a la vista del </w:t>
      </w:r>
      <w:r w:rsidR="00E243E6" w:rsidRPr="00E243E6">
        <w:rPr>
          <w:rFonts w:ascii="Palatino Linotype" w:hAnsi="Palatino Linotype"/>
          <w:b/>
          <w:sz w:val="24"/>
          <w:szCs w:val="24"/>
        </w:rPr>
        <w:t xml:space="preserve">Recurrente </w:t>
      </w:r>
      <w:r w:rsidR="00E243E6" w:rsidRPr="00E243E6">
        <w:rPr>
          <w:rFonts w:ascii="Palatino Linotype" w:hAnsi="Palatino Linotype"/>
          <w:bCs/>
          <w:sz w:val="24"/>
          <w:szCs w:val="24"/>
        </w:rPr>
        <w:t xml:space="preserve">el siete de septiembre, ambos de dos mil veintiuno. Describiendo su contenido a continuación: </w:t>
      </w:r>
    </w:p>
    <w:p w14:paraId="46050E87" w14:textId="2FFA78AA" w:rsidR="00E243E6" w:rsidRPr="00E243E6" w:rsidRDefault="00E243E6" w:rsidP="00E243E6">
      <w:pPr>
        <w:pStyle w:val="Prrafodelista"/>
        <w:numPr>
          <w:ilvl w:val="0"/>
          <w:numId w:val="16"/>
        </w:numPr>
        <w:spacing w:before="240" w:line="360" w:lineRule="auto"/>
        <w:jc w:val="both"/>
        <w:rPr>
          <w:rFonts w:ascii="Palatino Linotype" w:hAnsi="Palatino Linotype"/>
          <w:b/>
        </w:rPr>
      </w:pPr>
      <w:r w:rsidRPr="00E243E6">
        <w:rPr>
          <w:rFonts w:ascii="Palatino Linotype" w:hAnsi="Palatino Linotype"/>
          <w:b/>
        </w:rPr>
        <w:t>“</w:t>
      </w:r>
      <w:r>
        <w:rPr>
          <w:rFonts w:ascii="Palatino Linotype" w:hAnsi="Palatino Linotype"/>
          <w:b/>
        </w:rPr>
        <w:t xml:space="preserve">ESTADO DE MÉXICO.pdf”: </w:t>
      </w:r>
      <w:r>
        <w:rPr>
          <w:rFonts w:ascii="Palatino Linotype" w:hAnsi="Palatino Linotype"/>
          <w:bCs/>
        </w:rPr>
        <w:t xml:space="preserve">Oficio </w:t>
      </w:r>
      <w:r>
        <w:rPr>
          <w:rFonts w:ascii="Palatino Linotype" w:hAnsi="Palatino Linotype"/>
          <w:b/>
        </w:rPr>
        <w:t xml:space="preserve">22600003S/01211/2021 </w:t>
      </w:r>
      <w:r>
        <w:rPr>
          <w:rFonts w:ascii="Palatino Linotype" w:hAnsi="Palatino Linotype"/>
          <w:bCs/>
        </w:rPr>
        <w:t xml:space="preserve">signado por el Coordinador Administrativo y dirigido al Jefe de la Unidad de Información, Planeación, Programación y Evaluación, de fecha treinta y uno de agosto de dos mil veintiuno, en lo medular ratifica la respuesta primigenia, insistiendo en que no cuenta con la partida presupuestal </w:t>
      </w:r>
      <w:r>
        <w:rPr>
          <w:rFonts w:ascii="Palatino Linotype" w:hAnsi="Palatino Linotype"/>
          <w:b/>
        </w:rPr>
        <w:t xml:space="preserve">248. </w:t>
      </w:r>
      <w:r>
        <w:rPr>
          <w:rFonts w:ascii="Palatino Linotype" w:hAnsi="Palatino Linotype"/>
          <w:bCs/>
        </w:rPr>
        <w:t xml:space="preserve">Adicionalmente, resulta de nuestro interés el siguiente extracto: </w:t>
      </w:r>
    </w:p>
    <w:p w14:paraId="36F3E42E" w14:textId="784FB10E" w:rsidR="00E243E6" w:rsidRPr="00E243E6" w:rsidRDefault="00E243E6" w:rsidP="00E243E6">
      <w:pPr>
        <w:pStyle w:val="Prrafodelista"/>
        <w:spacing w:before="240" w:line="360" w:lineRule="auto"/>
        <w:ind w:left="720"/>
        <w:jc w:val="both"/>
        <w:rPr>
          <w:rFonts w:ascii="Palatino Linotype" w:hAnsi="Palatino Linotype"/>
          <w:b/>
          <w:i/>
          <w:iCs/>
        </w:rPr>
      </w:pPr>
      <w:r>
        <w:rPr>
          <w:rFonts w:ascii="Palatino Linotype" w:hAnsi="Palatino Linotype"/>
          <w:bCs/>
          <w:i/>
          <w:iCs/>
        </w:rPr>
        <w:t xml:space="preserve">“Cabe señalar que, el recurrente </w:t>
      </w:r>
      <w:r w:rsidRPr="0011781F">
        <w:rPr>
          <w:rFonts w:ascii="Palatino Linotype" w:hAnsi="Palatino Linotype"/>
          <w:b/>
          <w:i/>
          <w:iCs/>
          <w:u w:val="single"/>
        </w:rPr>
        <w:t>pretende ampliar su solicitud al adjuntar documentación que no fue presentada en su solicitud de información.</w:t>
      </w:r>
      <w:r>
        <w:rPr>
          <w:rFonts w:ascii="Palatino Linotype" w:hAnsi="Palatino Linotype"/>
          <w:bCs/>
          <w:i/>
          <w:iCs/>
        </w:rPr>
        <w:t xml:space="preserve"> Lo anterior, en observancia al Criterio 01/17 de la Segunda Época emitido por el Instituto Federal de Acceso a la Información y Protección de Datos; que refiere a que, es improcedente ampliar las solicitudes de acceso a información, a través, de la interposición del recurso de revisión…” </w:t>
      </w:r>
      <w:r>
        <w:rPr>
          <w:rFonts w:ascii="Palatino Linotype" w:hAnsi="Palatino Linotype"/>
          <w:b/>
          <w:i/>
          <w:iCs/>
        </w:rPr>
        <w:t xml:space="preserve">[Sic] </w:t>
      </w:r>
    </w:p>
    <w:p w14:paraId="38378837" w14:textId="2448520F" w:rsidR="00E243E6" w:rsidRDefault="00E243E6" w:rsidP="00FB7DDC">
      <w:pPr>
        <w:spacing w:before="240" w:line="360" w:lineRule="auto"/>
        <w:jc w:val="both"/>
        <w:rPr>
          <w:rFonts w:ascii="Palatino Linotype" w:hAnsi="Palatino Linotype"/>
          <w:bCs/>
          <w:sz w:val="24"/>
          <w:szCs w:val="24"/>
          <w:highlight w:val="yellow"/>
        </w:rPr>
      </w:pPr>
    </w:p>
    <w:p w14:paraId="0580D98D" w14:textId="02E27B60" w:rsidR="00E243E6" w:rsidRDefault="00E243E6" w:rsidP="00FB7DDC">
      <w:pPr>
        <w:spacing w:before="240" w:line="360" w:lineRule="auto"/>
        <w:jc w:val="both"/>
        <w:rPr>
          <w:rFonts w:ascii="Palatino Linotype" w:hAnsi="Palatino Linotype"/>
          <w:bCs/>
          <w:sz w:val="24"/>
          <w:szCs w:val="24"/>
        </w:rPr>
      </w:pPr>
      <w:r w:rsidRPr="00E243E6">
        <w:rPr>
          <w:rFonts w:ascii="Palatino Linotype" w:hAnsi="Palatino Linotype"/>
          <w:bCs/>
          <w:sz w:val="24"/>
          <w:szCs w:val="24"/>
        </w:rPr>
        <w:lastRenderedPageBreak/>
        <w:t xml:space="preserve">Argumento </w:t>
      </w:r>
      <w:r>
        <w:rPr>
          <w:rFonts w:ascii="Palatino Linotype" w:hAnsi="Palatino Linotype"/>
          <w:bCs/>
          <w:sz w:val="24"/>
          <w:szCs w:val="24"/>
        </w:rPr>
        <w:t xml:space="preserve">esgrimido </w:t>
      </w:r>
      <w:r w:rsidR="00BA7F17">
        <w:rPr>
          <w:rFonts w:ascii="Palatino Linotype" w:hAnsi="Palatino Linotype"/>
          <w:bCs/>
          <w:sz w:val="24"/>
          <w:szCs w:val="24"/>
        </w:rPr>
        <w:t xml:space="preserve">por </w:t>
      </w:r>
      <w:r w:rsidR="00BA7F17">
        <w:rPr>
          <w:rFonts w:ascii="Palatino Linotype" w:hAnsi="Palatino Linotype"/>
          <w:b/>
          <w:sz w:val="24"/>
          <w:szCs w:val="24"/>
        </w:rPr>
        <w:t xml:space="preserve">El Sujeto Obligado </w:t>
      </w:r>
      <w:r>
        <w:rPr>
          <w:rFonts w:ascii="Palatino Linotype" w:hAnsi="Palatino Linotype"/>
          <w:bCs/>
          <w:sz w:val="24"/>
          <w:szCs w:val="24"/>
        </w:rPr>
        <w:t xml:space="preserve">que a toda luz deviene infundado, puesto que </w:t>
      </w:r>
      <w:r>
        <w:rPr>
          <w:rFonts w:ascii="Palatino Linotype" w:hAnsi="Palatino Linotype"/>
          <w:b/>
          <w:sz w:val="24"/>
          <w:szCs w:val="24"/>
        </w:rPr>
        <w:t xml:space="preserve">El Recurrente </w:t>
      </w:r>
      <w:r>
        <w:rPr>
          <w:rFonts w:ascii="Palatino Linotype" w:hAnsi="Palatino Linotype"/>
          <w:bCs/>
          <w:sz w:val="24"/>
          <w:szCs w:val="24"/>
        </w:rPr>
        <w:t xml:space="preserve">no </w:t>
      </w:r>
      <w:r w:rsidR="002073AC">
        <w:rPr>
          <w:rFonts w:ascii="Palatino Linotype" w:hAnsi="Palatino Linotype"/>
          <w:bCs/>
          <w:sz w:val="24"/>
          <w:szCs w:val="24"/>
        </w:rPr>
        <w:t>amplía</w:t>
      </w:r>
      <w:r>
        <w:rPr>
          <w:rFonts w:ascii="Palatino Linotype" w:hAnsi="Palatino Linotype"/>
          <w:bCs/>
          <w:sz w:val="24"/>
          <w:szCs w:val="24"/>
        </w:rPr>
        <w:t xml:space="preserve"> su solicitud de información, simplemente ejerce su derecho de ofrecer todo tipo de pruebas y alegatos. Prerrogativa de carácter procesal inmersa en el numeral 185, fracción IV de la Ley de Transparencia y Acceso a la </w:t>
      </w:r>
      <w:r w:rsidR="00BA7F17">
        <w:rPr>
          <w:rFonts w:ascii="Palatino Linotype" w:hAnsi="Palatino Linotype"/>
          <w:bCs/>
          <w:sz w:val="24"/>
          <w:szCs w:val="24"/>
        </w:rPr>
        <w:t xml:space="preserve">Información Pública del Estado de México y Municipios, porción normativa cuyo contenido literal es el siguiente: </w:t>
      </w:r>
    </w:p>
    <w:p w14:paraId="3F6B7775" w14:textId="6DCEF1C4" w:rsidR="00BA7F17" w:rsidRDefault="00BA7F17" w:rsidP="00BA7F17">
      <w:pPr>
        <w:pStyle w:val="Citas"/>
        <w:rPr>
          <w:rStyle w:val="markedcontent"/>
        </w:rPr>
      </w:pPr>
      <w:r>
        <w:rPr>
          <w:rStyle w:val="markedcontent"/>
        </w:rPr>
        <w:t>“</w:t>
      </w:r>
      <w:r w:rsidRPr="00BA7F17">
        <w:rPr>
          <w:rStyle w:val="markedcontent"/>
        </w:rPr>
        <w:t>Artícul</w:t>
      </w:r>
      <w:r w:rsidRPr="00BA7F17">
        <w:rPr>
          <w:rStyle w:val="highlight"/>
        </w:rPr>
        <w:t>o 185</w:t>
      </w:r>
      <w:r w:rsidRPr="00BA7F17">
        <w:rPr>
          <w:rStyle w:val="markedcontent"/>
        </w:rPr>
        <w:t>. El Instituto resolverá el recurso de revisión conforme a lo siguiente:</w:t>
      </w:r>
    </w:p>
    <w:p w14:paraId="371DD3AE" w14:textId="096C7CD8" w:rsidR="00BA7F17" w:rsidRDefault="00BA7F17" w:rsidP="00BA7F17">
      <w:pPr>
        <w:pStyle w:val="Citas"/>
        <w:rPr>
          <w:rStyle w:val="markedcontent"/>
        </w:rPr>
      </w:pPr>
      <w:r>
        <w:rPr>
          <w:rStyle w:val="markedcontent"/>
        </w:rPr>
        <w:t>(…)</w:t>
      </w:r>
    </w:p>
    <w:p w14:paraId="21FE1747" w14:textId="1D04B377" w:rsidR="00BA7F17" w:rsidRPr="00BA7F17" w:rsidRDefault="00BA7F17" w:rsidP="00BA7F17">
      <w:pPr>
        <w:pStyle w:val="Citas"/>
        <w:rPr>
          <w:rStyle w:val="markedcontent"/>
          <w:b/>
          <w:bCs/>
          <w:u w:val="single"/>
        </w:rPr>
      </w:pPr>
      <w:r w:rsidRPr="00BA7F17">
        <w:rPr>
          <w:rStyle w:val="markedcontent"/>
          <w:b/>
          <w:bCs/>
          <w:u w:val="single"/>
        </w:rPr>
        <w:t>IV. Dentro del plazo mencionado en la fracción II, las partes podrán ofrecer todo tipo de pruebas o alegatos excepto la confesional por parte de los sujetos obligados y aquéllas que sean contrarias a derecho;</w:t>
      </w:r>
    </w:p>
    <w:p w14:paraId="5865AAAE" w14:textId="135AD1E3" w:rsidR="00BA7F17" w:rsidRPr="00BA7F17" w:rsidRDefault="00BA7F17" w:rsidP="00BA7F17">
      <w:pPr>
        <w:pStyle w:val="Citas"/>
      </w:pPr>
      <w:r>
        <w:rPr>
          <w:rStyle w:val="markedcontent"/>
        </w:rPr>
        <w:t xml:space="preserve">(…)” </w:t>
      </w:r>
    </w:p>
    <w:p w14:paraId="2E7DD7E2" w14:textId="77777777" w:rsidR="00E243E6" w:rsidRDefault="00E243E6" w:rsidP="00FB7DDC">
      <w:pPr>
        <w:spacing w:before="240" w:line="360" w:lineRule="auto"/>
        <w:jc w:val="both"/>
        <w:rPr>
          <w:rFonts w:ascii="Palatino Linotype" w:hAnsi="Palatino Linotype"/>
          <w:bCs/>
          <w:sz w:val="24"/>
          <w:szCs w:val="24"/>
          <w:highlight w:val="yellow"/>
        </w:rPr>
      </w:pPr>
    </w:p>
    <w:p w14:paraId="563B1754" w14:textId="5CB22277" w:rsidR="00AE33FE" w:rsidRPr="00AE33FE" w:rsidRDefault="002073AC" w:rsidP="00271EED">
      <w:pPr>
        <w:pStyle w:val="Default"/>
        <w:spacing w:before="240" w:after="160" w:line="360" w:lineRule="auto"/>
        <w:jc w:val="both"/>
        <w:rPr>
          <w:rFonts w:ascii="Palatino Linotype" w:hAnsi="Palatino Linotype"/>
          <w:noProof/>
          <w:lang w:eastAsia="es-MX"/>
        </w:rPr>
      </w:pPr>
      <w:r>
        <w:rPr>
          <w:rFonts w:ascii="Palatino Linotype" w:hAnsi="Palatino Linotype"/>
          <w:noProof/>
          <w:lang w:eastAsia="es-MX"/>
        </w:rPr>
        <w:t>Hasta aquí lo expuesto debe</w:t>
      </w:r>
      <w:r w:rsidR="005523D5">
        <w:rPr>
          <w:rFonts w:ascii="Palatino Linotype" w:hAnsi="Palatino Linotype"/>
          <w:noProof/>
          <w:lang w:eastAsia="es-MX"/>
        </w:rPr>
        <w:t xml:space="preserve"> de arribarse a las siguientes consideraciones: </w:t>
      </w:r>
    </w:p>
    <w:p w14:paraId="30FECB73" w14:textId="760B496C" w:rsidR="00BA7F17" w:rsidRPr="00BA7F17" w:rsidRDefault="007B0046" w:rsidP="003C4680">
      <w:pPr>
        <w:pStyle w:val="Prrafodelista"/>
        <w:numPr>
          <w:ilvl w:val="0"/>
          <w:numId w:val="5"/>
        </w:numPr>
        <w:autoSpaceDE w:val="0"/>
        <w:autoSpaceDN w:val="0"/>
        <w:adjustRightInd w:val="0"/>
        <w:spacing w:line="360" w:lineRule="auto"/>
        <w:jc w:val="both"/>
        <w:rPr>
          <w:rFonts w:ascii="Palatino Linotype" w:hAnsi="Palatino Linotype" w:cs="Arial"/>
        </w:rPr>
      </w:pPr>
      <w:r w:rsidRPr="00BA7F17">
        <w:rPr>
          <w:rFonts w:ascii="Palatino Linotype" w:hAnsi="Palatino Linotype" w:cs="Arial"/>
          <w:color w:val="000000"/>
        </w:rPr>
        <w:t>A través del derecho</w:t>
      </w:r>
      <w:r w:rsidR="005523D5" w:rsidRPr="00BA7F17">
        <w:rPr>
          <w:rFonts w:ascii="Palatino Linotype" w:hAnsi="Palatino Linotype" w:cs="Arial"/>
          <w:color w:val="000000"/>
        </w:rPr>
        <w:t xml:space="preserve"> de acceso a la información </w:t>
      </w:r>
      <w:r w:rsidR="00BA7F17" w:rsidRPr="00BA7F17">
        <w:rPr>
          <w:rFonts w:ascii="Palatino Linotype" w:hAnsi="Palatino Linotype" w:cs="Arial"/>
          <w:color w:val="000000"/>
        </w:rPr>
        <w:t xml:space="preserve">fue requerido </w:t>
      </w:r>
      <w:r w:rsidR="00BA7F17">
        <w:rPr>
          <w:rFonts w:ascii="Palatino Linotype" w:hAnsi="Palatino Linotype" w:cs="Arial"/>
        </w:rPr>
        <w:t>e</w:t>
      </w:r>
      <w:r w:rsidR="00BA7F17" w:rsidRPr="00BA7F17">
        <w:rPr>
          <w:rFonts w:ascii="Palatino Linotype" w:hAnsi="Palatino Linotype" w:cs="Arial"/>
        </w:rPr>
        <w:t>l o los documentos donde conste el desglose de gasto para la compra de árboles y plantas de ornato (unidades adquiridas, costo por unidad, empresa o vendedor, proceso de licitación, entre otros), del periodo comprendido del veintinueve de septiembre de dos mil veinte al dos de agosto de dos mil veintiuno</w:t>
      </w:r>
      <w:r w:rsidR="00BA7F17">
        <w:rPr>
          <w:rFonts w:ascii="Palatino Linotype" w:hAnsi="Palatino Linotype" w:cs="Arial"/>
        </w:rPr>
        <w:t xml:space="preserve">, supliendo para tal efecto la temporalidad, en estricta observancia al principio de suplencia de la queja deficiente. </w:t>
      </w:r>
    </w:p>
    <w:p w14:paraId="6F0D97EA" w14:textId="2B067DA9" w:rsidR="00A0735B" w:rsidRPr="00A0735B" w:rsidRDefault="00BA7F17" w:rsidP="00DB1B8A">
      <w:pPr>
        <w:pStyle w:val="Prrafodelista"/>
        <w:numPr>
          <w:ilvl w:val="0"/>
          <w:numId w:val="5"/>
        </w:numPr>
        <w:autoSpaceDE w:val="0"/>
        <w:autoSpaceDN w:val="0"/>
        <w:adjustRightInd w:val="0"/>
        <w:spacing w:line="360" w:lineRule="auto"/>
        <w:jc w:val="both"/>
        <w:rPr>
          <w:rFonts w:ascii="Palatino Linotype" w:hAnsi="Palatino Linotype" w:cs="Arial"/>
          <w:b/>
        </w:rPr>
      </w:pPr>
      <w:r w:rsidRPr="00A0735B">
        <w:rPr>
          <w:rFonts w:ascii="Palatino Linotype" w:hAnsi="Palatino Linotype" w:cs="Arial"/>
        </w:rPr>
        <w:lastRenderedPageBreak/>
        <w:t xml:space="preserve">De una interpretación </w:t>
      </w:r>
      <w:r w:rsidR="00A0735B" w:rsidRPr="00A0735B">
        <w:rPr>
          <w:rFonts w:ascii="Palatino Linotype" w:hAnsi="Palatino Linotype" w:cs="Arial"/>
        </w:rPr>
        <w:t xml:space="preserve">sistemática al artículo 24 fracciones XXXVII y XXXVIII de la Ley Orgánica de la Administración Pública del Estado de México, así como los numerales 1 fracciones I a la V, 3 fracción IX, 5 de la Ley de Contratación Pública del Estado de México, se desprende que la Secretaría de Finanzas funge como el ente público encargado de llevar a cabo los procedimientos de adquisición de bienes o servicios que requieran las dependencias, englobando al </w:t>
      </w:r>
      <w:r w:rsidR="00A0735B" w:rsidRPr="00A0735B">
        <w:rPr>
          <w:rFonts w:ascii="Palatino Linotype" w:hAnsi="Palatino Linotype" w:cs="Arial"/>
          <w:b/>
        </w:rPr>
        <w:t xml:space="preserve">Sujeto Obligado. </w:t>
      </w:r>
    </w:p>
    <w:p w14:paraId="4E7E01F0" w14:textId="13B047C2" w:rsidR="00A0735B" w:rsidRPr="00A0735B" w:rsidRDefault="00A0735B" w:rsidP="00A0735B">
      <w:pPr>
        <w:pStyle w:val="Prrafodelista"/>
        <w:autoSpaceDE w:val="0"/>
        <w:autoSpaceDN w:val="0"/>
        <w:adjustRightInd w:val="0"/>
        <w:spacing w:line="360" w:lineRule="auto"/>
        <w:ind w:left="720"/>
        <w:jc w:val="both"/>
        <w:rPr>
          <w:rFonts w:ascii="Palatino Linotype" w:hAnsi="Palatino Linotype" w:cs="Arial"/>
          <w:bCs/>
        </w:rPr>
      </w:pPr>
      <w:r w:rsidRPr="00A0735B">
        <w:rPr>
          <w:rFonts w:ascii="Palatino Linotype" w:hAnsi="Palatino Linotype" w:cs="Arial"/>
          <w:bCs/>
        </w:rPr>
        <w:t xml:space="preserve">Luego entonces, es posible advertir que </w:t>
      </w:r>
      <w:r w:rsidRPr="00A0735B">
        <w:rPr>
          <w:rFonts w:ascii="Palatino Linotype" w:hAnsi="Palatino Linotype" w:cs="Arial"/>
          <w:b/>
        </w:rPr>
        <w:t>El Sujeto Obligado</w:t>
      </w:r>
      <w:r w:rsidRPr="00A0735B">
        <w:rPr>
          <w:rFonts w:ascii="Palatino Linotype" w:hAnsi="Palatino Linotype" w:cs="Arial"/>
          <w:bCs/>
        </w:rPr>
        <w:t xml:space="preserve"> </w:t>
      </w:r>
      <w:r>
        <w:rPr>
          <w:rFonts w:ascii="Palatino Linotype" w:hAnsi="Palatino Linotype" w:cs="Arial"/>
          <w:bCs/>
        </w:rPr>
        <w:t xml:space="preserve">es incompetente parcialmente, únicamente por cuanto hace a los procesos de licitación. </w:t>
      </w:r>
    </w:p>
    <w:p w14:paraId="642001BA" w14:textId="2E6C39A5" w:rsidR="00A0735B" w:rsidRDefault="00A0735B" w:rsidP="002163FD">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de una interpretación sistémica al 24, fracción XII y 92, fracción II de la Ley de Transparencia y Acceso a la Información Pública del Estado de México y Municipios, así como al apartado “Organigrama” de la página web del </w:t>
      </w:r>
      <w:r>
        <w:rPr>
          <w:rFonts w:ascii="Palatino Linotype" w:hAnsi="Palatino Linotype" w:cs="Arial"/>
          <w:b/>
          <w:bCs/>
        </w:rPr>
        <w:t xml:space="preserve">Sujeto Obligado, </w:t>
      </w:r>
      <w:r>
        <w:rPr>
          <w:rFonts w:ascii="Palatino Linotype" w:hAnsi="Palatino Linotype" w:cs="Arial"/>
        </w:rPr>
        <w:t xml:space="preserve">se desprende que el Coordinador Administrativo, el Director de Administración, así como el Jefe del Departamento de Recursos Materiales fungen como los sujetos habilitados idóneos  para atender los requerimientos que resultan competencia del </w:t>
      </w:r>
      <w:r>
        <w:rPr>
          <w:rFonts w:ascii="Palatino Linotype" w:hAnsi="Palatino Linotype" w:cs="Arial"/>
          <w:b/>
          <w:bCs/>
        </w:rPr>
        <w:t xml:space="preserve">Sujeto Obligado. </w:t>
      </w:r>
    </w:p>
    <w:p w14:paraId="3209E8D1" w14:textId="4EFC37F8" w:rsidR="00A0735B" w:rsidRPr="00A0735B" w:rsidRDefault="00807A3D" w:rsidP="00C37A20">
      <w:pPr>
        <w:pStyle w:val="Prrafodelista"/>
        <w:numPr>
          <w:ilvl w:val="0"/>
          <w:numId w:val="5"/>
        </w:numPr>
        <w:spacing w:before="240" w:after="160" w:line="360" w:lineRule="auto"/>
        <w:jc w:val="both"/>
        <w:rPr>
          <w:rFonts w:ascii="Palatino Linotype" w:hAnsi="Palatino Linotype"/>
          <w:b/>
          <w:u w:val="single"/>
        </w:rPr>
      </w:pPr>
      <w:r w:rsidRPr="00A0735B">
        <w:rPr>
          <w:rFonts w:ascii="Palatino Linotype" w:hAnsi="Palatino Linotype" w:cs="Arial"/>
          <w:color w:val="000000"/>
        </w:rPr>
        <w:t xml:space="preserve">Mediante respuesta, </w:t>
      </w:r>
      <w:r w:rsidRPr="00A0735B">
        <w:rPr>
          <w:rFonts w:ascii="Palatino Linotype" w:hAnsi="Palatino Linotype" w:cs="Arial"/>
          <w:b/>
          <w:color w:val="000000"/>
        </w:rPr>
        <w:t>El Sujeto Obligado</w:t>
      </w:r>
      <w:r w:rsidR="00A0735B" w:rsidRPr="00A0735B">
        <w:rPr>
          <w:rFonts w:ascii="Palatino Linotype" w:hAnsi="Palatino Linotype" w:cs="Arial"/>
          <w:b/>
          <w:color w:val="000000"/>
        </w:rPr>
        <w:t xml:space="preserve"> </w:t>
      </w:r>
      <w:r w:rsidR="00A0735B" w:rsidRPr="00A0735B">
        <w:rPr>
          <w:rFonts w:ascii="Palatino Linotype" w:hAnsi="Palatino Linotype"/>
          <w:noProof/>
          <w:lang w:eastAsia="es-MX"/>
        </w:rPr>
        <w:t xml:space="preserve">inobservó el principio de suplencia de la queja deficiente imperante en la materia, al limitarse a señalar que no tiene una partida 248, ya que fue como expuesto </w:t>
      </w:r>
      <w:r w:rsidR="00A0735B">
        <w:rPr>
          <w:rFonts w:ascii="Palatino Linotype" w:hAnsi="Palatino Linotype"/>
          <w:noProof/>
          <w:lang w:eastAsia="es-MX"/>
        </w:rPr>
        <w:t>con anterioridad</w:t>
      </w:r>
      <w:r w:rsidR="00A0735B" w:rsidRPr="00A0735B">
        <w:rPr>
          <w:rFonts w:ascii="Palatino Linotype" w:hAnsi="Palatino Linotype"/>
          <w:noProof/>
          <w:lang w:eastAsia="es-MX"/>
        </w:rPr>
        <w:t xml:space="preserve"> sí cuenta con la partida </w:t>
      </w:r>
      <w:r w:rsidR="00A0735B" w:rsidRPr="00A0735B">
        <w:rPr>
          <w:rFonts w:ascii="Palatino Linotype" w:hAnsi="Palatino Linotype"/>
          <w:b/>
          <w:u w:val="single"/>
        </w:rPr>
        <w:t xml:space="preserve">2483 Árboles y plantas de ornato. </w:t>
      </w:r>
      <w:r w:rsidR="00A0735B">
        <w:rPr>
          <w:rFonts w:ascii="Palatino Linotype" w:hAnsi="Palatino Linotype"/>
          <w:bCs/>
        </w:rPr>
        <w:t xml:space="preserve">Adicionalmente, fue omiso en remitir acuerdo de incompetencia por cuanto hace a los procesos de licitación. </w:t>
      </w:r>
    </w:p>
    <w:p w14:paraId="3CFBF7D1" w14:textId="5C3216D8" w:rsidR="00A0735B" w:rsidRPr="00A0735B" w:rsidRDefault="00A0735B" w:rsidP="00C37A20">
      <w:pPr>
        <w:pStyle w:val="Prrafodelista"/>
        <w:numPr>
          <w:ilvl w:val="0"/>
          <w:numId w:val="5"/>
        </w:numPr>
        <w:spacing w:before="240" w:after="160" w:line="360" w:lineRule="auto"/>
        <w:jc w:val="both"/>
        <w:rPr>
          <w:rFonts w:ascii="Palatino Linotype" w:hAnsi="Palatino Linotype"/>
          <w:b/>
          <w:u w:val="single"/>
        </w:rPr>
      </w:pPr>
      <w:r>
        <w:rPr>
          <w:rFonts w:ascii="Palatino Linotype" w:hAnsi="Palatino Linotype"/>
          <w:bCs/>
        </w:rPr>
        <w:lastRenderedPageBreak/>
        <w:t xml:space="preserve">Mediante etapa de manifestaciones, </w:t>
      </w:r>
      <w:r>
        <w:rPr>
          <w:rFonts w:ascii="Palatino Linotype" w:hAnsi="Palatino Linotype"/>
          <w:b/>
        </w:rPr>
        <w:t xml:space="preserve">El Recurrente </w:t>
      </w:r>
      <w:r>
        <w:rPr>
          <w:rFonts w:ascii="Palatino Linotype" w:hAnsi="Palatino Linotype"/>
          <w:bCs/>
        </w:rPr>
        <w:t xml:space="preserve">remitió dos imágenes ilustrativas correspondientes al avance presupuestal, sin </w:t>
      </w:r>
      <w:r w:rsidR="0011781F">
        <w:rPr>
          <w:rFonts w:ascii="Palatino Linotype" w:hAnsi="Palatino Linotype"/>
          <w:bCs/>
        </w:rPr>
        <w:t>embargo,</w:t>
      </w:r>
      <w:r>
        <w:rPr>
          <w:rFonts w:ascii="Palatino Linotype" w:hAnsi="Palatino Linotype"/>
          <w:bCs/>
        </w:rPr>
        <w:t xml:space="preserve"> no se advierte el año fiscal o ente público respecto del cual se desglosa la información. </w:t>
      </w:r>
    </w:p>
    <w:p w14:paraId="3B3BB8DD" w14:textId="3F6A701F" w:rsidR="00A0735B" w:rsidRPr="00A0735B" w:rsidRDefault="00A0735B" w:rsidP="00C37A20">
      <w:pPr>
        <w:pStyle w:val="Prrafodelista"/>
        <w:numPr>
          <w:ilvl w:val="0"/>
          <w:numId w:val="5"/>
        </w:numPr>
        <w:spacing w:before="240" w:after="160" w:line="360" w:lineRule="auto"/>
        <w:jc w:val="both"/>
        <w:rPr>
          <w:rFonts w:ascii="Palatino Linotype" w:hAnsi="Palatino Linotype"/>
          <w:b/>
          <w:u w:val="single"/>
        </w:rPr>
      </w:pPr>
      <w:r>
        <w:rPr>
          <w:rFonts w:ascii="Palatino Linotype" w:hAnsi="Palatino Linotype"/>
          <w:bCs/>
        </w:rPr>
        <w:t xml:space="preserve">En contraste, </w:t>
      </w:r>
      <w:r w:rsidR="00733DB5">
        <w:rPr>
          <w:rFonts w:ascii="Palatino Linotype" w:hAnsi="Palatino Linotype"/>
          <w:bCs/>
        </w:rPr>
        <w:t xml:space="preserve">si bien es cierto que </w:t>
      </w:r>
      <w:r w:rsidR="00733DB5">
        <w:rPr>
          <w:rFonts w:ascii="Palatino Linotype" w:hAnsi="Palatino Linotype"/>
          <w:b/>
        </w:rPr>
        <w:t xml:space="preserve">El Sujeto Obligado </w:t>
      </w:r>
      <w:r w:rsidR="00733DB5">
        <w:rPr>
          <w:rFonts w:ascii="Palatino Linotype" w:hAnsi="Palatino Linotype"/>
          <w:bCs/>
        </w:rPr>
        <w:t xml:space="preserve">rindió su informe justificado, lo cierto también es que ratificó su respuesta primigenia, adicionalmente, manifestó que el </w:t>
      </w:r>
      <w:r w:rsidR="0011781F">
        <w:rPr>
          <w:rFonts w:ascii="Palatino Linotype" w:hAnsi="Palatino Linotype"/>
          <w:bCs/>
        </w:rPr>
        <w:t>particular amplio</w:t>
      </w:r>
      <w:r w:rsidR="00733DB5">
        <w:rPr>
          <w:rFonts w:ascii="Palatino Linotype" w:hAnsi="Palatino Linotype"/>
          <w:bCs/>
        </w:rPr>
        <w:t xml:space="preserve"> su solicitud mediante la interposición del recurso de revisión, argumento que a toda luz deviene infundado. </w:t>
      </w:r>
      <w:r w:rsidR="0011781F">
        <w:rPr>
          <w:rFonts w:ascii="Palatino Linotype" w:hAnsi="Palatino Linotype"/>
          <w:bCs/>
        </w:rPr>
        <w:t xml:space="preserve">Luego entonces, no se tiene por reparada la violación al derecho de acceso a la información. </w:t>
      </w:r>
    </w:p>
    <w:p w14:paraId="38042FB1" w14:textId="77777777" w:rsidR="006D7FD9" w:rsidRDefault="006D7FD9" w:rsidP="006D7FD9">
      <w:pPr>
        <w:spacing w:line="360" w:lineRule="auto"/>
        <w:contextualSpacing/>
        <w:jc w:val="both"/>
        <w:rPr>
          <w:rFonts w:ascii="Palatino Linotype" w:eastAsia="MS Mincho" w:hAnsi="Palatino Linotype"/>
        </w:rPr>
      </w:pPr>
    </w:p>
    <w:p w14:paraId="2007C40D" w14:textId="4EC2E55A" w:rsidR="006D7FD9" w:rsidRPr="006329AB" w:rsidRDefault="006D7FD9" w:rsidP="006D7FD9">
      <w:pPr>
        <w:spacing w:line="360" w:lineRule="auto"/>
        <w:contextualSpacing/>
        <w:jc w:val="both"/>
        <w:rPr>
          <w:rFonts w:ascii="Palatino Linotype" w:eastAsia="MS Mincho" w:hAnsi="Palatino Linotype"/>
          <w:sz w:val="24"/>
          <w:szCs w:val="24"/>
        </w:rPr>
      </w:pPr>
      <w:r w:rsidRPr="006329AB">
        <w:rPr>
          <w:rFonts w:ascii="Palatino Linotype" w:eastAsia="MS Mincho" w:hAnsi="Palatino Linotype"/>
          <w:sz w:val="24"/>
          <w:szCs w:val="24"/>
        </w:rPr>
        <w:t xml:space="preserve">Con base en lo anteriormente expuesto, resulta procedente ordenar </w:t>
      </w:r>
      <w:r w:rsidR="00787D06" w:rsidRPr="006329AB">
        <w:rPr>
          <w:rFonts w:ascii="Palatino Linotype" w:eastAsia="MS Mincho" w:hAnsi="Palatino Linotype"/>
          <w:sz w:val="24"/>
          <w:szCs w:val="24"/>
        </w:rPr>
        <w:t>una búsqueda exhaustiva y razonable, a efecto de ordenar</w:t>
      </w:r>
      <w:r w:rsidR="00C8491D" w:rsidRPr="006329AB">
        <w:rPr>
          <w:rFonts w:ascii="Palatino Linotype" w:eastAsia="MS Mincho" w:hAnsi="Palatino Linotype"/>
          <w:sz w:val="24"/>
          <w:szCs w:val="24"/>
        </w:rPr>
        <w:t xml:space="preserve"> la entrega</w:t>
      </w:r>
      <w:r w:rsidR="00787D06" w:rsidRPr="006329AB">
        <w:rPr>
          <w:rFonts w:ascii="Palatino Linotype" w:eastAsia="MS Mincho" w:hAnsi="Palatino Linotype"/>
          <w:sz w:val="24"/>
          <w:szCs w:val="24"/>
        </w:rPr>
        <w:t xml:space="preserve"> a través del Sistema de Acceso a la Información Mexiquense (SAIMEX), </w:t>
      </w:r>
      <w:r w:rsidRPr="006329AB">
        <w:rPr>
          <w:rFonts w:ascii="Palatino Linotype" w:eastAsia="MS Mincho" w:hAnsi="Palatino Linotype"/>
          <w:sz w:val="24"/>
          <w:szCs w:val="24"/>
        </w:rPr>
        <w:t xml:space="preserve">en versión pública de ser procedente, </w:t>
      </w:r>
      <w:r w:rsidR="00787D06" w:rsidRPr="006329AB">
        <w:rPr>
          <w:rFonts w:ascii="Palatino Linotype" w:eastAsia="MS Mincho" w:hAnsi="Palatino Linotype"/>
          <w:sz w:val="24"/>
          <w:szCs w:val="24"/>
        </w:rPr>
        <w:t xml:space="preserve">de </w:t>
      </w:r>
      <w:r w:rsidRPr="006329AB">
        <w:rPr>
          <w:rFonts w:ascii="Palatino Linotype" w:eastAsia="MS Mincho" w:hAnsi="Palatino Linotype"/>
          <w:sz w:val="24"/>
          <w:szCs w:val="24"/>
        </w:rPr>
        <w:t xml:space="preserve">la siguiente información: </w:t>
      </w:r>
    </w:p>
    <w:p w14:paraId="36EE39A6" w14:textId="169D9FD2" w:rsidR="00733DB5" w:rsidRDefault="00733DB5" w:rsidP="00733DB5">
      <w:pPr>
        <w:pStyle w:val="Prrafodelista"/>
        <w:numPr>
          <w:ilvl w:val="0"/>
          <w:numId w:val="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el desglose de gasto para la compra de árboles y plantas de ornato (unidades adquiridas, costo por unidad, empresa o vendedor, entre otros), del periodo comprendido del veintinueve de septiembre de dos mil veinte al dos de agosto de dos mil veintiuno. </w:t>
      </w:r>
    </w:p>
    <w:p w14:paraId="55083536" w14:textId="084270AE" w:rsidR="00733DB5" w:rsidRDefault="004C5FD3" w:rsidP="00236C82">
      <w:pPr>
        <w:pStyle w:val="Prrafodelista"/>
        <w:numPr>
          <w:ilvl w:val="0"/>
          <w:numId w:val="6"/>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Acuerdo </w:t>
      </w:r>
      <w:r w:rsidR="00004547">
        <w:rPr>
          <w:rFonts w:ascii="Palatino Linotype" w:hAnsi="Palatino Linotype" w:cs="Arial"/>
        </w:rPr>
        <w:t xml:space="preserve">que emita el Comité de Transparencia en el que se confirme la declaración de incompetencia del </w:t>
      </w:r>
      <w:r w:rsidR="00004547">
        <w:rPr>
          <w:rFonts w:ascii="Palatino Linotype" w:hAnsi="Palatino Linotype" w:cs="Arial"/>
          <w:b/>
          <w:bCs/>
        </w:rPr>
        <w:t xml:space="preserve">Sujeto Obligado, </w:t>
      </w:r>
      <w:r w:rsidR="00004547">
        <w:rPr>
          <w:rFonts w:ascii="Palatino Linotype" w:hAnsi="Palatino Linotype" w:cs="Arial"/>
        </w:rPr>
        <w:t>respecto de los procesos de licitación derivada de la compra de árboles y plantas de ornato, del periodo comprendido del veintinueve de septiembre de dos mil veinte al dos de agosto de dos mil veintiuno.</w:t>
      </w:r>
    </w:p>
    <w:p w14:paraId="60E3C3BF" w14:textId="77777777" w:rsidR="00004547" w:rsidRPr="00C22506" w:rsidRDefault="00004547" w:rsidP="00004547">
      <w:pPr>
        <w:autoSpaceDE w:val="0"/>
        <w:autoSpaceDN w:val="0"/>
        <w:adjustRightInd w:val="0"/>
        <w:spacing w:before="240" w:line="360" w:lineRule="auto"/>
        <w:jc w:val="both"/>
        <w:rPr>
          <w:rFonts w:ascii="Palatino Linotype" w:hAnsi="Palatino Linotype"/>
          <w:b/>
          <w:sz w:val="28"/>
          <w:szCs w:val="28"/>
        </w:rPr>
      </w:pPr>
      <w:r>
        <w:rPr>
          <w:rFonts w:ascii="Palatino Linotype" w:hAnsi="Palatino Linotype"/>
          <w:b/>
          <w:sz w:val="28"/>
          <w:szCs w:val="28"/>
        </w:rPr>
        <w:lastRenderedPageBreak/>
        <w:t xml:space="preserve">De la </w:t>
      </w:r>
      <w:r w:rsidRPr="00C22506">
        <w:rPr>
          <w:rFonts w:ascii="Palatino Linotype" w:hAnsi="Palatino Linotype"/>
          <w:b/>
          <w:sz w:val="28"/>
          <w:szCs w:val="28"/>
        </w:rPr>
        <w:t xml:space="preserve">Versión Pública </w:t>
      </w:r>
    </w:p>
    <w:p w14:paraId="1CD958FF" w14:textId="77777777" w:rsidR="00004547" w:rsidRPr="001571EB" w:rsidRDefault="00004547" w:rsidP="00004547">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937E39C" w14:textId="77777777" w:rsidR="00004547" w:rsidRPr="00E60DEF" w:rsidRDefault="00004547" w:rsidP="00004547">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023C19F" w14:textId="77777777" w:rsidR="00004547" w:rsidRPr="00E60DEF" w:rsidRDefault="00004547" w:rsidP="00004547">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06C7C476" w14:textId="77777777" w:rsidR="00004547" w:rsidRPr="001571EB" w:rsidRDefault="00004547" w:rsidP="00004547">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38C89239" w14:textId="77777777" w:rsidR="00004547" w:rsidRPr="001571EB" w:rsidRDefault="00004547" w:rsidP="00004547">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019E66C2" w14:textId="77777777" w:rsidR="00004547" w:rsidRPr="001571EB" w:rsidRDefault="00004547" w:rsidP="00004547">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4D8CFFB" w14:textId="77777777" w:rsidR="00004547" w:rsidRPr="001571EB" w:rsidRDefault="00004547" w:rsidP="00004547">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7CAFB02A" w14:textId="77777777" w:rsidR="00004547" w:rsidRPr="001571EB" w:rsidRDefault="00004547" w:rsidP="00004547">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w:t>
      </w:r>
    </w:p>
    <w:p w14:paraId="7B063ABF" w14:textId="77777777" w:rsidR="00004547" w:rsidRPr="001571EB" w:rsidRDefault="00004547" w:rsidP="00004547">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908A0CE" w14:textId="77777777" w:rsidR="00004547" w:rsidRPr="001571EB" w:rsidRDefault="00004547" w:rsidP="00004547">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B0DDC93" w14:textId="77777777" w:rsidR="00004547" w:rsidRPr="00E60DEF" w:rsidRDefault="00004547" w:rsidP="00004547">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7DD3AFCB" w14:textId="77777777" w:rsidR="00004547" w:rsidRPr="001571EB" w:rsidRDefault="00004547" w:rsidP="00004547">
      <w:pPr>
        <w:spacing w:before="240" w:line="360" w:lineRule="auto"/>
        <w:ind w:left="851" w:right="851"/>
        <w:jc w:val="both"/>
        <w:rPr>
          <w:rFonts w:ascii="Palatino Linotype" w:hAnsi="Palatino Linotype" w:cs="Arial"/>
          <w:b/>
          <w:i/>
        </w:rPr>
      </w:pPr>
      <w:r>
        <w:rPr>
          <w:rFonts w:ascii="Palatino Linotype" w:hAnsi="Palatino Linotype" w:cs="Arial"/>
          <w:b/>
          <w:i/>
        </w:rPr>
        <w:t>(…)</w:t>
      </w:r>
    </w:p>
    <w:p w14:paraId="3D0BE805" w14:textId="77777777" w:rsidR="00004547" w:rsidRDefault="00004547" w:rsidP="00004547">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CD0E99A" w14:textId="77777777" w:rsidR="00004547" w:rsidRPr="00E60DEF" w:rsidRDefault="00004547" w:rsidP="00004547">
      <w:pPr>
        <w:spacing w:before="240" w:line="360" w:lineRule="auto"/>
        <w:ind w:left="851" w:right="851"/>
        <w:jc w:val="both"/>
        <w:rPr>
          <w:rFonts w:ascii="Palatino Linotype" w:hAnsi="Palatino Linotype" w:cs="Arial"/>
          <w:b/>
          <w:i/>
        </w:rPr>
      </w:pPr>
    </w:p>
    <w:p w14:paraId="459E6DFF" w14:textId="77777777" w:rsidR="00004547" w:rsidRPr="001571EB" w:rsidRDefault="00004547" w:rsidP="00004547">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9EE9A30" w14:textId="77777777" w:rsidR="00004547" w:rsidRPr="001571EB" w:rsidRDefault="00004547" w:rsidP="00004547">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19E1961" w14:textId="77777777" w:rsidR="00004547" w:rsidRPr="001571EB" w:rsidRDefault="00004547" w:rsidP="00004547">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29404DF8" w14:textId="77777777" w:rsidR="00004547" w:rsidRDefault="00004547" w:rsidP="00004547">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22FBF19F" w14:textId="77777777" w:rsidR="00004547" w:rsidRDefault="00004547" w:rsidP="00004547">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36712D87" w14:textId="77777777" w:rsidR="00004547" w:rsidRPr="001571EB" w:rsidRDefault="00004547" w:rsidP="00004547">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2EEC5E30" w14:textId="77777777" w:rsidR="00004547" w:rsidRPr="001571EB" w:rsidRDefault="00004547" w:rsidP="00004547">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3CE613D5" w14:textId="77777777" w:rsidR="00004547" w:rsidRPr="001571EB" w:rsidRDefault="00004547" w:rsidP="00004547">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6193954A" w14:textId="77777777" w:rsidR="00004547" w:rsidRPr="001571EB" w:rsidRDefault="00004547" w:rsidP="00004547">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75D31996" w14:textId="77777777" w:rsidR="00004547" w:rsidRPr="00EE0180" w:rsidRDefault="00004547" w:rsidP="00004547">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3E898A4D" w14:textId="77777777" w:rsidR="00004547" w:rsidRPr="001571EB" w:rsidRDefault="00004547" w:rsidP="00004547">
      <w:pPr>
        <w:autoSpaceDE w:val="0"/>
        <w:autoSpaceDN w:val="0"/>
        <w:adjustRightInd w:val="0"/>
        <w:spacing w:before="120" w:after="120"/>
        <w:ind w:left="567" w:right="850"/>
        <w:jc w:val="both"/>
        <w:rPr>
          <w:rFonts w:ascii="Palatino Linotype" w:eastAsia="Times New Roman" w:hAnsi="Palatino Linotype" w:cs="Arial"/>
          <w:i/>
        </w:rPr>
      </w:pPr>
    </w:p>
    <w:p w14:paraId="3D8B7AB9" w14:textId="77777777" w:rsidR="00004547" w:rsidRPr="001571EB" w:rsidRDefault="00004547" w:rsidP="00004547">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2AEFE160" w14:textId="77777777" w:rsidR="00004547" w:rsidRPr="001571EB" w:rsidRDefault="00004547" w:rsidP="00004547">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FA5F55E" w14:textId="77777777" w:rsidR="00004547" w:rsidRDefault="00004547" w:rsidP="00004547">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CC2FAA8" w14:textId="77777777" w:rsidR="00004547" w:rsidRDefault="00004547" w:rsidP="00004547">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4F16BAE6" w14:textId="77777777" w:rsidR="00004547" w:rsidRPr="001571EB" w:rsidRDefault="00004547" w:rsidP="00004547">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60CE86A" w14:textId="77777777" w:rsidR="00004547" w:rsidRPr="001571EB" w:rsidRDefault="00004547" w:rsidP="0000454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283D02B3" w14:textId="77777777" w:rsidR="00004547" w:rsidRPr="001571EB" w:rsidRDefault="00004547" w:rsidP="0000454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479D5ED9" w14:textId="77777777" w:rsidR="00004547" w:rsidRPr="001571EB" w:rsidRDefault="00004547" w:rsidP="0000454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7B4C9228" w14:textId="77777777" w:rsidR="00004547" w:rsidRDefault="00004547" w:rsidP="00004547">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438FF4E1" w14:textId="77777777" w:rsidR="00004547" w:rsidRDefault="00004547" w:rsidP="00004547">
      <w:pPr>
        <w:spacing w:after="0" w:line="360" w:lineRule="auto"/>
        <w:ind w:right="51"/>
        <w:jc w:val="both"/>
        <w:rPr>
          <w:rFonts w:ascii="Palatino Linotype" w:hAnsi="Palatino Linotype" w:cs="Arial"/>
          <w:sz w:val="24"/>
          <w:szCs w:val="24"/>
        </w:rPr>
      </w:pPr>
    </w:p>
    <w:p w14:paraId="04B22865" w14:textId="77777777" w:rsidR="00004547" w:rsidRDefault="00004547" w:rsidP="00004547">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41C45733" w14:textId="77777777" w:rsidR="00004547" w:rsidRDefault="00004547" w:rsidP="00004547">
      <w:pPr>
        <w:spacing w:after="0" w:line="360" w:lineRule="auto"/>
        <w:jc w:val="both"/>
        <w:rPr>
          <w:rFonts w:ascii="Palatino Linotype" w:eastAsia="Times New Roman" w:hAnsi="Palatino Linotype" w:cs="Times New Roman"/>
          <w:sz w:val="24"/>
          <w:szCs w:val="24"/>
          <w:lang w:eastAsia="es-ES"/>
        </w:rPr>
      </w:pPr>
    </w:p>
    <w:p w14:paraId="24521552" w14:textId="027DBC3C" w:rsidR="00004547" w:rsidRPr="000F5B7E" w:rsidRDefault="00004547" w:rsidP="00004547">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III, </w:t>
      </w:r>
      <w:r w:rsidRPr="000F5B7E">
        <w:rPr>
          <w:rFonts w:ascii="Palatino Linotype" w:eastAsia="Times New Roman" w:hAnsi="Palatino Linotype" w:cs="Arial"/>
          <w:sz w:val="24"/>
          <w:szCs w:val="24"/>
          <w:lang w:eastAsia="es-ES"/>
        </w:rPr>
        <w:lastRenderedPageBreak/>
        <w:t>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Pr>
          <w:rFonts w:ascii="Palatino Linotype" w:hAnsi="Palatino Linotype" w:cs="Arial"/>
          <w:b/>
          <w:sz w:val="24"/>
          <w:szCs w:val="24"/>
        </w:rPr>
        <w:t>00100/SCTUR/IP/2021</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Times New Roman"/>
          <w:sz w:val="24"/>
          <w:szCs w:val="24"/>
          <w:lang w:eastAsia="es-ES"/>
        </w:rPr>
        <w:t>que ha sido materia del presente fallo.</w:t>
      </w:r>
    </w:p>
    <w:p w14:paraId="7C08C3CD" w14:textId="77777777" w:rsidR="00004547" w:rsidRDefault="00004547" w:rsidP="00004547">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552A10B3" w14:textId="77777777" w:rsidR="00004547" w:rsidRDefault="00004547" w:rsidP="00004547">
      <w:pPr>
        <w:autoSpaceDE w:val="0"/>
        <w:autoSpaceDN w:val="0"/>
        <w:adjustRightInd w:val="0"/>
        <w:spacing w:line="360" w:lineRule="auto"/>
        <w:jc w:val="both"/>
        <w:rPr>
          <w:rFonts w:ascii="Palatino Linotype" w:hAnsi="Palatino Linotype" w:cs="Arial"/>
        </w:rPr>
      </w:pPr>
    </w:p>
    <w:p w14:paraId="224FD0D0" w14:textId="77777777" w:rsidR="00004547" w:rsidRPr="00413327" w:rsidRDefault="00004547" w:rsidP="00004547">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6B0A86DD" w14:textId="2E808F56" w:rsidR="00004547" w:rsidRDefault="00004547" w:rsidP="00004547">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sz w:val="24"/>
          <w:szCs w:val="24"/>
        </w:rPr>
        <w:t>00100/SCTUR/IP/2021</w:t>
      </w:r>
      <w:r w:rsidRPr="000F5B7E">
        <w:rPr>
          <w:rFonts w:ascii="Palatino Linotype" w:eastAsia="Times New Roman" w:hAnsi="Palatino Linotype" w:cs="Arial"/>
          <w:b/>
          <w:sz w:val="24"/>
          <w:szCs w:val="24"/>
          <w:lang w:eastAsia="es-ES"/>
        </w:rPr>
        <w:t xml:space="preserve">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0DE4BB2F" w14:textId="77777777" w:rsidR="00004547" w:rsidRDefault="00004547" w:rsidP="00004547">
      <w:pPr>
        <w:spacing w:before="240" w:line="360" w:lineRule="auto"/>
        <w:jc w:val="both"/>
        <w:rPr>
          <w:rFonts w:ascii="Palatino Linotype" w:hAnsi="Palatino Linotype" w:cs="Arial"/>
          <w:sz w:val="24"/>
          <w:szCs w:val="24"/>
        </w:rPr>
      </w:pPr>
    </w:p>
    <w:p w14:paraId="1AEDA6F5" w14:textId="77777777" w:rsidR="00004547" w:rsidRDefault="00004547" w:rsidP="00004547">
      <w:pPr>
        <w:pStyle w:val="Sinespaciado"/>
        <w:spacing w:line="360" w:lineRule="auto"/>
        <w:jc w:val="both"/>
        <w:rPr>
          <w:rFonts w:ascii="Palatino Linotype" w:hAnsi="Palatino Linotype" w:cs="Arial"/>
        </w:rPr>
      </w:pPr>
      <w:r w:rsidRPr="001C7462">
        <w:rPr>
          <w:rFonts w:ascii="Palatino Linotype" w:hAnsi="Palatino Linotype" w:cs="Arial"/>
          <w:b/>
          <w:sz w:val="28"/>
          <w:szCs w:val="28"/>
        </w:rPr>
        <w:t>SEGUNDO.</w:t>
      </w:r>
      <w:r w:rsidRPr="001C7462">
        <w:rPr>
          <w:rFonts w:ascii="Palatino Linotype" w:hAnsi="Palatino Linotype" w:cs="Arial"/>
        </w:rPr>
        <w:t xml:space="preserve"> Se </w:t>
      </w:r>
      <w:r w:rsidRPr="001C7462">
        <w:rPr>
          <w:rFonts w:ascii="Palatino Linotype" w:hAnsi="Palatino Linotype" w:cs="Arial"/>
          <w:b/>
        </w:rPr>
        <w:t>ORDENA</w:t>
      </w:r>
      <w:r w:rsidRPr="001C7462">
        <w:rPr>
          <w:rFonts w:ascii="Palatino Linotype" w:hAnsi="Palatino Linotype" w:cs="Arial"/>
        </w:rPr>
        <w:t xml:space="preserve"> al </w:t>
      </w:r>
      <w:r w:rsidRPr="001C7462">
        <w:rPr>
          <w:rFonts w:ascii="Palatino Linotype" w:hAnsi="Palatino Linotype" w:cs="Arial"/>
          <w:b/>
        </w:rPr>
        <w:t>SUJETO OBLIGADO</w:t>
      </w:r>
      <w:r w:rsidRPr="001C7462">
        <w:rPr>
          <w:rFonts w:ascii="Palatino Linotype" w:hAnsi="Palatino Linotype" w:cs="Arial"/>
        </w:rPr>
        <w:t xml:space="preserve"> haga entrega </w:t>
      </w:r>
      <w:r>
        <w:rPr>
          <w:rFonts w:ascii="Palatino Linotype" w:hAnsi="Palatino Linotype" w:cs="Arial"/>
        </w:rPr>
        <w:t>al</w:t>
      </w:r>
      <w:r w:rsidRPr="001C7462">
        <w:rPr>
          <w:rFonts w:ascii="Palatino Linotype" w:hAnsi="Palatino Linotype" w:cs="Arial"/>
        </w:rPr>
        <w:t xml:space="preserve"> </w:t>
      </w:r>
      <w:r w:rsidRPr="001C7462">
        <w:rPr>
          <w:rFonts w:ascii="Palatino Linotype" w:hAnsi="Palatino Linotype" w:cs="Arial"/>
          <w:b/>
        </w:rPr>
        <w:t xml:space="preserve">RECURRENTE </w:t>
      </w:r>
      <w:r w:rsidRPr="001C7462">
        <w:rPr>
          <w:rFonts w:ascii="Palatino Linotype" w:hAnsi="Palatino Linotype" w:cs="Arial"/>
        </w:rPr>
        <w:t xml:space="preserve">en términos del Considerando </w:t>
      </w:r>
      <w:r w:rsidRPr="001C7462">
        <w:rPr>
          <w:rFonts w:ascii="Palatino Linotype" w:hAnsi="Palatino Linotype" w:cs="Arial"/>
          <w:b/>
        </w:rPr>
        <w:t xml:space="preserve">CUARTO </w:t>
      </w:r>
      <w:r w:rsidRPr="001C7462">
        <w:rPr>
          <w:rFonts w:ascii="Palatino Linotype" w:hAnsi="Palatino Linotype" w:cs="Arial"/>
        </w:rPr>
        <w:t>de esta resolución,</w:t>
      </w:r>
      <w:r>
        <w:rPr>
          <w:rFonts w:ascii="Palatino Linotype" w:hAnsi="Palatino Linotype" w:cs="Arial"/>
        </w:rPr>
        <w:t xml:space="preserve"> previa búsqueda exhaustiva y razonable,</w:t>
      </w:r>
      <w:r w:rsidRPr="001C7462">
        <w:rPr>
          <w:rFonts w:ascii="Palatino Linotype" w:hAnsi="Palatino Linotype" w:cs="Arial"/>
        </w:rPr>
        <w:t xml:space="preserve"> a través del </w:t>
      </w:r>
      <w:r>
        <w:rPr>
          <w:rFonts w:ascii="Palatino Linotype" w:hAnsi="Palatino Linotype" w:cs="Arial"/>
        </w:rPr>
        <w:t>Sistema de Acceso a la Información Mexiquense</w:t>
      </w:r>
      <w:r w:rsidRPr="001C7462">
        <w:rPr>
          <w:rFonts w:ascii="Palatino Linotype" w:hAnsi="Palatino Linotype" w:cs="Arial"/>
          <w:b/>
        </w:rPr>
        <w:t xml:space="preserve"> </w:t>
      </w:r>
      <w:r>
        <w:rPr>
          <w:rFonts w:ascii="Palatino Linotype" w:hAnsi="Palatino Linotype" w:cs="Arial"/>
          <w:b/>
        </w:rPr>
        <w:t>(</w:t>
      </w:r>
      <w:r w:rsidRPr="001C7462">
        <w:rPr>
          <w:rFonts w:ascii="Palatino Linotype" w:hAnsi="Palatino Linotype" w:cs="Arial"/>
          <w:b/>
        </w:rPr>
        <w:t>SAIMEX</w:t>
      </w:r>
      <w:r>
        <w:rPr>
          <w:rFonts w:ascii="Palatino Linotype" w:hAnsi="Palatino Linotype" w:cs="Arial"/>
          <w:b/>
        </w:rPr>
        <w:t>)</w:t>
      </w:r>
      <w:r w:rsidRPr="001C7462">
        <w:rPr>
          <w:rFonts w:ascii="Palatino Linotype" w:hAnsi="Palatino Linotype" w:cs="Arial"/>
        </w:rPr>
        <w:t xml:space="preserve">, </w:t>
      </w:r>
      <w:r w:rsidRPr="00A116CF">
        <w:rPr>
          <w:rFonts w:ascii="Palatino Linotype" w:hAnsi="Palatino Linotype" w:cs="Arial"/>
        </w:rPr>
        <w:t>en versión pública</w:t>
      </w:r>
      <w:r>
        <w:rPr>
          <w:rFonts w:ascii="Palatino Linotype" w:hAnsi="Palatino Linotype" w:cs="Arial"/>
        </w:rPr>
        <w:t xml:space="preserve"> de ser procedente</w:t>
      </w:r>
      <w:r w:rsidRPr="00A116CF">
        <w:rPr>
          <w:rFonts w:ascii="Palatino Linotype" w:hAnsi="Palatino Linotype" w:cs="Arial"/>
        </w:rPr>
        <w:t xml:space="preserve">, </w:t>
      </w:r>
      <w:r>
        <w:rPr>
          <w:rFonts w:ascii="Palatino Linotype" w:hAnsi="Palatino Linotype" w:cs="Arial"/>
        </w:rPr>
        <w:t xml:space="preserve">de </w:t>
      </w:r>
      <w:r w:rsidRPr="00A116CF">
        <w:rPr>
          <w:rFonts w:ascii="Palatino Linotype" w:hAnsi="Palatino Linotype" w:cs="Arial"/>
        </w:rPr>
        <w:t>lo siguiente:</w:t>
      </w:r>
    </w:p>
    <w:p w14:paraId="0266E0BD" w14:textId="77777777" w:rsidR="00004547" w:rsidRDefault="00004547" w:rsidP="00004547">
      <w:pPr>
        <w:pStyle w:val="Prrafodelista"/>
        <w:numPr>
          <w:ilvl w:val="0"/>
          <w:numId w:val="11"/>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el desglose de gasto para la compra de árboles y plantas de ornato (unidades adquiridas, costo por unidad, empresa o vendedor, entre otros), del periodo comprendido del veintinueve de septiembre de dos mil veinte al dos de agosto de dos mil veintiuno. </w:t>
      </w:r>
    </w:p>
    <w:p w14:paraId="3FC866BD" w14:textId="77777777" w:rsidR="00004547" w:rsidRDefault="00004547" w:rsidP="00004547">
      <w:pPr>
        <w:pStyle w:val="Prrafodelista"/>
        <w:numPr>
          <w:ilvl w:val="0"/>
          <w:numId w:val="11"/>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Acuerdo que emita el Comité de Transparencia en el que se confirme la declaración de incompetencia del </w:t>
      </w:r>
      <w:r>
        <w:rPr>
          <w:rFonts w:ascii="Palatino Linotype" w:hAnsi="Palatino Linotype" w:cs="Arial"/>
          <w:b/>
          <w:bCs/>
        </w:rPr>
        <w:t xml:space="preserve">Sujeto Obligado, </w:t>
      </w:r>
      <w:r>
        <w:rPr>
          <w:rFonts w:ascii="Palatino Linotype" w:hAnsi="Palatino Linotype" w:cs="Arial"/>
        </w:rPr>
        <w:t xml:space="preserve">respecto de los procesos de licitación derivada de la compra de árboles y plantas de ornato, del periodo </w:t>
      </w:r>
      <w:r>
        <w:rPr>
          <w:rFonts w:ascii="Palatino Linotype" w:hAnsi="Palatino Linotype" w:cs="Arial"/>
        </w:rPr>
        <w:lastRenderedPageBreak/>
        <w:t>comprendido del veintinueve de septiembre de dos mil veinte al dos de agosto de dos mil veintiuno.</w:t>
      </w:r>
    </w:p>
    <w:p w14:paraId="48918334" w14:textId="7B408818" w:rsidR="00004547" w:rsidRDefault="00004547" w:rsidP="00004547">
      <w:pPr>
        <w:pStyle w:val="Prrafodelista"/>
        <w:spacing w:before="240" w:line="360" w:lineRule="auto"/>
        <w:ind w:left="709"/>
        <w:jc w:val="both"/>
        <w:rPr>
          <w:rFonts w:ascii="Palatino Linotype" w:hAnsi="Palatino Linotype" w:cs="Arial"/>
          <w:i/>
        </w:rPr>
      </w:pPr>
      <w:r>
        <w:rPr>
          <w:rFonts w:ascii="Palatino Linotype" w:hAnsi="Palatino Linotype" w:cs="Arial"/>
          <w:i/>
        </w:rPr>
        <w:t xml:space="preserve">En alusión al numeral 1, 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sidR="00FF10CC">
        <w:rPr>
          <w:rFonts w:ascii="Palatino Linotype" w:hAnsi="Palatino Linotype" w:cs="Arial"/>
          <w:i/>
        </w:rPr>
        <w:t>del</w:t>
      </w:r>
      <w:r>
        <w:rPr>
          <w:rFonts w:ascii="Palatino Linotype" w:hAnsi="Palatino Linotype" w:cs="Arial"/>
          <w:i/>
        </w:rPr>
        <w:t xml:space="preserve"> recurrente.</w:t>
      </w:r>
    </w:p>
    <w:p w14:paraId="2608B157" w14:textId="77777777" w:rsidR="00004547" w:rsidRDefault="00004547" w:rsidP="00004547">
      <w:pPr>
        <w:pStyle w:val="Prrafodelista"/>
        <w:spacing w:before="240" w:line="360" w:lineRule="auto"/>
        <w:ind w:left="709"/>
        <w:jc w:val="both"/>
        <w:rPr>
          <w:rFonts w:ascii="Palatino Linotype" w:hAnsi="Palatino Linotype" w:cs="Arial"/>
          <w:i/>
        </w:rPr>
      </w:pPr>
    </w:p>
    <w:p w14:paraId="36882CC6" w14:textId="77777777" w:rsidR="00004547" w:rsidRDefault="00004547" w:rsidP="00004547">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quince</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212A7D6D" w14:textId="77777777" w:rsidR="00004547" w:rsidRDefault="00004547" w:rsidP="00004547">
      <w:pPr>
        <w:autoSpaceDE w:val="0"/>
        <w:autoSpaceDN w:val="0"/>
        <w:adjustRightInd w:val="0"/>
        <w:spacing w:before="240" w:line="360" w:lineRule="auto"/>
        <w:jc w:val="both"/>
        <w:rPr>
          <w:rFonts w:ascii="Palatino Linotype" w:hAnsi="Palatino Linotype" w:cs="Arial"/>
          <w:sz w:val="24"/>
          <w:szCs w:val="24"/>
        </w:rPr>
      </w:pPr>
    </w:p>
    <w:p w14:paraId="761A7BBC" w14:textId="77777777" w:rsidR="00004547" w:rsidRDefault="00004547" w:rsidP="0000454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09E3E3" w14:textId="77777777" w:rsidR="00004547" w:rsidRPr="005751B7" w:rsidRDefault="00004547" w:rsidP="00004547">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37880C4" w14:textId="77777777" w:rsidR="00004547" w:rsidRPr="00F77047" w:rsidRDefault="00004547" w:rsidP="00004547">
      <w:pPr>
        <w:spacing w:after="0" w:line="360" w:lineRule="auto"/>
        <w:jc w:val="both"/>
        <w:rPr>
          <w:rFonts w:ascii="Palatino Linotype" w:eastAsia="Times New Roman" w:hAnsi="Palatino Linotype" w:cs="Arial"/>
          <w:b/>
          <w:sz w:val="18"/>
          <w:szCs w:val="24"/>
          <w:lang w:eastAsia="es-ES"/>
        </w:rPr>
      </w:pPr>
    </w:p>
    <w:p w14:paraId="60F09812" w14:textId="77777777" w:rsidR="00004547" w:rsidRDefault="00004547" w:rsidP="00004547">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8B7EDA">
        <w:rPr>
          <w:rFonts w:ascii="Palatino Linotype" w:eastAsia="Times New Roman" w:hAnsi="Palatino Linotype" w:cs="Arial"/>
          <w:b/>
          <w:sz w:val="24"/>
          <w:szCs w:val="24"/>
          <w:lang w:eastAsia="es-ES"/>
        </w:rPr>
        <w:lastRenderedPageBreak/>
        <w:t xml:space="preserve">QUINTO. NOTIFÍQUESE </w:t>
      </w:r>
      <w:r>
        <w:rPr>
          <w:rFonts w:ascii="Palatino Linotype" w:eastAsia="Times New Roman" w:hAnsi="Palatino Linotype" w:cs="Arial"/>
          <w:sz w:val="24"/>
          <w:szCs w:val="24"/>
          <w:lang w:eastAsia="es-ES"/>
        </w:rPr>
        <w:t xml:space="preserve">la presente resolución al </w:t>
      </w:r>
      <w:r w:rsidRPr="008B7EDA">
        <w:rPr>
          <w:rFonts w:ascii="Palatino Linotype" w:eastAsia="Times New Roman" w:hAnsi="Palatino Linotype" w:cs="Arial"/>
          <w:b/>
          <w:sz w:val="24"/>
          <w:szCs w:val="24"/>
          <w:lang w:eastAsia="es-ES"/>
        </w:rPr>
        <w:t>RECURRENTE</w:t>
      </w:r>
      <w:r w:rsidRPr="008B7EDA">
        <w:rPr>
          <w:rFonts w:ascii="Palatino Linotype" w:eastAsia="Times New Roman" w:hAnsi="Palatino Linotype" w:cs="Arial"/>
          <w:sz w:val="24"/>
          <w:szCs w:val="24"/>
          <w:lang w:eastAsia="es-ES"/>
        </w:rPr>
        <w:t xml:space="preserve"> </w:t>
      </w:r>
      <w:r w:rsidRPr="00A86352">
        <w:rPr>
          <w:rFonts w:ascii="Palatino Linotype" w:hAnsi="Palatino Linotype" w:cs="Arial"/>
          <w:sz w:val="24"/>
          <w:szCs w:val="24"/>
        </w:rPr>
        <w:t>a través del Sistema de Acceso a la Información Mexiquense</w:t>
      </w:r>
      <w:r w:rsidRPr="00A86352">
        <w:rPr>
          <w:rFonts w:ascii="Palatino Linotype" w:hAnsi="Palatino Linotype" w:cs="Arial"/>
          <w:b/>
          <w:sz w:val="24"/>
          <w:szCs w:val="24"/>
        </w:rPr>
        <w:t xml:space="preserve"> (SAIMEX)</w:t>
      </w:r>
      <w:r w:rsidRPr="00A86352">
        <w:rPr>
          <w:rFonts w:ascii="Palatino Linotype" w:hAnsi="Palatino Linotype" w:cs="Arial"/>
          <w:sz w:val="24"/>
          <w:szCs w:val="24"/>
        </w:rPr>
        <w:t>,</w:t>
      </w:r>
      <w:r w:rsidRPr="001C7462">
        <w:rPr>
          <w:rFonts w:ascii="Palatino Linotype" w:hAnsi="Palatino Linotype" w:cs="Arial"/>
        </w:rPr>
        <w:t xml:space="preserve"> </w:t>
      </w:r>
      <w:r w:rsidRPr="008B7EDA">
        <w:rPr>
          <w:rFonts w:ascii="Palatino Linotype" w:eastAsia="Times New Roman" w:hAnsi="Palatino Linotype" w:cs="Arial"/>
          <w:sz w:val="24"/>
          <w:szCs w:val="24"/>
          <w:lang w:eastAsia="es-ES"/>
        </w:rPr>
        <w:t xml:space="preserve">y hágase de su conocimiento que, </w:t>
      </w:r>
      <w:r w:rsidRPr="008B7EDA">
        <w:rPr>
          <w:rFonts w:ascii="Palatino Linotype" w:eastAsia="Times New Roman" w:hAnsi="Palatino Linotype" w:cs="Times New Roman"/>
          <w:color w:val="222222"/>
          <w:sz w:val="24"/>
          <w:szCs w:val="24"/>
          <w:shd w:val="clear" w:color="auto" w:fill="FFFFFF"/>
          <w:lang w:eastAsia="es-ES"/>
        </w:rPr>
        <w:t>de conformidad con lo establecido en el artículo 196, de la Ley de Transparencia y Acceso a la Información Pública del Estado de México y Municipios, podrá promover el Juicio de Amparo en los términos de las leyes aplicables.</w:t>
      </w:r>
    </w:p>
    <w:p w14:paraId="52195A16" w14:textId="77777777" w:rsidR="00004547" w:rsidRPr="00004547" w:rsidRDefault="00004547" w:rsidP="00004547">
      <w:pPr>
        <w:autoSpaceDE w:val="0"/>
        <w:autoSpaceDN w:val="0"/>
        <w:adjustRightInd w:val="0"/>
        <w:spacing w:line="360" w:lineRule="auto"/>
        <w:jc w:val="both"/>
        <w:rPr>
          <w:rFonts w:ascii="Palatino Linotype" w:hAnsi="Palatino Linotype" w:cs="Arial"/>
        </w:rPr>
      </w:pPr>
    </w:p>
    <w:p w14:paraId="1064DFB3" w14:textId="71C602B4" w:rsidR="00004547" w:rsidRPr="00357F3D" w:rsidRDefault="00004547" w:rsidP="00004547">
      <w:pPr>
        <w:pStyle w:val="Prrafodelista"/>
        <w:autoSpaceDE w:val="0"/>
        <w:autoSpaceDN w:val="0"/>
        <w:adjustRightInd w:val="0"/>
        <w:spacing w:before="240" w:after="160" w:line="360" w:lineRule="auto"/>
        <w:ind w:left="0"/>
        <w:jc w:val="both"/>
        <w:rPr>
          <w:rFonts w:ascii="Palatino Linotype" w:hAnsi="Palatino Linotype"/>
          <w:bCs/>
          <w:sz w:val="22"/>
          <w:szCs w:val="22"/>
        </w:rPr>
      </w:pPr>
      <w:r w:rsidRPr="00357F3D">
        <w:rPr>
          <w:rFonts w:ascii="Palatino Linotype" w:hAnsi="Palatino Linotype" w:cs="Arial"/>
          <w:sz w:val="22"/>
          <w:szCs w:val="22"/>
        </w:rPr>
        <w:t>ASÍ LO ACORDÓ, POR UNANIMIDAD DE VOTOS, EL PLENO DEL</w:t>
      </w:r>
      <w:r w:rsidRPr="00357F3D">
        <w:rPr>
          <w:rFonts w:ascii="Palatino Linotype" w:eastAsia="Arial Unicode MS" w:hAnsi="Palatino Linotype" w:cs="Arial"/>
          <w:sz w:val="22"/>
          <w:szCs w:val="22"/>
        </w:rPr>
        <w:t xml:space="preserve"> INSTITUTO DE TRANSPARENCIA, ACCESO A LA INFORMACIÓN PÚBLICA Y PROTECCIÓN DE DATOS PERSONALES DEL ESTADO DE MÉXICO Y MUNICIPIOS</w:t>
      </w:r>
      <w:r w:rsidRPr="00357F3D">
        <w:rPr>
          <w:rFonts w:ascii="Palatino Linotype" w:hAnsi="Palatino Linotype" w:cs="Arial"/>
          <w:sz w:val="22"/>
          <w:szCs w:val="22"/>
        </w:rPr>
        <w:t>, CONFORMADO POR LOS COMISIONADOS JOSÉ MARTÍNEZ VILCHIS, MARÍA DEL ROSARIO MEJÍA AYALA, S</w:t>
      </w:r>
      <w:r>
        <w:rPr>
          <w:rFonts w:ascii="Palatino Linotype" w:hAnsi="Palatino Linotype" w:cs="Arial"/>
          <w:sz w:val="22"/>
          <w:szCs w:val="22"/>
        </w:rPr>
        <w:t xml:space="preserve">HARON CRISTINA MORALES MARTÍNEZ, </w:t>
      </w:r>
      <w:r w:rsidRPr="00357F3D">
        <w:rPr>
          <w:rFonts w:ascii="Palatino Linotype" w:hAnsi="Palatino Linotype" w:cs="Arial"/>
          <w:sz w:val="22"/>
          <w:szCs w:val="22"/>
        </w:rPr>
        <w:t xml:space="preserve">LUIS GUSTAVO PARRA NORIEGA Y GUADALUPE RAMÍREZ PEÑA; EN LA </w:t>
      </w:r>
      <w:r>
        <w:rPr>
          <w:rFonts w:ascii="Palatino Linotype" w:hAnsi="Palatino Linotype" w:cs="Arial"/>
          <w:sz w:val="22"/>
          <w:szCs w:val="22"/>
        </w:rPr>
        <w:t xml:space="preserve">TRIGÉSIMA QUINTA SESIÓN ORDINARIA CELEBRADA EL SEIS DE OCTUBRE DE DOS MIL VEINTIUNO, </w:t>
      </w:r>
      <w:r w:rsidRPr="00357F3D">
        <w:rPr>
          <w:rFonts w:ascii="Palatino Linotype" w:hAnsi="Palatino Linotype" w:cs="Arial"/>
          <w:sz w:val="22"/>
          <w:szCs w:val="22"/>
        </w:rPr>
        <w:t xml:space="preserve">ANTE EL SECRETARIO TÉCNICO DEL PLENO, ALEXIS TAPIA RAMÍREZ. </w:t>
      </w:r>
    </w:p>
    <w:p w14:paraId="08E696FE" w14:textId="10BB2FFA" w:rsidR="00004547" w:rsidRDefault="00004547" w:rsidP="00004547">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CRR/J</w:t>
      </w:r>
      <w:r w:rsidRPr="00280B8B">
        <w:rPr>
          <w:rFonts w:ascii="Palatino Linotype" w:hAnsi="Palatino Linotype"/>
          <w:bCs/>
          <w:sz w:val="18"/>
          <w:szCs w:val="18"/>
        </w:rPr>
        <w:t>CMA</w:t>
      </w:r>
    </w:p>
    <w:p w14:paraId="113B5442" w14:textId="5462A85A" w:rsidR="00004547" w:rsidRDefault="00004547" w:rsidP="00004547">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760630" behindDoc="0" locked="0" layoutInCell="1" allowOverlap="1" wp14:anchorId="5116179E" wp14:editId="47A891BA">
                <wp:simplePos x="0" y="0"/>
                <wp:positionH relativeFrom="page">
                  <wp:posOffset>850790</wp:posOffset>
                </wp:positionH>
                <wp:positionV relativeFrom="paragraph">
                  <wp:posOffset>161841</wp:posOffset>
                </wp:positionV>
                <wp:extent cx="6230620" cy="2650987"/>
                <wp:effectExtent l="0" t="0" r="36830" b="35560"/>
                <wp:wrapNone/>
                <wp:docPr id="7" name="Conector recto 7"/>
                <wp:cNvGraphicFramePr/>
                <a:graphic xmlns:a="http://schemas.openxmlformats.org/drawingml/2006/main">
                  <a:graphicData uri="http://schemas.microsoft.com/office/word/2010/wordprocessingShape">
                    <wps:wsp>
                      <wps:cNvCnPr/>
                      <wps:spPr>
                        <a:xfrm>
                          <a:off x="0" y="0"/>
                          <a:ext cx="6230620" cy="26509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7C9AF5" id="Conector recto 7" o:spid="_x0000_s1026" style="position:absolute;z-index:2517606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67pt,12.75pt" to="557.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" strokecolor="#5b9bd5 [3204]" strokeweight=".5pt">
                <v:stroke joinstyle="miter"/>
                <w10:wrap anchorx="page"/>
              </v:line>
            </w:pict>
          </mc:Fallback>
        </mc:AlternateContent>
      </w:r>
    </w:p>
    <w:p w14:paraId="2C1C347B" w14:textId="77777777" w:rsidR="00004547" w:rsidRDefault="00004547" w:rsidP="00004547">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B79FB7F" w14:textId="67E1735D" w:rsidR="00236C82" w:rsidRDefault="00236C82" w:rsidP="00236C82">
      <w:pPr>
        <w:pStyle w:val="Prrafodelista"/>
        <w:autoSpaceDE w:val="0"/>
        <w:autoSpaceDN w:val="0"/>
        <w:adjustRightInd w:val="0"/>
        <w:spacing w:line="360" w:lineRule="auto"/>
        <w:ind w:left="720"/>
        <w:jc w:val="both"/>
        <w:rPr>
          <w:rFonts w:ascii="Palatino Linotype" w:hAnsi="Palatino Linotype" w:cs="Arial"/>
        </w:rPr>
      </w:pPr>
    </w:p>
    <w:p w14:paraId="4F139B7D" w14:textId="3E40E90C" w:rsidR="00004547" w:rsidRDefault="00004547" w:rsidP="00236C82">
      <w:pPr>
        <w:pStyle w:val="Prrafodelista"/>
        <w:autoSpaceDE w:val="0"/>
        <w:autoSpaceDN w:val="0"/>
        <w:adjustRightInd w:val="0"/>
        <w:spacing w:line="360" w:lineRule="auto"/>
        <w:ind w:left="720"/>
        <w:jc w:val="both"/>
        <w:rPr>
          <w:rFonts w:ascii="Palatino Linotype" w:hAnsi="Palatino Linotype" w:cs="Arial"/>
        </w:rPr>
      </w:pPr>
    </w:p>
    <w:p w14:paraId="5B3934A5" w14:textId="3CA57C20" w:rsidR="00004547" w:rsidRDefault="00004547" w:rsidP="00236C82">
      <w:pPr>
        <w:pStyle w:val="Prrafodelista"/>
        <w:autoSpaceDE w:val="0"/>
        <w:autoSpaceDN w:val="0"/>
        <w:adjustRightInd w:val="0"/>
        <w:spacing w:line="360" w:lineRule="auto"/>
        <w:ind w:left="720"/>
        <w:jc w:val="both"/>
        <w:rPr>
          <w:rFonts w:ascii="Palatino Linotype" w:hAnsi="Palatino Linotype" w:cs="Arial"/>
        </w:rPr>
      </w:pPr>
    </w:p>
    <w:p w14:paraId="3397BDD4" w14:textId="5F5A3E90" w:rsidR="00004547" w:rsidRDefault="00004547" w:rsidP="00236C82">
      <w:pPr>
        <w:pStyle w:val="Prrafodelista"/>
        <w:autoSpaceDE w:val="0"/>
        <w:autoSpaceDN w:val="0"/>
        <w:adjustRightInd w:val="0"/>
        <w:spacing w:line="360" w:lineRule="auto"/>
        <w:ind w:left="720"/>
        <w:jc w:val="both"/>
        <w:rPr>
          <w:rFonts w:ascii="Palatino Linotype" w:hAnsi="Palatino Linotype" w:cs="Arial"/>
        </w:rPr>
      </w:pPr>
    </w:p>
    <w:p w14:paraId="241EFE45" w14:textId="540D5C61" w:rsidR="00004547" w:rsidRDefault="00004547" w:rsidP="00236C82">
      <w:pPr>
        <w:pStyle w:val="Prrafodelista"/>
        <w:autoSpaceDE w:val="0"/>
        <w:autoSpaceDN w:val="0"/>
        <w:adjustRightInd w:val="0"/>
        <w:spacing w:line="360" w:lineRule="auto"/>
        <w:ind w:left="720"/>
        <w:jc w:val="both"/>
        <w:rPr>
          <w:rFonts w:ascii="Palatino Linotype" w:hAnsi="Palatino Linotype" w:cs="Arial"/>
        </w:rPr>
      </w:pPr>
    </w:p>
    <w:p w14:paraId="1F9DE1BD" w14:textId="06E9C3BD" w:rsidR="00004547" w:rsidRDefault="00004547" w:rsidP="00236C82">
      <w:pPr>
        <w:pStyle w:val="Prrafodelista"/>
        <w:autoSpaceDE w:val="0"/>
        <w:autoSpaceDN w:val="0"/>
        <w:adjustRightInd w:val="0"/>
        <w:spacing w:line="360" w:lineRule="auto"/>
        <w:ind w:left="720"/>
        <w:jc w:val="both"/>
        <w:rPr>
          <w:rFonts w:ascii="Palatino Linotype" w:hAnsi="Palatino Linotype" w:cs="Arial"/>
        </w:rPr>
      </w:pPr>
    </w:p>
    <w:p w14:paraId="5106E65A" w14:textId="10BFE97C" w:rsidR="00004547" w:rsidRDefault="00004547" w:rsidP="00236C82">
      <w:pPr>
        <w:pStyle w:val="Prrafodelista"/>
        <w:autoSpaceDE w:val="0"/>
        <w:autoSpaceDN w:val="0"/>
        <w:adjustRightInd w:val="0"/>
        <w:spacing w:line="360" w:lineRule="auto"/>
        <w:ind w:left="720"/>
        <w:jc w:val="both"/>
        <w:rPr>
          <w:rFonts w:ascii="Palatino Linotype" w:hAnsi="Palatino Linotype" w:cs="Arial"/>
        </w:rPr>
      </w:pPr>
    </w:p>
    <w:p w14:paraId="2D6CE4E8" w14:textId="77777777" w:rsidR="00004547" w:rsidRPr="006329AB" w:rsidRDefault="00004547" w:rsidP="00236C82">
      <w:pPr>
        <w:pStyle w:val="Prrafodelista"/>
        <w:autoSpaceDE w:val="0"/>
        <w:autoSpaceDN w:val="0"/>
        <w:adjustRightInd w:val="0"/>
        <w:spacing w:line="360" w:lineRule="auto"/>
        <w:ind w:left="720"/>
        <w:jc w:val="both"/>
        <w:rPr>
          <w:rFonts w:ascii="Palatino Linotype" w:hAnsi="Palatino Linotype" w:cs="Arial"/>
        </w:rPr>
      </w:pPr>
    </w:p>
    <w:sectPr w:rsidR="00004547" w:rsidRPr="006329AB" w:rsidSect="00FB4AA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0A5BC" w14:textId="77777777" w:rsidR="008036F9" w:rsidRDefault="008036F9" w:rsidP="006168E4">
      <w:pPr>
        <w:spacing w:after="0" w:line="240" w:lineRule="auto"/>
      </w:pPr>
      <w:r>
        <w:separator/>
      </w:r>
    </w:p>
  </w:endnote>
  <w:endnote w:type="continuationSeparator" w:id="0">
    <w:p w14:paraId="43DFE658" w14:textId="77777777" w:rsidR="008036F9" w:rsidRDefault="008036F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2163FD" w:rsidRPr="000B69FA" w:rsidRDefault="002163F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E5990">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E5990">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2163FD" w:rsidRPr="000B69FA" w:rsidRDefault="002163FD"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E599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E5990">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2F53F" w14:textId="77777777" w:rsidR="008036F9" w:rsidRDefault="008036F9" w:rsidP="006168E4">
      <w:pPr>
        <w:spacing w:after="0" w:line="240" w:lineRule="auto"/>
      </w:pPr>
      <w:r>
        <w:separator/>
      </w:r>
    </w:p>
  </w:footnote>
  <w:footnote w:type="continuationSeparator" w:id="0">
    <w:p w14:paraId="25CBC396" w14:textId="77777777" w:rsidR="008036F9" w:rsidRDefault="008036F9"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2163FD" w:rsidRDefault="002163FD">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163FD" w14:paraId="46A8AAF9" w14:textId="77777777" w:rsidTr="00FB4AAD">
      <w:trPr>
        <w:trHeight w:val="227"/>
      </w:trPr>
      <w:tc>
        <w:tcPr>
          <w:tcW w:w="5529" w:type="dxa"/>
          <w:hideMark/>
        </w:tcPr>
        <w:p w14:paraId="26B5EE34" w14:textId="3BF445B5" w:rsidR="002163FD" w:rsidRDefault="002163F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77631FB4" w:rsidR="002163FD" w:rsidRPr="00B4142F" w:rsidRDefault="002163F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04100/INFOEM/IP/RR/2021</w:t>
          </w:r>
        </w:p>
      </w:tc>
    </w:tr>
    <w:tr w:rsidR="002163FD" w14:paraId="0E72512B" w14:textId="77777777" w:rsidTr="00FB4AAD">
      <w:trPr>
        <w:trHeight w:val="242"/>
      </w:trPr>
      <w:tc>
        <w:tcPr>
          <w:tcW w:w="5529" w:type="dxa"/>
          <w:hideMark/>
        </w:tcPr>
        <w:p w14:paraId="4FB3E0E8" w14:textId="77777777" w:rsidR="002163FD" w:rsidRDefault="002163FD"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0B8F93F9" w:rsidR="002163FD" w:rsidRPr="00F06FED" w:rsidRDefault="002163FD" w:rsidP="00F4623D">
          <w:pPr>
            <w:spacing w:after="120" w:line="256" w:lineRule="auto"/>
            <w:ind w:left="639" w:right="214"/>
            <w:jc w:val="both"/>
            <w:rPr>
              <w:rFonts w:ascii="Palatino Linotype" w:hAnsi="Palatino Linotype" w:cs="Arial"/>
            </w:rPr>
          </w:pPr>
          <w:r>
            <w:rPr>
              <w:rFonts w:ascii="Palatino Linotype" w:hAnsi="Palatino Linotype" w:cs="Arial"/>
              <w:szCs w:val="20"/>
            </w:rPr>
            <w:t xml:space="preserve">Secretaría de Cultura y Turismo </w:t>
          </w:r>
        </w:p>
      </w:tc>
    </w:tr>
    <w:tr w:rsidR="002163FD" w14:paraId="3365CD96" w14:textId="77777777" w:rsidTr="00FB4AAD">
      <w:trPr>
        <w:trHeight w:val="342"/>
      </w:trPr>
      <w:tc>
        <w:tcPr>
          <w:tcW w:w="5529" w:type="dxa"/>
          <w:hideMark/>
        </w:tcPr>
        <w:p w14:paraId="52A09A43" w14:textId="77777777" w:rsidR="002163FD" w:rsidRDefault="002163FD"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2163FD" w:rsidRDefault="002163FD"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2163FD" w:rsidRDefault="002163F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163FD" w14:paraId="02D9F2E3" w14:textId="77777777" w:rsidTr="00FB4AAD">
      <w:trPr>
        <w:trHeight w:val="227"/>
      </w:trPr>
      <w:tc>
        <w:tcPr>
          <w:tcW w:w="5529" w:type="dxa"/>
          <w:hideMark/>
        </w:tcPr>
        <w:p w14:paraId="3EA02FD0" w14:textId="3139CF90" w:rsidR="002163FD" w:rsidRDefault="002163F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076F3212" w:rsidR="002163FD" w:rsidRPr="00B4142F" w:rsidRDefault="002163FD"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04100/INFOEM/IP/RR/2021</w:t>
          </w:r>
        </w:p>
      </w:tc>
    </w:tr>
    <w:tr w:rsidR="002163FD" w14:paraId="5AC92493" w14:textId="77777777" w:rsidTr="00FB4AAD">
      <w:trPr>
        <w:trHeight w:val="196"/>
      </w:trPr>
      <w:tc>
        <w:tcPr>
          <w:tcW w:w="5529" w:type="dxa"/>
          <w:hideMark/>
        </w:tcPr>
        <w:p w14:paraId="7E479B7E" w14:textId="77777777" w:rsidR="002163FD" w:rsidRDefault="002163F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22FEDCA5" w:rsidR="002163FD" w:rsidRPr="00F06FED" w:rsidRDefault="000E5990" w:rsidP="00CC0C5F">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2163FD" w14:paraId="48DDE1B1" w14:textId="77777777" w:rsidTr="00FB4AAD">
      <w:trPr>
        <w:trHeight w:val="242"/>
      </w:trPr>
      <w:tc>
        <w:tcPr>
          <w:tcW w:w="5529" w:type="dxa"/>
          <w:hideMark/>
        </w:tcPr>
        <w:p w14:paraId="718D1409" w14:textId="77777777" w:rsidR="002163FD" w:rsidRDefault="002163FD"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12DEA774" w:rsidR="002163FD" w:rsidRDefault="002163FD"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Secretaría de Cultura y Turismo  </w:t>
          </w:r>
        </w:p>
      </w:tc>
    </w:tr>
    <w:tr w:rsidR="002163FD" w14:paraId="2E924228" w14:textId="77777777" w:rsidTr="00FB4AAD">
      <w:trPr>
        <w:trHeight w:val="342"/>
      </w:trPr>
      <w:tc>
        <w:tcPr>
          <w:tcW w:w="5529" w:type="dxa"/>
          <w:hideMark/>
        </w:tcPr>
        <w:p w14:paraId="03281906" w14:textId="77777777" w:rsidR="002163FD" w:rsidRDefault="002163FD"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2163FD" w:rsidRDefault="002163FD"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2163FD" w:rsidRDefault="002163FD">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760EC"/>
    <w:multiLevelType w:val="hybridMultilevel"/>
    <w:tmpl w:val="9FCC05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DF5643"/>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E93DDC"/>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BB099C"/>
    <w:multiLevelType w:val="hybridMultilevel"/>
    <w:tmpl w:val="C3506E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F776D5"/>
    <w:multiLevelType w:val="hybridMultilevel"/>
    <w:tmpl w:val="4B52DA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F11D88"/>
    <w:multiLevelType w:val="hybridMultilevel"/>
    <w:tmpl w:val="B8F88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957653"/>
    <w:multiLevelType w:val="hybridMultilevel"/>
    <w:tmpl w:val="60B439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F829CD"/>
    <w:multiLevelType w:val="hybridMultilevel"/>
    <w:tmpl w:val="42760B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E7EF8"/>
    <w:multiLevelType w:val="hybridMultilevel"/>
    <w:tmpl w:val="27D449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6711A6E"/>
    <w:multiLevelType w:val="hybridMultilevel"/>
    <w:tmpl w:val="6B645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9C53F21"/>
    <w:multiLevelType w:val="hybridMultilevel"/>
    <w:tmpl w:val="4EDE2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CAE3780"/>
    <w:multiLevelType w:val="hybridMultilevel"/>
    <w:tmpl w:val="CE60BA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50D7D26"/>
    <w:multiLevelType w:val="hybridMultilevel"/>
    <w:tmpl w:val="D38E82C2"/>
    <w:lvl w:ilvl="0" w:tplc="22769586">
      <w:start w:val="5"/>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631451A"/>
    <w:multiLevelType w:val="hybridMultilevel"/>
    <w:tmpl w:val="66B4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76A2764F"/>
    <w:multiLevelType w:val="hybridMultilevel"/>
    <w:tmpl w:val="BA84E4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B33CC7"/>
    <w:multiLevelType w:val="hybridMultilevel"/>
    <w:tmpl w:val="9E5E1164"/>
    <w:lvl w:ilvl="0" w:tplc="D07823B8">
      <w:start w:val="4245"/>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0"/>
  </w:num>
  <w:num w:numId="2">
    <w:abstractNumId w:val="0"/>
  </w:num>
  <w:num w:numId="3">
    <w:abstractNumId w:val="5"/>
  </w:num>
  <w:num w:numId="4">
    <w:abstractNumId w:val="16"/>
  </w:num>
  <w:num w:numId="5">
    <w:abstractNumId w:val="1"/>
  </w:num>
  <w:num w:numId="6">
    <w:abstractNumId w:val="9"/>
  </w:num>
  <w:num w:numId="7">
    <w:abstractNumId w:val="11"/>
  </w:num>
  <w:num w:numId="8">
    <w:abstractNumId w:val="13"/>
  </w:num>
  <w:num w:numId="9">
    <w:abstractNumId w:val="6"/>
  </w:num>
  <w:num w:numId="10">
    <w:abstractNumId w:val="14"/>
  </w:num>
  <w:num w:numId="11">
    <w:abstractNumId w:val="2"/>
  </w:num>
  <w:num w:numId="12">
    <w:abstractNumId w:val="3"/>
  </w:num>
  <w:num w:numId="13">
    <w:abstractNumId w:val="12"/>
  </w:num>
  <w:num w:numId="14">
    <w:abstractNumId w:val="4"/>
  </w:num>
  <w:num w:numId="15">
    <w:abstractNumId w:val="7"/>
  </w:num>
  <w:num w:numId="16">
    <w:abstractNumId w:val="15"/>
  </w:num>
  <w:num w:numId="1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4547"/>
    <w:rsid w:val="00006FB9"/>
    <w:rsid w:val="000114DC"/>
    <w:rsid w:val="00012201"/>
    <w:rsid w:val="00012220"/>
    <w:rsid w:val="00014FD1"/>
    <w:rsid w:val="00015D83"/>
    <w:rsid w:val="00022EAF"/>
    <w:rsid w:val="00023875"/>
    <w:rsid w:val="000251CC"/>
    <w:rsid w:val="000306A7"/>
    <w:rsid w:val="00031605"/>
    <w:rsid w:val="00032CE7"/>
    <w:rsid w:val="0004190A"/>
    <w:rsid w:val="00041F04"/>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51A0"/>
    <w:rsid w:val="000C5B8B"/>
    <w:rsid w:val="000D1B34"/>
    <w:rsid w:val="000D1B55"/>
    <w:rsid w:val="000D3C75"/>
    <w:rsid w:val="000D6422"/>
    <w:rsid w:val="000E0F23"/>
    <w:rsid w:val="000E2252"/>
    <w:rsid w:val="000E365E"/>
    <w:rsid w:val="000E582E"/>
    <w:rsid w:val="000E5990"/>
    <w:rsid w:val="000E5F05"/>
    <w:rsid w:val="000E686B"/>
    <w:rsid w:val="000F1FAB"/>
    <w:rsid w:val="000F4793"/>
    <w:rsid w:val="0010150E"/>
    <w:rsid w:val="0010372C"/>
    <w:rsid w:val="00105C41"/>
    <w:rsid w:val="00111DCD"/>
    <w:rsid w:val="00114CF9"/>
    <w:rsid w:val="00115F16"/>
    <w:rsid w:val="0011781F"/>
    <w:rsid w:val="001179DB"/>
    <w:rsid w:val="00121ED7"/>
    <w:rsid w:val="00124855"/>
    <w:rsid w:val="00124A47"/>
    <w:rsid w:val="001254F5"/>
    <w:rsid w:val="00136FAD"/>
    <w:rsid w:val="0014029B"/>
    <w:rsid w:val="00146C08"/>
    <w:rsid w:val="00146F0A"/>
    <w:rsid w:val="00152C2B"/>
    <w:rsid w:val="00156EC9"/>
    <w:rsid w:val="001611CC"/>
    <w:rsid w:val="001612E6"/>
    <w:rsid w:val="00161D54"/>
    <w:rsid w:val="00162A4D"/>
    <w:rsid w:val="001649A0"/>
    <w:rsid w:val="001678DF"/>
    <w:rsid w:val="00172C77"/>
    <w:rsid w:val="00172CEE"/>
    <w:rsid w:val="00173E45"/>
    <w:rsid w:val="00175897"/>
    <w:rsid w:val="00180B9F"/>
    <w:rsid w:val="00181CC5"/>
    <w:rsid w:val="00182911"/>
    <w:rsid w:val="0018726A"/>
    <w:rsid w:val="00193784"/>
    <w:rsid w:val="0019396C"/>
    <w:rsid w:val="001957D7"/>
    <w:rsid w:val="001A02EC"/>
    <w:rsid w:val="001A1D9B"/>
    <w:rsid w:val="001A1FF5"/>
    <w:rsid w:val="001A318E"/>
    <w:rsid w:val="001A577E"/>
    <w:rsid w:val="001A7C9B"/>
    <w:rsid w:val="001B05B9"/>
    <w:rsid w:val="001B3239"/>
    <w:rsid w:val="001B7B88"/>
    <w:rsid w:val="001C01B7"/>
    <w:rsid w:val="001C1363"/>
    <w:rsid w:val="001C2D1E"/>
    <w:rsid w:val="001C3E7E"/>
    <w:rsid w:val="001C5B3C"/>
    <w:rsid w:val="001C7319"/>
    <w:rsid w:val="001C7D87"/>
    <w:rsid w:val="001D3DE9"/>
    <w:rsid w:val="001D3E87"/>
    <w:rsid w:val="001D4669"/>
    <w:rsid w:val="001D7575"/>
    <w:rsid w:val="001F3F3C"/>
    <w:rsid w:val="002073AC"/>
    <w:rsid w:val="00211C66"/>
    <w:rsid w:val="0021296D"/>
    <w:rsid w:val="00212CB5"/>
    <w:rsid w:val="0021501E"/>
    <w:rsid w:val="00215A83"/>
    <w:rsid w:val="002163FD"/>
    <w:rsid w:val="00216ABF"/>
    <w:rsid w:val="00217852"/>
    <w:rsid w:val="00220339"/>
    <w:rsid w:val="002205C0"/>
    <w:rsid w:val="00226760"/>
    <w:rsid w:val="00231D77"/>
    <w:rsid w:val="002324F1"/>
    <w:rsid w:val="0023373D"/>
    <w:rsid w:val="0023423C"/>
    <w:rsid w:val="00236C82"/>
    <w:rsid w:val="0024638F"/>
    <w:rsid w:val="00246807"/>
    <w:rsid w:val="00247D10"/>
    <w:rsid w:val="00250470"/>
    <w:rsid w:val="00252985"/>
    <w:rsid w:val="002577FE"/>
    <w:rsid w:val="00266E00"/>
    <w:rsid w:val="002674C9"/>
    <w:rsid w:val="00271EED"/>
    <w:rsid w:val="00273D0E"/>
    <w:rsid w:val="0028788A"/>
    <w:rsid w:val="002915F2"/>
    <w:rsid w:val="00292885"/>
    <w:rsid w:val="002942AD"/>
    <w:rsid w:val="00297140"/>
    <w:rsid w:val="00297368"/>
    <w:rsid w:val="002A0104"/>
    <w:rsid w:val="002A19DF"/>
    <w:rsid w:val="002A2034"/>
    <w:rsid w:val="002A24F4"/>
    <w:rsid w:val="002A38BF"/>
    <w:rsid w:val="002A597E"/>
    <w:rsid w:val="002B1A28"/>
    <w:rsid w:val="002B1C1D"/>
    <w:rsid w:val="002B5069"/>
    <w:rsid w:val="002B5DBD"/>
    <w:rsid w:val="002B70DD"/>
    <w:rsid w:val="002C51F7"/>
    <w:rsid w:val="002C72D2"/>
    <w:rsid w:val="002D29D7"/>
    <w:rsid w:val="002D64A8"/>
    <w:rsid w:val="002D662C"/>
    <w:rsid w:val="002E0A1A"/>
    <w:rsid w:val="002E2D7B"/>
    <w:rsid w:val="002E3488"/>
    <w:rsid w:val="002E5721"/>
    <w:rsid w:val="002E5E6A"/>
    <w:rsid w:val="002F0D76"/>
    <w:rsid w:val="002F37BE"/>
    <w:rsid w:val="002F4D6F"/>
    <w:rsid w:val="002F5A7C"/>
    <w:rsid w:val="002F5BA9"/>
    <w:rsid w:val="00300D0B"/>
    <w:rsid w:val="0030471E"/>
    <w:rsid w:val="00306096"/>
    <w:rsid w:val="00306848"/>
    <w:rsid w:val="00311566"/>
    <w:rsid w:val="0031645D"/>
    <w:rsid w:val="00320A67"/>
    <w:rsid w:val="0032220E"/>
    <w:rsid w:val="003266DA"/>
    <w:rsid w:val="003272FB"/>
    <w:rsid w:val="00330F3C"/>
    <w:rsid w:val="0033630B"/>
    <w:rsid w:val="003507D3"/>
    <w:rsid w:val="00353C25"/>
    <w:rsid w:val="00356E3E"/>
    <w:rsid w:val="00357457"/>
    <w:rsid w:val="00357911"/>
    <w:rsid w:val="00361B9C"/>
    <w:rsid w:val="0036339F"/>
    <w:rsid w:val="00364209"/>
    <w:rsid w:val="00365DA0"/>
    <w:rsid w:val="00367CC7"/>
    <w:rsid w:val="003733F5"/>
    <w:rsid w:val="00375BBA"/>
    <w:rsid w:val="00376CEC"/>
    <w:rsid w:val="00380010"/>
    <w:rsid w:val="00380758"/>
    <w:rsid w:val="003812E0"/>
    <w:rsid w:val="003869DF"/>
    <w:rsid w:val="00394A1E"/>
    <w:rsid w:val="00397C0C"/>
    <w:rsid w:val="003A0EDC"/>
    <w:rsid w:val="003A61F9"/>
    <w:rsid w:val="003B1E88"/>
    <w:rsid w:val="003B4030"/>
    <w:rsid w:val="003B5FD0"/>
    <w:rsid w:val="003C4F65"/>
    <w:rsid w:val="003C5DEB"/>
    <w:rsid w:val="003D2D99"/>
    <w:rsid w:val="003D78A3"/>
    <w:rsid w:val="003E05A5"/>
    <w:rsid w:val="003E128A"/>
    <w:rsid w:val="003E16E1"/>
    <w:rsid w:val="003F3A54"/>
    <w:rsid w:val="004012CF"/>
    <w:rsid w:val="00402FF3"/>
    <w:rsid w:val="004069EB"/>
    <w:rsid w:val="004071A7"/>
    <w:rsid w:val="00412901"/>
    <w:rsid w:val="00417E4F"/>
    <w:rsid w:val="00423213"/>
    <w:rsid w:val="00423ECD"/>
    <w:rsid w:val="0042416D"/>
    <w:rsid w:val="00426B98"/>
    <w:rsid w:val="0042798A"/>
    <w:rsid w:val="004313D2"/>
    <w:rsid w:val="00433D7C"/>
    <w:rsid w:val="00442C1A"/>
    <w:rsid w:val="004469CB"/>
    <w:rsid w:val="00446F3F"/>
    <w:rsid w:val="004516EB"/>
    <w:rsid w:val="004529B6"/>
    <w:rsid w:val="00453DBD"/>
    <w:rsid w:val="00454CE6"/>
    <w:rsid w:val="00455C30"/>
    <w:rsid w:val="00462881"/>
    <w:rsid w:val="004639CF"/>
    <w:rsid w:val="00472678"/>
    <w:rsid w:val="00473342"/>
    <w:rsid w:val="00475F48"/>
    <w:rsid w:val="00477CC2"/>
    <w:rsid w:val="0048180A"/>
    <w:rsid w:val="00481C7A"/>
    <w:rsid w:val="004855D1"/>
    <w:rsid w:val="004857CF"/>
    <w:rsid w:val="0049054A"/>
    <w:rsid w:val="004906C8"/>
    <w:rsid w:val="004967E2"/>
    <w:rsid w:val="004A290F"/>
    <w:rsid w:val="004A5FFD"/>
    <w:rsid w:val="004A7CE2"/>
    <w:rsid w:val="004B15D1"/>
    <w:rsid w:val="004B38AC"/>
    <w:rsid w:val="004B7109"/>
    <w:rsid w:val="004C5FD3"/>
    <w:rsid w:val="004D08EB"/>
    <w:rsid w:val="004D0C64"/>
    <w:rsid w:val="004D2C8F"/>
    <w:rsid w:val="004D2D18"/>
    <w:rsid w:val="004E0136"/>
    <w:rsid w:val="004E1318"/>
    <w:rsid w:val="004E2371"/>
    <w:rsid w:val="004E6BE9"/>
    <w:rsid w:val="004F17FE"/>
    <w:rsid w:val="00503655"/>
    <w:rsid w:val="005037B3"/>
    <w:rsid w:val="005039A0"/>
    <w:rsid w:val="00504FB2"/>
    <w:rsid w:val="00506846"/>
    <w:rsid w:val="00512DA7"/>
    <w:rsid w:val="00515090"/>
    <w:rsid w:val="005211D9"/>
    <w:rsid w:val="00521E57"/>
    <w:rsid w:val="00522FD2"/>
    <w:rsid w:val="00524E8D"/>
    <w:rsid w:val="005305EA"/>
    <w:rsid w:val="00530F74"/>
    <w:rsid w:val="00531170"/>
    <w:rsid w:val="00531E18"/>
    <w:rsid w:val="00535F50"/>
    <w:rsid w:val="005371E7"/>
    <w:rsid w:val="005404AB"/>
    <w:rsid w:val="00540538"/>
    <w:rsid w:val="00540ACB"/>
    <w:rsid w:val="00545E93"/>
    <w:rsid w:val="00547D93"/>
    <w:rsid w:val="005520FE"/>
    <w:rsid w:val="005523D5"/>
    <w:rsid w:val="00556513"/>
    <w:rsid w:val="005575CB"/>
    <w:rsid w:val="0056015B"/>
    <w:rsid w:val="00562653"/>
    <w:rsid w:val="00567998"/>
    <w:rsid w:val="00572979"/>
    <w:rsid w:val="005732F9"/>
    <w:rsid w:val="005733EB"/>
    <w:rsid w:val="00575651"/>
    <w:rsid w:val="005759BB"/>
    <w:rsid w:val="005803A1"/>
    <w:rsid w:val="00580802"/>
    <w:rsid w:val="00581A22"/>
    <w:rsid w:val="00582A33"/>
    <w:rsid w:val="0058671A"/>
    <w:rsid w:val="00593E91"/>
    <w:rsid w:val="005A0B49"/>
    <w:rsid w:val="005A6D57"/>
    <w:rsid w:val="005B36D5"/>
    <w:rsid w:val="005B5B70"/>
    <w:rsid w:val="005B5F05"/>
    <w:rsid w:val="005B60F0"/>
    <w:rsid w:val="005C04BB"/>
    <w:rsid w:val="005C123F"/>
    <w:rsid w:val="005C6605"/>
    <w:rsid w:val="005C6982"/>
    <w:rsid w:val="005D15A3"/>
    <w:rsid w:val="005D1602"/>
    <w:rsid w:val="005D2B59"/>
    <w:rsid w:val="005D362F"/>
    <w:rsid w:val="005D370F"/>
    <w:rsid w:val="005E2749"/>
    <w:rsid w:val="005E46D0"/>
    <w:rsid w:val="005E48E4"/>
    <w:rsid w:val="005E4D7C"/>
    <w:rsid w:val="005F048E"/>
    <w:rsid w:val="005F4734"/>
    <w:rsid w:val="005F57F0"/>
    <w:rsid w:val="0061042F"/>
    <w:rsid w:val="00610C37"/>
    <w:rsid w:val="006114BA"/>
    <w:rsid w:val="006168E4"/>
    <w:rsid w:val="00626A70"/>
    <w:rsid w:val="006323CA"/>
    <w:rsid w:val="006329AB"/>
    <w:rsid w:val="00633DE8"/>
    <w:rsid w:val="006360F3"/>
    <w:rsid w:val="00636327"/>
    <w:rsid w:val="006369B4"/>
    <w:rsid w:val="00637512"/>
    <w:rsid w:val="00640EE4"/>
    <w:rsid w:val="006466F5"/>
    <w:rsid w:val="0064761A"/>
    <w:rsid w:val="00650C5E"/>
    <w:rsid w:val="00652A6B"/>
    <w:rsid w:val="00657DAD"/>
    <w:rsid w:val="00660C59"/>
    <w:rsid w:val="00661753"/>
    <w:rsid w:val="00667DD9"/>
    <w:rsid w:val="00677379"/>
    <w:rsid w:val="006820B6"/>
    <w:rsid w:val="006848B7"/>
    <w:rsid w:val="00686FD5"/>
    <w:rsid w:val="00697278"/>
    <w:rsid w:val="006A04CA"/>
    <w:rsid w:val="006A2BEC"/>
    <w:rsid w:val="006B1953"/>
    <w:rsid w:val="006B1BF1"/>
    <w:rsid w:val="006B26E3"/>
    <w:rsid w:val="006B34A6"/>
    <w:rsid w:val="006B4B63"/>
    <w:rsid w:val="006B5DDC"/>
    <w:rsid w:val="006B68FC"/>
    <w:rsid w:val="006B7294"/>
    <w:rsid w:val="006B7444"/>
    <w:rsid w:val="006C698B"/>
    <w:rsid w:val="006D23FC"/>
    <w:rsid w:val="006D7FD9"/>
    <w:rsid w:val="006F3C14"/>
    <w:rsid w:val="00701033"/>
    <w:rsid w:val="00701B61"/>
    <w:rsid w:val="007164CD"/>
    <w:rsid w:val="007172F5"/>
    <w:rsid w:val="00717E41"/>
    <w:rsid w:val="0072689F"/>
    <w:rsid w:val="00732104"/>
    <w:rsid w:val="00733DB5"/>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80B57"/>
    <w:rsid w:val="00781530"/>
    <w:rsid w:val="007830E9"/>
    <w:rsid w:val="00783A07"/>
    <w:rsid w:val="007851D5"/>
    <w:rsid w:val="00787D06"/>
    <w:rsid w:val="0079486A"/>
    <w:rsid w:val="00794F80"/>
    <w:rsid w:val="00796AFA"/>
    <w:rsid w:val="0079735D"/>
    <w:rsid w:val="007A1C9E"/>
    <w:rsid w:val="007A3206"/>
    <w:rsid w:val="007A4692"/>
    <w:rsid w:val="007A7BBD"/>
    <w:rsid w:val="007B0046"/>
    <w:rsid w:val="007B2303"/>
    <w:rsid w:val="007B2C77"/>
    <w:rsid w:val="007B403C"/>
    <w:rsid w:val="007B68F7"/>
    <w:rsid w:val="007C35A0"/>
    <w:rsid w:val="007C4168"/>
    <w:rsid w:val="007C45D8"/>
    <w:rsid w:val="007D1A27"/>
    <w:rsid w:val="007D1B24"/>
    <w:rsid w:val="007D1F15"/>
    <w:rsid w:val="007D25B1"/>
    <w:rsid w:val="007D2878"/>
    <w:rsid w:val="007D3203"/>
    <w:rsid w:val="007D4303"/>
    <w:rsid w:val="007E6161"/>
    <w:rsid w:val="007E7BAB"/>
    <w:rsid w:val="007E7DCE"/>
    <w:rsid w:val="007F20AC"/>
    <w:rsid w:val="007F53A0"/>
    <w:rsid w:val="007F7A92"/>
    <w:rsid w:val="008024BA"/>
    <w:rsid w:val="00802C56"/>
    <w:rsid w:val="008036F9"/>
    <w:rsid w:val="0080747E"/>
    <w:rsid w:val="00807A3D"/>
    <w:rsid w:val="00811205"/>
    <w:rsid w:val="00812C48"/>
    <w:rsid w:val="008146F9"/>
    <w:rsid w:val="00822215"/>
    <w:rsid w:val="00824DCD"/>
    <w:rsid w:val="00833011"/>
    <w:rsid w:val="008331ED"/>
    <w:rsid w:val="008427E4"/>
    <w:rsid w:val="00843314"/>
    <w:rsid w:val="00844569"/>
    <w:rsid w:val="00847D23"/>
    <w:rsid w:val="0085196B"/>
    <w:rsid w:val="00853BED"/>
    <w:rsid w:val="00863327"/>
    <w:rsid w:val="00870F44"/>
    <w:rsid w:val="00871DC1"/>
    <w:rsid w:val="008724F6"/>
    <w:rsid w:val="00884054"/>
    <w:rsid w:val="00887CDA"/>
    <w:rsid w:val="008936E7"/>
    <w:rsid w:val="00895089"/>
    <w:rsid w:val="008951ED"/>
    <w:rsid w:val="008A68CA"/>
    <w:rsid w:val="008A75BE"/>
    <w:rsid w:val="008B0679"/>
    <w:rsid w:val="008B2177"/>
    <w:rsid w:val="008B3A59"/>
    <w:rsid w:val="008B42B1"/>
    <w:rsid w:val="008B5224"/>
    <w:rsid w:val="008B7382"/>
    <w:rsid w:val="008C0375"/>
    <w:rsid w:val="008C0FC1"/>
    <w:rsid w:val="008C32A8"/>
    <w:rsid w:val="008C55A3"/>
    <w:rsid w:val="008C5A03"/>
    <w:rsid w:val="008C5E94"/>
    <w:rsid w:val="008D038F"/>
    <w:rsid w:val="008D4154"/>
    <w:rsid w:val="008D4EB7"/>
    <w:rsid w:val="008D6297"/>
    <w:rsid w:val="008D6D04"/>
    <w:rsid w:val="008E3791"/>
    <w:rsid w:val="008E6375"/>
    <w:rsid w:val="008F0117"/>
    <w:rsid w:val="008F4C65"/>
    <w:rsid w:val="008F7D3E"/>
    <w:rsid w:val="00904248"/>
    <w:rsid w:val="00905422"/>
    <w:rsid w:val="00913133"/>
    <w:rsid w:val="00920128"/>
    <w:rsid w:val="00921DB9"/>
    <w:rsid w:val="0092403D"/>
    <w:rsid w:val="009268BB"/>
    <w:rsid w:val="00926D4D"/>
    <w:rsid w:val="00935D2F"/>
    <w:rsid w:val="00940116"/>
    <w:rsid w:val="009402DB"/>
    <w:rsid w:val="009449B8"/>
    <w:rsid w:val="00944DC9"/>
    <w:rsid w:val="00945479"/>
    <w:rsid w:val="00946380"/>
    <w:rsid w:val="009464B0"/>
    <w:rsid w:val="009517DA"/>
    <w:rsid w:val="0095731A"/>
    <w:rsid w:val="009611E0"/>
    <w:rsid w:val="00961369"/>
    <w:rsid w:val="00965B02"/>
    <w:rsid w:val="00965FEE"/>
    <w:rsid w:val="0096643B"/>
    <w:rsid w:val="009706B5"/>
    <w:rsid w:val="00970CB5"/>
    <w:rsid w:val="00972BDF"/>
    <w:rsid w:val="0098182D"/>
    <w:rsid w:val="00990C92"/>
    <w:rsid w:val="00991F20"/>
    <w:rsid w:val="00997E87"/>
    <w:rsid w:val="009A0AF8"/>
    <w:rsid w:val="009A1139"/>
    <w:rsid w:val="009A49FE"/>
    <w:rsid w:val="009A686F"/>
    <w:rsid w:val="009A77EC"/>
    <w:rsid w:val="009B33A8"/>
    <w:rsid w:val="009B3487"/>
    <w:rsid w:val="009B5FB5"/>
    <w:rsid w:val="009B7C61"/>
    <w:rsid w:val="009C2422"/>
    <w:rsid w:val="009C2AE5"/>
    <w:rsid w:val="009C3793"/>
    <w:rsid w:val="009C5DB9"/>
    <w:rsid w:val="009C62C1"/>
    <w:rsid w:val="009C7074"/>
    <w:rsid w:val="009D25FE"/>
    <w:rsid w:val="009E0867"/>
    <w:rsid w:val="009E1411"/>
    <w:rsid w:val="009E45A0"/>
    <w:rsid w:val="009E52F2"/>
    <w:rsid w:val="009F0515"/>
    <w:rsid w:val="009F1A4C"/>
    <w:rsid w:val="009F3C1F"/>
    <w:rsid w:val="009F614E"/>
    <w:rsid w:val="009F6571"/>
    <w:rsid w:val="009F762B"/>
    <w:rsid w:val="00A00E96"/>
    <w:rsid w:val="00A02047"/>
    <w:rsid w:val="00A036BE"/>
    <w:rsid w:val="00A0735B"/>
    <w:rsid w:val="00A12205"/>
    <w:rsid w:val="00A155B9"/>
    <w:rsid w:val="00A214B4"/>
    <w:rsid w:val="00A32D63"/>
    <w:rsid w:val="00A345F6"/>
    <w:rsid w:val="00A348B5"/>
    <w:rsid w:val="00A34DDD"/>
    <w:rsid w:val="00A4436A"/>
    <w:rsid w:val="00A453DC"/>
    <w:rsid w:val="00A45721"/>
    <w:rsid w:val="00A457D1"/>
    <w:rsid w:val="00A47E87"/>
    <w:rsid w:val="00A516E8"/>
    <w:rsid w:val="00A520C9"/>
    <w:rsid w:val="00A525D9"/>
    <w:rsid w:val="00A565E7"/>
    <w:rsid w:val="00A625E2"/>
    <w:rsid w:val="00A67B13"/>
    <w:rsid w:val="00A71080"/>
    <w:rsid w:val="00A72465"/>
    <w:rsid w:val="00A72DCB"/>
    <w:rsid w:val="00A75001"/>
    <w:rsid w:val="00A80C92"/>
    <w:rsid w:val="00A82461"/>
    <w:rsid w:val="00A83323"/>
    <w:rsid w:val="00A85006"/>
    <w:rsid w:val="00A851D8"/>
    <w:rsid w:val="00A86352"/>
    <w:rsid w:val="00A90295"/>
    <w:rsid w:val="00A9227B"/>
    <w:rsid w:val="00A93540"/>
    <w:rsid w:val="00A953BA"/>
    <w:rsid w:val="00AA1A2C"/>
    <w:rsid w:val="00AA207C"/>
    <w:rsid w:val="00AA5D62"/>
    <w:rsid w:val="00AB3710"/>
    <w:rsid w:val="00AB4B0F"/>
    <w:rsid w:val="00AB6C3B"/>
    <w:rsid w:val="00AC1971"/>
    <w:rsid w:val="00AD15A7"/>
    <w:rsid w:val="00AD6BEE"/>
    <w:rsid w:val="00AE008F"/>
    <w:rsid w:val="00AE1EF2"/>
    <w:rsid w:val="00AE24EE"/>
    <w:rsid w:val="00AE33FE"/>
    <w:rsid w:val="00AF1248"/>
    <w:rsid w:val="00AF55AC"/>
    <w:rsid w:val="00B07D6D"/>
    <w:rsid w:val="00B1003A"/>
    <w:rsid w:val="00B11E08"/>
    <w:rsid w:val="00B12E48"/>
    <w:rsid w:val="00B13C33"/>
    <w:rsid w:val="00B23FE0"/>
    <w:rsid w:val="00B26C37"/>
    <w:rsid w:val="00B32CD3"/>
    <w:rsid w:val="00B35A93"/>
    <w:rsid w:val="00B3635B"/>
    <w:rsid w:val="00B3672D"/>
    <w:rsid w:val="00B36D2B"/>
    <w:rsid w:val="00B47192"/>
    <w:rsid w:val="00B4745C"/>
    <w:rsid w:val="00B477AC"/>
    <w:rsid w:val="00B61D75"/>
    <w:rsid w:val="00B62F0D"/>
    <w:rsid w:val="00B7258D"/>
    <w:rsid w:val="00B72B0F"/>
    <w:rsid w:val="00B741B2"/>
    <w:rsid w:val="00B75A86"/>
    <w:rsid w:val="00B80028"/>
    <w:rsid w:val="00B833EA"/>
    <w:rsid w:val="00B85271"/>
    <w:rsid w:val="00B85EF3"/>
    <w:rsid w:val="00B9223B"/>
    <w:rsid w:val="00B97604"/>
    <w:rsid w:val="00BA11EC"/>
    <w:rsid w:val="00BA4D1F"/>
    <w:rsid w:val="00BA7AD1"/>
    <w:rsid w:val="00BA7F17"/>
    <w:rsid w:val="00BB04EC"/>
    <w:rsid w:val="00BB2250"/>
    <w:rsid w:val="00BB4A68"/>
    <w:rsid w:val="00BC0FDD"/>
    <w:rsid w:val="00BC14E6"/>
    <w:rsid w:val="00BC22E0"/>
    <w:rsid w:val="00BD30FE"/>
    <w:rsid w:val="00BD65B1"/>
    <w:rsid w:val="00BE0B55"/>
    <w:rsid w:val="00BE21EF"/>
    <w:rsid w:val="00BE28ED"/>
    <w:rsid w:val="00BE3E18"/>
    <w:rsid w:val="00BE688D"/>
    <w:rsid w:val="00BE7C9B"/>
    <w:rsid w:val="00BF01A7"/>
    <w:rsid w:val="00BF1ECA"/>
    <w:rsid w:val="00BF3F7C"/>
    <w:rsid w:val="00C00463"/>
    <w:rsid w:val="00C0147E"/>
    <w:rsid w:val="00C03F20"/>
    <w:rsid w:val="00C04FE4"/>
    <w:rsid w:val="00C25084"/>
    <w:rsid w:val="00C30A4F"/>
    <w:rsid w:val="00C33C2E"/>
    <w:rsid w:val="00C41665"/>
    <w:rsid w:val="00C41758"/>
    <w:rsid w:val="00C429E1"/>
    <w:rsid w:val="00C500BE"/>
    <w:rsid w:val="00C620A9"/>
    <w:rsid w:val="00C70B66"/>
    <w:rsid w:val="00C71CD1"/>
    <w:rsid w:val="00C73143"/>
    <w:rsid w:val="00C77685"/>
    <w:rsid w:val="00C77815"/>
    <w:rsid w:val="00C80100"/>
    <w:rsid w:val="00C8239D"/>
    <w:rsid w:val="00C8491D"/>
    <w:rsid w:val="00C85378"/>
    <w:rsid w:val="00C9297C"/>
    <w:rsid w:val="00CA201A"/>
    <w:rsid w:val="00CA621B"/>
    <w:rsid w:val="00CA6FDA"/>
    <w:rsid w:val="00CB0AFB"/>
    <w:rsid w:val="00CB266D"/>
    <w:rsid w:val="00CB3B6F"/>
    <w:rsid w:val="00CC0C5F"/>
    <w:rsid w:val="00CC14B6"/>
    <w:rsid w:val="00CC2F3D"/>
    <w:rsid w:val="00CC5144"/>
    <w:rsid w:val="00CC5FF3"/>
    <w:rsid w:val="00CD422C"/>
    <w:rsid w:val="00CE2ADF"/>
    <w:rsid w:val="00CE3713"/>
    <w:rsid w:val="00CF0807"/>
    <w:rsid w:val="00CF1976"/>
    <w:rsid w:val="00CF1D7D"/>
    <w:rsid w:val="00CF45D3"/>
    <w:rsid w:val="00CF6B6C"/>
    <w:rsid w:val="00D01197"/>
    <w:rsid w:val="00D042BB"/>
    <w:rsid w:val="00D058B0"/>
    <w:rsid w:val="00D05C8E"/>
    <w:rsid w:val="00D06CA0"/>
    <w:rsid w:val="00D11F7D"/>
    <w:rsid w:val="00D11FC3"/>
    <w:rsid w:val="00D13098"/>
    <w:rsid w:val="00D17789"/>
    <w:rsid w:val="00D1789C"/>
    <w:rsid w:val="00D17B5C"/>
    <w:rsid w:val="00D21565"/>
    <w:rsid w:val="00D226BE"/>
    <w:rsid w:val="00D25860"/>
    <w:rsid w:val="00D2737E"/>
    <w:rsid w:val="00D274A9"/>
    <w:rsid w:val="00D32347"/>
    <w:rsid w:val="00D32644"/>
    <w:rsid w:val="00D33229"/>
    <w:rsid w:val="00D33619"/>
    <w:rsid w:val="00D338F0"/>
    <w:rsid w:val="00D40FD4"/>
    <w:rsid w:val="00D52AC7"/>
    <w:rsid w:val="00D53772"/>
    <w:rsid w:val="00D54CA9"/>
    <w:rsid w:val="00D556EC"/>
    <w:rsid w:val="00D56D67"/>
    <w:rsid w:val="00D57658"/>
    <w:rsid w:val="00D6340F"/>
    <w:rsid w:val="00D72D16"/>
    <w:rsid w:val="00D74213"/>
    <w:rsid w:val="00D8049E"/>
    <w:rsid w:val="00D804D4"/>
    <w:rsid w:val="00D81914"/>
    <w:rsid w:val="00D8195B"/>
    <w:rsid w:val="00D8561C"/>
    <w:rsid w:val="00D8619F"/>
    <w:rsid w:val="00D86764"/>
    <w:rsid w:val="00D904DA"/>
    <w:rsid w:val="00D924C9"/>
    <w:rsid w:val="00D957E3"/>
    <w:rsid w:val="00D970E2"/>
    <w:rsid w:val="00DA4E80"/>
    <w:rsid w:val="00DA5ABC"/>
    <w:rsid w:val="00DB235D"/>
    <w:rsid w:val="00DB5528"/>
    <w:rsid w:val="00DB5C0A"/>
    <w:rsid w:val="00DB5E40"/>
    <w:rsid w:val="00DC0C93"/>
    <w:rsid w:val="00DC0E09"/>
    <w:rsid w:val="00DC168A"/>
    <w:rsid w:val="00DD13E2"/>
    <w:rsid w:val="00DE153B"/>
    <w:rsid w:val="00DE3B70"/>
    <w:rsid w:val="00DF003C"/>
    <w:rsid w:val="00DF4501"/>
    <w:rsid w:val="00DF723C"/>
    <w:rsid w:val="00DF783E"/>
    <w:rsid w:val="00DF78AE"/>
    <w:rsid w:val="00E029A8"/>
    <w:rsid w:val="00E100FB"/>
    <w:rsid w:val="00E117EC"/>
    <w:rsid w:val="00E11E2E"/>
    <w:rsid w:val="00E243E6"/>
    <w:rsid w:val="00E24CF4"/>
    <w:rsid w:val="00E27279"/>
    <w:rsid w:val="00E31699"/>
    <w:rsid w:val="00E316D8"/>
    <w:rsid w:val="00E322B3"/>
    <w:rsid w:val="00E32707"/>
    <w:rsid w:val="00E371EC"/>
    <w:rsid w:val="00E6063A"/>
    <w:rsid w:val="00E62A59"/>
    <w:rsid w:val="00E64A3C"/>
    <w:rsid w:val="00E65AC5"/>
    <w:rsid w:val="00E679CA"/>
    <w:rsid w:val="00E703E8"/>
    <w:rsid w:val="00E72AE3"/>
    <w:rsid w:val="00E73B0B"/>
    <w:rsid w:val="00E73B51"/>
    <w:rsid w:val="00E743B7"/>
    <w:rsid w:val="00E76D3D"/>
    <w:rsid w:val="00E81B17"/>
    <w:rsid w:val="00E8308B"/>
    <w:rsid w:val="00E83125"/>
    <w:rsid w:val="00E83F26"/>
    <w:rsid w:val="00E86A13"/>
    <w:rsid w:val="00E86CA7"/>
    <w:rsid w:val="00EA1F89"/>
    <w:rsid w:val="00EA5BCC"/>
    <w:rsid w:val="00EB117B"/>
    <w:rsid w:val="00EB15E0"/>
    <w:rsid w:val="00EB39C0"/>
    <w:rsid w:val="00EB40D6"/>
    <w:rsid w:val="00EB5F75"/>
    <w:rsid w:val="00EB79CD"/>
    <w:rsid w:val="00EB7F18"/>
    <w:rsid w:val="00EC305D"/>
    <w:rsid w:val="00EC3BF2"/>
    <w:rsid w:val="00EC3C36"/>
    <w:rsid w:val="00ED6131"/>
    <w:rsid w:val="00EE0578"/>
    <w:rsid w:val="00EE0F2E"/>
    <w:rsid w:val="00EE1454"/>
    <w:rsid w:val="00EE2A41"/>
    <w:rsid w:val="00EE2C8C"/>
    <w:rsid w:val="00EE3054"/>
    <w:rsid w:val="00EE575D"/>
    <w:rsid w:val="00EE5F8D"/>
    <w:rsid w:val="00EF09FB"/>
    <w:rsid w:val="00EF22EE"/>
    <w:rsid w:val="00EF5956"/>
    <w:rsid w:val="00F02923"/>
    <w:rsid w:val="00F02B2C"/>
    <w:rsid w:val="00F0351B"/>
    <w:rsid w:val="00F04E34"/>
    <w:rsid w:val="00F06472"/>
    <w:rsid w:val="00F06F04"/>
    <w:rsid w:val="00F0721E"/>
    <w:rsid w:val="00F0754E"/>
    <w:rsid w:val="00F110DB"/>
    <w:rsid w:val="00F13693"/>
    <w:rsid w:val="00F16026"/>
    <w:rsid w:val="00F22566"/>
    <w:rsid w:val="00F22963"/>
    <w:rsid w:val="00F25D50"/>
    <w:rsid w:val="00F2654F"/>
    <w:rsid w:val="00F37993"/>
    <w:rsid w:val="00F403EA"/>
    <w:rsid w:val="00F42753"/>
    <w:rsid w:val="00F4623D"/>
    <w:rsid w:val="00F47DEC"/>
    <w:rsid w:val="00F50159"/>
    <w:rsid w:val="00F510DB"/>
    <w:rsid w:val="00F54525"/>
    <w:rsid w:val="00F56B30"/>
    <w:rsid w:val="00F64643"/>
    <w:rsid w:val="00F727B0"/>
    <w:rsid w:val="00F72B5D"/>
    <w:rsid w:val="00F750BE"/>
    <w:rsid w:val="00F84FFF"/>
    <w:rsid w:val="00F90E93"/>
    <w:rsid w:val="00F91F36"/>
    <w:rsid w:val="00F94BD5"/>
    <w:rsid w:val="00F95A73"/>
    <w:rsid w:val="00F97F52"/>
    <w:rsid w:val="00FA2545"/>
    <w:rsid w:val="00FA5036"/>
    <w:rsid w:val="00FB2CFE"/>
    <w:rsid w:val="00FB4AAD"/>
    <w:rsid w:val="00FB4E3D"/>
    <w:rsid w:val="00FB5348"/>
    <w:rsid w:val="00FB5F2A"/>
    <w:rsid w:val="00FB7DDC"/>
    <w:rsid w:val="00FC02ED"/>
    <w:rsid w:val="00FC4E89"/>
    <w:rsid w:val="00FC4F9B"/>
    <w:rsid w:val="00FC59F0"/>
    <w:rsid w:val="00FD2899"/>
    <w:rsid w:val="00FD4599"/>
    <w:rsid w:val="00FD4784"/>
    <w:rsid w:val="00FD65FE"/>
    <w:rsid w:val="00FD68C0"/>
    <w:rsid w:val="00FD6B1B"/>
    <w:rsid w:val="00FE3D5E"/>
    <w:rsid w:val="00FE4640"/>
    <w:rsid w:val="00FF10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arkedcontent">
    <w:name w:val="markedcontent"/>
    <w:basedOn w:val="Fuentedeprrafopredeter"/>
    <w:rsid w:val="00BA7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78917368">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blic@repositorio.ipomex.org.mx:8443/OpenKM/Download?uuid=9ea74df4-bc2f-4bcc-be41-dd2b1b288be4"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dgi.edomex.gob.mx/sites/dgi.edomex.gob.mx/files/organigramas/pdf/8502323515771.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cultura.edomex.gob.mx/organigrama"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C9E6D-CF7D-499C-AFC5-20219E933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44</Pages>
  <Words>8444</Words>
  <Characters>46444</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41</cp:revision>
  <cp:lastPrinted>2020-01-30T23:10:00Z</cp:lastPrinted>
  <dcterms:created xsi:type="dcterms:W3CDTF">2021-09-14T16:10:00Z</dcterms:created>
  <dcterms:modified xsi:type="dcterms:W3CDTF">2021-11-04T18:18:00Z</dcterms:modified>
</cp:coreProperties>
</file>