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AC456D">
        <w:rPr>
          <w:rFonts w:ascii="Palatino Linotype" w:eastAsia="Times New Roman" w:hAnsi="Palatino Linotype" w:cs="Arial"/>
          <w:color w:val="000000"/>
          <w:sz w:val="24"/>
          <w:szCs w:val="24"/>
          <w:lang w:eastAsia="es-MX"/>
        </w:rPr>
        <w:t>veintiocho de abril</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rsidR="00A15E74" w:rsidRPr="001624E8" w:rsidRDefault="00A15E74"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F2498E" w:rsidRDefault="00F2498E" w:rsidP="001624E8">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B17577">
        <w:rPr>
          <w:rFonts w:ascii="Palatino Linotype" w:hAnsi="Palatino Linotype" w:cs="Arial"/>
          <w:b/>
          <w:bCs/>
          <w:sz w:val="24"/>
          <w:lang w:eastAsia="es-MX"/>
        </w:rPr>
        <w:t>0</w:t>
      </w:r>
      <w:r w:rsidR="00891CFC">
        <w:rPr>
          <w:rFonts w:ascii="Palatino Linotype" w:hAnsi="Palatino Linotype" w:cs="Arial"/>
          <w:b/>
          <w:bCs/>
          <w:sz w:val="24"/>
          <w:lang w:eastAsia="es-MX"/>
        </w:rPr>
        <w:t>780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por </w:t>
      </w:r>
      <w:r w:rsidR="00891CFC">
        <w:rPr>
          <w:rFonts w:ascii="Palatino Linotype" w:hAnsi="Palatino Linotype" w:cs="Arial"/>
          <w:sz w:val="24"/>
        </w:rPr>
        <w:t xml:space="preserve">un ciudadano que no proporciono un nombre para ser identificado, sin embargo </w:t>
      </w:r>
      <w:r w:rsidRPr="00F63239">
        <w:rPr>
          <w:rFonts w:ascii="Palatino Linotype" w:hAnsi="Palatino Linotype" w:cs="Arial"/>
          <w:sz w:val="24"/>
          <w:szCs w:val="24"/>
        </w:rPr>
        <w:t xml:space="preserve">en lo sucesivo </w:t>
      </w:r>
      <w:r w:rsidR="00CB5B7B" w:rsidRPr="00F63239">
        <w:rPr>
          <w:rFonts w:ascii="Palatino Linotype" w:hAnsi="Palatino Linotype" w:cs="Arial"/>
          <w:sz w:val="24"/>
          <w:szCs w:val="24"/>
        </w:rPr>
        <w:t xml:space="preserve">se le denominará </w:t>
      </w:r>
      <w:r w:rsidR="00895187" w:rsidRPr="00F63239">
        <w:rPr>
          <w:rFonts w:ascii="Palatino Linotype" w:hAnsi="Palatino Linotype" w:cs="Arial"/>
          <w:b/>
          <w:sz w:val="24"/>
          <w:szCs w:val="24"/>
        </w:rPr>
        <w:t>e</w:t>
      </w:r>
      <w:r w:rsidR="002C4718" w:rsidRPr="00F63239">
        <w:rPr>
          <w:rFonts w:ascii="Palatino Linotype" w:hAnsi="Palatino Linotype" w:cs="Arial"/>
          <w:b/>
          <w:sz w:val="24"/>
          <w:szCs w:val="24"/>
        </w:rPr>
        <w:t>l</w:t>
      </w:r>
      <w:r w:rsidRPr="00F63239">
        <w:rPr>
          <w:rFonts w:ascii="Palatino Linotype" w:hAnsi="Palatino Linotype" w:cs="Arial"/>
          <w:b/>
          <w:sz w:val="24"/>
          <w:szCs w:val="24"/>
        </w:rPr>
        <w:t xml:space="preserve"> </w:t>
      </w:r>
      <w:r w:rsidR="000C2D59" w:rsidRPr="00F63239">
        <w:rPr>
          <w:rFonts w:ascii="Palatino Linotype" w:hAnsi="Palatino Linotype" w:cs="Arial"/>
          <w:b/>
          <w:sz w:val="24"/>
          <w:szCs w:val="24"/>
        </w:rPr>
        <w:t>Recurrente</w:t>
      </w:r>
      <w:r w:rsidRPr="00F63239">
        <w:rPr>
          <w:rFonts w:ascii="Palatino Linotype" w:hAnsi="Palatino Linotype" w:cs="Arial"/>
          <w:sz w:val="24"/>
          <w:szCs w:val="24"/>
        </w:rPr>
        <w:t xml:space="preserve">, en contra de la respuesta otorgada por </w:t>
      </w:r>
      <w:r w:rsidR="007A5B2E" w:rsidRPr="00F63239">
        <w:rPr>
          <w:rFonts w:ascii="Palatino Linotype" w:hAnsi="Palatino Linotype" w:cs="Arial"/>
          <w:b/>
          <w:sz w:val="24"/>
          <w:szCs w:val="24"/>
        </w:rPr>
        <w:t>e</w:t>
      </w:r>
      <w:r w:rsidR="00D71BF7" w:rsidRPr="00F63239">
        <w:rPr>
          <w:rFonts w:ascii="Palatino Linotype" w:hAnsi="Palatino Linotype" w:cs="Arial"/>
          <w:b/>
          <w:sz w:val="24"/>
          <w:szCs w:val="24"/>
        </w:rPr>
        <w:t xml:space="preserve">l </w:t>
      </w:r>
      <w:r w:rsidR="00891CFC" w:rsidRPr="00891CFC">
        <w:rPr>
          <w:rFonts w:ascii="Palatino Linotype" w:hAnsi="Palatino Linotype" w:cs="Arial"/>
          <w:b/>
        </w:rPr>
        <w:t>Hospital Regional de Alta Especialidad de Zumpango</w:t>
      </w:r>
      <w:r w:rsidR="000C2D59" w:rsidRPr="00F63239">
        <w:rPr>
          <w:rFonts w:ascii="Palatino Linotype" w:hAnsi="Palatino Linotype" w:cs="Arial"/>
          <w:b/>
          <w:sz w:val="24"/>
          <w:szCs w:val="24"/>
        </w:rPr>
        <w:t>,</w:t>
      </w:r>
      <w:r w:rsidRPr="00F63239">
        <w:rPr>
          <w:rFonts w:ascii="Palatino Linotype" w:hAnsi="Palatino Linotype" w:cs="Arial"/>
          <w:b/>
          <w:sz w:val="24"/>
          <w:szCs w:val="24"/>
        </w:rPr>
        <w:t xml:space="preserve"> </w:t>
      </w:r>
      <w:r w:rsidRPr="00F63239">
        <w:rPr>
          <w:rFonts w:ascii="Palatino Linotype" w:hAnsi="Palatino Linotype" w:cs="Arial"/>
          <w:sz w:val="24"/>
          <w:szCs w:val="24"/>
        </w:rPr>
        <w:t>en 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1624E8">
      <w:pPr>
        <w:tabs>
          <w:tab w:val="left" w:pos="1701"/>
        </w:tabs>
        <w:spacing w:after="0" w:line="360" w:lineRule="auto"/>
        <w:jc w:val="both"/>
        <w:rPr>
          <w:rFonts w:ascii="Palatino Linotype" w:hAnsi="Palatino Linotype" w:cs="Arial"/>
          <w:sz w:val="24"/>
        </w:rPr>
      </w:pPr>
    </w:p>
    <w:p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1624E8" w:rsidRDefault="001624E8" w:rsidP="001624E8">
      <w:pPr>
        <w:spacing w:after="0" w:line="360" w:lineRule="auto"/>
        <w:jc w:val="center"/>
        <w:rPr>
          <w:rFonts w:ascii="Palatino Linotype" w:hAnsi="Palatino Linotype" w:cs="Arial"/>
          <w:b/>
          <w:sz w:val="28"/>
        </w:rPr>
      </w:pPr>
    </w:p>
    <w:p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891CFC">
        <w:rPr>
          <w:rFonts w:ascii="Palatino Linotype" w:hAnsi="Palatino Linotype" w:cs="Arial"/>
          <w:sz w:val="24"/>
          <w:szCs w:val="24"/>
        </w:rPr>
        <w:t xml:space="preserve">cinco </w:t>
      </w:r>
      <w:r w:rsidR="00696FD6">
        <w:rPr>
          <w:rFonts w:ascii="Palatino Linotype" w:hAnsi="Palatino Linotype" w:cs="Arial"/>
          <w:sz w:val="24"/>
          <w:szCs w:val="24"/>
        </w:rPr>
        <w:t>de febrero de dos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xml:space="preserve">, </w:t>
      </w:r>
      <w:proofErr w:type="gramStart"/>
      <w:r w:rsidR="006E20F9" w:rsidRPr="000C2D59">
        <w:rPr>
          <w:rFonts w:ascii="Palatino Linotype" w:hAnsi="Palatino Linotype" w:cs="Arial"/>
          <w:sz w:val="24"/>
          <w:szCs w:val="24"/>
        </w:rPr>
        <w:t>la</w:t>
      </w:r>
      <w:proofErr w:type="gramEnd"/>
      <w:r w:rsidR="006E20F9" w:rsidRPr="000C2D59">
        <w:rPr>
          <w:rFonts w:ascii="Palatino Linotype" w:hAnsi="Palatino Linotype" w:cs="Arial"/>
          <w:sz w:val="24"/>
          <w:szCs w:val="24"/>
        </w:rPr>
        <w:t xml:space="preserve">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891CFC" w:rsidRPr="00891CFC">
        <w:rPr>
          <w:rFonts w:ascii="Palatino Linotype" w:hAnsi="Palatino Linotype" w:cs="Arial"/>
          <w:b/>
          <w:sz w:val="24"/>
          <w:szCs w:val="24"/>
        </w:rPr>
        <w:t>00010/HRZUM/IP/2021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1624E8" w:rsidRDefault="001624E8" w:rsidP="001624E8">
      <w:pPr>
        <w:spacing w:after="0" w:line="360" w:lineRule="auto"/>
        <w:jc w:val="both"/>
        <w:rPr>
          <w:rFonts w:ascii="Palatino Linotype" w:hAnsi="Palatino Linotype" w:cs="Arial"/>
          <w:sz w:val="24"/>
          <w:szCs w:val="24"/>
        </w:rPr>
      </w:pPr>
    </w:p>
    <w:p w:rsidR="00D71BF7" w:rsidRPr="00891CFC" w:rsidRDefault="0023293E" w:rsidP="001624E8">
      <w:pPr>
        <w:spacing w:after="0" w:line="240" w:lineRule="auto"/>
        <w:ind w:left="851" w:right="850"/>
        <w:jc w:val="both"/>
        <w:rPr>
          <w:rFonts w:ascii="Palatino Linotype" w:hAnsi="Palatino Linotype"/>
          <w:i/>
          <w:color w:val="000000"/>
        </w:rPr>
      </w:pPr>
      <w:r w:rsidRPr="00891CFC">
        <w:rPr>
          <w:rFonts w:ascii="Palatino Linotype" w:hAnsi="Palatino Linotype"/>
          <w:i/>
          <w:color w:val="000000"/>
        </w:rPr>
        <w:t>“</w:t>
      </w:r>
      <w:r w:rsidR="00891CFC" w:rsidRPr="00891CFC">
        <w:rPr>
          <w:rFonts w:ascii="Palatino Linotype" w:hAnsi="Palatino Linotype"/>
          <w:i/>
          <w:color w:val="000000"/>
        </w:rPr>
        <w:t xml:space="preserve">Listado de servidores públicos que laboran en áreas administrativas y que causaron alta o baja en el hospital regional de alta especialidad a partir del día primero de junio de 2020 y hasta el 31 de enero de 2021 que incluya nombre completo, unidad de adscripción, fecha de alta o baja, y nivel educativo. De los servidores públicos antes mencionados, proporcionar comprobantes de pago, catálogo de conceptos de las </w:t>
      </w:r>
      <w:r w:rsidR="00891CFC" w:rsidRPr="00891CFC">
        <w:rPr>
          <w:rFonts w:ascii="Palatino Linotype" w:hAnsi="Palatino Linotype"/>
          <w:i/>
          <w:color w:val="000000"/>
        </w:rPr>
        <w:lastRenderedPageBreak/>
        <w:t xml:space="preserve">claves de percepciones y deducciones, y avisos de movimientos que emite </w:t>
      </w:r>
      <w:proofErr w:type="spellStart"/>
      <w:r w:rsidR="00891CFC" w:rsidRPr="00891CFC">
        <w:rPr>
          <w:rFonts w:ascii="Palatino Linotype" w:hAnsi="Palatino Linotype"/>
          <w:i/>
          <w:color w:val="000000"/>
        </w:rPr>
        <w:t>issemym</w:t>
      </w:r>
      <w:proofErr w:type="spellEnd"/>
      <w:r w:rsidR="00891CFC" w:rsidRPr="00891CFC">
        <w:rPr>
          <w:rFonts w:ascii="Palatino Linotype" w:hAnsi="Palatino Linotype"/>
          <w:i/>
          <w:color w:val="000000"/>
        </w:rPr>
        <w:t>, por cada persona. Además constancias de estudios de cada uno de ellos (</w:t>
      </w:r>
      <w:proofErr w:type="spellStart"/>
      <w:r w:rsidR="00891CFC" w:rsidRPr="00891CFC">
        <w:rPr>
          <w:rFonts w:ascii="Palatino Linotype" w:hAnsi="Palatino Linotype"/>
          <w:i/>
          <w:color w:val="000000"/>
        </w:rPr>
        <w:t>titulo</w:t>
      </w:r>
      <w:proofErr w:type="spellEnd"/>
      <w:r w:rsidR="00891CFC" w:rsidRPr="00891CFC">
        <w:rPr>
          <w:rFonts w:ascii="Palatino Linotype" w:hAnsi="Palatino Linotype"/>
          <w:i/>
          <w:color w:val="000000"/>
        </w:rPr>
        <w:t>, cédula, certificado u otro), por cada nivel de estudios registrado.</w:t>
      </w:r>
      <w:r w:rsidR="00D71BF7" w:rsidRPr="00891CFC">
        <w:rPr>
          <w:rFonts w:ascii="Palatino Linotype" w:hAnsi="Palatino Linotype"/>
          <w:i/>
          <w:color w:val="000000"/>
        </w:rPr>
        <w:t>”</w:t>
      </w:r>
      <w:r w:rsidR="002155ED" w:rsidRPr="00891CFC">
        <w:rPr>
          <w:rFonts w:ascii="Palatino Linotype" w:hAnsi="Palatino Linotype"/>
          <w:i/>
          <w:color w:val="000000"/>
        </w:rPr>
        <w:t>(Sic).</w:t>
      </w:r>
    </w:p>
    <w:p w:rsidR="001624E8" w:rsidRPr="00793B7C" w:rsidRDefault="001624E8" w:rsidP="001624E8">
      <w:pPr>
        <w:spacing w:after="0" w:line="240" w:lineRule="auto"/>
        <w:ind w:left="851" w:right="850"/>
        <w:jc w:val="both"/>
        <w:rPr>
          <w:rFonts w:ascii="Palatino Linotype" w:hAnsi="Palatino Linotype" w:cs="Arial"/>
          <w:i/>
        </w:rPr>
      </w:pPr>
    </w:p>
    <w:p w:rsidR="00F2498E" w:rsidRDefault="00F2498E" w:rsidP="001624E8">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696FD6" w:rsidRPr="00201765" w:rsidRDefault="00696FD6" w:rsidP="001624E8">
      <w:pPr>
        <w:spacing w:after="0" w:line="360" w:lineRule="auto"/>
        <w:jc w:val="both"/>
        <w:rPr>
          <w:rFonts w:ascii="Palatino Linotype" w:hAnsi="Palatino Linotype" w:cs="Arial"/>
          <w:sz w:val="24"/>
          <w:szCs w:val="24"/>
        </w:rPr>
      </w:pPr>
    </w:p>
    <w:p w:rsidR="00F2498E" w:rsidRPr="00201765" w:rsidRDefault="006E20F9" w:rsidP="001624E8">
      <w:pPr>
        <w:spacing w:after="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 De la contestación del sujeto obligado.</w:t>
      </w:r>
    </w:p>
    <w:p w:rsidR="00F2498E" w:rsidRPr="00201765" w:rsidRDefault="00F2498E" w:rsidP="001624E8">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w:t>
      </w:r>
      <w:proofErr w:type="gramStart"/>
      <w:r w:rsidRPr="00201765">
        <w:rPr>
          <w:rFonts w:ascii="Palatino Linotype" w:hAnsi="Palatino Linotype" w:cs="Arial"/>
          <w:sz w:val="24"/>
          <w:szCs w:val="24"/>
        </w:rPr>
        <w:t xml:space="preserve">fecha </w:t>
      </w:r>
      <w:r w:rsidR="00F63239">
        <w:rPr>
          <w:rFonts w:ascii="Palatino Linotype" w:hAnsi="Palatino Linotype" w:cs="Arial"/>
          <w:sz w:val="24"/>
          <w:szCs w:val="24"/>
        </w:rPr>
        <w:t xml:space="preserve"> </w:t>
      </w:r>
      <w:r w:rsidR="00C65918">
        <w:rPr>
          <w:rFonts w:ascii="Palatino Linotype" w:hAnsi="Palatino Linotype" w:cs="Arial"/>
          <w:sz w:val="24"/>
          <w:szCs w:val="24"/>
        </w:rPr>
        <w:t>veintitrés</w:t>
      </w:r>
      <w:proofErr w:type="gramEnd"/>
      <w:r w:rsidR="00696FD6">
        <w:rPr>
          <w:rFonts w:ascii="Palatino Linotype" w:hAnsi="Palatino Linotype" w:cs="Arial"/>
          <w:sz w:val="24"/>
          <w:szCs w:val="24"/>
        </w:rPr>
        <w:t xml:space="preserve"> de febrero de dos mil veintiuno,</w:t>
      </w:r>
      <w:r w:rsidR="0027555F">
        <w:rPr>
          <w:rFonts w:ascii="Palatino Linotype" w:hAnsi="Palatino Linotype" w:cs="Arial"/>
          <w:sz w:val="24"/>
          <w:szCs w:val="24"/>
        </w:rPr>
        <w:t xml:space="preserv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D71305" w:rsidRPr="00891CFC" w:rsidRDefault="00891CFC" w:rsidP="005660D0">
      <w:pPr>
        <w:tabs>
          <w:tab w:val="left" w:pos="7938"/>
        </w:tabs>
        <w:spacing w:after="0" w:line="276" w:lineRule="auto"/>
        <w:ind w:left="851" w:right="850"/>
        <w:jc w:val="right"/>
        <w:rPr>
          <w:rFonts w:ascii="Palatino Linotype" w:hAnsi="Palatino Linotype"/>
          <w:i/>
          <w:color w:val="000000"/>
        </w:rPr>
      </w:pPr>
      <w:r w:rsidRPr="00891CFC">
        <w:rPr>
          <w:rFonts w:ascii="Palatino Linotype" w:hAnsi="Palatino Linotype"/>
          <w:i/>
          <w:color w:val="000000"/>
        </w:rPr>
        <w:t>Folio de la solicitud: 00010/HRZUM/IP/2021</w:t>
      </w:r>
    </w:p>
    <w:p w:rsidR="00696FD6" w:rsidRPr="00891CFC" w:rsidRDefault="00696FD6" w:rsidP="005660D0">
      <w:pPr>
        <w:tabs>
          <w:tab w:val="left" w:pos="7938"/>
        </w:tabs>
        <w:spacing w:after="0" w:line="276" w:lineRule="auto"/>
        <w:ind w:left="851" w:right="850"/>
        <w:jc w:val="both"/>
        <w:rPr>
          <w:rFonts w:ascii="Palatino Linotype" w:hAnsi="Palatino Linotype"/>
          <w:i/>
          <w:color w:val="000000"/>
        </w:rPr>
      </w:pPr>
    </w:p>
    <w:p w:rsidR="00696FD6" w:rsidRPr="00891CFC" w:rsidRDefault="00891CFC" w:rsidP="005660D0">
      <w:pPr>
        <w:tabs>
          <w:tab w:val="left" w:pos="7938"/>
        </w:tabs>
        <w:spacing w:after="0" w:line="276" w:lineRule="auto"/>
        <w:ind w:left="851" w:right="850"/>
        <w:jc w:val="both"/>
        <w:rPr>
          <w:rFonts w:ascii="Palatino Linotype" w:eastAsia="Times New Roman" w:hAnsi="Palatino Linotype" w:cs="Times New Roman"/>
          <w:i/>
          <w:lang w:eastAsia="es-MX"/>
        </w:rPr>
      </w:pPr>
      <w:r w:rsidRPr="00891CFC">
        <w:rPr>
          <w:rFonts w:ascii="Palatino Linotype" w:hAnsi="Palatino Linotype"/>
          <w:i/>
          <w:color w:val="000000"/>
        </w:rPr>
        <w:t>En atención a lo establecido en los artículos 1, 2, 3, fracción XLIV, 4, 12, 16, 23, fracción I, 24, fracción XI y último párrafo, 50, 51, 53, fracciones II, IV, V y VI de la Ley de Transparencia y Acceso a la información Pública del Estado de México y Municipios; en atención a la solicitud de acceso a información pública con número de folio 00010/HRZUM/IP/2021, sírvase encontrar en archivo adjunto, copia digitalizada de los siguientes documentos en los cuales se detalla lo referente a su solicitud de información: • Oficio número 208C0401030200L/619/2021 y sus anexos electrónicos con Altas y Bajas, emitido por el Servidor Público Habilitado de la Subdirección de Personal del Hospital Regional de Alta Especialidad de Zumpango el veintidós de febrero de dos mil veintiunos. • Resolución número ACT/HRAEZ/EXTRAORDINARIA/1/2021/SEGUNDO, de fecha dieciocho de febrero de dos mil veintiunos, mediante la cual, el Comité de Transparencia confirmó la clasificación parcial, como confidencial, la información referente a su solicitud. • Acta de la Primera Sesión Extraordinaria del Comité de Transparencia, de fecha dieciocho de febrero de dos mil veintiuno, mediante la cual se aprobó la resolución señalada.</w:t>
      </w:r>
    </w:p>
    <w:p w:rsidR="00483EC9" w:rsidRPr="00891CFC" w:rsidRDefault="00483EC9" w:rsidP="005660D0">
      <w:pPr>
        <w:tabs>
          <w:tab w:val="left" w:pos="7938"/>
        </w:tabs>
        <w:spacing w:after="0" w:line="276" w:lineRule="auto"/>
        <w:ind w:left="851" w:right="850"/>
        <w:jc w:val="both"/>
        <w:rPr>
          <w:rFonts w:ascii="Palatino Linotype" w:eastAsia="Times New Roman" w:hAnsi="Palatino Linotype" w:cs="Times New Roman"/>
          <w:i/>
          <w:lang w:eastAsia="es-MX"/>
        </w:rPr>
      </w:pPr>
      <w:r w:rsidRPr="00891CFC">
        <w:rPr>
          <w:rFonts w:ascii="Palatino Linotype" w:eastAsia="Times New Roman" w:hAnsi="Palatino Linotype" w:cs="Times New Roman"/>
          <w:i/>
          <w:lang w:eastAsia="es-MX"/>
        </w:rPr>
        <w:lastRenderedPageBreak/>
        <w:t>ATENTAMENTE</w:t>
      </w:r>
    </w:p>
    <w:p w:rsidR="00696FD6" w:rsidRPr="00891CFC" w:rsidRDefault="00891CFC" w:rsidP="005660D0">
      <w:pPr>
        <w:tabs>
          <w:tab w:val="left" w:pos="7938"/>
        </w:tabs>
        <w:spacing w:after="0" w:line="276" w:lineRule="auto"/>
        <w:ind w:left="851" w:right="850"/>
        <w:jc w:val="both"/>
        <w:rPr>
          <w:rFonts w:ascii="Palatino Linotype" w:eastAsia="Times New Roman" w:hAnsi="Palatino Linotype" w:cs="Times New Roman"/>
          <w:i/>
          <w:lang w:eastAsia="es-MX"/>
        </w:rPr>
      </w:pPr>
      <w:r w:rsidRPr="00891CFC">
        <w:rPr>
          <w:rFonts w:ascii="Palatino Linotype" w:hAnsi="Palatino Linotype"/>
          <w:i/>
          <w:color w:val="000000"/>
        </w:rPr>
        <w:t>LIC. RUBÉN RAMÍREZ GUERRERO</w:t>
      </w:r>
    </w:p>
    <w:p w:rsidR="00696FD6" w:rsidRDefault="00696FD6" w:rsidP="001624E8">
      <w:pPr>
        <w:spacing w:after="0" w:line="360" w:lineRule="auto"/>
        <w:jc w:val="both"/>
        <w:rPr>
          <w:rFonts w:ascii="Palatino Linotype" w:eastAsia="Times New Roman" w:hAnsi="Palatino Linotype" w:cs="Times New Roman"/>
          <w:sz w:val="24"/>
          <w:szCs w:val="24"/>
          <w:lang w:eastAsia="es-MX"/>
        </w:rPr>
      </w:pPr>
    </w:p>
    <w:p w:rsidR="00891CFC" w:rsidRDefault="00F63239" w:rsidP="001624E8">
      <w:pPr>
        <w:spacing w:after="0" w:line="360" w:lineRule="auto"/>
        <w:jc w:val="both"/>
        <w:rPr>
          <w:rFonts w:ascii="Palatino Linotype" w:eastAsia="Times New Roman" w:hAnsi="Palatino Linotype" w:cs="Times New Roman"/>
          <w:sz w:val="24"/>
          <w:szCs w:val="24"/>
          <w:lang w:eastAsia="es-MX"/>
        </w:rPr>
      </w:pPr>
      <w:r w:rsidRPr="00426124">
        <w:rPr>
          <w:rFonts w:ascii="Palatino Linotype" w:eastAsia="Times New Roman" w:hAnsi="Palatino Linotype" w:cs="Times New Roman"/>
          <w:sz w:val="24"/>
          <w:szCs w:val="24"/>
          <w:lang w:eastAsia="es-MX"/>
        </w:rPr>
        <w:t xml:space="preserve"> </w:t>
      </w:r>
      <w:r w:rsidR="00891CFC">
        <w:rPr>
          <w:rFonts w:ascii="Palatino Linotype" w:eastAsia="Times New Roman" w:hAnsi="Palatino Linotype" w:cs="Times New Roman"/>
          <w:sz w:val="24"/>
          <w:szCs w:val="24"/>
          <w:lang w:eastAsia="es-MX"/>
        </w:rPr>
        <w:t>Cabe señalar que el</w:t>
      </w:r>
      <w:r w:rsidR="005660D0">
        <w:rPr>
          <w:rFonts w:ascii="Palatino Linotype" w:eastAsia="Times New Roman" w:hAnsi="Palatino Linotype" w:cs="Times New Roman"/>
          <w:sz w:val="24"/>
          <w:szCs w:val="24"/>
          <w:lang w:eastAsia="es-MX"/>
        </w:rPr>
        <w:t xml:space="preserve"> Sujeto Obligado adjunto </w:t>
      </w:r>
      <w:r w:rsidR="00891CFC">
        <w:rPr>
          <w:rFonts w:ascii="Palatino Linotype" w:eastAsia="Times New Roman" w:hAnsi="Palatino Linotype" w:cs="Times New Roman"/>
          <w:sz w:val="24"/>
          <w:szCs w:val="24"/>
          <w:lang w:eastAsia="es-MX"/>
        </w:rPr>
        <w:t>cinco</w:t>
      </w:r>
      <w:r w:rsidR="005660D0">
        <w:rPr>
          <w:rFonts w:ascii="Palatino Linotype" w:eastAsia="Times New Roman" w:hAnsi="Palatino Linotype" w:cs="Times New Roman"/>
          <w:sz w:val="24"/>
          <w:szCs w:val="24"/>
          <w:lang w:eastAsia="es-MX"/>
        </w:rPr>
        <w:t xml:space="preserve"> archivo</w:t>
      </w:r>
      <w:r w:rsidR="00891CFC">
        <w:rPr>
          <w:rFonts w:ascii="Palatino Linotype" w:eastAsia="Times New Roman" w:hAnsi="Palatino Linotype" w:cs="Times New Roman"/>
          <w:sz w:val="24"/>
          <w:szCs w:val="24"/>
          <w:lang w:eastAsia="es-MX"/>
        </w:rPr>
        <w:t xml:space="preserve">s, </w:t>
      </w:r>
      <w:r w:rsidR="005660D0">
        <w:rPr>
          <w:rFonts w:ascii="Palatino Linotype" w:eastAsia="Times New Roman" w:hAnsi="Palatino Linotype" w:cs="Times New Roman"/>
          <w:sz w:val="24"/>
          <w:szCs w:val="24"/>
          <w:lang w:eastAsia="es-MX"/>
        </w:rPr>
        <w:t>l</w:t>
      </w:r>
      <w:r w:rsidR="00891CFC">
        <w:rPr>
          <w:rFonts w:ascii="Palatino Linotype" w:eastAsia="Times New Roman" w:hAnsi="Palatino Linotype" w:cs="Times New Roman"/>
          <w:sz w:val="24"/>
          <w:szCs w:val="24"/>
          <w:lang w:eastAsia="es-MX"/>
        </w:rPr>
        <w:t>os</w:t>
      </w:r>
      <w:r w:rsidR="005660D0">
        <w:rPr>
          <w:rFonts w:ascii="Palatino Linotype" w:eastAsia="Times New Roman" w:hAnsi="Palatino Linotype" w:cs="Times New Roman"/>
          <w:sz w:val="24"/>
          <w:szCs w:val="24"/>
          <w:lang w:eastAsia="es-MX"/>
        </w:rPr>
        <w:t xml:space="preserve"> cual</w:t>
      </w:r>
      <w:r w:rsidR="00891CFC">
        <w:rPr>
          <w:rFonts w:ascii="Palatino Linotype" w:eastAsia="Times New Roman" w:hAnsi="Palatino Linotype" w:cs="Times New Roman"/>
          <w:sz w:val="24"/>
          <w:szCs w:val="24"/>
          <w:lang w:eastAsia="es-MX"/>
        </w:rPr>
        <w:t>es</w:t>
      </w:r>
      <w:r w:rsidR="005660D0">
        <w:rPr>
          <w:rFonts w:ascii="Palatino Linotype" w:eastAsia="Times New Roman" w:hAnsi="Palatino Linotype" w:cs="Times New Roman"/>
          <w:sz w:val="24"/>
          <w:szCs w:val="24"/>
          <w:lang w:eastAsia="es-MX"/>
        </w:rPr>
        <w:t xml:space="preserve"> </w:t>
      </w:r>
      <w:r w:rsidR="00891CFC">
        <w:rPr>
          <w:rFonts w:ascii="Palatino Linotype" w:eastAsia="Times New Roman" w:hAnsi="Palatino Linotype" w:cs="Times New Roman"/>
          <w:sz w:val="24"/>
          <w:szCs w:val="24"/>
          <w:lang w:eastAsia="es-MX"/>
        </w:rPr>
        <w:t>a continuación se inserta el nombre y contenido de cada uno de ellos.</w:t>
      </w:r>
    </w:p>
    <w:p w:rsidR="000564B5" w:rsidRDefault="009D47A8" w:rsidP="001624E8">
      <w:pPr>
        <w:spacing w:after="0" w:line="360" w:lineRule="auto"/>
        <w:jc w:val="both"/>
        <w:rPr>
          <w:rFonts w:ascii="Palatino Linotype" w:eastAsia="Times New Roman" w:hAnsi="Palatino Linotype" w:cs="Times New Roman"/>
          <w:sz w:val="24"/>
          <w:szCs w:val="24"/>
          <w:lang w:eastAsia="es-MX"/>
        </w:rPr>
      </w:pPr>
      <w:hyperlink r:id="rId8" w:tgtFrame="_blank" w:history="1">
        <w:r w:rsidR="00891CFC" w:rsidRPr="00891CFC">
          <w:rPr>
            <w:rFonts w:ascii="Palatino Linotype" w:eastAsia="Times New Roman" w:hAnsi="Palatino Linotype" w:cs="Times New Roman"/>
            <w:b/>
            <w:sz w:val="24"/>
            <w:szCs w:val="24"/>
            <w:lang w:eastAsia="es-MX"/>
          </w:rPr>
          <w:t>CUADROsolici10.pdf</w:t>
        </w:r>
      </w:hyperlink>
      <w:r w:rsidR="00891CFC" w:rsidRPr="00891CFC">
        <w:rPr>
          <w:rFonts w:ascii="Palatino Linotype" w:eastAsia="Times New Roman" w:hAnsi="Palatino Linotype" w:cs="Times New Roman"/>
          <w:b/>
          <w:sz w:val="24"/>
          <w:szCs w:val="24"/>
          <w:lang w:eastAsia="es-MX"/>
        </w:rPr>
        <w:t>,</w:t>
      </w:r>
      <w:r w:rsidR="00891CFC">
        <w:rPr>
          <w:rFonts w:ascii="Palatino Linotype" w:eastAsia="Times New Roman" w:hAnsi="Palatino Linotype" w:cs="Times New Roman"/>
          <w:b/>
          <w:sz w:val="24"/>
          <w:szCs w:val="24"/>
          <w:lang w:eastAsia="es-MX"/>
        </w:rPr>
        <w:t xml:space="preserve"> </w:t>
      </w:r>
      <w:r w:rsidR="00891CFC">
        <w:rPr>
          <w:rFonts w:ascii="Palatino Linotype" w:eastAsia="Times New Roman" w:hAnsi="Palatino Linotype" w:cs="Times New Roman"/>
          <w:sz w:val="24"/>
          <w:szCs w:val="24"/>
          <w:lang w:eastAsia="es-MX"/>
        </w:rPr>
        <w:t xml:space="preserve">contiene un cuadro de </w:t>
      </w:r>
      <w:r w:rsidR="000564B5">
        <w:rPr>
          <w:rFonts w:ascii="Palatino Linotype" w:eastAsia="Times New Roman" w:hAnsi="Palatino Linotype" w:cs="Times New Roman"/>
          <w:sz w:val="24"/>
          <w:szCs w:val="24"/>
          <w:lang w:eastAsia="es-MX"/>
        </w:rPr>
        <w:t>clasificación</w:t>
      </w:r>
      <w:r w:rsidR="00891CFC">
        <w:rPr>
          <w:rFonts w:ascii="Palatino Linotype" w:eastAsia="Times New Roman" w:hAnsi="Palatino Linotype" w:cs="Times New Roman"/>
          <w:sz w:val="24"/>
          <w:szCs w:val="24"/>
          <w:lang w:eastAsia="es-MX"/>
        </w:rPr>
        <w:t xml:space="preserve"> </w:t>
      </w:r>
      <w:r w:rsidR="000564B5">
        <w:rPr>
          <w:rFonts w:ascii="Palatino Linotype" w:eastAsia="Times New Roman" w:hAnsi="Palatino Linotype" w:cs="Times New Roman"/>
          <w:sz w:val="24"/>
          <w:szCs w:val="24"/>
          <w:lang w:eastAsia="es-MX"/>
        </w:rPr>
        <w:t>que solicita la Subdirectora de Personal, para que se realice la versión pública, respecto de la información relativa a los comprobantes de pago, avisos de movimientos que emite el ISSEMYM por alta y baja y constancias de estudios (título, cedula y certificados).</w:t>
      </w:r>
    </w:p>
    <w:p w:rsidR="000564B5" w:rsidRPr="00D70514" w:rsidRDefault="000564B5" w:rsidP="001624E8">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 </w:t>
      </w:r>
      <w:hyperlink r:id="rId9" w:tgtFrame="_blank" w:history="1">
        <w:r w:rsidR="00891CFC" w:rsidRPr="00891CFC">
          <w:rPr>
            <w:rFonts w:ascii="Palatino Linotype" w:eastAsia="Times New Roman" w:hAnsi="Palatino Linotype" w:cs="Times New Roman"/>
            <w:b/>
            <w:sz w:val="24"/>
            <w:szCs w:val="24"/>
            <w:lang w:eastAsia="es-MX"/>
          </w:rPr>
          <w:t>ACTAsolic10.pdf</w:t>
        </w:r>
      </w:hyperlink>
      <w:r>
        <w:rPr>
          <w:rFonts w:ascii="Palatino Linotype" w:eastAsia="Times New Roman" w:hAnsi="Palatino Linotype" w:cs="Times New Roman"/>
          <w:b/>
          <w:sz w:val="24"/>
          <w:szCs w:val="24"/>
          <w:lang w:eastAsia="es-MX"/>
        </w:rPr>
        <w:t>,</w:t>
      </w:r>
      <w:r w:rsidRPr="000564B5">
        <w:rPr>
          <w:rFonts w:ascii="Palatino Linotype" w:eastAsia="Times New Roman" w:hAnsi="Palatino Linotype" w:cs="Times New Roman"/>
          <w:sz w:val="24"/>
          <w:szCs w:val="24"/>
          <w:lang w:eastAsia="es-MX"/>
        </w:rPr>
        <w:t xml:space="preserve"> este archivo </w:t>
      </w:r>
      <w:r w:rsidRPr="00D70514">
        <w:rPr>
          <w:rFonts w:ascii="Palatino Linotype" w:eastAsia="Times New Roman" w:hAnsi="Palatino Linotype" w:cs="Times New Roman"/>
          <w:sz w:val="24"/>
          <w:szCs w:val="24"/>
          <w:lang w:eastAsia="es-MX"/>
        </w:rPr>
        <w:t xml:space="preserve">contiene </w:t>
      </w:r>
      <w:r w:rsidR="00D70514" w:rsidRPr="00D70514">
        <w:rPr>
          <w:rFonts w:ascii="Palatino Linotype" w:eastAsia="Times New Roman" w:hAnsi="Palatino Linotype" w:cs="Times New Roman"/>
          <w:sz w:val="24"/>
          <w:szCs w:val="24"/>
          <w:lang w:eastAsia="es-MX"/>
        </w:rPr>
        <w:t>el acta de la primera sesión extraordinaria del comité de transparencia del hospital regional de alta especialidad de Zumpango, en donde se aprueba por unanimidad de votos de los integrantes del comité de Transparencia la resolución que confirma la clasificación como confidencial de los datos personales referentes a nombres personales, RFC, CURP, Direcciones de domicilios particulares, números telefónicos particulares, Firmas, Código QR, Firma Electrónica, Deducciones personales, Sello digital, Calificaciones Fotos y Promedio.</w:t>
      </w:r>
    </w:p>
    <w:p w:rsidR="00D70514" w:rsidRDefault="00891CFC" w:rsidP="001624E8">
      <w:pPr>
        <w:spacing w:after="0" w:line="360" w:lineRule="auto"/>
        <w:jc w:val="both"/>
        <w:rPr>
          <w:rFonts w:ascii="Palatino Linotype" w:eastAsia="Times New Roman" w:hAnsi="Palatino Linotype" w:cs="Times New Roman"/>
          <w:sz w:val="24"/>
          <w:szCs w:val="24"/>
          <w:lang w:eastAsia="es-MX"/>
        </w:rPr>
      </w:pPr>
      <w:r w:rsidRPr="00891CFC">
        <w:rPr>
          <w:rFonts w:ascii="Palatino Linotype" w:eastAsia="Times New Roman" w:hAnsi="Palatino Linotype" w:cs="Times New Roman"/>
          <w:b/>
          <w:sz w:val="24"/>
          <w:szCs w:val="24"/>
          <w:lang w:eastAsia="es-MX"/>
        </w:rPr>
        <w:br/>
      </w:r>
      <w:hyperlink r:id="rId10" w:tgtFrame="_blank" w:history="1">
        <w:r w:rsidRPr="00891CFC">
          <w:rPr>
            <w:rFonts w:ascii="Palatino Linotype" w:eastAsia="Times New Roman" w:hAnsi="Palatino Linotype" w:cs="Times New Roman"/>
            <w:b/>
            <w:sz w:val="24"/>
            <w:szCs w:val="24"/>
            <w:lang w:eastAsia="es-MX"/>
          </w:rPr>
          <w:t>ALTASolici00010.pdf</w:t>
        </w:r>
      </w:hyperlink>
      <w:proofErr w:type="gramStart"/>
      <w:r w:rsidR="00D70514">
        <w:rPr>
          <w:rFonts w:ascii="Palatino Linotype" w:eastAsia="Times New Roman" w:hAnsi="Palatino Linotype" w:cs="Times New Roman"/>
          <w:b/>
          <w:sz w:val="24"/>
          <w:szCs w:val="24"/>
          <w:lang w:eastAsia="es-MX"/>
        </w:rPr>
        <w:t xml:space="preserve">, </w:t>
      </w:r>
      <w:r w:rsidR="00D70514">
        <w:rPr>
          <w:rFonts w:ascii="Palatino Linotype" w:eastAsia="Times New Roman" w:hAnsi="Palatino Linotype" w:cs="Times New Roman"/>
          <w:sz w:val="24"/>
          <w:szCs w:val="24"/>
          <w:lang w:eastAsia="es-MX"/>
        </w:rPr>
        <w:t xml:space="preserve"> el</w:t>
      </w:r>
      <w:proofErr w:type="gramEnd"/>
      <w:r w:rsidR="00D70514">
        <w:rPr>
          <w:rFonts w:ascii="Palatino Linotype" w:eastAsia="Times New Roman" w:hAnsi="Palatino Linotype" w:cs="Times New Roman"/>
          <w:sz w:val="24"/>
          <w:szCs w:val="24"/>
          <w:lang w:eastAsia="es-MX"/>
        </w:rPr>
        <w:t xml:space="preserve"> presente archivo contiene ciento cincuenta páginas en las cuales consta la siguiente información:</w:t>
      </w:r>
    </w:p>
    <w:p w:rsidR="00D70514" w:rsidRDefault="00D70514" w:rsidP="007A2D52">
      <w:pPr>
        <w:pStyle w:val="Prrafodelista"/>
        <w:numPr>
          <w:ilvl w:val="0"/>
          <w:numId w:val="33"/>
        </w:numPr>
        <w:spacing w:line="360" w:lineRule="auto"/>
        <w:jc w:val="both"/>
        <w:rPr>
          <w:rFonts w:ascii="Palatino Linotype" w:hAnsi="Palatino Linotype"/>
          <w:lang w:eastAsia="es-MX"/>
        </w:rPr>
      </w:pPr>
      <w:r w:rsidRPr="00D70514">
        <w:rPr>
          <w:rFonts w:ascii="Palatino Linotype" w:hAnsi="Palatino Linotype"/>
          <w:lang w:eastAsia="es-MX"/>
        </w:rPr>
        <w:t xml:space="preserve">Listado de los servidores públicos que laboran en las áreas administrativas que causaron alta en el periodo del 1 de junio de 2020 al 31 de enero de 2021 </w:t>
      </w:r>
    </w:p>
    <w:p w:rsidR="00D70514" w:rsidRDefault="00D70514" w:rsidP="007A2D52">
      <w:pPr>
        <w:pStyle w:val="Prrafodelista"/>
        <w:numPr>
          <w:ilvl w:val="0"/>
          <w:numId w:val="33"/>
        </w:numPr>
        <w:spacing w:line="360" w:lineRule="auto"/>
        <w:jc w:val="both"/>
        <w:rPr>
          <w:rFonts w:ascii="Palatino Linotype" w:hAnsi="Palatino Linotype"/>
          <w:lang w:eastAsia="es-MX"/>
        </w:rPr>
      </w:pPr>
      <w:r w:rsidRPr="00D70514">
        <w:rPr>
          <w:rFonts w:ascii="Palatino Linotype" w:hAnsi="Palatino Linotype"/>
          <w:lang w:eastAsia="es-MX"/>
        </w:rPr>
        <w:t>Título Universitario</w:t>
      </w:r>
      <w:r>
        <w:rPr>
          <w:rFonts w:ascii="Palatino Linotype" w:hAnsi="Palatino Linotype"/>
          <w:lang w:eastAsia="es-MX"/>
        </w:rPr>
        <w:t xml:space="preserve">, </w:t>
      </w:r>
      <w:r w:rsidR="00C65918">
        <w:rPr>
          <w:rFonts w:ascii="Palatino Linotype" w:hAnsi="Palatino Linotype"/>
          <w:lang w:eastAsia="es-MX"/>
        </w:rPr>
        <w:t>constancia</w:t>
      </w:r>
      <w:r>
        <w:rPr>
          <w:rFonts w:ascii="Palatino Linotype" w:hAnsi="Palatino Linotype"/>
          <w:lang w:eastAsia="es-MX"/>
        </w:rPr>
        <w:t xml:space="preserve"> de estudios, cedula profesional</w:t>
      </w:r>
      <w:r w:rsidRPr="00D70514">
        <w:rPr>
          <w:rFonts w:ascii="Palatino Linotype" w:hAnsi="Palatino Linotype"/>
          <w:lang w:eastAsia="es-MX"/>
        </w:rPr>
        <w:t xml:space="preserve"> de </w:t>
      </w:r>
      <w:bookmarkStart w:id="0" w:name="_GoBack"/>
      <w:r w:rsidRPr="00D70514">
        <w:rPr>
          <w:rFonts w:ascii="Palatino Linotype" w:hAnsi="Palatino Linotype"/>
          <w:lang w:eastAsia="es-MX"/>
        </w:rPr>
        <w:t>Ricardo Velázquez Valdez</w:t>
      </w:r>
      <w:bookmarkEnd w:id="0"/>
      <w:r w:rsidRPr="00D70514">
        <w:rPr>
          <w:rFonts w:ascii="Palatino Linotype" w:hAnsi="Palatino Linotype"/>
          <w:lang w:eastAsia="es-MX"/>
        </w:rPr>
        <w:t xml:space="preserve"> en versión pública (fotografía)</w:t>
      </w:r>
      <w:r>
        <w:rPr>
          <w:rFonts w:ascii="Palatino Linotype" w:hAnsi="Palatino Linotype"/>
          <w:lang w:eastAsia="es-MX"/>
        </w:rPr>
        <w:t>.</w:t>
      </w:r>
    </w:p>
    <w:p w:rsidR="00D70514" w:rsidRDefault="002C6010"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Cedula profesional de Federico Pacheco </w:t>
      </w:r>
      <w:r w:rsidR="00473C7A">
        <w:rPr>
          <w:rFonts w:ascii="Palatino Linotype" w:hAnsi="Palatino Linotype"/>
          <w:lang w:eastAsia="es-MX"/>
        </w:rPr>
        <w:t>Gómez</w:t>
      </w:r>
      <w:r>
        <w:rPr>
          <w:rFonts w:ascii="Palatino Linotype" w:hAnsi="Palatino Linotype"/>
          <w:lang w:eastAsia="es-MX"/>
        </w:rPr>
        <w:t>, en versión pública (fotografía)</w:t>
      </w:r>
    </w:p>
    <w:p w:rsidR="002C6010" w:rsidRDefault="002C6010"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lastRenderedPageBreak/>
        <w:t xml:space="preserve">Título profesional, constancia de estudio y Cedula profesional de </w:t>
      </w:r>
      <w:proofErr w:type="spellStart"/>
      <w:r>
        <w:rPr>
          <w:rFonts w:ascii="Palatino Linotype" w:hAnsi="Palatino Linotype"/>
          <w:lang w:eastAsia="es-MX"/>
        </w:rPr>
        <w:t>Yessica</w:t>
      </w:r>
      <w:proofErr w:type="spellEnd"/>
      <w:r>
        <w:rPr>
          <w:rFonts w:ascii="Palatino Linotype" w:hAnsi="Palatino Linotype"/>
          <w:lang w:eastAsia="es-MX"/>
        </w:rPr>
        <w:t xml:space="preserve"> </w:t>
      </w:r>
      <w:r w:rsidR="00473C7A">
        <w:rPr>
          <w:rFonts w:ascii="Palatino Linotype" w:hAnsi="Palatino Linotype"/>
          <w:lang w:eastAsia="es-MX"/>
        </w:rPr>
        <w:t>Nicolás</w:t>
      </w:r>
      <w:r>
        <w:rPr>
          <w:rFonts w:ascii="Palatino Linotype" w:hAnsi="Palatino Linotype"/>
          <w:lang w:eastAsia="es-MX"/>
        </w:rPr>
        <w:t xml:space="preserve"> Zavala, en versión pública (fotografía).</w:t>
      </w:r>
    </w:p>
    <w:p w:rsidR="002C6010" w:rsidRDefault="002C6010" w:rsidP="002C6010">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Título Profesional, constancia de estudio y cedula profesional de Elizabeth Ann Vizcarra Peralta, en versión pública (fotografía).</w:t>
      </w:r>
    </w:p>
    <w:p w:rsidR="002C6010" w:rsidRDefault="00473C7A" w:rsidP="002C6010">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Título</w:t>
      </w:r>
      <w:r w:rsidR="002C6010">
        <w:rPr>
          <w:rFonts w:ascii="Palatino Linotype" w:hAnsi="Palatino Linotype"/>
          <w:lang w:eastAsia="es-MX"/>
        </w:rPr>
        <w:t xml:space="preserve"> profesional y cedula profesional de Roberto Mimbrera Palmero, en versión pública (fotografía).</w:t>
      </w:r>
    </w:p>
    <w:p w:rsidR="002C6010" w:rsidRDefault="00473C7A" w:rsidP="002C6010">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Título</w:t>
      </w:r>
      <w:r w:rsidR="002C6010">
        <w:rPr>
          <w:rFonts w:ascii="Palatino Linotype" w:hAnsi="Palatino Linotype"/>
          <w:lang w:eastAsia="es-MX"/>
        </w:rPr>
        <w:t xml:space="preserve"> profesional y cedula profesional de Eduardo Martínez Guerra, en versión pública (fotografía).</w:t>
      </w:r>
    </w:p>
    <w:p w:rsidR="002C6010" w:rsidRDefault="00473C7A" w:rsidP="002C6010">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Título</w:t>
      </w:r>
      <w:r w:rsidR="002C6010">
        <w:rPr>
          <w:rFonts w:ascii="Palatino Linotype" w:hAnsi="Palatino Linotype"/>
          <w:lang w:eastAsia="es-MX"/>
        </w:rPr>
        <w:t xml:space="preserve"> profesional y cedula profesional de </w:t>
      </w:r>
      <w:r>
        <w:rPr>
          <w:rFonts w:ascii="Palatino Linotype" w:hAnsi="Palatino Linotype"/>
          <w:lang w:eastAsia="es-MX"/>
        </w:rPr>
        <w:t>Bárbara</w:t>
      </w:r>
      <w:r w:rsidR="002C6010">
        <w:rPr>
          <w:rFonts w:ascii="Palatino Linotype" w:hAnsi="Palatino Linotype"/>
          <w:lang w:eastAsia="es-MX"/>
        </w:rPr>
        <w:t xml:space="preserve"> Elisa Santiago </w:t>
      </w:r>
      <w:r>
        <w:rPr>
          <w:rFonts w:ascii="Palatino Linotype" w:hAnsi="Palatino Linotype"/>
          <w:lang w:eastAsia="es-MX"/>
        </w:rPr>
        <w:t>Hernández</w:t>
      </w:r>
      <w:r w:rsidR="002C6010">
        <w:rPr>
          <w:rFonts w:ascii="Palatino Linotype" w:hAnsi="Palatino Linotype"/>
          <w:lang w:eastAsia="es-MX"/>
        </w:rPr>
        <w:t>, en versión pública (fotografía).</w:t>
      </w:r>
    </w:p>
    <w:p w:rsidR="002C6010" w:rsidRDefault="00473C7A"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Certificado</w:t>
      </w:r>
      <w:r w:rsidR="00315AE3">
        <w:rPr>
          <w:rFonts w:ascii="Palatino Linotype" w:hAnsi="Palatino Linotype"/>
          <w:lang w:eastAsia="es-MX"/>
        </w:rPr>
        <w:t xml:space="preserve"> de estudios de Guadalupe Monserrat Flores Moreno en versión pública</w:t>
      </w:r>
    </w:p>
    <w:p w:rsidR="00315AE3" w:rsidRDefault="00473C7A" w:rsidP="00315AE3">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Título</w:t>
      </w:r>
      <w:r w:rsidR="00315AE3">
        <w:rPr>
          <w:rFonts w:ascii="Palatino Linotype" w:hAnsi="Palatino Linotype"/>
          <w:lang w:eastAsia="es-MX"/>
        </w:rPr>
        <w:t xml:space="preserve"> profesional, cedula profesional  de Gabriela Niño Pimentel en versión pública</w:t>
      </w:r>
    </w:p>
    <w:p w:rsidR="00315AE3" w:rsidRDefault="00473C7A" w:rsidP="00315AE3">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Título</w:t>
      </w:r>
      <w:r w:rsidR="00315AE3">
        <w:rPr>
          <w:rFonts w:ascii="Palatino Linotype" w:hAnsi="Palatino Linotype"/>
          <w:lang w:eastAsia="es-MX"/>
        </w:rPr>
        <w:t xml:space="preserve"> Profesional, cedula profesional de Gerardo Arenas </w:t>
      </w:r>
      <w:r>
        <w:rPr>
          <w:rFonts w:ascii="Palatino Linotype" w:hAnsi="Palatino Linotype"/>
          <w:lang w:eastAsia="es-MX"/>
        </w:rPr>
        <w:t>Gutiérrez</w:t>
      </w:r>
      <w:r w:rsidR="00315AE3">
        <w:rPr>
          <w:rFonts w:ascii="Palatino Linotype" w:hAnsi="Palatino Linotype"/>
          <w:lang w:eastAsia="es-MX"/>
        </w:rPr>
        <w:t>, en versión pública (fotografía).</w:t>
      </w:r>
    </w:p>
    <w:p w:rsidR="00473C7A" w:rsidRDefault="00473C7A" w:rsidP="00473C7A">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Título Profesional de Oscar Israel Huerta </w:t>
      </w:r>
      <w:proofErr w:type="spellStart"/>
      <w:r>
        <w:rPr>
          <w:rFonts w:ascii="Palatino Linotype" w:hAnsi="Palatino Linotype"/>
          <w:lang w:eastAsia="es-MX"/>
        </w:rPr>
        <w:t>Sorroza</w:t>
      </w:r>
      <w:proofErr w:type="spellEnd"/>
      <w:r>
        <w:rPr>
          <w:rFonts w:ascii="Palatino Linotype" w:hAnsi="Palatino Linotype"/>
          <w:lang w:eastAsia="es-MX"/>
        </w:rPr>
        <w:t>, en versión pública (fotografía).</w:t>
      </w:r>
    </w:p>
    <w:p w:rsidR="00473C7A" w:rsidRDefault="00473C7A" w:rsidP="00473C7A">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Título Profesional y cedula profesional de Viridiana </w:t>
      </w:r>
      <w:proofErr w:type="spellStart"/>
      <w:r>
        <w:rPr>
          <w:rFonts w:ascii="Palatino Linotype" w:hAnsi="Palatino Linotype"/>
          <w:lang w:eastAsia="es-MX"/>
        </w:rPr>
        <w:t>Madelene</w:t>
      </w:r>
      <w:proofErr w:type="spellEnd"/>
      <w:r>
        <w:rPr>
          <w:rFonts w:ascii="Palatino Linotype" w:hAnsi="Palatino Linotype"/>
          <w:lang w:eastAsia="es-MX"/>
        </w:rPr>
        <w:t xml:space="preserve"> Montero Delgado, en versión pública (fotografía).</w:t>
      </w:r>
    </w:p>
    <w:p w:rsidR="00315AE3" w:rsidRDefault="00315AE3" w:rsidP="00473C7A">
      <w:pPr>
        <w:spacing w:line="360" w:lineRule="auto"/>
        <w:ind w:left="360"/>
        <w:jc w:val="both"/>
        <w:rPr>
          <w:rFonts w:ascii="Palatino Linotype" w:hAnsi="Palatino Linotype"/>
          <w:lang w:eastAsia="es-MX"/>
        </w:rPr>
      </w:pPr>
    </w:p>
    <w:p w:rsidR="00473C7A" w:rsidRDefault="00473C7A" w:rsidP="00473C7A">
      <w:pPr>
        <w:spacing w:line="360" w:lineRule="auto"/>
        <w:ind w:left="360"/>
        <w:jc w:val="both"/>
        <w:rPr>
          <w:rFonts w:ascii="Palatino Linotype" w:hAnsi="Palatino Linotype"/>
          <w:lang w:eastAsia="es-MX"/>
        </w:rPr>
      </w:pPr>
      <w:r>
        <w:rPr>
          <w:rFonts w:ascii="Palatino Linotype" w:hAnsi="Palatino Linotype"/>
          <w:lang w:eastAsia="es-MX"/>
        </w:rPr>
        <w:t>Comprobante de pago de</w:t>
      </w:r>
      <w:r w:rsidR="002913C5">
        <w:rPr>
          <w:rFonts w:ascii="Palatino Linotype" w:hAnsi="Palatino Linotype"/>
          <w:lang w:eastAsia="es-MX"/>
        </w:rPr>
        <w:t xml:space="preserve"> los siguientes servidores públicos, en versión pública</w:t>
      </w:r>
    </w:p>
    <w:p w:rsidR="00315AE3" w:rsidRDefault="002913C5"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lastRenderedPageBreak/>
        <w:t>Gerardo Arenas Gutiérrez (2ª quincena de diciembre 2020 y 1ª y 2ª quincena de enero 2021)</w:t>
      </w:r>
    </w:p>
    <w:p w:rsidR="002913C5" w:rsidRPr="00D70514" w:rsidRDefault="002913C5" w:rsidP="002913C5">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Flores Moreno Guadalupe Monserrat (2ª quincena de enero 2021)</w:t>
      </w:r>
    </w:p>
    <w:p w:rsidR="009E439C" w:rsidRDefault="009E439C" w:rsidP="009E439C">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Huertas </w:t>
      </w:r>
      <w:proofErr w:type="spellStart"/>
      <w:r>
        <w:rPr>
          <w:rFonts w:ascii="Palatino Linotype" w:hAnsi="Palatino Linotype"/>
          <w:lang w:eastAsia="es-MX"/>
        </w:rPr>
        <w:t>Sorroza</w:t>
      </w:r>
      <w:proofErr w:type="spellEnd"/>
      <w:r>
        <w:rPr>
          <w:rFonts w:ascii="Palatino Linotype" w:hAnsi="Palatino Linotype"/>
          <w:lang w:eastAsia="es-MX"/>
        </w:rPr>
        <w:t xml:space="preserve"> Oscar Israel (2ª quincena de diciembre 2020 y 1ª y 2ª quincena de enero 2021)</w:t>
      </w:r>
    </w:p>
    <w:p w:rsidR="009E439C" w:rsidRDefault="009E439C" w:rsidP="007A2D52">
      <w:pPr>
        <w:pStyle w:val="Prrafodelista"/>
        <w:numPr>
          <w:ilvl w:val="0"/>
          <w:numId w:val="33"/>
        </w:numPr>
        <w:spacing w:line="360" w:lineRule="auto"/>
        <w:jc w:val="both"/>
        <w:rPr>
          <w:rFonts w:ascii="Palatino Linotype" w:hAnsi="Palatino Linotype"/>
          <w:lang w:eastAsia="es-MX"/>
        </w:rPr>
      </w:pPr>
      <w:r w:rsidRPr="009E439C">
        <w:rPr>
          <w:rFonts w:ascii="Palatino Linotype" w:hAnsi="Palatino Linotype"/>
          <w:lang w:eastAsia="es-MX"/>
        </w:rPr>
        <w:t xml:space="preserve">Martínez Guerra Eduardo (2ª </w:t>
      </w:r>
      <w:r>
        <w:rPr>
          <w:rFonts w:ascii="Palatino Linotype" w:hAnsi="Palatino Linotype"/>
          <w:lang w:eastAsia="es-MX"/>
        </w:rPr>
        <w:t>quincena de diciembre 2020)</w:t>
      </w:r>
    </w:p>
    <w:p w:rsidR="009E439C" w:rsidRDefault="009E439C" w:rsidP="009E439C">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Mimbrera Palmero Roberto (2ª quincena de diciembre 2020 y 1ª y 2ª quincena de enero 2021)</w:t>
      </w:r>
    </w:p>
    <w:p w:rsidR="009E439C" w:rsidRDefault="009E439C" w:rsidP="009E439C">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Nicolás Zavala </w:t>
      </w:r>
      <w:proofErr w:type="spellStart"/>
      <w:r>
        <w:rPr>
          <w:rFonts w:ascii="Palatino Linotype" w:hAnsi="Palatino Linotype"/>
          <w:lang w:eastAsia="es-MX"/>
        </w:rPr>
        <w:t>Yessica</w:t>
      </w:r>
      <w:proofErr w:type="spellEnd"/>
      <w:r>
        <w:rPr>
          <w:rFonts w:ascii="Palatino Linotype" w:hAnsi="Palatino Linotype"/>
          <w:lang w:eastAsia="es-MX"/>
        </w:rPr>
        <w:t xml:space="preserve"> (2ª quincena de diciembre 2020 y 1ª y 2ª quincena de enero 2021)</w:t>
      </w:r>
    </w:p>
    <w:p w:rsidR="009E439C" w:rsidRDefault="009E439C" w:rsidP="009E439C">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Niño Pimentel Gabriela (2ª quincena de enero 2021)</w:t>
      </w:r>
    </w:p>
    <w:p w:rsidR="009E439C" w:rsidRDefault="009E439C" w:rsidP="009E439C">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Pacheco Gómez Federico (2ª quincena de junio 2020 y 1ª y 2ª quincena de julio a diciembre 2020, 1ª y 2ª de enero 2021)</w:t>
      </w:r>
    </w:p>
    <w:p w:rsidR="009E439C" w:rsidRDefault="005964D7"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Rivero Espino Karla </w:t>
      </w:r>
      <w:proofErr w:type="spellStart"/>
      <w:r>
        <w:rPr>
          <w:rFonts w:ascii="Palatino Linotype" w:hAnsi="Palatino Linotype"/>
          <w:lang w:eastAsia="es-MX"/>
        </w:rPr>
        <w:t>Estephany</w:t>
      </w:r>
      <w:proofErr w:type="spellEnd"/>
      <w:r>
        <w:rPr>
          <w:rFonts w:ascii="Palatino Linotype" w:hAnsi="Palatino Linotype"/>
          <w:lang w:eastAsia="es-MX"/>
        </w:rPr>
        <w:t xml:space="preserve"> (2ª quincena de julio 1ª y 2ª quincena de agosto a diciembre de 2020 y  1ª y 2ª quincena de enero de 2021)</w:t>
      </w:r>
    </w:p>
    <w:p w:rsidR="005964D7" w:rsidRDefault="005964D7"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Romero Contreras Miguel </w:t>
      </w:r>
      <w:proofErr w:type="spellStart"/>
      <w:r>
        <w:rPr>
          <w:rFonts w:ascii="Palatino Linotype" w:hAnsi="Palatino Linotype"/>
          <w:lang w:eastAsia="es-MX"/>
        </w:rPr>
        <w:t>Angel</w:t>
      </w:r>
      <w:proofErr w:type="spellEnd"/>
      <w:r>
        <w:rPr>
          <w:rFonts w:ascii="Palatino Linotype" w:hAnsi="Palatino Linotype"/>
          <w:lang w:eastAsia="es-MX"/>
        </w:rPr>
        <w:t xml:space="preserve"> ( 1ª y 2ª quincena de agosto a diciembre de 2020 y 1ª y 2ª quincena de enero 2021)</w:t>
      </w:r>
    </w:p>
    <w:p w:rsidR="005964D7" w:rsidRDefault="005964D7"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Santiago </w:t>
      </w:r>
      <w:proofErr w:type="spellStart"/>
      <w:r>
        <w:rPr>
          <w:rFonts w:ascii="Palatino Linotype" w:hAnsi="Palatino Linotype"/>
          <w:lang w:eastAsia="es-MX"/>
        </w:rPr>
        <w:t>Hernandez</w:t>
      </w:r>
      <w:proofErr w:type="spellEnd"/>
      <w:r>
        <w:rPr>
          <w:rFonts w:ascii="Palatino Linotype" w:hAnsi="Palatino Linotype"/>
          <w:lang w:eastAsia="es-MX"/>
        </w:rPr>
        <w:t xml:space="preserve"> </w:t>
      </w:r>
      <w:proofErr w:type="spellStart"/>
      <w:r>
        <w:rPr>
          <w:rFonts w:ascii="Palatino Linotype" w:hAnsi="Palatino Linotype"/>
          <w:lang w:eastAsia="es-MX"/>
        </w:rPr>
        <w:t>Barbara</w:t>
      </w:r>
      <w:proofErr w:type="spellEnd"/>
      <w:r>
        <w:rPr>
          <w:rFonts w:ascii="Palatino Linotype" w:hAnsi="Palatino Linotype"/>
          <w:lang w:eastAsia="es-MX"/>
        </w:rPr>
        <w:t xml:space="preserve"> Elisa (2ª quincena de diciembre 2020 y 1ª y 2ª quincena de enero de 2021)</w:t>
      </w:r>
    </w:p>
    <w:p w:rsidR="005964D7" w:rsidRDefault="005964D7"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Segura Bando Alejandro (1ª y 2ª quincena de noviembre y diciembre 2020 y 1ª y 2ª quincena de enero 2021)</w:t>
      </w:r>
    </w:p>
    <w:p w:rsidR="005964D7" w:rsidRPr="009E439C" w:rsidRDefault="005964D7" w:rsidP="007A2D52">
      <w:pPr>
        <w:pStyle w:val="Prrafodelista"/>
        <w:numPr>
          <w:ilvl w:val="0"/>
          <w:numId w:val="33"/>
        </w:numPr>
        <w:spacing w:line="360" w:lineRule="auto"/>
        <w:jc w:val="both"/>
        <w:rPr>
          <w:rFonts w:ascii="Palatino Linotype" w:hAnsi="Palatino Linotype"/>
          <w:lang w:eastAsia="es-MX"/>
        </w:rPr>
      </w:pPr>
      <w:proofErr w:type="spellStart"/>
      <w:r>
        <w:rPr>
          <w:rFonts w:ascii="Palatino Linotype" w:hAnsi="Palatino Linotype"/>
          <w:lang w:eastAsia="es-MX"/>
        </w:rPr>
        <w:t>Velazquez</w:t>
      </w:r>
      <w:proofErr w:type="spellEnd"/>
      <w:r>
        <w:rPr>
          <w:rFonts w:ascii="Palatino Linotype" w:hAnsi="Palatino Linotype"/>
          <w:lang w:eastAsia="es-MX"/>
        </w:rPr>
        <w:t xml:space="preserve"> Valdez Ricardo (1ª y </w:t>
      </w:r>
      <w:r w:rsidR="0052661E">
        <w:rPr>
          <w:rFonts w:ascii="Palatino Linotype" w:hAnsi="Palatino Linotype"/>
          <w:lang w:eastAsia="es-MX"/>
        </w:rPr>
        <w:t>2ª quincena de agosto a diciembre y 1ª y 2ª quincena de enero 2021)</w:t>
      </w:r>
    </w:p>
    <w:p w:rsidR="002913C5" w:rsidRDefault="0052661E"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lastRenderedPageBreak/>
        <w:t>Vizcarra Peralta Elizabeth Ann ( 2ª quincena de agosto 2020 y 1ª y 2ª quincena de septiembre a diciembre 2020 y 1ª y 2ª quincena de enero 2021)</w:t>
      </w:r>
    </w:p>
    <w:p w:rsidR="0026506A" w:rsidRDefault="0026506A" w:rsidP="007A2D52">
      <w:pPr>
        <w:pStyle w:val="Prrafodelista"/>
        <w:numPr>
          <w:ilvl w:val="0"/>
          <w:numId w:val="33"/>
        </w:numPr>
        <w:spacing w:line="360" w:lineRule="auto"/>
        <w:jc w:val="both"/>
        <w:rPr>
          <w:rFonts w:ascii="Palatino Linotype" w:hAnsi="Palatino Linotype"/>
          <w:lang w:eastAsia="es-MX"/>
        </w:rPr>
      </w:pPr>
      <w:r>
        <w:rPr>
          <w:rFonts w:ascii="Palatino Linotype" w:hAnsi="Palatino Linotype"/>
          <w:lang w:eastAsia="es-MX"/>
        </w:rPr>
        <w:t xml:space="preserve">Montero Delgado Viridiana </w:t>
      </w:r>
      <w:proofErr w:type="spellStart"/>
      <w:r>
        <w:rPr>
          <w:rFonts w:ascii="Palatino Linotype" w:hAnsi="Palatino Linotype"/>
          <w:lang w:eastAsia="es-MX"/>
        </w:rPr>
        <w:t>Madelene</w:t>
      </w:r>
      <w:proofErr w:type="spellEnd"/>
      <w:r>
        <w:rPr>
          <w:rFonts w:ascii="Palatino Linotype" w:hAnsi="Palatino Linotype"/>
          <w:lang w:eastAsia="es-MX"/>
        </w:rPr>
        <w:t xml:space="preserve"> ( 1ª y 2ª quincena de julio a diciembre 2020 y 1ª y 2ª quincena de enero 2021)</w:t>
      </w:r>
    </w:p>
    <w:p w:rsidR="0052661E" w:rsidRPr="00D70514" w:rsidRDefault="0052661E" w:rsidP="0052661E">
      <w:pPr>
        <w:pStyle w:val="Prrafodelista"/>
        <w:spacing w:line="360" w:lineRule="auto"/>
        <w:ind w:left="720"/>
        <w:jc w:val="both"/>
        <w:rPr>
          <w:rFonts w:ascii="Palatino Linotype" w:hAnsi="Palatino Linotype"/>
          <w:lang w:eastAsia="es-MX"/>
        </w:rPr>
      </w:pPr>
    </w:p>
    <w:p w:rsidR="00D70514" w:rsidRDefault="0052661E" w:rsidP="001624E8">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Aviso de movimiento de Alta ante el </w:t>
      </w:r>
      <w:proofErr w:type="spellStart"/>
      <w:r>
        <w:rPr>
          <w:rFonts w:ascii="Palatino Linotype" w:eastAsia="Times New Roman" w:hAnsi="Palatino Linotype" w:cs="Times New Roman"/>
          <w:sz w:val="24"/>
          <w:szCs w:val="24"/>
          <w:lang w:eastAsia="es-MX"/>
        </w:rPr>
        <w:t>ISSEMyM</w:t>
      </w:r>
      <w:proofErr w:type="spellEnd"/>
      <w:r>
        <w:rPr>
          <w:rFonts w:ascii="Palatino Linotype" w:eastAsia="Times New Roman" w:hAnsi="Palatino Linotype" w:cs="Times New Roman"/>
          <w:sz w:val="24"/>
          <w:szCs w:val="24"/>
          <w:lang w:eastAsia="es-MX"/>
        </w:rPr>
        <w:t xml:space="preserve"> de los siguientes servidores públicos:</w:t>
      </w:r>
    </w:p>
    <w:p w:rsidR="0052661E" w:rsidRDefault="0026506A" w:rsidP="0052661E">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Arenas Gutiérrez Gerardo</w:t>
      </w:r>
    </w:p>
    <w:p w:rsidR="0026506A" w:rsidRDefault="0026506A" w:rsidP="0052661E">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Flores Moreno Guadalupe Monserrat</w:t>
      </w:r>
    </w:p>
    <w:p w:rsidR="0026506A" w:rsidRDefault="0026506A" w:rsidP="0052661E">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 xml:space="preserve">Huerta </w:t>
      </w:r>
      <w:proofErr w:type="spellStart"/>
      <w:r>
        <w:rPr>
          <w:rFonts w:ascii="Palatino Linotype" w:hAnsi="Palatino Linotype"/>
          <w:lang w:eastAsia="es-MX"/>
        </w:rPr>
        <w:t>Sorroza</w:t>
      </w:r>
      <w:proofErr w:type="spellEnd"/>
      <w:r>
        <w:rPr>
          <w:rFonts w:ascii="Palatino Linotype" w:hAnsi="Palatino Linotype"/>
          <w:lang w:eastAsia="es-MX"/>
        </w:rPr>
        <w:t xml:space="preserve"> Oscar Israel</w:t>
      </w:r>
    </w:p>
    <w:p w:rsidR="0026506A" w:rsidRDefault="0026506A" w:rsidP="0052661E">
      <w:pPr>
        <w:pStyle w:val="Prrafodelista"/>
        <w:numPr>
          <w:ilvl w:val="0"/>
          <w:numId w:val="34"/>
        </w:numPr>
        <w:spacing w:line="360" w:lineRule="auto"/>
        <w:jc w:val="both"/>
        <w:rPr>
          <w:rFonts w:ascii="Palatino Linotype" w:hAnsi="Palatino Linotype"/>
          <w:lang w:eastAsia="es-MX"/>
        </w:rPr>
      </w:pPr>
      <w:proofErr w:type="spellStart"/>
      <w:r>
        <w:rPr>
          <w:rFonts w:ascii="Palatino Linotype" w:hAnsi="Palatino Linotype"/>
          <w:lang w:eastAsia="es-MX"/>
        </w:rPr>
        <w:t>Martinez</w:t>
      </w:r>
      <w:proofErr w:type="spellEnd"/>
      <w:r>
        <w:rPr>
          <w:rFonts w:ascii="Palatino Linotype" w:hAnsi="Palatino Linotype"/>
          <w:lang w:eastAsia="es-MX"/>
        </w:rPr>
        <w:t xml:space="preserve"> Guerra Eduardo</w:t>
      </w:r>
    </w:p>
    <w:p w:rsidR="0026506A" w:rsidRDefault="0026506A" w:rsidP="0052661E">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Mimbrera Palmero Roberto</w:t>
      </w:r>
    </w:p>
    <w:p w:rsidR="0026506A" w:rsidRDefault="0026506A" w:rsidP="0052661E">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 xml:space="preserve">Montero Delgado Viridiana </w:t>
      </w:r>
      <w:proofErr w:type="spellStart"/>
      <w:r>
        <w:rPr>
          <w:rFonts w:ascii="Palatino Linotype" w:hAnsi="Palatino Linotype"/>
          <w:lang w:eastAsia="es-MX"/>
        </w:rPr>
        <w:t>Madelene</w:t>
      </w:r>
      <w:proofErr w:type="spellEnd"/>
    </w:p>
    <w:p w:rsidR="0026506A" w:rsidRDefault="0026506A" w:rsidP="0052661E">
      <w:pPr>
        <w:pStyle w:val="Prrafodelista"/>
        <w:numPr>
          <w:ilvl w:val="0"/>
          <w:numId w:val="34"/>
        </w:numPr>
        <w:spacing w:line="360" w:lineRule="auto"/>
        <w:jc w:val="both"/>
        <w:rPr>
          <w:rFonts w:ascii="Palatino Linotype" w:hAnsi="Palatino Linotype"/>
          <w:lang w:eastAsia="es-MX"/>
        </w:rPr>
      </w:pPr>
      <w:proofErr w:type="spellStart"/>
      <w:r>
        <w:rPr>
          <w:rFonts w:ascii="Palatino Linotype" w:hAnsi="Palatino Linotype"/>
          <w:lang w:eastAsia="es-MX"/>
        </w:rPr>
        <w:t>Nicolas</w:t>
      </w:r>
      <w:proofErr w:type="spellEnd"/>
      <w:r>
        <w:rPr>
          <w:rFonts w:ascii="Palatino Linotype" w:hAnsi="Palatino Linotype"/>
          <w:lang w:eastAsia="es-MX"/>
        </w:rPr>
        <w:t xml:space="preserve"> Zavala </w:t>
      </w:r>
      <w:proofErr w:type="spellStart"/>
      <w:r>
        <w:rPr>
          <w:rFonts w:ascii="Palatino Linotype" w:hAnsi="Palatino Linotype"/>
          <w:lang w:eastAsia="es-MX"/>
        </w:rPr>
        <w:t>Yessica</w:t>
      </w:r>
      <w:proofErr w:type="spellEnd"/>
    </w:p>
    <w:p w:rsidR="0026506A" w:rsidRDefault="0026506A" w:rsidP="0052661E">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Niño Pimentel Gabriela</w:t>
      </w:r>
    </w:p>
    <w:p w:rsidR="0026506A" w:rsidRDefault="0026506A" w:rsidP="0026506A">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 xml:space="preserve">Pacheco </w:t>
      </w:r>
      <w:proofErr w:type="spellStart"/>
      <w:r>
        <w:rPr>
          <w:rFonts w:ascii="Palatino Linotype" w:hAnsi="Palatino Linotype"/>
          <w:lang w:eastAsia="es-MX"/>
        </w:rPr>
        <w:t>Gomez</w:t>
      </w:r>
      <w:proofErr w:type="spellEnd"/>
      <w:r>
        <w:rPr>
          <w:rFonts w:ascii="Palatino Linotype" w:hAnsi="Palatino Linotype"/>
          <w:lang w:eastAsia="es-MX"/>
        </w:rPr>
        <w:t xml:space="preserve"> Federico</w:t>
      </w:r>
    </w:p>
    <w:p w:rsidR="0026506A" w:rsidRDefault="0026506A" w:rsidP="0026506A">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 xml:space="preserve">Rivera Espino Karla </w:t>
      </w:r>
      <w:proofErr w:type="spellStart"/>
      <w:r>
        <w:rPr>
          <w:rFonts w:ascii="Palatino Linotype" w:hAnsi="Palatino Linotype"/>
          <w:lang w:eastAsia="es-MX"/>
        </w:rPr>
        <w:t>Estephany</w:t>
      </w:r>
      <w:proofErr w:type="spellEnd"/>
    </w:p>
    <w:p w:rsidR="0026506A" w:rsidRDefault="0026506A" w:rsidP="0026506A">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 xml:space="preserve">Romero Contreras Miguel </w:t>
      </w:r>
      <w:proofErr w:type="spellStart"/>
      <w:r>
        <w:rPr>
          <w:rFonts w:ascii="Palatino Linotype" w:hAnsi="Palatino Linotype"/>
          <w:lang w:eastAsia="es-MX"/>
        </w:rPr>
        <w:t>Angel</w:t>
      </w:r>
      <w:proofErr w:type="spellEnd"/>
    </w:p>
    <w:p w:rsidR="0026506A" w:rsidRDefault="0026506A" w:rsidP="0026506A">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 xml:space="preserve">Santiago </w:t>
      </w:r>
      <w:proofErr w:type="spellStart"/>
      <w:r>
        <w:rPr>
          <w:rFonts w:ascii="Palatino Linotype" w:hAnsi="Palatino Linotype"/>
          <w:lang w:eastAsia="es-MX"/>
        </w:rPr>
        <w:t>Hernandez</w:t>
      </w:r>
      <w:proofErr w:type="spellEnd"/>
      <w:r>
        <w:rPr>
          <w:rFonts w:ascii="Palatino Linotype" w:hAnsi="Palatino Linotype"/>
          <w:lang w:eastAsia="es-MX"/>
        </w:rPr>
        <w:t xml:space="preserve"> </w:t>
      </w:r>
      <w:proofErr w:type="spellStart"/>
      <w:r>
        <w:rPr>
          <w:rFonts w:ascii="Palatino Linotype" w:hAnsi="Palatino Linotype"/>
          <w:lang w:eastAsia="es-MX"/>
        </w:rPr>
        <w:t>Barbara</w:t>
      </w:r>
      <w:proofErr w:type="spellEnd"/>
      <w:r>
        <w:rPr>
          <w:rFonts w:ascii="Palatino Linotype" w:hAnsi="Palatino Linotype"/>
          <w:lang w:eastAsia="es-MX"/>
        </w:rPr>
        <w:t xml:space="preserve"> Eliza</w:t>
      </w:r>
    </w:p>
    <w:p w:rsidR="0026506A" w:rsidRDefault="0026506A" w:rsidP="0026506A">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Segura Banda Alejandro</w:t>
      </w:r>
    </w:p>
    <w:p w:rsidR="0026506A" w:rsidRDefault="0026506A" w:rsidP="0026506A">
      <w:pPr>
        <w:pStyle w:val="Prrafodelista"/>
        <w:numPr>
          <w:ilvl w:val="0"/>
          <w:numId w:val="34"/>
        </w:numPr>
        <w:spacing w:line="360" w:lineRule="auto"/>
        <w:jc w:val="both"/>
        <w:rPr>
          <w:rFonts w:ascii="Palatino Linotype" w:hAnsi="Palatino Linotype"/>
          <w:lang w:eastAsia="es-MX"/>
        </w:rPr>
      </w:pPr>
      <w:proofErr w:type="spellStart"/>
      <w:r>
        <w:rPr>
          <w:rFonts w:ascii="Palatino Linotype" w:hAnsi="Palatino Linotype"/>
          <w:lang w:eastAsia="es-MX"/>
        </w:rPr>
        <w:t>Velazquez</w:t>
      </w:r>
      <w:proofErr w:type="spellEnd"/>
      <w:r>
        <w:rPr>
          <w:rFonts w:ascii="Palatino Linotype" w:hAnsi="Palatino Linotype"/>
          <w:lang w:eastAsia="es-MX"/>
        </w:rPr>
        <w:t xml:space="preserve"> Valdez Ricardo</w:t>
      </w:r>
    </w:p>
    <w:p w:rsidR="0026506A" w:rsidRDefault="0026506A" w:rsidP="0026506A">
      <w:pPr>
        <w:pStyle w:val="Prrafodelista"/>
        <w:numPr>
          <w:ilvl w:val="0"/>
          <w:numId w:val="34"/>
        </w:numPr>
        <w:spacing w:line="360" w:lineRule="auto"/>
        <w:jc w:val="both"/>
        <w:rPr>
          <w:rFonts w:ascii="Palatino Linotype" w:hAnsi="Palatino Linotype"/>
          <w:lang w:eastAsia="es-MX"/>
        </w:rPr>
      </w:pPr>
      <w:r>
        <w:rPr>
          <w:rFonts w:ascii="Palatino Linotype" w:hAnsi="Palatino Linotype"/>
          <w:lang w:eastAsia="es-MX"/>
        </w:rPr>
        <w:t>Vizcarra Peralta Elizabeth Ann</w:t>
      </w:r>
    </w:p>
    <w:p w:rsidR="0026506A" w:rsidRPr="0052661E" w:rsidRDefault="0026506A" w:rsidP="007A2D52">
      <w:pPr>
        <w:pStyle w:val="Prrafodelista"/>
        <w:spacing w:line="360" w:lineRule="auto"/>
        <w:ind w:left="720"/>
        <w:jc w:val="both"/>
        <w:rPr>
          <w:rFonts w:ascii="Palatino Linotype" w:hAnsi="Palatino Linotype"/>
          <w:lang w:eastAsia="es-MX"/>
        </w:rPr>
      </w:pPr>
    </w:p>
    <w:p w:rsidR="00EB5F05" w:rsidRDefault="00891CFC" w:rsidP="001624E8">
      <w:pPr>
        <w:spacing w:after="0" w:line="360" w:lineRule="auto"/>
        <w:jc w:val="both"/>
        <w:rPr>
          <w:rFonts w:ascii="Palatino Linotype" w:eastAsia="Times New Roman" w:hAnsi="Palatino Linotype" w:cs="Times New Roman"/>
          <w:sz w:val="24"/>
          <w:szCs w:val="24"/>
          <w:lang w:eastAsia="es-MX"/>
        </w:rPr>
      </w:pPr>
      <w:r w:rsidRPr="00891CFC">
        <w:rPr>
          <w:rFonts w:ascii="Palatino Linotype" w:eastAsia="Times New Roman" w:hAnsi="Palatino Linotype" w:cs="Times New Roman"/>
          <w:b/>
          <w:sz w:val="24"/>
          <w:szCs w:val="24"/>
          <w:lang w:eastAsia="es-MX"/>
        </w:rPr>
        <w:lastRenderedPageBreak/>
        <w:br/>
      </w:r>
      <w:hyperlink r:id="rId11" w:tgtFrame="_blank" w:history="1">
        <w:r w:rsidRPr="00891CFC">
          <w:rPr>
            <w:rFonts w:ascii="Palatino Linotype" w:eastAsia="Times New Roman" w:hAnsi="Palatino Linotype" w:cs="Times New Roman"/>
            <w:b/>
            <w:sz w:val="24"/>
            <w:szCs w:val="24"/>
            <w:lang w:eastAsia="es-MX"/>
          </w:rPr>
          <w:t>OFICIsolici10.pdf</w:t>
        </w:r>
      </w:hyperlink>
      <w:r w:rsidR="007A2D52">
        <w:rPr>
          <w:rFonts w:ascii="Palatino Linotype" w:eastAsia="Times New Roman" w:hAnsi="Palatino Linotype" w:cs="Times New Roman"/>
          <w:b/>
          <w:sz w:val="24"/>
          <w:szCs w:val="24"/>
          <w:lang w:eastAsia="es-MX"/>
        </w:rPr>
        <w:t xml:space="preserve">, </w:t>
      </w:r>
      <w:r w:rsidR="007A2D52">
        <w:rPr>
          <w:rFonts w:ascii="Palatino Linotype" w:eastAsia="Times New Roman" w:hAnsi="Palatino Linotype" w:cs="Times New Roman"/>
          <w:sz w:val="24"/>
          <w:szCs w:val="24"/>
          <w:lang w:eastAsia="es-MX"/>
        </w:rPr>
        <w:t>contiene el oficio 208C0401030200L/619/2021</w:t>
      </w:r>
      <w:r w:rsidR="00EB5F05">
        <w:rPr>
          <w:rFonts w:ascii="Palatino Linotype" w:eastAsia="Times New Roman" w:hAnsi="Palatino Linotype" w:cs="Times New Roman"/>
          <w:sz w:val="24"/>
          <w:szCs w:val="24"/>
          <w:lang w:eastAsia="es-MX"/>
        </w:rPr>
        <w:t>, de fecha veintitrés de febrero de dos mil veintiuno en donde la Subdirectora de Personal informa al Titular de la Unidad de Información que se remite la información requerida.</w:t>
      </w:r>
    </w:p>
    <w:p w:rsidR="00891CFC" w:rsidRDefault="00891CFC" w:rsidP="001624E8">
      <w:pPr>
        <w:spacing w:after="0" w:line="360" w:lineRule="auto"/>
        <w:jc w:val="both"/>
        <w:rPr>
          <w:rFonts w:ascii="Palatino Linotype" w:eastAsia="Times New Roman" w:hAnsi="Palatino Linotype" w:cs="Times New Roman"/>
          <w:sz w:val="24"/>
          <w:szCs w:val="24"/>
          <w:lang w:eastAsia="es-MX"/>
        </w:rPr>
      </w:pPr>
      <w:r w:rsidRPr="00891CFC">
        <w:rPr>
          <w:rFonts w:ascii="Palatino Linotype" w:eastAsia="Times New Roman" w:hAnsi="Palatino Linotype" w:cs="Times New Roman"/>
          <w:b/>
          <w:sz w:val="24"/>
          <w:szCs w:val="24"/>
          <w:lang w:eastAsia="es-MX"/>
        </w:rPr>
        <w:br/>
      </w:r>
      <w:hyperlink r:id="rId12" w:tgtFrame="_blank" w:history="1">
        <w:r w:rsidRPr="00891CFC">
          <w:rPr>
            <w:rFonts w:ascii="Palatino Linotype" w:eastAsia="Times New Roman" w:hAnsi="Palatino Linotype" w:cs="Times New Roman"/>
            <w:b/>
            <w:sz w:val="24"/>
            <w:szCs w:val="24"/>
            <w:lang w:eastAsia="es-MX"/>
          </w:rPr>
          <w:t>BAJASSolici00010.pdf</w:t>
        </w:r>
      </w:hyperlink>
      <w:r w:rsidR="00EB5F05">
        <w:rPr>
          <w:rFonts w:ascii="Palatino Linotype" w:eastAsia="Times New Roman" w:hAnsi="Palatino Linotype" w:cs="Times New Roman"/>
          <w:b/>
          <w:sz w:val="24"/>
          <w:szCs w:val="24"/>
          <w:lang w:eastAsia="es-MX"/>
        </w:rPr>
        <w:t xml:space="preserve">, </w:t>
      </w:r>
      <w:r w:rsidR="00EB5F05">
        <w:rPr>
          <w:rFonts w:ascii="Palatino Linotype" w:eastAsia="Times New Roman" w:hAnsi="Palatino Linotype" w:cs="Times New Roman"/>
          <w:sz w:val="24"/>
          <w:szCs w:val="24"/>
          <w:lang w:eastAsia="es-MX"/>
        </w:rPr>
        <w:t>contiene el listado de servidores que laboran en las áreas administrativas que causaron baja en el periodo del 1º de junio de 2020 al 31 de enero de 2021, así como diversa información relativa a comprobantes de estudios, títulos Universitarios, Cedulas Profesionales, comprobante de pago y aviso de movimientos de baja por el periodo solicitado, cabe señalar que la documentación se entregó en versión pública (testando diversos datos en lo que nos encontramos el nombre y fotografía de las personas en referencia)</w:t>
      </w:r>
    </w:p>
    <w:p w:rsidR="005660D0" w:rsidRPr="0096071A" w:rsidRDefault="005660D0" w:rsidP="001624E8">
      <w:pPr>
        <w:spacing w:after="0" w:line="360" w:lineRule="auto"/>
        <w:jc w:val="both"/>
        <w:rPr>
          <w:rFonts w:ascii="Palatino Linotype" w:hAnsi="Palatino Linotype"/>
          <w:b/>
          <w:sz w:val="16"/>
          <w:szCs w:val="28"/>
        </w:rPr>
      </w:pPr>
    </w:p>
    <w:p w:rsidR="00F2498E" w:rsidRPr="00ED5476" w:rsidRDefault="006E20F9" w:rsidP="001624E8">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1624E8">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841673">
        <w:rPr>
          <w:rFonts w:ascii="Palatino Linotype" w:hAnsi="Palatino Linotype" w:cs="Arial"/>
          <w:sz w:val="24"/>
          <w:szCs w:val="24"/>
        </w:rPr>
        <w:t>primero de marzo</w:t>
      </w:r>
      <w:r w:rsidR="00680D15">
        <w:rPr>
          <w:rFonts w:ascii="Palatino Linotype" w:hAnsi="Palatino Linotype" w:cs="Arial"/>
          <w:sz w:val="24"/>
          <w:szCs w:val="24"/>
        </w:rPr>
        <w:t xml:space="preserve"> de dos mil </w:t>
      </w:r>
      <w:r w:rsidR="005660D0">
        <w:rPr>
          <w:rFonts w:ascii="Palatino Linotype" w:hAnsi="Palatino Linotype" w:cs="Arial"/>
          <w:sz w:val="24"/>
          <w:szCs w:val="24"/>
        </w:rPr>
        <w:t>veintiuno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5660D0">
        <w:rPr>
          <w:rFonts w:ascii="Palatino Linotype" w:hAnsi="Palatino Linotype" w:cs="Arial"/>
          <w:b/>
          <w:bCs/>
          <w:sz w:val="24"/>
          <w:szCs w:val="24"/>
          <w:lang w:eastAsia="es-MX"/>
        </w:rPr>
        <w:t>0</w:t>
      </w:r>
      <w:r w:rsidR="00841673">
        <w:rPr>
          <w:rFonts w:ascii="Palatino Linotype" w:hAnsi="Palatino Linotype" w:cs="Arial"/>
          <w:b/>
          <w:bCs/>
          <w:sz w:val="24"/>
          <w:szCs w:val="24"/>
          <w:lang w:eastAsia="es-MX"/>
        </w:rPr>
        <w:t>780</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w:t>
      </w:r>
      <w:r w:rsidR="005660D0">
        <w:rPr>
          <w:rFonts w:ascii="Palatino Linotype" w:hAnsi="Palatino Linotype" w:cs="Arial"/>
          <w:b/>
          <w:bCs/>
          <w:sz w:val="24"/>
          <w:szCs w:val="24"/>
          <w:lang w:eastAsia="es-MX"/>
        </w:rPr>
        <w:t>1</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DB1035" w:rsidRDefault="00F2498E" w:rsidP="001624E8">
      <w:pPr>
        <w:spacing w:after="0" w:line="360" w:lineRule="auto"/>
        <w:jc w:val="both"/>
        <w:rPr>
          <w:rFonts w:ascii="Palatino Linotype" w:hAnsi="Palatino Linotype" w:cs="Arial"/>
          <w:sz w:val="8"/>
          <w:szCs w:val="24"/>
        </w:rPr>
      </w:pPr>
    </w:p>
    <w:p w:rsidR="00F2498E" w:rsidRPr="00400915" w:rsidRDefault="00F2498E" w:rsidP="001624E8">
      <w:pPr>
        <w:spacing w:after="0" w:line="360" w:lineRule="auto"/>
        <w:jc w:val="both"/>
        <w:rPr>
          <w:rFonts w:ascii="Palatino Linotype" w:hAnsi="Palatino Linotype" w:cs="Arial"/>
          <w:b/>
        </w:rPr>
      </w:pPr>
      <w:r w:rsidRPr="00400915">
        <w:rPr>
          <w:rFonts w:ascii="Palatino Linotype" w:hAnsi="Palatino Linotype" w:cs="Arial"/>
          <w:b/>
        </w:rPr>
        <w:t>Acto Impugnado:</w:t>
      </w:r>
    </w:p>
    <w:p w:rsidR="00841673" w:rsidRPr="00841673" w:rsidRDefault="00841673" w:rsidP="00841673">
      <w:pPr>
        <w:tabs>
          <w:tab w:val="left" w:pos="1405"/>
        </w:tabs>
        <w:spacing w:after="0" w:line="360" w:lineRule="auto"/>
        <w:ind w:left="851" w:right="850"/>
        <w:jc w:val="both"/>
        <w:rPr>
          <w:rFonts w:ascii="Palatino Linotype" w:hAnsi="Palatino Linotype"/>
          <w:i/>
          <w:color w:val="000000"/>
          <w:sz w:val="24"/>
          <w:szCs w:val="24"/>
        </w:rPr>
      </w:pPr>
      <w:r w:rsidRPr="00841673">
        <w:rPr>
          <w:rFonts w:ascii="Palatino Linotype" w:hAnsi="Palatino Linotype"/>
          <w:i/>
          <w:color w:val="000000"/>
          <w:sz w:val="24"/>
          <w:szCs w:val="24"/>
        </w:rPr>
        <w:t xml:space="preserve">“Borraron los nombres de los servidores públicos y no puedo conocer </w:t>
      </w:r>
      <w:proofErr w:type="spellStart"/>
      <w:r w:rsidRPr="00841673">
        <w:rPr>
          <w:rFonts w:ascii="Palatino Linotype" w:hAnsi="Palatino Linotype"/>
          <w:i/>
          <w:color w:val="000000"/>
          <w:sz w:val="24"/>
          <w:szCs w:val="24"/>
        </w:rPr>
        <w:t>qe</w:t>
      </w:r>
      <w:proofErr w:type="spellEnd"/>
      <w:r w:rsidRPr="00841673">
        <w:rPr>
          <w:rFonts w:ascii="Palatino Linotype" w:hAnsi="Palatino Linotype"/>
          <w:i/>
          <w:color w:val="000000"/>
          <w:sz w:val="24"/>
          <w:szCs w:val="24"/>
        </w:rPr>
        <w:t xml:space="preserve"> personas se trata.”(Sic).</w:t>
      </w:r>
    </w:p>
    <w:p w:rsidR="00841673" w:rsidRDefault="00A25B1F" w:rsidP="00A25B1F">
      <w:pPr>
        <w:tabs>
          <w:tab w:val="left" w:pos="1014"/>
        </w:tabs>
        <w:spacing w:after="0" w:line="360" w:lineRule="auto"/>
        <w:jc w:val="both"/>
        <w:rPr>
          <w:rFonts w:ascii="Palatino Linotype" w:hAnsi="Palatino Linotype" w:cs="Arial"/>
          <w:b/>
        </w:rPr>
      </w:pPr>
      <w:r>
        <w:rPr>
          <w:rFonts w:ascii="Palatino Linotype" w:hAnsi="Palatino Linotype" w:cs="Arial"/>
          <w:b/>
        </w:rPr>
        <w:tab/>
      </w:r>
    </w:p>
    <w:p w:rsidR="00841673" w:rsidRDefault="00841673" w:rsidP="001624E8">
      <w:pPr>
        <w:spacing w:after="0" w:line="360" w:lineRule="auto"/>
        <w:jc w:val="both"/>
        <w:rPr>
          <w:rFonts w:ascii="Palatino Linotype" w:hAnsi="Palatino Linotype" w:cs="Arial"/>
          <w:b/>
        </w:rPr>
      </w:pPr>
    </w:p>
    <w:p w:rsidR="00841673" w:rsidRDefault="00841673" w:rsidP="001624E8">
      <w:pPr>
        <w:spacing w:after="0" w:line="360" w:lineRule="auto"/>
        <w:jc w:val="both"/>
        <w:rPr>
          <w:rFonts w:ascii="Palatino Linotype" w:hAnsi="Palatino Linotype" w:cs="Arial"/>
          <w:b/>
        </w:rPr>
      </w:pPr>
    </w:p>
    <w:p w:rsidR="00F2498E" w:rsidRDefault="00F2498E" w:rsidP="001624E8">
      <w:pPr>
        <w:spacing w:after="0" w:line="360" w:lineRule="auto"/>
        <w:jc w:val="both"/>
        <w:rPr>
          <w:rFonts w:ascii="Palatino Linotype" w:hAnsi="Palatino Linotype" w:cs="Arial"/>
          <w:b/>
        </w:rPr>
      </w:pPr>
      <w:r w:rsidRPr="00400915">
        <w:rPr>
          <w:rFonts w:ascii="Palatino Linotype" w:hAnsi="Palatino Linotype" w:cs="Arial"/>
          <w:b/>
        </w:rPr>
        <w:lastRenderedPageBreak/>
        <w:t>Razones o Motivos de Inconformidad:</w:t>
      </w:r>
    </w:p>
    <w:p w:rsidR="00296E92" w:rsidRPr="00841673" w:rsidRDefault="00296E92" w:rsidP="001624E8">
      <w:pPr>
        <w:tabs>
          <w:tab w:val="left" w:pos="1405"/>
        </w:tabs>
        <w:spacing w:after="0" w:line="360" w:lineRule="auto"/>
        <w:ind w:left="851" w:right="850"/>
        <w:jc w:val="both"/>
        <w:rPr>
          <w:rFonts w:ascii="Palatino Linotype" w:hAnsi="Palatino Linotype"/>
          <w:i/>
          <w:color w:val="000000"/>
          <w:sz w:val="24"/>
          <w:szCs w:val="24"/>
        </w:rPr>
      </w:pPr>
      <w:r w:rsidRPr="00841673">
        <w:rPr>
          <w:rFonts w:ascii="Palatino Linotype" w:hAnsi="Palatino Linotype"/>
          <w:i/>
          <w:color w:val="000000"/>
          <w:sz w:val="24"/>
          <w:szCs w:val="24"/>
        </w:rPr>
        <w:t>“</w:t>
      </w:r>
      <w:r w:rsidR="00841673" w:rsidRPr="00841673">
        <w:rPr>
          <w:rFonts w:ascii="Palatino Linotype" w:hAnsi="Palatino Linotype"/>
          <w:i/>
          <w:color w:val="000000"/>
          <w:sz w:val="24"/>
          <w:szCs w:val="24"/>
        </w:rPr>
        <w:t xml:space="preserve">Borraron los nombres de los servidores públicos y no puedo conocer </w:t>
      </w:r>
      <w:proofErr w:type="spellStart"/>
      <w:r w:rsidR="00841673" w:rsidRPr="00841673">
        <w:rPr>
          <w:rFonts w:ascii="Palatino Linotype" w:hAnsi="Palatino Linotype"/>
          <w:i/>
          <w:color w:val="000000"/>
          <w:sz w:val="24"/>
          <w:szCs w:val="24"/>
        </w:rPr>
        <w:t>qe</w:t>
      </w:r>
      <w:proofErr w:type="spellEnd"/>
      <w:r w:rsidR="00841673" w:rsidRPr="00841673">
        <w:rPr>
          <w:rFonts w:ascii="Palatino Linotype" w:hAnsi="Palatino Linotype"/>
          <w:i/>
          <w:color w:val="000000"/>
          <w:sz w:val="24"/>
          <w:szCs w:val="24"/>
        </w:rPr>
        <w:t xml:space="preserve"> personas se trata.</w:t>
      </w:r>
      <w:r w:rsidRPr="00841673">
        <w:rPr>
          <w:rFonts w:ascii="Palatino Linotype" w:hAnsi="Palatino Linotype"/>
          <w:i/>
          <w:color w:val="000000"/>
          <w:sz w:val="24"/>
          <w:szCs w:val="24"/>
        </w:rPr>
        <w:t>”</w:t>
      </w:r>
      <w:r w:rsidR="00B84A8A" w:rsidRPr="00841673">
        <w:rPr>
          <w:rFonts w:ascii="Palatino Linotype" w:hAnsi="Palatino Linotype"/>
          <w:i/>
          <w:color w:val="000000"/>
          <w:sz w:val="24"/>
          <w:szCs w:val="24"/>
        </w:rPr>
        <w:t>(Sic).</w:t>
      </w:r>
    </w:p>
    <w:p w:rsidR="005660D0" w:rsidRPr="005660D0" w:rsidRDefault="005660D0" w:rsidP="001624E8">
      <w:pPr>
        <w:tabs>
          <w:tab w:val="left" w:pos="1405"/>
        </w:tabs>
        <w:spacing w:after="0" w:line="360" w:lineRule="auto"/>
        <w:ind w:left="851" w:right="850"/>
        <w:jc w:val="both"/>
        <w:rPr>
          <w:rFonts w:ascii="Palatino Linotype" w:hAnsi="Palatino Linotype" w:cs="Arial"/>
          <w:i/>
          <w:sz w:val="24"/>
          <w:szCs w:val="24"/>
        </w:rPr>
      </w:pPr>
      <w:r>
        <w:rPr>
          <w:rFonts w:ascii="Palatino Linotype" w:hAnsi="Palatino Linotype"/>
          <w:i/>
          <w:color w:val="000000"/>
          <w:sz w:val="24"/>
          <w:szCs w:val="24"/>
        </w:rPr>
        <w:tab/>
      </w:r>
    </w:p>
    <w:p w:rsidR="00400915" w:rsidRPr="00AD2A55" w:rsidRDefault="00400915" w:rsidP="001624E8">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841673">
        <w:rPr>
          <w:rFonts w:ascii="Palatino Linotype" w:hAnsi="Palatino Linotype" w:cs="Arial"/>
          <w:sz w:val="24"/>
          <w:szCs w:val="24"/>
        </w:rPr>
        <w:t>ocho de marzo</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Pr="0096071A" w:rsidRDefault="00B84A8A" w:rsidP="001624E8">
      <w:pPr>
        <w:spacing w:after="0" w:line="360" w:lineRule="auto"/>
        <w:jc w:val="both"/>
        <w:rPr>
          <w:rFonts w:ascii="Palatino Linotype" w:hAnsi="Palatino Linotype" w:cs="Arial"/>
          <w:sz w:val="16"/>
          <w:szCs w:val="24"/>
        </w:rPr>
      </w:pPr>
    </w:p>
    <w:p w:rsidR="00400915" w:rsidRDefault="00400915" w:rsidP="001624E8">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QUINTO</w:t>
      </w:r>
      <w:r w:rsidRPr="00DF6006">
        <w:rPr>
          <w:rFonts w:ascii="Palatino Linotype" w:hAnsi="Palatino Linotype" w:cs="Arial"/>
          <w:b/>
          <w:sz w:val="24"/>
          <w:szCs w:val="24"/>
        </w:rPr>
        <w:t>. De la etapa de manifestaciones y/o alegatos.</w:t>
      </w:r>
    </w:p>
    <w:p w:rsidR="00273F7C" w:rsidRDefault="00D731D0" w:rsidP="001624E8">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5660D0">
        <w:rPr>
          <w:rFonts w:ascii="Palatino Linotype" w:hAnsi="Palatino Linotype"/>
          <w:b/>
          <w:sz w:val="24"/>
          <w:szCs w:val="24"/>
        </w:rPr>
        <w:t>0</w:t>
      </w:r>
      <w:r w:rsidR="00841673">
        <w:rPr>
          <w:rFonts w:ascii="Palatino Linotype" w:hAnsi="Palatino Linotype"/>
          <w:b/>
          <w:sz w:val="24"/>
          <w:szCs w:val="24"/>
        </w:rPr>
        <w:t>780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fecha </w:t>
      </w:r>
      <w:r w:rsidR="00841673">
        <w:rPr>
          <w:rFonts w:ascii="Palatino Linotype" w:hAnsi="Palatino Linotype"/>
          <w:sz w:val="24"/>
          <w:szCs w:val="24"/>
        </w:rPr>
        <w:t>ocho de marzo</w:t>
      </w:r>
      <w:r w:rsidR="00F51EAB">
        <w:rPr>
          <w:rFonts w:ascii="Palatino Linotype" w:hAnsi="Palatino Linotype"/>
          <w:sz w:val="24"/>
          <w:szCs w:val="24"/>
        </w:rPr>
        <w:t xml:space="preserve"> 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rsidR="005660D0" w:rsidRDefault="005660D0" w:rsidP="001624E8">
      <w:pPr>
        <w:spacing w:after="0" w:line="360" w:lineRule="auto"/>
        <w:jc w:val="both"/>
        <w:rPr>
          <w:rFonts w:ascii="Palatino Linotype" w:hAnsi="Palatino Linotype"/>
          <w:sz w:val="24"/>
          <w:szCs w:val="24"/>
        </w:rPr>
      </w:pPr>
    </w:p>
    <w:p w:rsidR="00841673" w:rsidRDefault="005660D0" w:rsidP="005660D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lastRenderedPageBreak/>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00</w:t>
      </w:r>
      <w:r w:rsidR="00841673">
        <w:rPr>
          <w:rFonts w:ascii="Palatino Linotype" w:hAnsi="Palatino Linotype" w:cs="Arial"/>
          <w:b/>
          <w:bCs/>
          <w:sz w:val="24"/>
          <w:szCs w:val="24"/>
          <w:lang w:eastAsia="es-MX"/>
        </w:rPr>
        <w:t>780</w:t>
      </w:r>
      <w:r>
        <w:rPr>
          <w:rFonts w:ascii="Palatino Linotype" w:hAnsi="Palatino Linotype" w:cs="Arial"/>
          <w:b/>
          <w:bCs/>
          <w:sz w:val="24"/>
          <w:szCs w:val="24"/>
          <w:lang w:eastAsia="es-MX"/>
        </w:rPr>
        <w:t>/INFOEM/IP/RR/2021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 xml:space="preserve">el Sujeto Obligado, </w:t>
      </w:r>
      <w:r w:rsidR="00841673">
        <w:rPr>
          <w:rFonts w:ascii="Palatino Linotype" w:hAnsi="Palatino Linotype" w:cs="Arial"/>
          <w:sz w:val="24"/>
          <w:szCs w:val="24"/>
        </w:rPr>
        <w:t>remitió información en fecha diecinueve de marzo de dos mil veintiuno, la cual no se puso a la vista del particular pues, de una revisión a la información remitida se aprecia que no se realizó el debido tratamiento de datos personales.</w:t>
      </w:r>
    </w:p>
    <w:p w:rsidR="00841673" w:rsidRDefault="00841673" w:rsidP="005660D0">
      <w:pPr>
        <w:spacing w:after="0" w:line="360" w:lineRule="auto"/>
        <w:jc w:val="both"/>
        <w:rPr>
          <w:rFonts w:ascii="Palatino Linotype" w:hAnsi="Palatino Linotype" w:cs="Arial"/>
          <w:sz w:val="24"/>
          <w:szCs w:val="24"/>
        </w:rPr>
      </w:pPr>
    </w:p>
    <w:p w:rsidR="005660D0" w:rsidRDefault="00841673" w:rsidP="005660D0">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w:t>
      </w:r>
      <w:r w:rsidR="005660D0">
        <w:rPr>
          <w:rFonts w:ascii="Palatino Linotype" w:hAnsi="Palatino Linotype" w:cs="Arial"/>
          <w:sz w:val="24"/>
          <w:szCs w:val="24"/>
        </w:rPr>
        <w:t xml:space="preserve">l Recurrente no </w:t>
      </w:r>
      <w:r>
        <w:rPr>
          <w:rFonts w:ascii="Palatino Linotype" w:hAnsi="Palatino Linotype" w:cs="Arial"/>
          <w:sz w:val="24"/>
          <w:szCs w:val="24"/>
        </w:rPr>
        <w:t>remitió</w:t>
      </w:r>
      <w:r w:rsidR="005660D0">
        <w:rPr>
          <w:rFonts w:ascii="Palatino Linotype" w:hAnsi="Palatino Linotype" w:cs="Arial"/>
          <w:sz w:val="24"/>
          <w:szCs w:val="24"/>
        </w:rPr>
        <w:t xml:space="preserve"> información alguna que a su</w:t>
      </w:r>
      <w:r>
        <w:rPr>
          <w:rFonts w:ascii="Palatino Linotype" w:hAnsi="Palatino Linotype" w:cs="Arial"/>
          <w:sz w:val="24"/>
          <w:szCs w:val="24"/>
        </w:rPr>
        <w:t xml:space="preserve"> derecho conviniera.</w:t>
      </w:r>
    </w:p>
    <w:p w:rsidR="005660D0" w:rsidRDefault="005660D0" w:rsidP="001624E8">
      <w:pPr>
        <w:spacing w:after="0" w:line="360" w:lineRule="auto"/>
        <w:jc w:val="both"/>
        <w:rPr>
          <w:rFonts w:ascii="Palatino Linotype" w:hAnsi="Palatino Linotype"/>
          <w:sz w:val="24"/>
          <w:szCs w:val="24"/>
        </w:rPr>
      </w:pPr>
    </w:p>
    <w:p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841673">
        <w:rPr>
          <w:rFonts w:ascii="Palatino Linotype" w:hAnsi="Palatino Linotype" w:cs="Arial"/>
          <w:sz w:val="24"/>
          <w:szCs w:val="24"/>
        </w:rPr>
        <w:t>veintidós</w:t>
      </w:r>
      <w:r w:rsidR="005660D0">
        <w:rPr>
          <w:rFonts w:ascii="Palatino Linotype" w:hAnsi="Palatino Linotype" w:cs="Arial"/>
          <w:sz w:val="24"/>
          <w:szCs w:val="24"/>
        </w:rPr>
        <w:t xml:space="preserve"> </w:t>
      </w:r>
      <w:r w:rsidR="00F51EAB">
        <w:rPr>
          <w:rFonts w:ascii="Palatino Linotype" w:hAnsi="Palatino Linotype" w:cs="Arial"/>
          <w:sz w:val="24"/>
          <w:szCs w:val="24"/>
        </w:rPr>
        <w:t>de marzo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26217" w:rsidRDefault="00D26217" w:rsidP="001624E8">
      <w:pPr>
        <w:spacing w:after="0" w:line="360" w:lineRule="auto"/>
        <w:jc w:val="center"/>
        <w:rPr>
          <w:rFonts w:ascii="Palatino Linotype" w:hAnsi="Palatino Linotype" w:cs="Arial"/>
          <w:b/>
          <w:sz w:val="24"/>
        </w:rPr>
      </w:pPr>
    </w:p>
    <w:p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96071A" w:rsidRDefault="00A45454" w:rsidP="001624E8">
      <w:pPr>
        <w:spacing w:after="0" w:line="360" w:lineRule="auto"/>
        <w:jc w:val="center"/>
        <w:rPr>
          <w:rFonts w:ascii="Palatino Linotype" w:hAnsi="Palatino Linotype" w:cs="Arial"/>
          <w:b/>
          <w:sz w:val="16"/>
        </w:rPr>
      </w:pPr>
    </w:p>
    <w:p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w:t>
      </w:r>
      <w:r w:rsidRPr="003B5B38">
        <w:rPr>
          <w:rFonts w:ascii="Palatino Linotype" w:hAnsi="Palatino Linotype" w:cs="Arial"/>
          <w:sz w:val="24"/>
          <w:szCs w:val="24"/>
        </w:rPr>
        <w:lastRenderedPageBreak/>
        <w:t>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EA0" w:rsidRDefault="00E55EA0" w:rsidP="001624E8">
      <w:pPr>
        <w:spacing w:after="0" w:line="360" w:lineRule="auto"/>
        <w:jc w:val="both"/>
        <w:rPr>
          <w:rFonts w:ascii="Palatino Linotype" w:hAnsi="Palatino Linotype" w:cs="Arial"/>
          <w:sz w:val="24"/>
          <w:szCs w:val="24"/>
        </w:rPr>
      </w:pPr>
    </w:p>
    <w:p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55EA0" w:rsidRDefault="00E55EA0" w:rsidP="001624E8">
      <w:pPr>
        <w:spacing w:after="0" w:line="360" w:lineRule="auto"/>
        <w:jc w:val="both"/>
        <w:rPr>
          <w:rFonts w:ascii="Palatino Linotype" w:hAnsi="Palatino Linotype" w:cs="Arial"/>
          <w:sz w:val="24"/>
          <w:szCs w:val="24"/>
        </w:rPr>
      </w:pPr>
    </w:p>
    <w:p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rsidR="0080185B" w:rsidRPr="00AD2A55" w:rsidRDefault="0080185B" w:rsidP="001624E8">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80185B" w:rsidRPr="00AD2A55" w:rsidRDefault="0080185B" w:rsidP="001624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0185B" w:rsidRPr="00405687" w:rsidRDefault="0080185B" w:rsidP="001624E8">
      <w:pPr>
        <w:autoSpaceDE w:val="0"/>
        <w:autoSpaceDN w:val="0"/>
        <w:adjustRightInd w:val="0"/>
        <w:spacing w:after="0" w:line="360" w:lineRule="auto"/>
        <w:jc w:val="both"/>
        <w:rPr>
          <w:rFonts w:ascii="Palatino Linotype" w:hAnsi="Palatino Linotype" w:cs="Arial"/>
          <w:sz w:val="18"/>
          <w:szCs w:val="24"/>
        </w:rPr>
      </w:pPr>
    </w:p>
    <w:p w:rsidR="0080185B" w:rsidRPr="00AD2A55" w:rsidRDefault="0080185B" w:rsidP="001624E8">
      <w:pPr>
        <w:spacing w:after="0" w:line="36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80185B" w:rsidRPr="00AD2A55" w:rsidRDefault="0080185B" w:rsidP="001624E8">
      <w:pPr>
        <w:pStyle w:val="Prrafodelista"/>
        <w:autoSpaceDE w:val="0"/>
        <w:autoSpaceDN w:val="0"/>
        <w:adjustRightInd w:val="0"/>
        <w:spacing w:line="360" w:lineRule="auto"/>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4"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AD2A55">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0185B" w:rsidRPr="00DB1035" w:rsidRDefault="0080185B" w:rsidP="001624E8">
      <w:pPr>
        <w:pStyle w:val="Prrafodelista"/>
        <w:autoSpaceDE w:val="0"/>
        <w:autoSpaceDN w:val="0"/>
        <w:adjustRightInd w:val="0"/>
        <w:spacing w:line="360" w:lineRule="auto"/>
        <w:ind w:left="0"/>
        <w:jc w:val="both"/>
        <w:rPr>
          <w:rFonts w:ascii="Palatino Linotype" w:hAnsi="Palatino Linotype" w:cs="Arial"/>
          <w:sz w:val="18"/>
        </w:rPr>
      </w:pPr>
    </w:p>
    <w:p w:rsidR="0080185B" w:rsidRPr="00AD2A55" w:rsidRDefault="0080185B" w:rsidP="001624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80185B" w:rsidRPr="00DB1035" w:rsidRDefault="0080185B" w:rsidP="001624E8">
      <w:pPr>
        <w:pStyle w:val="Prrafodelista"/>
        <w:autoSpaceDE w:val="0"/>
        <w:autoSpaceDN w:val="0"/>
        <w:adjustRightInd w:val="0"/>
        <w:spacing w:line="360" w:lineRule="auto"/>
        <w:ind w:left="0"/>
        <w:jc w:val="both"/>
        <w:rPr>
          <w:rFonts w:ascii="Palatino Linotype" w:hAnsi="Palatino Linotype" w:cs="Arial"/>
          <w:sz w:val="10"/>
        </w:rPr>
      </w:pP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80185B" w:rsidRPr="0096071A" w:rsidRDefault="0080185B" w:rsidP="001624E8">
      <w:pPr>
        <w:pStyle w:val="Prrafodelista"/>
        <w:autoSpaceDE w:val="0"/>
        <w:autoSpaceDN w:val="0"/>
        <w:adjustRightInd w:val="0"/>
        <w:spacing w:line="360" w:lineRule="auto"/>
        <w:ind w:right="850"/>
        <w:jc w:val="both"/>
        <w:rPr>
          <w:rFonts w:ascii="Palatino Linotype" w:hAnsi="Palatino Linotype" w:cs="Arial"/>
          <w:i/>
          <w:sz w:val="20"/>
        </w:rPr>
      </w:pPr>
    </w:p>
    <w:p w:rsidR="0080185B" w:rsidRDefault="0080185B" w:rsidP="001624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80185B" w:rsidRPr="0096071A" w:rsidRDefault="0080185B" w:rsidP="001624E8">
      <w:pPr>
        <w:autoSpaceDE w:val="0"/>
        <w:autoSpaceDN w:val="0"/>
        <w:adjustRightInd w:val="0"/>
        <w:spacing w:after="0" w:line="360" w:lineRule="auto"/>
        <w:jc w:val="both"/>
        <w:rPr>
          <w:rFonts w:ascii="Palatino Linotype" w:hAnsi="Palatino Linotype" w:cs="Arial"/>
          <w:sz w:val="12"/>
          <w:szCs w:val="24"/>
        </w:rPr>
      </w:pPr>
    </w:p>
    <w:p w:rsidR="0080185B"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80185B" w:rsidRPr="0096071A" w:rsidRDefault="0080185B" w:rsidP="001624E8">
      <w:pPr>
        <w:autoSpaceDE w:val="0"/>
        <w:autoSpaceDN w:val="0"/>
        <w:adjustRightInd w:val="0"/>
        <w:spacing w:after="0" w:line="360" w:lineRule="auto"/>
        <w:jc w:val="both"/>
        <w:rPr>
          <w:rFonts w:ascii="Palatino Linotype" w:hAnsi="Palatino Linotype" w:cs="Arial"/>
          <w:sz w:val="14"/>
          <w:szCs w:val="24"/>
        </w:rPr>
      </w:pPr>
    </w:p>
    <w:p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24F60" w:rsidRDefault="0080185B" w:rsidP="001624E8">
      <w:pPr>
        <w:pStyle w:val="Prrafodelista"/>
        <w:spacing w:line="360" w:lineRule="auto"/>
        <w:ind w:left="0"/>
        <w:jc w:val="both"/>
        <w:rPr>
          <w:rFonts w:ascii="Palatino Linotype" w:hAnsi="Palatino Linotype" w:cs="Arial"/>
          <w:sz w:val="18"/>
        </w:rPr>
      </w:pPr>
    </w:p>
    <w:p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la hoy Recurrente requirió, le fuese entregado por parte del Sujeto Obligado, a efecto de establecer la materia del presente asunto, ya que de ella deriva por un lado el procedimiento de acceso a la información ante el sujeto </w:t>
      </w:r>
      <w:r w:rsidRPr="00A64804">
        <w:rPr>
          <w:rFonts w:ascii="Palatino Linotype" w:hAnsi="Palatino Linotype"/>
          <w:sz w:val="24"/>
          <w:szCs w:val="24"/>
        </w:rPr>
        <w:lastRenderedPageBreak/>
        <w:t>obligado, y por otro lado la materia sobre la que versará el recurso de revisión ante este Órgano Garante.</w:t>
      </w:r>
    </w:p>
    <w:p w:rsidR="0080185B" w:rsidRPr="00A24F60" w:rsidRDefault="0080185B" w:rsidP="001624E8">
      <w:pPr>
        <w:tabs>
          <w:tab w:val="left" w:pos="709"/>
        </w:tabs>
        <w:spacing w:after="0" w:line="360" w:lineRule="auto"/>
        <w:jc w:val="both"/>
        <w:rPr>
          <w:rFonts w:ascii="Palatino Linotype" w:hAnsi="Palatino Linotype"/>
          <w:sz w:val="18"/>
          <w:szCs w:val="24"/>
        </w:rPr>
      </w:pPr>
    </w:p>
    <w:p w:rsidR="009752F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 xml:space="preserve">si la información remitida en respuesta colma el derecho de acceso a la información, así como </w:t>
      </w:r>
      <w:r w:rsidR="009752FA">
        <w:rPr>
          <w:rFonts w:ascii="Palatino Linotype" w:hAnsi="Palatino Linotype" w:cs="Arial"/>
        </w:rPr>
        <w:t>la información que remitió en informe justificado.</w:t>
      </w:r>
    </w:p>
    <w:p w:rsidR="009752FA" w:rsidRPr="00953B7B" w:rsidRDefault="009752FA" w:rsidP="001624E8">
      <w:pPr>
        <w:pStyle w:val="Prrafodelista"/>
        <w:autoSpaceDE w:val="0"/>
        <w:autoSpaceDN w:val="0"/>
        <w:adjustRightInd w:val="0"/>
        <w:spacing w:line="360" w:lineRule="auto"/>
        <w:ind w:left="0"/>
        <w:jc w:val="both"/>
        <w:rPr>
          <w:rFonts w:ascii="Palatino Linotype" w:hAnsi="Palatino Linotype" w:cs="Arial"/>
        </w:rPr>
      </w:pPr>
    </w:p>
    <w:p w:rsidR="00953B7B" w:rsidRPr="00953B7B" w:rsidRDefault="00953B7B" w:rsidP="001624E8">
      <w:pPr>
        <w:autoSpaceDE w:val="0"/>
        <w:autoSpaceDN w:val="0"/>
        <w:adjustRightInd w:val="0"/>
        <w:spacing w:after="0" w:line="360" w:lineRule="auto"/>
        <w:jc w:val="both"/>
        <w:rPr>
          <w:rFonts w:ascii="Palatino Linotype" w:hAnsi="Palatino Linotype"/>
          <w:color w:val="000000"/>
          <w:sz w:val="24"/>
          <w:szCs w:val="24"/>
        </w:rPr>
      </w:pPr>
      <w:r w:rsidRPr="00953B7B">
        <w:rPr>
          <w:rFonts w:ascii="Palatino Linotype" w:hAnsi="Palatino Linotype"/>
          <w:color w:val="000000"/>
          <w:sz w:val="24"/>
          <w:szCs w:val="24"/>
        </w:rPr>
        <w:t>Partamos de la solicitud de información, siendo los requerimientos los siguientes:</w:t>
      </w:r>
    </w:p>
    <w:p w:rsidR="00953B7B" w:rsidRDefault="00953B7B" w:rsidP="001624E8">
      <w:pPr>
        <w:autoSpaceDE w:val="0"/>
        <w:autoSpaceDN w:val="0"/>
        <w:adjustRightInd w:val="0"/>
        <w:spacing w:after="0" w:line="360" w:lineRule="auto"/>
        <w:jc w:val="both"/>
        <w:rPr>
          <w:rFonts w:ascii="Palatino Linotype" w:hAnsi="Palatino Linotype"/>
          <w:i/>
          <w:color w:val="000000"/>
          <w:sz w:val="24"/>
          <w:szCs w:val="24"/>
        </w:rPr>
      </w:pPr>
    </w:p>
    <w:p w:rsidR="00F914C6" w:rsidRDefault="00953B7B" w:rsidP="001624E8">
      <w:pPr>
        <w:autoSpaceDE w:val="0"/>
        <w:autoSpaceDN w:val="0"/>
        <w:adjustRightInd w:val="0"/>
        <w:spacing w:after="0" w:line="360" w:lineRule="auto"/>
        <w:jc w:val="both"/>
        <w:rPr>
          <w:rFonts w:ascii="Palatino Linotype" w:hAnsi="Palatino Linotype"/>
          <w:i/>
          <w:color w:val="000000"/>
        </w:rPr>
      </w:pPr>
      <w:r w:rsidRPr="00891CFC">
        <w:rPr>
          <w:rFonts w:ascii="Palatino Linotype" w:hAnsi="Palatino Linotype"/>
          <w:i/>
          <w:color w:val="000000"/>
        </w:rPr>
        <w:t xml:space="preserve">Listado de servidores públicos que laboran en áreas administrativas y que causaron alta o baja en el hospital regional de alta especialidad a partir del día primero de junio de 2020 y hasta el 31 de enero de 2021 que incluya nombre completo, unidad de adscripción, fecha de alta o baja, y nivel educativo. De los servidores públicos antes mencionados, proporcionar comprobantes de pago, catálogo de conceptos de las claves de percepciones y deducciones, y avisos de movimientos que emite </w:t>
      </w:r>
      <w:proofErr w:type="spellStart"/>
      <w:r w:rsidRPr="00891CFC">
        <w:rPr>
          <w:rFonts w:ascii="Palatino Linotype" w:hAnsi="Palatino Linotype"/>
          <w:i/>
          <w:color w:val="000000"/>
        </w:rPr>
        <w:t>issemym</w:t>
      </w:r>
      <w:proofErr w:type="spellEnd"/>
      <w:r w:rsidRPr="00891CFC">
        <w:rPr>
          <w:rFonts w:ascii="Palatino Linotype" w:hAnsi="Palatino Linotype"/>
          <w:i/>
          <w:color w:val="000000"/>
        </w:rPr>
        <w:t>, por cada persona. Además constancias de estudios de cada uno de ellos (</w:t>
      </w:r>
      <w:proofErr w:type="spellStart"/>
      <w:r w:rsidRPr="00891CFC">
        <w:rPr>
          <w:rFonts w:ascii="Palatino Linotype" w:hAnsi="Palatino Linotype"/>
          <w:i/>
          <w:color w:val="000000"/>
        </w:rPr>
        <w:t>titulo</w:t>
      </w:r>
      <w:proofErr w:type="spellEnd"/>
      <w:r w:rsidRPr="00891CFC">
        <w:rPr>
          <w:rFonts w:ascii="Palatino Linotype" w:hAnsi="Palatino Linotype"/>
          <w:i/>
          <w:color w:val="000000"/>
        </w:rPr>
        <w:t>, cédula, certificado u otro), por cada nivel de estudios registrado</w:t>
      </w:r>
      <w:r w:rsidR="00FE1867">
        <w:rPr>
          <w:rFonts w:ascii="Palatino Linotype" w:hAnsi="Palatino Linotype"/>
          <w:i/>
          <w:color w:val="000000"/>
        </w:rPr>
        <w:t>.</w:t>
      </w:r>
    </w:p>
    <w:p w:rsidR="00FE1867" w:rsidRDefault="00FE1867" w:rsidP="001624E8">
      <w:pPr>
        <w:autoSpaceDE w:val="0"/>
        <w:autoSpaceDN w:val="0"/>
        <w:adjustRightInd w:val="0"/>
        <w:spacing w:after="0" w:line="360" w:lineRule="auto"/>
        <w:jc w:val="both"/>
        <w:rPr>
          <w:rFonts w:ascii="Palatino Linotype" w:hAnsi="Palatino Linotype" w:cs="Arial"/>
        </w:rPr>
      </w:pPr>
    </w:p>
    <w:p w:rsidR="00FE1867" w:rsidRDefault="0076215F" w:rsidP="00FE1867">
      <w:pPr>
        <w:autoSpaceDE w:val="0"/>
        <w:autoSpaceDN w:val="0"/>
        <w:adjustRightInd w:val="0"/>
        <w:spacing w:after="0" w:line="360" w:lineRule="auto"/>
        <w:jc w:val="both"/>
        <w:rPr>
          <w:rFonts w:ascii="Palatino Linotype" w:eastAsia="Times New Roman" w:hAnsi="Palatino Linotype" w:cs="Times New Roman"/>
          <w:sz w:val="24"/>
          <w:szCs w:val="24"/>
          <w:lang w:eastAsia="es-MX"/>
        </w:rPr>
      </w:pPr>
      <w:r w:rsidRPr="00533D56">
        <w:rPr>
          <w:rFonts w:ascii="Palatino Linotype" w:hAnsi="Palatino Linotype" w:cs="Arial"/>
          <w:sz w:val="24"/>
          <w:szCs w:val="24"/>
        </w:rPr>
        <w:t xml:space="preserve">Como respuesta el sujeto obligado </w:t>
      </w:r>
      <w:r w:rsidR="00FF47CD">
        <w:rPr>
          <w:rFonts w:ascii="Palatino Linotype" w:hAnsi="Palatino Linotype" w:cs="Arial"/>
          <w:sz w:val="24"/>
          <w:szCs w:val="24"/>
        </w:rPr>
        <w:t>remitió</w:t>
      </w:r>
      <w:r w:rsidR="00FE1867">
        <w:rPr>
          <w:rFonts w:ascii="Palatino Linotype" w:hAnsi="Palatino Linotype" w:cs="Arial"/>
          <w:sz w:val="24"/>
          <w:szCs w:val="24"/>
        </w:rPr>
        <w:t xml:space="preserve"> </w:t>
      </w:r>
      <w:r w:rsidR="00FE1867" w:rsidRPr="00740DFE">
        <w:rPr>
          <w:rFonts w:ascii="Palatino Linotype" w:hAnsi="Palatino Linotype" w:cs="Arial"/>
          <w:sz w:val="24"/>
          <w:szCs w:val="24"/>
        </w:rPr>
        <w:t xml:space="preserve">diversa información, </w:t>
      </w:r>
      <w:r w:rsidR="00FE1867" w:rsidRPr="00740DFE">
        <w:rPr>
          <w:rFonts w:ascii="Palatino Linotype" w:hAnsi="Palatino Linotype"/>
          <w:sz w:val="24"/>
          <w:szCs w:val="24"/>
          <w:lang w:eastAsia="es-MX"/>
        </w:rPr>
        <w:t xml:space="preserve">Listado de los servidores públicos que laboran en las áreas administrativas que causaron </w:t>
      </w:r>
      <w:r w:rsidR="00FE1867" w:rsidRPr="00740DFE">
        <w:rPr>
          <w:rFonts w:ascii="Palatino Linotype" w:hAnsi="Palatino Linotype"/>
          <w:b/>
          <w:sz w:val="24"/>
          <w:szCs w:val="24"/>
          <w:lang w:eastAsia="es-MX"/>
        </w:rPr>
        <w:t>alta</w:t>
      </w:r>
      <w:r w:rsidR="00FE1867" w:rsidRPr="00740DFE">
        <w:rPr>
          <w:rFonts w:ascii="Palatino Linotype" w:hAnsi="Palatino Linotype"/>
          <w:sz w:val="24"/>
          <w:szCs w:val="24"/>
          <w:lang w:eastAsia="es-MX"/>
        </w:rPr>
        <w:t xml:space="preserve"> en el periodo del 1 de junio de 2020 al 31 de enero de 2021, Títulos Universitarios, constancias de estudios, cedulas profesionales, de diversos servidores públicos, comprobante de pago de los siguientes servidores públicos, en versión pública de diversos periodos y de diversos servidores públicos que van desde la primera quincena de junio del ejercicio 2020 y hasta la segunda quincena de enero de 2021) y </w:t>
      </w:r>
      <w:r w:rsidR="00FE1867" w:rsidRPr="00740DFE">
        <w:rPr>
          <w:rFonts w:ascii="Palatino Linotype" w:eastAsia="Times New Roman" w:hAnsi="Palatino Linotype" w:cs="Times New Roman"/>
          <w:sz w:val="24"/>
          <w:szCs w:val="24"/>
          <w:lang w:eastAsia="es-MX"/>
        </w:rPr>
        <w:lastRenderedPageBreak/>
        <w:t xml:space="preserve">Avisos de movimiento de Alta ante el </w:t>
      </w:r>
      <w:proofErr w:type="spellStart"/>
      <w:r w:rsidR="00FE1867" w:rsidRPr="00740DFE">
        <w:rPr>
          <w:rFonts w:ascii="Palatino Linotype" w:eastAsia="Times New Roman" w:hAnsi="Palatino Linotype" w:cs="Times New Roman"/>
          <w:sz w:val="24"/>
          <w:szCs w:val="24"/>
          <w:lang w:eastAsia="es-MX"/>
        </w:rPr>
        <w:t>ISSEMyM</w:t>
      </w:r>
      <w:proofErr w:type="spellEnd"/>
      <w:r w:rsidR="00FE1867" w:rsidRPr="00740DFE">
        <w:rPr>
          <w:rFonts w:ascii="Palatino Linotype" w:eastAsia="Times New Roman" w:hAnsi="Palatino Linotype" w:cs="Times New Roman"/>
          <w:sz w:val="24"/>
          <w:szCs w:val="24"/>
          <w:lang w:eastAsia="es-MX"/>
        </w:rPr>
        <w:t xml:space="preserve"> de diversos servidores públicos, en </w:t>
      </w:r>
      <w:r w:rsidR="00FF47CD" w:rsidRPr="00740DFE">
        <w:rPr>
          <w:rFonts w:ascii="Palatino Linotype" w:eastAsia="Times New Roman" w:hAnsi="Palatino Linotype" w:cs="Times New Roman"/>
          <w:sz w:val="24"/>
          <w:szCs w:val="24"/>
          <w:lang w:eastAsia="es-MX"/>
        </w:rPr>
        <w:t>versión pública, adjuntando el acuerdo</w:t>
      </w:r>
      <w:r w:rsidR="00FF47CD">
        <w:rPr>
          <w:rFonts w:ascii="Palatino Linotype" w:eastAsia="Times New Roman" w:hAnsi="Palatino Linotype" w:cs="Times New Roman"/>
          <w:sz w:val="24"/>
          <w:szCs w:val="24"/>
          <w:lang w:eastAsia="es-MX"/>
        </w:rPr>
        <w:t xml:space="preserve"> de clasificación correspondiente.</w:t>
      </w:r>
    </w:p>
    <w:p w:rsidR="00740DFE" w:rsidRDefault="00740DFE" w:rsidP="00FE1867">
      <w:pPr>
        <w:autoSpaceDE w:val="0"/>
        <w:autoSpaceDN w:val="0"/>
        <w:adjustRightInd w:val="0"/>
        <w:spacing w:after="0" w:line="360" w:lineRule="auto"/>
        <w:jc w:val="both"/>
        <w:rPr>
          <w:rFonts w:ascii="Palatino Linotype" w:eastAsia="Times New Roman" w:hAnsi="Palatino Linotype" w:cs="Times New Roman"/>
          <w:sz w:val="24"/>
          <w:szCs w:val="24"/>
          <w:lang w:eastAsia="es-MX"/>
        </w:rPr>
      </w:pPr>
    </w:p>
    <w:p w:rsidR="00FE1867" w:rsidRDefault="00FF47CD" w:rsidP="00FF47CD">
      <w:pPr>
        <w:autoSpaceDE w:val="0"/>
        <w:autoSpaceDN w:val="0"/>
        <w:adjustRightInd w:val="0"/>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En relación a la documentación que se remitió de los servidores públicos que generaron </w:t>
      </w:r>
      <w:r w:rsidRPr="00FF47CD">
        <w:rPr>
          <w:rFonts w:ascii="Palatino Linotype" w:eastAsia="Times New Roman" w:hAnsi="Palatino Linotype" w:cs="Times New Roman"/>
          <w:b/>
          <w:sz w:val="24"/>
          <w:szCs w:val="24"/>
          <w:lang w:eastAsia="es-MX"/>
        </w:rPr>
        <w:t>baja</w:t>
      </w:r>
      <w:r>
        <w:rPr>
          <w:rFonts w:ascii="Palatino Linotype" w:eastAsia="Times New Roman" w:hAnsi="Palatino Linotype" w:cs="Times New Roman"/>
          <w:sz w:val="24"/>
          <w:szCs w:val="24"/>
          <w:lang w:eastAsia="es-MX"/>
        </w:rPr>
        <w:t xml:space="preserve"> se remitió un </w:t>
      </w:r>
      <w:r w:rsidR="00FE1867">
        <w:rPr>
          <w:rFonts w:ascii="Palatino Linotype" w:eastAsia="Times New Roman" w:hAnsi="Palatino Linotype" w:cs="Times New Roman"/>
          <w:sz w:val="24"/>
          <w:szCs w:val="24"/>
          <w:lang w:eastAsia="es-MX"/>
        </w:rPr>
        <w:t xml:space="preserve">listado de servidores que laboran en las áreas administrativas que causaron baja en el periodo del 1º de junio de 2020 al 31 de enero de 2021, así como diversa información relativa a comprobantes de estudios, títulos Universitarios, Cedulas Profesionales, comprobante de pago y aviso de movimientos de baja por el periodo solicitado, cabe señalar que la documentación se entregó en versión pública (testando diversos datos en lo que nos encontramos el </w:t>
      </w:r>
      <w:r w:rsidR="00FE1867" w:rsidRPr="00FF47CD">
        <w:rPr>
          <w:rFonts w:ascii="Palatino Linotype" w:eastAsia="Times New Roman" w:hAnsi="Palatino Linotype" w:cs="Times New Roman"/>
          <w:b/>
          <w:sz w:val="24"/>
          <w:szCs w:val="24"/>
          <w:lang w:eastAsia="es-MX"/>
        </w:rPr>
        <w:t xml:space="preserve">nombre y fotografía </w:t>
      </w:r>
      <w:r w:rsidR="00FE1867">
        <w:rPr>
          <w:rFonts w:ascii="Palatino Linotype" w:eastAsia="Times New Roman" w:hAnsi="Palatino Linotype" w:cs="Times New Roman"/>
          <w:sz w:val="24"/>
          <w:szCs w:val="24"/>
          <w:lang w:eastAsia="es-MX"/>
        </w:rPr>
        <w:t>de las personas en referencia)</w:t>
      </w:r>
    </w:p>
    <w:p w:rsidR="00FE1867" w:rsidRDefault="00FE1867" w:rsidP="001624E8">
      <w:pPr>
        <w:autoSpaceDE w:val="0"/>
        <w:autoSpaceDN w:val="0"/>
        <w:adjustRightInd w:val="0"/>
        <w:spacing w:after="0" w:line="360" w:lineRule="auto"/>
        <w:jc w:val="both"/>
        <w:rPr>
          <w:rFonts w:ascii="Palatino Linotype" w:hAnsi="Palatino Linotype" w:cs="Arial"/>
          <w:sz w:val="24"/>
          <w:szCs w:val="24"/>
        </w:rPr>
      </w:pPr>
    </w:p>
    <w:p w:rsidR="00740DFE" w:rsidRDefault="00FF47CD" w:rsidP="008B70C4">
      <w:pPr>
        <w:autoSpaceDE w:val="0"/>
        <w:autoSpaceDN w:val="0"/>
        <w:adjustRightInd w:val="0"/>
        <w:spacing w:after="0" w:line="360" w:lineRule="auto"/>
        <w:jc w:val="both"/>
        <w:rPr>
          <w:rFonts w:ascii="Palatino Linotype" w:hAnsi="Palatino Linotype"/>
          <w:i/>
          <w:color w:val="000000"/>
          <w:sz w:val="24"/>
          <w:szCs w:val="24"/>
        </w:rPr>
      </w:pPr>
      <w:r>
        <w:rPr>
          <w:rFonts w:ascii="Palatino Linotype" w:hAnsi="Palatino Linotype" w:cs="Arial"/>
          <w:sz w:val="24"/>
          <w:szCs w:val="24"/>
        </w:rPr>
        <w:t>Ahora bien, los motivos de inconformidad versan en lo siguiente: “</w:t>
      </w:r>
      <w:r w:rsidRPr="00841673">
        <w:rPr>
          <w:rFonts w:ascii="Palatino Linotype" w:hAnsi="Palatino Linotype"/>
          <w:i/>
          <w:color w:val="000000"/>
          <w:sz w:val="24"/>
          <w:szCs w:val="24"/>
        </w:rPr>
        <w:t>Borraron los nombres de los servidores públicos y no puedo conocer q</w:t>
      </w:r>
      <w:r w:rsidR="00EF0F59">
        <w:rPr>
          <w:rFonts w:ascii="Palatino Linotype" w:hAnsi="Palatino Linotype"/>
          <w:i/>
          <w:color w:val="000000"/>
          <w:sz w:val="24"/>
          <w:szCs w:val="24"/>
        </w:rPr>
        <w:t>u</w:t>
      </w:r>
      <w:r w:rsidRPr="00841673">
        <w:rPr>
          <w:rFonts w:ascii="Palatino Linotype" w:hAnsi="Palatino Linotype"/>
          <w:i/>
          <w:color w:val="000000"/>
          <w:sz w:val="24"/>
          <w:szCs w:val="24"/>
        </w:rPr>
        <w:t>e personas se trata</w:t>
      </w:r>
      <w:proofErr w:type="gramStart"/>
      <w:r>
        <w:rPr>
          <w:rFonts w:ascii="Palatino Linotype" w:hAnsi="Palatino Linotype"/>
          <w:i/>
          <w:color w:val="000000"/>
          <w:sz w:val="24"/>
          <w:szCs w:val="24"/>
        </w:rPr>
        <w:t>”(</w:t>
      </w:r>
      <w:proofErr w:type="gramEnd"/>
      <w:r>
        <w:rPr>
          <w:rFonts w:ascii="Palatino Linotype" w:hAnsi="Palatino Linotype"/>
          <w:i/>
          <w:color w:val="000000"/>
          <w:sz w:val="24"/>
          <w:szCs w:val="24"/>
        </w:rPr>
        <w:t xml:space="preserve">Sic). </w:t>
      </w:r>
    </w:p>
    <w:p w:rsidR="00740DFE" w:rsidRDefault="00740DFE" w:rsidP="008B70C4">
      <w:pPr>
        <w:autoSpaceDE w:val="0"/>
        <w:autoSpaceDN w:val="0"/>
        <w:adjustRightInd w:val="0"/>
        <w:spacing w:after="0" w:line="360" w:lineRule="auto"/>
        <w:jc w:val="both"/>
        <w:rPr>
          <w:rFonts w:ascii="Palatino Linotype" w:hAnsi="Palatino Linotype"/>
          <w:i/>
          <w:color w:val="000000"/>
          <w:sz w:val="24"/>
          <w:szCs w:val="24"/>
        </w:rPr>
      </w:pPr>
    </w:p>
    <w:p w:rsidR="00740DFE" w:rsidRPr="0076064B" w:rsidRDefault="00740DFE" w:rsidP="00740DFE">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Bajo los argumentos </w:t>
      </w:r>
      <w:r w:rsidRPr="0076064B">
        <w:rPr>
          <w:rFonts w:ascii="Palatino Linotype" w:hAnsi="Palatino Linotype"/>
          <w:color w:val="000000"/>
          <w:sz w:val="24"/>
          <w:szCs w:val="24"/>
        </w:rPr>
        <w:t xml:space="preserve">anteriores </w:t>
      </w:r>
      <w:r w:rsidRPr="0076064B">
        <w:rPr>
          <w:rFonts w:ascii="Palatino Linotype" w:hAnsi="Palatino Linotype"/>
          <w:sz w:val="24"/>
          <w:szCs w:val="24"/>
          <w:lang w:eastAsia="es-MX"/>
        </w:rPr>
        <w:t xml:space="preserve">debemos señalar </w:t>
      </w:r>
      <w:r w:rsidR="0076064B" w:rsidRPr="0076064B">
        <w:rPr>
          <w:rFonts w:ascii="Palatino Linotype" w:hAnsi="Palatino Linotype"/>
          <w:sz w:val="24"/>
          <w:szCs w:val="24"/>
          <w:lang w:eastAsia="es-MX"/>
        </w:rPr>
        <w:t>a la información que se refiere el particular es a la documentación que sustentan las bajas, ya que es en donde se testo los nombres de los servidores públicos, ya que los documentos que sustentan las altas, si se encuentra los nombres</w:t>
      </w:r>
      <w:r w:rsidRPr="0076064B">
        <w:rPr>
          <w:rFonts w:ascii="Palatino Linotype" w:hAnsi="Palatino Linotype"/>
          <w:sz w:val="24"/>
          <w:szCs w:val="24"/>
          <w:lang w:eastAsia="es-MX"/>
        </w:rPr>
        <w:t>, por lo tanto d</w:t>
      </w:r>
      <w:r w:rsidRPr="0076064B">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Pr="0076064B">
        <w:rPr>
          <w:rFonts w:ascii="Palatino Linotype" w:hAnsi="Palatino Linotype"/>
          <w:sz w:val="24"/>
          <w:szCs w:val="24"/>
        </w:rPr>
        <w:t xml:space="preserve">Lo anterior es así, debido a que cuando el Recurrente no expresa razón o motivo de inconformidad en contra de todos los rubros de la respuesta que pudieran </w:t>
      </w:r>
      <w:r w:rsidRPr="0076064B">
        <w:rPr>
          <w:rFonts w:ascii="Palatino Linotype" w:hAnsi="Palatino Linotype"/>
          <w:sz w:val="24"/>
          <w:szCs w:val="24"/>
        </w:rPr>
        <w:lastRenderedPageBreak/>
        <w:t>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740DFE" w:rsidRPr="0076064B" w:rsidRDefault="00740DFE" w:rsidP="00740DFE">
      <w:pPr>
        <w:spacing w:before="100" w:beforeAutospacing="1" w:after="100" w:afterAutospacing="1" w:line="276" w:lineRule="auto"/>
        <w:ind w:left="851" w:right="900"/>
        <w:jc w:val="both"/>
        <w:rPr>
          <w:rFonts w:ascii="Palatino Linotype" w:hAnsi="Palatino Linotype"/>
        </w:rPr>
      </w:pPr>
      <w:r w:rsidRPr="0076064B">
        <w:rPr>
          <w:rFonts w:ascii="Palatino Linotype" w:hAnsi="Palatino Linotype"/>
          <w:sz w:val="24"/>
          <w:szCs w:val="24"/>
        </w:rPr>
        <w:t>“</w:t>
      </w:r>
      <w:r w:rsidRPr="0076064B">
        <w:rPr>
          <w:rFonts w:ascii="Palatino Linotype" w:hAnsi="Palatino Linotype"/>
          <w:b/>
          <w:i/>
        </w:rPr>
        <w:t>REVISIÓN EN AMPARO. LOS RESOLUTIVOS NO COMBATIDOS DEBEN DECLARARSE FIRMES</w:t>
      </w:r>
      <w:r w:rsidRPr="0076064B">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40DFE" w:rsidRPr="0076064B" w:rsidRDefault="00740DFE" w:rsidP="00740DFE">
      <w:pPr>
        <w:spacing w:before="100" w:beforeAutospacing="1" w:after="100" w:afterAutospacing="1" w:line="360" w:lineRule="auto"/>
        <w:jc w:val="both"/>
        <w:rPr>
          <w:rFonts w:ascii="Palatino Linotype" w:hAnsi="Palatino Linotype"/>
          <w:sz w:val="24"/>
          <w:szCs w:val="24"/>
        </w:rPr>
      </w:pPr>
      <w:r w:rsidRPr="0076064B">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740DFE" w:rsidRPr="00D7408A" w:rsidRDefault="00740DFE" w:rsidP="00740DFE">
      <w:pPr>
        <w:spacing w:line="276" w:lineRule="auto"/>
        <w:ind w:left="851" w:right="900"/>
        <w:jc w:val="both"/>
        <w:rPr>
          <w:rFonts w:ascii="Palatino Linotype" w:hAnsi="Palatino Linotype"/>
          <w:i/>
        </w:rPr>
      </w:pPr>
      <w:r w:rsidRPr="0076064B">
        <w:rPr>
          <w:rFonts w:ascii="Palatino Linotype" w:hAnsi="Palatino Linotype"/>
          <w:i/>
        </w:rPr>
        <w:t>“</w:t>
      </w:r>
      <w:r w:rsidRPr="0076064B">
        <w:rPr>
          <w:rFonts w:ascii="Palatino Linotype" w:hAnsi="Palatino Linotype"/>
          <w:b/>
          <w:i/>
        </w:rPr>
        <w:t>ACTOS CONSENTIDOS. SON LOS QUE NO SE IMPUGNAN MEDIANTE EL RECURSO IDÓNEO</w:t>
      </w:r>
      <w:r w:rsidRPr="0076064B">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76064B">
        <w:rPr>
          <w:rFonts w:ascii="Palatino Linotype" w:hAnsi="Palatino Linotype"/>
          <w:i/>
        </w:rPr>
        <w:lastRenderedPageBreak/>
        <w:t>modificar el acto reclamado en amparo, lo que significa consentimiento del mismo por falta de impugnación eficaz.”</w:t>
      </w:r>
    </w:p>
    <w:p w:rsidR="00740DFE" w:rsidRDefault="0076064B" w:rsidP="0076064B">
      <w:pPr>
        <w:spacing w:after="0" w:line="360" w:lineRule="auto"/>
        <w:ind w:right="141"/>
        <w:jc w:val="both"/>
        <w:rPr>
          <w:rFonts w:ascii="Palatino Linotype" w:hAnsi="Palatino Linotype"/>
          <w:color w:val="000000"/>
          <w:sz w:val="24"/>
          <w:szCs w:val="24"/>
        </w:rPr>
      </w:pPr>
      <w:r>
        <w:rPr>
          <w:rFonts w:ascii="Palatino Linotype" w:hAnsi="Palatino Linotype"/>
          <w:sz w:val="24"/>
          <w:szCs w:val="24"/>
          <w:lang w:eastAsia="es-MX"/>
        </w:rPr>
        <w:t>Tan es así que el informe justificado el Sujeto Obligado únicamente remite lo relativo a la documentación que sustenta las bajas</w:t>
      </w:r>
      <w:r w:rsidR="005A7145">
        <w:rPr>
          <w:rFonts w:ascii="Palatino Linotype" w:hAnsi="Palatino Linotype"/>
          <w:sz w:val="24"/>
          <w:szCs w:val="24"/>
          <w:lang w:eastAsia="es-MX"/>
        </w:rPr>
        <w:t xml:space="preserve"> de personal</w:t>
      </w:r>
      <w:r>
        <w:rPr>
          <w:rFonts w:ascii="Palatino Linotype" w:hAnsi="Palatino Linotype"/>
          <w:sz w:val="24"/>
          <w:szCs w:val="24"/>
          <w:lang w:eastAsia="es-MX"/>
        </w:rPr>
        <w:t>.</w:t>
      </w:r>
    </w:p>
    <w:p w:rsidR="00740DFE" w:rsidRPr="00740DFE" w:rsidRDefault="00740DFE" w:rsidP="008B70C4">
      <w:pPr>
        <w:autoSpaceDE w:val="0"/>
        <w:autoSpaceDN w:val="0"/>
        <w:adjustRightInd w:val="0"/>
        <w:spacing w:after="0" w:line="360" w:lineRule="auto"/>
        <w:jc w:val="both"/>
        <w:rPr>
          <w:rFonts w:ascii="Palatino Linotype" w:hAnsi="Palatino Linotype"/>
          <w:color w:val="000000"/>
          <w:sz w:val="24"/>
          <w:szCs w:val="24"/>
        </w:rPr>
      </w:pPr>
    </w:p>
    <w:p w:rsidR="008B70C4" w:rsidRDefault="00FF47CD" w:rsidP="008B70C4">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olor w:val="000000"/>
          <w:sz w:val="24"/>
          <w:szCs w:val="24"/>
        </w:rPr>
        <w:t xml:space="preserve">Posterior a ello, el Sujeto Obligado mediante la etapa de manifestaciones </w:t>
      </w:r>
      <w:r w:rsidR="00EF0F59">
        <w:rPr>
          <w:rFonts w:ascii="Palatino Linotype" w:hAnsi="Palatino Linotype"/>
          <w:color w:val="000000"/>
          <w:sz w:val="24"/>
          <w:szCs w:val="24"/>
        </w:rPr>
        <w:t>remitió</w:t>
      </w:r>
      <w:r>
        <w:rPr>
          <w:rFonts w:ascii="Palatino Linotype" w:hAnsi="Palatino Linotype"/>
          <w:color w:val="000000"/>
          <w:sz w:val="24"/>
          <w:szCs w:val="24"/>
        </w:rPr>
        <w:t xml:space="preserve"> un informe justificado en donde </w:t>
      </w:r>
      <w:r w:rsidR="0076064B">
        <w:rPr>
          <w:rFonts w:ascii="Palatino Linotype" w:hAnsi="Palatino Linotype"/>
          <w:color w:val="000000"/>
          <w:sz w:val="24"/>
          <w:szCs w:val="24"/>
        </w:rPr>
        <w:t>adjunta</w:t>
      </w:r>
      <w:r w:rsidR="00A35D0A">
        <w:rPr>
          <w:rFonts w:ascii="Palatino Linotype" w:hAnsi="Palatino Linotype"/>
          <w:color w:val="000000"/>
          <w:sz w:val="24"/>
          <w:szCs w:val="24"/>
        </w:rPr>
        <w:t xml:space="preserve"> </w:t>
      </w:r>
      <w:r w:rsidR="00690405">
        <w:rPr>
          <w:rFonts w:ascii="Palatino Linotype" w:hAnsi="Palatino Linotype"/>
          <w:color w:val="000000"/>
          <w:sz w:val="24"/>
          <w:szCs w:val="24"/>
        </w:rPr>
        <w:t xml:space="preserve">la misma documentación, en donde dejo los nombres de los servidores públicos que causaron baja en el periodo solicitado, sin embargo estos no fueron puestos a la vista del particular, pues en la </w:t>
      </w:r>
      <w:r w:rsidR="00444E7F">
        <w:rPr>
          <w:rFonts w:ascii="Palatino Linotype" w:hAnsi="Palatino Linotype"/>
          <w:color w:val="000000"/>
          <w:sz w:val="24"/>
          <w:szCs w:val="24"/>
        </w:rPr>
        <w:t>página</w:t>
      </w:r>
      <w:r w:rsidR="00690405">
        <w:rPr>
          <w:rFonts w:ascii="Palatino Linotype" w:hAnsi="Palatino Linotype"/>
          <w:color w:val="000000"/>
          <w:sz w:val="24"/>
          <w:szCs w:val="24"/>
        </w:rPr>
        <w:t xml:space="preserve"> </w:t>
      </w:r>
      <w:r w:rsidR="000F114E">
        <w:rPr>
          <w:rFonts w:ascii="Palatino Linotype" w:hAnsi="Palatino Linotype"/>
          <w:color w:val="000000"/>
          <w:sz w:val="24"/>
          <w:szCs w:val="24"/>
        </w:rPr>
        <w:t xml:space="preserve">19 del archivo denominado </w:t>
      </w:r>
      <w:r w:rsidR="000F114E" w:rsidRPr="000F114E">
        <w:rPr>
          <w:rFonts w:ascii="Palatino Linotype" w:hAnsi="Palatino Linotype"/>
          <w:b/>
          <w:color w:val="000000"/>
          <w:sz w:val="24"/>
          <w:szCs w:val="24"/>
        </w:rPr>
        <w:t>titulo.pdf</w:t>
      </w:r>
      <w:r w:rsidR="008B70C4">
        <w:rPr>
          <w:rFonts w:ascii="Palatino Linotype" w:hAnsi="Palatino Linotype"/>
          <w:b/>
          <w:color w:val="000000"/>
          <w:sz w:val="24"/>
          <w:szCs w:val="24"/>
        </w:rPr>
        <w:t xml:space="preserve">, </w:t>
      </w:r>
      <w:r w:rsidR="008B70C4">
        <w:rPr>
          <w:rFonts w:ascii="Palatino Linotype" w:hAnsi="Palatino Linotype"/>
          <w:color w:val="000000"/>
          <w:sz w:val="24"/>
          <w:szCs w:val="24"/>
        </w:rPr>
        <w:t>se encuentra</w:t>
      </w:r>
      <w:r w:rsidR="005A7145">
        <w:rPr>
          <w:rFonts w:ascii="Palatino Linotype" w:hAnsi="Palatino Linotype"/>
          <w:color w:val="000000"/>
          <w:sz w:val="24"/>
          <w:szCs w:val="24"/>
        </w:rPr>
        <w:t xml:space="preserve"> un RFC, de un servidor público, información </w:t>
      </w:r>
      <w:r w:rsidR="008B70C4">
        <w:rPr>
          <w:rFonts w:ascii="Palatino Linotype" w:hAnsi="Palatino Linotype"/>
          <w:color w:val="000000"/>
          <w:sz w:val="24"/>
          <w:szCs w:val="24"/>
        </w:rPr>
        <w:t>susceptible de ser testad</w:t>
      </w:r>
      <w:r w:rsidR="005A7145">
        <w:rPr>
          <w:rFonts w:ascii="Palatino Linotype" w:hAnsi="Palatino Linotype"/>
          <w:color w:val="000000"/>
          <w:sz w:val="24"/>
          <w:szCs w:val="24"/>
        </w:rPr>
        <w:t>a</w:t>
      </w:r>
      <w:r w:rsidR="008B70C4">
        <w:rPr>
          <w:rFonts w:ascii="Palatino Linotype" w:hAnsi="Palatino Linotype"/>
          <w:color w:val="000000"/>
          <w:sz w:val="24"/>
          <w:szCs w:val="24"/>
        </w:rPr>
        <w:t xml:space="preserve">, </w:t>
      </w:r>
      <w:r w:rsidR="005A7145">
        <w:rPr>
          <w:rFonts w:ascii="Palatino Linotype" w:hAnsi="Palatino Linotype"/>
          <w:color w:val="000000"/>
          <w:sz w:val="24"/>
          <w:szCs w:val="24"/>
        </w:rPr>
        <w:t>no dando el debido tratamiento de los datos, estos,</w:t>
      </w:r>
      <w:r w:rsidR="008B70C4">
        <w:rPr>
          <w:rFonts w:ascii="Palatino Linotype" w:hAnsi="Palatino Linotype"/>
          <w:color w:val="000000"/>
          <w:sz w:val="24"/>
          <w:szCs w:val="24"/>
        </w:rPr>
        <w:t xml:space="preserve"> se dejaron a la vista, razón por la cual</w:t>
      </w:r>
      <w:r w:rsidR="008B70C4">
        <w:rPr>
          <w:rFonts w:ascii="Palatino Linotype" w:hAnsi="Palatino Linotype"/>
          <w:sz w:val="24"/>
          <w:szCs w:val="24"/>
        </w:rPr>
        <w:t xml:space="preserve"> se considera que se están</w:t>
      </w:r>
      <w:r w:rsidR="008B70C4" w:rsidRPr="004C516C">
        <w:rPr>
          <w:rFonts w:ascii="Palatino Linotype" w:hAnsi="Palatino Linotype"/>
          <w:sz w:val="24"/>
          <w:szCs w:val="24"/>
        </w:rPr>
        <w:t xml:space="preserve"> vulnerando el derecho de </w:t>
      </w:r>
      <w:r w:rsidR="008B70C4">
        <w:rPr>
          <w:rFonts w:ascii="Palatino Linotype" w:hAnsi="Palatino Linotype"/>
          <w:sz w:val="24"/>
          <w:szCs w:val="24"/>
        </w:rPr>
        <w:t xml:space="preserve">Protección </w:t>
      </w:r>
      <w:r w:rsidR="008B70C4" w:rsidRPr="004C516C">
        <w:rPr>
          <w:rFonts w:ascii="Palatino Linotype" w:hAnsi="Palatino Linotype"/>
          <w:sz w:val="24"/>
          <w:szCs w:val="24"/>
        </w:rPr>
        <w:t>de datos personales.</w:t>
      </w:r>
    </w:p>
    <w:p w:rsidR="008B70C4" w:rsidRDefault="008B70C4" w:rsidP="008B70C4">
      <w:pPr>
        <w:autoSpaceDE w:val="0"/>
        <w:autoSpaceDN w:val="0"/>
        <w:adjustRightInd w:val="0"/>
        <w:spacing w:after="0" w:line="360" w:lineRule="auto"/>
        <w:jc w:val="both"/>
        <w:rPr>
          <w:rFonts w:ascii="Palatino Linotype" w:hAnsi="Palatino Linotype"/>
          <w:sz w:val="24"/>
          <w:szCs w:val="24"/>
        </w:rPr>
      </w:pPr>
    </w:p>
    <w:p w:rsidR="008B70C4" w:rsidRDefault="008B70C4" w:rsidP="008B70C4">
      <w:pPr>
        <w:spacing w:after="0" w:line="360" w:lineRule="auto"/>
        <w:ind w:right="-91"/>
        <w:jc w:val="both"/>
        <w:rPr>
          <w:rFonts w:ascii="Palatino Linotype" w:hAnsi="Palatino Linotype" w:cs="Tahoma"/>
          <w:sz w:val="24"/>
          <w:szCs w:val="24"/>
        </w:rPr>
      </w:pPr>
      <w:r>
        <w:rPr>
          <w:rFonts w:ascii="Palatino Linotype" w:eastAsia="Calibri" w:hAnsi="Palatino Linotype" w:cs="Arial"/>
          <w:sz w:val="24"/>
          <w:szCs w:val="24"/>
        </w:rPr>
        <w:t xml:space="preserve">Con base en lo anterior se infringió lo establecido en </w:t>
      </w:r>
      <w:r w:rsidRPr="001C0D26">
        <w:rPr>
          <w:rFonts w:ascii="Palatino Linotype" w:eastAsia="Calibri" w:hAnsi="Palatino Linotype" w:cs="Arial"/>
          <w:sz w:val="24"/>
          <w:szCs w:val="24"/>
        </w:rPr>
        <w:t xml:space="preserve">los artículo 91, 122, 137, 143 de la Ley de Transparencia y Acceso a la Información Pública del Estado de México y Municipios, así como los numerales cuarto, quinto, octavo, trigésimo octavo, de los </w:t>
      </w:r>
      <w:r w:rsidRPr="001C0D26">
        <w:rPr>
          <w:rFonts w:ascii="Palatino Linotype" w:eastAsia="Calibri" w:hAnsi="Palatino Linotype"/>
          <w:sz w:val="24"/>
          <w:szCs w:val="24"/>
        </w:rPr>
        <w:t>Lineamientos Generales en materia de Clasificación y Desclasificación de la información, así como para la elaboración de versiones públicas, emitidos por el Sistema Nacional de Transparencia, Acceso a la Información Pública y Protección de Datos Personales</w:t>
      </w:r>
      <w:r>
        <w:rPr>
          <w:rFonts w:ascii="Palatino Linotype" w:eastAsia="Calibri" w:hAnsi="Palatino Linotype"/>
          <w:sz w:val="24"/>
          <w:szCs w:val="24"/>
        </w:rPr>
        <w:t xml:space="preserve">, por lo que </w:t>
      </w:r>
      <w:r w:rsidRPr="00717303">
        <w:rPr>
          <w:rFonts w:ascii="Palatino Linotype" w:hAnsi="Palatino Linotype" w:cs="Tahoma"/>
          <w:sz w:val="24"/>
          <w:szCs w:val="24"/>
        </w:rPr>
        <w:t xml:space="preserve">se hará del conocimiento a las áreas correspondientes en términos del artículo 16 fracción VI, del Reglamento </w:t>
      </w:r>
      <w:r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Pr="00717303">
        <w:rPr>
          <w:rFonts w:ascii="Palatino Linotype" w:hAnsi="Palatino Linotype" w:cs="Tahoma"/>
          <w:sz w:val="24"/>
          <w:szCs w:val="24"/>
        </w:rPr>
        <w:t xml:space="preserve"> la Dirección de Protección de </w:t>
      </w:r>
      <w:r w:rsidRPr="00717303">
        <w:rPr>
          <w:rFonts w:ascii="Palatino Linotype" w:hAnsi="Palatino Linotype" w:cs="Tahoma"/>
          <w:sz w:val="24"/>
          <w:szCs w:val="24"/>
        </w:rPr>
        <w:lastRenderedPageBreak/>
        <w:t>Datos Personales de este Instituto determine lo conducente, en términos del artículo 23 fracción V, del mismo ordenamiento legal antes citado.</w:t>
      </w:r>
    </w:p>
    <w:p w:rsidR="008B70C4" w:rsidRPr="004C516C" w:rsidRDefault="008B70C4" w:rsidP="008B70C4">
      <w:pPr>
        <w:autoSpaceDE w:val="0"/>
        <w:autoSpaceDN w:val="0"/>
        <w:adjustRightInd w:val="0"/>
        <w:spacing w:after="0" w:line="360" w:lineRule="auto"/>
        <w:jc w:val="both"/>
        <w:rPr>
          <w:rFonts w:ascii="Palatino Linotype" w:hAnsi="Palatino Linotype"/>
          <w:sz w:val="24"/>
          <w:szCs w:val="24"/>
        </w:rPr>
      </w:pPr>
    </w:p>
    <w:p w:rsidR="000575E4" w:rsidRPr="00963717" w:rsidRDefault="0076064B" w:rsidP="000575E4">
      <w:pPr>
        <w:autoSpaceDE w:val="0"/>
        <w:autoSpaceDN w:val="0"/>
        <w:adjustRightInd w:val="0"/>
        <w:spacing w:after="0" w:line="360" w:lineRule="auto"/>
        <w:jc w:val="both"/>
        <w:rPr>
          <w:rFonts w:ascii="Palatino Linotype" w:hAnsi="Palatino Linotype"/>
          <w:sz w:val="24"/>
          <w:szCs w:val="24"/>
        </w:rPr>
      </w:pPr>
      <w:r w:rsidRPr="00963717">
        <w:rPr>
          <w:rFonts w:ascii="Palatino Linotype" w:hAnsi="Palatino Linotype" w:cs="Arial"/>
          <w:sz w:val="24"/>
          <w:szCs w:val="24"/>
        </w:rPr>
        <w:t xml:space="preserve">Ahora bien, además de dejar visible el nombre de los servidores públicos que causaron baja en el periodo solicitado, es necesario </w:t>
      </w:r>
      <w:r w:rsidR="000575E4" w:rsidRPr="00963717">
        <w:rPr>
          <w:rFonts w:ascii="Palatino Linotype" w:hAnsi="Palatino Linotype" w:cs="Arial"/>
          <w:sz w:val="24"/>
          <w:szCs w:val="24"/>
        </w:rPr>
        <w:t xml:space="preserve">mencionar en relación a </w:t>
      </w:r>
      <w:r w:rsidR="000575E4" w:rsidRPr="00963717">
        <w:rPr>
          <w:rFonts w:ascii="Palatino Linotype" w:hAnsi="Palatino Linotype"/>
          <w:sz w:val="24"/>
          <w:szCs w:val="24"/>
        </w:rPr>
        <w:t>la fotografía de dichos documentos debe dejarse a la vista en razón de lo siguiente:</w:t>
      </w:r>
    </w:p>
    <w:p w:rsidR="000575E4" w:rsidRPr="00963717" w:rsidRDefault="000575E4" w:rsidP="000575E4">
      <w:pPr>
        <w:spacing w:after="0" w:line="360" w:lineRule="auto"/>
        <w:rPr>
          <w:rFonts w:ascii="Palatino Linotype" w:hAnsi="Palatino Linotype"/>
          <w:sz w:val="24"/>
          <w:szCs w:val="24"/>
        </w:rPr>
      </w:pPr>
    </w:p>
    <w:p w:rsidR="000575E4" w:rsidRPr="00963717" w:rsidRDefault="000575E4" w:rsidP="000575E4">
      <w:pPr>
        <w:tabs>
          <w:tab w:val="left" w:pos="709"/>
        </w:tabs>
        <w:spacing w:after="0" w:line="360" w:lineRule="auto"/>
        <w:jc w:val="both"/>
        <w:rPr>
          <w:rFonts w:ascii="Palatino Linotype" w:hAnsi="Palatino Linotype" w:cs="Arial"/>
          <w:sz w:val="24"/>
          <w:szCs w:val="24"/>
        </w:rPr>
      </w:pPr>
      <w:r w:rsidRPr="00963717">
        <w:rPr>
          <w:rFonts w:ascii="Palatino Linotype" w:hAnsi="Palatino Linotype" w:cs="Arial"/>
          <w:sz w:val="24"/>
          <w:szCs w:val="24"/>
        </w:rPr>
        <w:t xml:space="preserve">Los grados escolares o académicos </w:t>
      </w:r>
      <w:r w:rsidR="005A7145">
        <w:rPr>
          <w:rFonts w:ascii="Palatino Linotype" w:hAnsi="Palatino Linotype" w:cs="Arial"/>
          <w:sz w:val="24"/>
          <w:szCs w:val="24"/>
        </w:rPr>
        <w:t>del personal</w:t>
      </w:r>
      <w:r w:rsidRPr="00963717">
        <w:rPr>
          <w:rFonts w:ascii="Palatino Linotype" w:hAnsi="Palatino Linotype" w:cs="Arial"/>
          <w:sz w:val="24"/>
          <w:szCs w:val="24"/>
        </w:rPr>
        <w:t xml:space="preserve"> del Sujeto Obligado, de manera enunciativa pudieran obrar tanto en Títulos o Cédulas Profesional; por ello, se debe precisar que los cargos públicos en los que sea indispensable contar con un grado de estudios como Licenciatura o Maestría, en obviedad de circunstancias se debe contar con Título o Cédula Profesional, por lo que NO es procedente restringir el acceso a la fotografía, cuando el dato personal tiene el carácter de público, mismos que indudablemente deben obrar en los archivos de los sujetos obligados por ser inherentes e indispensables para el desempeño de los cargos públicos.</w:t>
      </w:r>
    </w:p>
    <w:p w:rsidR="000575E4" w:rsidRPr="00963717" w:rsidRDefault="000575E4" w:rsidP="000575E4">
      <w:pPr>
        <w:pStyle w:val="Sinespaciado"/>
        <w:tabs>
          <w:tab w:val="left" w:pos="2730"/>
        </w:tabs>
        <w:spacing w:line="360" w:lineRule="auto"/>
        <w:rPr>
          <w:rFonts w:ascii="Palatino Linotype" w:hAnsi="Palatino Linotype"/>
        </w:rPr>
      </w:pPr>
      <w:r w:rsidRPr="00963717">
        <w:rPr>
          <w:rFonts w:ascii="Palatino Linotype" w:hAnsi="Palatino Linotype"/>
        </w:rPr>
        <w:tab/>
      </w:r>
    </w:p>
    <w:p w:rsidR="000575E4" w:rsidRPr="00963717" w:rsidRDefault="000575E4" w:rsidP="000575E4">
      <w:pPr>
        <w:tabs>
          <w:tab w:val="left" w:pos="709"/>
        </w:tabs>
        <w:spacing w:after="0" w:line="360" w:lineRule="auto"/>
        <w:jc w:val="both"/>
        <w:rPr>
          <w:rFonts w:ascii="Palatino Linotype" w:hAnsi="Palatino Linotype" w:cs="Arial"/>
          <w:sz w:val="24"/>
          <w:szCs w:val="24"/>
        </w:rPr>
      </w:pPr>
      <w:r w:rsidRPr="00963717">
        <w:rPr>
          <w:rFonts w:ascii="Palatino Linotype" w:hAnsi="Palatino Linotype" w:cs="Arial"/>
          <w:sz w:val="24"/>
          <w:szCs w:val="24"/>
        </w:rPr>
        <w:t>Ya que toda la información en posesión de cualquier sujeto obligado es pública, existen excepciones establecidas en los artículos 91 y 143 de la Ley de Transparencia y Acceso a la Información Pública del Estado de México y Municipios, siendo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0575E4" w:rsidRPr="00963717" w:rsidRDefault="000575E4" w:rsidP="000575E4">
      <w:pPr>
        <w:pStyle w:val="Sinespaciado"/>
        <w:spacing w:line="360" w:lineRule="auto"/>
        <w:rPr>
          <w:rFonts w:ascii="Palatino Linotype" w:hAnsi="Palatino Linotype"/>
        </w:rPr>
      </w:pPr>
    </w:p>
    <w:p w:rsidR="000575E4" w:rsidRPr="00963717" w:rsidRDefault="000575E4" w:rsidP="000575E4">
      <w:pPr>
        <w:tabs>
          <w:tab w:val="left" w:pos="709"/>
        </w:tabs>
        <w:spacing w:after="0" w:line="360" w:lineRule="auto"/>
        <w:jc w:val="both"/>
        <w:rPr>
          <w:rFonts w:ascii="Palatino Linotype" w:hAnsi="Palatino Linotype" w:cs="Arial"/>
          <w:sz w:val="24"/>
          <w:szCs w:val="24"/>
        </w:rPr>
      </w:pPr>
      <w:r w:rsidRPr="00963717">
        <w:rPr>
          <w:rFonts w:ascii="Palatino Linotype" w:hAnsi="Palatino Linotype" w:cs="Arial"/>
          <w:sz w:val="24"/>
          <w:szCs w:val="24"/>
        </w:rPr>
        <w:lastRenderedPageBreak/>
        <w:t>Que la Ley de Protección de Datos Personales en Posesión de Sujetos Obligados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0575E4" w:rsidRPr="00963717" w:rsidRDefault="000575E4" w:rsidP="000575E4">
      <w:pPr>
        <w:pStyle w:val="Sinespaciado"/>
        <w:spacing w:line="360" w:lineRule="auto"/>
        <w:rPr>
          <w:rFonts w:ascii="Palatino Linotype" w:hAnsi="Palatino Linotype"/>
          <w:sz w:val="20"/>
        </w:rPr>
      </w:pPr>
    </w:p>
    <w:p w:rsidR="000575E4" w:rsidRPr="00963717" w:rsidRDefault="000575E4" w:rsidP="000575E4">
      <w:pPr>
        <w:tabs>
          <w:tab w:val="left" w:pos="709"/>
        </w:tabs>
        <w:spacing w:after="0" w:line="360" w:lineRule="auto"/>
        <w:jc w:val="both"/>
        <w:rPr>
          <w:rFonts w:ascii="Palatino Linotype" w:hAnsi="Palatino Linotype" w:cs="Arial"/>
          <w:sz w:val="24"/>
          <w:szCs w:val="24"/>
        </w:rPr>
      </w:pPr>
      <w:r w:rsidRPr="00963717">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0575E4" w:rsidRPr="00963717" w:rsidRDefault="000575E4" w:rsidP="000575E4">
      <w:pPr>
        <w:pStyle w:val="Sinespaciado"/>
        <w:spacing w:line="360" w:lineRule="auto"/>
        <w:rPr>
          <w:rFonts w:ascii="Palatino Linotype" w:hAnsi="Palatino Linotype"/>
        </w:rPr>
      </w:pPr>
    </w:p>
    <w:p w:rsidR="00FE1867" w:rsidRPr="00963717" w:rsidRDefault="00963717" w:rsidP="001624E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los argumentos anteriores, es dable ordenar que se entregue la información que se </w:t>
      </w:r>
      <w:r w:rsidRPr="00963717">
        <w:rPr>
          <w:rFonts w:ascii="Palatino Linotype" w:hAnsi="Palatino Linotype" w:cs="Arial"/>
          <w:sz w:val="24"/>
          <w:szCs w:val="24"/>
        </w:rPr>
        <w:t xml:space="preserve">remitió en informe justificado correspondiente a la documentación referente al </w:t>
      </w:r>
      <w:r w:rsidRPr="00963717">
        <w:rPr>
          <w:rFonts w:ascii="Palatino Linotype" w:hAnsi="Palatino Linotype"/>
          <w:color w:val="000000"/>
          <w:sz w:val="24"/>
          <w:szCs w:val="24"/>
        </w:rPr>
        <w:t>Listado de servidores públicos que laboran en áreas administrativas y que causaron baja en el hospital regional de alta especialidad a partir del día primero de junio de 2020 y hasta el 31 de enero de 2021 en donde se incluya nombre completo, unidad de adscripción, fecha de baja y nivel educativo, así como</w:t>
      </w:r>
      <w:r>
        <w:rPr>
          <w:rFonts w:ascii="Palatino Linotype" w:hAnsi="Palatino Linotype"/>
          <w:color w:val="000000"/>
          <w:sz w:val="24"/>
          <w:szCs w:val="24"/>
        </w:rPr>
        <w:t xml:space="preserve"> </w:t>
      </w:r>
      <w:r w:rsidRPr="00963717">
        <w:rPr>
          <w:rFonts w:ascii="Palatino Linotype" w:hAnsi="Palatino Linotype"/>
          <w:color w:val="000000"/>
          <w:sz w:val="24"/>
          <w:szCs w:val="24"/>
        </w:rPr>
        <w:t>lo</w:t>
      </w:r>
      <w:r>
        <w:rPr>
          <w:rFonts w:ascii="Palatino Linotype" w:hAnsi="Palatino Linotype"/>
          <w:color w:val="000000"/>
          <w:sz w:val="24"/>
          <w:szCs w:val="24"/>
        </w:rPr>
        <w:t>s</w:t>
      </w:r>
      <w:r w:rsidRPr="00963717">
        <w:rPr>
          <w:rFonts w:ascii="Palatino Linotype" w:hAnsi="Palatino Linotype"/>
          <w:color w:val="000000"/>
          <w:sz w:val="24"/>
          <w:szCs w:val="24"/>
        </w:rPr>
        <w:t xml:space="preserve"> comprobantes de pago, en donde se observe las claves de percepciones y deducciones, y avisos de movimientos ante el ISSEMYM, por cada persona, adicionalmente las constancias de estudios de </w:t>
      </w:r>
      <w:r w:rsidRPr="00963717">
        <w:rPr>
          <w:rFonts w:ascii="Palatino Linotype" w:hAnsi="Palatino Linotype"/>
          <w:color w:val="000000"/>
          <w:sz w:val="24"/>
          <w:szCs w:val="24"/>
        </w:rPr>
        <w:lastRenderedPageBreak/>
        <w:t>cada uno de ellos (título, cédula, certificado u otro),  en versión pública y con el acuerdo que emita el Comité de Transparencia en donde se sustente la clasificación de la información.</w:t>
      </w:r>
    </w:p>
    <w:p w:rsidR="00855E11" w:rsidRPr="00F15F9D" w:rsidRDefault="00855E11" w:rsidP="00855E11">
      <w:pPr>
        <w:spacing w:line="360" w:lineRule="auto"/>
        <w:jc w:val="both"/>
        <w:rPr>
          <w:rFonts w:ascii="Palatino Linotype" w:hAnsi="Palatino Linotype"/>
          <w:sz w:val="12"/>
          <w:szCs w:val="24"/>
        </w:rPr>
      </w:pPr>
    </w:p>
    <w:p w:rsidR="007E3C2E" w:rsidRPr="000177F8" w:rsidRDefault="007E3C2E" w:rsidP="007E3C2E">
      <w:pPr>
        <w:pStyle w:val="Prrafodelista"/>
        <w:numPr>
          <w:ilvl w:val="0"/>
          <w:numId w:val="30"/>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7E3C2E" w:rsidRPr="00E07DF5" w:rsidRDefault="007E3C2E" w:rsidP="007E3C2E">
      <w:pPr>
        <w:spacing w:line="360" w:lineRule="auto"/>
        <w:ind w:left="709" w:right="141"/>
        <w:jc w:val="both"/>
        <w:rPr>
          <w:rFonts w:ascii="Palatino Linotype" w:hAnsi="Palatino Linotype"/>
          <w:b/>
          <w:i/>
          <w:color w:val="000000"/>
          <w:sz w:val="2"/>
        </w:rPr>
      </w:pPr>
    </w:p>
    <w:p w:rsidR="007E3C2E" w:rsidRDefault="007E3C2E" w:rsidP="007E3C2E">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7E3C2E" w:rsidRPr="000177F8" w:rsidRDefault="007E3C2E" w:rsidP="007E3C2E">
      <w:pPr>
        <w:spacing w:after="0" w:line="360" w:lineRule="auto"/>
        <w:jc w:val="both"/>
        <w:rPr>
          <w:rFonts w:ascii="Palatino Linotype" w:hAnsi="Palatino Linotype" w:cs="Arial"/>
          <w:sz w:val="18"/>
          <w:szCs w:val="24"/>
        </w:rPr>
      </w:pP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XLV. Versión pública: Documento en el que se elimine, suprime o borra la información clasificada como reservada o confidencial para permitir su acceso.</w:t>
      </w: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szCs w:val="24"/>
        </w:rPr>
      </w:pPr>
    </w:p>
    <w:p w:rsidR="007E3C2E" w:rsidRPr="008873BA" w:rsidRDefault="007E3C2E" w:rsidP="007E3C2E">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7E3C2E" w:rsidRPr="00E07DF5" w:rsidRDefault="007E3C2E" w:rsidP="007E3C2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rsidR="007E3C2E" w:rsidRPr="00E07DF5" w:rsidRDefault="007E3C2E" w:rsidP="007E3C2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7E3C2E" w:rsidRPr="00E07DF5" w:rsidRDefault="007E3C2E" w:rsidP="007E3C2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rsidR="007E3C2E" w:rsidRPr="00E07DF5" w:rsidRDefault="007E3C2E" w:rsidP="007E3C2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7E3C2E" w:rsidRPr="00E07DF5" w:rsidRDefault="007E3C2E" w:rsidP="007E3C2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rsidR="007E3C2E" w:rsidRPr="00E07DF5" w:rsidRDefault="007E3C2E" w:rsidP="007E3C2E">
      <w:pPr>
        <w:autoSpaceDE w:val="0"/>
        <w:autoSpaceDN w:val="0"/>
        <w:adjustRightInd w:val="0"/>
        <w:spacing w:after="0" w:line="360" w:lineRule="auto"/>
        <w:jc w:val="both"/>
        <w:rPr>
          <w:rFonts w:ascii="Palatino Linotype" w:hAnsi="Palatino Linotype" w:cs="Arial"/>
        </w:rPr>
      </w:pPr>
    </w:p>
    <w:p w:rsidR="007E3C2E" w:rsidRPr="00E07DF5" w:rsidRDefault="007E3C2E" w:rsidP="007E3C2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E3C2E" w:rsidRPr="00E07DF5" w:rsidRDefault="007E3C2E" w:rsidP="007E3C2E">
      <w:pPr>
        <w:autoSpaceDE w:val="0"/>
        <w:autoSpaceDN w:val="0"/>
        <w:adjustRightInd w:val="0"/>
        <w:spacing w:after="0" w:line="240" w:lineRule="auto"/>
        <w:ind w:left="567" w:right="284"/>
        <w:jc w:val="both"/>
        <w:rPr>
          <w:rFonts w:ascii="Palatino Linotype" w:hAnsi="Palatino Linotype" w:cs="Arial"/>
          <w:i/>
        </w:rPr>
      </w:pPr>
    </w:p>
    <w:p w:rsidR="007E3C2E" w:rsidRPr="00E07DF5" w:rsidRDefault="007E3C2E" w:rsidP="007E3C2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rsidR="007E3C2E" w:rsidRPr="00E07DF5" w:rsidRDefault="007E3C2E" w:rsidP="007E3C2E">
      <w:pPr>
        <w:pStyle w:val="Prrafodelista"/>
        <w:numPr>
          <w:ilvl w:val="0"/>
          <w:numId w:val="31"/>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rsidR="007E3C2E" w:rsidRPr="00E07DF5" w:rsidRDefault="007E3C2E" w:rsidP="007E3C2E">
      <w:pPr>
        <w:pStyle w:val="Prrafodelista"/>
        <w:autoSpaceDE w:val="0"/>
        <w:autoSpaceDN w:val="0"/>
        <w:adjustRightInd w:val="0"/>
        <w:ind w:left="1287" w:right="284"/>
        <w:jc w:val="both"/>
        <w:rPr>
          <w:rFonts w:ascii="Palatino Linotype" w:hAnsi="Palatino Linotype" w:cs="Arial"/>
          <w:i/>
        </w:rPr>
      </w:pPr>
    </w:p>
    <w:p w:rsidR="007E3C2E" w:rsidRPr="008873BA" w:rsidRDefault="007E3C2E" w:rsidP="007E3C2E">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E3C2E" w:rsidRPr="00E07DF5" w:rsidRDefault="007E3C2E" w:rsidP="007E3C2E">
      <w:pPr>
        <w:rPr>
          <w:sz w:val="14"/>
          <w:lang w:val="es-ES" w:eastAsia="es-ES"/>
        </w:rPr>
      </w:pP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8873BA">
        <w:rPr>
          <w:rFonts w:ascii="Palatino Linotype" w:eastAsia="Times New Roman" w:hAnsi="Palatino Linotype" w:cs="Arial"/>
          <w:i/>
          <w:iCs/>
          <w:color w:val="222222"/>
          <w:u w:val="single"/>
          <w:lang w:eastAsia="es-MX"/>
        </w:rPr>
        <w:lastRenderedPageBreak/>
        <w:t>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7E3C2E" w:rsidRPr="008873BA" w:rsidRDefault="007E3C2E" w:rsidP="007E3C2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7E3C2E" w:rsidRPr="008873BA" w:rsidRDefault="007E3C2E" w:rsidP="007E3C2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E3C2E" w:rsidRPr="008873BA" w:rsidRDefault="007E3C2E" w:rsidP="007E3C2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rsidR="007E3C2E" w:rsidRPr="008873BA" w:rsidRDefault="007E3C2E" w:rsidP="007E3C2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7E3C2E" w:rsidRPr="008873BA" w:rsidRDefault="007E3C2E" w:rsidP="007E3C2E">
      <w:pPr>
        <w:shd w:val="clear" w:color="auto" w:fill="FFFFFF"/>
        <w:spacing w:after="0" w:line="240" w:lineRule="auto"/>
        <w:ind w:left="851" w:right="851"/>
        <w:jc w:val="both"/>
        <w:rPr>
          <w:rFonts w:ascii="Palatino Linotype" w:eastAsia="Times New Roman" w:hAnsi="Palatino Linotype" w:cs="Arial"/>
          <w:lang w:eastAsia="es-MX"/>
        </w:rPr>
      </w:pPr>
    </w:p>
    <w:p w:rsidR="007E3C2E" w:rsidRDefault="007E3C2E" w:rsidP="007E3C2E">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 xml:space="preserve">información se debe señalar el artículo, fracción, inciso, párrafo o numeral de la ley o tratado </w:t>
      </w:r>
      <w:r w:rsidRPr="008873BA">
        <w:rPr>
          <w:rFonts w:ascii="Palatino Linotype" w:hAnsi="Palatino Linotype"/>
          <w:sz w:val="24"/>
          <w:szCs w:val="24"/>
        </w:rPr>
        <w:lastRenderedPageBreak/>
        <w:t>internacional suscrito por el Estado mexicano que expresamente le otorga el carácter de reservada o confidencial.</w:t>
      </w:r>
    </w:p>
    <w:p w:rsidR="005A7145" w:rsidRDefault="005A7145" w:rsidP="007E3C2E">
      <w:pPr>
        <w:autoSpaceDE w:val="0"/>
        <w:autoSpaceDN w:val="0"/>
        <w:adjustRightInd w:val="0"/>
        <w:spacing w:after="0" w:line="360" w:lineRule="auto"/>
        <w:jc w:val="both"/>
        <w:rPr>
          <w:rFonts w:ascii="Palatino Linotype" w:hAnsi="Palatino Linotype"/>
          <w:sz w:val="24"/>
          <w:szCs w:val="24"/>
        </w:rPr>
      </w:pPr>
    </w:p>
    <w:p w:rsidR="005A7145" w:rsidRDefault="005A7145" w:rsidP="007E3C2E">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Adicional a ello, es necesario </w:t>
      </w:r>
      <w:r w:rsidR="00A32266">
        <w:rPr>
          <w:rFonts w:ascii="Palatino Linotype" w:hAnsi="Palatino Linotype"/>
          <w:sz w:val="24"/>
          <w:szCs w:val="24"/>
        </w:rPr>
        <w:t>mencionar que en relación a las fotografías de la documentación a entregar, se deberá observar lo ya mencionado en las páginas 18 y 19 de la presente resolución, toda vez que como es criterio por mayoría del Pleno dejar visible las fotografías en los documentos que demuestran su preparación académica de los servidores públicos que fueron dados de baja.</w:t>
      </w:r>
    </w:p>
    <w:p w:rsidR="007E3C2E" w:rsidRDefault="007E3C2E" w:rsidP="007E3C2E">
      <w:pPr>
        <w:autoSpaceDE w:val="0"/>
        <w:autoSpaceDN w:val="0"/>
        <w:adjustRightInd w:val="0"/>
        <w:spacing w:after="0" w:line="360" w:lineRule="auto"/>
        <w:jc w:val="both"/>
        <w:rPr>
          <w:rFonts w:ascii="Palatino Linotype" w:hAnsi="Palatino Linotype"/>
          <w:sz w:val="24"/>
          <w:szCs w:val="24"/>
        </w:rPr>
      </w:pPr>
    </w:p>
    <w:p w:rsidR="007E3C2E" w:rsidRDefault="007E3C2E" w:rsidP="007E3C2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7E3C2E" w:rsidRPr="00481AA8" w:rsidRDefault="007E3C2E" w:rsidP="007E3C2E">
      <w:pPr>
        <w:autoSpaceDE w:val="0"/>
        <w:autoSpaceDN w:val="0"/>
        <w:adjustRightInd w:val="0"/>
        <w:spacing w:after="0" w:line="360" w:lineRule="auto"/>
        <w:jc w:val="both"/>
        <w:rPr>
          <w:rFonts w:ascii="Palatino Linotype" w:hAnsi="Palatino Linotype" w:cs="Arial"/>
          <w:bCs/>
          <w:sz w:val="18"/>
          <w:szCs w:val="24"/>
        </w:rPr>
      </w:pPr>
    </w:p>
    <w:p w:rsidR="007E3C2E" w:rsidRPr="008873BA" w:rsidRDefault="007E3C2E" w:rsidP="007E3C2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7E3C2E" w:rsidRPr="00E07DF5" w:rsidRDefault="007E3C2E" w:rsidP="007E3C2E">
      <w:pPr>
        <w:spacing w:after="0" w:line="360" w:lineRule="auto"/>
        <w:jc w:val="both"/>
        <w:rPr>
          <w:rFonts w:ascii="Palatino Linotype" w:hAnsi="Palatino Linotype" w:cs="Arial"/>
          <w:bCs/>
          <w:sz w:val="14"/>
          <w:szCs w:val="24"/>
        </w:rPr>
      </w:pPr>
    </w:p>
    <w:p w:rsidR="007E3C2E" w:rsidRPr="008873BA" w:rsidRDefault="007E3C2E" w:rsidP="007E3C2E">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Sirven de sustento, a lo anterior las tesis jurisprudenciales números I.4º.A. J/43 y VI. 2º. J/43, publicadas en el Semanario Judicial de la Federación y su Gaceta, con el número </w:t>
      </w:r>
      <w:r w:rsidRPr="008873BA">
        <w:rPr>
          <w:rFonts w:ascii="Palatino Linotype" w:hAnsi="Palatino Linotype" w:cs="Arial"/>
          <w:bCs/>
          <w:sz w:val="24"/>
          <w:szCs w:val="24"/>
        </w:rPr>
        <w:lastRenderedPageBreak/>
        <w:t>de registro 175,082 y 203,143, respectivamente, cuyo texto y sentido literal es el siguiente:</w:t>
      </w:r>
    </w:p>
    <w:p w:rsidR="007E3C2E" w:rsidRPr="008873BA" w:rsidRDefault="007E3C2E" w:rsidP="007E3C2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7E3C2E" w:rsidRPr="008873BA" w:rsidRDefault="007E3C2E" w:rsidP="007E3C2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7E3C2E" w:rsidRPr="00E07DF5" w:rsidRDefault="007E3C2E" w:rsidP="007E3C2E">
      <w:pPr>
        <w:spacing w:after="0" w:line="240" w:lineRule="auto"/>
        <w:ind w:left="851" w:right="850"/>
        <w:jc w:val="both"/>
        <w:rPr>
          <w:rFonts w:ascii="Palatino Linotype" w:hAnsi="Palatino Linotype" w:cs="Arial"/>
          <w:bCs/>
          <w:i/>
          <w:iCs/>
          <w:sz w:val="16"/>
        </w:rPr>
      </w:pPr>
    </w:p>
    <w:p w:rsidR="007E3C2E" w:rsidRDefault="007E3C2E" w:rsidP="007E3C2E">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855E11" w:rsidRDefault="00855E11" w:rsidP="001624E8">
      <w:pPr>
        <w:spacing w:after="0" w:line="360" w:lineRule="auto"/>
        <w:jc w:val="both"/>
        <w:rPr>
          <w:rFonts w:ascii="Palatino Linotype" w:hAnsi="Palatino Linotype" w:cs="Arial"/>
          <w:sz w:val="24"/>
          <w:szCs w:val="24"/>
          <w:lang w:eastAsia="es-MX"/>
        </w:rPr>
      </w:pPr>
    </w:p>
    <w:p w:rsidR="00AB26D5" w:rsidRPr="00A64804" w:rsidRDefault="00AB26D5" w:rsidP="001624E8">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lastRenderedPageBreak/>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7E3C2E">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7E3C2E" w:rsidRPr="00891CFC">
        <w:rPr>
          <w:rFonts w:ascii="Palatino Linotype" w:hAnsi="Palatino Linotype" w:cs="Arial"/>
          <w:b/>
          <w:sz w:val="24"/>
          <w:szCs w:val="24"/>
        </w:rPr>
        <w:t>00010/HRZUM/IP/2021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A32266" w:rsidRDefault="00A32266" w:rsidP="007E3C2E">
      <w:pPr>
        <w:tabs>
          <w:tab w:val="left" w:pos="3437"/>
        </w:tabs>
        <w:spacing w:after="0" w:line="360" w:lineRule="auto"/>
        <w:jc w:val="center"/>
        <w:rPr>
          <w:rFonts w:ascii="Palatino Linotype" w:eastAsia="Times New Roman" w:hAnsi="Palatino Linotype"/>
          <w:b/>
          <w:bCs/>
          <w:spacing w:val="60"/>
          <w:sz w:val="24"/>
          <w:szCs w:val="24"/>
          <w:lang w:val="es-ES_tradnl"/>
        </w:rPr>
      </w:pPr>
    </w:p>
    <w:p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rsidR="00AB26D5" w:rsidRPr="00A64804" w:rsidRDefault="00AB26D5" w:rsidP="007E3C2E">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7E3C2E">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7E3C2E" w:rsidRPr="00891CFC">
        <w:rPr>
          <w:rFonts w:ascii="Palatino Linotype" w:hAnsi="Palatino Linotype" w:cs="Arial"/>
          <w:b/>
          <w:sz w:val="24"/>
          <w:szCs w:val="24"/>
        </w:rPr>
        <w:t>00010/HRZUM/IP/2021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rsidR="00AB26D5" w:rsidRPr="001624E8" w:rsidRDefault="00AB26D5" w:rsidP="007E3C2E">
      <w:pPr>
        <w:spacing w:after="0" w:line="360" w:lineRule="auto"/>
        <w:jc w:val="both"/>
        <w:rPr>
          <w:rFonts w:ascii="Palatino Linotype" w:hAnsi="Palatino Linotype" w:cs="Arial"/>
          <w:sz w:val="24"/>
          <w:szCs w:val="24"/>
        </w:rPr>
      </w:pPr>
    </w:p>
    <w:p w:rsidR="00AB26D5" w:rsidRDefault="00AB26D5" w:rsidP="007E3C2E">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sidR="00D65C56">
        <w:rPr>
          <w:rFonts w:ascii="Palatino Linotype" w:hAnsi="Palatino Linotype" w:cs="Arial"/>
          <w:sz w:val="24"/>
          <w:szCs w:val="24"/>
        </w:rPr>
        <w:t>en términos del considerando cuarto de la presente resolución</w:t>
      </w:r>
      <w:r>
        <w:rPr>
          <w:rFonts w:ascii="Palatino Linotype" w:hAnsi="Palatino Linotype" w:cs="Arial"/>
          <w:sz w:val="24"/>
          <w:szCs w:val="24"/>
        </w:rPr>
        <w:t xml:space="preserve">, </w:t>
      </w:r>
      <w:r w:rsidR="002B40FF">
        <w:rPr>
          <w:rFonts w:ascii="Palatino Linotype" w:hAnsi="Palatino Linotype" w:cs="Arial"/>
          <w:sz w:val="24"/>
          <w:szCs w:val="24"/>
        </w:rPr>
        <w:t>mediante el SAIMEX y en versión pública de</w:t>
      </w:r>
      <w:r w:rsidRPr="00A64804">
        <w:rPr>
          <w:rFonts w:ascii="Palatino Linotype" w:hAnsi="Palatino Linotype" w:cs="Arial"/>
          <w:sz w:val="24"/>
          <w:szCs w:val="24"/>
        </w:rPr>
        <w:t xml:space="preserve"> lo siguiente: </w:t>
      </w:r>
    </w:p>
    <w:p w:rsidR="007E3C2E" w:rsidRPr="007E3C2E" w:rsidRDefault="007E3C2E" w:rsidP="007E3C2E">
      <w:pPr>
        <w:spacing w:after="0" w:line="360" w:lineRule="auto"/>
        <w:jc w:val="both"/>
        <w:rPr>
          <w:rFonts w:ascii="Palatino Linotype" w:hAnsi="Palatino Linotype" w:cs="Arial"/>
          <w:sz w:val="20"/>
          <w:szCs w:val="24"/>
        </w:rPr>
      </w:pPr>
    </w:p>
    <w:p w:rsidR="0046281E" w:rsidRPr="007E3C2E" w:rsidRDefault="007E3C2E" w:rsidP="007E3C2E">
      <w:pPr>
        <w:pStyle w:val="Sinespaciado"/>
        <w:spacing w:line="360" w:lineRule="auto"/>
        <w:ind w:left="426" w:right="567"/>
        <w:jc w:val="both"/>
        <w:rPr>
          <w:rFonts w:ascii="Palatino Linotype" w:hAnsi="Palatino Linotype"/>
          <w:i/>
          <w:color w:val="000000"/>
        </w:rPr>
      </w:pPr>
      <w:r w:rsidRPr="007E3C2E">
        <w:rPr>
          <w:rFonts w:ascii="Palatino Linotype" w:hAnsi="Palatino Linotype" w:cs="Arial"/>
          <w:i/>
        </w:rPr>
        <w:t xml:space="preserve">1.- La documentación referente al </w:t>
      </w:r>
      <w:r w:rsidRPr="007E3C2E">
        <w:rPr>
          <w:rFonts w:ascii="Palatino Linotype" w:hAnsi="Palatino Linotype"/>
          <w:i/>
          <w:color w:val="000000"/>
        </w:rPr>
        <w:t>Listado de servidores públicos que laboran en áreas administrativas y que causaron baja en el hospital regional de alta especialidad a partir del 1o de junio de 2020 y hasta el 31 de enero de 2021 en donde se incluya nombre completo, unidad de adscripción, fecha de baja y nivel educativo, así como los comprobantes de pago, en donde se observe las claves de percepciones y deducciones, y avisos de movimientos ante el ISSEMYM, por cada persona, adicionalmente las constancias de estudios de cada uno de ellos (título, cédula, certificado u otro)</w:t>
      </w:r>
    </w:p>
    <w:p w:rsidR="007E3C2E" w:rsidRPr="001624E8" w:rsidRDefault="007E3C2E" w:rsidP="007E3C2E">
      <w:pPr>
        <w:pStyle w:val="Sinespaciado"/>
        <w:spacing w:line="360" w:lineRule="auto"/>
        <w:ind w:right="567"/>
        <w:jc w:val="both"/>
        <w:rPr>
          <w:rFonts w:ascii="Palatino Linotype" w:hAnsi="Palatino Linotype" w:cs="Arial"/>
          <w:i/>
          <w:lang w:eastAsia="es-MX"/>
        </w:rPr>
      </w:pPr>
    </w:p>
    <w:p w:rsidR="00ED28F4" w:rsidRDefault="00ED28F4" w:rsidP="007E3C2E">
      <w:pPr>
        <w:spacing w:after="0" w:line="360" w:lineRule="auto"/>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AB26D5" w:rsidRPr="00A93911" w:rsidRDefault="00AB26D5" w:rsidP="007E3C2E">
      <w:pPr>
        <w:pStyle w:val="Sinespaciado"/>
        <w:spacing w:line="360" w:lineRule="auto"/>
        <w:ind w:left="720"/>
        <w:jc w:val="both"/>
        <w:rPr>
          <w:rFonts w:ascii="Palatino Linotype" w:eastAsiaTheme="minorHAnsi" w:hAnsi="Palatino Linotype" w:cs="Arial"/>
          <w:sz w:val="20"/>
          <w:lang w:eastAsia="en-US"/>
        </w:rPr>
      </w:pPr>
    </w:p>
    <w:p w:rsidR="00AB26D5" w:rsidRDefault="00AB26D5" w:rsidP="007E3C2E">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2B40FF">
        <w:rPr>
          <w:rFonts w:ascii="Palatino Linotype" w:hAnsi="Palatino Linotype" w:cs="Arial"/>
          <w:sz w:val="24"/>
          <w:szCs w:val="24"/>
        </w:rPr>
        <w:t>quince</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rsidR="00777372" w:rsidRPr="001624E8" w:rsidRDefault="00777372" w:rsidP="007E3C2E">
      <w:pPr>
        <w:autoSpaceDE w:val="0"/>
        <w:autoSpaceDN w:val="0"/>
        <w:adjustRightInd w:val="0"/>
        <w:spacing w:after="0" w:line="360" w:lineRule="auto"/>
        <w:jc w:val="both"/>
        <w:rPr>
          <w:rFonts w:ascii="Palatino Linotype" w:hAnsi="Palatino Linotype" w:cs="Arial"/>
          <w:sz w:val="24"/>
          <w:szCs w:val="24"/>
        </w:rPr>
      </w:pPr>
    </w:p>
    <w:p w:rsidR="00777372" w:rsidRPr="002121F2" w:rsidRDefault="00777372" w:rsidP="007E3C2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rsidR="00AB26D5" w:rsidRPr="001624E8" w:rsidRDefault="00AB26D5" w:rsidP="007E3C2E">
      <w:pPr>
        <w:autoSpaceDE w:val="0"/>
        <w:autoSpaceDN w:val="0"/>
        <w:adjustRightInd w:val="0"/>
        <w:spacing w:after="0" w:line="360" w:lineRule="auto"/>
        <w:jc w:val="both"/>
        <w:rPr>
          <w:rFonts w:ascii="Palatino Linotype" w:hAnsi="Palatino Linotype" w:cs="Arial"/>
          <w:sz w:val="24"/>
          <w:szCs w:val="24"/>
        </w:rPr>
      </w:pPr>
    </w:p>
    <w:p w:rsidR="00AB26D5" w:rsidRDefault="00777372" w:rsidP="007E3C2E">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00AB26D5" w:rsidRPr="00A64804">
        <w:rPr>
          <w:rFonts w:ascii="Palatino Linotype" w:hAnsi="Palatino Linotype" w:cs="Arial"/>
          <w:b/>
          <w:sz w:val="28"/>
          <w:szCs w:val="24"/>
        </w:rPr>
        <w:t>TO</w:t>
      </w:r>
      <w:r w:rsidR="00AB26D5" w:rsidRPr="00A64804">
        <w:rPr>
          <w:rFonts w:ascii="Palatino Linotype" w:hAnsi="Palatino Linotype" w:cs="Arial"/>
          <w:sz w:val="28"/>
          <w:szCs w:val="24"/>
        </w:rPr>
        <w:t>.</w:t>
      </w:r>
      <w:r w:rsidR="00AB26D5" w:rsidRPr="00A64804">
        <w:rPr>
          <w:rFonts w:ascii="Palatino Linotype" w:hAnsi="Palatino Linotype" w:cs="Arial"/>
          <w:sz w:val="24"/>
          <w:szCs w:val="24"/>
        </w:rPr>
        <w:t xml:space="preserve"> Notifíquese </w:t>
      </w:r>
      <w:r w:rsidR="00AB26D5" w:rsidRPr="00A64804">
        <w:rPr>
          <w:rFonts w:ascii="Palatino Linotype" w:hAnsi="Palatino Linotype" w:cs="Arial"/>
          <w:bCs/>
          <w:sz w:val="24"/>
          <w:szCs w:val="24"/>
        </w:rPr>
        <w:t>al Recurrente</w:t>
      </w:r>
      <w:r w:rsidR="00AB26D5" w:rsidRPr="00A64804">
        <w:rPr>
          <w:rFonts w:ascii="Palatino Linotype" w:hAnsi="Palatino Linotype" w:cs="Arial"/>
          <w:sz w:val="24"/>
          <w:szCs w:val="24"/>
        </w:rPr>
        <w:t xml:space="preserve"> </w:t>
      </w:r>
      <w:r w:rsidR="00AB26D5"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46281E" w:rsidRDefault="0046281E" w:rsidP="007E3C2E">
      <w:pPr>
        <w:spacing w:after="0" w:line="360" w:lineRule="auto"/>
        <w:jc w:val="both"/>
        <w:rPr>
          <w:rFonts w:ascii="Palatino Linotype" w:hAnsi="Palatino Linotype" w:cs="Arial"/>
          <w:bCs/>
          <w:sz w:val="24"/>
          <w:szCs w:val="24"/>
        </w:rPr>
      </w:pPr>
    </w:p>
    <w:p w:rsidR="007E3C2E" w:rsidRPr="007E3C2E" w:rsidRDefault="007E3C2E" w:rsidP="007E3C2E">
      <w:pPr>
        <w:widowControl w:val="0"/>
        <w:tabs>
          <w:tab w:val="left" w:pos="1701"/>
        </w:tabs>
        <w:autoSpaceDE w:val="0"/>
        <w:autoSpaceDN w:val="0"/>
        <w:adjustRightInd w:val="0"/>
        <w:spacing w:after="0" w:line="360" w:lineRule="auto"/>
        <w:jc w:val="both"/>
        <w:rPr>
          <w:rFonts w:ascii="Palatino Linotype" w:hAnsi="Palatino Linotype"/>
          <w:color w:val="222222"/>
          <w:sz w:val="24"/>
          <w:szCs w:val="24"/>
          <w:lang w:eastAsia="es-ES_tradnl"/>
        </w:rPr>
      </w:pPr>
      <w:r>
        <w:rPr>
          <w:rFonts w:ascii="Palatino Linotype" w:eastAsia="Times New Roman" w:hAnsi="Palatino Linotype" w:cs="Arial"/>
          <w:b/>
          <w:sz w:val="28"/>
        </w:rPr>
        <w:t>SEXTO</w:t>
      </w:r>
      <w:r>
        <w:rPr>
          <w:rFonts w:ascii="Palatino Linotype" w:eastAsia="Times New Roman" w:hAnsi="Palatino Linotype" w:cs="Arial"/>
          <w:b/>
        </w:rPr>
        <w:t xml:space="preserve">. </w:t>
      </w:r>
      <w:r w:rsidRPr="007E3C2E">
        <w:rPr>
          <w:rFonts w:ascii="Palatino Linotype" w:eastAsiaTheme="minorEastAsia" w:hAnsi="Palatino Linotype"/>
          <w:color w:val="222222"/>
          <w:sz w:val="24"/>
          <w:szCs w:val="24"/>
          <w:lang w:val="es-ES_tradnl" w:eastAsia="es-ES_tradnl"/>
        </w:rPr>
        <w:t>Gí</w:t>
      </w:r>
      <w:r w:rsidRPr="007E3C2E">
        <w:rPr>
          <w:rFonts w:ascii="Palatino Linotype" w:hAnsi="Palatino Linotype"/>
          <w:color w:val="222222"/>
          <w:sz w:val="24"/>
          <w:szCs w:val="24"/>
          <w:lang w:eastAsia="es-ES_tradnl"/>
        </w:rPr>
        <w:t>rese oficio</w:t>
      </w:r>
      <w:r w:rsidRPr="007E3C2E">
        <w:rPr>
          <w:rFonts w:ascii="Palatino Linotype" w:hAnsi="Palatino Linotype"/>
          <w:b/>
          <w:color w:val="222222"/>
          <w:sz w:val="24"/>
          <w:szCs w:val="24"/>
          <w:lang w:eastAsia="es-ES_tradnl"/>
        </w:rPr>
        <w:t xml:space="preserve"> </w:t>
      </w:r>
      <w:r w:rsidRPr="007E3C2E">
        <w:rPr>
          <w:rFonts w:ascii="Palatino Linotype" w:hAnsi="Palatino Linotype"/>
          <w:color w:val="222222"/>
          <w:sz w:val="24"/>
          <w:szCs w:val="24"/>
          <w:lang w:eastAsia="es-ES_tradnl"/>
        </w:rPr>
        <w:t>al Titular de la Dirección General de Protección de Datos Personales en atención al artículo 82, fracción XXVII de la Ley de Protección de Datos Personales del Estado de México y Municipios, en términos del Considerando cuarto de la presente resolución.</w:t>
      </w:r>
    </w:p>
    <w:p w:rsidR="00324F09" w:rsidRDefault="00324F09" w:rsidP="001624E8">
      <w:pPr>
        <w:spacing w:after="0" w:line="360" w:lineRule="auto"/>
        <w:jc w:val="both"/>
        <w:rPr>
          <w:rFonts w:ascii="Palatino Linotype" w:hAnsi="Palatino Linotype" w:cs="Arial"/>
          <w:sz w:val="24"/>
          <w:szCs w:val="24"/>
        </w:rPr>
      </w:pPr>
    </w:p>
    <w:p w:rsidR="00972340" w:rsidRDefault="00F2498E"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AC456D">
        <w:rPr>
          <w:rFonts w:ascii="Palatino Linotype" w:hAnsi="Palatino Linotype" w:cs="Arial"/>
          <w:sz w:val="24"/>
          <w:szCs w:val="24"/>
        </w:rPr>
        <w:t>, EMITIENDO VOTO PARTICULAR</w:t>
      </w:r>
      <w:r w:rsidR="00324F09">
        <w:rPr>
          <w:rFonts w:ascii="Palatino Linotype" w:hAnsi="Palatino Linotype" w:cs="Arial"/>
          <w:sz w:val="24"/>
          <w:szCs w:val="24"/>
        </w:rPr>
        <w:t xml:space="preserve"> Y</w:t>
      </w:r>
      <w:r w:rsidR="00AC456D">
        <w:rPr>
          <w:rFonts w:ascii="Palatino Linotype" w:hAnsi="Palatino Linotype" w:cs="Arial"/>
          <w:sz w:val="24"/>
          <w:szCs w:val="24"/>
        </w:rPr>
        <w:t xml:space="preserve"> LUIS GUSTAVO PARRA NORIEGA,</w:t>
      </w:r>
      <w:r w:rsidR="00972340">
        <w:rPr>
          <w:rFonts w:ascii="Palatino Linotype" w:hAnsi="Palatino Linotype" w:cs="Arial"/>
          <w:sz w:val="24"/>
          <w:szCs w:val="24"/>
        </w:rPr>
        <w:t xml:space="preserve">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AC456D">
        <w:rPr>
          <w:rFonts w:ascii="Palatino Linotype" w:hAnsi="Palatino Linotype" w:cs="Arial"/>
          <w:sz w:val="24"/>
          <w:szCs w:val="24"/>
        </w:rPr>
        <w:t>DÉCIMA CUARTA</w:t>
      </w:r>
      <w:r w:rsidR="00324F09">
        <w:rPr>
          <w:rFonts w:ascii="Palatino Linotype" w:hAnsi="Palatino Linotype" w:cs="Arial"/>
          <w:sz w:val="24"/>
          <w:szCs w:val="24"/>
        </w:rPr>
        <w:t xml:space="preserve"> </w:t>
      </w:r>
      <w:r w:rsidR="00BE7A12">
        <w:rPr>
          <w:rFonts w:ascii="Palatino Linotype" w:hAnsi="Palatino Linotype" w:cs="Arial"/>
          <w:sz w:val="24"/>
          <w:szCs w:val="24"/>
        </w:rPr>
        <w:t>SESIÓN</w:t>
      </w:r>
      <w:r w:rsidR="002729A0">
        <w:rPr>
          <w:rFonts w:ascii="Palatino Linotype" w:hAnsi="Palatino Linotype" w:cs="Arial"/>
          <w:sz w:val="24"/>
          <w:szCs w:val="24"/>
        </w:rPr>
        <w:t xml:space="preserve"> </w:t>
      </w:r>
      <w:r w:rsidRPr="0028671D">
        <w:rPr>
          <w:rFonts w:ascii="Palatino Linotype" w:hAnsi="Palatino Linotype" w:cs="Arial"/>
          <w:sz w:val="24"/>
          <w:szCs w:val="24"/>
        </w:rPr>
        <w:t>ORDINARIA CELEBRADA EL</w:t>
      </w:r>
      <w:r w:rsidR="00C233BB">
        <w:rPr>
          <w:rFonts w:ascii="Palatino Linotype" w:hAnsi="Palatino Linotype" w:cs="Arial"/>
          <w:sz w:val="24"/>
          <w:szCs w:val="24"/>
        </w:rPr>
        <w:t xml:space="preserve"> VEINTIOCHO DE </w:t>
      </w:r>
      <w:r w:rsidR="00586AE5">
        <w:rPr>
          <w:rFonts w:ascii="Palatino Linotype" w:hAnsi="Palatino Linotype" w:cs="Arial"/>
          <w:sz w:val="24"/>
          <w:szCs w:val="24"/>
        </w:rPr>
        <w:t>ABRIL</w:t>
      </w:r>
      <w:r w:rsidR="00BE7A12">
        <w:rPr>
          <w:rFonts w:ascii="Palatino Linotype" w:hAnsi="Palatino Linotype" w:cs="Arial"/>
          <w:sz w:val="24"/>
          <w:szCs w:val="24"/>
        </w:rPr>
        <w:t xml:space="preserve"> DE DOS MIL VEINTIUNO</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96071A">
        <w:rPr>
          <w:rFonts w:ascii="Palatino Linotype" w:hAnsi="Palatino Linotype" w:cs="Arial"/>
          <w:sz w:val="24"/>
          <w:szCs w:val="24"/>
        </w:rPr>
        <w:t>--</w:t>
      </w:r>
      <w:r w:rsidR="001624E8">
        <w:rPr>
          <w:rFonts w:ascii="Palatino Linotype" w:hAnsi="Palatino Linotype" w:cs="Arial"/>
          <w:sz w:val="24"/>
          <w:szCs w:val="24"/>
        </w:rPr>
        <w:t>-------</w:t>
      </w:r>
      <w:r w:rsidR="00C233BB">
        <w:rPr>
          <w:rFonts w:ascii="Palatino Linotype" w:hAnsi="Palatino Linotype" w:cs="Arial"/>
          <w:sz w:val="24"/>
          <w:szCs w:val="24"/>
        </w:rPr>
        <w:t>------------------------------------------------------------------------------------------------------------------------------------------------------------------------------------------------------------------------------------------------------------------------------------------------------------------------------------------------------------------------------------------------------------------------------------------------------------------------------------------------------------------------------------------------------------------------------------------------------------------------------------------------------------------------------------------------------------------------------------------------------------------------------------------------------------------------------------------------------</w:t>
      </w:r>
      <w:r w:rsidR="001624E8">
        <w:rPr>
          <w:rFonts w:ascii="Palatino Linotype" w:hAnsi="Palatino Linotype" w:cs="Arial"/>
          <w:sz w:val="24"/>
          <w:szCs w:val="24"/>
        </w:rPr>
        <w:t>OSAM/MOC.</w:t>
      </w:r>
    </w:p>
    <w:p w:rsidR="009E7F49" w:rsidRDefault="009E7F49" w:rsidP="001624E8">
      <w:pPr>
        <w:spacing w:after="0" w:line="360" w:lineRule="auto"/>
        <w:jc w:val="both"/>
        <w:rPr>
          <w:rFonts w:ascii="Palatino Linotype" w:hAnsi="Palatino Linotype" w:cs="Arial"/>
          <w:sz w:val="24"/>
          <w:szCs w:val="24"/>
        </w:rPr>
      </w:pPr>
    </w:p>
    <w:p w:rsidR="00BE7A12" w:rsidRDefault="00BE7A12" w:rsidP="001624E8">
      <w:pPr>
        <w:spacing w:after="0" w:line="360" w:lineRule="auto"/>
        <w:jc w:val="both"/>
        <w:rPr>
          <w:rFonts w:ascii="Palatino Linotype" w:hAnsi="Palatino Linotype"/>
        </w:rPr>
      </w:pPr>
    </w:p>
    <w:p w:rsidR="00BE7A12" w:rsidRDefault="00BE7A12" w:rsidP="001624E8">
      <w:pPr>
        <w:spacing w:after="0" w:line="360" w:lineRule="auto"/>
        <w:jc w:val="both"/>
        <w:rPr>
          <w:rFonts w:ascii="Palatino Linotype" w:hAnsi="Palatino Linotype"/>
        </w:rPr>
      </w:pPr>
    </w:p>
    <w:p w:rsidR="003A3A32" w:rsidRPr="00152075" w:rsidRDefault="003A3A32" w:rsidP="001624E8">
      <w:pPr>
        <w:spacing w:after="0" w:line="360" w:lineRule="auto"/>
        <w:jc w:val="both"/>
        <w:rPr>
          <w:rFonts w:ascii="Palatino Linotype" w:hAnsi="Palatino Linotype"/>
        </w:rPr>
      </w:pPr>
    </w:p>
    <w:sectPr w:rsidR="003A3A32" w:rsidRPr="00152075" w:rsidSect="00DF6006">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7A8" w:rsidRDefault="009D47A8" w:rsidP="00F2498E">
      <w:pPr>
        <w:spacing w:after="0" w:line="240" w:lineRule="auto"/>
      </w:pPr>
      <w:r>
        <w:separator/>
      </w:r>
    </w:p>
  </w:endnote>
  <w:endnote w:type="continuationSeparator" w:id="0">
    <w:p w:rsidR="009D47A8" w:rsidRDefault="009D47A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52" w:rsidRPr="000B69FA" w:rsidRDefault="007A2D52"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4999">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499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52" w:rsidRPr="000B69FA" w:rsidRDefault="007A2D52"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49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499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7A8" w:rsidRDefault="009D47A8" w:rsidP="00F2498E">
      <w:pPr>
        <w:spacing w:after="0" w:line="240" w:lineRule="auto"/>
      </w:pPr>
      <w:r>
        <w:separator/>
      </w:r>
    </w:p>
  </w:footnote>
  <w:footnote w:type="continuationSeparator" w:id="0">
    <w:p w:rsidR="009D47A8" w:rsidRDefault="009D47A8"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856" w:rsidRDefault="009D47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64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52" w:rsidRDefault="009D47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64439" o:spid="_x0000_s2051" type="#_x0000_t75" style="position:absolute;margin-left:-84.7pt;margin-top:-135.3pt;width:609.4pt;height:793.75pt;z-index:-251656192;mso-position-horizontal-relative:margin;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7A2D52" w:rsidRPr="00B17577" w:rsidTr="00C36B0D">
      <w:trPr>
        <w:trHeight w:val="227"/>
      </w:trPr>
      <w:tc>
        <w:tcPr>
          <w:tcW w:w="5529" w:type="dxa"/>
          <w:hideMark/>
        </w:tcPr>
        <w:p w:rsidR="007A2D52" w:rsidRDefault="007A2D52"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7A2D52" w:rsidRPr="00B17577" w:rsidRDefault="007A2D52" w:rsidP="00891CFC">
          <w:pPr>
            <w:jc w:val="right"/>
            <w:rPr>
              <w:rFonts w:ascii="Palatino Linotype" w:hAnsi="Palatino Linotype" w:cs="Arial"/>
              <w:b/>
            </w:rPr>
          </w:pPr>
          <w:r w:rsidRPr="00B17577">
            <w:rPr>
              <w:rFonts w:ascii="Palatino Linotype" w:hAnsi="Palatino Linotype" w:cs="Arial"/>
              <w:b/>
            </w:rPr>
            <w:t>0</w:t>
          </w:r>
          <w:r>
            <w:rPr>
              <w:rFonts w:ascii="Palatino Linotype" w:hAnsi="Palatino Linotype" w:cs="Arial"/>
              <w:b/>
            </w:rPr>
            <w:t>0780/INFOEM/IP/RR/2021</w:t>
          </w:r>
        </w:p>
      </w:tc>
    </w:tr>
    <w:tr w:rsidR="007A2D52" w:rsidTr="00C36B0D">
      <w:trPr>
        <w:trHeight w:val="242"/>
      </w:trPr>
      <w:tc>
        <w:tcPr>
          <w:tcW w:w="5529" w:type="dxa"/>
          <w:vAlign w:val="center"/>
          <w:hideMark/>
        </w:tcPr>
        <w:p w:rsidR="007A2D52" w:rsidRDefault="007A2D52" w:rsidP="00891CFC">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7A2D52" w:rsidRPr="00F63239" w:rsidRDefault="007A2D52" w:rsidP="00891CFC">
          <w:pPr>
            <w:jc w:val="right"/>
            <w:rPr>
              <w:rFonts w:ascii="Palatino Linotype" w:hAnsi="Palatino Linotype" w:cs="Arial"/>
              <w:b/>
            </w:rPr>
          </w:pPr>
          <w:r w:rsidRPr="00891CFC">
            <w:rPr>
              <w:rFonts w:ascii="Palatino Linotype" w:hAnsi="Palatino Linotype" w:cs="Arial"/>
              <w:b/>
            </w:rPr>
            <w:t xml:space="preserve">Hospital Regional de Alta </w:t>
          </w:r>
          <w:r>
            <w:rPr>
              <w:rFonts w:ascii="Palatino Linotype" w:hAnsi="Palatino Linotype" w:cs="Arial"/>
              <w:b/>
            </w:rPr>
            <w:t xml:space="preserve">  </w:t>
          </w:r>
          <w:r w:rsidRPr="00891CFC">
            <w:rPr>
              <w:rFonts w:ascii="Palatino Linotype" w:hAnsi="Palatino Linotype" w:cs="Arial"/>
              <w:b/>
            </w:rPr>
            <w:t>Especialidad de Zumpango</w:t>
          </w:r>
        </w:p>
      </w:tc>
    </w:tr>
    <w:tr w:rsidR="007A2D52" w:rsidRPr="00F63239" w:rsidTr="00C36B0D">
      <w:trPr>
        <w:trHeight w:val="342"/>
      </w:trPr>
      <w:tc>
        <w:tcPr>
          <w:tcW w:w="5529" w:type="dxa"/>
          <w:hideMark/>
        </w:tcPr>
        <w:p w:rsidR="007A2D52" w:rsidRDefault="007A2D52"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7A2D52" w:rsidRPr="00F63239" w:rsidRDefault="007A2D52"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rsidR="007A2D52" w:rsidRDefault="007A2D5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7A2D52" w:rsidTr="000C2D59">
      <w:trPr>
        <w:trHeight w:val="227"/>
      </w:trPr>
      <w:tc>
        <w:tcPr>
          <w:tcW w:w="5949" w:type="dxa"/>
          <w:hideMark/>
        </w:tcPr>
        <w:p w:rsidR="007A2D52" w:rsidRDefault="007A2D5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7A2D52" w:rsidRPr="00F63239" w:rsidRDefault="007A2D52" w:rsidP="00891CFC">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0780/INFOEM/IP/RR/2021</w:t>
          </w:r>
        </w:p>
      </w:tc>
    </w:tr>
    <w:tr w:rsidR="007A2D52" w:rsidTr="000C2D59">
      <w:trPr>
        <w:trHeight w:val="196"/>
      </w:trPr>
      <w:tc>
        <w:tcPr>
          <w:tcW w:w="5949" w:type="dxa"/>
          <w:hideMark/>
        </w:tcPr>
        <w:p w:rsidR="007A2D52" w:rsidRDefault="007A2D5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7A2D52" w:rsidRPr="00F63239" w:rsidRDefault="008B4999" w:rsidP="00996BCA">
          <w:pPr>
            <w:spacing w:after="120" w:line="256" w:lineRule="auto"/>
            <w:ind w:left="-486" w:firstLine="486"/>
            <w:jc w:val="right"/>
            <w:rPr>
              <w:rFonts w:ascii="Palatino Linotype" w:hAnsi="Palatino Linotype" w:cs="Arial"/>
              <w:b/>
            </w:rPr>
          </w:pPr>
          <w:proofErr w:type="spellStart"/>
          <w:r>
            <w:rPr>
              <w:rFonts w:ascii="Palatino Linotype" w:hAnsi="Palatino Linotype" w:cs="Arial"/>
              <w:b/>
            </w:rPr>
            <w:t>xxxx</w:t>
          </w:r>
          <w:proofErr w:type="spellEnd"/>
        </w:p>
      </w:tc>
    </w:tr>
    <w:tr w:rsidR="007A2D52" w:rsidTr="000C2D59">
      <w:trPr>
        <w:trHeight w:val="242"/>
      </w:trPr>
      <w:tc>
        <w:tcPr>
          <w:tcW w:w="5949" w:type="dxa"/>
          <w:vAlign w:val="center"/>
          <w:hideMark/>
        </w:tcPr>
        <w:p w:rsidR="007A2D52" w:rsidRDefault="007A2D5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7A2D52" w:rsidRPr="00F63239" w:rsidRDefault="007A2D52" w:rsidP="00B17577">
          <w:pPr>
            <w:jc w:val="right"/>
            <w:rPr>
              <w:rFonts w:ascii="Palatino Linotype" w:hAnsi="Palatino Linotype" w:cs="Arial"/>
              <w:b/>
            </w:rPr>
          </w:pPr>
          <w:r w:rsidRPr="00891CFC">
            <w:rPr>
              <w:rFonts w:ascii="Palatino Linotype" w:hAnsi="Palatino Linotype" w:cs="Arial"/>
              <w:b/>
            </w:rPr>
            <w:t>Hospital Regional de Alta Especialidad de Zumpango</w:t>
          </w:r>
        </w:p>
      </w:tc>
    </w:tr>
    <w:tr w:rsidR="007A2D52" w:rsidTr="000C2D59">
      <w:trPr>
        <w:trHeight w:val="342"/>
      </w:trPr>
      <w:tc>
        <w:tcPr>
          <w:tcW w:w="5949" w:type="dxa"/>
          <w:hideMark/>
        </w:tcPr>
        <w:p w:rsidR="007A2D52" w:rsidRDefault="007A2D52"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7A2D52" w:rsidRPr="00F63239" w:rsidRDefault="007A2D52"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rsidR="007A2D52" w:rsidRDefault="009D47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64437" o:spid="_x0000_s2049" type="#_x0000_t75" style="position:absolute;margin-left:-82.3pt;margin-top:-139.4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3">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43FF3EAA"/>
    <w:multiLevelType w:val="hybridMultilevel"/>
    <w:tmpl w:val="A042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180D30"/>
    <w:multiLevelType w:val="hybridMultilevel"/>
    <w:tmpl w:val="22C8BB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6"/>
  </w:num>
  <w:num w:numId="3">
    <w:abstractNumId w:val="21"/>
  </w:num>
  <w:num w:numId="4">
    <w:abstractNumId w:val="0"/>
  </w:num>
  <w:num w:numId="5">
    <w:abstractNumId w:val="13"/>
  </w:num>
  <w:num w:numId="6">
    <w:abstractNumId w:val="14"/>
  </w:num>
  <w:num w:numId="7">
    <w:abstractNumId w:val="30"/>
  </w:num>
  <w:num w:numId="8">
    <w:abstractNumId w:val="23"/>
  </w:num>
  <w:num w:numId="9">
    <w:abstractNumId w:val="18"/>
  </w:num>
  <w:num w:numId="10">
    <w:abstractNumId w:val="10"/>
  </w:num>
  <w:num w:numId="11">
    <w:abstractNumId w:val="15"/>
  </w:num>
  <w:num w:numId="12">
    <w:abstractNumId w:val="11"/>
  </w:num>
  <w:num w:numId="13">
    <w:abstractNumId w:val="28"/>
  </w:num>
  <w:num w:numId="14">
    <w:abstractNumId w:val="29"/>
  </w:num>
  <w:num w:numId="15">
    <w:abstractNumId w:val="25"/>
  </w:num>
  <w:num w:numId="16">
    <w:abstractNumId w:val="22"/>
  </w:num>
  <w:num w:numId="17">
    <w:abstractNumId w:val="32"/>
  </w:num>
  <w:num w:numId="18">
    <w:abstractNumId w:val="4"/>
  </w:num>
  <w:num w:numId="19">
    <w:abstractNumId w:val="19"/>
  </w:num>
  <w:num w:numId="20">
    <w:abstractNumId w:val="3"/>
  </w:num>
  <w:num w:numId="21">
    <w:abstractNumId w:val="33"/>
  </w:num>
  <w:num w:numId="22">
    <w:abstractNumId w:val="5"/>
  </w:num>
  <w:num w:numId="23">
    <w:abstractNumId w:val="1"/>
  </w:num>
  <w:num w:numId="24">
    <w:abstractNumId w:val="17"/>
  </w:num>
  <w:num w:numId="25">
    <w:abstractNumId w:val="12"/>
  </w:num>
  <w:num w:numId="26">
    <w:abstractNumId w:val="24"/>
  </w:num>
  <w:num w:numId="27">
    <w:abstractNumId w:val="7"/>
  </w:num>
  <w:num w:numId="28">
    <w:abstractNumId w:val="8"/>
  </w:num>
  <w:num w:numId="29">
    <w:abstractNumId w:val="27"/>
  </w:num>
  <w:num w:numId="30">
    <w:abstractNumId w:val="2"/>
  </w:num>
  <w:num w:numId="31">
    <w:abstractNumId w:val="31"/>
  </w:num>
  <w:num w:numId="32">
    <w:abstractNumId w:val="9"/>
  </w:num>
  <w:num w:numId="33">
    <w:abstractNumId w:val="1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2BEE"/>
    <w:rsid w:val="00015487"/>
    <w:rsid w:val="00021165"/>
    <w:rsid w:val="00024A6D"/>
    <w:rsid w:val="00031BA3"/>
    <w:rsid w:val="00033562"/>
    <w:rsid w:val="00036D5F"/>
    <w:rsid w:val="00041670"/>
    <w:rsid w:val="0005480B"/>
    <w:rsid w:val="00054F6A"/>
    <w:rsid w:val="00055C90"/>
    <w:rsid w:val="000564B5"/>
    <w:rsid w:val="000575E4"/>
    <w:rsid w:val="0005787D"/>
    <w:rsid w:val="00060716"/>
    <w:rsid w:val="000666B3"/>
    <w:rsid w:val="0007107B"/>
    <w:rsid w:val="00075D5E"/>
    <w:rsid w:val="00077A55"/>
    <w:rsid w:val="000802BA"/>
    <w:rsid w:val="00082E5D"/>
    <w:rsid w:val="0008496A"/>
    <w:rsid w:val="0008737D"/>
    <w:rsid w:val="00092D82"/>
    <w:rsid w:val="000A3F41"/>
    <w:rsid w:val="000B5608"/>
    <w:rsid w:val="000C2D59"/>
    <w:rsid w:val="000C51AF"/>
    <w:rsid w:val="000C7F8F"/>
    <w:rsid w:val="000D14DA"/>
    <w:rsid w:val="000D5634"/>
    <w:rsid w:val="000E1FD4"/>
    <w:rsid w:val="000F114E"/>
    <w:rsid w:val="001050A9"/>
    <w:rsid w:val="00115495"/>
    <w:rsid w:val="00116F6B"/>
    <w:rsid w:val="00123D0B"/>
    <w:rsid w:val="00131F2D"/>
    <w:rsid w:val="00142D35"/>
    <w:rsid w:val="00144BA8"/>
    <w:rsid w:val="001509C0"/>
    <w:rsid w:val="00155CC6"/>
    <w:rsid w:val="00155F53"/>
    <w:rsid w:val="001568D5"/>
    <w:rsid w:val="001624E8"/>
    <w:rsid w:val="0016322B"/>
    <w:rsid w:val="0016339A"/>
    <w:rsid w:val="00165898"/>
    <w:rsid w:val="00176522"/>
    <w:rsid w:val="00184AEA"/>
    <w:rsid w:val="00185C61"/>
    <w:rsid w:val="00192D02"/>
    <w:rsid w:val="001957E6"/>
    <w:rsid w:val="00195845"/>
    <w:rsid w:val="0019584A"/>
    <w:rsid w:val="001960AD"/>
    <w:rsid w:val="00197852"/>
    <w:rsid w:val="001A0AFD"/>
    <w:rsid w:val="001A0E96"/>
    <w:rsid w:val="001A1BDB"/>
    <w:rsid w:val="001A3C5F"/>
    <w:rsid w:val="001A6849"/>
    <w:rsid w:val="001B6C2D"/>
    <w:rsid w:val="001C0F32"/>
    <w:rsid w:val="001C2C72"/>
    <w:rsid w:val="001C7697"/>
    <w:rsid w:val="001D3EE2"/>
    <w:rsid w:val="001E5453"/>
    <w:rsid w:val="001E678B"/>
    <w:rsid w:val="001F408E"/>
    <w:rsid w:val="001F7890"/>
    <w:rsid w:val="00201765"/>
    <w:rsid w:val="00205FAC"/>
    <w:rsid w:val="00210714"/>
    <w:rsid w:val="0021327B"/>
    <w:rsid w:val="002155ED"/>
    <w:rsid w:val="00227DBC"/>
    <w:rsid w:val="0023118D"/>
    <w:rsid w:val="0023293E"/>
    <w:rsid w:val="00232A7A"/>
    <w:rsid w:val="0023573F"/>
    <w:rsid w:val="00240046"/>
    <w:rsid w:val="002432E1"/>
    <w:rsid w:val="00256CE0"/>
    <w:rsid w:val="0026506A"/>
    <w:rsid w:val="002710B5"/>
    <w:rsid w:val="002729A0"/>
    <w:rsid w:val="00273F7C"/>
    <w:rsid w:val="0027555F"/>
    <w:rsid w:val="00282431"/>
    <w:rsid w:val="00283D5E"/>
    <w:rsid w:val="00284245"/>
    <w:rsid w:val="002913C5"/>
    <w:rsid w:val="00293F85"/>
    <w:rsid w:val="00296E92"/>
    <w:rsid w:val="002A5ADD"/>
    <w:rsid w:val="002A6FCE"/>
    <w:rsid w:val="002A7501"/>
    <w:rsid w:val="002B317E"/>
    <w:rsid w:val="002B40FF"/>
    <w:rsid w:val="002C26CD"/>
    <w:rsid w:val="002C4718"/>
    <w:rsid w:val="002C6010"/>
    <w:rsid w:val="002C7EC4"/>
    <w:rsid w:val="002D4953"/>
    <w:rsid w:val="002E1484"/>
    <w:rsid w:val="002E40AD"/>
    <w:rsid w:val="002E72F0"/>
    <w:rsid w:val="002F368E"/>
    <w:rsid w:val="002F40FF"/>
    <w:rsid w:val="00302BF3"/>
    <w:rsid w:val="00303F92"/>
    <w:rsid w:val="00315AE3"/>
    <w:rsid w:val="00316A7B"/>
    <w:rsid w:val="00324F09"/>
    <w:rsid w:val="00331513"/>
    <w:rsid w:val="00341178"/>
    <w:rsid w:val="00344766"/>
    <w:rsid w:val="00344AD3"/>
    <w:rsid w:val="00345708"/>
    <w:rsid w:val="003467CD"/>
    <w:rsid w:val="0036188D"/>
    <w:rsid w:val="003702AE"/>
    <w:rsid w:val="0037526D"/>
    <w:rsid w:val="003839F9"/>
    <w:rsid w:val="00392022"/>
    <w:rsid w:val="0039214E"/>
    <w:rsid w:val="003A0B24"/>
    <w:rsid w:val="003A3A32"/>
    <w:rsid w:val="003A59A6"/>
    <w:rsid w:val="003B1752"/>
    <w:rsid w:val="003D0AE2"/>
    <w:rsid w:val="003E468A"/>
    <w:rsid w:val="003E6E17"/>
    <w:rsid w:val="003F2491"/>
    <w:rsid w:val="003F5D5C"/>
    <w:rsid w:val="00400915"/>
    <w:rsid w:val="00414020"/>
    <w:rsid w:val="004176BF"/>
    <w:rsid w:val="004204D0"/>
    <w:rsid w:val="004232C6"/>
    <w:rsid w:val="00426124"/>
    <w:rsid w:val="00434C3F"/>
    <w:rsid w:val="00444E7F"/>
    <w:rsid w:val="00445853"/>
    <w:rsid w:val="00447748"/>
    <w:rsid w:val="00447A90"/>
    <w:rsid w:val="00453687"/>
    <w:rsid w:val="0046281E"/>
    <w:rsid w:val="004728C4"/>
    <w:rsid w:val="00473C7A"/>
    <w:rsid w:val="00474C35"/>
    <w:rsid w:val="004750A1"/>
    <w:rsid w:val="004769A4"/>
    <w:rsid w:val="00480D99"/>
    <w:rsid w:val="00483EC9"/>
    <w:rsid w:val="004841AE"/>
    <w:rsid w:val="00484C7F"/>
    <w:rsid w:val="004933FC"/>
    <w:rsid w:val="004B0090"/>
    <w:rsid w:val="004B05C6"/>
    <w:rsid w:val="004B1A74"/>
    <w:rsid w:val="004B3514"/>
    <w:rsid w:val="004C09C8"/>
    <w:rsid w:val="004C3C1C"/>
    <w:rsid w:val="004C43C9"/>
    <w:rsid w:val="004C45FA"/>
    <w:rsid w:val="004C6779"/>
    <w:rsid w:val="004D66AD"/>
    <w:rsid w:val="004E1B3C"/>
    <w:rsid w:val="004E3F86"/>
    <w:rsid w:val="004E4AD1"/>
    <w:rsid w:val="004F3291"/>
    <w:rsid w:val="004F32D0"/>
    <w:rsid w:val="004F6671"/>
    <w:rsid w:val="004F78C4"/>
    <w:rsid w:val="005025C7"/>
    <w:rsid w:val="00504B42"/>
    <w:rsid w:val="00510870"/>
    <w:rsid w:val="00515E8C"/>
    <w:rsid w:val="00516A4D"/>
    <w:rsid w:val="0052661E"/>
    <w:rsid w:val="00526627"/>
    <w:rsid w:val="00531016"/>
    <w:rsid w:val="00533D56"/>
    <w:rsid w:val="00535912"/>
    <w:rsid w:val="005367E7"/>
    <w:rsid w:val="00542CDB"/>
    <w:rsid w:val="005449D0"/>
    <w:rsid w:val="0055603D"/>
    <w:rsid w:val="0056402C"/>
    <w:rsid w:val="00564DDB"/>
    <w:rsid w:val="005660D0"/>
    <w:rsid w:val="00566380"/>
    <w:rsid w:val="005701EF"/>
    <w:rsid w:val="00571527"/>
    <w:rsid w:val="005727FC"/>
    <w:rsid w:val="00572C2A"/>
    <w:rsid w:val="00573B96"/>
    <w:rsid w:val="00584C51"/>
    <w:rsid w:val="00586AE5"/>
    <w:rsid w:val="00587E84"/>
    <w:rsid w:val="005964D7"/>
    <w:rsid w:val="00597018"/>
    <w:rsid w:val="005A2F92"/>
    <w:rsid w:val="005A7145"/>
    <w:rsid w:val="005A7E33"/>
    <w:rsid w:val="005B10CC"/>
    <w:rsid w:val="005B6FFD"/>
    <w:rsid w:val="005C5501"/>
    <w:rsid w:val="005C7AFE"/>
    <w:rsid w:val="005D10B3"/>
    <w:rsid w:val="005D158D"/>
    <w:rsid w:val="005E1AEC"/>
    <w:rsid w:val="005E24C2"/>
    <w:rsid w:val="005E35AB"/>
    <w:rsid w:val="005F4D3D"/>
    <w:rsid w:val="0060244C"/>
    <w:rsid w:val="00610A95"/>
    <w:rsid w:val="00613401"/>
    <w:rsid w:val="006168EB"/>
    <w:rsid w:val="00616DEB"/>
    <w:rsid w:val="006263D3"/>
    <w:rsid w:val="0062694E"/>
    <w:rsid w:val="00630030"/>
    <w:rsid w:val="00636EB3"/>
    <w:rsid w:val="00640E61"/>
    <w:rsid w:val="00642A8B"/>
    <w:rsid w:val="006468ED"/>
    <w:rsid w:val="006512F6"/>
    <w:rsid w:val="00653B0F"/>
    <w:rsid w:val="00665A8F"/>
    <w:rsid w:val="0067157E"/>
    <w:rsid w:val="00680D15"/>
    <w:rsid w:val="006818D9"/>
    <w:rsid w:val="006838C7"/>
    <w:rsid w:val="00690405"/>
    <w:rsid w:val="006914D2"/>
    <w:rsid w:val="00691C06"/>
    <w:rsid w:val="00696FD6"/>
    <w:rsid w:val="006A585F"/>
    <w:rsid w:val="006A7CE2"/>
    <w:rsid w:val="006B4CA4"/>
    <w:rsid w:val="006B6498"/>
    <w:rsid w:val="006B64AA"/>
    <w:rsid w:val="006C52D3"/>
    <w:rsid w:val="006C55C2"/>
    <w:rsid w:val="006C6C41"/>
    <w:rsid w:val="006D1EC8"/>
    <w:rsid w:val="006D3F59"/>
    <w:rsid w:val="006E20F9"/>
    <w:rsid w:val="006E6076"/>
    <w:rsid w:val="006F04A3"/>
    <w:rsid w:val="00700C90"/>
    <w:rsid w:val="00704693"/>
    <w:rsid w:val="007054D8"/>
    <w:rsid w:val="0071601C"/>
    <w:rsid w:val="007214D9"/>
    <w:rsid w:val="00723C6D"/>
    <w:rsid w:val="007264EA"/>
    <w:rsid w:val="00732AB3"/>
    <w:rsid w:val="007332CF"/>
    <w:rsid w:val="00736F47"/>
    <w:rsid w:val="00740DFE"/>
    <w:rsid w:val="00752886"/>
    <w:rsid w:val="0075799A"/>
    <w:rsid w:val="0076064B"/>
    <w:rsid w:val="00762151"/>
    <w:rsid w:val="0076215F"/>
    <w:rsid w:val="00764010"/>
    <w:rsid w:val="00764368"/>
    <w:rsid w:val="0077455A"/>
    <w:rsid w:val="00777372"/>
    <w:rsid w:val="00781849"/>
    <w:rsid w:val="00781B6F"/>
    <w:rsid w:val="00783B56"/>
    <w:rsid w:val="00791C7A"/>
    <w:rsid w:val="00791D59"/>
    <w:rsid w:val="007938AE"/>
    <w:rsid w:val="00793B7C"/>
    <w:rsid w:val="007A2D52"/>
    <w:rsid w:val="007A550A"/>
    <w:rsid w:val="007A5B2E"/>
    <w:rsid w:val="007B46BF"/>
    <w:rsid w:val="007C05DC"/>
    <w:rsid w:val="007C0FF7"/>
    <w:rsid w:val="007C14EE"/>
    <w:rsid w:val="007D07B3"/>
    <w:rsid w:val="007D1B1E"/>
    <w:rsid w:val="007E3C2E"/>
    <w:rsid w:val="007E781F"/>
    <w:rsid w:val="007F1538"/>
    <w:rsid w:val="007F5E4F"/>
    <w:rsid w:val="007F7965"/>
    <w:rsid w:val="00800EF1"/>
    <w:rsid w:val="008017D6"/>
    <w:rsid w:val="0080185B"/>
    <w:rsid w:val="00802AC9"/>
    <w:rsid w:val="00810E97"/>
    <w:rsid w:val="00816C5A"/>
    <w:rsid w:val="0082049D"/>
    <w:rsid w:val="008217BC"/>
    <w:rsid w:val="00831D6C"/>
    <w:rsid w:val="00832F6C"/>
    <w:rsid w:val="008341ED"/>
    <w:rsid w:val="00841673"/>
    <w:rsid w:val="00841963"/>
    <w:rsid w:val="00845B52"/>
    <w:rsid w:val="008477B9"/>
    <w:rsid w:val="008523FA"/>
    <w:rsid w:val="008529E6"/>
    <w:rsid w:val="00852CDD"/>
    <w:rsid w:val="00855E11"/>
    <w:rsid w:val="008575E1"/>
    <w:rsid w:val="00863328"/>
    <w:rsid w:val="00864D6E"/>
    <w:rsid w:val="0086690B"/>
    <w:rsid w:val="008710F8"/>
    <w:rsid w:val="00871B94"/>
    <w:rsid w:val="008755C2"/>
    <w:rsid w:val="00881947"/>
    <w:rsid w:val="00882C01"/>
    <w:rsid w:val="008853EC"/>
    <w:rsid w:val="00891CFC"/>
    <w:rsid w:val="00895187"/>
    <w:rsid w:val="008A0C9F"/>
    <w:rsid w:val="008A1645"/>
    <w:rsid w:val="008A7EF2"/>
    <w:rsid w:val="008B4999"/>
    <w:rsid w:val="008B70C4"/>
    <w:rsid w:val="008C442E"/>
    <w:rsid w:val="008C4943"/>
    <w:rsid w:val="008C5658"/>
    <w:rsid w:val="008D346A"/>
    <w:rsid w:val="008D41FC"/>
    <w:rsid w:val="008E2654"/>
    <w:rsid w:val="008F1C22"/>
    <w:rsid w:val="008F47DC"/>
    <w:rsid w:val="00914986"/>
    <w:rsid w:val="00914DFE"/>
    <w:rsid w:val="0092131F"/>
    <w:rsid w:val="00933540"/>
    <w:rsid w:val="00941D0E"/>
    <w:rsid w:val="00946522"/>
    <w:rsid w:val="0095183B"/>
    <w:rsid w:val="0095204C"/>
    <w:rsid w:val="009520FE"/>
    <w:rsid w:val="00953B51"/>
    <w:rsid w:val="00953B7B"/>
    <w:rsid w:val="009603E5"/>
    <w:rsid w:val="0096071A"/>
    <w:rsid w:val="00960C91"/>
    <w:rsid w:val="00961AEB"/>
    <w:rsid w:val="00963717"/>
    <w:rsid w:val="00965CC4"/>
    <w:rsid w:val="0096624D"/>
    <w:rsid w:val="00970C38"/>
    <w:rsid w:val="00971614"/>
    <w:rsid w:val="00972340"/>
    <w:rsid w:val="009752FA"/>
    <w:rsid w:val="00982494"/>
    <w:rsid w:val="009845F3"/>
    <w:rsid w:val="00990935"/>
    <w:rsid w:val="00996BCA"/>
    <w:rsid w:val="009A3604"/>
    <w:rsid w:val="009A473C"/>
    <w:rsid w:val="009A7F00"/>
    <w:rsid w:val="009B41F0"/>
    <w:rsid w:val="009B7FFD"/>
    <w:rsid w:val="009C4284"/>
    <w:rsid w:val="009C5DC4"/>
    <w:rsid w:val="009D0BC2"/>
    <w:rsid w:val="009D47A8"/>
    <w:rsid w:val="009D5B2E"/>
    <w:rsid w:val="009D7D83"/>
    <w:rsid w:val="009E439C"/>
    <w:rsid w:val="009E620D"/>
    <w:rsid w:val="009E7F49"/>
    <w:rsid w:val="009F0B98"/>
    <w:rsid w:val="00A14320"/>
    <w:rsid w:val="00A15E74"/>
    <w:rsid w:val="00A164FB"/>
    <w:rsid w:val="00A175E5"/>
    <w:rsid w:val="00A24F60"/>
    <w:rsid w:val="00A25B1F"/>
    <w:rsid w:val="00A31101"/>
    <w:rsid w:val="00A32266"/>
    <w:rsid w:val="00A35D0A"/>
    <w:rsid w:val="00A42629"/>
    <w:rsid w:val="00A4524B"/>
    <w:rsid w:val="00A45454"/>
    <w:rsid w:val="00A50EE4"/>
    <w:rsid w:val="00A53511"/>
    <w:rsid w:val="00A60841"/>
    <w:rsid w:val="00A63700"/>
    <w:rsid w:val="00A67625"/>
    <w:rsid w:val="00A73EF9"/>
    <w:rsid w:val="00A80BB6"/>
    <w:rsid w:val="00A80C68"/>
    <w:rsid w:val="00A855BE"/>
    <w:rsid w:val="00A9222E"/>
    <w:rsid w:val="00A92DD2"/>
    <w:rsid w:val="00A93911"/>
    <w:rsid w:val="00A9454C"/>
    <w:rsid w:val="00A94751"/>
    <w:rsid w:val="00A95B2A"/>
    <w:rsid w:val="00AA1BBB"/>
    <w:rsid w:val="00AA7316"/>
    <w:rsid w:val="00AB0C12"/>
    <w:rsid w:val="00AB26D5"/>
    <w:rsid w:val="00AB5F3B"/>
    <w:rsid w:val="00AC456D"/>
    <w:rsid w:val="00AC6797"/>
    <w:rsid w:val="00AD1EAE"/>
    <w:rsid w:val="00AD2280"/>
    <w:rsid w:val="00AD76EF"/>
    <w:rsid w:val="00AE19D1"/>
    <w:rsid w:val="00AE5D09"/>
    <w:rsid w:val="00AF4EE4"/>
    <w:rsid w:val="00B0036F"/>
    <w:rsid w:val="00B04F50"/>
    <w:rsid w:val="00B1073D"/>
    <w:rsid w:val="00B11CD7"/>
    <w:rsid w:val="00B17577"/>
    <w:rsid w:val="00B23256"/>
    <w:rsid w:val="00B24CF5"/>
    <w:rsid w:val="00B269CE"/>
    <w:rsid w:val="00B32B21"/>
    <w:rsid w:val="00B40DF9"/>
    <w:rsid w:val="00B435F8"/>
    <w:rsid w:val="00B57348"/>
    <w:rsid w:val="00B61E5E"/>
    <w:rsid w:val="00B63807"/>
    <w:rsid w:val="00B66649"/>
    <w:rsid w:val="00B67741"/>
    <w:rsid w:val="00B75683"/>
    <w:rsid w:val="00B7667D"/>
    <w:rsid w:val="00B8179C"/>
    <w:rsid w:val="00B84A8A"/>
    <w:rsid w:val="00B934BE"/>
    <w:rsid w:val="00B962BB"/>
    <w:rsid w:val="00BA6707"/>
    <w:rsid w:val="00BA7C0B"/>
    <w:rsid w:val="00BB1940"/>
    <w:rsid w:val="00BB5301"/>
    <w:rsid w:val="00BB7349"/>
    <w:rsid w:val="00BC0367"/>
    <w:rsid w:val="00BC219A"/>
    <w:rsid w:val="00BD034D"/>
    <w:rsid w:val="00BD780A"/>
    <w:rsid w:val="00BE635E"/>
    <w:rsid w:val="00BE6364"/>
    <w:rsid w:val="00BE7A12"/>
    <w:rsid w:val="00BF6362"/>
    <w:rsid w:val="00C06182"/>
    <w:rsid w:val="00C06249"/>
    <w:rsid w:val="00C07B7F"/>
    <w:rsid w:val="00C07EC8"/>
    <w:rsid w:val="00C13C38"/>
    <w:rsid w:val="00C14933"/>
    <w:rsid w:val="00C233BB"/>
    <w:rsid w:val="00C235D5"/>
    <w:rsid w:val="00C238FB"/>
    <w:rsid w:val="00C25B3F"/>
    <w:rsid w:val="00C2627B"/>
    <w:rsid w:val="00C33352"/>
    <w:rsid w:val="00C35A64"/>
    <w:rsid w:val="00C36B0D"/>
    <w:rsid w:val="00C536D2"/>
    <w:rsid w:val="00C559CD"/>
    <w:rsid w:val="00C61FEC"/>
    <w:rsid w:val="00C65918"/>
    <w:rsid w:val="00C72F35"/>
    <w:rsid w:val="00C76CD4"/>
    <w:rsid w:val="00C80B05"/>
    <w:rsid w:val="00C84348"/>
    <w:rsid w:val="00CA39B7"/>
    <w:rsid w:val="00CB2149"/>
    <w:rsid w:val="00CB4BBD"/>
    <w:rsid w:val="00CB5B7B"/>
    <w:rsid w:val="00CD19DB"/>
    <w:rsid w:val="00CD30FC"/>
    <w:rsid w:val="00CD4B87"/>
    <w:rsid w:val="00CE49B6"/>
    <w:rsid w:val="00CE4A28"/>
    <w:rsid w:val="00CE7C2E"/>
    <w:rsid w:val="00CF0AE0"/>
    <w:rsid w:val="00CF31B4"/>
    <w:rsid w:val="00CF6431"/>
    <w:rsid w:val="00D01DCF"/>
    <w:rsid w:val="00D20EF6"/>
    <w:rsid w:val="00D219AA"/>
    <w:rsid w:val="00D2237A"/>
    <w:rsid w:val="00D24BD1"/>
    <w:rsid w:val="00D2588A"/>
    <w:rsid w:val="00D26217"/>
    <w:rsid w:val="00D278F0"/>
    <w:rsid w:val="00D338DB"/>
    <w:rsid w:val="00D3511F"/>
    <w:rsid w:val="00D4515E"/>
    <w:rsid w:val="00D510D6"/>
    <w:rsid w:val="00D52933"/>
    <w:rsid w:val="00D52FF0"/>
    <w:rsid w:val="00D54856"/>
    <w:rsid w:val="00D61E4F"/>
    <w:rsid w:val="00D65159"/>
    <w:rsid w:val="00D65C56"/>
    <w:rsid w:val="00D66CBB"/>
    <w:rsid w:val="00D70514"/>
    <w:rsid w:val="00D71305"/>
    <w:rsid w:val="00D71BF7"/>
    <w:rsid w:val="00D731D0"/>
    <w:rsid w:val="00D738D2"/>
    <w:rsid w:val="00D766B4"/>
    <w:rsid w:val="00D90C1B"/>
    <w:rsid w:val="00D925D1"/>
    <w:rsid w:val="00D92668"/>
    <w:rsid w:val="00D94F27"/>
    <w:rsid w:val="00D95B37"/>
    <w:rsid w:val="00DA1F2A"/>
    <w:rsid w:val="00DB0D6D"/>
    <w:rsid w:val="00DB1035"/>
    <w:rsid w:val="00DC0C9F"/>
    <w:rsid w:val="00DC4957"/>
    <w:rsid w:val="00DC63B3"/>
    <w:rsid w:val="00DD7FD2"/>
    <w:rsid w:val="00DE1DEE"/>
    <w:rsid w:val="00DE3218"/>
    <w:rsid w:val="00DF06C4"/>
    <w:rsid w:val="00DF1173"/>
    <w:rsid w:val="00DF2CB0"/>
    <w:rsid w:val="00DF451B"/>
    <w:rsid w:val="00DF6006"/>
    <w:rsid w:val="00DF6955"/>
    <w:rsid w:val="00DF7B01"/>
    <w:rsid w:val="00E120FC"/>
    <w:rsid w:val="00E14BA9"/>
    <w:rsid w:val="00E1701F"/>
    <w:rsid w:val="00E245A1"/>
    <w:rsid w:val="00E24831"/>
    <w:rsid w:val="00E34A4E"/>
    <w:rsid w:val="00E41D0D"/>
    <w:rsid w:val="00E46685"/>
    <w:rsid w:val="00E50A06"/>
    <w:rsid w:val="00E55EA0"/>
    <w:rsid w:val="00E701AC"/>
    <w:rsid w:val="00E730F3"/>
    <w:rsid w:val="00E75386"/>
    <w:rsid w:val="00E77015"/>
    <w:rsid w:val="00E807E8"/>
    <w:rsid w:val="00E8267D"/>
    <w:rsid w:val="00E8653F"/>
    <w:rsid w:val="00E86C05"/>
    <w:rsid w:val="00E91006"/>
    <w:rsid w:val="00E93F35"/>
    <w:rsid w:val="00EA4C1F"/>
    <w:rsid w:val="00EB2BE8"/>
    <w:rsid w:val="00EB4897"/>
    <w:rsid w:val="00EB5F05"/>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0F59"/>
    <w:rsid w:val="00EF1196"/>
    <w:rsid w:val="00EF2B23"/>
    <w:rsid w:val="00EF6F58"/>
    <w:rsid w:val="00EF7935"/>
    <w:rsid w:val="00F04A95"/>
    <w:rsid w:val="00F12FB0"/>
    <w:rsid w:val="00F16039"/>
    <w:rsid w:val="00F20DCF"/>
    <w:rsid w:val="00F2498E"/>
    <w:rsid w:val="00F34068"/>
    <w:rsid w:val="00F3421F"/>
    <w:rsid w:val="00F43916"/>
    <w:rsid w:val="00F51CC4"/>
    <w:rsid w:val="00F51EAB"/>
    <w:rsid w:val="00F55B3B"/>
    <w:rsid w:val="00F56426"/>
    <w:rsid w:val="00F63239"/>
    <w:rsid w:val="00F74FB9"/>
    <w:rsid w:val="00F77D38"/>
    <w:rsid w:val="00F914C6"/>
    <w:rsid w:val="00F97B3C"/>
    <w:rsid w:val="00F97DE7"/>
    <w:rsid w:val="00FA00A8"/>
    <w:rsid w:val="00FA1F4B"/>
    <w:rsid w:val="00FA4DC7"/>
    <w:rsid w:val="00FA5D15"/>
    <w:rsid w:val="00FC54A4"/>
    <w:rsid w:val="00FD0A58"/>
    <w:rsid w:val="00FD160B"/>
    <w:rsid w:val="00FD39C9"/>
    <w:rsid w:val="00FD4378"/>
    <w:rsid w:val="00FE1867"/>
    <w:rsid w:val="00FE26EC"/>
    <w:rsid w:val="00FF299D"/>
    <w:rsid w:val="00FF32F4"/>
    <w:rsid w:val="00FF4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1993.page" TargetMode="External"/><Relationship Id="rId13" Type="http://schemas.openxmlformats.org/officeDocument/2006/relationships/hyperlink" Target="javascript:AbrirModal(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071997.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7199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071995.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071994.page" TargetMode="External"/><Relationship Id="rId1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FECA5-19BE-4CDF-B932-1261C704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3131</TotalTime>
  <Pages>28</Pages>
  <Words>6695</Words>
  <Characters>36825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62</cp:revision>
  <cp:lastPrinted>2019-06-13T15:30:00Z</cp:lastPrinted>
  <dcterms:created xsi:type="dcterms:W3CDTF">2020-10-04T14:04:00Z</dcterms:created>
  <dcterms:modified xsi:type="dcterms:W3CDTF">2021-05-12T21:09:00Z</dcterms:modified>
</cp:coreProperties>
</file>