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5C9FF"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77671" w:rsidRPr="00C575A3">
        <w:rPr>
          <w:rFonts w:ascii="Palatino Linotype" w:hAnsi="Palatino Linotype"/>
        </w:rPr>
        <w:t>veinti</w:t>
      </w:r>
      <w:r w:rsidR="00862FCD" w:rsidRPr="00C575A3">
        <w:rPr>
          <w:rFonts w:ascii="Palatino Linotype" w:hAnsi="Palatino Linotype"/>
        </w:rPr>
        <w:t>siete de octubre</w:t>
      </w:r>
      <w:r w:rsidR="00677671" w:rsidRPr="00C575A3">
        <w:rPr>
          <w:rFonts w:ascii="Palatino Linotype" w:hAnsi="Palatino Linotype"/>
        </w:rPr>
        <w:t xml:space="preserve"> </w:t>
      </w:r>
      <w:r w:rsidRPr="00C575A3">
        <w:rPr>
          <w:rFonts w:ascii="Palatino Linotype" w:hAnsi="Palatino Linotype"/>
        </w:rPr>
        <w:t xml:space="preserve">de </w:t>
      </w:r>
      <w:r w:rsidR="00677671" w:rsidRPr="00C575A3">
        <w:rPr>
          <w:rFonts w:ascii="Palatino Linotype" w:hAnsi="Palatino Linotype"/>
        </w:rPr>
        <w:t>dos mil veintiuno</w:t>
      </w:r>
      <w:r w:rsidRPr="00C575A3">
        <w:rPr>
          <w:rFonts w:ascii="Palatino Linotype" w:hAnsi="Palatino Linotype"/>
        </w:rPr>
        <w:t>.</w:t>
      </w:r>
    </w:p>
    <w:p w14:paraId="38933A57" w14:textId="21540DCD"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b/>
        </w:rPr>
        <w:t>VISTO</w:t>
      </w:r>
      <w:r w:rsidRPr="00C575A3">
        <w:rPr>
          <w:rFonts w:ascii="Palatino Linotype" w:hAnsi="Palatino Linotype"/>
        </w:rPr>
        <w:t xml:space="preserve"> el expediente formado con motivo del recurso de revisión </w:t>
      </w:r>
      <w:r w:rsidR="00677671" w:rsidRPr="00C575A3">
        <w:rPr>
          <w:rFonts w:ascii="Palatino Linotype" w:hAnsi="Palatino Linotype"/>
          <w:b/>
        </w:rPr>
        <w:t>0</w:t>
      </w:r>
      <w:r w:rsidR="00862FCD" w:rsidRPr="00C575A3">
        <w:rPr>
          <w:rFonts w:ascii="Palatino Linotype" w:hAnsi="Palatino Linotype"/>
          <w:b/>
        </w:rPr>
        <w:t>4352</w:t>
      </w:r>
      <w:r w:rsidRPr="00C575A3">
        <w:rPr>
          <w:rFonts w:ascii="Palatino Linotype" w:hAnsi="Palatino Linotype"/>
          <w:b/>
        </w:rPr>
        <w:t>/INFOEM/IP/RR/2021</w:t>
      </w:r>
      <w:r w:rsidRPr="00C575A3">
        <w:rPr>
          <w:rFonts w:ascii="Palatino Linotype" w:hAnsi="Palatino Linotype"/>
        </w:rPr>
        <w:t xml:space="preserve">, promovido por </w:t>
      </w:r>
      <w:bookmarkStart w:id="0" w:name="_GoBack"/>
      <w:r w:rsidR="00D80F4F">
        <w:rPr>
          <w:rFonts w:ascii="Palatino Linotype" w:hAnsi="Palatino Linotype"/>
          <w:b/>
          <w:sz w:val="22"/>
          <w:szCs w:val="22"/>
          <w:lang w:val="es-ES_tradnl"/>
        </w:rPr>
        <w:t xml:space="preserve">XXXXX XXXXXXX </w:t>
      </w:r>
      <w:proofErr w:type="gramStart"/>
      <w:r w:rsidR="00D80F4F">
        <w:rPr>
          <w:rFonts w:ascii="Palatino Linotype" w:hAnsi="Palatino Linotype"/>
          <w:b/>
          <w:sz w:val="22"/>
          <w:szCs w:val="22"/>
          <w:lang w:val="es-ES_tradnl"/>
        </w:rPr>
        <w:t xml:space="preserve">XXXXX </w:t>
      </w:r>
      <w:bookmarkEnd w:id="0"/>
      <w:r w:rsidR="00677671" w:rsidRPr="00C575A3">
        <w:rPr>
          <w:rFonts w:ascii="Palatino Linotype" w:hAnsi="Palatino Linotype"/>
          <w:b/>
          <w:sz w:val="22"/>
          <w:szCs w:val="22"/>
          <w:lang w:val="es-ES_tradnl"/>
        </w:rPr>
        <w:t>,</w:t>
      </w:r>
      <w:proofErr w:type="gramEnd"/>
      <w:r w:rsidRPr="00C575A3">
        <w:rPr>
          <w:rFonts w:ascii="Palatino Linotype" w:hAnsi="Palatino Linotype"/>
        </w:rPr>
        <w:t xml:space="preserve"> a quien en lo</w:t>
      </w:r>
      <w:r w:rsidRPr="00C575A3">
        <w:rPr>
          <w:rFonts w:ascii="Palatino Linotype" w:hAnsi="Palatino Linotype" w:cs="Arial"/>
        </w:rPr>
        <w:t xml:space="preserve"> sucesivo se le denominar</w:t>
      </w:r>
      <w:r w:rsidR="00862FCD" w:rsidRPr="00C575A3">
        <w:rPr>
          <w:rFonts w:ascii="Palatino Linotype" w:hAnsi="Palatino Linotype" w:cs="Arial"/>
        </w:rPr>
        <w:t>á</w:t>
      </w:r>
      <w:r w:rsidR="00677671" w:rsidRPr="00C575A3">
        <w:rPr>
          <w:rFonts w:ascii="Palatino Linotype" w:hAnsi="Palatino Linotype" w:cs="Arial"/>
          <w:b/>
        </w:rPr>
        <w:t xml:space="preserve"> </w:t>
      </w:r>
      <w:r w:rsidR="00862FCD" w:rsidRPr="00C575A3">
        <w:rPr>
          <w:rFonts w:ascii="Palatino Linotype" w:hAnsi="Palatino Linotype" w:cs="Arial"/>
          <w:b/>
        </w:rPr>
        <w:t>EL</w:t>
      </w:r>
      <w:r w:rsidRPr="00C575A3">
        <w:rPr>
          <w:rFonts w:ascii="Palatino Linotype" w:hAnsi="Palatino Linotype" w:cs="Arial"/>
          <w:b/>
        </w:rPr>
        <w:t xml:space="preserve"> RECURRENTE</w:t>
      </w:r>
      <w:r w:rsidRPr="00C575A3">
        <w:rPr>
          <w:rFonts w:ascii="Palatino Linotype" w:hAnsi="Palatino Linotype"/>
        </w:rPr>
        <w:t xml:space="preserve">, en contra de la falta de respuesta por parte del </w:t>
      </w:r>
      <w:r w:rsidR="00862FCD" w:rsidRPr="00C575A3">
        <w:rPr>
          <w:rFonts w:ascii="Palatino Linotype" w:hAnsi="Palatino Linotype" w:cs="Arial"/>
          <w:b/>
        </w:rPr>
        <w:t>Ayuntamiento de San Felipe del Progreso</w:t>
      </w:r>
      <w:r w:rsidRPr="00C575A3">
        <w:rPr>
          <w:rFonts w:ascii="Palatino Linotype" w:hAnsi="Palatino Linotype" w:cs="Arial"/>
          <w:b/>
        </w:rPr>
        <w:t xml:space="preserve">, </w:t>
      </w:r>
      <w:r w:rsidRPr="00C575A3">
        <w:rPr>
          <w:rFonts w:ascii="Palatino Linotype" w:hAnsi="Palatino Linotype"/>
        </w:rPr>
        <w:t>en lo sucesivo</w:t>
      </w:r>
      <w:r w:rsidR="00227BE1" w:rsidRPr="00C575A3">
        <w:rPr>
          <w:rFonts w:ascii="Palatino Linotype" w:hAnsi="Palatino Linotype"/>
        </w:rPr>
        <w:t xml:space="preserve"> se le denominará</w:t>
      </w:r>
      <w:r w:rsidRPr="00C575A3">
        <w:rPr>
          <w:rFonts w:ascii="Palatino Linotype" w:hAnsi="Palatino Linotype"/>
        </w:rPr>
        <w:t xml:space="preserve"> </w:t>
      </w:r>
      <w:r w:rsidRPr="00C575A3">
        <w:rPr>
          <w:rFonts w:ascii="Palatino Linotype" w:hAnsi="Palatino Linotype"/>
          <w:b/>
        </w:rPr>
        <w:t>EL SUJETO OBLIGADO</w:t>
      </w:r>
      <w:r w:rsidRPr="00C575A3">
        <w:rPr>
          <w:rFonts w:ascii="Palatino Linotype" w:hAnsi="Palatino Linotype"/>
        </w:rPr>
        <w:t xml:space="preserve">, se procede a dictar la presente resolución con base en lo siguiente: </w:t>
      </w:r>
    </w:p>
    <w:p w14:paraId="0331FB5E" w14:textId="77777777" w:rsidR="000532B3" w:rsidRPr="00C575A3" w:rsidRDefault="000532B3" w:rsidP="000532B3">
      <w:pPr>
        <w:spacing w:before="100" w:beforeAutospacing="1" w:after="100" w:afterAutospacing="1" w:line="360" w:lineRule="auto"/>
        <w:jc w:val="center"/>
        <w:rPr>
          <w:rFonts w:ascii="Palatino Linotype" w:hAnsi="Palatino Linotype"/>
          <w:b/>
          <w:bCs/>
          <w:spacing w:val="60"/>
          <w:sz w:val="28"/>
        </w:rPr>
      </w:pPr>
      <w:r w:rsidRPr="00C575A3">
        <w:rPr>
          <w:rFonts w:ascii="Palatino Linotype" w:hAnsi="Palatino Linotype"/>
          <w:b/>
          <w:bCs/>
          <w:spacing w:val="60"/>
          <w:sz w:val="28"/>
        </w:rPr>
        <w:t>RESULTANDO</w:t>
      </w:r>
    </w:p>
    <w:p w14:paraId="2F84FDDF" w14:textId="77777777" w:rsidR="000532B3" w:rsidRPr="00C575A3" w:rsidRDefault="000532B3" w:rsidP="000532B3">
      <w:pPr>
        <w:pStyle w:val="Prrafodelista"/>
        <w:tabs>
          <w:tab w:val="left" w:pos="709"/>
        </w:tabs>
        <w:spacing w:before="100" w:beforeAutospacing="1" w:after="100" w:afterAutospacing="1" w:line="360" w:lineRule="auto"/>
        <w:ind w:left="0"/>
        <w:jc w:val="both"/>
        <w:rPr>
          <w:rFonts w:ascii="Palatino Linotype" w:hAnsi="Palatino Linotype"/>
          <w:b/>
        </w:rPr>
      </w:pPr>
      <w:r w:rsidRPr="00C575A3">
        <w:rPr>
          <w:rFonts w:ascii="Palatino Linotype" w:hAnsi="Palatino Linotype"/>
          <w:b/>
          <w:sz w:val="28"/>
          <w:szCs w:val="28"/>
        </w:rPr>
        <w:t>I.</w:t>
      </w:r>
      <w:r w:rsidRPr="00C575A3">
        <w:rPr>
          <w:rFonts w:ascii="Palatino Linotype" w:hAnsi="Palatino Linotype"/>
        </w:rPr>
        <w:t xml:space="preserve"> E</w:t>
      </w:r>
      <w:r w:rsidR="00862FCD" w:rsidRPr="00C575A3">
        <w:rPr>
          <w:rFonts w:ascii="Palatino Linotype" w:hAnsi="Palatino Linotype"/>
        </w:rPr>
        <w:t>l cuatro de agosto de dos mil veintiuno</w:t>
      </w:r>
      <w:r w:rsidRPr="00C575A3">
        <w:rPr>
          <w:rFonts w:ascii="Palatino Linotype" w:hAnsi="Palatino Linotype"/>
        </w:rPr>
        <w:t xml:space="preserve"> </w:t>
      </w:r>
      <w:r w:rsidR="00862FCD" w:rsidRPr="00C575A3">
        <w:rPr>
          <w:rFonts w:ascii="Palatino Linotype" w:hAnsi="Palatino Linotype" w:cs="Arial"/>
          <w:b/>
        </w:rPr>
        <w:t>EL</w:t>
      </w:r>
      <w:r w:rsidRPr="00C575A3">
        <w:rPr>
          <w:rFonts w:ascii="Palatino Linotype" w:hAnsi="Palatino Linotype" w:cs="Arial"/>
          <w:b/>
        </w:rPr>
        <w:t xml:space="preserve"> RECURRENTE</w:t>
      </w:r>
      <w:r w:rsidRPr="00C575A3">
        <w:rPr>
          <w:rFonts w:ascii="Palatino Linotype" w:hAnsi="Palatino Linotype"/>
        </w:rPr>
        <w:t xml:space="preserve"> presentó </w:t>
      </w:r>
      <w:r w:rsidRPr="00C575A3">
        <w:rPr>
          <w:rFonts w:ascii="Palatino Linotype" w:hAnsi="Palatino Linotype" w:cs="Arial"/>
        </w:rPr>
        <w:t xml:space="preserve">a través del Sistema de Acceso a la Información Mexiquense, en lo subsecuente </w:t>
      </w:r>
      <w:r w:rsidRPr="00C575A3">
        <w:rPr>
          <w:rFonts w:ascii="Palatino Linotype" w:hAnsi="Palatino Linotype" w:cs="Arial"/>
          <w:b/>
        </w:rPr>
        <w:t>EL SAIMEX,</w:t>
      </w:r>
      <w:r w:rsidRPr="00C575A3">
        <w:rPr>
          <w:rFonts w:ascii="Palatino Linotype" w:hAnsi="Palatino Linotype"/>
        </w:rPr>
        <w:t xml:space="preserve"> ante </w:t>
      </w:r>
      <w:r w:rsidRPr="00C575A3">
        <w:rPr>
          <w:rFonts w:ascii="Palatino Linotype" w:hAnsi="Palatino Linotype"/>
          <w:b/>
        </w:rPr>
        <w:t>EL SUJETO OBLIGADO</w:t>
      </w:r>
      <w:r w:rsidRPr="00C575A3">
        <w:rPr>
          <w:rFonts w:ascii="Palatino Linotype" w:hAnsi="Palatino Linotype"/>
        </w:rPr>
        <w:t>, la solicitud de acceso a la información pública, a la que se le asignó el número</w:t>
      </w:r>
      <w:r w:rsidRPr="00C575A3">
        <w:rPr>
          <w:rFonts w:ascii="Palatino Linotype" w:hAnsi="Palatino Linotype"/>
          <w:b/>
        </w:rPr>
        <w:t xml:space="preserve"> </w:t>
      </w:r>
      <w:r w:rsidR="00862FCD" w:rsidRPr="00C575A3">
        <w:rPr>
          <w:rFonts w:ascii="Palatino Linotype" w:hAnsi="Palatino Linotype"/>
          <w:b/>
        </w:rPr>
        <w:t>00060</w:t>
      </w:r>
      <w:r w:rsidR="00812915" w:rsidRPr="00C575A3">
        <w:rPr>
          <w:rFonts w:ascii="Palatino Linotype" w:hAnsi="Palatino Linotype"/>
          <w:b/>
        </w:rPr>
        <w:t>/</w:t>
      </w:r>
      <w:r w:rsidR="00862FCD" w:rsidRPr="00C575A3">
        <w:rPr>
          <w:rFonts w:ascii="Palatino Linotype" w:hAnsi="Palatino Linotype"/>
          <w:b/>
        </w:rPr>
        <w:t>FELIPRO/</w:t>
      </w:r>
      <w:r w:rsidR="00812915" w:rsidRPr="00C575A3">
        <w:rPr>
          <w:rFonts w:ascii="Palatino Linotype" w:hAnsi="Palatino Linotype"/>
          <w:b/>
        </w:rPr>
        <w:t>IP/2021</w:t>
      </w:r>
      <w:r w:rsidRPr="00C575A3">
        <w:rPr>
          <w:rFonts w:ascii="Palatino Linotype" w:hAnsi="Palatino Linotype"/>
          <w:b/>
        </w:rPr>
        <w:t>,</w:t>
      </w:r>
      <w:r w:rsidRPr="00C575A3">
        <w:rPr>
          <w:rFonts w:ascii="Palatino Linotype" w:hAnsi="Palatino Linotype"/>
        </w:rPr>
        <w:t xml:space="preserve"> mediante la cual requirió lo siguiente:</w:t>
      </w:r>
    </w:p>
    <w:p w14:paraId="1C0C1AC0" w14:textId="77777777" w:rsidR="000532B3" w:rsidRPr="00C575A3" w:rsidRDefault="00534EED" w:rsidP="000532B3">
      <w:pPr>
        <w:spacing w:before="100" w:beforeAutospacing="1" w:after="100" w:afterAutospacing="1"/>
        <w:ind w:left="709" w:right="709"/>
        <w:jc w:val="both"/>
        <w:rPr>
          <w:rFonts w:ascii="Palatino Linotype" w:hAnsi="Palatino Linotype"/>
          <w:i/>
          <w:sz w:val="22"/>
          <w:szCs w:val="22"/>
        </w:rPr>
      </w:pPr>
      <w:r w:rsidRPr="00C575A3">
        <w:rPr>
          <w:rFonts w:ascii="Palatino Linotype" w:hAnsi="Palatino Linotype"/>
          <w:i/>
          <w:sz w:val="22"/>
          <w:szCs w:val="22"/>
        </w:rPr>
        <w:t xml:space="preserve"> </w:t>
      </w:r>
      <w:r w:rsidR="000532B3" w:rsidRPr="00C575A3">
        <w:rPr>
          <w:rFonts w:ascii="Palatino Linotype" w:hAnsi="Palatino Linotype"/>
          <w:i/>
          <w:sz w:val="22"/>
          <w:szCs w:val="22"/>
        </w:rPr>
        <w:t>“</w:t>
      </w:r>
      <w:r w:rsidRPr="00C575A3">
        <w:rPr>
          <w:rFonts w:ascii="Palatino Linotype" w:hAnsi="Palatino Linotype"/>
          <w:i/>
          <w:sz w:val="22"/>
          <w:szCs w:val="22"/>
        </w:rPr>
        <w:t xml:space="preserve">1.- Informe si realizó obra de </w:t>
      </w:r>
      <w:proofErr w:type="spellStart"/>
      <w:r w:rsidRPr="00C575A3">
        <w:rPr>
          <w:rFonts w:ascii="Palatino Linotype" w:hAnsi="Palatino Linotype"/>
          <w:i/>
          <w:sz w:val="22"/>
          <w:szCs w:val="22"/>
        </w:rPr>
        <w:t>encarpetamiento</w:t>
      </w:r>
      <w:proofErr w:type="spellEnd"/>
      <w:r w:rsidRPr="00C575A3">
        <w:rPr>
          <w:rFonts w:ascii="Palatino Linotype" w:hAnsi="Palatino Linotype"/>
          <w:i/>
          <w:sz w:val="22"/>
          <w:szCs w:val="22"/>
        </w:rPr>
        <w:t xml:space="preserve"> en la comunidad de Emiliano Portes Gil con dirección a la comunidad de Santa Ana Ladera Municipio de Ixtlahuaca en el año 2020 a 2021. 2.- Indique obras de </w:t>
      </w:r>
      <w:proofErr w:type="spellStart"/>
      <w:r w:rsidRPr="00C575A3">
        <w:rPr>
          <w:rFonts w:ascii="Palatino Linotype" w:hAnsi="Palatino Linotype"/>
          <w:i/>
          <w:sz w:val="22"/>
          <w:szCs w:val="22"/>
        </w:rPr>
        <w:t>encarpetamiento</w:t>
      </w:r>
      <w:proofErr w:type="spellEnd"/>
      <w:r w:rsidRPr="00C575A3">
        <w:rPr>
          <w:rFonts w:ascii="Palatino Linotype" w:hAnsi="Palatino Linotype"/>
          <w:i/>
          <w:sz w:val="22"/>
          <w:szCs w:val="22"/>
        </w:rPr>
        <w:t xml:space="preserve">, remodelación, habilitación que haya realizado en la comunidad de Emilio Portes Gil del municipio de San Felipe del Progreso, </w:t>
      </w:r>
      <w:proofErr w:type="gramStart"/>
      <w:r w:rsidRPr="00C575A3">
        <w:rPr>
          <w:rFonts w:ascii="Palatino Linotype" w:hAnsi="Palatino Linotype"/>
          <w:i/>
          <w:sz w:val="22"/>
          <w:szCs w:val="22"/>
        </w:rPr>
        <w:t>durante</w:t>
      </w:r>
      <w:proofErr w:type="gramEnd"/>
      <w:r w:rsidRPr="00C575A3">
        <w:rPr>
          <w:rFonts w:ascii="Palatino Linotype" w:hAnsi="Palatino Linotype"/>
          <w:i/>
          <w:sz w:val="22"/>
          <w:szCs w:val="22"/>
        </w:rPr>
        <w:t xml:space="preserve"> el año 2020 a 2021. 3.- </w:t>
      </w:r>
      <w:r w:rsidR="000E7A3D" w:rsidRPr="00C575A3">
        <w:rPr>
          <w:rFonts w:ascii="Palatino Linotype" w:hAnsi="Palatino Linotype"/>
          <w:i/>
          <w:sz w:val="22"/>
          <w:szCs w:val="22"/>
        </w:rPr>
        <w:t xml:space="preserve">Mencione si la obra de </w:t>
      </w:r>
      <w:proofErr w:type="spellStart"/>
      <w:r w:rsidR="000E7A3D" w:rsidRPr="00C575A3">
        <w:rPr>
          <w:rFonts w:ascii="Palatino Linotype" w:hAnsi="Palatino Linotype"/>
          <w:i/>
          <w:sz w:val="22"/>
          <w:szCs w:val="22"/>
        </w:rPr>
        <w:t>encarpetamiento</w:t>
      </w:r>
      <w:proofErr w:type="spellEnd"/>
      <w:r w:rsidR="000E7A3D" w:rsidRPr="00C575A3">
        <w:rPr>
          <w:rFonts w:ascii="Palatino Linotype" w:hAnsi="Palatino Linotype"/>
          <w:i/>
          <w:sz w:val="22"/>
          <w:szCs w:val="22"/>
        </w:rPr>
        <w:t xml:space="preserve"> o remodelación, de la carretera Emilio Portes Gil del Municipio de San Felipe del Progreso, con dirección a Santa Ana la Ladera, municipio de Ixtlahuaca, fue realizada por el ayuntamiento de San Felipe del Progreso. 4.- Indique qué dependencia y organismo llevó a cabo el </w:t>
      </w:r>
      <w:proofErr w:type="spellStart"/>
      <w:r w:rsidR="000E7A3D" w:rsidRPr="00C575A3">
        <w:rPr>
          <w:rFonts w:ascii="Palatino Linotype" w:hAnsi="Palatino Linotype"/>
          <w:i/>
          <w:sz w:val="22"/>
          <w:szCs w:val="22"/>
        </w:rPr>
        <w:t>encarpetamiento</w:t>
      </w:r>
      <w:proofErr w:type="spellEnd"/>
      <w:r w:rsidR="000E7A3D" w:rsidRPr="00C575A3">
        <w:rPr>
          <w:rFonts w:ascii="Palatino Linotype" w:hAnsi="Palatino Linotype"/>
          <w:i/>
          <w:sz w:val="22"/>
          <w:szCs w:val="22"/>
        </w:rPr>
        <w:t xml:space="preserve"> o remodelación de la cerreta de la comunidad de Emilio Portes Gil, con dirección a Santa Ana la Ladera, comunidad de Ixtlahuaca. 5.- Informe si fue notificado </w:t>
      </w:r>
      <w:r w:rsidR="000E7A3D" w:rsidRPr="00C575A3">
        <w:rPr>
          <w:rFonts w:ascii="Palatino Linotype" w:hAnsi="Palatino Linotype"/>
          <w:i/>
          <w:sz w:val="22"/>
          <w:szCs w:val="22"/>
        </w:rPr>
        <w:lastRenderedPageBreak/>
        <w:t xml:space="preserve">por alguna dependencia u organismo, de la obra de </w:t>
      </w:r>
      <w:proofErr w:type="spellStart"/>
      <w:r w:rsidR="000E7A3D" w:rsidRPr="00C575A3">
        <w:rPr>
          <w:rFonts w:ascii="Palatino Linotype" w:hAnsi="Palatino Linotype"/>
          <w:i/>
          <w:sz w:val="22"/>
          <w:szCs w:val="22"/>
        </w:rPr>
        <w:t>encarpetamiento</w:t>
      </w:r>
      <w:proofErr w:type="spellEnd"/>
      <w:r w:rsidR="000E7A3D" w:rsidRPr="00C575A3">
        <w:rPr>
          <w:rFonts w:ascii="Palatino Linotype" w:hAnsi="Palatino Linotype"/>
          <w:i/>
          <w:sz w:val="22"/>
          <w:szCs w:val="22"/>
        </w:rPr>
        <w:t xml:space="preserve"> o remodelación de la carretera Emilio Portes Gil del Municipio de Ixtlahuaca, con dirección a Santa Ana la Ladera. Municipio de Ixtlahuaca. 6.- Señale qué dependencia u organismo le hizo del conocimiento del </w:t>
      </w:r>
      <w:proofErr w:type="spellStart"/>
      <w:r w:rsidR="000E7A3D" w:rsidRPr="00C575A3">
        <w:rPr>
          <w:rFonts w:ascii="Palatino Linotype" w:hAnsi="Palatino Linotype"/>
          <w:i/>
          <w:sz w:val="22"/>
          <w:szCs w:val="22"/>
        </w:rPr>
        <w:t>encarpetamiento</w:t>
      </w:r>
      <w:proofErr w:type="spellEnd"/>
      <w:r w:rsidR="000E7A3D" w:rsidRPr="00C575A3">
        <w:rPr>
          <w:rFonts w:ascii="Palatino Linotype" w:hAnsi="Palatino Linotype"/>
          <w:i/>
          <w:sz w:val="22"/>
          <w:szCs w:val="22"/>
        </w:rPr>
        <w:t xml:space="preserve"> o remodelación de la carretera Emilio Portes Gil del municipio de Ixtlahuaca, con dirección a Santa Ana la Ladera, municipio de Ixtlahuaca. 7.- Indique si realizó obra de </w:t>
      </w:r>
      <w:proofErr w:type="spellStart"/>
      <w:r w:rsidR="000E7A3D" w:rsidRPr="00C575A3">
        <w:rPr>
          <w:rFonts w:ascii="Palatino Linotype" w:hAnsi="Palatino Linotype"/>
          <w:i/>
          <w:sz w:val="22"/>
          <w:szCs w:val="22"/>
        </w:rPr>
        <w:t>encarpetamiento</w:t>
      </w:r>
      <w:proofErr w:type="spellEnd"/>
      <w:r w:rsidR="000E7A3D" w:rsidRPr="00C575A3">
        <w:rPr>
          <w:rFonts w:ascii="Palatino Linotype" w:hAnsi="Palatino Linotype"/>
          <w:i/>
          <w:sz w:val="22"/>
          <w:szCs w:val="22"/>
        </w:rPr>
        <w:t xml:space="preserve"> o remodelación de la carretera Emilio Portes Gil del municipio de Ixtlahuaca, con dirección a Santa Ana la Ladera, municipio de Ixtlahuaca, en relación con la imagen que se anexa. 8.- Mencione el padrón de obras que se autorizaron por el cabildo de este municipio, correspondientes al año dos mil veinte. 9.- Que indique en qué fecha se terminó el </w:t>
      </w:r>
      <w:proofErr w:type="spellStart"/>
      <w:r w:rsidR="000E7A3D" w:rsidRPr="00C575A3">
        <w:rPr>
          <w:rFonts w:ascii="Palatino Linotype" w:hAnsi="Palatino Linotype"/>
          <w:i/>
          <w:sz w:val="22"/>
          <w:szCs w:val="22"/>
        </w:rPr>
        <w:t>encarpetamiento</w:t>
      </w:r>
      <w:proofErr w:type="spellEnd"/>
      <w:r w:rsidR="000E7A3D" w:rsidRPr="00C575A3">
        <w:rPr>
          <w:rFonts w:ascii="Palatino Linotype" w:hAnsi="Palatino Linotype"/>
          <w:i/>
          <w:sz w:val="22"/>
          <w:szCs w:val="22"/>
        </w:rPr>
        <w:t xml:space="preserve"> de la carretera que comunica a la comunidad de Emilio Portes Gil Municipio de San Felipe del Progreso Estado de México a la comunidad de Santa Ana la Ladera Municipio de Ixtlahuaca Estado de México.</w:t>
      </w:r>
      <w:r w:rsidR="000532B3" w:rsidRPr="00C575A3">
        <w:rPr>
          <w:rFonts w:ascii="Palatino Linotype" w:hAnsi="Palatino Linotype"/>
          <w:i/>
          <w:sz w:val="22"/>
          <w:szCs w:val="22"/>
        </w:rPr>
        <w:t>” (Sic)</w:t>
      </w:r>
      <w:bookmarkStart w:id="1" w:name="_Ref516764469"/>
      <w:bookmarkStart w:id="2" w:name="_Ref531692384"/>
    </w:p>
    <w:p w14:paraId="176AEDDA" w14:textId="77777777" w:rsidR="000532B3" w:rsidRPr="00C575A3" w:rsidRDefault="000532B3" w:rsidP="000532B3">
      <w:pPr>
        <w:spacing w:before="100" w:beforeAutospacing="1" w:after="100" w:afterAutospacing="1"/>
        <w:ind w:right="709"/>
        <w:jc w:val="both"/>
        <w:rPr>
          <w:rFonts w:ascii="Palatino Linotype" w:hAnsi="Palatino Linotype"/>
          <w:sz w:val="22"/>
          <w:szCs w:val="22"/>
        </w:rPr>
      </w:pPr>
      <w:r w:rsidRPr="00C575A3">
        <w:rPr>
          <w:rFonts w:ascii="Palatino Linotype" w:hAnsi="Palatino Linotype"/>
          <w:b/>
          <w:sz w:val="22"/>
          <w:szCs w:val="22"/>
        </w:rPr>
        <w:t xml:space="preserve">Modalidad de entrega: </w:t>
      </w:r>
      <w:r w:rsidRPr="00C575A3">
        <w:rPr>
          <w:rFonts w:ascii="Palatino Linotype" w:hAnsi="Palatino Linotype"/>
          <w:sz w:val="22"/>
          <w:szCs w:val="22"/>
        </w:rPr>
        <w:t xml:space="preserve">vía </w:t>
      </w:r>
      <w:r w:rsidRPr="00C575A3">
        <w:rPr>
          <w:rFonts w:ascii="Palatino Linotype" w:hAnsi="Palatino Linotype"/>
          <w:b/>
          <w:sz w:val="22"/>
          <w:szCs w:val="22"/>
        </w:rPr>
        <w:t>SAIMEX.</w:t>
      </w:r>
    </w:p>
    <w:p w14:paraId="7C337D36" w14:textId="77777777" w:rsidR="000532B3" w:rsidRPr="00C575A3" w:rsidRDefault="000532B3" w:rsidP="00812915">
      <w:pPr>
        <w:spacing w:before="100" w:beforeAutospacing="1" w:after="100" w:afterAutospacing="1" w:line="360" w:lineRule="auto"/>
        <w:jc w:val="both"/>
        <w:rPr>
          <w:rFonts w:ascii="Palatino Linotype" w:hAnsi="Palatino Linotype" w:cs="Arial"/>
          <w:color w:val="000000" w:themeColor="text1"/>
        </w:rPr>
      </w:pPr>
      <w:r w:rsidRPr="00C575A3">
        <w:rPr>
          <w:rFonts w:ascii="Palatino Linotype" w:hAnsi="Palatino Linotype" w:cs="Arial"/>
          <w:b/>
          <w:sz w:val="28"/>
          <w:szCs w:val="28"/>
        </w:rPr>
        <w:t>II.</w:t>
      </w:r>
      <w:r w:rsidR="00812915" w:rsidRPr="00C575A3">
        <w:rPr>
          <w:rFonts w:ascii="Palatino Linotype" w:hAnsi="Palatino Linotype" w:cs="Arial"/>
        </w:rPr>
        <w:t xml:space="preserve"> </w:t>
      </w:r>
      <w:r w:rsidRPr="00C575A3">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w:t>
      </w:r>
      <w:r w:rsidR="00EB01A6" w:rsidRPr="00C575A3">
        <w:rPr>
          <w:rFonts w:ascii="Palatino Linotype" w:hAnsi="Palatino Linotype" w:cs="Arial"/>
          <w:color w:val="000000" w:themeColor="text1"/>
        </w:rPr>
        <w:t>cinco de agosto de dos mil</w:t>
      </w:r>
      <w:r w:rsidR="001E575B" w:rsidRPr="00C575A3">
        <w:rPr>
          <w:rFonts w:ascii="Palatino Linotype" w:hAnsi="Palatino Linotype" w:cs="Arial"/>
          <w:color w:val="000000" w:themeColor="text1"/>
        </w:rPr>
        <w:t xml:space="preserve"> veintiuno, el</w:t>
      </w:r>
      <w:r w:rsidRPr="00C575A3">
        <w:rPr>
          <w:rFonts w:ascii="Palatino Linotype" w:hAnsi="Palatino Linotype" w:cs="Arial"/>
          <w:color w:val="000000" w:themeColor="text1"/>
        </w:rPr>
        <w:t xml:space="preserve"> Titular de la Unidad de Transparencia del </w:t>
      </w:r>
      <w:r w:rsidRPr="00C575A3">
        <w:rPr>
          <w:rFonts w:ascii="Palatino Linotype" w:hAnsi="Palatino Linotype" w:cs="Arial"/>
          <w:b/>
          <w:color w:val="000000" w:themeColor="text1"/>
        </w:rPr>
        <w:t>SUJETO OBLIGADO</w:t>
      </w:r>
      <w:r w:rsidRPr="00C575A3">
        <w:rPr>
          <w:rFonts w:ascii="Palatino Linotype" w:hAnsi="Palatino Linotype" w:cs="Arial"/>
          <w:color w:val="000000" w:themeColor="text1"/>
        </w:rPr>
        <w:t xml:space="preserve">, </w:t>
      </w:r>
      <w:r w:rsidRPr="00C575A3">
        <w:rPr>
          <w:rFonts w:ascii="Palatino Linotype" w:hAnsi="Palatino Linotype"/>
          <w:bCs/>
          <w:color w:val="000000" w:themeColor="text1"/>
        </w:rPr>
        <w:t>turnó el r</w:t>
      </w:r>
      <w:r w:rsidR="00227BE1" w:rsidRPr="00C575A3">
        <w:rPr>
          <w:rFonts w:ascii="Palatino Linotype" w:hAnsi="Palatino Linotype"/>
          <w:bCs/>
          <w:color w:val="000000" w:themeColor="text1"/>
        </w:rPr>
        <w:t>equerimiento de información al s</w:t>
      </w:r>
      <w:r w:rsidRPr="00C575A3">
        <w:rPr>
          <w:rFonts w:ascii="Palatino Linotype" w:hAnsi="Palatino Linotype"/>
          <w:bCs/>
          <w:color w:val="000000" w:themeColor="text1"/>
        </w:rPr>
        <w:t xml:space="preserve">ervidor </w:t>
      </w:r>
      <w:r w:rsidR="00227BE1" w:rsidRPr="00C575A3">
        <w:rPr>
          <w:rFonts w:ascii="Palatino Linotype" w:hAnsi="Palatino Linotype"/>
          <w:bCs/>
          <w:color w:val="000000" w:themeColor="text1"/>
        </w:rPr>
        <w:t>p</w:t>
      </w:r>
      <w:r w:rsidR="001E575B" w:rsidRPr="00C575A3">
        <w:rPr>
          <w:rFonts w:ascii="Palatino Linotype" w:hAnsi="Palatino Linotype"/>
          <w:bCs/>
          <w:color w:val="000000" w:themeColor="text1"/>
        </w:rPr>
        <w:t>úblic</w:t>
      </w:r>
      <w:r w:rsidR="00A5424D" w:rsidRPr="00C575A3">
        <w:rPr>
          <w:rFonts w:ascii="Palatino Linotype" w:hAnsi="Palatino Linotype"/>
          <w:bCs/>
          <w:color w:val="000000" w:themeColor="text1"/>
        </w:rPr>
        <w:t>o</w:t>
      </w:r>
      <w:r w:rsidR="00227BE1" w:rsidRPr="00C575A3">
        <w:rPr>
          <w:rFonts w:ascii="Palatino Linotype" w:hAnsi="Palatino Linotype"/>
          <w:bCs/>
          <w:color w:val="000000" w:themeColor="text1"/>
        </w:rPr>
        <w:t xml:space="preserve"> h</w:t>
      </w:r>
      <w:r w:rsidR="001E575B" w:rsidRPr="00C575A3">
        <w:rPr>
          <w:rFonts w:ascii="Palatino Linotype" w:hAnsi="Palatino Linotype"/>
          <w:bCs/>
          <w:color w:val="000000" w:themeColor="text1"/>
        </w:rPr>
        <w:t>abilitad</w:t>
      </w:r>
      <w:r w:rsidR="00A5424D" w:rsidRPr="00C575A3">
        <w:rPr>
          <w:rFonts w:ascii="Palatino Linotype" w:hAnsi="Palatino Linotype"/>
          <w:bCs/>
          <w:color w:val="000000" w:themeColor="text1"/>
        </w:rPr>
        <w:t>o</w:t>
      </w:r>
      <w:r w:rsidRPr="00C575A3">
        <w:rPr>
          <w:rFonts w:ascii="Palatino Linotype" w:hAnsi="Palatino Linotype"/>
          <w:bCs/>
          <w:color w:val="000000" w:themeColor="text1"/>
        </w:rPr>
        <w:t xml:space="preserve"> que estimó competente, </w:t>
      </w:r>
      <w:r w:rsidRPr="00C575A3">
        <w:rPr>
          <w:rFonts w:ascii="Palatino Linotype" w:hAnsi="Palatino Linotype" w:cs="Arial"/>
          <w:color w:val="000000" w:themeColor="text1"/>
        </w:rPr>
        <w:t>a efecto de que realizara la búsqueda y</w:t>
      </w:r>
      <w:r w:rsidR="00EB01A6" w:rsidRPr="00C575A3">
        <w:rPr>
          <w:rFonts w:ascii="Palatino Linotype" w:hAnsi="Palatino Linotype" w:cs="Arial"/>
          <w:color w:val="000000" w:themeColor="text1"/>
        </w:rPr>
        <w:t xml:space="preserve"> localización de la información, </w:t>
      </w:r>
      <w:r w:rsidRPr="00C575A3">
        <w:rPr>
          <w:rFonts w:ascii="Palatino Linotype" w:hAnsi="Palatino Linotype" w:cs="Arial"/>
          <w:color w:val="000000" w:themeColor="text1"/>
        </w:rPr>
        <w:t>tal como se desprende a continuación:</w:t>
      </w:r>
    </w:p>
    <w:p w14:paraId="5E578996" w14:textId="77777777" w:rsidR="000532B3" w:rsidRPr="00C575A3" w:rsidRDefault="00EB01A6" w:rsidP="000532B3">
      <w:pPr>
        <w:pStyle w:val="Prrafodelista"/>
        <w:tabs>
          <w:tab w:val="left" w:pos="709"/>
        </w:tabs>
        <w:spacing w:before="100" w:beforeAutospacing="1" w:after="100" w:afterAutospacing="1" w:line="360" w:lineRule="auto"/>
        <w:ind w:left="0"/>
        <w:jc w:val="center"/>
        <w:rPr>
          <w:rFonts w:ascii="Palatino Linotype" w:hAnsi="Palatino Linotype" w:cs="Arial"/>
        </w:rPr>
      </w:pPr>
      <w:r w:rsidRPr="00C575A3">
        <w:rPr>
          <w:rFonts w:ascii="Palatino Linotype" w:hAnsi="Palatino Linotype" w:cs="Arial"/>
          <w:noProof/>
          <w:lang w:eastAsia="es-MX"/>
        </w:rPr>
        <w:drawing>
          <wp:inline distT="0" distB="0" distL="0" distR="0" wp14:anchorId="4D677ECF" wp14:editId="1678A005">
            <wp:extent cx="5746125" cy="819339"/>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8597"/>
                    <a:stretch/>
                  </pic:blipFill>
                  <pic:spPr bwMode="auto">
                    <a:xfrm>
                      <a:off x="0" y="0"/>
                      <a:ext cx="5921031" cy="844279"/>
                    </a:xfrm>
                    <a:prstGeom prst="rect">
                      <a:avLst/>
                    </a:prstGeom>
                    <a:noFill/>
                    <a:ln>
                      <a:noFill/>
                    </a:ln>
                    <a:extLst>
                      <a:ext uri="{53640926-AAD7-44D8-BBD7-CCE9431645EC}">
                        <a14:shadowObscured xmlns:a14="http://schemas.microsoft.com/office/drawing/2010/main"/>
                      </a:ext>
                    </a:extLst>
                  </pic:spPr>
                </pic:pic>
              </a:graphicData>
            </a:graphic>
          </wp:inline>
        </w:drawing>
      </w:r>
    </w:p>
    <w:p w14:paraId="5F461AD4" w14:textId="77777777" w:rsidR="000532B3" w:rsidRPr="00C575A3" w:rsidRDefault="001E575B" w:rsidP="000532B3">
      <w:pPr>
        <w:pStyle w:val="Prrafodelista"/>
        <w:tabs>
          <w:tab w:val="left" w:pos="709"/>
        </w:tabs>
        <w:spacing w:before="100" w:beforeAutospacing="1" w:after="100" w:afterAutospacing="1" w:line="360" w:lineRule="auto"/>
        <w:ind w:left="0"/>
        <w:jc w:val="both"/>
        <w:rPr>
          <w:rFonts w:ascii="Palatino Linotype" w:hAnsi="Palatino Linotype" w:cs="Arial"/>
        </w:rPr>
      </w:pPr>
      <w:r w:rsidRPr="00C575A3">
        <w:rPr>
          <w:rFonts w:ascii="Palatino Linotype" w:hAnsi="Palatino Linotype" w:cs="Arial"/>
          <w:b/>
          <w:sz w:val="28"/>
          <w:szCs w:val="28"/>
        </w:rPr>
        <w:t>I</w:t>
      </w:r>
      <w:r w:rsidR="00CA53B8" w:rsidRPr="00C575A3">
        <w:rPr>
          <w:rFonts w:ascii="Palatino Linotype" w:hAnsi="Palatino Linotype" w:cs="Arial"/>
          <w:b/>
          <w:sz w:val="28"/>
          <w:szCs w:val="28"/>
        </w:rPr>
        <w:t>II</w:t>
      </w:r>
      <w:r w:rsidR="000532B3" w:rsidRPr="00C575A3">
        <w:rPr>
          <w:rFonts w:ascii="Palatino Linotype" w:hAnsi="Palatino Linotype" w:cs="Arial"/>
          <w:b/>
          <w:sz w:val="28"/>
          <w:szCs w:val="28"/>
        </w:rPr>
        <w:t>.</w:t>
      </w:r>
      <w:r w:rsidR="000532B3" w:rsidRPr="00C575A3">
        <w:rPr>
          <w:rFonts w:ascii="Palatino Linotype" w:hAnsi="Palatino Linotype" w:cs="Arial"/>
        </w:rPr>
        <w:t xml:space="preserve"> Así, de las constancias que obran en el expediente electrónico del recurso de revisión, se </w:t>
      </w:r>
      <w:r w:rsidR="00EB01A6" w:rsidRPr="00C575A3">
        <w:rPr>
          <w:rFonts w:ascii="Palatino Linotype" w:hAnsi="Palatino Linotype" w:cs="Arial"/>
        </w:rPr>
        <w:t xml:space="preserve">advierte que el Servidor Público Habilitado </w:t>
      </w:r>
      <w:r w:rsidR="00A5424D" w:rsidRPr="00C575A3">
        <w:rPr>
          <w:rFonts w:ascii="Palatino Linotype" w:hAnsi="Palatino Linotype" w:cs="Arial"/>
        </w:rPr>
        <w:t xml:space="preserve">dio contestación al </w:t>
      </w:r>
      <w:r w:rsidR="00DA2D32" w:rsidRPr="00C575A3">
        <w:rPr>
          <w:rFonts w:ascii="Palatino Linotype" w:hAnsi="Palatino Linotype" w:cs="Arial"/>
        </w:rPr>
        <w:t xml:space="preserve">citado </w:t>
      </w:r>
      <w:r w:rsidR="00A5424D" w:rsidRPr="00C575A3">
        <w:rPr>
          <w:rFonts w:ascii="Palatino Linotype" w:hAnsi="Palatino Linotype" w:cs="Arial"/>
        </w:rPr>
        <w:t xml:space="preserve">requerimiento </w:t>
      </w:r>
      <w:r w:rsidR="00DA2D32" w:rsidRPr="00C575A3">
        <w:rPr>
          <w:rFonts w:ascii="Palatino Linotype" w:hAnsi="Palatino Linotype" w:cs="Arial"/>
        </w:rPr>
        <w:t xml:space="preserve">el veinticinco de agosto de dos mil veintiuno; sin embargo, de las </w:t>
      </w:r>
      <w:r w:rsidR="00DA2D32" w:rsidRPr="00C575A3">
        <w:rPr>
          <w:rFonts w:ascii="Palatino Linotype" w:hAnsi="Palatino Linotype" w:cs="Arial"/>
        </w:rPr>
        <w:lastRenderedPageBreak/>
        <w:t xml:space="preserve">aludidas constancias igualmente se advierte que </w:t>
      </w:r>
      <w:r w:rsidR="00DA2D32" w:rsidRPr="00C575A3">
        <w:rPr>
          <w:rFonts w:ascii="Palatino Linotype" w:hAnsi="Palatino Linotype" w:cs="Arial"/>
          <w:b/>
        </w:rPr>
        <w:t xml:space="preserve">EL SUJETO OBLIGADO </w:t>
      </w:r>
      <w:r w:rsidR="00DA2D32" w:rsidRPr="00C575A3">
        <w:rPr>
          <w:rFonts w:ascii="Palatino Linotype" w:hAnsi="Palatino Linotype" w:cs="Arial"/>
        </w:rPr>
        <w:t xml:space="preserve">no hizo del conocimiento dicha respuesta a </w:t>
      </w:r>
      <w:r w:rsidR="00DA2D32" w:rsidRPr="00C575A3">
        <w:rPr>
          <w:rFonts w:ascii="Palatino Linotype" w:hAnsi="Palatino Linotype" w:cs="Arial"/>
          <w:b/>
        </w:rPr>
        <w:t>EL RECURRENTE</w:t>
      </w:r>
      <w:r w:rsidR="000532B3" w:rsidRPr="00C575A3">
        <w:rPr>
          <w:rFonts w:ascii="Palatino Linotype" w:hAnsi="Palatino Linotype" w:cs="Arial"/>
        </w:rPr>
        <w:t>.</w:t>
      </w:r>
    </w:p>
    <w:p w14:paraId="1F8020F7" w14:textId="26021D29" w:rsidR="000532B3" w:rsidRPr="00C575A3" w:rsidRDefault="00CA53B8" w:rsidP="000532B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C575A3">
        <w:rPr>
          <w:rFonts w:ascii="Palatino Linotype" w:hAnsi="Palatino Linotype" w:cs="Arial"/>
          <w:b/>
          <w:sz w:val="28"/>
          <w:szCs w:val="28"/>
        </w:rPr>
        <w:t>I</w:t>
      </w:r>
      <w:r w:rsidR="000532B3" w:rsidRPr="00C575A3">
        <w:rPr>
          <w:rFonts w:ascii="Palatino Linotype" w:hAnsi="Palatino Linotype" w:cs="Arial"/>
          <w:b/>
          <w:sz w:val="28"/>
          <w:szCs w:val="28"/>
        </w:rPr>
        <w:t xml:space="preserve">V. </w:t>
      </w:r>
      <w:r w:rsidR="000532B3" w:rsidRPr="00C575A3">
        <w:rPr>
          <w:rFonts w:ascii="Palatino Linotype" w:hAnsi="Palatino Linotype"/>
        </w:rPr>
        <w:t xml:space="preserve">Inconforme con la falta de respuesta del </w:t>
      </w:r>
      <w:r w:rsidR="000532B3" w:rsidRPr="00C575A3">
        <w:rPr>
          <w:rFonts w:ascii="Palatino Linotype" w:hAnsi="Palatino Linotype"/>
          <w:b/>
        </w:rPr>
        <w:t>SUJETO OBLIGADO</w:t>
      </w:r>
      <w:r w:rsidR="000532B3" w:rsidRPr="00C575A3">
        <w:rPr>
          <w:rFonts w:ascii="Palatino Linotype" w:hAnsi="Palatino Linotype"/>
        </w:rPr>
        <w:t xml:space="preserve">, </w:t>
      </w:r>
      <w:r w:rsidR="00DA2D32" w:rsidRPr="00C575A3">
        <w:rPr>
          <w:rFonts w:ascii="Palatino Linotype" w:hAnsi="Palatino Linotype"/>
        </w:rPr>
        <w:t>el treinta de agosto de dos mil</w:t>
      </w:r>
      <w:r w:rsidR="000532B3" w:rsidRPr="00C575A3">
        <w:rPr>
          <w:rFonts w:ascii="Palatino Linotype" w:hAnsi="Palatino Linotype"/>
        </w:rPr>
        <w:t xml:space="preserve"> veintiuno, </w:t>
      </w:r>
      <w:r w:rsidR="00DA2D32" w:rsidRPr="00C575A3">
        <w:rPr>
          <w:rFonts w:ascii="Palatino Linotype" w:hAnsi="Palatino Linotype" w:cs="Arial"/>
          <w:b/>
        </w:rPr>
        <w:t>EL R</w:t>
      </w:r>
      <w:r w:rsidR="000532B3" w:rsidRPr="00C575A3">
        <w:rPr>
          <w:rFonts w:ascii="Palatino Linotype" w:hAnsi="Palatino Linotype" w:cs="Arial"/>
          <w:b/>
        </w:rPr>
        <w:t>ECURRENTE</w:t>
      </w:r>
      <w:r w:rsidR="000532B3" w:rsidRPr="00C575A3">
        <w:rPr>
          <w:rFonts w:ascii="Palatino Linotype" w:hAnsi="Palatino Linotype"/>
        </w:rPr>
        <w:t>, a través del</w:t>
      </w:r>
      <w:r w:rsidR="000532B3" w:rsidRPr="00C575A3">
        <w:rPr>
          <w:rFonts w:ascii="Palatino Linotype" w:hAnsi="Palatino Linotype"/>
          <w:b/>
        </w:rPr>
        <w:t xml:space="preserve"> SAIMEX, </w:t>
      </w:r>
      <w:r w:rsidR="000532B3" w:rsidRPr="00C575A3">
        <w:rPr>
          <w:rFonts w:ascii="Palatino Linotype" w:hAnsi="Palatino Linotype"/>
        </w:rPr>
        <w:t xml:space="preserve">interpuso el recurso de revisión objeto del </w:t>
      </w:r>
      <w:r w:rsidR="000532B3" w:rsidRPr="00C575A3">
        <w:rPr>
          <w:rFonts w:ascii="Palatino Linotype" w:hAnsi="Palatino Linotype" w:cs="Arial"/>
        </w:rPr>
        <w:t>presente</w:t>
      </w:r>
      <w:r w:rsidR="000532B3" w:rsidRPr="00C575A3">
        <w:rPr>
          <w:rFonts w:ascii="Palatino Linotype" w:hAnsi="Palatino Linotype"/>
        </w:rPr>
        <w:t xml:space="preserve"> estudio, al que se le asignó el </w:t>
      </w:r>
      <w:r w:rsidR="000532B3" w:rsidRPr="00C575A3">
        <w:rPr>
          <w:rFonts w:ascii="Palatino Linotype" w:hAnsi="Palatino Linotype" w:cs="Arial"/>
        </w:rPr>
        <w:t>número al rubro citado, en el que señaló como acto impugnado:</w:t>
      </w:r>
    </w:p>
    <w:p w14:paraId="117D776E" w14:textId="77777777" w:rsidR="000532B3" w:rsidRPr="00C575A3" w:rsidRDefault="000532B3" w:rsidP="000532B3">
      <w:pPr>
        <w:spacing w:before="100" w:beforeAutospacing="1" w:after="100" w:afterAutospacing="1"/>
        <w:ind w:left="709" w:right="709"/>
        <w:jc w:val="both"/>
        <w:rPr>
          <w:rFonts w:ascii="Palatino Linotype" w:hAnsi="Palatino Linotype" w:cs="Arial"/>
          <w:i/>
          <w:sz w:val="22"/>
          <w:szCs w:val="22"/>
          <w:lang w:eastAsia="es-MX"/>
        </w:rPr>
      </w:pPr>
      <w:r w:rsidRPr="00C575A3">
        <w:rPr>
          <w:rFonts w:ascii="Palatino Linotype" w:hAnsi="Palatino Linotype" w:cs="Arial"/>
          <w:i/>
          <w:sz w:val="22"/>
          <w:szCs w:val="22"/>
          <w:lang w:eastAsia="es-MX"/>
        </w:rPr>
        <w:t>“</w:t>
      </w:r>
      <w:r w:rsidR="00DA2D32" w:rsidRPr="00C575A3">
        <w:rPr>
          <w:rFonts w:ascii="Palatino Linotype" w:hAnsi="Palatino Linotype" w:cs="Arial"/>
          <w:i/>
          <w:sz w:val="22"/>
          <w:szCs w:val="22"/>
          <w:lang w:eastAsia="es-MX"/>
        </w:rPr>
        <w:t>la falta de respuesta del Municipio de San Felipe del Progreso, a la petición con folio 00060/FELIPRO/IP/2021.”</w:t>
      </w:r>
    </w:p>
    <w:p w14:paraId="155B6652" w14:textId="77777777" w:rsidR="000532B3" w:rsidRPr="00C575A3" w:rsidRDefault="000532B3" w:rsidP="000532B3">
      <w:pPr>
        <w:pStyle w:val="Prrafodelista"/>
        <w:spacing w:before="100" w:beforeAutospacing="1" w:after="100" w:afterAutospacing="1" w:line="360" w:lineRule="auto"/>
        <w:ind w:left="0"/>
        <w:jc w:val="both"/>
        <w:rPr>
          <w:rFonts w:ascii="Palatino Linotype" w:hAnsi="Palatino Linotype"/>
        </w:rPr>
      </w:pPr>
      <w:r w:rsidRPr="00C575A3">
        <w:rPr>
          <w:rFonts w:ascii="Palatino Linotype" w:hAnsi="Palatino Linotype" w:cs="Arial"/>
        </w:rPr>
        <w:t>Asimismo</w:t>
      </w:r>
      <w:r w:rsidRPr="00C575A3">
        <w:rPr>
          <w:rFonts w:ascii="Palatino Linotype" w:hAnsi="Palatino Linotype"/>
        </w:rPr>
        <w:t>, indicó como razones o motivos de inconformidad:</w:t>
      </w:r>
    </w:p>
    <w:p w14:paraId="6E710378" w14:textId="77777777" w:rsidR="000532B3" w:rsidRPr="00C575A3" w:rsidRDefault="000532B3" w:rsidP="000532B3">
      <w:pPr>
        <w:spacing w:before="100" w:beforeAutospacing="1" w:after="100" w:afterAutospacing="1"/>
        <w:ind w:left="709" w:right="709"/>
        <w:jc w:val="both"/>
        <w:rPr>
          <w:rFonts w:ascii="Palatino Linotype" w:hAnsi="Palatino Linotype" w:cs="Arial"/>
          <w:i/>
          <w:sz w:val="22"/>
          <w:szCs w:val="22"/>
          <w:lang w:eastAsia="es-MX"/>
        </w:rPr>
      </w:pPr>
      <w:r w:rsidRPr="00C575A3">
        <w:rPr>
          <w:rFonts w:ascii="Palatino Linotype" w:hAnsi="Palatino Linotype" w:cs="Arial"/>
          <w:i/>
          <w:sz w:val="22"/>
          <w:szCs w:val="22"/>
          <w:lang w:eastAsia="es-MX"/>
        </w:rPr>
        <w:t>“</w:t>
      </w:r>
      <w:r w:rsidR="00DA2D32" w:rsidRPr="00C575A3">
        <w:rPr>
          <w:rFonts w:ascii="Palatino Linotype" w:hAnsi="Palatino Linotype" w:cs="Arial"/>
          <w:i/>
          <w:sz w:val="22"/>
          <w:szCs w:val="22"/>
          <w:lang w:eastAsia="es-MX"/>
        </w:rPr>
        <w:t>no dar contestación la petición con folio 00060/FELIPRO/IP/2021 dentro del término de 15 días previsto por la ley, mismo que se recibió con fecha cuatro de agosto de la presente anualidad.</w:t>
      </w:r>
      <w:r w:rsidRPr="00C575A3">
        <w:rPr>
          <w:rFonts w:ascii="Palatino Linotype" w:hAnsi="Palatino Linotype" w:cs="Arial"/>
          <w:i/>
          <w:sz w:val="22"/>
          <w:szCs w:val="22"/>
          <w:lang w:eastAsia="es-MX"/>
        </w:rPr>
        <w:t>” (Sic)</w:t>
      </w:r>
    </w:p>
    <w:p w14:paraId="009F0ED4" w14:textId="77777777" w:rsidR="000532B3" w:rsidRPr="00C575A3" w:rsidRDefault="000532B3" w:rsidP="000532B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C575A3">
        <w:rPr>
          <w:rFonts w:ascii="Palatino Linotype" w:hAnsi="Palatino Linotype" w:cs="Arial"/>
          <w:b/>
          <w:color w:val="000000" w:themeColor="text1"/>
          <w:sz w:val="28"/>
          <w:szCs w:val="28"/>
        </w:rPr>
        <w:t>V.</w:t>
      </w:r>
      <w:r w:rsidR="0066758C" w:rsidRPr="00C575A3">
        <w:rPr>
          <w:rFonts w:ascii="Palatino Linotype" w:hAnsi="Palatino Linotype" w:cs="Arial"/>
          <w:color w:val="000000" w:themeColor="text1"/>
        </w:rPr>
        <w:t xml:space="preserve"> El treinta de agosto de dos mil veintiuno</w:t>
      </w:r>
      <w:r w:rsidRPr="00C575A3">
        <w:rPr>
          <w:rFonts w:ascii="Palatino Linotype" w:hAnsi="Palatino Linotype" w:cs="Arial"/>
        </w:rPr>
        <w:t>, el recurso de que se trata se envió electrónicamente al Instituto de Transparencia, Acceso a la Información Pública</w:t>
      </w:r>
      <w:r w:rsidRPr="00C575A3">
        <w:rPr>
          <w:rFonts w:ascii="Palatino Linotype" w:hAnsi="Palatino Linotype" w:cs="Arial"/>
          <w:lang w:val="es-ES_tradnl"/>
        </w:rPr>
        <w:t xml:space="preserve"> y </w:t>
      </w:r>
      <w:r w:rsidRPr="00C575A3">
        <w:rPr>
          <w:rFonts w:ascii="Palatino Linotype" w:hAnsi="Palatino Linotype" w:cs="Arial"/>
        </w:rPr>
        <w:t>Protección</w:t>
      </w:r>
      <w:r w:rsidRPr="00C575A3">
        <w:rPr>
          <w:rFonts w:ascii="Palatino Linotype" w:hAnsi="Palatino Linotype" w:cs="Arial"/>
          <w:lang w:val="es-ES_tradnl"/>
        </w:rPr>
        <w:t xml:space="preserve"> </w:t>
      </w:r>
      <w:r w:rsidRPr="00C575A3">
        <w:rPr>
          <w:rFonts w:ascii="Palatino Linotype" w:hAnsi="Palatino Linotype" w:cs="Arial"/>
        </w:rPr>
        <w:t>de</w:t>
      </w:r>
      <w:r w:rsidRPr="00C575A3">
        <w:rPr>
          <w:rFonts w:ascii="Palatino Linotype" w:hAnsi="Palatino Linotype" w:cs="Arial"/>
          <w:lang w:val="es-ES_tradnl"/>
        </w:rPr>
        <w:t xml:space="preserve"> </w:t>
      </w:r>
      <w:r w:rsidRPr="00C575A3">
        <w:rPr>
          <w:rFonts w:ascii="Palatino Linotype" w:hAnsi="Palatino Linotype"/>
        </w:rPr>
        <w:t>Datos</w:t>
      </w:r>
      <w:r w:rsidRPr="00C575A3">
        <w:rPr>
          <w:rFonts w:ascii="Palatino Linotype" w:hAnsi="Palatino Linotype" w:cs="Arial"/>
          <w:lang w:val="es-ES_tradnl"/>
        </w:rPr>
        <w:t xml:space="preserve"> </w:t>
      </w:r>
      <w:r w:rsidRPr="00C575A3">
        <w:rPr>
          <w:rFonts w:ascii="Palatino Linotype" w:hAnsi="Palatino Linotype" w:cs="Arial"/>
        </w:rPr>
        <w:t>Personales</w:t>
      </w:r>
      <w:r w:rsidRPr="00C575A3">
        <w:rPr>
          <w:rFonts w:ascii="Palatino Linotype" w:hAnsi="Palatino Linotype" w:cs="Arial"/>
          <w:lang w:val="es-ES_tradnl"/>
        </w:rPr>
        <w:t xml:space="preserve"> </w:t>
      </w:r>
      <w:r w:rsidRPr="00C575A3">
        <w:rPr>
          <w:rFonts w:ascii="Palatino Linotype" w:hAnsi="Palatino Linotype" w:cs="Arial"/>
        </w:rPr>
        <w:t>del</w:t>
      </w:r>
      <w:r w:rsidRPr="00C575A3">
        <w:rPr>
          <w:rFonts w:ascii="Palatino Linotype" w:hAnsi="Palatino Linotype" w:cs="Arial"/>
          <w:lang w:val="es-ES_tradnl"/>
        </w:rPr>
        <w:t xml:space="preserve"> </w:t>
      </w:r>
      <w:r w:rsidRPr="00C575A3">
        <w:rPr>
          <w:rFonts w:ascii="Palatino Linotype" w:hAnsi="Palatino Linotype"/>
        </w:rPr>
        <w:t>Estado</w:t>
      </w:r>
      <w:r w:rsidRPr="00C575A3">
        <w:rPr>
          <w:rFonts w:ascii="Palatino Linotype" w:hAnsi="Palatino Linotype" w:cs="Arial"/>
          <w:lang w:val="es-ES_tradnl"/>
        </w:rPr>
        <w:t xml:space="preserve"> de México y Municipios y con fundamento en el </w:t>
      </w:r>
      <w:r w:rsidRPr="00C575A3">
        <w:rPr>
          <w:rFonts w:ascii="Palatino Linotype" w:hAnsi="Palatino Linotype" w:cs="Arial"/>
        </w:rPr>
        <w:t>artículo</w:t>
      </w:r>
      <w:r w:rsidRPr="00C575A3">
        <w:rPr>
          <w:rFonts w:ascii="Palatino Linotype" w:hAnsi="Palatino Linotype" w:cs="Arial"/>
          <w:lang w:val="es-ES_tradnl"/>
        </w:rPr>
        <w:t xml:space="preserve"> 185, </w:t>
      </w:r>
      <w:r w:rsidRPr="00C575A3">
        <w:rPr>
          <w:rFonts w:ascii="Palatino Linotype" w:hAnsi="Palatino Linotype" w:cs="Arial"/>
        </w:rPr>
        <w:t>fracción</w:t>
      </w:r>
      <w:r w:rsidRPr="00C575A3">
        <w:rPr>
          <w:rFonts w:ascii="Palatino Linotype" w:hAnsi="Palatino Linotype" w:cs="Arial"/>
          <w:lang w:val="es-ES_tradnl"/>
        </w:rPr>
        <w:t xml:space="preserve"> I de la </w:t>
      </w:r>
      <w:r w:rsidRPr="00C575A3">
        <w:rPr>
          <w:rFonts w:ascii="Palatino Linotype" w:hAnsi="Palatino Linotype"/>
        </w:rPr>
        <w:t>Ley de Transparencia y Acceso a la Información Pública del Estado de México y Municipios</w:t>
      </w:r>
      <w:r w:rsidRPr="00C575A3">
        <w:rPr>
          <w:rFonts w:ascii="Palatino Linotype" w:hAnsi="Palatino Linotype" w:cs="Arial"/>
          <w:lang w:val="es-ES_tradnl"/>
        </w:rPr>
        <w:t>, se turnó, a través del</w:t>
      </w:r>
      <w:r w:rsidRPr="00C575A3">
        <w:rPr>
          <w:rFonts w:ascii="Palatino Linotype" w:eastAsia="Arial Unicode MS" w:hAnsi="Palatino Linotype" w:cs="Arial"/>
          <w:lang w:val="es-ES_tradnl"/>
        </w:rPr>
        <w:t xml:space="preserve"> </w:t>
      </w:r>
      <w:r w:rsidRPr="00C575A3">
        <w:rPr>
          <w:rFonts w:ascii="Palatino Linotype" w:eastAsia="Arial Unicode MS" w:hAnsi="Palatino Linotype" w:cs="Arial"/>
          <w:b/>
          <w:lang w:val="es-ES_tradnl"/>
        </w:rPr>
        <w:t>SAIMEX</w:t>
      </w:r>
      <w:r w:rsidRPr="00C575A3">
        <w:rPr>
          <w:rFonts w:ascii="Palatino Linotype" w:hAnsi="Palatino Linotype"/>
        </w:rPr>
        <w:t xml:space="preserve">, a la </w:t>
      </w:r>
      <w:r w:rsidRPr="00C575A3">
        <w:rPr>
          <w:rFonts w:ascii="Palatino Linotype" w:hAnsi="Palatino Linotype" w:cs="Arial"/>
          <w:lang w:val="es-ES_tradnl"/>
        </w:rPr>
        <w:t xml:space="preserve">Comisionada </w:t>
      </w:r>
      <w:r w:rsidR="00E875D6" w:rsidRPr="00C575A3">
        <w:rPr>
          <w:rFonts w:ascii="Palatino Linotype" w:hAnsi="Palatino Linotype" w:cs="Arial"/>
          <w:lang w:val="es-ES_tradnl"/>
        </w:rPr>
        <w:t xml:space="preserve">Ponente </w:t>
      </w:r>
      <w:r w:rsidR="0066758C" w:rsidRPr="00C575A3">
        <w:rPr>
          <w:rFonts w:ascii="Palatino Linotype" w:hAnsi="Palatino Linotype" w:cs="Arial"/>
          <w:b/>
          <w:lang w:val="es-ES_tradnl"/>
        </w:rPr>
        <w:t>SHARON CRISTINA MORALES MARTÍNEZ</w:t>
      </w:r>
      <w:r w:rsidRPr="00C575A3">
        <w:rPr>
          <w:rFonts w:ascii="Palatino Linotype" w:hAnsi="Palatino Linotype" w:cs="Arial"/>
          <w:lang w:val="es-ES_tradnl"/>
        </w:rPr>
        <w:t xml:space="preserve">, a efecto de que decretara su admisión o </w:t>
      </w:r>
      <w:proofErr w:type="spellStart"/>
      <w:r w:rsidRPr="00C575A3">
        <w:rPr>
          <w:rFonts w:ascii="Palatino Linotype" w:hAnsi="Palatino Linotype" w:cs="Arial"/>
          <w:lang w:val="es-ES_tradnl"/>
        </w:rPr>
        <w:t>desechamiento</w:t>
      </w:r>
      <w:proofErr w:type="spellEnd"/>
      <w:r w:rsidRPr="00C575A3">
        <w:rPr>
          <w:rFonts w:ascii="Palatino Linotype" w:hAnsi="Palatino Linotype" w:cs="Arial"/>
          <w:lang w:val="es-ES_tradnl"/>
        </w:rPr>
        <w:t>.</w:t>
      </w:r>
    </w:p>
    <w:p w14:paraId="710894C8" w14:textId="77777777" w:rsidR="000532B3" w:rsidRPr="00C575A3" w:rsidRDefault="000532B3" w:rsidP="000532B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C575A3">
        <w:rPr>
          <w:rFonts w:ascii="Palatino Linotype" w:hAnsi="Palatino Linotype" w:cs="Arial"/>
          <w:b/>
          <w:color w:val="000000" w:themeColor="text1"/>
          <w:sz w:val="28"/>
          <w:szCs w:val="28"/>
        </w:rPr>
        <w:t>V</w:t>
      </w:r>
      <w:r w:rsidR="001E575B" w:rsidRPr="00C575A3">
        <w:rPr>
          <w:rFonts w:ascii="Palatino Linotype" w:hAnsi="Palatino Linotype" w:cs="Arial"/>
          <w:b/>
          <w:color w:val="000000" w:themeColor="text1"/>
          <w:sz w:val="28"/>
          <w:szCs w:val="28"/>
        </w:rPr>
        <w:t>I</w:t>
      </w:r>
      <w:r w:rsidRPr="00C575A3">
        <w:rPr>
          <w:rFonts w:ascii="Palatino Linotype" w:hAnsi="Palatino Linotype" w:cs="Arial"/>
          <w:b/>
          <w:color w:val="000000" w:themeColor="text1"/>
          <w:sz w:val="28"/>
          <w:szCs w:val="28"/>
        </w:rPr>
        <w:t>.</w:t>
      </w:r>
      <w:r w:rsidRPr="00C575A3">
        <w:rPr>
          <w:rFonts w:ascii="Palatino Linotype" w:hAnsi="Palatino Linotype" w:cs="Arial"/>
          <w:color w:val="000000" w:themeColor="text1"/>
        </w:rPr>
        <w:t xml:space="preserve"> </w:t>
      </w:r>
      <w:r w:rsidR="0066758C" w:rsidRPr="00C575A3">
        <w:rPr>
          <w:rFonts w:ascii="Palatino Linotype" w:hAnsi="Palatino Linotype" w:cs="Arial"/>
          <w:color w:val="000000" w:themeColor="text1"/>
        </w:rPr>
        <w:t>El dos de septiembre de dos mil veintiuno</w:t>
      </w:r>
      <w:r w:rsidRPr="00C575A3">
        <w:rPr>
          <w:rFonts w:ascii="Palatino Linotype" w:hAnsi="Palatino Linotype" w:cs="Arial"/>
        </w:rPr>
        <w:t xml:space="preserve">, atento a lo dispuesto en el artículo 185, fracciones I, II y IV, de la </w:t>
      </w:r>
      <w:r w:rsidRPr="00C575A3">
        <w:rPr>
          <w:rFonts w:ascii="Palatino Linotype" w:hAnsi="Palatino Linotype"/>
        </w:rPr>
        <w:t xml:space="preserve">Ley de Transparencia y Acceso a la Información Pública del </w:t>
      </w:r>
      <w:r w:rsidRPr="00C575A3">
        <w:rPr>
          <w:rFonts w:ascii="Palatino Linotype" w:hAnsi="Palatino Linotype" w:cs="Arial"/>
        </w:rPr>
        <w:lastRenderedPageBreak/>
        <w:t>Estado</w:t>
      </w:r>
      <w:r w:rsidRPr="00C575A3">
        <w:rPr>
          <w:rFonts w:ascii="Palatino Linotype" w:hAnsi="Palatino Linotype"/>
        </w:rPr>
        <w:t xml:space="preserve"> de México y </w:t>
      </w:r>
      <w:r w:rsidRPr="00C575A3">
        <w:rPr>
          <w:rFonts w:ascii="Palatino Linotype" w:hAnsi="Palatino Linotype" w:cs="Arial"/>
          <w:lang w:val="es-ES_tradnl"/>
        </w:rPr>
        <w:t>Municipios</w:t>
      </w:r>
      <w:r w:rsidRPr="00C575A3">
        <w:rPr>
          <w:rFonts w:ascii="Palatino Linotype" w:hAnsi="Palatino Linotype"/>
        </w:rPr>
        <w:t xml:space="preserve">, </w:t>
      </w:r>
      <w:r w:rsidR="001E575B" w:rsidRPr="00C575A3">
        <w:rPr>
          <w:rFonts w:ascii="Palatino Linotype" w:hAnsi="Palatino Linotype"/>
        </w:rPr>
        <w:t xml:space="preserve">la Comisionada </w:t>
      </w:r>
      <w:r w:rsidRPr="00C575A3">
        <w:rPr>
          <w:rFonts w:ascii="Palatino Linotype" w:hAnsi="Palatino Linotype"/>
        </w:rPr>
        <w:t>a</w:t>
      </w:r>
      <w:r w:rsidRPr="00C575A3">
        <w:rPr>
          <w:rFonts w:ascii="Palatino Linotype" w:hAnsi="Palatino Linotype" w:cs="Arial"/>
        </w:rPr>
        <w:t xml:space="preserve">cordó la admisión a trámite del referido recurso de </w:t>
      </w:r>
      <w:r w:rsidRPr="00C575A3">
        <w:rPr>
          <w:rFonts w:ascii="Palatino Linotype" w:hAnsi="Palatino Linotype" w:cs="Arial"/>
          <w:lang w:val="es-ES_tradnl"/>
        </w:rPr>
        <w:t>revisión;</w:t>
      </w:r>
      <w:r w:rsidRPr="00C575A3">
        <w:rPr>
          <w:rFonts w:ascii="Palatino Linotype" w:hAnsi="Palatino Linotype" w:cs="Arial"/>
        </w:rPr>
        <w:t xml:space="preserve"> así como, la </w:t>
      </w:r>
      <w:r w:rsidRPr="00C575A3">
        <w:rPr>
          <w:rFonts w:ascii="Palatino Linotype" w:hAnsi="Palatino Linotype" w:cs="Arial"/>
          <w:lang w:val="es-ES_tradnl"/>
        </w:rPr>
        <w:t>integración</w:t>
      </w:r>
      <w:r w:rsidRPr="00C575A3">
        <w:rPr>
          <w:rFonts w:ascii="Palatino Linotype" w:hAnsi="Palatino Linotype" w:cs="Arial"/>
        </w:rPr>
        <w:t xml:space="preserve"> del expediente respectivo, mismo que se puso a disposición de las partes, para que en el plazo máximo de siete días hábiles, </w:t>
      </w:r>
      <w:r w:rsidR="0066758C" w:rsidRPr="00C575A3">
        <w:rPr>
          <w:rFonts w:ascii="Palatino Linotype" w:hAnsi="Palatino Linotype" w:cs="Arial"/>
          <w:b/>
        </w:rPr>
        <w:t>EL</w:t>
      </w:r>
      <w:r w:rsidRPr="00C575A3">
        <w:rPr>
          <w:rFonts w:ascii="Palatino Linotype" w:hAnsi="Palatino Linotype" w:cs="Arial"/>
          <w:b/>
        </w:rPr>
        <w:t xml:space="preserve"> RECURRENTE</w:t>
      </w:r>
      <w:r w:rsidRPr="00C575A3">
        <w:rPr>
          <w:rFonts w:ascii="Palatino Linotype" w:hAnsi="Palatino Linotype" w:cs="Arial"/>
        </w:rPr>
        <w:t xml:space="preserve"> realizara manifestaciones, alegatos y ofreciera las pruebas que a su derecho </w:t>
      </w:r>
      <w:r w:rsidRPr="00C575A3">
        <w:rPr>
          <w:rFonts w:ascii="Palatino Linotype" w:hAnsi="Palatino Linotype" w:cs="Arial"/>
          <w:lang w:val="es-ES_tradnl"/>
        </w:rPr>
        <w:t>conviniera</w:t>
      </w:r>
      <w:r w:rsidRPr="00C575A3">
        <w:rPr>
          <w:rFonts w:ascii="Palatino Linotype" w:hAnsi="Palatino Linotype" w:cs="Arial"/>
        </w:rPr>
        <w:t xml:space="preserve"> y en el caso del</w:t>
      </w:r>
      <w:r w:rsidRPr="00C575A3">
        <w:rPr>
          <w:rFonts w:ascii="Palatino Linotype" w:hAnsi="Palatino Linotype" w:cs="Arial"/>
          <w:b/>
        </w:rPr>
        <w:t xml:space="preserve"> SUJETO OBLIGADO</w:t>
      </w:r>
      <w:r w:rsidRPr="00C575A3">
        <w:rPr>
          <w:rFonts w:ascii="Palatino Linotype" w:hAnsi="Palatino Linotype" w:cs="Arial"/>
        </w:rPr>
        <w:t>, para que exhibiera el Informe Justificado correspondiente.</w:t>
      </w:r>
    </w:p>
    <w:p w14:paraId="7140BE95" w14:textId="77777777" w:rsidR="000532B3" w:rsidRPr="00C575A3" w:rsidRDefault="000532B3" w:rsidP="000532B3">
      <w:pPr>
        <w:pStyle w:val="Prrafodelista"/>
        <w:spacing w:before="240" w:after="240" w:line="360" w:lineRule="auto"/>
        <w:ind w:left="0"/>
        <w:jc w:val="both"/>
        <w:rPr>
          <w:rFonts w:ascii="Palatino Linotype" w:hAnsi="Palatino Linotype" w:cs="Arial"/>
        </w:rPr>
      </w:pPr>
      <w:r w:rsidRPr="00C575A3">
        <w:rPr>
          <w:rFonts w:ascii="Palatino Linotype" w:hAnsi="Palatino Linotype" w:cs="Arial"/>
          <w:b/>
          <w:sz w:val="28"/>
          <w:szCs w:val="28"/>
        </w:rPr>
        <w:t>V</w:t>
      </w:r>
      <w:r w:rsidR="00CA53B8" w:rsidRPr="00C575A3">
        <w:rPr>
          <w:rFonts w:ascii="Palatino Linotype" w:hAnsi="Palatino Linotype" w:cs="Arial"/>
          <w:b/>
          <w:sz w:val="28"/>
          <w:szCs w:val="28"/>
        </w:rPr>
        <w:t>I</w:t>
      </w:r>
      <w:r w:rsidRPr="00C575A3">
        <w:rPr>
          <w:rFonts w:ascii="Palatino Linotype" w:hAnsi="Palatino Linotype" w:cs="Arial"/>
          <w:b/>
          <w:sz w:val="28"/>
          <w:szCs w:val="28"/>
        </w:rPr>
        <w:t>I.</w:t>
      </w:r>
      <w:r w:rsidRPr="00C575A3">
        <w:rPr>
          <w:rFonts w:ascii="Palatino Linotype" w:hAnsi="Palatino Linotype" w:cs="Arial"/>
        </w:rPr>
        <w:t xml:space="preserve"> De las constancias que obran en el </w:t>
      </w:r>
      <w:r w:rsidRPr="00C575A3">
        <w:rPr>
          <w:rFonts w:ascii="Palatino Linotype" w:hAnsi="Palatino Linotype" w:cs="Arial"/>
          <w:b/>
        </w:rPr>
        <w:t>SAIMEX</w:t>
      </w:r>
      <w:r w:rsidRPr="00C575A3">
        <w:rPr>
          <w:rFonts w:ascii="Palatino Linotype" w:hAnsi="Palatino Linotype" w:cs="Arial"/>
        </w:rPr>
        <w:t xml:space="preserve">, se desprende que </w:t>
      </w:r>
      <w:r w:rsidRPr="00C575A3">
        <w:rPr>
          <w:rFonts w:ascii="Palatino Linotype" w:hAnsi="Palatino Linotype" w:cs="Arial"/>
          <w:b/>
        </w:rPr>
        <w:t xml:space="preserve">EL SUJETO OBLIGADO </w:t>
      </w:r>
      <w:r w:rsidRPr="00C575A3">
        <w:rPr>
          <w:rFonts w:ascii="Palatino Linotype" w:hAnsi="Palatino Linotype" w:cs="Arial"/>
        </w:rPr>
        <w:t xml:space="preserve">fue omiso en rendir el </w:t>
      </w:r>
      <w:r w:rsidR="001E575B" w:rsidRPr="00C575A3">
        <w:rPr>
          <w:rFonts w:ascii="Palatino Linotype" w:hAnsi="Palatino Linotype" w:cs="Arial"/>
        </w:rPr>
        <w:t xml:space="preserve">Informe Justificado </w:t>
      </w:r>
      <w:r w:rsidRPr="00C575A3">
        <w:rPr>
          <w:rFonts w:ascii="Palatino Linotype" w:hAnsi="Palatino Linotype" w:cs="Arial"/>
        </w:rPr>
        <w:t xml:space="preserve">correspondiente. De igual manera, </w:t>
      </w:r>
      <w:r w:rsidR="0066758C" w:rsidRPr="00C575A3">
        <w:rPr>
          <w:rFonts w:ascii="Palatino Linotype" w:hAnsi="Palatino Linotype" w:cs="Arial"/>
          <w:b/>
        </w:rPr>
        <w:t>EL</w:t>
      </w:r>
      <w:r w:rsidRPr="00C575A3">
        <w:rPr>
          <w:rFonts w:ascii="Palatino Linotype" w:hAnsi="Palatino Linotype" w:cs="Arial"/>
          <w:b/>
        </w:rPr>
        <w:t xml:space="preserve"> RECURRENTE</w:t>
      </w:r>
      <w:r w:rsidR="0066758C" w:rsidRPr="00C575A3">
        <w:rPr>
          <w:rFonts w:ascii="Palatino Linotype" w:hAnsi="Palatino Linotype" w:cs="Arial"/>
        </w:rPr>
        <w:t xml:space="preserve"> </w:t>
      </w:r>
      <w:r w:rsidR="00227BE1" w:rsidRPr="00C575A3">
        <w:rPr>
          <w:rFonts w:ascii="Palatino Linotype" w:hAnsi="Palatino Linotype" w:cs="Arial"/>
        </w:rPr>
        <w:t>no realizó</w:t>
      </w:r>
      <w:r w:rsidRPr="00C575A3">
        <w:rPr>
          <w:rFonts w:ascii="Palatino Linotype" w:hAnsi="Palatino Linotype" w:cs="Arial"/>
        </w:rPr>
        <w:t xml:space="preserve"> las manifestaciones que a su derecho conviniera tal y como se aprecia a continuación:</w:t>
      </w:r>
    </w:p>
    <w:p w14:paraId="5BDC3E28" w14:textId="77777777" w:rsidR="000532B3" w:rsidRPr="00C575A3" w:rsidRDefault="00CA53B8" w:rsidP="000532B3">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sz w:val="22"/>
          <w:szCs w:val="22"/>
          <w:lang w:eastAsia="es-MX"/>
        </w:rPr>
      </w:pPr>
      <w:r w:rsidRPr="00C575A3">
        <w:rPr>
          <w:rFonts w:ascii="Palatino Linotype" w:hAnsi="Palatino Linotype" w:cs="Arial"/>
          <w:noProof/>
          <w:sz w:val="22"/>
          <w:szCs w:val="22"/>
          <w:lang w:eastAsia="es-MX"/>
        </w:rPr>
        <w:drawing>
          <wp:inline distT="0" distB="0" distL="0" distR="0" wp14:anchorId="2C9FAAF9" wp14:editId="046ECD0E">
            <wp:extent cx="5114925" cy="130369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33579"/>
                    <a:stretch/>
                  </pic:blipFill>
                  <pic:spPr bwMode="auto">
                    <a:xfrm>
                      <a:off x="0" y="0"/>
                      <a:ext cx="5114925" cy="1303699"/>
                    </a:xfrm>
                    <a:prstGeom prst="rect">
                      <a:avLst/>
                    </a:prstGeom>
                    <a:noFill/>
                    <a:ln>
                      <a:noFill/>
                    </a:ln>
                    <a:extLst>
                      <a:ext uri="{53640926-AAD7-44D8-BBD7-CCE9431645EC}">
                        <a14:shadowObscured xmlns:a14="http://schemas.microsoft.com/office/drawing/2010/main"/>
                      </a:ext>
                    </a:extLst>
                  </pic:spPr>
                </pic:pic>
              </a:graphicData>
            </a:graphic>
          </wp:inline>
        </w:drawing>
      </w:r>
    </w:p>
    <w:p w14:paraId="2B497141" w14:textId="77777777" w:rsidR="000532B3" w:rsidRPr="00C575A3" w:rsidRDefault="00CA53B8" w:rsidP="000532B3">
      <w:pPr>
        <w:pStyle w:val="Prrafodelista"/>
        <w:spacing w:before="240" w:after="240" w:line="360" w:lineRule="auto"/>
        <w:ind w:left="0"/>
        <w:jc w:val="both"/>
        <w:rPr>
          <w:rFonts w:ascii="Palatino Linotype" w:hAnsi="Palatino Linotype"/>
        </w:rPr>
      </w:pPr>
      <w:r w:rsidRPr="00C575A3">
        <w:rPr>
          <w:rFonts w:ascii="Palatino Linotype" w:hAnsi="Palatino Linotype" w:cs="Arial"/>
          <w:b/>
          <w:sz w:val="28"/>
          <w:szCs w:val="28"/>
        </w:rPr>
        <w:t>VIII</w:t>
      </w:r>
      <w:r w:rsidR="000532B3" w:rsidRPr="00C575A3">
        <w:rPr>
          <w:rFonts w:ascii="Palatino Linotype" w:hAnsi="Palatino Linotype" w:cs="Arial"/>
          <w:b/>
          <w:sz w:val="28"/>
          <w:szCs w:val="28"/>
        </w:rPr>
        <w:t>.</w:t>
      </w:r>
      <w:r w:rsidR="000532B3" w:rsidRPr="00C575A3">
        <w:rPr>
          <w:rFonts w:ascii="Palatino Linotype" w:hAnsi="Palatino Linotype" w:cs="Arial"/>
        </w:rPr>
        <w:t xml:space="preserve"> Una vez </w:t>
      </w:r>
      <w:r w:rsidR="000532B3" w:rsidRPr="00C575A3">
        <w:rPr>
          <w:rFonts w:ascii="Palatino Linotype" w:hAnsi="Palatino Linotype" w:cs="Arial"/>
          <w:color w:val="000000" w:themeColor="text1"/>
        </w:rPr>
        <w:t>analizado</w:t>
      </w:r>
      <w:r w:rsidR="000532B3" w:rsidRPr="00C575A3">
        <w:rPr>
          <w:rFonts w:ascii="Palatino Linotype" w:hAnsi="Palatino Linotype" w:cs="Arial"/>
        </w:rPr>
        <w:t xml:space="preserve"> el estado procesal que guarda el expediente, </w:t>
      </w:r>
      <w:r w:rsidR="00153685" w:rsidRPr="00C575A3">
        <w:rPr>
          <w:rFonts w:ascii="Palatino Linotype" w:hAnsi="Palatino Linotype" w:cs="Arial"/>
        </w:rPr>
        <w:t xml:space="preserve">el catorce de septiembre de dos mil veintiuno </w:t>
      </w:r>
      <w:r w:rsidR="000532B3" w:rsidRPr="00C575A3">
        <w:rPr>
          <w:rFonts w:ascii="Palatino Linotype" w:hAnsi="Palatino Linotype" w:cs="Arial"/>
        </w:rPr>
        <w:t xml:space="preserve">la Comisionada </w:t>
      </w:r>
      <w:r w:rsidR="00153685" w:rsidRPr="00C575A3">
        <w:rPr>
          <w:rFonts w:ascii="Palatino Linotype" w:hAnsi="Palatino Linotype" w:cs="Arial"/>
          <w:b/>
        </w:rPr>
        <w:t>Sharon Cristina Morales Martínez</w:t>
      </w:r>
      <w:r w:rsidR="001E575B" w:rsidRPr="00C575A3">
        <w:rPr>
          <w:rFonts w:ascii="Palatino Linotype" w:hAnsi="Palatino Linotype" w:cs="Arial"/>
          <w:b/>
        </w:rPr>
        <w:t xml:space="preserve"> </w:t>
      </w:r>
      <w:r w:rsidR="000532B3" w:rsidRPr="00C575A3">
        <w:rPr>
          <w:rFonts w:ascii="Palatino Linotype" w:hAnsi="Palatino Linotype" w:cs="Arial"/>
        </w:rPr>
        <w:t xml:space="preserve">acordó el cierre de instrucción; así </w:t>
      </w:r>
      <w:r w:rsidR="000532B3" w:rsidRPr="00C575A3">
        <w:rPr>
          <w:rFonts w:ascii="Palatino Linotype" w:hAnsi="Palatino Linotype" w:cs="Arial"/>
          <w:lang w:val="es-ES_tradnl"/>
        </w:rPr>
        <w:t>como</w:t>
      </w:r>
      <w:r w:rsidR="000532B3" w:rsidRPr="00C575A3">
        <w:rPr>
          <w:rFonts w:ascii="Palatino Linotype" w:hAnsi="Palatino Linotype" w:cs="Arial"/>
        </w:rPr>
        <w:t xml:space="preserve"> la remisión del mismo a efecto </w:t>
      </w:r>
      <w:r w:rsidR="000532B3" w:rsidRPr="00C575A3">
        <w:rPr>
          <w:rFonts w:ascii="Palatino Linotype" w:hAnsi="Palatino Linotype" w:cs="Arial"/>
          <w:lang w:val="es-ES_tradnl"/>
        </w:rPr>
        <w:t>de</w:t>
      </w:r>
      <w:r w:rsidR="000532B3" w:rsidRPr="00C575A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153685" w:rsidRPr="00C575A3">
        <w:rPr>
          <w:rFonts w:ascii="Palatino Linotype" w:hAnsi="Palatino Linotype"/>
        </w:rPr>
        <w:t>.</w:t>
      </w:r>
    </w:p>
    <w:p w14:paraId="3B8A9398" w14:textId="77777777" w:rsidR="00E875D6" w:rsidRPr="00C575A3" w:rsidRDefault="00E875D6" w:rsidP="000532B3">
      <w:pPr>
        <w:pStyle w:val="Prrafodelista"/>
        <w:spacing w:before="240" w:after="240" w:line="360" w:lineRule="auto"/>
        <w:ind w:left="0"/>
        <w:jc w:val="both"/>
        <w:rPr>
          <w:rFonts w:ascii="Palatino Linotype" w:hAnsi="Palatino Linotype"/>
        </w:rPr>
      </w:pPr>
      <w:r w:rsidRPr="00C575A3">
        <w:rPr>
          <w:rFonts w:ascii="Palatino Linotype" w:hAnsi="Palatino Linotype"/>
          <w:b/>
        </w:rPr>
        <w:lastRenderedPageBreak/>
        <w:t>IX.</w:t>
      </w:r>
      <w:r w:rsidRPr="00C575A3">
        <w:rPr>
          <w:rFonts w:ascii="Palatino Linotype" w:hAnsi="Palatino Linotype"/>
        </w:rPr>
        <w:t xml:space="preserve"> El diecinueve de octubre de dos mil veintiuno,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bookmarkEnd w:id="1"/>
    <w:bookmarkEnd w:id="2"/>
    <w:p w14:paraId="4E4D04E9" w14:textId="77777777" w:rsidR="000532B3" w:rsidRPr="00C575A3" w:rsidRDefault="000532B3" w:rsidP="000532B3">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C575A3">
        <w:rPr>
          <w:rFonts w:ascii="Palatino Linotype" w:hAnsi="Palatino Linotype"/>
          <w:b/>
          <w:bCs/>
          <w:spacing w:val="60"/>
          <w:sz w:val="28"/>
        </w:rPr>
        <w:t>CONSIDERANDO</w:t>
      </w:r>
    </w:p>
    <w:p w14:paraId="7BC23E8D" w14:textId="77777777" w:rsidR="00E875D6" w:rsidRPr="00C575A3" w:rsidRDefault="000532B3" w:rsidP="000532B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C575A3">
        <w:rPr>
          <w:rFonts w:ascii="Palatino Linotype" w:hAnsi="Palatino Linotype"/>
          <w:b/>
          <w:sz w:val="28"/>
          <w:szCs w:val="28"/>
        </w:rPr>
        <w:t>PRIMERO</w:t>
      </w:r>
      <w:r w:rsidRPr="00C575A3">
        <w:rPr>
          <w:rFonts w:ascii="Palatino Linotype" w:hAnsi="Palatino Linotype"/>
          <w:b/>
        </w:rPr>
        <w:t>. Competencia</w:t>
      </w:r>
      <w:r w:rsidRPr="00C575A3">
        <w:rPr>
          <w:rFonts w:ascii="Palatino Linotype" w:hAnsi="Palatino Linotype"/>
        </w:rPr>
        <w:t>.</w:t>
      </w:r>
    </w:p>
    <w:p w14:paraId="65E6943E" w14:textId="77777777" w:rsidR="000532B3" w:rsidRPr="00C575A3" w:rsidRDefault="000532B3" w:rsidP="000532B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C575A3">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r w:rsidR="00086A8C" w:rsidRPr="00C575A3">
        <w:rPr>
          <w:rFonts w:ascii="Palatino Linotype" w:hAnsi="Palatino Linotype"/>
        </w:rPr>
        <w:t xml:space="preserve"> </w:t>
      </w:r>
    </w:p>
    <w:p w14:paraId="59D1F373" w14:textId="77777777" w:rsidR="00E875D6" w:rsidRPr="00C575A3" w:rsidRDefault="000532B3" w:rsidP="000532B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C575A3">
        <w:rPr>
          <w:rFonts w:ascii="Palatino Linotype" w:hAnsi="Palatino Linotype" w:cs="Arial"/>
          <w:b/>
          <w:sz w:val="28"/>
          <w:szCs w:val="28"/>
        </w:rPr>
        <w:t>SEGUNDO</w:t>
      </w:r>
      <w:r w:rsidRPr="00C575A3">
        <w:rPr>
          <w:rFonts w:ascii="Palatino Linotype" w:hAnsi="Palatino Linotype" w:cs="Arial"/>
          <w:b/>
        </w:rPr>
        <w:t>. Interés.</w:t>
      </w:r>
      <w:r w:rsidRPr="00C575A3">
        <w:rPr>
          <w:rFonts w:ascii="Palatino Linotype" w:hAnsi="Palatino Linotype" w:cs="Arial"/>
        </w:rPr>
        <w:t xml:space="preserve"> </w:t>
      </w:r>
    </w:p>
    <w:p w14:paraId="66757651" w14:textId="77777777" w:rsidR="000532B3" w:rsidRPr="00C575A3" w:rsidRDefault="000532B3" w:rsidP="000532B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C575A3">
        <w:rPr>
          <w:rFonts w:ascii="Palatino Linotype" w:hAnsi="Palatino Linotype" w:cs="Arial"/>
        </w:rPr>
        <w:t xml:space="preserve">El </w:t>
      </w:r>
      <w:r w:rsidRPr="00C575A3">
        <w:rPr>
          <w:rFonts w:ascii="Palatino Linotype" w:hAnsi="Palatino Linotype"/>
        </w:rPr>
        <w:t>recurso</w:t>
      </w:r>
      <w:r w:rsidRPr="00C575A3">
        <w:rPr>
          <w:rFonts w:ascii="Palatino Linotype" w:hAnsi="Palatino Linotype" w:cs="Arial"/>
        </w:rPr>
        <w:t xml:space="preserve"> de revisión fue </w:t>
      </w:r>
      <w:r w:rsidRPr="00C575A3">
        <w:rPr>
          <w:rFonts w:ascii="Palatino Linotype" w:hAnsi="Palatino Linotype"/>
        </w:rPr>
        <w:t>interpuesto</w:t>
      </w:r>
      <w:r w:rsidRPr="00C575A3">
        <w:rPr>
          <w:rFonts w:ascii="Palatino Linotype" w:hAnsi="Palatino Linotype" w:cs="Arial"/>
        </w:rPr>
        <w:t xml:space="preserve"> por parte legítima en atención a que fue </w:t>
      </w:r>
      <w:r w:rsidRPr="00C575A3">
        <w:rPr>
          <w:rFonts w:ascii="Palatino Linotype" w:hAnsi="Palatino Linotype"/>
        </w:rPr>
        <w:t>presentado</w:t>
      </w:r>
      <w:r w:rsidRPr="00C575A3">
        <w:rPr>
          <w:rFonts w:ascii="Palatino Linotype" w:hAnsi="Palatino Linotype" w:cs="Arial"/>
        </w:rPr>
        <w:t xml:space="preserve"> por </w:t>
      </w:r>
      <w:r w:rsidR="00086A8C" w:rsidRPr="00C575A3">
        <w:rPr>
          <w:rFonts w:ascii="Palatino Linotype" w:hAnsi="Palatino Linotype" w:cs="Arial"/>
          <w:b/>
        </w:rPr>
        <w:t>EL</w:t>
      </w:r>
      <w:r w:rsidRPr="00C575A3">
        <w:rPr>
          <w:rFonts w:ascii="Palatino Linotype" w:hAnsi="Palatino Linotype" w:cs="Arial"/>
          <w:b/>
        </w:rPr>
        <w:t xml:space="preserve"> RECURRENTE</w:t>
      </w:r>
      <w:r w:rsidRPr="00C575A3">
        <w:rPr>
          <w:rFonts w:ascii="Palatino Linotype" w:hAnsi="Palatino Linotype" w:cs="Arial"/>
          <w:snapToGrid w:val="0"/>
        </w:rPr>
        <w:t xml:space="preserve">, </w:t>
      </w:r>
      <w:r w:rsidRPr="00C575A3">
        <w:rPr>
          <w:rFonts w:ascii="Palatino Linotype" w:hAnsi="Palatino Linotype" w:cs="Arial"/>
        </w:rPr>
        <w:t>quien</w:t>
      </w:r>
      <w:r w:rsidRPr="00C575A3">
        <w:rPr>
          <w:rFonts w:ascii="Palatino Linotype" w:hAnsi="Palatino Linotype" w:cs="Arial"/>
          <w:snapToGrid w:val="0"/>
        </w:rPr>
        <w:t xml:space="preserve"> </w:t>
      </w:r>
      <w:r w:rsidRPr="00C575A3">
        <w:rPr>
          <w:rFonts w:ascii="Palatino Linotype" w:hAnsi="Palatino Linotype"/>
        </w:rPr>
        <w:t>formuló</w:t>
      </w:r>
      <w:r w:rsidRPr="00C575A3">
        <w:rPr>
          <w:rFonts w:ascii="Palatino Linotype" w:hAnsi="Palatino Linotype" w:cs="Arial"/>
          <w:snapToGrid w:val="0"/>
        </w:rPr>
        <w:t xml:space="preserve"> la </w:t>
      </w:r>
      <w:r w:rsidRPr="00C575A3">
        <w:rPr>
          <w:rFonts w:ascii="Palatino Linotype" w:hAnsi="Palatino Linotype" w:cs="Arial"/>
        </w:rPr>
        <w:t>solicitud</w:t>
      </w:r>
      <w:r w:rsidRPr="00C575A3">
        <w:rPr>
          <w:rFonts w:ascii="Palatino Linotype" w:hAnsi="Palatino Linotype" w:cs="Arial"/>
          <w:snapToGrid w:val="0"/>
        </w:rPr>
        <w:t xml:space="preserve"> de información pública.</w:t>
      </w:r>
    </w:p>
    <w:p w14:paraId="4348DEB6" w14:textId="77777777" w:rsidR="00E875D6" w:rsidRPr="00C575A3" w:rsidRDefault="000532B3" w:rsidP="000532B3">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b/>
          <w:color w:val="000000"/>
          <w:lang w:eastAsia="es-MX"/>
        </w:rPr>
      </w:pPr>
      <w:r w:rsidRPr="00C575A3">
        <w:rPr>
          <w:rFonts w:ascii="Palatino Linotype" w:eastAsia="Palatino Linotype" w:hAnsi="Palatino Linotype" w:cs="Palatino Linotype"/>
          <w:b/>
          <w:color w:val="000000"/>
          <w:sz w:val="28"/>
          <w:szCs w:val="28"/>
          <w:lang w:eastAsia="es-MX"/>
        </w:rPr>
        <w:lastRenderedPageBreak/>
        <w:t>TERCERO</w:t>
      </w:r>
      <w:r w:rsidRPr="00C575A3">
        <w:rPr>
          <w:rFonts w:ascii="Palatino Linotype" w:eastAsia="Palatino Linotype" w:hAnsi="Palatino Linotype" w:cs="Palatino Linotype"/>
          <w:b/>
          <w:color w:val="000000"/>
          <w:lang w:eastAsia="es-MX"/>
        </w:rPr>
        <w:t xml:space="preserve">. Oportunidad. </w:t>
      </w:r>
    </w:p>
    <w:p w14:paraId="5D94CB6D" w14:textId="77777777" w:rsidR="000532B3" w:rsidRPr="00C575A3" w:rsidRDefault="000532B3" w:rsidP="000532B3">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C575A3">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304CF03C" w14:textId="77777777" w:rsidR="000532B3" w:rsidRPr="00C575A3" w:rsidRDefault="000532B3" w:rsidP="000532B3">
      <w:pPr>
        <w:ind w:left="851" w:right="902"/>
        <w:jc w:val="both"/>
        <w:rPr>
          <w:rFonts w:ascii="Palatino Linotype" w:eastAsia="Palatino Linotype" w:hAnsi="Palatino Linotype" w:cs="Palatino Linotype"/>
          <w:i/>
          <w:color w:val="000000"/>
          <w:sz w:val="22"/>
          <w:szCs w:val="22"/>
          <w:lang w:val="es-ES" w:eastAsia="es-MX"/>
        </w:rPr>
      </w:pPr>
      <w:r w:rsidRPr="00C575A3">
        <w:rPr>
          <w:rFonts w:ascii="Palatino Linotype" w:eastAsia="Palatino Linotype" w:hAnsi="Palatino Linotype" w:cs="Palatino Linotype"/>
          <w:b/>
          <w:i/>
          <w:color w:val="000000"/>
          <w:sz w:val="22"/>
          <w:szCs w:val="22"/>
          <w:lang w:val="es-ES" w:eastAsia="es-MX"/>
        </w:rPr>
        <w:t>“Artículo 163.</w:t>
      </w:r>
      <w:r w:rsidRPr="00C575A3">
        <w:rPr>
          <w:rFonts w:ascii="Palatino Linotype" w:eastAsia="Palatino Linotype" w:hAnsi="Palatino Linotype" w:cs="Palatino Linotype"/>
          <w:i/>
          <w:color w:val="000000"/>
          <w:sz w:val="22"/>
          <w:szCs w:val="22"/>
          <w:lang w:val="es-ES" w:eastAsia="es-MX"/>
        </w:rPr>
        <w:t xml:space="preserve"> La Unidad </w:t>
      </w:r>
      <w:r w:rsidRPr="00C575A3">
        <w:rPr>
          <w:rFonts w:ascii="Palatino Linotype" w:eastAsia="Palatino Linotype" w:hAnsi="Palatino Linotype" w:cs="Palatino Linotype"/>
          <w:i/>
          <w:sz w:val="22"/>
          <w:szCs w:val="22"/>
          <w:lang w:val="es-ES" w:eastAsia="es-MX"/>
        </w:rPr>
        <w:t>de</w:t>
      </w:r>
      <w:r w:rsidRPr="00C575A3">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C575A3">
        <w:rPr>
          <w:rFonts w:ascii="Palatino Linotype" w:eastAsia="Palatino Linotype" w:hAnsi="Palatino Linotype" w:cs="Palatino Linotype"/>
          <w:i/>
          <w:sz w:val="22"/>
          <w:szCs w:val="22"/>
          <w:lang w:val="es-ES" w:eastAsia="es-MX"/>
        </w:rPr>
        <w:t>menor</w:t>
      </w:r>
      <w:r w:rsidRPr="00C575A3">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12A90D42" w14:textId="77777777" w:rsidR="000532B3" w:rsidRPr="00C575A3" w:rsidRDefault="000532B3" w:rsidP="000532B3">
      <w:pPr>
        <w:ind w:left="851" w:right="902"/>
        <w:jc w:val="both"/>
        <w:rPr>
          <w:rFonts w:ascii="Palatino Linotype" w:eastAsia="Palatino Linotype" w:hAnsi="Palatino Linotype" w:cs="Palatino Linotype"/>
          <w:i/>
          <w:color w:val="000000"/>
          <w:sz w:val="22"/>
          <w:szCs w:val="22"/>
          <w:lang w:val="es-ES" w:eastAsia="es-MX"/>
        </w:rPr>
      </w:pPr>
      <w:r w:rsidRPr="00C575A3">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C575A3">
        <w:rPr>
          <w:rFonts w:ascii="Palatino Linotype" w:eastAsia="Palatino Linotype" w:hAnsi="Palatino Linotype" w:cs="Palatino Linotype"/>
          <w:i/>
          <w:sz w:val="22"/>
          <w:szCs w:val="22"/>
          <w:lang w:val="es-ES" w:eastAsia="es-MX"/>
        </w:rPr>
        <w:t>cuando</w:t>
      </w:r>
      <w:r w:rsidRPr="00C575A3">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A6E602F" w14:textId="77777777" w:rsidR="000532B3" w:rsidRPr="00C575A3" w:rsidRDefault="000532B3" w:rsidP="000532B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C575A3">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w:t>
      </w:r>
      <w:r w:rsidR="000062BF" w:rsidRPr="00C575A3">
        <w:rPr>
          <w:rFonts w:ascii="Palatino Linotype" w:eastAsia="Palatino Linotype" w:hAnsi="Palatino Linotype" w:cs="Palatino Linotype"/>
          <w:color w:val="000000"/>
          <w:lang w:val="es-ES" w:eastAsia="es-MX"/>
        </w:rPr>
        <w:t xml:space="preserve">de conformidad con lo establecido en el artículo 166 párrafo cuarto, del ordenamiento legal que se invoca, </w:t>
      </w:r>
      <w:r w:rsidRPr="00C575A3">
        <w:rPr>
          <w:rFonts w:ascii="Palatino Linotype" w:eastAsia="Palatino Linotype" w:hAnsi="Palatino Linotype" w:cs="Palatino Linotype"/>
          <w:color w:val="000000"/>
          <w:lang w:val="es-ES" w:eastAsia="es-MX"/>
        </w:rPr>
        <w:t>en aquellos casos en q</w:t>
      </w:r>
      <w:r w:rsidR="000062BF" w:rsidRPr="00C575A3">
        <w:rPr>
          <w:rFonts w:ascii="Palatino Linotype" w:eastAsia="Palatino Linotype" w:hAnsi="Palatino Linotype" w:cs="Palatino Linotype"/>
          <w:color w:val="000000"/>
          <w:lang w:val="es-ES" w:eastAsia="es-MX"/>
        </w:rPr>
        <w:t>ue transcurre el referido plazo,</w:t>
      </w:r>
      <w:r w:rsidRPr="00C575A3">
        <w:rPr>
          <w:rFonts w:ascii="Palatino Linotype" w:eastAsia="Palatino Linotype" w:hAnsi="Palatino Linotype" w:cs="Palatino Linotype"/>
          <w:color w:val="000000"/>
          <w:lang w:val="es-ES" w:eastAsia="es-MX"/>
        </w:rPr>
        <w:t xml:space="preserve"> sin que los Sujetos Obligados entreguen la respuesta a la solicitud de información, ésta se considera negada; por lo que al solicitante le asiste el derecho para poder presentar el recurso de revisión correspondiente.  </w:t>
      </w:r>
    </w:p>
    <w:p w14:paraId="776CE8A7" w14:textId="77777777" w:rsidR="000532B3" w:rsidRPr="00C575A3" w:rsidRDefault="000532B3" w:rsidP="000532B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C575A3">
        <w:rPr>
          <w:rFonts w:ascii="Palatino Linotype" w:eastAsia="Palatino Linotype" w:hAnsi="Palatino Linotype" w:cs="Palatino Linotype"/>
          <w:color w:val="000000"/>
          <w:lang w:val="es-ES" w:eastAsia="es-MX"/>
        </w:rPr>
        <w:t xml:space="preserve">Derivado de lo anterior, se constituye la figura jurídica de la </w:t>
      </w:r>
      <w:r w:rsidRPr="00C575A3">
        <w:rPr>
          <w:rFonts w:ascii="Palatino Linotype" w:eastAsia="Palatino Linotype" w:hAnsi="Palatino Linotype" w:cs="Palatino Linotype"/>
          <w:b/>
          <w:color w:val="000000"/>
          <w:lang w:val="es-ES" w:eastAsia="es-MX"/>
        </w:rPr>
        <w:t>NEGATIVA FICTA</w:t>
      </w:r>
      <w:r w:rsidRPr="00C575A3">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282638FE" w14:textId="77777777" w:rsidR="000532B3" w:rsidRPr="00C575A3" w:rsidRDefault="000532B3" w:rsidP="000532B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C575A3">
        <w:rPr>
          <w:rFonts w:ascii="Palatino Linotype" w:eastAsia="Palatino Linotype" w:hAnsi="Palatino Linotype" w:cs="Palatino Linotype"/>
          <w:color w:val="000000"/>
          <w:lang w:val="es-ES" w:eastAsia="es-MX"/>
        </w:rPr>
        <w:lastRenderedPageBreak/>
        <w:t>Por su parte, el artículo 178 de la Ley de Transparencia y Acceso a la Información Pública del Estado de México y Municipios, establece:</w:t>
      </w:r>
    </w:p>
    <w:p w14:paraId="5D653885" w14:textId="77777777" w:rsidR="000532B3" w:rsidRPr="00C575A3" w:rsidRDefault="000532B3" w:rsidP="000532B3">
      <w:pPr>
        <w:ind w:left="851" w:right="901"/>
        <w:jc w:val="both"/>
        <w:rPr>
          <w:rFonts w:ascii="Palatino Linotype" w:eastAsia="Palatino Linotype" w:hAnsi="Palatino Linotype" w:cs="Palatino Linotype"/>
          <w:i/>
          <w:color w:val="000000"/>
          <w:sz w:val="22"/>
          <w:szCs w:val="22"/>
          <w:lang w:val="es-ES" w:eastAsia="es-MX"/>
        </w:rPr>
      </w:pPr>
      <w:r w:rsidRPr="00C575A3">
        <w:rPr>
          <w:rFonts w:ascii="Palatino Linotype" w:eastAsia="Palatino Linotype" w:hAnsi="Palatino Linotype" w:cs="Palatino Linotype"/>
          <w:b/>
          <w:i/>
          <w:color w:val="000000"/>
          <w:sz w:val="22"/>
          <w:szCs w:val="22"/>
          <w:lang w:val="es-ES" w:eastAsia="es-MX"/>
        </w:rPr>
        <w:t xml:space="preserve">“Artículo 178. </w:t>
      </w:r>
      <w:r w:rsidRPr="00C575A3">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3634C4" w14:textId="77777777" w:rsidR="000532B3" w:rsidRPr="00C575A3" w:rsidRDefault="000532B3" w:rsidP="000532B3">
      <w:pPr>
        <w:ind w:left="851" w:right="901"/>
        <w:jc w:val="both"/>
        <w:rPr>
          <w:rFonts w:ascii="Palatino Linotype" w:eastAsia="Palatino Linotype" w:hAnsi="Palatino Linotype" w:cs="Palatino Linotype"/>
          <w:i/>
          <w:color w:val="000000"/>
          <w:sz w:val="22"/>
          <w:szCs w:val="22"/>
          <w:lang w:val="es-ES" w:eastAsia="es-MX"/>
        </w:rPr>
      </w:pPr>
      <w:r w:rsidRPr="00C575A3">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C575A3">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2D92ECA4" w14:textId="77777777" w:rsidR="000532B3" w:rsidRPr="00C575A3" w:rsidRDefault="000532B3" w:rsidP="000532B3">
      <w:pPr>
        <w:ind w:left="851" w:right="901"/>
        <w:jc w:val="both"/>
        <w:rPr>
          <w:rFonts w:ascii="Palatino Linotype" w:eastAsia="Palatino Linotype" w:hAnsi="Palatino Linotype" w:cs="Palatino Linotype"/>
          <w:i/>
          <w:color w:val="000000"/>
          <w:sz w:val="22"/>
          <w:szCs w:val="22"/>
          <w:lang w:val="es-ES" w:eastAsia="es-MX"/>
        </w:rPr>
      </w:pPr>
      <w:r w:rsidRPr="00C575A3">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788D1436" w14:textId="77777777" w:rsidR="000532B3" w:rsidRPr="00C575A3" w:rsidRDefault="000532B3" w:rsidP="000532B3">
      <w:pPr>
        <w:ind w:left="851" w:right="901"/>
        <w:jc w:val="both"/>
        <w:rPr>
          <w:rFonts w:ascii="Palatino Linotype" w:eastAsia="Palatino Linotype" w:hAnsi="Palatino Linotype" w:cs="Palatino Linotype"/>
          <w:i/>
          <w:color w:val="000000"/>
          <w:sz w:val="22"/>
          <w:szCs w:val="22"/>
          <w:lang w:val="es-ES" w:eastAsia="es-MX"/>
        </w:rPr>
      </w:pPr>
      <w:r w:rsidRPr="00C575A3">
        <w:rPr>
          <w:rFonts w:ascii="Palatino Linotype" w:eastAsia="Palatino Linotype" w:hAnsi="Palatino Linotype" w:cs="Palatino Linotype"/>
          <w:i/>
          <w:color w:val="000000"/>
          <w:sz w:val="22"/>
          <w:szCs w:val="22"/>
          <w:lang w:val="es-ES" w:eastAsia="es-MX"/>
        </w:rPr>
        <w:t xml:space="preserve">(Énfasis añadido) </w:t>
      </w:r>
    </w:p>
    <w:p w14:paraId="574D4424" w14:textId="77777777" w:rsidR="000532B3" w:rsidRPr="00C575A3" w:rsidRDefault="000532B3" w:rsidP="000532B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C575A3">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C575A3">
        <w:rPr>
          <w:rFonts w:ascii="Palatino Linotype" w:eastAsia="Palatino Linotype" w:hAnsi="Palatino Linotype" w:cs="Palatino Linotype"/>
          <w:b/>
          <w:color w:val="000000"/>
          <w:lang w:val="es-ES" w:eastAsia="es-MX"/>
        </w:rPr>
        <w:t>SUJETO OBLIGADO</w:t>
      </w:r>
      <w:r w:rsidRPr="00C575A3">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006F0CDA" w:rsidRPr="00C575A3">
        <w:rPr>
          <w:rFonts w:ascii="Palatino Linotype" w:eastAsia="Palatino Linotype" w:hAnsi="Palatino Linotype" w:cs="Palatino Linotype"/>
          <w:b/>
          <w:color w:val="000000"/>
          <w:lang w:val="es-ES" w:eastAsia="es-MX"/>
        </w:rPr>
        <w:t>EL</w:t>
      </w:r>
      <w:r w:rsidRPr="00C575A3">
        <w:rPr>
          <w:rFonts w:ascii="Palatino Linotype" w:eastAsia="Palatino Linotype" w:hAnsi="Palatino Linotype" w:cs="Palatino Linotype"/>
          <w:b/>
          <w:color w:val="000000"/>
          <w:lang w:val="es-ES" w:eastAsia="es-MX"/>
        </w:rPr>
        <w:t xml:space="preserve"> RECURRENTE </w:t>
      </w:r>
      <w:r w:rsidRPr="00C575A3">
        <w:rPr>
          <w:rFonts w:ascii="Palatino Linotype" w:eastAsia="Palatino Linotype" w:hAnsi="Palatino Linotype" w:cs="Palatino Linotype"/>
          <w:color w:val="000000"/>
          <w:lang w:val="es-ES" w:eastAsia="es-MX"/>
        </w:rPr>
        <w:t xml:space="preserve">está en </w:t>
      </w:r>
      <w:r w:rsidR="009149BD" w:rsidRPr="00C575A3">
        <w:rPr>
          <w:rFonts w:ascii="Palatino Linotype" w:eastAsia="Palatino Linotype" w:hAnsi="Palatino Linotype" w:cs="Palatino Linotype"/>
          <w:color w:val="000000"/>
          <w:lang w:val="es-ES" w:eastAsia="es-MX"/>
        </w:rPr>
        <w:t>la total libertad de presentar el</w:t>
      </w:r>
      <w:r w:rsidRPr="00C575A3">
        <w:rPr>
          <w:rFonts w:ascii="Palatino Linotype" w:eastAsia="Palatino Linotype" w:hAnsi="Palatino Linotype" w:cs="Palatino Linotype"/>
          <w:color w:val="000000"/>
          <w:lang w:val="es-ES" w:eastAsia="es-MX"/>
        </w:rPr>
        <w:t xml:space="preserve"> medio de impugnación en cualquier momento, consecuentemente se tiene que dicho recurso se presentó oportunamente.</w:t>
      </w:r>
    </w:p>
    <w:p w14:paraId="4A3C01E7" w14:textId="77777777" w:rsidR="00E875D6" w:rsidRPr="00C575A3" w:rsidRDefault="000532B3" w:rsidP="009149B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eastAsia="Palatino Linotype" w:hAnsi="Palatino Linotype" w:cs="Palatino Linotype"/>
          <w:color w:val="000000"/>
          <w:lang w:val="es-ES" w:eastAsia="es-MX"/>
        </w:rPr>
      </w:pPr>
      <w:r w:rsidRPr="00C575A3">
        <w:rPr>
          <w:rFonts w:ascii="Palatino Linotype" w:eastAsia="Palatino Linotype" w:hAnsi="Palatino Linotype" w:cs="Palatino Linotype"/>
          <w:b/>
          <w:color w:val="000000"/>
          <w:sz w:val="28"/>
          <w:szCs w:val="28"/>
          <w:lang w:val="es-ES" w:eastAsia="es-MX"/>
        </w:rPr>
        <w:t>CUARTO</w:t>
      </w:r>
      <w:r w:rsidRPr="00C575A3">
        <w:rPr>
          <w:rFonts w:ascii="Palatino Linotype" w:eastAsia="Palatino Linotype" w:hAnsi="Palatino Linotype" w:cs="Palatino Linotype"/>
          <w:b/>
          <w:color w:val="000000"/>
          <w:lang w:val="es-ES" w:eastAsia="es-MX"/>
        </w:rPr>
        <w:t xml:space="preserve">. </w:t>
      </w:r>
      <w:proofErr w:type="spellStart"/>
      <w:r w:rsidRPr="00C575A3">
        <w:rPr>
          <w:rFonts w:ascii="Palatino Linotype" w:eastAsia="Palatino Linotype" w:hAnsi="Palatino Linotype" w:cs="Palatino Linotype"/>
          <w:b/>
          <w:color w:val="000000"/>
          <w:lang w:val="es-ES" w:eastAsia="es-MX"/>
        </w:rPr>
        <w:t>Procedibilidad</w:t>
      </w:r>
      <w:proofErr w:type="spellEnd"/>
      <w:r w:rsidRPr="00C575A3">
        <w:rPr>
          <w:rFonts w:ascii="Palatino Linotype" w:eastAsia="Palatino Linotype" w:hAnsi="Palatino Linotype" w:cs="Palatino Linotype"/>
          <w:b/>
          <w:color w:val="000000"/>
          <w:lang w:val="es-ES" w:eastAsia="es-MX"/>
        </w:rPr>
        <w:t>.</w:t>
      </w:r>
      <w:r w:rsidRPr="00C575A3">
        <w:rPr>
          <w:rFonts w:ascii="Palatino Linotype" w:eastAsia="Palatino Linotype" w:hAnsi="Palatino Linotype" w:cs="Palatino Linotype"/>
          <w:color w:val="000000"/>
          <w:lang w:val="es-ES" w:eastAsia="es-MX"/>
        </w:rPr>
        <w:t xml:space="preserve"> </w:t>
      </w:r>
    </w:p>
    <w:p w14:paraId="7B21D92D" w14:textId="77777777" w:rsidR="009149BD" w:rsidRPr="00C575A3" w:rsidRDefault="009149BD" w:rsidP="009149B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b/>
          <w:szCs w:val="28"/>
        </w:rPr>
      </w:pPr>
      <w:r w:rsidRPr="00C575A3">
        <w:rPr>
          <w:rFonts w:ascii="Palatino Linotype" w:hAnsi="Palatino Linotype" w:cs="Arial"/>
          <w:szCs w:val="28"/>
        </w:rPr>
        <w:t xml:space="preserve">Del análisis efectuado, se advierte la </w:t>
      </w:r>
      <w:proofErr w:type="spellStart"/>
      <w:r w:rsidRPr="00C575A3">
        <w:rPr>
          <w:rFonts w:ascii="Palatino Linotype" w:hAnsi="Palatino Linotype" w:cs="Arial"/>
          <w:szCs w:val="28"/>
        </w:rPr>
        <w:t>procedibilidad</w:t>
      </w:r>
      <w:proofErr w:type="spellEnd"/>
      <w:r w:rsidRPr="00C575A3">
        <w:rPr>
          <w:rFonts w:ascii="Palatino Linotype" w:hAnsi="Palatino Linotype" w:cs="Arial"/>
          <w:szCs w:val="28"/>
        </w:rPr>
        <w:t xml:space="preserve"> del presente recurso de revisión, </w:t>
      </w:r>
      <w:r w:rsidRPr="00C575A3">
        <w:rPr>
          <w:rFonts w:ascii="Palatino Linotype" w:hAnsi="Palatino Linotype" w:cs="Arial"/>
          <w:szCs w:val="28"/>
        </w:rPr>
        <w:lastRenderedPageBreak/>
        <w:t xml:space="preserve">en razón de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C575A3">
        <w:rPr>
          <w:rFonts w:ascii="Palatino Linotype" w:hAnsi="Palatino Linotype" w:cs="Arial"/>
          <w:b/>
          <w:szCs w:val="28"/>
        </w:rPr>
        <w:t>SAIMEX.</w:t>
      </w:r>
    </w:p>
    <w:p w14:paraId="5C958084" w14:textId="77777777" w:rsidR="00E875D6" w:rsidRPr="00C575A3" w:rsidRDefault="000532B3" w:rsidP="009149BD">
      <w:pPr>
        <w:widowControl w:val="0"/>
        <w:autoSpaceDE w:val="0"/>
        <w:autoSpaceDN w:val="0"/>
        <w:adjustRightInd w:val="0"/>
        <w:spacing w:before="100" w:beforeAutospacing="1" w:after="100" w:afterAutospacing="1" w:line="360" w:lineRule="auto"/>
        <w:jc w:val="both"/>
        <w:rPr>
          <w:rFonts w:ascii="Palatino Linotype" w:hAnsi="Palatino Linotype" w:cs="Arial"/>
          <w:b/>
          <w:color w:val="000000" w:themeColor="text1"/>
          <w:lang w:eastAsia="es-MX"/>
        </w:rPr>
      </w:pPr>
      <w:r w:rsidRPr="00C575A3">
        <w:rPr>
          <w:rFonts w:ascii="Palatino Linotype" w:hAnsi="Palatino Linotype"/>
          <w:b/>
          <w:color w:val="000000" w:themeColor="text1"/>
          <w:sz w:val="28"/>
          <w:szCs w:val="28"/>
          <w:lang w:eastAsia="es-MX"/>
        </w:rPr>
        <w:t>QUINTO</w:t>
      </w:r>
      <w:r w:rsidRPr="00C575A3">
        <w:rPr>
          <w:rFonts w:ascii="Palatino Linotype" w:hAnsi="Palatino Linotype" w:cs="Arial"/>
          <w:b/>
          <w:color w:val="000000" w:themeColor="text1"/>
          <w:lang w:eastAsia="es-MX"/>
        </w:rPr>
        <w:t xml:space="preserve">. </w:t>
      </w:r>
    </w:p>
    <w:p w14:paraId="6E703AD1" w14:textId="77777777" w:rsidR="000532B3" w:rsidRPr="00C575A3" w:rsidRDefault="000532B3" w:rsidP="009149BD">
      <w:pPr>
        <w:widowControl w:val="0"/>
        <w:autoSpaceDE w:val="0"/>
        <w:autoSpaceDN w:val="0"/>
        <w:adjustRightInd w:val="0"/>
        <w:spacing w:before="100" w:beforeAutospacing="1" w:after="100" w:afterAutospacing="1" w:line="360" w:lineRule="auto"/>
        <w:jc w:val="both"/>
        <w:rPr>
          <w:rFonts w:ascii="Palatino Linotype" w:hAnsi="Palatino Linotype" w:cs="Arial"/>
          <w:lang w:val="es-ES" w:eastAsia="es-MX"/>
        </w:rPr>
      </w:pPr>
      <w:r w:rsidRPr="00C575A3">
        <w:rPr>
          <w:rFonts w:ascii="Palatino Linotype" w:hAnsi="Palatino Linotype" w:cs="Arial"/>
          <w:b/>
          <w:color w:val="000000" w:themeColor="text1"/>
          <w:lang w:val="es-ES" w:eastAsia="es-MX"/>
        </w:rPr>
        <w:t>Estudio y resolución del asunto.</w:t>
      </w:r>
      <w:r w:rsidRPr="00C575A3">
        <w:rPr>
          <w:rFonts w:ascii="Palatino Linotype" w:hAnsi="Palatino Linotype" w:cs="Arial"/>
          <w:color w:val="000000" w:themeColor="text1"/>
          <w:lang w:val="es-ES" w:eastAsia="es-MX"/>
        </w:rPr>
        <w:t xml:space="preserve"> </w:t>
      </w:r>
      <w:r w:rsidRPr="00C575A3">
        <w:rPr>
          <w:rFonts w:ascii="Palatino Linotype" w:hAnsi="Palatino Linotype" w:cs="Arial"/>
          <w:lang w:val="es-ES" w:eastAsia="es-MX"/>
        </w:rPr>
        <w:t>Del análisis efectuado, se advierte que el presente recurso de revisión es procedente, pues se actualiza la hipótesis prevista en la fracción VII del artículo 179 de la ley de la materia, que la letra dice:</w:t>
      </w:r>
    </w:p>
    <w:p w14:paraId="628D4F39" w14:textId="77777777" w:rsidR="000532B3" w:rsidRPr="00C575A3" w:rsidRDefault="000532B3" w:rsidP="000532B3">
      <w:pPr>
        <w:ind w:left="851" w:right="901"/>
        <w:jc w:val="both"/>
        <w:rPr>
          <w:rFonts w:ascii="Palatino Linotype" w:hAnsi="Palatino Linotype" w:cs="Arial"/>
          <w:i/>
          <w:sz w:val="22"/>
          <w:szCs w:val="22"/>
          <w:lang w:val="es-ES"/>
        </w:rPr>
      </w:pPr>
      <w:r w:rsidRPr="00C575A3">
        <w:rPr>
          <w:rFonts w:ascii="Palatino Linotype" w:hAnsi="Palatino Linotype" w:cs="Arial"/>
          <w:i/>
          <w:sz w:val="22"/>
          <w:szCs w:val="22"/>
          <w:lang w:val="es-ES"/>
        </w:rPr>
        <w:t>“</w:t>
      </w:r>
      <w:r w:rsidRPr="00C575A3">
        <w:rPr>
          <w:rFonts w:ascii="Palatino Linotype" w:hAnsi="Palatino Linotype" w:cs="Arial"/>
          <w:b/>
          <w:i/>
          <w:sz w:val="22"/>
          <w:szCs w:val="22"/>
          <w:lang w:val="es-ES"/>
        </w:rPr>
        <w:t>Artículo 179.</w:t>
      </w:r>
      <w:r w:rsidRPr="00C575A3">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2251BBE" w14:textId="77777777" w:rsidR="000532B3" w:rsidRPr="00C575A3" w:rsidRDefault="000532B3" w:rsidP="000532B3">
      <w:pPr>
        <w:ind w:left="851" w:right="901"/>
        <w:jc w:val="both"/>
        <w:rPr>
          <w:rFonts w:ascii="Palatino Linotype" w:hAnsi="Palatino Linotype" w:cs="Arial"/>
          <w:i/>
          <w:sz w:val="22"/>
          <w:szCs w:val="22"/>
          <w:lang w:val="es-ES"/>
        </w:rPr>
      </w:pPr>
      <w:r w:rsidRPr="00C575A3">
        <w:rPr>
          <w:rFonts w:ascii="Palatino Linotype" w:hAnsi="Palatino Linotype" w:cs="Arial"/>
          <w:i/>
          <w:sz w:val="22"/>
          <w:szCs w:val="22"/>
          <w:lang w:val="es-ES"/>
        </w:rPr>
        <w:t>…</w:t>
      </w:r>
    </w:p>
    <w:p w14:paraId="44A6204A" w14:textId="77777777" w:rsidR="000532B3" w:rsidRPr="00C575A3" w:rsidRDefault="000532B3" w:rsidP="000532B3">
      <w:pPr>
        <w:ind w:left="851" w:right="901"/>
        <w:jc w:val="both"/>
        <w:rPr>
          <w:rFonts w:ascii="Palatino Linotype" w:hAnsi="Palatino Linotype" w:cs="Arial"/>
          <w:i/>
          <w:sz w:val="22"/>
          <w:szCs w:val="22"/>
          <w:lang w:val="es-ES"/>
        </w:rPr>
      </w:pPr>
      <w:r w:rsidRPr="00C575A3">
        <w:rPr>
          <w:rFonts w:ascii="Palatino Linotype" w:hAnsi="Palatino Linotype" w:cs="Arial"/>
          <w:b/>
          <w:i/>
          <w:sz w:val="22"/>
          <w:szCs w:val="22"/>
          <w:lang w:val="es-ES"/>
        </w:rPr>
        <w:t>VII. La falta de respuesta a una solicitud de acceso a la información</w:t>
      </w:r>
      <w:r w:rsidRPr="00C575A3">
        <w:rPr>
          <w:rFonts w:ascii="Palatino Linotype" w:hAnsi="Palatino Linotype" w:cs="Arial"/>
          <w:i/>
          <w:sz w:val="22"/>
          <w:szCs w:val="22"/>
          <w:lang w:val="es-ES"/>
        </w:rPr>
        <w:t xml:space="preserve">; </w:t>
      </w:r>
    </w:p>
    <w:p w14:paraId="34318FAD" w14:textId="77777777" w:rsidR="000532B3" w:rsidRPr="00C575A3" w:rsidRDefault="000532B3" w:rsidP="000532B3">
      <w:pPr>
        <w:ind w:left="851" w:right="901"/>
        <w:jc w:val="both"/>
        <w:rPr>
          <w:rFonts w:ascii="Palatino Linotype" w:hAnsi="Palatino Linotype" w:cs="Arial"/>
          <w:i/>
          <w:sz w:val="22"/>
          <w:szCs w:val="22"/>
          <w:lang w:val="es-ES"/>
        </w:rPr>
      </w:pPr>
      <w:r w:rsidRPr="00C575A3">
        <w:rPr>
          <w:rFonts w:ascii="Palatino Linotype" w:hAnsi="Palatino Linotype" w:cs="Arial"/>
          <w:i/>
          <w:sz w:val="22"/>
          <w:szCs w:val="22"/>
          <w:lang w:val="es-ES"/>
        </w:rPr>
        <w:t>…”</w:t>
      </w:r>
    </w:p>
    <w:p w14:paraId="6C619CB0" w14:textId="77777777" w:rsidR="000532B3" w:rsidRPr="00C575A3" w:rsidRDefault="000532B3" w:rsidP="000532B3">
      <w:pPr>
        <w:ind w:left="851" w:right="901"/>
        <w:jc w:val="both"/>
        <w:rPr>
          <w:rFonts w:ascii="Palatino Linotype" w:hAnsi="Palatino Linotype" w:cs="Arial"/>
          <w:i/>
          <w:sz w:val="22"/>
          <w:szCs w:val="22"/>
          <w:lang w:val="es-ES"/>
        </w:rPr>
      </w:pPr>
      <w:r w:rsidRPr="00C575A3">
        <w:rPr>
          <w:rFonts w:ascii="Palatino Linotype" w:hAnsi="Palatino Linotype" w:cs="Arial"/>
          <w:i/>
          <w:sz w:val="22"/>
          <w:szCs w:val="22"/>
          <w:lang w:val="es-ES"/>
        </w:rPr>
        <w:t>(Énfasis añadido)</w:t>
      </w:r>
    </w:p>
    <w:p w14:paraId="77C4F8A8" w14:textId="77777777" w:rsidR="000532B3" w:rsidRPr="00C575A3" w:rsidRDefault="000532B3" w:rsidP="000532B3">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C575A3">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w:t>
      </w:r>
      <w:r w:rsidRPr="00C575A3">
        <w:rPr>
          <w:rFonts w:ascii="Palatino Linotype" w:hAnsi="Palatino Linotype" w:cs="Arial"/>
          <w:b/>
          <w:lang w:val="es-ES"/>
        </w:rPr>
        <w:t>EL SUJETO OBLIGADO</w:t>
      </w:r>
      <w:r w:rsidRPr="00C575A3">
        <w:rPr>
          <w:rFonts w:ascii="Palatino Linotype" w:hAnsi="Palatino Linotype" w:cs="Arial"/>
          <w:lang w:val="es-ES"/>
        </w:rPr>
        <w:t xml:space="preserve"> omitió dar respuesta a lo requerido por </w:t>
      </w:r>
      <w:r w:rsidR="00D0290B" w:rsidRPr="00C575A3">
        <w:rPr>
          <w:rFonts w:ascii="Palatino Linotype" w:hAnsi="Palatino Linotype" w:cs="Arial"/>
          <w:b/>
          <w:lang w:val="es-ES"/>
        </w:rPr>
        <w:t>EL</w:t>
      </w:r>
      <w:r w:rsidRPr="00C575A3">
        <w:rPr>
          <w:rFonts w:ascii="Palatino Linotype" w:hAnsi="Palatino Linotype" w:cs="Arial"/>
          <w:b/>
          <w:lang w:val="es-ES"/>
        </w:rPr>
        <w:t xml:space="preserve"> RECURRENTE </w:t>
      </w:r>
      <w:r w:rsidRPr="00C575A3">
        <w:rPr>
          <w:rFonts w:ascii="Palatino Linotype" w:hAnsi="Palatino Linotype" w:cs="Arial"/>
          <w:lang w:val="es-ES"/>
        </w:rPr>
        <w:t xml:space="preserve">en su solicitud de información pública; atento a ello, </w:t>
      </w:r>
      <w:r w:rsidRPr="00C575A3">
        <w:rPr>
          <w:rFonts w:ascii="Palatino Linotype" w:hAnsi="Palatino Linotype"/>
          <w:lang w:val="es-ES"/>
        </w:rPr>
        <w:t xml:space="preserve">este Órgano Garante </w:t>
      </w:r>
      <w:r w:rsidRPr="00C575A3">
        <w:rPr>
          <w:rFonts w:ascii="Palatino Linotype" w:hAnsi="Palatino Linotype" w:cs="Arial"/>
          <w:lang w:val="es-ES"/>
        </w:rPr>
        <w:t xml:space="preserve">considera que las razones o motivos de inconformidad son </w:t>
      </w:r>
      <w:r w:rsidRPr="00C575A3">
        <w:rPr>
          <w:rFonts w:ascii="Palatino Linotype" w:hAnsi="Palatino Linotype" w:cs="Arial"/>
          <w:b/>
          <w:lang w:val="es-ES"/>
        </w:rPr>
        <w:t>fundados</w:t>
      </w:r>
      <w:r w:rsidRPr="00C575A3">
        <w:rPr>
          <w:rFonts w:ascii="Palatino Linotype" w:hAnsi="Palatino Linotype" w:cs="Arial"/>
          <w:lang w:val="es-ES"/>
        </w:rPr>
        <w:t>.</w:t>
      </w:r>
    </w:p>
    <w:p w14:paraId="5A843473"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 xml:space="preserve">Es así que, de acuerdo a los motivos de inconformidad hechos valer por </w:t>
      </w:r>
      <w:r w:rsidR="00D0290B" w:rsidRPr="00C575A3">
        <w:rPr>
          <w:rFonts w:ascii="Palatino Linotype" w:hAnsi="Palatino Linotype"/>
          <w:b/>
        </w:rPr>
        <w:t>EL</w:t>
      </w:r>
      <w:r w:rsidRPr="00C575A3">
        <w:rPr>
          <w:rFonts w:ascii="Palatino Linotype" w:hAnsi="Palatino Linotype"/>
          <w:b/>
        </w:rPr>
        <w:t xml:space="preserve"> RECURRENTE</w:t>
      </w:r>
      <w:r w:rsidRPr="00C575A3">
        <w:rPr>
          <w:rFonts w:ascii="Palatino Linotype" w:hAnsi="Palatino Linotype"/>
        </w:rPr>
        <w:t>, ante la falta tanto de respuesta a la solicitud, como del envío del Informe Justificado por parte del</w:t>
      </w:r>
      <w:r w:rsidRPr="00C575A3">
        <w:rPr>
          <w:rFonts w:ascii="Palatino Linotype" w:hAnsi="Palatino Linotype"/>
          <w:b/>
        </w:rPr>
        <w:t xml:space="preserve"> SUJETO OBLIGADO</w:t>
      </w:r>
      <w:r w:rsidRPr="00C575A3">
        <w:rPr>
          <w:rFonts w:ascii="Palatino Linotype" w:hAnsi="Palatino Linotype"/>
        </w:rPr>
        <w:t xml:space="preserve">, este Órgano Garante </w:t>
      </w:r>
      <w:r w:rsidRPr="00C575A3">
        <w:rPr>
          <w:rFonts w:ascii="Palatino Linotype" w:hAnsi="Palatino Linotype"/>
        </w:rPr>
        <w:lastRenderedPageBreak/>
        <w:t xml:space="preserve">considera pertinente analizar si se encuentra constreñido a trasparentar sus acciones; así como, garantizar y respetar el derecho de acceso a la información pública. </w:t>
      </w:r>
    </w:p>
    <w:p w14:paraId="1CDCFD84"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eastAsia="Arial Unicode MS" w:hAnsi="Palatino Linotype" w:cs="Arial"/>
        </w:rPr>
        <w:t xml:space="preserve">En ese contexto, </w:t>
      </w:r>
      <w:r w:rsidRPr="00C575A3">
        <w:rPr>
          <w:rFonts w:ascii="Palatino Linotype" w:hAnsi="Palatino Linotype"/>
        </w:rPr>
        <w:t xml:space="preserve">es pertinente enfatizar lo </w:t>
      </w:r>
      <w:r w:rsidR="009149BD" w:rsidRPr="00C575A3">
        <w:rPr>
          <w:rFonts w:ascii="Palatino Linotype" w:hAnsi="Palatino Linotype"/>
        </w:rPr>
        <w:t>que,</w:t>
      </w:r>
      <w:r w:rsidRPr="00C575A3">
        <w:rPr>
          <w:rFonts w:ascii="Palatino Linotype" w:hAnsi="Palatino Linotype"/>
        </w:rPr>
        <w:t xml:space="preserve"> al derecho de acceso a la información pública, se refiere el artículo 6°, Apartado A de la Constitución Política de los Estados Unidos Mexicanos, que señala:</w:t>
      </w:r>
    </w:p>
    <w:p w14:paraId="64F66D58"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w:t>
      </w:r>
      <w:r w:rsidRPr="00C575A3">
        <w:rPr>
          <w:rFonts w:ascii="Palatino Linotype" w:hAnsi="Palatino Linotype" w:cs="Arial"/>
          <w:b/>
          <w:i/>
          <w:sz w:val="22"/>
          <w:szCs w:val="22"/>
        </w:rPr>
        <w:t>Artículo 6o.</w:t>
      </w:r>
      <w:r w:rsidRPr="00C575A3">
        <w:rPr>
          <w:rFonts w:ascii="Palatino Linotype" w:hAnsi="Palatino Linotype" w:cs="Arial"/>
          <w:i/>
          <w:sz w:val="22"/>
          <w:szCs w:val="22"/>
        </w:rPr>
        <w:t xml:space="preserve">  . . .</w:t>
      </w:r>
    </w:p>
    <w:p w14:paraId="5CCDB23E"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b/>
          <w:bCs/>
          <w:i/>
          <w:sz w:val="22"/>
          <w:szCs w:val="22"/>
          <w:lang w:eastAsia="es-MX"/>
        </w:rPr>
        <w:t>A.</w:t>
      </w:r>
      <w:r w:rsidRPr="00C575A3">
        <w:rPr>
          <w:rFonts w:ascii="Palatino Linotype" w:hAnsi="Palatino Linotype" w:cs="Arial"/>
          <w:i/>
          <w:sz w:val="22"/>
          <w:szCs w:val="22"/>
          <w:lang w:eastAsia="es-MX"/>
        </w:rPr>
        <w:t xml:space="preserve"> Para el ejercicio del </w:t>
      </w:r>
      <w:r w:rsidRPr="00C575A3">
        <w:rPr>
          <w:rFonts w:ascii="Palatino Linotype" w:hAnsi="Palatino Linotype" w:cs="Arial"/>
          <w:bCs/>
          <w:i/>
          <w:sz w:val="22"/>
          <w:szCs w:val="22"/>
        </w:rPr>
        <w:t>derecho</w:t>
      </w:r>
      <w:r w:rsidRPr="00C575A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A3BD63B"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b/>
          <w:bCs/>
          <w:i/>
          <w:sz w:val="22"/>
          <w:szCs w:val="22"/>
          <w:lang w:eastAsia="es-MX"/>
        </w:rPr>
        <w:t xml:space="preserve">I. </w:t>
      </w:r>
      <w:r w:rsidRPr="00C575A3">
        <w:rPr>
          <w:rFonts w:ascii="Palatino Linotype" w:hAnsi="Palatino Linotype" w:cs="Arial"/>
          <w:i/>
          <w:sz w:val="22"/>
          <w:szCs w:val="22"/>
          <w:lang w:eastAsia="es-MX"/>
        </w:rPr>
        <w:t xml:space="preserve">Toda la información en posesión de cualquier autoridad, entidad, órgano y organismo de los Poderes Ejecutivo, </w:t>
      </w:r>
      <w:r w:rsidRPr="00C575A3">
        <w:rPr>
          <w:rFonts w:ascii="Palatino Linotype" w:hAnsi="Palatino Linotype" w:cs="Arial"/>
          <w:i/>
          <w:sz w:val="22"/>
          <w:szCs w:val="22"/>
        </w:rPr>
        <w:t>Legislativo</w:t>
      </w:r>
      <w:r w:rsidRPr="00C575A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575A3">
        <w:rPr>
          <w:rFonts w:ascii="Palatino Linotype" w:hAnsi="Palatino Linotype" w:cs="Arial"/>
          <w:i/>
          <w:sz w:val="22"/>
          <w:szCs w:val="22"/>
        </w:rPr>
        <w:t xml:space="preserve"> </w:t>
      </w:r>
      <w:r w:rsidRPr="00C575A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49669E1"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b/>
          <w:bCs/>
          <w:i/>
          <w:sz w:val="22"/>
          <w:szCs w:val="22"/>
          <w:lang w:eastAsia="es-MX"/>
        </w:rPr>
        <w:t xml:space="preserve">II. </w:t>
      </w:r>
      <w:r w:rsidRPr="00C575A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968AB69"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b/>
          <w:bCs/>
          <w:i/>
          <w:sz w:val="22"/>
          <w:szCs w:val="22"/>
          <w:lang w:eastAsia="es-MX"/>
        </w:rPr>
        <w:t xml:space="preserve">III. </w:t>
      </w:r>
      <w:r w:rsidRPr="00C575A3">
        <w:rPr>
          <w:rFonts w:ascii="Palatino Linotype" w:hAnsi="Palatino Linotype" w:cs="Arial"/>
          <w:i/>
          <w:sz w:val="22"/>
          <w:szCs w:val="22"/>
          <w:lang w:eastAsia="es-MX"/>
        </w:rPr>
        <w:t xml:space="preserve">Toda persona, sin necesidad de </w:t>
      </w:r>
      <w:r w:rsidRPr="00C575A3">
        <w:rPr>
          <w:rFonts w:ascii="Palatino Linotype" w:hAnsi="Palatino Linotype" w:cs="Arial"/>
          <w:i/>
          <w:sz w:val="22"/>
          <w:szCs w:val="22"/>
        </w:rPr>
        <w:t>acreditar</w:t>
      </w:r>
      <w:r w:rsidRPr="00C575A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F84D0B6"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b/>
          <w:bCs/>
          <w:i/>
          <w:sz w:val="22"/>
          <w:szCs w:val="22"/>
          <w:lang w:eastAsia="es-MX"/>
        </w:rPr>
        <w:t xml:space="preserve">IV. </w:t>
      </w:r>
      <w:r w:rsidRPr="00C575A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547895E"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b/>
          <w:bCs/>
          <w:i/>
          <w:sz w:val="22"/>
          <w:szCs w:val="22"/>
          <w:lang w:eastAsia="es-MX"/>
        </w:rPr>
        <w:t xml:space="preserve">V. </w:t>
      </w:r>
      <w:r w:rsidRPr="00C575A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46DBE47"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b/>
          <w:bCs/>
          <w:i/>
          <w:sz w:val="22"/>
          <w:szCs w:val="22"/>
          <w:lang w:eastAsia="es-MX"/>
        </w:rPr>
        <w:lastRenderedPageBreak/>
        <w:t xml:space="preserve">VI. </w:t>
      </w:r>
      <w:r w:rsidRPr="00C575A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1298F8B"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b/>
          <w:bCs/>
          <w:i/>
          <w:sz w:val="22"/>
          <w:szCs w:val="22"/>
          <w:lang w:eastAsia="es-MX"/>
        </w:rPr>
        <w:t xml:space="preserve">VII. </w:t>
      </w:r>
      <w:r w:rsidRPr="00C575A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C575A3">
        <w:rPr>
          <w:rFonts w:ascii="Palatino Linotype" w:hAnsi="Palatino Linotype" w:cs="Arial"/>
          <w:i/>
          <w:sz w:val="22"/>
          <w:szCs w:val="22"/>
        </w:rPr>
        <w:t xml:space="preserve">” </w:t>
      </w:r>
    </w:p>
    <w:p w14:paraId="1274BAF7" w14:textId="77777777" w:rsidR="000532B3" w:rsidRPr="00C575A3" w:rsidRDefault="000532B3" w:rsidP="000532B3">
      <w:pPr>
        <w:ind w:left="851" w:right="901"/>
        <w:jc w:val="both"/>
        <w:rPr>
          <w:rFonts w:ascii="Palatino Linotype" w:hAnsi="Palatino Linotype"/>
          <w:sz w:val="22"/>
          <w:szCs w:val="22"/>
        </w:rPr>
      </w:pPr>
    </w:p>
    <w:p w14:paraId="233545B0" w14:textId="77777777" w:rsidR="000532B3" w:rsidRPr="00C575A3" w:rsidRDefault="000532B3" w:rsidP="000532B3">
      <w:pPr>
        <w:ind w:left="851" w:right="901"/>
        <w:jc w:val="both"/>
        <w:rPr>
          <w:rFonts w:ascii="Palatino Linotype" w:hAnsi="Palatino Linotype"/>
          <w:i/>
          <w:sz w:val="22"/>
          <w:szCs w:val="22"/>
        </w:rPr>
      </w:pPr>
      <w:r w:rsidRPr="00C575A3">
        <w:rPr>
          <w:rFonts w:ascii="Palatino Linotype" w:hAnsi="Palatino Linotype"/>
          <w:i/>
          <w:sz w:val="22"/>
          <w:szCs w:val="22"/>
        </w:rPr>
        <w:t>(Énfasis añadido)</w:t>
      </w:r>
    </w:p>
    <w:p w14:paraId="4DBF2E01"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Por su parte, la Constitución Política del Estado Libre y Soberano de México, en su artículo 5°, dispone lo siguiente:</w:t>
      </w:r>
    </w:p>
    <w:p w14:paraId="3A54B7A0" w14:textId="77777777" w:rsidR="000532B3" w:rsidRPr="00C575A3" w:rsidRDefault="000532B3" w:rsidP="000532B3">
      <w:pPr>
        <w:ind w:left="851" w:right="901"/>
        <w:jc w:val="both"/>
        <w:rPr>
          <w:rFonts w:ascii="Palatino Linotype" w:hAnsi="Palatino Linotype" w:cs="Arial"/>
          <w:b/>
          <w:i/>
          <w:sz w:val="22"/>
          <w:szCs w:val="22"/>
        </w:rPr>
      </w:pPr>
      <w:r w:rsidRPr="00C575A3">
        <w:rPr>
          <w:rFonts w:ascii="Palatino Linotype" w:hAnsi="Palatino Linotype" w:cs="Arial"/>
          <w:i/>
          <w:sz w:val="22"/>
          <w:szCs w:val="22"/>
        </w:rPr>
        <w:t>“</w:t>
      </w:r>
      <w:r w:rsidRPr="00C575A3">
        <w:rPr>
          <w:rFonts w:ascii="Palatino Linotype" w:hAnsi="Palatino Linotype" w:cs="Arial"/>
          <w:b/>
          <w:i/>
          <w:sz w:val="22"/>
          <w:szCs w:val="22"/>
        </w:rPr>
        <w:t xml:space="preserve">Artículo 5.  … </w:t>
      </w:r>
    </w:p>
    <w:p w14:paraId="5F15581B"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 . .</w:t>
      </w:r>
    </w:p>
    <w:p w14:paraId="50E1DBA0"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3B35E79"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33BF72A"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Este derecho se regirá por los principios y bases siguientes:</w:t>
      </w:r>
    </w:p>
    <w:p w14:paraId="7E85CA5D" w14:textId="77777777" w:rsidR="000532B3" w:rsidRPr="00C575A3" w:rsidRDefault="000532B3" w:rsidP="000532B3">
      <w:pPr>
        <w:ind w:left="851" w:right="901"/>
        <w:jc w:val="both"/>
        <w:rPr>
          <w:rFonts w:ascii="Palatino Linotype" w:hAnsi="Palatino Linotype"/>
          <w:sz w:val="22"/>
          <w:szCs w:val="22"/>
        </w:rPr>
      </w:pPr>
      <w:r w:rsidRPr="00C575A3">
        <w:rPr>
          <w:rFonts w:ascii="Palatino Linotype" w:hAnsi="Palatino Linotype" w:cs="Arial"/>
          <w:i/>
          <w:sz w:val="22"/>
          <w:szCs w:val="22"/>
        </w:rPr>
        <w:t xml:space="preserve">I. </w:t>
      </w:r>
      <w:r w:rsidRPr="00C575A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575A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575A3">
        <w:rPr>
          <w:rFonts w:ascii="Palatino Linotype" w:hAnsi="Palatino Linotype"/>
          <w:sz w:val="22"/>
          <w:szCs w:val="22"/>
        </w:rPr>
        <w:t xml:space="preserve"> </w:t>
      </w:r>
    </w:p>
    <w:p w14:paraId="6DB15642" w14:textId="77777777" w:rsidR="000532B3" w:rsidRPr="00C575A3" w:rsidRDefault="000532B3" w:rsidP="000532B3">
      <w:pPr>
        <w:ind w:left="851" w:right="901"/>
        <w:jc w:val="both"/>
        <w:rPr>
          <w:rFonts w:ascii="Palatino Linotype" w:hAnsi="Palatino Linotype"/>
          <w:sz w:val="22"/>
          <w:szCs w:val="22"/>
        </w:rPr>
      </w:pPr>
    </w:p>
    <w:p w14:paraId="47470136" w14:textId="77777777" w:rsidR="000532B3" w:rsidRPr="00C575A3" w:rsidRDefault="000532B3" w:rsidP="000532B3">
      <w:pPr>
        <w:ind w:left="851" w:right="901"/>
        <w:jc w:val="both"/>
        <w:rPr>
          <w:rFonts w:ascii="Palatino Linotype" w:hAnsi="Palatino Linotype"/>
          <w:i/>
          <w:sz w:val="22"/>
          <w:szCs w:val="22"/>
        </w:rPr>
      </w:pPr>
      <w:r w:rsidRPr="00C575A3">
        <w:rPr>
          <w:rFonts w:ascii="Palatino Linotype" w:hAnsi="Palatino Linotype"/>
          <w:i/>
          <w:sz w:val="22"/>
          <w:szCs w:val="22"/>
        </w:rPr>
        <w:t>(Énfasis añadido)</w:t>
      </w:r>
    </w:p>
    <w:p w14:paraId="0A06495D"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lastRenderedPageBreak/>
        <w:t>Asimismo, se tiene que la Ley de Transparencia y Acceso a la Información Pública del Estado de México y Municipios, prevé en su artículo 23, lo siguiente:</w:t>
      </w:r>
    </w:p>
    <w:p w14:paraId="2E3938F9"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w:t>
      </w:r>
      <w:r w:rsidRPr="00C575A3">
        <w:rPr>
          <w:rFonts w:ascii="Palatino Linotype" w:hAnsi="Palatino Linotype" w:cs="Arial"/>
          <w:b/>
          <w:i/>
          <w:sz w:val="22"/>
          <w:szCs w:val="22"/>
        </w:rPr>
        <w:t>Artículo 23.</w:t>
      </w:r>
      <w:r w:rsidRPr="00C575A3">
        <w:rPr>
          <w:rFonts w:ascii="Palatino Linotype" w:hAnsi="Palatino Linotype" w:cs="Arial"/>
          <w:i/>
          <w:sz w:val="22"/>
          <w:szCs w:val="22"/>
        </w:rPr>
        <w:t xml:space="preserve"> Son sujetos obligados a transparentar y permitir el acceso a su información y proteger los datos personales que obren en su poder:</w:t>
      </w:r>
    </w:p>
    <w:p w14:paraId="644B672C"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BC1DE19"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II. El Poder Legislativo del Estado, los organismos, órganos y entidades de la Legislatura y sus dependencias;</w:t>
      </w:r>
    </w:p>
    <w:p w14:paraId="17723A21"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III. El Poder Judicial, sus organismos, órganos y entidades, así como el Consejo de la Judicatura del Estado;</w:t>
      </w:r>
    </w:p>
    <w:p w14:paraId="142CBDB0" w14:textId="77777777" w:rsidR="000532B3" w:rsidRPr="00C575A3" w:rsidRDefault="000532B3" w:rsidP="000532B3">
      <w:pPr>
        <w:ind w:left="851" w:right="901"/>
        <w:jc w:val="both"/>
        <w:rPr>
          <w:rFonts w:ascii="Palatino Linotype" w:hAnsi="Palatino Linotype" w:cs="Arial"/>
          <w:b/>
          <w:i/>
          <w:sz w:val="22"/>
          <w:szCs w:val="22"/>
        </w:rPr>
      </w:pPr>
      <w:r w:rsidRPr="00C575A3">
        <w:rPr>
          <w:rFonts w:ascii="Palatino Linotype" w:hAnsi="Palatino Linotype" w:cs="Arial"/>
          <w:b/>
          <w:i/>
          <w:sz w:val="22"/>
          <w:szCs w:val="22"/>
        </w:rPr>
        <w:t>IV. Los ayuntamientos y las dependencias, organismos, órganos y entidades de la administración municipal;</w:t>
      </w:r>
    </w:p>
    <w:p w14:paraId="1375B72C"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V. Los órganos autónomos;</w:t>
      </w:r>
    </w:p>
    <w:p w14:paraId="2600C93C"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VI. Los tribunales administrativos y autoridades jurisdiccionales en materia laboral;</w:t>
      </w:r>
    </w:p>
    <w:p w14:paraId="0734C9C2"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VII. Los partidos políticos y agrupaciones políticas, en los términos de las disposiciones aplicables;</w:t>
      </w:r>
    </w:p>
    <w:p w14:paraId="0F2CCB7B"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VIII. Los fideicomisos y fondos públicos que cuenten con financiamiento público, parcial o total, o con participación de entidades de gobierno;</w:t>
      </w:r>
    </w:p>
    <w:p w14:paraId="4486E368"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IX. Los sindicatos que reciban y/o ejerzan recursos públicos en el ámbito estatal y municipal;</w:t>
      </w:r>
    </w:p>
    <w:p w14:paraId="05CEEFB1"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X. Cualquier persona física o jurídico colectiva que reciba y ejerza recursos públicos en el ámbito estatal o municipal; y</w:t>
      </w:r>
    </w:p>
    <w:p w14:paraId="6ECE03C8"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XI. Cualquier otra autoridad, entidad, órgano u organismo de los poderes estatal o municipal, que reciba recursos públicos.</w:t>
      </w:r>
    </w:p>
    <w:p w14:paraId="70740F7B"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F82DD64" w14:textId="77777777" w:rsidR="000532B3" w:rsidRPr="00C575A3" w:rsidRDefault="000532B3" w:rsidP="000532B3">
      <w:pPr>
        <w:ind w:left="851" w:right="901"/>
        <w:jc w:val="both"/>
        <w:rPr>
          <w:rFonts w:ascii="Palatino Linotype" w:hAnsi="Palatino Linotype" w:cs="Arial"/>
          <w:b/>
          <w:i/>
          <w:sz w:val="22"/>
          <w:szCs w:val="22"/>
        </w:rPr>
      </w:pPr>
      <w:r w:rsidRPr="00C575A3">
        <w:rPr>
          <w:rFonts w:ascii="Palatino Linotype" w:hAnsi="Palatino Linotype" w:cs="Arial"/>
          <w:b/>
          <w:i/>
          <w:sz w:val="22"/>
          <w:szCs w:val="22"/>
        </w:rPr>
        <w:t>Los servidores públicos deberán transparentar sus acciones así como garantizar y respetar el derecho de acceso a la información pública.</w:t>
      </w:r>
    </w:p>
    <w:p w14:paraId="4A741AF9"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(Énfasis añadido)</w:t>
      </w:r>
    </w:p>
    <w:p w14:paraId="633B8D89" w14:textId="77777777" w:rsidR="000532B3" w:rsidRPr="00C575A3" w:rsidRDefault="000532B3" w:rsidP="000532B3">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C575A3">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C575A3">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C575A3">
        <w:rPr>
          <w:rFonts w:ascii="Palatino Linotype" w:eastAsia="Arial Unicode MS" w:hAnsi="Palatino Linotype" w:cs="Arial"/>
          <w:lang w:val="es-ES"/>
        </w:rPr>
        <w:t xml:space="preserve">es necesario referir el contenido del artículo </w:t>
      </w:r>
      <w:r w:rsidRPr="00C575A3">
        <w:rPr>
          <w:rFonts w:ascii="Palatino Linotype" w:hAnsi="Palatino Linotype"/>
          <w:lang w:val="es-ES"/>
        </w:rPr>
        <w:t>115,</w:t>
      </w:r>
      <w:r w:rsidRPr="00C575A3">
        <w:rPr>
          <w:rFonts w:ascii="Palatino Linotype" w:eastAsia="Arial Unicode MS" w:hAnsi="Palatino Linotype" w:cs="Arial"/>
          <w:lang w:val="es-ES"/>
        </w:rPr>
        <w:t xml:space="preserve"> fracciones I, II y IV de la Constitución Política de los Estados Unidos Mexicanos, que en lo que interesa menciona:</w:t>
      </w:r>
    </w:p>
    <w:p w14:paraId="7EB19AC1" w14:textId="77777777" w:rsidR="000532B3" w:rsidRPr="00C575A3" w:rsidRDefault="000532B3" w:rsidP="000532B3">
      <w:pPr>
        <w:ind w:left="851" w:right="902"/>
        <w:jc w:val="both"/>
        <w:rPr>
          <w:rFonts w:ascii="Palatino Linotype" w:hAnsi="Palatino Linotype" w:cs="Arial"/>
          <w:bCs/>
          <w:i/>
          <w:sz w:val="22"/>
          <w:szCs w:val="22"/>
        </w:rPr>
      </w:pPr>
      <w:r w:rsidRPr="00C575A3">
        <w:rPr>
          <w:rFonts w:ascii="Palatino Linotype" w:hAnsi="Palatino Linotype" w:cs="Arial"/>
          <w:bCs/>
          <w:i/>
          <w:sz w:val="22"/>
          <w:szCs w:val="22"/>
        </w:rPr>
        <w:t>“</w:t>
      </w:r>
      <w:r w:rsidRPr="00C575A3">
        <w:rPr>
          <w:rFonts w:ascii="Palatino Linotype" w:hAnsi="Palatino Linotype" w:cs="Arial"/>
          <w:b/>
          <w:bCs/>
          <w:i/>
          <w:sz w:val="22"/>
          <w:szCs w:val="22"/>
        </w:rPr>
        <w:t>Artículo 115</w:t>
      </w:r>
      <w:r w:rsidRPr="00C575A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E8AE415" w14:textId="77777777" w:rsidR="000532B3" w:rsidRPr="00C575A3" w:rsidRDefault="000532B3" w:rsidP="000532B3">
      <w:pPr>
        <w:ind w:left="851" w:right="902"/>
        <w:jc w:val="both"/>
        <w:rPr>
          <w:rFonts w:ascii="Palatino Linotype" w:hAnsi="Palatino Linotype" w:cs="Arial"/>
          <w:bCs/>
          <w:i/>
          <w:sz w:val="22"/>
          <w:szCs w:val="22"/>
        </w:rPr>
      </w:pPr>
      <w:r w:rsidRPr="00C575A3">
        <w:rPr>
          <w:rFonts w:ascii="Palatino Linotype" w:hAnsi="Palatino Linotype" w:cs="Arial"/>
          <w:b/>
          <w:bCs/>
          <w:i/>
          <w:sz w:val="22"/>
          <w:szCs w:val="22"/>
        </w:rPr>
        <w:t>I.</w:t>
      </w:r>
      <w:r w:rsidRPr="00C575A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15CF124" w14:textId="77777777" w:rsidR="000532B3" w:rsidRPr="00C575A3" w:rsidRDefault="000532B3" w:rsidP="000532B3">
      <w:pPr>
        <w:ind w:left="851" w:right="902"/>
        <w:jc w:val="both"/>
        <w:rPr>
          <w:rFonts w:ascii="Palatino Linotype" w:hAnsi="Palatino Linotype" w:cs="Arial"/>
          <w:bCs/>
          <w:i/>
          <w:sz w:val="22"/>
          <w:szCs w:val="22"/>
        </w:rPr>
      </w:pPr>
      <w:r w:rsidRPr="00C575A3">
        <w:rPr>
          <w:rFonts w:ascii="Palatino Linotype" w:hAnsi="Palatino Linotype" w:cs="Arial"/>
          <w:bCs/>
          <w:i/>
          <w:sz w:val="22"/>
          <w:szCs w:val="22"/>
        </w:rPr>
        <w:t>(…)</w:t>
      </w:r>
    </w:p>
    <w:p w14:paraId="559BC120" w14:textId="77777777" w:rsidR="000532B3" w:rsidRPr="00C575A3" w:rsidRDefault="000532B3" w:rsidP="000532B3">
      <w:pPr>
        <w:ind w:left="851" w:right="902"/>
        <w:jc w:val="both"/>
        <w:rPr>
          <w:rFonts w:ascii="Palatino Linotype" w:hAnsi="Palatino Linotype" w:cs="Arial"/>
          <w:bCs/>
          <w:i/>
          <w:sz w:val="22"/>
          <w:szCs w:val="22"/>
        </w:rPr>
      </w:pPr>
      <w:r w:rsidRPr="00C575A3">
        <w:rPr>
          <w:rFonts w:ascii="Palatino Linotype" w:hAnsi="Palatino Linotype" w:cs="Arial"/>
          <w:b/>
          <w:bCs/>
          <w:i/>
          <w:sz w:val="22"/>
          <w:szCs w:val="22"/>
        </w:rPr>
        <w:t>II.</w:t>
      </w:r>
      <w:r w:rsidRPr="00C575A3">
        <w:rPr>
          <w:rFonts w:ascii="Palatino Linotype" w:hAnsi="Palatino Linotype" w:cs="Arial"/>
          <w:bCs/>
          <w:i/>
          <w:sz w:val="22"/>
          <w:szCs w:val="22"/>
        </w:rPr>
        <w:t xml:space="preserve"> Los municipios estarán investidos de personalidad jurídica y manejarán su patrimonio conforme a la ley.</w:t>
      </w:r>
    </w:p>
    <w:p w14:paraId="534CDAAA" w14:textId="77777777" w:rsidR="000532B3" w:rsidRPr="00C575A3" w:rsidRDefault="000532B3" w:rsidP="000532B3">
      <w:pPr>
        <w:ind w:left="851" w:right="902"/>
        <w:jc w:val="both"/>
        <w:rPr>
          <w:rFonts w:ascii="Palatino Linotype" w:hAnsi="Palatino Linotype" w:cs="Arial"/>
          <w:bCs/>
          <w:i/>
          <w:sz w:val="22"/>
          <w:szCs w:val="22"/>
        </w:rPr>
      </w:pPr>
      <w:r w:rsidRPr="00C575A3">
        <w:rPr>
          <w:rFonts w:ascii="Palatino Linotype" w:hAnsi="Palatino Linotype" w:cs="Arial"/>
          <w:bCs/>
          <w:i/>
          <w:sz w:val="22"/>
          <w:szCs w:val="22"/>
        </w:rPr>
        <w:t>(…)</w:t>
      </w:r>
    </w:p>
    <w:p w14:paraId="466D9721" w14:textId="77777777" w:rsidR="00E875D6" w:rsidRPr="00C575A3" w:rsidRDefault="00E875D6" w:rsidP="00E875D6">
      <w:pPr>
        <w:ind w:left="851" w:right="902"/>
        <w:jc w:val="both"/>
        <w:rPr>
          <w:rFonts w:ascii="Palatino Linotype" w:hAnsi="Palatino Linotype" w:cs="Arial"/>
          <w:b/>
          <w:bCs/>
          <w:i/>
          <w:sz w:val="22"/>
          <w:szCs w:val="22"/>
        </w:rPr>
      </w:pPr>
      <w:r w:rsidRPr="00C575A3">
        <w:rPr>
          <w:rFonts w:ascii="Palatino Linotype" w:hAnsi="Palatino Linotype" w:cs="Arial"/>
          <w:b/>
          <w:bCs/>
          <w:i/>
          <w:sz w:val="22"/>
          <w:szCs w:val="22"/>
        </w:rPr>
        <w:t>III. Los Municipios tendrán a su cargo las funciones y servicios públicos siguientes:</w:t>
      </w:r>
    </w:p>
    <w:p w14:paraId="754BB1FD" w14:textId="77777777" w:rsidR="00E875D6" w:rsidRPr="00C575A3" w:rsidRDefault="00E875D6" w:rsidP="00E875D6">
      <w:pPr>
        <w:ind w:left="851" w:right="902"/>
        <w:jc w:val="both"/>
        <w:rPr>
          <w:rFonts w:ascii="Palatino Linotype" w:hAnsi="Palatino Linotype" w:cs="Arial"/>
          <w:b/>
          <w:bCs/>
          <w:i/>
          <w:sz w:val="22"/>
          <w:szCs w:val="22"/>
        </w:rPr>
      </w:pPr>
      <w:r w:rsidRPr="00C575A3">
        <w:rPr>
          <w:rFonts w:ascii="Palatino Linotype" w:hAnsi="Palatino Linotype" w:cs="Arial"/>
          <w:b/>
          <w:bCs/>
          <w:i/>
          <w:sz w:val="22"/>
          <w:szCs w:val="22"/>
        </w:rPr>
        <w:t>(…)</w:t>
      </w:r>
    </w:p>
    <w:p w14:paraId="73F8316A" w14:textId="77777777" w:rsidR="00E875D6" w:rsidRPr="00C575A3" w:rsidRDefault="00E875D6" w:rsidP="000532B3">
      <w:pPr>
        <w:ind w:left="851" w:right="902"/>
        <w:jc w:val="both"/>
        <w:rPr>
          <w:rFonts w:ascii="Palatino Linotype" w:hAnsi="Palatino Linotype" w:cs="Arial"/>
          <w:bCs/>
          <w:i/>
          <w:sz w:val="22"/>
          <w:szCs w:val="22"/>
        </w:rPr>
      </w:pPr>
      <w:r w:rsidRPr="00C575A3">
        <w:rPr>
          <w:rFonts w:ascii="Palatino Linotype" w:hAnsi="Palatino Linotype" w:cs="Arial"/>
          <w:b/>
          <w:bCs/>
          <w:i/>
          <w:sz w:val="22"/>
          <w:szCs w:val="22"/>
        </w:rPr>
        <w:t xml:space="preserve">g) Calles, </w:t>
      </w:r>
      <w:r w:rsidRPr="00C575A3">
        <w:rPr>
          <w:rFonts w:ascii="Palatino Linotype" w:hAnsi="Palatino Linotype" w:cs="Arial"/>
          <w:bCs/>
          <w:i/>
          <w:sz w:val="22"/>
          <w:szCs w:val="22"/>
        </w:rPr>
        <w:t>parques y jardines y su equipamiento;</w:t>
      </w:r>
    </w:p>
    <w:p w14:paraId="138CAF1D" w14:textId="77777777" w:rsidR="00915490" w:rsidRPr="00C575A3" w:rsidRDefault="00915490" w:rsidP="00915490">
      <w:pPr>
        <w:ind w:left="851" w:right="902"/>
        <w:jc w:val="both"/>
        <w:rPr>
          <w:rFonts w:ascii="Palatino Linotype" w:hAnsi="Palatino Linotype" w:cs="Arial"/>
          <w:b/>
          <w:bCs/>
          <w:i/>
          <w:sz w:val="22"/>
          <w:szCs w:val="22"/>
        </w:rPr>
      </w:pPr>
      <w:r w:rsidRPr="00C575A3">
        <w:rPr>
          <w:rFonts w:ascii="Palatino Linotype" w:hAnsi="Palatino Linotype" w:cs="Arial"/>
          <w:b/>
          <w:bCs/>
          <w:i/>
          <w:sz w:val="22"/>
          <w:szCs w:val="22"/>
        </w:rPr>
        <w:t>V. Los Municipios, en los términos de las leyes federales y Estatales relativas, estarán facultados para:</w:t>
      </w:r>
    </w:p>
    <w:p w14:paraId="1726ABE7" w14:textId="77777777" w:rsidR="00915490" w:rsidRPr="00C575A3" w:rsidRDefault="00915490" w:rsidP="00915490">
      <w:pPr>
        <w:ind w:left="851" w:right="902"/>
        <w:jc w:val="both"/>
        <w:rPr>
          <w:rFonts w:ascii="Palatino Linotype" w:hAnsi="Palatino Linotype" w:cs="Arial"/>
          <w:b/>
          <w:bCs/>
          <w:i/>
          <w:sz w:val="22"/>
          <w:szCs w:val="22"/>
        </w:rPr>
      </w:pPr>
      <w:r w:rsidRPr="00C575A3">
        <w:rPr>
          <w:rFonts w:ascii="Palatino Linotype" w:hAnsi="Palatino Linotype" w:cs="Arial"/>
          <w:b/>
          <w:bCs/>
          <w:i/>
          <w:sz w:val="22"/>
          <w:szCs w:val="22"/>
        </w:rPr>
        <w:t xml:space="preserve">a) Formular, aprobar y administrar </w:t>
      </w:r>
      <w:r w:rsidRPr="00C575A3">
        <w:rPr>
          <w:rFonts w:ascii="Palatino Linotype" w:hAnsi="Palatino Linotype" w:cs="Arial"/>
          <w:bCs/>
          <w:i/>
          <w:sz w:val="22"/>
          <w:szCs w:val="22"/>
        </w:rPr>
        <w:t>la zonificación y planes de desarrollo urbano municipal, así como</w:t>
      </w:r>
      <w:r w:rsidRPr="00C575A3">
        <w:rPr>
          <w:rFonts w:ascii="Palatino Linotype" w:hAnsi="Palatino Linotype" w:cs="Arial"/>
          <w:b/>
          <w:bCs/>
          <w:i/>
          <w:sz w:val="22"/>
          <w:szCs w:val="22"/>
        </w:rPr>
        <w:t xml:space="preserve"> los planes en materia de movilidad y seguridad vial;</w:t>
      </w:r>
    </w:p>
    <w:p w14:paraId="419D7185" w14:textId="77777777" w:rsidR="000532B3" w:rsidRPr="00C575A3" w:rsidRDefault="00915490" w:rsidP="00915490">
      <w:pPr>
        <w:ind w:left="851" w:right="902"/>
        <w:jc w:val="both"/>
        <w:rPr>
          <w:rFonts w:ascii="Palatino Linotype" w:hAnsi="Palatino Linotype" w:cs="Arial"/>
          <w:bCs/>
          <w:i/>
          <w:sz w:val="22"/>
          <w:szCs w:val="22"/>
        </w:rPr>
      </w:pPr>
      <w:r w:rsidRPr="00C575A3">
        <w:rPr>
          <w:rFonts w:ascii="Palatino Linotype" w:hAnsi="Palatino Linotype" w:cs="Arial"/>
          <w:bCs/>
          <w:i/>
          <w:sz w:val="22"/>
          <w:szCs w:val="22"/>
        </w:rPr>
        <w:t xml:space="preserve"> </w:t>
      </w:r>
      <w:r w:rsidR="000532B3" w:rsidRPr="00C575A3">
        <w:rPr>
          <w:rFonts w:ascii="Palatino Linotype" w:hAnsi="Palatino Linotype" w:cs="Arial"/>
          <w:bCs/>
          <w:i/>
          <w:sz w:val="22"/>
          <w:szCs w:val="22"/>
        </w:rPr>
        <w:t>(Énfasis añadido)</w:t>
      </w:r>
    </w:p>
    <w:p w14:paraId="5018C26C" w14:textId="77777777" w:rsidR="000532B3" w:rsidRPr="00C575A3" w:rsidRDefault="000532B3" w:rsidP="000532B3">
      <w:pPr>
        <w:spacing w:before="100" w:beforeAutospacing="1" w:after="100" w:afterAutospacing="1" w:line="360" w:lineRule="auto"/>
        <w:jc w:val="both"/>
        <w:rPr>
          <w:rFonts w:ascii="Palatino Linotype" w:eastAsia="Arial Unicode MS" w:hAnsi="Palatino Linotype" w:cs="Arial"/>
        </w:rPr>
      </w:pPr>
      <w:r w:rsidRPr="00C575A3">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C575A3">
        <w:rPr>
          <w:rFonts w:ascii="Palatino Linotype" w:eastAsia="Arial Unicode MS" w:hAnsi="Palatino Linotype" w:cs="Arial"/>
        </w:rPr>
        <w:lastRenderedPageBreak/>
        <w:t>la capacidad de decisión siempre y cuando, ello sea conforme a los ordenamientos legales aplicables.</w:t>
      </w:r>
    </w:p>
    <w:p w14:paraId="60E79188" w14:textId="77777777" w:rsidR="000532B3" w:rsidRPr="00C575A3" w:rsidRDefault="000532B3" w:rsidP="000532B3">
      <w:pPr>
        <w:tabs>
          <w:tab w:val="left" w:pos="709"/>
        </w:tabs>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Asimismo, en el numeral 3</w:t>
      </w:r>
      <w:r w:rsidRPr="00C575A3">
        <w:rPr>
          <w:rFonts w:ascii="Palatino Linotype" w:hAnsi="Palatino Linotype" w:cs="Arial"/>
          <w:vertAlign w:val="superscript"/>
        </w:rPr>
        <w:footnoteReference w:id="1"/>
      </w:r>
      <w:r w:rsidRPr="00C575A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EC7089E" w14:textId="77777777" w:rsidR="000532B3" w:rsidRPr="00C575A3" w:rsidRDefault="000532B3" w:rsidP="000532B3">
      <w:pPr>
        <w:tabs>
          <w:tab w:val="left" w:pos="709"/>
        </w:tabs>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24A252B1"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w:t>
      </w:r>
      <w:r w:rsidRPr="00C575A3">
        <w:rPr>
          <w:rFonts w:ascii="Palatino Linotype" w:hAnsi="Palatino Linotype" w:cs="Arial"/>
          <w:b/>
          <w:i/>
          <w:sz w:val="22"/>
          <w:szCs w:val="22"/>
        </w:rPr>
        <w:t>Artículo 4.</w:t>
      </w:r>
      <w:r w:rsidRPr="00C575A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4B1A1C"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575A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35546E"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6F4B28B" w14:textId="77777777" w:rsidR="000532B3" w:rsidRPr="00C575A3" w:rsidRDefault="000532B3" w:rsidP="000532B3">
      <w:pPr>
        <w:ind w:left="851" w:right="901"/>
        <w:jc w:val="both"/>
        <w:rPr>
          <w:rFonts w:ascii="Palatino Linotype" w:hAnsi="Palatino Linotype" w:cs="Arial"/>
          <w:i/>
          <w:szCs w:val="22"/>
        </w:rPr>
      </w:pPr>
    </w:p>
    <w:p w14:paraId="447239EA"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b/>
          <w:i/>
          <w:sz w:val="22"/>
          <w:szCs w:val="22"/>
        </w:rPr>
        <w:t>Artículo 12.</w:t>
      </w:r>
      <w:r w:rsidRPr="00C575A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D24A16B"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C575A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15176CA"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(Énfasis añadido)</w:t>
      </w:r>
    </w:p>
    <w:p w14:paraId="1D46F309"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Por consiguiente, los preceptos legales transcritos establecen que </w:t>
      </w:r>
      <w:r w:rsidRPr="00C575A3">
        <w:rPr>
          <w:rFonts w:ascii="Palatino Linotype" w:hAnsi="Palatino Linotype" w:cs="Arial"/>
          <w:b/>
        </w:rPr>
        <w:t>los Sujetos Obligados se encuentran constreñidos a entregar la información pública solicitada por los particulares</w:t>
      </w:r>
      <w:r w:rsidRPr="00C575A3">
        <w:rPr>
          <w:rFonts w:ascii="Palatino Linotype" w:hAnsi="Palatino Linotype" w:cs="Arial"/>
        </w:rPr>
        <w:t xml:space="preserve"> y que ésta misma se encuentre en sus archivos o que obre en su posesión, </w:t>
      </w:r>
      <w:r w:rsidRPr="00C575A3">
        <w:rPr>
          <w:rFonts w:ascii="Palatino Linotype" w:hAnsi="Palatino Linotype" w:cs="Arial"/>
          <w:b/>
        </w:rPr>
        <w:t>privilegiando en todo momento el principio de máxima publicidad,</w:t>
      </w:r>
      <w:r w:rsidRPr="00C575A3">
        <w:rPr>
          <w:rFonts w:ascii="Palatino Linotype" w:hAnsi="Palatino Linotype" w:cs="Arial"/>
        </w:rPr>
        <w:t xml:space="preserve"> sin generarla, procesarla, resumirla, ni pre</w:t>
      </w:r>
      <w:r w:rsidR="009149BD" w:rsidRPr="00C575A3">
        <w:rPr>
          <w:rFonts w:ascii="Palatino Linotype" w:hAnsi="Palatino Linotype" w:cs="Arial"/>
        </w:rPr>
        <w:t>sentarla conforme al interés del</w:t>
      </w:r>
      <w:r w:rsidRPr="00C575A3">
        <w:rPr>
          <w:rFonts w:ascii="Palatino Linotype" w:hAnsi="Palatino Linotype" w:cs="Arial"/>
        </w:rPr>
        <w:t xml:space="preserve"> solicitante. </w:t>
      </w:r>
    </w:p>
    <w:p w14:paraId="45E656F8"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Queda de manifiesto entonces que, </w:t>
      </w:r>
      <w:r w:rsidRPr="00C575A3">
        <w:rPr>
          <w:rFonts w:ascii="Palatino Linotype" w:hAnsi="Palatino Linotype" w:cs="Arial"/>
          <w:b/>
        </w:rPr>
        <w:t>se considera información pública al conjunto de datos que posee cualquier autoridad, obtenidos en virtud del ejercicio de sus funciones de derecho público</w:t>
      </w:r>
      <w:r w:rsidRPr="00C575A3">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0A33280"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bCs/>
          <w:i/>
          <w:sz w:val="22"/>
          <w:szCs w:val="22"/>
        </w:rPr>
        <w:t>“</w:t>
      </w:r>
      <w:r w:rsidRPr="00C575A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575A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C575A3">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D51A22"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D588F0D"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974B393"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i/>
          <w:sz w:val="22"/>
          <w:szCs w:val="22"/>
        </w:rPr>
        <w:t>“</w:t>
      </w:r>
      <w:r w:rsidRPr="00C575A3">
        <w:rPr>
          <w:rFonts w:ascii="Palatino Linotype" w:hAnsi="Palatino Linotype" w:cs="Arial"/>
          <w:b/>
          <w:i/>
          <w:sz w:val="22"/>
          <w:szCs w:val="22"/>
        </w:rPr>
        <w:t xml:space="preserve">Artículo 3. </w:t>
      </w:r>
      <w:r w:rsidRPr="00C575A3">
        <w:rPr>
          <w:rFonts w:ascii="Palatino Linotype" w:hAnsi="Palatino Linotype" w:cs="Arial"/>
          <w:i/>
          <w:sz w:val="22"/>
          <w:szCs w:val="22"/>
        </w:rPr>
        <w:t>Para los efectos de la presente Ley se entenderá por:</w:t>
      </w:r>
    </w:p>
    <w:p w14:paraId="4D19DDAD" w14:textId="77777777" w:rsidR="000532B3" w:rsidRPr="00C575A3" w:rsidRDefault="000532B3" w:rsidP="000532B3">
      <w:pPr>
        <w:ind w:left="851" w:right="901"/>
        <w:jc w:val="both"/>
        <w:rPr>
          <w:rFonts w:ascii="Palatino Linotype" w:hAnsi="Palatino Linotype" w:cs="Arial"/>
          <w:i/>
          <w:sz w:val="22"/>
          <w:szCs w:val="22"/>
        </w:rPr>
      </w:pPr>
      <w:r w:rsidRPr="00C575A3">
        <w:rPr>
          <w:rFonts w:ascii="Palatino Linotype" w:hAnsi="Palatino Linotype" w:cs="Arial"/>
          <w:b/>
          <w:i/>
          <w:sz w:val="22"/>
          <w:szCs w:val="22"/>
        </w:rPr>
        <w:t>XI. Documento:</w:t>
      </w:r>
      <w:r w:rsidRPr="00C575A3">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C575A3">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5A166D" w14:textId="77777777" w:rsidR="000532B3" w:rsidRPr="00C575A3" w:rsidRDefault="000532B3" w:rsidP="000532B3">
      <w:pPr>
        <w:autoSpaceDE w:val="0"/>
        <w:autoSpaceDN w:val="0"/>
        <w:adjustRightInd w:val="0"/>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Siendo aplicable el criterio </w:t>
      </w:r>
      <w:r w:rsidRPr="00C575A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575A3">
        <w:rPr>
          <w:rFonts w:ascii="Palatino Linotype" w:hAnsi="Palatino Linotype" w:cs="Arial"/>
        </w:rPr>
        <w:t>cuyo rubro y texto dispone:</w:t>
      </w:r>
    </w:p>
    <w:p w14:paraId="3F1B58F8" w14:textId="77777777" w:rsidR="000532B3" w:rsidRPr="00C575A3" w:rsidRDefault="000532B3" w:rsidP="000532B3">
      <w:pPr>
        <w:ind w:left="851" w:right="901"/>
        <w:jc w:val="center"/>
        <w:rPr>
          <w:rFonts w:ascii="Palatino Linotype" w:hAnsi="Palatino Linotype" w:cs="Arial"/>
          <w:b/>
          <w:i/>
          <w:sz w:val="22"/>
          <w:szCs w:val="22"/>
          <w:lang w:eastAsia="es-MX"/>
        </w:rPr>
      </w:pPr>
      <w:r w:rsidRPr="00C575A3">
        <w:rPr>
          <w:rFonts w:ascii="Palatino Linotype" w:hAnsi="Palatino Linotype" w:cs="Arial"/>
          <w:sz w:val="22"/>
          <w:szCs w:val="22"/>
          <w:lang w:eastAsia="es-MX"/>
        </w:rPr>
        <w:t>“</w:t>
      </w:r>
      <w:r w:rsidRPr="00C575A3">
        <w:rPr>
          <w:rFonts w:ascii="Palatino Linotype" w:hAnsi="Palatino Linotype" w:cs="Arial"/>
          <w:b/>
          <w:i/>
          <w:sz w:val="22"/>
          <w:szCs w:val="22"/>
          <w:lang w:eastAsia="es-MX"/>
        </w:rPr>
        <w:t>CRITERIO 0002-11</w:t>
      </w:r>
    </w:p>
    <w:p w14:paraId="17310839"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575A3">
        <w:rPr>
          <w:rFonts w:ascii="Palatino Linotype" w:hAnsi="Palatino Linotype" w:cs="Arial"/>
          <w:b/>
          <w:bCs/>
          <w:i/>
          <w:sz w:val="22"/>
          <w:szCs w:val="22"/>
          <w:u w:val="single"/>
          <w:lang w:eastAsia="es-MX"/>
        </w:rPr>
        <w:t xml:space="preserve">V, XV, Y XVI, </w:t>
      </w:r>
      <w:r w:rsidRPr="00C575A3">
        <w:rPr>
          <w:rFonts w:ascii="Palatino Linotype" w:hAnsi="Palatino Linotype" w:cs="Arial"/>
          <w:b/>
          <w:i/>
          <w:sz w:val="22"/>
          <w:szCs w:val="22"/>
          <w:u w:val="single"/>
          <w:lang w:eastAsia="es-MX"/>
        </w:rPr>
        <w:t>3°, 4°, 11 Y 41.</w:t>
      </w:r>
      <w:r w:rsidRPr="00C575A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153C49"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i/>
          <w:sz w:val="22"/>
          <w:szCs w:val="22"/>
          <w:lang w:eastAsia="es-MX"/>
        </w:rPr>
        <w:t>En consecuencia el acceso a la información se refiere a que se cumplan cualquiera de los siguientes tres supuestos:</w:t>
      </w:r>
    </w:p>
    <w:p w14:paraId="7CB6A497" w14:textId="77777777" w:rsidR="000532B3" w:rsidRPr="00C575A3" w:rsidRDefault="000532B3" w:rsidP="000532B3">
      <w:pPr>
        <w:ind w:left="851" w:right="901"/>
        <w:jc w:val="both"/>
        <w:rPr>
          <w:rFonts w:ascii="Palatino Linotype" w:hAnsi="Palatino Linotype" w:cs="Arial"/>
          <w:b/>
          <w:i/>
          <w:sz w:val="22"/>
          <w:szCs w:val="22"/>
          <w:u w:val="single"/>
          <w:lang w:eastAsia="es-MX"/>
        </w:rPr>
      </w:pPr>
      <w:r w:rsidRPr="00C575A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5D54087"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i/>
          <w:sz w:val="22"/>
          <w:szCs w:val="22"/>
          <w:lang w:eastAsia="es-MX"/>
        </w:rPr>
        <w:t xml:space="preserve">2) Que se trate de </w:t>
      </w:r>
      <w:r w:rsidRPr="00C575A3">
        <w:rPr>
          <w:rFonts w:ascii="Palatino Linotype" w:hAnsi="Palatino Linotype" w:cs="Arial"/>
          <w:b/>
          <w:i/>
          <w:sz w:val="22"/>
          <w:szCs w:val="22"/>
          <w:u w:val="single"/>
          <w:lang w:eastAsia="es-MX"/>
        </w:rPr>
        <w:t>información</w:t>
      </w:r>
      <w:r w:rsidRPr="00C575A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1191E55" w14:textId="77777777" w:rsidR="000532B3" w:rsidRPr="00C575A3" w:rsidRDefault="000532B3" w:rsidP="000532B3">
      <w:pPr>
        <w:ind w:left="851" w:right="901"/>
        <w:jc w:val="both"/>
        <w:rPr>
          <w:rFonts w:ascii="Palatino Linotype" w:hAnsi="Palatino Linotype" w:cs="Arial"/>
          <w:i/>
          <w:sz w:val="22"/>
          <w:szCs w:val="22"/>
          <w:lang w:eastAsia="es-MX"/>
        </w:rPr>
      </w:pPr>
      <w:r w:rsidRPr="00C575A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BAD91ED" w14:textId="77777777" w:rsidR="000532B3" w:rsidRPr="00C575A3" w:rsidRDefault="000532B3" w:rsidP="000532B3">
      <w:pPr>
        <w:ind w:left="851" w:right="901"/>
        <w:jc w:val="both"/>
        <w:rPr>
          <w:rFonts w:ascii="Palatino Linotype" w:hAnsi="Palatino Linotype" w:cs="Arial"/>
          <w:sz w:val="22"/>
          <w:szCs w:val="22"/>
          <w:lang w:eastAsia="es-MX"/>
        </w:rPr>
      </w:pPr>
      <w:r w:rsidRPr="00C575A3">
        <w:rPr>
          <w:rFonts w:ascii="Palatino Linotype" w:hAnsi="Palatino Linotype" w:cs="Arial"/>
          <w:sz w:val="22"/>
          <w:szCs w:val="22"/>
          <w:lang w:eastAsia="es-MX"/>
        </w:rPr>
        <w:t>(Énfasis Añadido)</w:t>
      </w:r>
    </w:p>
    <w:p w14:paraId="6CC3EBEA" w14:textId="77777777" w:rsidR="000532B3" w:rsidRPr="00C575A3" w:rsidRDefault="000532B3" w:rsidP="000532B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575A3">
        <w:rPr>
          <w:rFonts w:ascii="Palatino Linotype" w:hAnsi="Palatino Linotype"/>
          <w:lang w:val="es-ES"/>
        </w:rPr>
        <w:t xml:space="preserve">Una vez precisado lo anterior, es importante destacar que </w:t>
      </w:r>
      <w:r w:rsidRPr="00C575A3">
        <w:rPr>
          <w:rFonts w:ascii="Palatino Linotype" w:eastAsia="Arial Unicode MS" w:hAnsi="Palatino Linotype" w:cs="Arial"/>
        </w:rPr>
        <w:t xml:space="preserve">los Sujetos Obligados deben </w:t>
      </w:r>
      <w:r w:rsidRPr="00C575A3">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33E6067" w14:textId="77777777" w:rsidR="000532B3" w:rsidRPr="00C575A3" w:rsidRDefault="000532B3" w:rsidP="000532B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575A3">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B051493" w14:textId="77777777" w:rsidR="000532B3" w:rsidRPr="00C575A3" w:rsidRDefault="000532B3" w:rsidP="000532B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575A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CF33E59"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AAB8205" w14:textId="77777777" w:rsidR="000532B3" w:rsidRPr="00C575A3" w:rsidRDefault="000532B3" w:rsidP="000532B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575A3">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0A7E1AB"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3892D85" w14:textId="77777777" w:rsidR="000532B3" w:rsidRPr="00C575A3" w:rsidRDefault="000532B3" w:rsidP="000532B3">
      <w:pPr>
        <w:ind w:left="851" w:right="902"/>
        <w:jc w:val="both"/>
        <w:rPr>
          <w:rFonts w:ascii="Palatino Linotype" w:hAnsi="Palatino Linotype"/>
          <w:i/>
          <w:sz w:val="22"/>
        </w:rPr>
      </w:pPr>
      <w:r w:rsidRPr="00C575A3">
        <w:rPr>
          <w:rFonts w:ascii="Palatino Linotype" w:hAnsi="Palatino Linotype"/>
          <w:i/>
          <w:sz w:val="22"/>
        </w:rPr>
        <w:t>“</w:t>
      </w:r>
      <w:r w:rsidRPr="00C575A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575A3">
        <w:rPr>
          <w:rFonts w:ascii="Palatino Linotype" w:hAnsi="Palatino Linotype"/>
          <w:i/>
          <w:sz w:val="22"/>
        </w:rPr>
        <w:t xml:space="preserve">, contados a partir del día siguiente a la presentación de aquélla. </w:t>
      </w:r>
    </w:p>
    <w:p w14:paraId="50A41D55" w14:textId="77777777" w:rsidR="000532B3" w:rsidRPr="00C575A3" w:rsidRDefault="000532B3" w:rsidP="000532B3">
      <w:pPr>
        <w:ind w:left="851" w:right="902"/>
        <w:jc w:val="both"/>
        <w:rPr>
          <w:rFonts w:ascii="Palatino Linotype" w:hAnsi="Palatino Linotype"/>
          <w:i/>
          <w:sz w:val="22"/>
        </w:rPr>
      </w:pPr>
      <w:r w:rsidRPr="00C575A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30633CD" w14:textId="77777777" w:rsidR="000532B3" w:rsidRPr="00C575A3" w:rsidRDefault="000532B3" w:rsidP="000532B3">
      <w:pPr>
        <w:ind w:left="851" w:right="902"/>
        <w:jc w:val="both"/>
        <w:rPr>
          <w:rFonts w:ascii="Palatino Linotype" w:hAnsi="Palatino Linotype"/>
          <w:sz w:val="22"/>
        </w:rPr>
      </w:pPr>
      <w:r w:rsidRPr="00C575A3">
        <w:rPr>
          <w:rFonts w:ascii="Palatino Linotype" w:hAnsi="Palatino Linotype"/>
          <w:sz w:val="22"/>
        </w:rPr>
        <w:t>(Énfasis añadido.)</w:t>
      </w:r>
    </w:p>
    <w:p w14:paraId="5FFE04DB"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 xml:space="preserve">En mérito de lo expuesto, es claro que en este caso en particular la Unidad de Transparencia incumplió la normativa en la materia, puesto que no dio respuesta a la </w:t>
      </w:r>
      <w:r w:rsidRPr="00C575A3">
        <w:rPr>
          <w:rFonts w:ascii="Palatino Linotype" w:hAnsi="Palatino Linotype"/>
        </w:rPr>
        <w:lastRenderedPageBreak/>
        <w:t>solicitud de acceso a la información, limitando el derecho de acceso a la información, accionad</w:t>
      </w:r>
      <w:r w:rsidR="00A24820" w:rsidRPr="00C575A3">
        <w:rPr>
          <w:rFonts w:ascii="Palatino Linotype" w:hAnsi="Palatino Linotype"/>
        </w:rPr>
        <w:t xml:space="preserve">o por </w:t>
      </w:r>
      <w:r w:rsidR="00DB7988" w:rsidRPr="00C575A3">
        <w:rPr>
          <w:rFonts w:ascii="Palatino Linotype" w:hAnsi="Palatino Linotype"/>
        </w:rPr>
        <w:t>e</w:t>
      </w:r>
      <w:r w:rsidRPr="00C575A3">
        <w:rPr>
          <w:rFonts w:ascii="Palatino Linotype" w:hAnsi="Palatino Linotype"/>
        </w:rPr>
        <w:t>l particular.</w:t>
      </w:r>
    </w:p>
    <w:p w14:paraId="2F0D270B"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C575A3">
        <w:rPr>
          <w:rFonts w:ascii="Palatino Linotype" w:hAnsi="Palatino Linotype"/>
          <w:b/>
        </w:rPr>
        <w:t>SUJETO OBLIGADO</w:t>
      </w:r>
      <w:r w:rsidRPr="00C575A3">
        <w:rPr>
          <w:rFonts w:ascii="Palatino Linotype" w:hAnsi="Palatino Linotype"/>
        </w:rPr>
        <w:t xml:space="preserve"> dé tramité y respuesta a la solicitud de</w:t>
      </w:r>
      <w:r w:rsidR="00A24820" w:rsidRPr="00C575A3">
        <w:rPr>
          <w:rFonts w:ascii="Palatino Linotype" w:hAnsi="Palatino Linotype"/>
        </w:rPr>
        <w:t xml:space="preserve"> </w:t>
      </w:r>
      <w:r w:rsidRPr="00C575A3">
        <w:rPr>
          <w:rFonts w:ascii="Palatino Linotype" w:hAnsi="Palatino Linotype"/>
        </w:rPr>
        <w:t>l</w:t>
      </w:r>
      <w:r w:rsidR="00A24820" w:rsidRPr="00C575A3">
        <w:rPr>
          <w:rFonts w:ascii="Palatino Linotype" w:hAnsi="Palatino Linotype"/>
        </w:rPr>
        <w:t>a</w:t>
      </w:r>
      <w:r w:rsidRPr="00C575A3">
        <w:rPr>
          <w:rFonts w:ascii="Palatino Linotype" w:hAnsi="Palatino Linotype"/>
        </w:rPr>
        <w:t xml:space="preserve"> particular</w:t>
      </w:r>
      <w:r w:rsidR="00A24820" w:rsidRPr="00C575A3">
        <w:rPr>
          <w:rFonts w:ascii="Palatino Linotype" w:hAnsi="Palatino Linotype"/>
        </w:rPr>
        <w:t>.</w:t>
      </w:r>
    </w:p>
    <w:p w14:paraId="269F908A" w14:textId="77777777" w:rsidR="00D2122B" w:rsidRPr="00C575A3" w:rsidRDefault="00D2122B"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 xml:space="preserve">Máxime que no pasa desapercibido que el Servidor Público Habilitado dio contestación a la Unidad de Transparencia del </w:t>
      </w:r>
      <w:r w:rsidRPr="00C575A3">
        <w:rPr>
          <w:rFonts w:ascii="Palatino Linotype" w:hAnsi="Palatino Linotype"/>
          <w:b/>
        </w:rPr>
        <w:t xml:space="preserve">SUJETO OBLIGADO </w:t>
      </w:r>
      <w:r w:rsidRPr="00C575A3">
        <w:rPr>
          <w:rFonts w:ascii="Palatino Linotype" w:hAnsi="Palatino Linotype"/>
        </w:rPr>
        <w:t xml:space="preserve">–Ayuntamiento del municipio de San Felipe del Progreso- el veinticinco de agosto de dos mil veintiuno, esto es, el último día que, conforme al plazo legal establecido, se tenía para dar contestación a </w:t>
      </w:r>
      <w:r w:rsidRPr="00C575A3">
        <w:rPr>
          <w:rFonts w:ascii="Palatino Linotype" w:hAnsi="Palatino Linotype"/>
          <w:b/>
        </w:rPr>
        <w:t>EL RECURRENTE</w:t>
      </w:r>
      <w:r w:rsidRPr="00C575A3">
        <w:rPr>
          <w:rFonts w:ascii="Palatino Linotype" w:hAnsi="Palatino Linotype"/>
        </w:rPr>
        <w:t xml:space="preserve">, respecto de su solicitud; no obstante, </w:t>
      </w:r>
      <w:r w:rsidR="00DB7988" w:rsidRPr="00C575A3">
        <w:rPr>
          <w:rFonts w:ascii="Palatino Linotype" w:hAnsi="Palatino Linotype"/>
        </w:rPr>
        <w:t>la Titular de la Unidad de Transparencia fue omisa en hacer del conocimiento del particular dicha respuesta</w:t>
      </w:r>
      <w:r w:rsidR="00AA6CFC" w:rsidRPr="00C575A3">
        <w:rPr>
          <w:rFonts w:ascii="Palatino Linotype" w:hAnsi="Palatino Linotype"/>
        </w:rPr>
        <w:t xml:space="preserve">. </w:t>
      </w:r>
    </w:p>
    <w:p w14:paraId="5278B2CE" w14:textId="77777777" w:rsidR="000532B3" w:rsidRPr="00C575A3" w:rsidRDefault="000532B3" w:rsidP="000532B3">
      <w:pPr>
        <w:spacing w:before="100" w:beforeAutospacing="1" w:after="100" w:afterAutospacing="1" w:line="360" w:lineRule="auto"/>
        <w:jc w:val="both"/>
        <w:rPr>
          <w:rFonts w:ascii="Palatino Linotype" w:eastAsia="Calibri" w:hAnsi="Palatino Linotype"/>
          <w:szCs w:val="22"/>
          <w:lang w:eastAsia="en-US"/>
        </w:rPr>
      </w:pPr>
      <w:r w:rsidRPr="00C575A3">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575A3">
        <w:rPr>
          <w:rFonts w:ascii="Palatino Linotype" w:eastAsia="Calibri" w:hAnsi="Palatino Linotype"/>
          <w:b/>
          <w:szCs w:val="22"/>
          <w:lang w:eastAsia="en-US"/>
        </w:rPr>
        <w:t>EL SUJETO OBLIGADO</w:t>
      </w:r>
      <w:r w:rsidRPr="00C575A3">
        <w:rPr>
          <w:rFonts w:ascii="Palatino Linotype" w:eastAsia="Calibri" w:hAnsi="Palatino Linotype"/>
          <w:szCs w:val="22"/>
          <w:lang w:eastAsia="en-US"/>
        </w:rPr>
        <w:t xml:space="preserve">; por lo </w:t>
      </w:r>
      <w:r w:rsidRPr="00C575A3">
        <w:rPr>
          <w:rFonts w:ascii="Palatino Linotype" w:eastAsia="Calibri" w:hAnsi="Palatino Linotype"/>
          <w:szCs w:val="22"/>
          <w:lang w:eastAsia="en-US"/>
        </w:rPr>
        <w:lastRenderedPageBreak/>
        <w:t>que, en caso de no atender de manera positiva</w:t>
      </w:r>
      <w:r w:rsidRPr="00C575A3">
        <w:rPr>
          <w:rFonts w:ascii="Palatino Linotype" w:eastAsia="Calibri" w:hAnsi="Palatino Linotype"/>
          <w:szCs w:val="22"/>
          <w:vertAlign w:val="superscript"/>
          <w:lang w:eastAsia="en-US"/>
        </w:rPr>
        <w:footnoteReference w:id="2"/>
      </w:r>
      <w:r w:rsidRPr="00C575A3">
        <w:rPr>
          <w:rFonts w:ascii="Palatino Linotype" w:eastAsia="Calibri" w:hAnsi="Palatino Linotype"/>
          <w:szCs w:val="22"/>
          <w:lang w:eastAsia="en-US"/>
        </w:rPr>
        <w:t>, el requerimiento de información deberá manifestarse al respecto.</w:t>
      </w:r>
    </w:p>
    <w:p w14:paraId="7B707D45"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C575A3">
        <w:rPr>
          <w:rFonts w:ascii="Palatino Linotype" w:eastAsia="Calibri" w:hAnsi="Palatino Linotype"/>
          <w:szCs w:val="22"/>
          <w:lang w:eastAsia="en-US"/>
        </w:rPr>
        <w:t>Resolutora</w:t>
      </w:r>
      <w:proofErr w:type="spellEnd"/>
      <w:r w:rsidRPr="00C575A3">
        <w:rPr>
          <w:rFonts w:ascii="Palatino Linotype" w:eastAsia="Calibri" w:hAnsi="Palatino Linotype"/>
          <w:szCs w:val="22"/>
          <w:lang w:eastAsia="en-US"/>
        </w:rPr>
        <w:t xml:space="preserve"> no omite señalar que, s</w:t>
      </w:r>
      <w:r w:rsidRPr="00C575A3">
        <w:rPr>
          <w:rFonts w:ascii="Palatino Linotype" w:hAnsi="Palatino Linotype" w:cs="Arial"/>
        </w:rPr>
        <w:t xml:space="preserve">i </w:t>
      </w:r>
      <w:r w:rsidRPr="00C575A3">
        <w:rPr>
          <w:rFonts w:ascii="Palatino Linotype" w:hAnsi="Palatino Linotype" w:cs="Arial"/>
          <w:b/>
        </w:rPr>
        <w:t>EL SUJETO OBLIGADO</w:t>
      </w:r>
      <w:r w:rsidRPr="00C575A3">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82CA9C" w14:textId="77777777" w:rsidR="000532B3" w:rsidRPr="00C575A3" w:rsidRDefault="000532B3" w:rsidP="000532B3">
      <w:pPr>
        <w:autoSpaceDE w:val="0"/>
        <w:autoSpaceDN w:val="0"/>
        <w:adjustRightInd w:val="0"/>
        <w:spacing w:before="100" w:beforeAutospacing="1" w:after="100" w:afterAutospacing="1" w:line="360" w:lineRule="auto"/>
        <w:ind w:right="51"/>
        <w:jc w:val="both"/>
        <w:rPr>
          <w:rFonts w:ascii="Palatino Linotype" w:hAnsi="Palatino Linotype" w:cs="Arial"/>
        </w:rPr>
      </w:pPr>
      <w:r w:rsidRPr="00C575A3">
        <w:rPr>
          <w:rFonts w:ascii="Palatino Linotype" w:hAnsi="Palatino Linotype" w:cs="Arial"/>
        </w:rPr>
        <w:t xml:space="preserve">En ese sentido, es de precisar que </w:t>
      </w:r>
      <w:r w:rsidRPr="00C575A3">
        <w:rPr>
          <w:rFonts w:ascii="Palatino Linotype" w:eastAsia="Calibri" w:hAnsi="Palatino Linotype" w:cs="Bookman Old Style,Bold"/>
          <w:bCs/>
          <w:lang w:eastAsia="en-US"/>
        </w:rPr>
        <w:t xml:space="preserve">la clasificación de la información no se da por el simple mandato de la Ley, sino que </w:t>
      </w:r>
      <w:r w:rsidRPr="00C575A3">
        <w:rPr>
          <w:rFonts w:ascii="Palatino Linotype" w:hAnsi="Palatino Linotype"/>
        </w:rPr>
        <w:t xml:space="preserve">es necesario que </w:t>
      </w:r>
      <w:r w:rsidRPr="00C575A3">
        <w:rPr>
          <w:rFonts w:ascii="Palatino Linotype" w:hAnsi="Palatino Linotype"/>
          <w:b/>
        </w:rPr>
        <w:t xml:space="preserve">EL SUJETO OBLIGADO </w:t>
      </w:r>
      <w:r w:rsidRPr="00C575A3">
        <w:rPr>
          <w:rFonts w:ascii="Palatino Linotype" w:hAnsi="Palatino Linotype"/>
        </w:rPr>
        <w:t xml:space="preserve">cuando clasifique algún documento o información, ya sea todo o en parte, debe atender lo dispuesto por </w:t>
      </w:r>
      <w:r w:rsidRPr="00C575A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575A3">
        <w:rPr>
          <w:rFonts w:ascii="Palatino Linotype" w:hAnsi="Palatino Linotype" w:cs="Arial"/>
          <w:b/>
        </w:rPr>
        <w:t>SUJETO OBLIGADO</w:t>
      </w:r>
      <w:r w:rsidRPr="00C575A3">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C575A3">
        <w:rPr>
          <w:rFonts w:ascii="Palatino Linotype" w:hAnsi="Palatino Linotype" w:cs="Arial"/>
        </w:rPr>
        <w:lastRenderedPageBreak/>
        <w:t>manera fundada y motivada, en atención al artículo 143 de la Constitución Política del Estado Libre y Soberano de México.</w:t>
      </w:r>
    </w:p>
    <w:p w14:paraId="25A396F8" w14:textId="77777777" w:rsidR="000532B3" w:rsidRPr="00C575A3" w:rsidRDefault="000532B3" w:rsidP="000532B3">
      <w:pPr>
        <w:autoSpaceDE w:val="0"/>
        <w:autoSpaceDN w:val="0"/>
        <w:adjustRightInd w:val="0"/>
        <w:spacing w:before="100" w:beforeAutospacing="1" w:after="100" w:afterAutospacing="1" w:line="360" w:lineRule="auto"/>
        <w:jc w:val="both"/>
        <w:rPr>
          <w:rFonts w:ascii="Palatino Linotype" w:hAnsi="Palatino Linotype" w:cs="Arial"/>
        </w:rPr>
      </w:pPr>
      <w:r w:rsidRPr="00C575A3">
        <w:rPr>
          <w:rFonts w:ascii="Palatino Linotype" w:hAnsi="Palatino Linotype" w:cs="Arial"/>
          <w:lang w:val="es-ES"/>
        </w:rPr>
        <w:t xml:space="preserve">Así las cosas, dentro de los datos personales que pudieran contenerse se destacan los datos personales sensibles, los cuales son aquellos </w:t>
      </w:r>
      <w:r w:rsidRPr="00C575A3">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FE368D6" w14:textId="77777777" w:rsidR="000532B3" w:rsidRPr="00C575A3" w:rsidRDefault="000532B3" w:rsidP="000532B3">
      <w:pPr>
        <w:autoSpaceDE w:val="0"/>
        <w:autoSpaceDN w:val="0"/>
        <w:adjustRightInd w:val="0"/>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2398AD3" w14:textId="77777777" w:rsidR="000532B3" w:rsidRPr="00C575A3" w:rsidRDefault="000532B3" w:rsidP="000532B3">
      <w:pPr>
        <w:autoSpaceDE w:val="0"/>
        <w:autoSpaceDN w:val="0"/>
        <w:adjustRightInd w:val="0"/>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Por otra parte, esta Ponencia </w:t>
      </w:r>
      <w:proofErr w:type="spellStart"/>
      <w:r w:rsidRPr="00C575A3">
        <w:rPr>
          <w:rFonts w:ascii="Palatino Linotype" w:hAnsi="Palatino Linotype" w:cs="Arial"/>
        </w:rPr>
        <w:t>Resolutora</w:t>
      </w:r>
      <w:proofErr w:type="spellEnd"/>
      <w:r w:rsidRPr="00C575A3">
        <w:rPr>
          <w:rFonts w:ascii="Palatino Linotype" w:hAnsi="Palatino Linotype" w:cs="Arial"/>
        </w:rPr>
        <w:t xml:space="preserve"> no omite mencionar que, si </w:t>
      </w:r>
      <w:r w:rsidRPr="00C575A3">
        <w:rPr>
          <w:rFonts w:ascii="Palatino Linotype" w:hAnsi="Palatino Linotype" w:cs="Arial"/>
          <w:b/>
        </w:rPr>
        <w:t>EL SUJETO OBLIGADO</w:t>
      </w:r>
      <w:r w:rsidRPr="00C575A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C575A3">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148F7328"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Lo anterior, sin perder de vista que la Constitución Política de los Estados Unidos Mexicanos le otorga a </w:t>
      </w:r>
      <w:r w:rsidRPr="00C575A3">
        <w:rPr>
          <w:rFonts w:ascii="Palatino Linotype" w:hAnsi="Palatino Linotype" w:cs="Arial"/>
          <w:b/>
        </w:rPr>
        <w:t>todos los documentos</w:t>
      </w:r>
      <w:r w:rsidRPr="00C575A3">
        <w:rPr>
          <w:rFonts w:ascii="Palatino Linotype" w:hAnsi="Palatino Linotype" w:cs="Arial"/>
        </w:rPr>
        <w:t xml:space="preserve"> en posesión de las autoridades </w:t>
      </w:r>
      <w:r w:rsidRPr="00C575A3">
        <w:rPr>
          <w:rFonts w:ascii="Palatino Linotype" w:hAnsi="Palatino Linotype" w:cs="Arial"/>
          <w:b/>
        </w:rPr>
        <w:t>la calidad de públicos</w:t>
      </w:r>
      <w:r w:rsidRPr="00C575A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E418957"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 xml:space="preserve">Siendo pertinente aclarar que, la información que se clasifica bajo la premisa de reservada, </w:t>
      </w:r>
      <w:r w:rsidRPr="00C575A3">
        <w:rPr>
          <w:rFonts w:ascii="Palatino Linotype" w:hAnsi="Palatino Linotype"/>
          <w:b/>
        </w:rPr>
        <w:t>no pierde el carácter de pública</w:t>
      </w:r>
      <w:r w:rsidRPr="00C575A3">
        <w:rPr>
          <w:rFonts w:ascii="Palatino Linotype" w:hAnsi="Palatino Linotype"/>
        </w:rPr>
        <w:t xml:space="preserve">, sino que </w:t>
      </w:r>
      <w:r w:rsidRPr="00C575A3">
        <w:rPr>
          <w:rFonts w:ascii="Palatino Linotype" w:hAnsi="Palatino Linotype"/>
          <w:b/>
        </w:rPr>
        <w:t>se reserva temporalmente</w:t>
      </w:r>
      <w:r w:rsidRPr="00C575A3">
        <w:rPr>
          <w:rFonts w:ascii="Palatino Linotype" w:hAnsi="Palatino Linotype"/>
        </w:rPr>
        <w:t xml:space="preserve"> </w:t>
      </w:r>
      <w:r w:rsidRPr="00C575A3">
        <w:rPr>
          <w:rFonts w:ascii="Palatino Linotype" w:hAnsi="Palatino Linotype"/>
          <w:b/>
        </w:rPr>
        <w:t>del conocimiento público</w:t>
      </w:r>
      <w:r w:rsidRPr="00C575A3">
        <w:rPr>
          <w:rFonts w:ascii="Palatino Linotype" w:hAnsi="Palatino Linotype"/>
        </w:rPr>
        <w:t xml:space="preserve">, es decir, que, </w:t>
      </w:r>
      <w:r w:rsidRPr="00C575A3">
        <w:rPr>
          <w:rFonts w:ascii="Palatino Linotype" w:hAnsi="Palatino Linotype"/>
          <w:b/>
        </w:rPr>
        <w:t>por un tiempo determinado</w:t>
      </w:r>
      <w:r w:rsidRPr="00C575A3">
        <w:rPr>
          <w:rFonts w:ascii="Palatino Linotype" w:hAnsi="Palatino Linotype"/>
        </w:rPr>
        <w:t>, se conservará y custodiará la información de manera especial, y una vez transcurrido el plazo de reserva, el documento podrá divulgarse.</w:t>
      </w:r>
    </w:p>
    <w:p w14:paraId="133EB735" w14:textId="77777777" w:rsidR="000532B3" w:rsidRPr="00C575A3" w:rsidRDefault="000532B3" w:rsidP="000532B3">
      <w:pPr>
        <w:spacing w:before="100" w:beforeAutospacing="1" w:after="100" w:afterAutospacing="1" w:line="360" w:lineRule="auto"/>
        <w:jc w:val="both"/>
        <w:rPr>
          <w:rFonts w:ascii="Palatino Linotype" w:eastAsia="Calibri" w:hAnsi="Palatino Linotype" w:cs="Arial"/>
          <w:bCs/>
        </w:rPr>
      </w:pPr>
      <w:r w:rsidRPr="00C575A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C575A3">
        <w:rPr>
          <w:rFonts w:ascii="Palatino Linotype" w:eastAsia="Calibri" w:hAnsi="Palatino Linotype" w:cs="Arial"/>
        </w:rPr>
        <w:lastRenderedPageBreak/>
        <w:t>Libro 5, de fecha abril de 2014, pág. 1523, Registro, 2,006,299. I.1o.A.E.3 K (10a.)</w:t>
      </w:r>
      <w:r w:rsidRPr="00C575A3">
        <w:rPr>
          <w:rFonts w:ascii="Palatino Linotype" w:eastAsia="Arial Unicode MS" w:hAnsi="Palatino Linotype" w:cs="Arial"/>
        </w:rPr>
        <w:t>,</w:t>
      </w:r>
      <w:r w:rsidRPr="00C575A3">
        <w:rPr>
          <w:rFonts w:ascii="Palatino Linotype" w:eastAsia="Calibri" w:hAnsi="Palatino Linotype" w:cs="Arial"/>
          <w:bCs/>
        </w:rPr>
        <w:t xml:space="preserve"> que literalmente señala:</w:t>
      </w:r>
    </w:p>
    <w:p w14:paraId="6807359B" w14:textId="77777777" w:rsidR="000532B3" w:rsidRPr="00C575A3" w:rsidRDefault="000532B3" w:rsidP="000532B3">
      <w:pPr>
        <w:ind w:left="851" w:right="902"/>
        <w:jc w:val="both"/>
        <w:rPr>
          <w:rFonts w:ascii="Palatino Linotype" w:eastAsia="Calibri" w:hAnsi="Palatino Linotype"/>
          <w:i/>
          <w:sz w:val="22"/>
          <w:szCs w:val="22"/>
        </w:rPr>
      </w:pPr>
      <w:r w:rsidRPr="00C575A3">
        <w:rPr>
          <w:rFonts w:ascii="Palatino Linotype" w:eastAsia="Calibri" w:hAnsi="Palatino Linotype"/>
          <w:i/>
          <w:sz w:val="22"/>
          <w:szCs w:val="22"/>
        </w:rPr>
        <w:t>“</w:t>
      </w:r>
      <w:r w:rsidRPr="00C575A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575A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575A3">
        <w:rPr>
          <w:rFonts w:ascii="Palatino Linotype" w:eastAsia="Calibri" w:hAnsi="Palatino Linotype"/>
          <w:i/>
          <w:sz w:val="22"/>
          <w:szCs w:val="22"/>
        </w:rPr>
        <w:t>officio</w:t>
      </w:r>
      <w:proofErr w:type="spellEnd"/>
      <w:r w:rsidRPr="00C575A3">
        <w:rPr>
          <w:rFonts w:ascii="Palatino Linotype" w:eastAsia="Calibri" w:hAnsi="Palatino Linotype"/>
          <w:i/>
          <w:sz w:val="22"/>
          <w:szCs w:val="22"/>
        </w:rPr>
        <w:t>, con el propósito de obtener una versión que sea pública para la parte interesada.” (</w:t>
      </w:r>
      <w:proofErr w:type="gramStart"/>
      <w:r w:rsidRPr="00C575A3">
        <w:rPr>
          <w:rFonts w:ascii="Palatino Linotype" w:eastAsia="Calibri" w:hAnsi="Palatino Linotype"/>
          <w:i/>
          <w:sz w:val="22"/>
          <w:szCs w:val="22"/>
        </w:rPr>
        <w:t>sic</w:t>
      </w:r>
      <w:proofErr w:type="gramEnd"/>
      <w:r w:rsidRPr="00C575A3">
        <w:rPr>
          <w:rFonts w:ascii="Palatino Linotype" w:eastAsia="Calibri" w:hAnsi="Palatino Linotype"/>
          <w:i/>
          <w:sz w:val="22"/>
          <w:szCs w:val="22"/>
        </w:rPr>
        <w:t>)</w:t>
      </w:r>
    </w:p>
    <w:p w14:paraId="77A074D7" w14:textId="77777777" w:rsidR="000532B3" w:rsidRPr="00C575A3" w:rsidRDefault="000532B3" w:rsidP="000532B3">
      <w:pPr>
        <w:spacing w:before="100" w:beforeAutospacing="1" w:after="100" w:afterAutospacing="1" w:line="360" w:lineRule="auto"/>
        <w:jc w:val="both"/>
        <w:rPr>
          <w:rFonts w:ascii="Palatino Linotype" w:hAnsi="Palatino Linotype"/>
          <w:bCs/>
        </w:rPr>
      </w:pPr>
      <w:r w:rsidRPr="00C575A3">
        <w:rPr>
          <w:rFonts w:ascii="Palatino Linotype" w:hAnsi="Palatino Linotype"/>
          <w:bCs/>
        </w:rPr>
        <w:t xml:space="preserve">Por todo lo anterior, la reserva de la información implica una clasificación, la cual debe entenderse como el proceso mediante el cual </w:t>
      </w:r>
      <w:r w:rsidRPr="00C575A3">
        <w:rPr>
          <w:rFonts w:ascii="Palatino Linotype" w:hAnsi="Palatino Linotype"/>
          <w:b/>
          <w:bCs/>
        </w:rPr>
        <w:t>EL SUJETO OBLIGADO</w:t>
      </w:r>
      <w:r w:rsidRPr="00C575A3">
        <w:rPr>
          <w:rFonts w:ascii="Palatino Linotype" w:hAnsi="Palatino Linotype"/>
          <w:bCs/>
        </w:rPr>
        <w:t xml:space="preserve"> determina que</w:t>
      </w:r>
      <w:r w:rsidR="00A24820" w:rsidRPr="00C575A3">
        <w:rPr>
          <w:rFonts w:ascii="Palatino Linotype" w:hAnsi="Palatino Linotype"/>
          <w:bCs/>
        </w:rPr>
        <w:t>,</w:t>
      </w:r>
      <w:r w:rsidRPr="00C575A3">
        <w:rPr>
          <w:rFonts w:ascii="Palatino Linotype" w:hAnsi="Palatino Linotype"/>
          <w:bCs/>
        </w:rPr>
        <w:t xml:space="preserve"> la in</w:t>
      </w:r>
      <w:r w:rsidR="00A24820" w:rsidRPr="00C575A3">
        <w:rPr>
          <w:rFonts w:ascii="Palatino Linotype" w:hAnsi="Palatino Linotype"/>
          <w:bCs/>
        </w:rPr>
        <w:t>formación en su poder puede actualizar</w:t>
      </w:r>
      <w:r w:rsidRPr="00C575A3">
        <w:rPr>
          <w:rFonts w:ascii="Palatino Linotype" w:hAnsi="Palatino Linotype"/>
          <w:bCs/>
        </w:rPr>
        <w:t xml:space="preserve"> alguno de los supuestos conforme a las normas aplicables.</w:t>
      </w:r>
    </w:p>
    <w:p w14:paraId="61AF4DC5"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 xml:space="preserve">En tal virtud, conforme al artículo 49, fracción VIII de la </w:t>
      </w:r>
      <w:r w:rsidRPr="00C575A3">
        <w:rPr>
          <w:rFonts w:ascii="Palatino Linotype" w:hAnsi="Palatino Linotype" w:cs="Arial"/>
        </w:rPr>
        <w:t>Ley de Transparencia y Acceso a la Información Pública del Estado de México y Municipios</w:t>
      </w:r>
      <w:r w:rsidRPr="00C575A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C575A3">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575A3">
        <w:rPr>
          <w:rFonts w:ascii="Palatino Linotype" w:hAnsi="Palatino Linotype"/>
          <w:b/>
        </w:rPr>
        <w:t>SUJETO OBLIGADO</w:t>
      </w:r>
      <w:r w:rsidRPr="00C575A3">
        <w:rPr>
          <w:rFonts w:ascii="Palatino Linotype" w:hAnsi="Palatino Linotype"/>
        </w:rPr>
        <w:t xml:space="preserve"> a concluir que el caso </w:t>
      </w:r>
      <w:r w:rsidR="00242377" w:rsidRPr="00C575A3">
        <w:rPr>
          <w:rFonts w:ascii="Palatino Linotype" w:hAnsi="Palatino Linotype"/>
        </w:rPr>
        <w:t xml:space="preserve">en </w:t>
      </w:r>
      <w:r w:rsidRPr="00C575A3">
        <w:rPr>
          <w:rFonts w:ascii="Palatino Linotype" w:hAnsi="Palatino Linotype"/>
        </w:rPr>
        <w:t xml:space="preserve">particular se ajusta al supuesto previsto por la norma legal invocada como fundamento; siendo que, además, </w:t>
      </w:r>
      <w:r w:rsidRPr="00C575A3">
        <w:rPr>
          <w:rFonts w:ascii="Palatino Linotype" w:hAnsi="Palatino Linotype"/>
          <w:b/>
        </w:rPr>
        <w:t>EL SUJETO OBLIGADO</w:t>
      </w:r>
      <w:r w:rsidRPr="00C575A3">
        <w:rPr>
          <w:rFonts w:ascii="Palatino Linotype" w:hAnsi="Palatino Linotype"/>
        </w:rPr>
        <w:t xml:space="preserve"> debe, en todo momento, aplicar una prueba de daño.</w:t>
      </w:r>
    </w:p>
    <w:p w14:paraId="1D476D8A"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841FAFB"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64663B2" w14:textId="77777777" w:rsidR="000532B3" w:rsidRPr="00C575A3" w:rsidRDefault="000532B3" w:rsidP="000532B3">
      <w:pPr>
        <w:numPr>
          <w:ilvl w:val="0"/>
          <w:numId w:val="1"/>
        </w:numPr>
        <w:spacing w:line="360" w:lineRule="auto"/>
        <w:ind w:left="1276" w:hanging="425"/>
        <w:jc w:val="both"/>
        <w:rPr>
          <w:rFonts w:ascii="Palatino Linotype" w:hAnsi="Palatino Linotype"/>
        </w:rPr>
      </w:pPr>
      <w:r w:rsidRPr="00C575A3">
        <w:rPr>
          <w:rFonts w:ascii="Palatino Linotype" w:hAnsi="Palatino Linotype"/>
        </w:rPr>
        <w:t>Se reciba una solicitud de acceso a la información;</w:t>
      </w:r>
    </w:p>
    <w:p w14:paraId="056B8ED1" w14:textId="77777777" w:rsidR="000532B3" w:rsidRPr="00C575A3" w:rsidRDefault="000532B3" w:rsidP="000532B3">
      <w:pPr>
        <w:numPr>
          <w:ilvl w:val="0"/>
          <w:numId w:val="1"/>
        </w:numPr>
        <w:spacing w:line="360" w:lineRule="auto"/>
        <w:ind w:left="1276" w:hanging="425"/>
        <w:jc w:val="both"/>
        <w:rPr>
          <w:rFonts w:ascii="Palatino Linotype" w:hAnsi="Palatino Linotype"/>
        </w:rPr>
      </w:pPr>
      <w:r w:rsidRPr="00C575A3">
        <w:rPr>
          <w:rFonts w:ascii="Palatino Linotype" w:hAnsi="Palatino Linotype"/>
        </w:rPr>
        <w:t>Se determine mediante resolución de autoridad competente; y/o</w:t>
      </w:r>
    </w:p>
    <w:p w14:paraId="0A5291D0" w14:textId="77777777" w:rsidR="000532B3" w:rsidRPr="00C575A3" w:rsidRDefault="000532B3" w:rsidP="000532B3">
      <w:pPr>
        <w:numPr>
          <w:ilvl w:val="0"/>
          <w:numId w:val="1"/>
        </w:numPr>
        <w:spacing w:line="360" w:lineRule="auto"/>
        <w:ind w:left="1276" w:hanging="425"/>
        <w:jc w:val="both"/>
        <w:rPr>
          <w:rFonts w:ascii="Palatino Linotype" w:hAnsi="Palatino Linotype"/>
        </w:rPr>
      </w:pPr>
      <w:r w:rsidRPr="00C575A3">
        <w:rPr>
          <w:rFonts w:ascii="Palatino Linotype" w:hAnsi="Palatino Linotype"/>
        </w:rPr>
        <w:t>Se generen versiones públicas para dar cumplimiento a las obligaciones de transparencia previstas en la Ley.</w:t>
      </w:r>
    </w:p>
    <w:p w14:paraId="1CB0A0A5"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3F0FA9BE" w14:textId="77777777" w:rsidR="000532B3" w:rsidRPr="00C575A3" w:rsidRDefault="000532B3" w:rsidP="000532B3">
      <w:pPr>
        <w:spacing w:before="100" w:beforeAutospacing="1" w:after="100" w:afterAutospacing="1" w:line="360" w:lineRule="auto"/>
        <w:jc w:val="both"/>
        <w:rPr>
          <w:rFonts w:ascii="Palatino Linotype" w:hAnsi="Palatino Linotype"/>
        </w:rPr>
      </w:pPr>
      <w:r w:rsidRPr="00C575A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6EFA2A8" w14:textId="77777777" w:rsidR="000532B3" w:rsidRPr="00C575A3" w:rsidRDefault="000532B3" w:rsidP="000532B3">
      <w:pPr>
        <w:numPr>
          <w:ilvl w:val="0"/>
          <w:numId w:val="2"/>
        </w:numPr>
        <w:spacing w:line="360" w:lineRule="auto"/>
        <w:ind w:left="1134" w:hanging="283"/>
        <w:jc w:val="both"/>
        <w:rPr>
          <w:rFonts w:ascii="Palatino Linotype" w:hAnsi="Palatino Linotype"/>
        </w:rPr>
      </w:pPr>
      <w:r w:rsidRPr="00C575A3">
        <w:rPr>
          <w:rFonts w:ascii="Palatino Linotype" w:hAnsi="Palatino Linotype"/>
        </w:rPr>
        <w:t xml:space="preserve">La divulgación de la información representa un </w:t>
      </w:r>
      <w:r w:rsidRPr="00C575A3">
        <w:rPr>
          <w:rFonts w:ascii="Palatino Linotype" w:hAnsi="Palatino Linotype"/>
          <w:b/>
        </w:rPr>
        <w:t>riesgo real, demostrable e identificable del perjuicio significativo al interés público o a la seguridad pública</w:t>
      </w:r>
      <w:r w:rsidRPr="00C575A3">
        <w:rPr>
          <w:rFonts w:ascii="Palatino Linotype" w:hAnsi="Palatino Linotype"/>
        </w:rPr>
        <w:t>;</w:t>
      </w:r>
    </w:p>
    <w:p w14:paraId="423FEF8E" w14:textId="77777777" w:rsidR="000532B3" w:rsidRPr="00C575A3" w:rsidRDefault="000532B3" w:rsidP="000532B3">
      <w:pPr>
        <w:numPr>
          <w:ilvl w:val="0"/>
          <w:numId w:val="2"/>
        </w:numPr>
        <w:spacing w:line="360" w:lineRule="auto"/>
        <w:ind w:left="1134" w:hanging="283"/>
        <w:jc w:val="both"/>
        <w:rPr>
          <w:rFonts w:ascii="Palatino Linotype" w:hAnsi="Palatino Linotype"/>
        </w:rPr>
      </w:pPr>
      <w:r w:rsidRPr="00C575A3">
        <w:rPr>
          <w:rFonts w:ascii="Palatino Linotype" w:hAnsi="Palatino Linotype"/>
        </w:rPr>
        <w:t>El riesgo de perjuicio que supondría la divulgación supera el interés público general de que se difunda; y,</w:t>
      </w:r>
    </w:p>
    <w:p w14:paraId="29D60356" w14:textId="77777777" w:rsidR="000532B3" w:rsidRPr="00C575A3" w:rsidRDefault="000532B3" w:rsidP="000532B3">
      <w:pPr>
        <w:numPr>
          <w:ilvl w:val="0"/>
          <w:numId w:val="2"/>
        </w:numPr>
        <w:spacing w:line="360" w:lineRule="auto"/>
        <w:ind w:left="1134" w:hanging="283"/>
        <w:jc w:val="both"/>
        <w:rPr>
          <w:rFonts w:ascii="Palatino Linotype" w:hAnsi="Palatino Linotype"/>
        </w:rPr>
      </w:pPr>
      <w:r w:rsidRPr="00C575A3">
        <w:rPr>
          <w:rFonts w:ascii="Palatino Linotype" w:hAnsi="Palatino Linotype"/>
        </w:rPr>
        <w:t xml:space="preserve">La limitación se adecua al principio de proporcionalidad y representa el medio menos restrictivo disponible para evitar el perjuicio. </w:t>
      </w:r>
    </w:p>
    <w:p w14:paraId="124AD189" w14:textId="77777777" w:rsidR="000532B3" w:rsidRPr="00C575A3" w:rsidRDefault="000532B3" w:rsidP="000532B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C575A3">
        <w:rPr>
          <w:rFonts w:ascii="Palatino Linotype" w:hAnsi="Palatino Linotype"/>
          <w:bCs/>
        </w:rPr>
        <w:t xml:space="preserve">Atento a lo anterior, </w:t>
      </w:r>
      <w:r w:rsidRPr="00C575A3">
        <w:rPr>
          <w:rFonts w:ascii="Palatino Linotype" w:hAnsi="Palatino Linotype" w:cs="Arial"/>
          <w:lang w:eastAsia="es-MX"/>
        </w:rPr>
        <w:t xml:space="preserve">es necesario hacer hincapié que para el caso de que existan </w:t>
      </w:r>
      <w:r w:rsidRPr="00C575A3">
        <w:rPr>
          <w:rFonts w:ascii="Palatino Linotype" w:hAnsi="Palatino Linotype"/>
        </w:rPr>
        <w:t xml:space="preserve">causas presentes que impiden la publicidad de la información durante cierto periodo de tiempo, </w:t>
      </w:r>
      <w:r w:rsidRPr="00C575A3">
        <w:rPr>
          <w:rFonts w:ascii="Palatino Linotype" w:hAnsi="Palatino Linotype" w:cs="Arial"/>
          <w:lang w:eastAsia="es-MX"/>
        </w:rPr>
        <w:t xml:space="preserve">debe clasificar la información </w:t>
      </w:r>
      <w:r w:rsidRPr="00C575A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B553FB2"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C575A3">
        <w:rPr>
          <w:rFonts w:ascii="Palatino Linotype" w:hAnsi="Palatino Linotype" w:cs="Arial"/>
          <w:b/>
        </w:rPr>
        <w:t xml:space="preserve">EL SUJETO OBLIGADO </w:t>
      </w:r>
      <w:r w:rsidRPr="00C575A3">
        <w:rPr>
          <w:rFonts w:ascii="Palatino Linotype" w:hAnsi="Palatino Linotype" w:cs="Arial"/>
        </w:rPr>
        <w:t xml:space="preserve">advierte documentos que por su propia y especial naturaleza son privados, deberá </w:t>
      </w:r>
      <w:r w:rsidR="00242377" w:rsidRPr="00C575A3">
        <w:rPr>
          <w:rFonts w:ascii="Palatino Linotype" w:hAnsi="Palatino Linotype" w:cs="Arial"/>
        </w:rPr>
        <w:t>generar</w:t>
      </w:r>
      <w:r w:rsidRPr="00C575A3">
        <w:rPr>
          <w:rFonts w:ascii="Palatino Linotype" w:hAnsi="Palatino Linotype" w:cs="Arial"/>
        </w:rPr>
        <w:t xml:space="preserve"> el Acuerdo de Clasificación como confidencial, en términos de la legislación aplicable y en los términos abordados con antelación.</w:t>
      </w:r>
    </w:p>
    <w:p w14:paraId="70798214"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Por lo tanto,</w:t>
      </w:r>
      <w:r w:rsidRPr="00C575A3">
        <w:rPr>
          <w:rFonts w:ascii="Palatino Linotype" w:hAnsi="Palatino Linotype"/>
        </w:rPr>
        <w:t xml:space="preserve"> es importante referir que </w:t>
      </w:r>
      <w:r w:rsidRPr="00C575A3">
        <w:rPr>
          <w:rFonts w:ascii="Palatino Linotype" w:hAnsi="Palatino Linotype"/>
          <w:b/>
        </w:rPr>
        <w:t>EL SUJETO OBLIGADO</w:t>
      </w:r>
      <w:r w:rsidRPr="00C575A3">
        <w:rPr>
          <w:rFonts w:ascii="Palatino Linotype" w:hAnsi="Palatino Linotype"/>
        </w:rPr>
        <w:t xml:space="preserve"> deberá seguir el procedimiento legal establecido para su </w:t>
      </w:r>
      <w:r w:rsidRPr="00C575A3">
        <w:rPr>
          <w:rFonts w:ascii="Palatino Linotype" w:hAnsi="Palatino Linotype"/>
          <w:lang w:eastAsia="es-MX"/>
        </w:rPr>
        <w:t>clasificación</w:t>
      </w:r>
      <w:r w:rsidRPr="00C575A3">
        <w:rPr>
          <w:rFonts w:ascii="Palatino Linotype" w:hAnsi="Palatino Linotype"/>
        </w:rPr>
        <w:t>, esto es, que su Comité de</w:t>
      </w:r>
      <w:r w:rsidRPr="00C575A3">
        <w:rPr>
          <w:rFonts w:ascii="Palatino Linotype" w:hAnsi="Palatino Linotype" w:cs="Arial"/>
        </w:rPr>
        <w:t xml:space="preserve"> Transparencia emita un Acuerdo de Clasificación que cumpla con las formalidades antes citadas</w:t>
      </w:r>
      <w:r w:rsidRPr="00C575A3">
        <w:rPr>
          <w:rFonts w:ascii="Palatino Linotype" w:hAnsi="Palatino Linotype" w:cs="Arial"/>
          <w:b/>
        </w:rPr>
        <w:t xml:space="preserve"> </w:t>
      </w:r>
      <w:r w:rsidRPr="00C575A3">
        <w:rPr>
          <w:rFonts w:ascii="Palatino Linotype" w:hAnsi="Palatino Linotype" w:cs="Arial"/>
        </w:rPr>
        <w:t xml:space="preserve">que la sustente, en el </w:t>
      </w:r>
      <w:r w:rsidRPr="00C575A3">
        <w:rPr>
          <w:rFonts w:ascii="Palatino Linotype" w:hAnsi="Palatino Linotype" w:cs="Arial"/>
          <w:lang w:eastAsia="es-MX"/>
        </w:rPr>
        <w:t>que</w:t>
      </w:r>
      <w:r w:rsidRPr="00C575A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80211F" w14:textId="77777777" w:rsidR="000532B3" w:rsidRPr="00C575A3" w:rsidRDefault="000532B3" w:rsidP="000532B3">
      <w:pPr>
        <w:spacing w:before="100" w:beforeAutospacing="1" w:after="100" w:afterAutospacing="1" w:line="360" w:lineRule="auto"/>
        <w:jc w:val="both"/>
        <w:rPr>
          <w:rFonts w:ascii="Palatino Linotype" w:eastAsia="Calibri" w:hAnsi="Palatino Linotype" w:cs="Bookman Old Style"/>
          <w:lang w:eastAsia="en-US"/>
        </w:rPr>
      </w:pPr>
      <w:r w:rsidRPr="00C575A3">
        <w:rPr>
          <w:rFonts w:ascii="Palatino Linotype" w:hAnsi="Palatino Linotype" w:cs="Arial"/>
        </w:rPr>
        <w:t xml:space="preserve">Por otra parte, esta Ponencia </w:t>
      </w:r>
      <w:proofErr w:type="spellStart"/>
      <w:r w:rsidRPr="00C575A3">
        <w:rPr>
          <w:rFonts w:ascii="Palatino Linotype" w:hAnsi="Palatino Linotype" w:cs="Arial"/>
        </w:rPr>
        <w:t>Resolutora</w:t>
      </w:r>
      <w:proofErr w:type="spellEnd"/>
      <w:r w:rsidRPr="00C575A3">
        <w:rPr>
          <w:rFonts w:ascii="Palatino Linotype" w:hAnsi="Palatino Linotype" w:cs="Arial"/>
        </w:rPr>
        <w:t xml:space="preserve"> estima prudente señalar al </w:t>
      </w:r>
      <w:r w:rsidRPr="00C575A3">
        <w:rPr>
          <w:rFonts w:ascii="Palatino Linotype" w:hAnsi="Palatino Linotype" w:cs="Arial"/>
          <w:b/>
        </w:rPr>
        <w:t>SUJETO OBLIGADO</w:t>
      </w:r>
      <w:r w:rsidRPr="00C575A3">
        <w:rPr>
          <w:rFonts w:ascii="Palatino Linotype" w:hAnsi="Palatino Linotype" w:cs="Arial"/>
        </w:rPr>
        <w:t xml:space="preserve"> que, en caso de que la información solicitada, debiera obrar en sus archivos y no cuente con ella</w:t>
      </w:r>
      <w:r w:rsidRPr="00C575A3">
        <w:rPr>
          <w:rFonts w:ascii="Palatino Linotype" w:hAnsi="Palatino Linotype" w:cs="Arial"/>
          <w:lang w:val="es-ES"/>
        </w:rPr>
        <w:t xml:space="preserve">, </w:t>
      </w:r>
      <w:r w:rsidRPr="00C575A3">
        <w:rPr>
          <w:rFonts w:ascii="Palatino Linotype" w:eastAsia="Calibri" w:hAnsi="Palatino Linotype" w:cs="Bookman Old Style"/>
          <w:lang w:eastAsia="en-US"/>
        </w:rPr>
        <w:t>deberá entregar el Acuerdo del Comité de Transparencia, en donde conste la declaratoria de inexistencia de la misma.</w:t>
      </w:r>
    </w:p>
    <w:p w14:paraId="4E834C72"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C575A3">
        <w:rPr>
          <w:rFonts w:ascii="Palatino Linotype" w:hAnsi="Palatino Linotype" w:cs="Arial"/>
        </w:rPr>
        <w:lastRenderedPageBreak/>
        <w:t>competencias o funciones y que se presume que la información debe existir si se refiere a dichas facultades, competencias y/o funciones.</w:t>
      </w:r>
    </w:p>
    <w:p w14:paraId="1E18955F"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027284B"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Resulta aplicable el criterio reiterado número 08/19, emitidos por Acuerdo del Pleno del Instituto de Transparencia y Acceso a la Información Pública del Estado de México y Municipios, que a la letra dice:</w:t>
      </w:r>
    </w:p>
    <w:p w14:paraId="6941835C" w14:textId="77777777" w:rsidR="000532B3" w:rsidRPr="00C575A3" w:rsidRDefault="000532B3" w:rsidP="000532B3">
      <w:pPr>
        <w:ind w:left="851" w:right="899"/>
        <w:jc w:val="both"/>
        <w:rPr>
          <w:rFonts w:ascii="Palatino Linotype" w:hAnsi="Palatino Linotype" w:cs="Arial"/>
          <w:i/>
          <w:sz w:val="22"/>
          <w:szCs w:val="22"/>
        </w:rPr>
      </w:pPr>
      <w:r w:rsidRPr="00C575A3">
        <w:rPr>
          <w:rFonts w:ascii="Palatino Linotype" w:hAnsi="Palatino Linotype" w:cs="Arial"/>
          <w:b/>
          <w:i/>
          <w:sz w:val="22"/>
          <w:szCs w:val="22"/>
        </w:rPr>
        <w:t>“INEXISTENCIA DE LA INFORMACIÓN. SUPUESTOS PARA EMITIR LA RESOLUCIÓN DE LA.</w:t>
      </w:r>
      <w:r w:rsidRPr="00C575A3">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C575A3">
        <w:rPr>
          <w:rFonts w:ascii="Palatino Linotype" w:hAnsi="Palatino Linotype" w:cs="Arial"/>
          <w:i/>
          <w:sz w:val="22"/>
          <w:szCs w:val="22"/>
        </w:rPr>
        <w:lastRenderedPageBreak/>
        <w:t>de que se realizó un criterio de búsqueda exhaustivo y razonable con la debida justificación de la falta de información y en su caso, las consecuencias de ello.</w:t>
      </w:r>
    </w:p>
    <w:p w14:paraId="11595085" w14:textId="77777777" w:rsidR="000532B3" w:rsidRPr="00C575A3" w:rsidRDefault="000532B3" w:rsidP="000532B3">
      <w:pPr>
        <w:ind w:left="851" w:right="899"/>
        <w:jc w:val="both"/>
        <w:rPr>
          <w:rFonts w:ascii="Palatino Linotype" w:hAnsi="Palatino Linotype" w:cs="Arial"/>
          <w:i/>
          <w:sz w:val="22"/>
          <w:szCs w:val="22"/>
        </w:rPr>
      </w:pPr>
    </w:p>
    <w:p w14:paraId="2A72A79B" w14:textId="77777777" w:rsidR="000532B3" w:rsidRPr="00C575A3" w:rsidRDefault="000532B3" w:rsidP="000532B3">
      <w:pPr>
        <w:ind w:left="851" w:right="899"/>
        <w:jc w:val="both"/>
        <w:rPr>
          <w:rFonts w:ascii="Palatino Linotype" w:hAnsi="Palatino Linotype" w:cs="Arial"/>
          <w:i/>
          <w:sz w:val="22"/>
          <w:szCs w:val="22"/>
        </w:rPr>
      </w:pPr>
      <w:r w:rsidRPr="00C575A3">
        <w:rPr>
          <w:rFonts w:ascii="Palatino Linotype" w:hAnsi="Palatino Linotype" w:cs="Arial"/>
          <w:i/>
          <w:sz w:val="22"/>
          <w:szCs w:val="22"/>
        </w:rPr>
        <w:t xml:space="preserve">Precedentes: </w:t>
      </w:r>
    </w:p>
    <w:p w14:paraId="0B949C03" w14:textId="77777777" w:rsidR="000532B3" w:rsidRPr="00C575A3" w:rsidRDefault="000532B3" w:rsidP="000532B3">
      <w:pPr>
        <w:ind w:left="851" w:right="899"/>
        <w:jc w:val="both"/>
        <w:rPr>
          <w:rFonts w:ascii="Palatino Linotype" w:hAnsi="Palatino Linotype" w:cs="Arial"/>
          <w:i/>
          <w:sz w:val="22"/>
          <w:szCs w:val="22"/>
        </w:rPr>
      </w:pPr>
      <w:r w:rsidRPr="00C575A3">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w:t>
      </w:r>
      <w:proofErr w:type="spellStart"/>
      <w:r w:rsidRPr="00C575A3">
        <w:rPr>
          <w:rFonts w:ascii="Palatino Linotype" w:hAnsi="Palatino Linotype" w:cs="Arial"/>
          <w:i/>
          <w:sz w:val="22"/>
          <w:szCs w:val="22"/>
        </w:rPr>
        <w:t>Abaid</w:t>
      </w:r>
      <w:proofErr w:type="spellEnd"/>
      <w:r w:rsidRPr="00C575A3">
        <w:rPr>
          <w:rFonts w:ascii="Palatino Linotype" w:hAnsi="Palatino Linotype" w:cs="Arial"/>
          <w:i/>
          <w:sz w:val="22"/>
          <w:szCs w:val="22"/>
        </w:rPr>
        <w:t xml:space="preserve"> </w:t>
      </w:r>
      <w:proofErr w:type="spellStart"/>
      <w:r w:rsidRPr="00C575A3">
        <w:rPr>
          <w:rFonts w:ascii="Palatino Linotype" w:hAnsi="Palatino Linotype" w:cs="Arial"/>
          <w:i/>
          <w:sz w:val="22"/>
          <w:szCs w:val="22"/>
        </w:rPr>
        <w:t>Yapur</w:t>
      </w:r>
      <w:proofErr w:type="spellEnd"/>
      <w:r w:rsidRPr="00C575A3">
        <w:rPr>
          <w:rFonts w:ascii="Palatino Linotype" w:hAnsi="Palatino Linotype" w:cs="Arial"/>
          <w:i/>
          <w:sz w:val="22"/>
          <w:szCs w:val="22"/>
        </w:rPr>
        <w:t xml:space="preserve">. Instituto de Salud del Estado de México. Comisionado Ponente Luis Gustavo Parra Noriega. </w:t>
      </w:r>
    </w:p>
    <w:p w14:paraId="5F31C321" w14:textId="77777777" w:rsidR="000532B3" w:rsidRPr="00C575A3" w:rsidRDefault="000532B3" w:rsidP="000532B3">
      <w:pPr>
        <w:ind w:left="851" w:right="899"/>
        <w:jc w:val="both"/>
        <w:rPr>
          <w:rFonts w:ascii="Palatino Linotype" w:hAnsi="Palatino Linotype" w:cs="Arial"/>
          <w:i/>
          <w:sz w:val="22"/>
          <w:szCs w:val="22"/>
        </w:rPr>
      </w:pPr>
      <w:r w:rsidRPr="00C575A3">
        <w:rPr>
          <w:rFonts w:ascii="Palatino Linotype" w:hAnsi="Palatino Linotype" w:cs="Arial"/>
          <w:i/>
          <w:sz w:val="22"/>
          <w:szCs w:val="22"/>
        </w:rPr>
        <w:t xml:space="preserve">En materia de acceso a la información pública. 05732/INFOEM/IP/RR/2019. Aprobado por unanimidad de votos. Ayuntamiento de Chicoloapan. Comisionada Ponente Eva </w:t>
      </w:r>
      <w:proofErr w:type="spellStart"/>
      <w:r w:rsidRPr="00C575A3">
        <w:rPr>
          <w:rFonts w:ascii="Palatino Linotype" w:hAnsi="Palatino Linotype" w:cs="Arial"/>
          <w:i/>
          <w:sz w:val="22"/>
          <w:szCs w:val="22"/>
        </w:rPr>
        <w:t>Abaid</w:t>
      </w:r>
      <w:proofErr w:type="spellEnd"/>
      <w:r w:rsidRPr="00C575A3">
        <w:rPr>
          <w:rFonts w:ascii="Palatino Linotype" w:hAnsi="Palatino Linotype" w:cs="Arial"/>
          <w:i/>
          <w:sz w:val="22"/>
          <w:szCs w:val="22"/>
        </w:rPr>
        <w:t xml:space="preserve"> </w:t>
      </w:r>
      <w:proofErr w:type="spellStart"/>
      <w:r w:rsidRPr="00C575A3">
        <w:rPr>
          <w:rFonts w:ascii="Palatino Linotype" w:hAnsi="Palatino Linotype" w:cs="Arial"/>
          <w:i/>
          <w:sz w:val="22"/>
          <w:szCs w:val="22"/>
        </w:rPr>
        <w:t>Yapur</w:t>
      </w:r>
      <w:proofErr w:type="spellEnd"/>
      <w:r w:rsidRPr="00C575A3">
        <w:rPr>
          <w:rFonts w:ascii="Palatino Linotype" w:hAnsi="Palatino Linotype" w:cs="Arial"/>
          <w:i/>
          <w:sz w:val="22"/>
          <w:szCs w:val="22"/>
        </w:rPr>
        <w:t xml:space="preserve">. </w:t>
      </w:r>
    </w:p>
    <w:p w14:paraId="1317B0FE" w14:textId="77777777" w:rsidR="000532B3" w:rsidRPr="00C575A3" w:rsidRDefault="000532B3" w:rsidP="000532B3">
      <w:pPr>
        <w:ind w:left="851" w:right="899"/>
        <w:jc w:val="both"/>
        <w:rPr>
          <w:rFonts w:ascii="Palatino Linotype" w:hAnsi="Palatino Linotype" w:cs="Arial"/>
          <w:i/>
          <w:sz w:val="22"/>
          <w:szCs w:val="22"/>
        </w:rPr>
      </w:pPr>
      <w:r w:rsidRPr="00C575A3">
        <w:rPr>
          <w:rFonts w:ascii="Palatino Linotype" w:hAnsi="Palatino Linotype" w:cs="Arial"/>
          <w:i/>
          <w:sz w:val="22"/>
          <w:szCs w:val="22"/>
        </w:rPr>
        <w:t xml:space="preserve">En materia de acceso a la información pública. 04749INFOEM/IP/RR/2019 y acumulados. Aprobado por unanimidad de votos, emitiendo voto particular la Comisionada Eva </w:t>
      </w:r>
      <w:proofErr w:type="spellStart"/>
      <w:r w:rsidRPr="00C575A3">
        <w:rPr>
          <w:rFonts w:ascii="Palatino Linotype" w:hAnsi="Palatino Linotype" w:cs="Arial"/>
          <w:i/>
          <w:sz w:val="22"/>
          <w:szCs w:val="22"/>
        </w:rPr>
        <w:t>Abaid</w:t>
      </w:r>
      <w:proofErr w:type="spellEnd"/>
      <w:r w:rsidRPr="00C575A3">
        <w:rPr>
          <w:rFonts w:ascii="Palatino Linotype" w:hAnsi="Palatino Linotype" w:cs="Arial"/>
          <w:i/>
          <w:sz w:val="22"/>
          <w:szCs w:val="22"/>
        </w:rPr>
        <w:t xml:space="preserve"> </w:t>
      </w:r>
      <w:proofErr w:type="spellStart"/>
      <w:r w:rsidRPr="00C575A3">
        <w:rPr>
          <w:rFonts w:ascii="Palatino Linotype" w:hAnsi="Palatino Linotype" w:cs="Arial"/>
          <w:i/>
          <w:sz w:val="22"/>
          <w:szCs w:val="22"/>
        </w:rPr>
        <w:t>Yapur</w:t>
      </w:r>
      <w:proofErr w:type="spellEnd"/>
      <w:r w:rsidRPr="00C575A3">
        <w:rPr>
          <w:rFonts w:ascii="Palatino Linotype" w:hAnsi="Palatino Linotype" w:cs="Arial"/>
          <w:i/>
          <w:sz w:val="22"/>
          <w:szCs w:val="22"/>
        </w:rPr>
        <w:t>. Universidad Politécnica del Valle de Toluca. Comisionado Ponente Javier Martínez Cruz.”</w:t>
      </w:r>
    </w:p>
    <w:p w14:paraId="0EEDB840" w14:textId="77777777" w:rsidR="000532B3" w:rsidRPr="00C575A3" w:rsidRDefault="000532B3" w:rsidP="000532B3">
      <w:pPr>
        <w:ind w:left="851" w:right="899"/>
        <w:jc w:val="both"/>
        <w:rPr>
          <w:rFonts w:ascii="Palatino Linotype" w:hAnsi="Palatino Linotype" w:cs="Arial"/>
          <w:i/>
          <w:sz w:val="22"/>
          <w:szCs w:val="22"/>
        </w:rPr>
      </w:pPr>
    </w:p>
    <w:p w14:paraId="50C216A9" w14:textId="77777777" w:rsidR="000532B3" w:rsidRPr="00C575A3" w:rsidRDefault="000532B3" w:rsidP="000532B3">
      <w:pPr>
        <w:ind w:left="851" w:right="899"/>
        <w:jc w:val="both"/>
        <w:rPr>
          <w:rFonts w:ascii="Palatino Linotype" w:hAnsi="Palatino Linotype" w:cs="Arial"/>
          <w:i/>
          <w:sz w:val="22"/>
          <w:szCs w:val="22"/>
        </w:rPr>
      </w:pPr>
      <w:r w:rsidRPr="00C575A3">
        <w:rPr>
          <w:rFonts w:ascii="Palatino Linotype" w:hAnsi="Palatino Linotype" w:cs="Arial"/>
          <w:i/>
          <w:sz w:val="22"/>
          <w:szCs w:val="22"/>
        </w:rPr>
        <w:t>(Énfasis añadido)</w:t>
      </w:r>
    </w:p>
    <w:p w14:paraId="40EC4010"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En mérito de todo lo expuesto, ante lo fundado de las razones o motivos de inconformidad hechos valer por </w:t>
      </w:r>
      <w:r w:rsidR="00C13F31" w:rsidRPr="00C575A3">
        <w:rPr>
          <w:rFonts w:ascii="Palatino Linotype" w:hAnsi="Palatino Linotype" w:cs="Arial"/>
          <w:b/>
        </w:rPr>
        <w:t>EL</w:t>
      </w:r>
      <w:r w:rsidRPr="00C575A3">
        <w:rPr>
          <w:rFonts w:ascii="Palatino Linotype" w:hAnsi="Palatino Linotype" w:cs="Arial"/>
          <w:b/>
        </w:rPr>
        <w:t xml:space="preserve"> RECURRENTE</w:t>
      </w:r>
      <w:r w:rsidRPr="00C575A3">
        <w:rPr>
          <w:rFonts w:ascii="Palatino Linotype" w:hAnsi="Palatino Linotype" w:cs="Arial"/>
        </w:rPr>
        <w:t xml:space="preserve">, este Instituto estima que lo dable es </w:t>
      </w:r>
      <w:r w:rsidRPr="00C575A3">
        <w:rPr>
          <w:rFonts w:ascii="Palatino Linotype" w:hAnsi="Palatino Linotype" w:cs="Arial"/>
          <w:b/>
        </w:rPr>
        <w:t>ORDENAR</w:t>
      </w:r>
      <w:r w:rsidRPr="00C575A3">
        <w:rPr>
          <w:rFonts w:ascii="Palatino Linotype" w:hAnsi="Palatino Linotype" w:cs="Arial"/>
        </w:rPr>
        <w:t xml:space="preserve"> al </w:t>
      </w:r>
      <w:r w:rsidRPr="00C575A3">
        <w:rPr>
          <w:rFonts w:ascii="Palatino Linotype" w:hAnsi="Palatino Linotype" w:cs="Arial"/>
          <w:b/>
        </w:rPr>
        <w:t>SUJETO</w:t>
      </w:r>
      <w:r w:rsidRPr="00C575A3">
        <w:rPr>
          <w:rFonts w:ascii="Palatino Linotype" w:hAnsi="Palatino Linotype" w:cs="Arial"/>
        </w:rPr>
        <w:t xml:space="preserve"> </w:t>
      </w:r>
      <w:r w:rsidRPr="00C575A3">
        <w:rPr>
          <w:rFonts w:ascii="Palatino Linotype" w:hAnsi="Palatino Linotype" w:cs="Arial"/>
          <w:b/>
        </w:rPr>
        <w:t>OBLIGADO</w:t>
      </w:r>
      <w:r w:rsidRPr="00C575A3">
        <w:rPr>
          <w:rFonts w:ascii="Palatino Linotype" w:hAnsi="Palatino Linotype" w:cs="Arial"/>
        </w:rPr>
        <w:t xml:space="preserve"> dé trámite y respuesta a la solicitud de acceso a la información, atendiendo lo señalado en el presente Considerando.</w:t>
      </w:r>
    </w:p>
    <w:p w14:paraId="42628A84" w14:textId="77777777" w:rsidR="00431048" w:rsidRPr="00C575A3" w:rsidRDefault="00431048" w:rsidP="00431048">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lang w:eastAsia="es-MX"/>
        </w:rPr>
      </w:pPr>
      <w:r w:rsidRPr="00C575A3">
        <w:rPr>
          <w:rFonts w:ascii="Palatino Linotype" w:hAnsi="Palatino Linotype"/>
          <w:color w:val="222222"/>
          <w:szCs w:val="17"/>
          <w:lang w:eastAsia="es-ES_tradnl"/>
        </w:rPr>
        <w:t>Precisándole a</w:t>
      </w:r>
      <w:r w:rsidR="00DB7988" w:rsidRPr="00C575A3">
        <w:rPr>
          <w:rFonts w:ascii="Palatino Linotype" w:hAnsi="Palatino Linotype"/>
          <w:color w:val="222222"/>
          <w:szCs w:val="17"/>
          <w:lang w:eastAsia="es-ES_tradnl"/>
        </w:rPr>
        <w:t>l</w:t>
      </w:r>
      <w:r w:rsidRPr="00C575A3">
        <w:rPr>
          <w:rFonts w:ascii="Palatino Linotype" w:hAnsi="Palatino Linotype"/>
          <w:color w:val="222222"/>
          <w:szCs w:val="17"/>
          <w:lang w:eastAsia="es-ES_tradnl"/>
        </w:rPr>
        <w:t xml:space="preserve"> </w:t>
      </w:r>
      <w:r w:rsidRPr="00C575A3">
        <w:rPr>
          <w:rFonts w:ascii="Palatino Linotype" w:hAnsi="Palatino Linotype"/>
          <w:b/>
          <w:color w:val="222222"/>
          <w:szCs w:val="17"/>
          <w:lang w:eastAsia="es-ES_tradnl"/>
        </w:rPr>
        <w:t xml:space="preserve">RECURRENTE </w:t>
      </w:r>
      <w:r w:rsidRPr="00C575A3">
        <w:rPr>
          <w:rFonts w:ascii="Palatino Linotype" w:hAnsi="Palatino Linotype"/>
          <w:color w:val="222222"/>
          <w:szCs w:val="17"/>
          <w:lang w:eastAsia="es-ES_tradnl"/>
        </w:rPr>
        <w:t xml:space="preserve">que la respuesta que dé </w:t>
      </w:r>
      <w:r w:rsidRPr="00C575A3">
        <w:rPr>
          <w:rFonts w:ascii="Palatino Linotype" w:hAnsi="Palatino Linotype"/>
          <w:b/>
          <w:color w:val="222222"/>
          <w:szCs w:val="17"/>
          <w:lang w:eastAsia="es-ES_tradnl"/>
        </w:rPr>
        <w:t>EL SUJETO OBLIGADO</w:t>
      </w:r>
      <w:r w:rsidRPr="00C575A3">
        <w:rPr>
          <w:rFonts w:ascii="Palatino Linotype" w:hAnsi="Palatino Linotype"/>
          <w:color w:val="222222"/>
          <w:szCs w:val="17"/>
          <w:lang w:eastAsia="es-ES_tradnl"/>
        </w:rPr>
        <w:t xml:space="preserve"> derivada de la presente resolución, es susceptible de ser impugnada nuevamente mediante recurso de revisión, ante este Instituto en términos del artículo 179, último párrafo de la Ley </w:t>
      </w:r>
      <w:r w:rsidRPr="00C575A3">
        <w:rPr>
          <w:rFonts w:ascii="Palatino Linotype" w:hAnsi="Palatino Linotype"/>
          <w:color w:val="222222"/>
          <w:lang w:eastAsia="es-MX"/>
        </w:rPr>
        <w:t>de Transparencia y Acceso a la Información Pública del Estado de México y Municipios.</w:t>
      </w:r>
    </w:p>
    <w:p w14:paraId="5968C896" w14:textId="77777777" w:rsidR="000532B3" w:rsidRPr="00C575A3" w:rsidRDefault="000532B3"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Finalmente, es de señalar que, en razón de que </w:t>
      </w:r>
      <w:r w:rsidRPr="00C575A3">
        <w:rPr>
          <w:rFonts w:ascii="Palatino Linotype" w:hAnsi="Palatino Linotype" w:cs="Arial"/>
          <w:b/>
        </w:rPr>
        <w:t xml:space="preserve">EL SUJETO OBLIGADO </w:t>
      </w:r>
      <w:r w:rsidRPr="00C575A3">
        <w:rPr>
          <w:rFonts w:ascii="Palatino Linotype" w:hAnsi="Palatino Linotype" w:cs="Arial"/>
        </w:rPr>
        <w:t xml:space="preserve">fue omiso en entregar la respuesta a la solicitud de información pública y dado que el recurso de </w:t>
      </w:r>
      <w:r w:rsidRPr="00C575A3">
        <w:rPr>
          <w:rFonts w:ascii="Palatino Linotype" w:hAnsi="Palatino Linotype" w:cs="Arial"/>
        </w:rPr>
        <w:lastRenderedPageBreak/>
        <w:t xml:space="preserve">revisión materia del presente asunto, </w:t>
      </w:r>
      <w:r w:rsidRPr="00C575A3">
        <w:rPr>
          <w:rFonts w:ascii="Palatino Linotype" w:hAnsi="Palatino Linotype"/>
        </w:rPr>
        <w:t xml:space="preserve">no es el medio para investigar y en su caso, sancionar a servidores públicos </w:t>
      </w:r>
      <w:r w:rsidRPr="00C575A3">
        <w:rPr>
          <w:rFonts w:ascii="Palatino Linotype" w:hAnsi="Palatino Linotype"/>
          <w:b/>
        </w:rPr>
        <w:t>por la omisión de la entrega de información pública</w:t>
      </w:r>
      <w:r w:rsidRPr="00C575A3">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C575A3">
        <w:rPr>
          <w:rFonts w:ascii="Palatino Linotype" w:hAnsi="Palatino Linotype" w:cs="Arial"/>
        </w:rPr>
        <w:t xml:space="preserve">el conocimiento al Contralor de este Instituto a fin de que en términos del ordinal 190 de la Ley de la materia determine lo conducente. </w:t>
      </w:r>
    </w:p>
    <w:p w14:paraId="23E40C25" w14:textId="77777777" w:rsidR="000532B3" w:rsidRPr="00C575A3" w:rsidRDefault="000532B3" w:rsidP="000532B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C575A3">
        <w:rPr>
          <w:rFonts w:ascii="Palatino Linotype" w:eastAsia="Calibri" w:hAnsi="Palatino Linotype" w:cs="Arial"/>
        </w:rPr>
        <w:t xml:space="preserve">Así, con </w:t>
      </w:r>
      <w:r w:rsidRPr="00C575A3">
        <w:rPr>
          <w:rFonts w:ascii="Palatino Linotype" w:hAnsi="Palatino Linotype" w:cs="Arial"/>
        </w:rPr>
        <w:t>fundamento</w:t>
      </w:r>
      <w:r w:rsidRPr="00C575A3">
        <w:rPr>
          <w:rFonts w:ascii="Palatino Linotype" w:eastAsia="Calibri" w:hAnsi="Palatino Linotype" w:cs="Arial"/>
        </w:rPr>
        <w:t xml:space="preserve"> en </w:t>
      </w:r>
      <w:r w:rsidR="00655483" w:rsidRPr="00C575A3">
        <w:rPr>
          <w:rFonts w:ascii="Palatino Linotype" w:eastAsia="Calibri" w:hAnsi="Palatino Linotype" w:cs="Arial"/>
        </w:rPr>
        <w:t>lo prescrito en los artículos 5</w:t>
      </w:r>
      <w:r w:rsidRPr="00C575A3">
        <w:rPr>
          <w:rFonts w:ascii="Palatino Linotype" w:eastAsia="Calibri" w:hAnsi="Palatino Linotype" w:cs="Arial"/>
        </w:rPr>
        <w:t xml:space="preserve"> </w:t>
      </w:r>
      <w:r w:rsidRPr="00C575A3">
        <w:rPr>
          <w:rFonts w:ascii="Palatino Linotype" w:hAnsi="Palatino Linotype"/>
        </w:rPr>
        <w:t>párrafos</w:t>
      </w:r>
      <w:r w:rsidR="00655483" w:rsidRPr="00C575A3">
        <w:rPr>
          <w:rFonts w:ascii="Palatino Linotype" w:hAnsi="Palatino Linotype"/>
        </w:rPr>
        <w:t>,</w:t>
      </w:r>
      <w:r w:rsidRPr="00C575A3">
        <w:rPr>
          <w:rFonts w:ascii="Palatino Linotype" w:hAnsi="Palatino Linotype"/>
        </w:rPr>
        <w:t xml:space="preserve"> </w:t>
      </w:r>
      <w:r w:rsidR="00655483" w:rsidRPr="00C575A3">
        <w:rPr>
          <w:rFonts w:ascii="Palatino Linotype" w:hAnsi="Palatino Linotype"/>
        </w:rPr>
        <w:t>trigésimo, trigésimo primero y trigésimo segundo,</w:t>
      </w:r>
      <w:r w:rsidRPr="00C575A3">
        <w:rPr>
          <w:rFonts w:ascii="Palatino Linotype" w:hAnsi="Palatino Linotype"/>
        </w:rPr>
        <w:t xml:space="preserve"> </w:t>
      </w:r>
      <w:r w:rsidRPr="00C575A3">
        <w:rPr>
          <w:rFonts w:ascii="Palatino Linotype" w:hAnsi="Palatino Linotype" w:cs="Arial"/>
        </w:rPr>
        <w:t>fracciones</w:t>
      </w:r>
      <w:r w:rsidRPr="00C575A3">
        <w:rPr>
          <w:rFonts w:ascii="Palatino Linotype" w:hAnsi="Palatino Linotype"/>
        </w:rPr>
        <w:t xml:space="preserve"> IV y V,</w:t>
      </w:r>
      <w:r w:rsidRPr="00C575A3">
        <w:rPr>
          <w:rFonts w:ascii="Palatino Linotype" w:eastAsia="Calibri" w:hAnsi="Palatino Linotype" w:cs="Arial"/>
        </w:rPr>
        <w:t xml:space="preserve"> de la Constitución Política del Estado Libre y Soberano de México, y los artículos </w:t>
      </w:r>
      <w:r w:rsidRPr="00C575A3">
        <w:rPr>
          <w:rFonts w:ascii="Palatino Linotype" w:hAnsi="Palatino Linotype"/>
        </w:rPr>
        <w:t xml:space="preserve">2, </w:t>
      </w:r>
      <w:r w:rsidRPr="00C575A3">
        <w:rPr>
          <w:rFonts w:ascii="Palatino Linotype" w:hAnsi="Palatino Linotype" w:cs="Arial"/>
        </w:rPr>
        <w:t>fracción</w:t>
      </w:r>
      <w:r w:rsidRPr="00C575A3">
        <w:rPr>
          <w:rFonts w:ascii="Palatino Linotype" w:hAnsi="Palatino Linotype"/>
        </w:rPr>
        <w:t xml:space="preserve"> II, 9, </w:t>
      </w:r>
      <w:r w:rsidRPr="00C575A3">
        <w:rPr>
          <w:rFonts w:ascii="Palatino Linotype" w:hAnsi="Palatino Linotype" w:cs="Arial"/>
          <w:lang w:val="es-ES_tradnl"/>
        </w:rPr>
        <w:t>29</w:t>
      </w:r>
      <w:r w:rsidRPr="00C575A3">
        <w:rPr>
          <w:rFonts w:ascii="Palatino Linotype" w:hAnsi="Palatino Linotype"/>
        </w:rPr>
        <w:t>, 36, fracciones I y II, 176, 178, 179, 181, 185, fracción I, 186, 188 y 192, fracción III</w:t>
      </w:r>
      <w:r w:rsidRPr="00C575A3">
        <w:rPr>
          <w:rFonts w:ascii="Palatino Linotype" w:eastAsia="Calibri" w:hAnsi="Palatino Linotype" w:cs="Arial"/>
        </w:rPr>
        <w:t xml:space="preserve"> de la Ley de Transparencia y Acceso a la Información Pública del Estado de México y </w:t>
      </w:r>
      <w:r w:rsidRPr="00C575A3">
        <w:rPr>
          <w:rFonts w:ascii="Palatino Linotype" w:hAnsi="Palatino Linotype" w:cs="Arial"/>
        </w:rPr>
        <w:t>Municipios</w:t>
      </w:r>
      <w:r w:rsidRPr="00C575A3">
        <w:rPr>
          <w:rFonts w:ascii="Palatino Linotype" w:eastAsia="Calibri" w:hAnsi="Palatino Linotype" w:cs="Arial"/>
        </w:rPr>
        <w:t xml:space="preserve">, </w:t>
      </w:r>
      <w:r w:rsidRPr="00C575A3">
        <w:rPr>
          <w:rFonts w:ascii="Palatino Linotype" w:hAnsi="Palatino Linotype"/>
        </w:rPr>
        <w:t>este</w:t>
      </w:r>
      <w:r w:rsidRPr="00C575A3">
        <w:rPr>
          <w:rFonts w:ascii="Palatino Linotype" w:eastAsia="Calibri" w:hAnsi="Palatino Linotype" w:cs="Arial"/>
        </w:rPr>
        <w:t xml:space="preserve"> Pleno:</w:t>
      </w:r>
    </w:p>
    <w:p w14:paraId="7EB29F42" w14:textId="77777777" w:rsidR="000532B3" w:rsidRPr="00C575A3" w:rsidRDefault="000532B3" w:rsidP="000532B3">
      <w:pPr>
        <w:spacing w:before="240" w:after="100" w:afterAutospacing="1" w:line="360" w:lineRule="auto"/>
        <w:jc w:val="center"/>
        <w:rPr>
          <w:rFonts w:ascii="Palatino Linotype" w:hAnsi="Palatino Linotype"/>
          <w:b/>
          <w:bCs/>
          <w:spacing w:val="60"/>
          <w:sz w:val="28"/>
        </w:rPr>
      </w:pPr>
      <w:r w:rsidRPr="00C575A3">
        <w:rPr>
          <w:rFonts w:ascii="Palatino Linotype" w:hAnsi="Palatino Linotype"/>
          <w:b/>
          <w:bCs/>
          <w:spacing w:val="60"/>
          <w:sz w:val="28"/>
        </w:rPr>
        <w:t>RESUELVE</w:t>
      </w:r>
    </w:p>
    <w:p w14:paraId="2594B38B" w14:textId="77777777" w:rsidR="000532B3" w:rsidRPr="00C575A3" w:rsidRDefault="000532B3" w:rsidP="000532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C575A3">
        <w:rPr>
          <w:rFonts w:ascii="Palatino Linotype" w:hAnsi="Palatino Linotype" w:cs="Arial"/>
          <w:b/>
          <w:sz w:val="28"/>
          <w:szCs w:val="28"/>
        </w:rPr>
        <w:t>PRIMERO</w:t>
      </w:r>
      <w:r w:rsidRPr="00C575A3">
        <w:rPr>
          <w:rFonts w:ascii="Palatino Linotype" w:hAnsi="Palatino Linotype" w:cs="Arial"/>
          <w:b/>
        </w:rPr>
        <w:t xml:space="preserve">. </w:t>
      </w:r>
      <w:r w:rsidRPr="00C575A3">
        <w:rPr>
          <w:rFonts w:ascii="Palatino Linotype" w:hAnsi="Palatino Linotype" w:cs="Arial"/>
        </w:rPr>
        <w:t xml:space="preserve">Resultan </w:t>
      </w:r>
      <w:r w:rsidRPr="00C575A3">
        <w:rPr>
          <w:rFonts w:ascii="Palatino Linotype" w:hAnsi="Palatino Linotype" w:cs="Arial"/>
          <w:b/>
        </w:rPr>
        <w:t>fundadas</w:t>
      </w:r>
      <w:r w:rsidRPr="00C575A3">
        <w:rPr>
          <w:rFonts w:ascii="Palatino Linotype" w:hAnsi="Palatino Linotype" w:cs="Arial"/>
        </w:rPr>
        <w:t xml:space="preserve"> las </w:t>
      </w:r>
      <w:r w:rsidRPr="00C575A3">
        <w:rPr>
          <w:rFonts w:ascii="Palatino Linotype" w:hAnsi="Palatino Linotype"/>
          <w:shd w:val="clear" w:color="auto" w:fill="FFFFFF"/>
        </w:rPr>
        <w:t>razones</w:t>
      </w:r>
      <w:r w:rsidRPr="00C575A3">
        <w:rPr>
          <w:rFonts w:ascii="Palatino Linotype" w:hAnsi="Palatino Linotype" w:cs="Arial"/>
        </w:rPr>
        <w:t xml:space="preserve"> o motivos de inconformidad hechas valer por </w:t>
      </w:r>
      <w:r w:rsidR="00C13F31" w:rsidRPr="00C575A3">
        <w:rPr>
          <w:rFonts w:ascii="Palatino Linotype" w:eastAsia="Calibri" w:hAnsi="Palatino Linotype"/>
          <w:b/>
          <w:szCs w:val="22"/>
          <w:lang w:eastAsia="en-US"/>
        </w:rPr>
        <w:t>EL</w:t>
      </w:r>
      <w:r w:rsidRPr="00C575A3">
        <w:rPr>
          <w:rFonts w:ascii="Palatino Linotype" w:eastAsia="Calibri" w:hAnsi="Palatino Linotype"/>
          <w:b/>
          <w:szCs w:val="22"/>
          <w:lang w:eastAsia="en-US"/>
        </w:rPr>
        <w:t xml:space="preserve"> RECURRENTE</w:t>
      </w:r>
      <w:r w:rsidRPr="00C575A3">
        <w:rPr>
          <w:rFonts w:ascii="Palatino Linotype" w:hAnsi="Palatino Linotype" w:cs="Arial"/>
          <w:b/>
        </w:rPr>
        <w:t>,</w:t>
      </w:r>
      <w:r w:rsidRPr="00C575A3">
        <w:rPr>
          <w:rFonts w:ascii="Palatino Linotype" w:hAnsi="Palatino Linotype" w:cs="Arial"/>
        </w:rPr>
        <w:t xml:space="preserve"> en términos del Considerando </w:t>
      </w:r>
      <w:r w:rsidRPr="00C575A3">
        <w:rPr>
          <w:rFonts w:ascii="Palatino Linotype" w:hAnsi="Palatino Linotype" w:cs="Arial"/>
          <w:b/>
        </w:rPr>
        <w:t>QUINTO</w:t>
      </w:r>
      <w:r w:rsidRPr="00C575A3">
        <w:rPr>
          <w:rFonts w:ascii="Palatino Linotype" w:hAnsi="Palatino Linotype" w:cs="Arial"/>
        </w:rPr>
        <w:t xml:space="preserve"> de la presente resolución.</w:t>
      </w:r>
    </w:p>
    <w:p w14:paraId="54B8AC0B" w14:textId="77777777" w:rsidR="000532B3" w:rsidRPr="00C575A3" w:rsidRDefault="000532B3" w:rsidP="000532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C575A3">
        <w:rPr>
          <w:rFonts w:ascii="Palatino Linotype" w:hAnsi="Palatino Linotype"/>
          <w:b/>
          <w:color w:val="222222"/>
          <w:sz w:val="28"/>
          <w:szCs w:val="28"/>
          <w:lang w:eastAsia="es-MX"/>
        </w:rPr>
        <w:t>SEGUNDO</w:t>
      </w:r>
      <w:r w:rsidRPr="00C575A3">
        <w:rPr>
          <w:rFonts w:ascii="Palatino Linotype" w:hAnsi="Palatino Linotype"/>
          <w:b/>
          <w:color w:val="222222"/>
          <w:lang w:eastAsia="es-MX"/>
        </w:rPr>
        <w:t xml:space="preserve">. </w:t>
      </w:r>
      <w:r w:rsidRPr="00C575A3">
        <w:rPr>
          <w:rFonts w:ascii="Palatino Linotype" w:hAnsi="Palatino Linotype"/>
          <w:color w:val="222222"/>
          <w:lang w:eastAsia="es-MX"/>
        </w:rPr>
        <w:t>Se</w:t>
      </w:r>
      <w:r w:rsidRPr="00C575A3">
        <w:rPr>
          <w:rFonts w:ascii="Palatino Linotype" w:hAnsi="Palatino Linotype"/>
          <w:b/>
          <w:bCs/>
          <w:color w:val="222222"/>
          <w:lang w:eastAsia="es-MX"/>
        </w:rPr>
        <w:t xml:space="preserve"> ORDENA </w:t>
      </w:r>
      <w:r w:rsidRPr="00C575A3">
        <w:rPr>
          <w:rFonts w:ascii="Palatino Linotype" w:hAnsi="Palatino Linotype"/>
          <w:color w:val="222222"/>
          <w:lang w:eastAsia="es-MX"/>
        </w:rPr>
        <w:t xml:space="preserve">al </w:t>
      </w:r>
      <w:r w:rsidRPr="00C575A3">
        <w:rPr>
          <w:rFonts w:ascii="Palatino Linotype" w:hAnsi="Palatino Linotype"/>
          <w:b/>
          <w:bCs/>
          <w:color w:val="222222"/>
          <w:lang w:eastAsia="es-MX"/>
        </w:rPr>
        <w:t xml:space="preserve">SUJETO OBLIGADO </w:t>
      </w:r>
      <w:r w:rsidRPr="00C575A3">
        <w:rPr>
          <w:rFonts w:ascii="Palatino Linotype" w:hAnsi="Palatino Linotype"/>
          <w:color w:val="222222"/>
          <w:lang w:eastAsia="es-MX"/>
        </w:rPr>
        <w:t xml:space="preserve">dé trámite a la solicitud de acceso a la información pública que dio origen al recurso de revisión número </w:t>
      </w:r>
      <w:r w:rsidR="00655483" w:rsidRPr="00C575A3">
        <w:rPr>
          <w:rFonts w:ascii="Palatino Linotype" w:hAnsi="Palatino Linotype"/>
          <w:b/>
          <w:bCs/>
          <w:color w:val="222222"/>
          <w:lang w:eastAsia="es-MX"/>
        </w:rPr>
        <w:t>0</w:t>
      </w:r>
      <w:r w:rsidR="00C13F31" w:rsidRPr="00C575A3">
        <w:rPr>
          <w:rFonts w:ascii="Palatino Linotype" w:hAnsi="Palatino Linotype"/>
          <w:b/>
          <w:bCs/>
          <w:color w:val="222222"/>
          <w:lang w:eastAsia="es-MX"/>
        </w:rPr>
        <w:t>4352</w:t>
      </w:r>
      <w:r w:rsidRPr="00C575A3">
        <w:rPr>
          <w:rFonts w:ascii="Palatino Linotype" w:hAnsi="Palatino Linotype"/>
          <w:b/>
          <w:bCs/>
          <w:lang w:val="es-ES_tradnl"/>
        </w:rPr>
        <w:t>/IN</w:t>
      </w:r>
      <w:r w:rsidRPr="00C575A3">
        <w:rPr>
          <w:rFonts w:ascii="Palatino Linotype" w:hAnsi="Palatino Linotype"/>
          <w:b/>
          <w:lang w:val="es-ES_tradnl"/>
        </w:rPr>
        <w:t>FOEM/IP/RR/2021,</w:t>
      </w:r>
      <w:r w:rsidRPr="00C575A3">
        <w:rPr>
          <w:rFonts w:ascii="Palatino Linotype" w:hAnsi="Palatino Linotype"/>
          <w:color w:val="222222"/>
          <w:lang w:eastAsia="es-MX"/>
        </w:rPr>
        <w:t xml:space="preserve"> vía </w:t>
      </w:r>
      <w:r w:rsidRPr="00C575A3">
        <w:rPr>
          <w:rFonts w:ascii="Palatino Linotype" w:hAnsi="Palatino Linotype"/>
          <w:b/>
          <w:bCs/>
          <w:color w:val="222222"/>
          <w:lang w:eastAsia="es-MX"/>
        </w:rPr>
        <w:t>SAIMEX</w:t>
      </w:r>
      <w:r w:rsidRPr="00C575A3">
        <w:rPr>
          <w:rFonts w:ascii="Palatino Linotype" w:hAnsi="Palatino Linotype"/>
          <w:bCs/>
          <w:color w:val="222222"/>
          <w:lang w:eastAsia="es-MX"/>
        </w:rPr>
        <w:t xml:space="preserve">, </w:t>
      </w:r>
      <w:r w:rsidRPr="00C575A3">
        <w:rPr>
          <w:rFonts w:ascii="Palatino Linotype" w:hAnsi="Palatino Linotype"/>
          <w:color w:val="222222"/>
          <w:lang w:eastAsia="es-MX"/>
        </w:rPr>
        <w:t xml:space="preserve">en términos del Considerando </w:t>
      </w:r>
      <w:r w:rsidRPr="00C575A3">
        <w:rPr>
          <w:rFonts w:ascii="Palatino Linotype" w:hAnsi="Palatino Linotype"/>
          <w:b/>
          <w:bCs/>
          <w:color w:val="222222"/>
          <w:lang w:eastAsia="es-MX"/>
        </w:rPr>
        <w:t xml:space="preserve">QUINTO </w:t>
      </w:r>
      <w:r w:rsidRPr="00C575A3">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4BAD05F3" w14:textId="77777777" w:rsidR="000532B3" w:rsidRPr="00C575A3" w:rsidRDefault="000532B3" w:rsidP="000532B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C575A3">
        <w:rPr>
          <w:rFonts w:ascii="Palatino Linotype" w:hAnsi="Palatino Linotype"/>
          <w:b/>
          <w:sz w:val="28"/>
          <w:szCs w:val="28"/>
          <w:lang w:eastAsia="es-ES_tradnl"/>
        </w:rPr>
        <w:lastRenderedPageBreak/>
        <w:t>TERCERO</w:t>
      </w:r>
      <w:r w:rsidRPr="00C575A3">
        <w:rPr>
          <w:rFonts w:ascii="Palatino Linotype" w:hAnsi="Palatino Linotype"/>
          <w:b/>
          <w:szCs w:val="17"/>
          <w:lang w:eastAsia="es-ES_tradnl"/>
        </w:rPr>
        <w:t>. Notifíquese</w:t>
      </w:r>
      <w:r w:rsidRPr="00C575A3">
        <w:rPr>
          <w:rFonts w:ascii="Palatino Linotype" w:hAnsi="Palatino Linotype"/>
          <w:szCs w:val="17"/>
          <w:lang w:eastAsia="es-ES_tradnl"/>
        </w:rPr>
        <w:t xml:space="preserve"> </w:t>
      </w:r>
      <w:r w:rsidRPr="00C575A3">
        <w:rPr>
          <w:rFonts w:ascii="Palatino Linotype" w:hAnsi="Palatino Linotype"/>
          <w:color w:val="222222"/>
          <w:lang w:eastAsia="es-MX"/>
        </w:rPr>
        <w:t>al Titular de la Unidad de Transparencia del</w:t>
      </w:r>
      <w:r w:rsidRPr="00C575A3">
        <w:rPr>
          <w:color w:val="222222"/>
          <w:lang w:eastAsia="es-MX"/>
        </w:rPr>
        <w:t xml:space="preserve"> </w:t>
      </w:r>
      <w:r w:rsidRPr="00C575A3">
        <w:rPr>
          <w:rFonts w:ascii="Palatino Linotype" w:hAnsi="Palatino Linotype"/>
          <w:b/>
          <w:color w:val="222222"/>
          <w:lang w:eastAsia="es-MX"/>
        </w:rPr>
        <w:t>SUJETO OBLIGADO</w:t>
      </w:r>
      <w:r w:rsidRPr="00C575A3">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7CA20F4" w14:textId="77777777" w:rsidR="000532B3" w:rsidRPr="00C575A3" w:rsidRDefault="000532B3" w:rsidP="000532B3">
      <w:pPr>
        <w:pStyle w:val="Prrafodelista"/>
        <w:spacing w:line="360" w:lineRule="auto"/>
        <w:ind w:left="0"/>
        <w:jc w:val="both"/>
        <w:rPr>
          <w:rFonts w:ascii="Palatino Linotype" w:hAnsi="Palatino Linotype"/>
          <w:shd w:val="clear" w:color="auto" w:fill="FFFFFF"/>
        </w:rPr>
      </w:pPr>
      <w:r w:rsidRPr="00C575A3">
        <w:rPr>
          <w:rFonts w:ascii="Palatino Linotype" w:hAnsi="Palatino Linotype"/>
          <w:b/>
          <w:color w:val="222222"/>
          <w:sz w:val="28"/>
          <w:szCs w:val="28"/>
          <w:shd w:val="clear" w:color="auto" w:fill="FFFFFF"/>
        </w:rPr>
        <w:t>CUARTO</w:t>
      </w:r>
      <w:r w:rsidRPr="00C575A3">
        <w:rPr>
          <w:rFonts w:ascii="Palatino Linotype" w:hAnsi="Palatino Linotype"/>
          <w:color w:val="222222"/>
          <w:shd w:val="clear" w:color="auto" w:fill="FFFFFF"/>
        </w:rPr>
        <w:t xml:space="preserve">. </w:t>
      </w:r>
      <w:r w:rsidRPr="00C575A3">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C575A3">
        <w:rPr>
          <w:rFonts w:ascii="Palatino Linotype" w:hAnsi="Palatino Linotype"/>
          <w:b/>
          <w:color w:val="222222"/>
          <w:lang w:eastAsia="es-MX"/>
        </w:rPr>
        <w:t>SUJETO OBLIGADO</w:t>
      </w:r>
      <w:r w:rsidRPr="00C575A3">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305F1D23" w14:textId="77777777" w:rsidR="000532B3" w:rsidRPr="00C575A3" w:rsidRDefault="000532B3" w:rsidP="000532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C575A3">
        <w:rPr>
          <w:rFonts w:ascii="Palatino Linotype" w:hAnsi="Palatino Linotype"/>
          <w:b/>
          <w:sz w:val="28"/>
          <w:szCs w:val="28"/>
          <w:lang w:eastAsia="es-ES_tradnl"/>
        </w:rPr>
        <w:t>QUINTO</w:t>
      </w:r>
      <w:r w:rsidRPr="00C575A3">
        <w:rPr>
          <w:rFonts w:ascii="Palatino Linotype" w:hAnsi="Palatino Linotype"/>
          <w:b/>
          <w:szCs w:val="17"/>
          <w:lang w:eastAsia="es-ES_tradnl"/>
        </w:rPr>
        <w:t>. Notifíquese</w:t>
      </w:r>
      <w:r w:rsidRPr="00C575A3">
        <w:rPr>
          <w:rFonts w:ascii="Palatino Linotype" w:hAnsi="Palatino Linotype"/>
          <w:szCs w:val="17"/>
          <w:lang w:eastAsia="es-ES_tradnl"/>
        </w:rPr>
        <w:t xml:space="preserve"> a</w:t>
      </w:r>
      <w:r w:rsidR="00DB7988" w:rsidRPr="00C575A3">
        <w:rPr>
          <w:rFonts w:ascii="Palatino Linotype" w:hAnsi="Palatino Linotype"/>
          <w:szCs w:val="17"/>
          <w:lang w:eastAsia="es-ES_tradnl"/>
        </w:rPr>
        <w:t>l</w:t>
      </w:r>
      <w:r w:rsidR="00655483" w:rsidRPr="00C575A3">
        <w:rPr>
          <w:rFonts w:ascii="Palatino Linotype" w:hAnsi="Palatino Linotype"/>
          <w:b/>
        </w:rPr>
        <w:t xml:space="preserve"> </w:t>
      </w:r>
      <w:r w:rsidRPr="00C575A3">
        <w:rPr>
          <w:rFonts w:ascii="Palatino Linotype" w:hAnsi="Palatino Linotype"/>
          <w:b/>
        </w:rPr>
        <w:t>RECURRENTE</w:t>
      </w:r>
      <w:r w:rsidRPr="00C575A3">
        <w:rPr>
          <w:rFonts w:ascii="Palatino Linotype" w:hAnsi="Palatino Linotype"/>
          <w:szCs w:val="17"/>
          <w:lang w:eastAsia="es-ES_tradnl"/>
        </w:rPr>
        <w:t xml:space="preserve"> la </w:t>
      </w:r>
      <w:r w:rsidRPr="00C575A3">
        <w:rPr>
          <w:rFonts w:ascii="Palatino Linotype" w:hAnsi="Palatino Linotype"/>
          <w:color w:val="222222"/>
          <w:lang w:eastAsia="es-MX"/>
        </w:rPr>
        <w:t xml:space="preserve">presente resolución vía </w:t>
      </w:r>
      <w:r w:rsidRPr="00C575A3">
        <w:rPr>
          <w:rFonts w:ascii="Palatino Linotype" w:hAnsi="Palatino Linotype"/>
          <w:b/>
          <w:color w:val="222222"/>
          <w:lang w:eastAsia="es-MX"/>
        </w:rPr>
        <w:t>SAIMEX</w:t>
      </w:r>
      <w:r w:rsidRPr="00C575A3">
        <w:rPr>
          <w:rFonts w:ascii="Palatino Linotype" w:hAnsi="Palatino Linotype"/>
          <w:color w:val="222222"/>
          <w:lang w:eastAsia="es-MX"/>
        </w:rPr>
        <w:t>.</w:t>
      </w:r>
    </w:p>
    <w:p w14:paraId="4BEDA227" w14:textId="77777777" w:rsidR="000532B3" w:rsidRPr="00C575A3" w:rsidRDefault="000532B3" w:rsidP="000532B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C575A3">
        <w:rPr>
          <w:rFonts w:ascii="Palatino Linotype" w:hAnsi="Palatino Linotype"/>
          <w:b/>
          <w:sz w:val="28"/>
          <w:szCs w:val="28"/>
          <w:lang w:eastAsia="es-ES_tradnl"/>
        </w:rPr>
        <w:t>SEXTO</w:t>
      </w:r>
      <w:r w:rsidRPr="00C575A3">
        <w:rPr>
          <w:rFonts w:ascii="Palatino Linotype" w:hAnsi="Palatino Linotype"/>
          <w:b/>
          <w:szCs w:val="17"/>
          <w:lang w:eastAsia="es-ES_tradnl"/>
        </w:rPr>
        <w:t>. Hágase</w:t>
      </w:r>
      <w:r w:rsidRPr="00C575A3">
        <w:rPr>
          <w:rFonts w:ascii="Palatino Linotype" w:hAnsi="Palatino Linotype"/>
          <w:szCs w:val="17"/>
          <w:lang w:eastAsia="es-ES_tradnl"/>
        </w:rPr>
        <w:t xml:space="preserve"> </w:t>
      </w:r>
      <w:r w:rsidRPr="00C575A3">
        <w:rPr>
          <w:rFonts w:ascii="Palatino Linotype" w:hAnsi="Palatino Linotype"/>
          <w:b/>
          <w:szCs w:val="17"/>
          <w:lang w:eastAsia="es-ES_tradnl"/>
        </w:rPr>
        <w:t>del conocimiento</w:t>
      </w:r>
      <w:r w:rsidRPr="00C575A3">
        <w:rPr>
          <w:rFonts w:ascii="Palatino Linotype" w:hAnsi="Palatino Linotype"/>
          <w:szCs w:val="17"/>
          <w:lang w:eastAsia="es-ES_tradnl"/>
        </w:rPr>
        <w:t xml:space="preserve"> </w:t>
      </w:r>
      <w:r w:rsidRPr="00C575A3">
        <w:rPr>
          <w:rFonts w:ascii="Palatino Linotype" w:hAnsi="Palatino Linotype"/>
        </w:rPr>
        <w:t>de</w:t>
      </w:r>
      <w:r w:rsidR="00DB7988" w:rsidRPr="00C575A3">
        <w:rPr>
          <w:rFonts w:ascii="Palatino Linotype" w:hAnsi="Palatino Linotype"/>
        </w:rPr>
        <w:t>l</w:t>
      </w:r>
      <w:r w:rsidR="00655483" w:rsidRPr="00C575A3">
        <w:rPr>
          <w:rFonts w:ascii="Palatino Linotype" w:hAnsi="Palatino Linotype"/>
          <w:b/>
        </w:rPr>
        <w:t xml:space="preserve"> </w:t>
      </w:r>
      <w:r w:rsidRPr="00C575A3">
        <w:rPr>
          <w:rFonts w:ascii="Palatino Linotype" w:hAnsi="Palatino Linotype"/>
          <w:b/>
        </w:rPr>
        <w:t>RECURRENTE</w:t>
      </w:r>
      <w:r w:rsidRPr="00C575A3">
        <w:rPr>
          <w:rFonts w:ascii="Palatino Linotype" w:hAnsi="Palatino Linotype"/>
        </w:rPr>
        <w:t xml:space="preserve"> </w:t>
      </w:r>
      <w:r w:rsidRPr="00C575A3">
        <w:rPr>
          <w:rFonts w:ascii="Palatino Linotype" w:hAnsi="Palatino Linotype"/>
          <w:szCs w:val="17"/>
          <w:lang w:eastAsia="es-ES_tradnl"/>
        </w:rPr>
        <w:t xml:space="preserve">que, de conformidad </w:t>
      </w:r>
      <w:r w:rsidRPr="00C575A3">
        <w:rPr>
          <w:rFonts w:ascii="Palatino Linotype" w:hAnsi="Palatino Linotype" w:cs="Arial"/>
        </w:rPr>
        <w:t>con</w:t>
      </w:r>
      <w:r w:rsidRPr="00C575A3">
        <w:rPr>
          <w:rFonts w:ascii="Palatino Linotype" w:hAnsi="Palatino Linotype"/>
          <w:szCs w:val="17"/>
          <w:lang w:eastAsia="es-ES_tradnl"/>
        </w:rPr>
        <w:t xml:space="preserve"> lo </w:t>
      </w:r>
      <w:r w:rsidRPr="00C575A3">
        <w:rPr>
          <w:rFonts w:ascii="Palatino Linotype" w:hAnsi="Palatino Linotype" w:cs="Arial"/>
        </w:rPr>
        <w:t>establecido</w:t>
      </w:r>
      <w:r w:rsidRPr="00C575A3">
        <w:rPr>
          <w:rFonts w:ascii="Palatino Linotype" w:hAnsi="Palatino Linotype"/>
          <w:szCs w:val="17"/>
          <w:lang w:eastAsia="es-ES_tradnl"/>
        </w:rPr>
        <w:t xml:space="preserve"> en el artículo 196 de la Ley de </w:t>
      </w:r>
      <w:r w:rsidRPr="00C575A3">
        <w:rPr>
          <w:rFonts w:ascii="Palatino Linotype" w:hAnsi="Palatino Linotype" w:cs="Arial"/>
        </w:rPr>
        <w:t>Transparencia</w:t>
      </w:r>
      <w:r w:rsidRPr="00C575A3">
        <w:rPr>
          <w:rFonts w:ascii="Palatino Linotype" w:hAnsi="Palatino Linotype"/>
          <w:szCs w:val="17"/>
          <w:lang w:eastAsia="es-ES_tradnl"/>
        </w:rPr>
        <w:t xml:space="preserve"> y </w:t>
      </w:r>
      <w:r w:rsidRPr="00C575A3">
        <w:rPr>
          <w:rFonts w:ascii="Palatino Linotype" w:hAnsi="Palatino Linotype" w:cs="Arial"/>
        </w:rPr>
        <w:t>Acceso</w:t>
      </w:r>
      <w:r w:rsidRPr="00C575A3">
        <w:rPr>
          <w:rFonts w:ascii="Palatino Linotype" w:hAnsi="Palatino Linotype"/>
          <w:szCs w:val="17"/>
          <w:lang w:eastAsia="es-ES_tradnl"/>
        </w:rPr>
        <w:t xml:space="preserve"> a la Información </w:t>
      </w:r>
      <w:r w:rsidRPr="00C575A3">
        <w:rPr>
          <w:rFonts w:ascii="Palatino Linotype" w:hAnsi="Palatino Linotype"/>
          <w:lang w:eastAsia="es-ES_tradnl"/>
        </w:rPr>
        <w:t>Pública</w:t>
      </w:r>
      <w:r w:rsidRPr="00C575A3">
        <w:rPr>
          <w:rFonts w:ascii="Palatino Linotype" w:hAnsi="Palatino Linotype"/>
          <w:szCs w:val="17"/>
          <w:lang w:eastAsia="es-ES_tradnl"/>
        </w:rPr>
        <w:t xml:space="preserve"> del Estado de México y Municipios, podrá impugnarla vía Juicio de Amparo en los términos de las leyes aplicables.</w:t>
      </w:r>
    </w:p>
    <w:p w14:paraId="76729538" w14:textId="77777777" w:rsidR="00FF0628" w:rsidRPr="00C575A3" w:rsidRDefault="000532B3" w:rsidP="000532B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C575A3">
        <w:rPr>
          <w:rFonts w:ascii="Palatino Linotype" w:hAnsi="Palatino Linotype"/>
          <w:b/>
          <w:color w:val="222222"/>
          <w:sz w:val="28"/>
          <w:szCs w:val="28"/>
          <w:lang w:eastAsia="es-ES_tradnl"/>
        </w:rPr>
        <w:t>SÉPTIMO</w:t>
      </w:r>
      <w:r w:rsidRPr="00C575A3">
        <w:rPr>
          <w:rFonts w:ascii="Palatino Linotype" w:hAnsi="Palatino Linotype"/>
          <w:b/>
          <w:color w:val="222222"/>
          <w:szCs w:val="17"/>
          <w:lang w:eastAsia="es-ES_tradnl"/>
        </w:rPr>
        <w:t xml:space="preserve">. </w:t>
      </w:r>
      <w:r w:rsidR="00FF0628" w:rsidRPr="00C575A3">
        <w:rPr>
          <w:rFonts w:ascii="Palatino Linotype" w:hAnsi="Palatino Linotype"/>
          <w:b/>
          <w:color w:val="222222"/>
          <w:szCs w:val="17"/>
          <w:lang w:eastAsia="es-ES_tradnl"/>
        </w:rPr>
        <w:t xml:space="preserve">Hágase del conocimiento </w:t>
      </w:r>
      <w:r w:rsidR="00FF0628" w:rsidRPr="00C575A3">
        <w:rPr>
          <w:rFonts w:ascii="Palatino Linotype" w:hAnsi="Palatino Linotype"/>
          <w:color w:val="222222"/>
          <w:szCs w:val="17"/>
          <w:lang w:eastAsia="es-ES_tradnl"/>
        </w:rPr>
        <w:t>al</w:t>
      </w:r>
      <w:r w:rsidR="00FF0628" w:rsidRPr="00C575A3">
        <w:rPr>
          <w:rFonts w:ascii="Palatino Linotype" w:hAnsi="Palatino Linotype"/>
          <w:b/>
          <w:color w:val="222222"/>
          <w:szCs w:val="17"/>
          <w:lang w:eastAsia="es-ES_tradnl"/>
        </w:rPr>
        <w:t xml:space="preserve"> RECURRENTE</w:t>
      </w:r>
      <w:r w:rsidR="00FF0628" w:rsidRPr="00C575A3">
        <w:rPr>
          <w:rFonts w:ascii="Palatino Linotype" w:hAnsi="Palatino Linotype"/>
          <w:color w:val="222222"/>
          <w:szCs w:val="17"/>
          <w:lang w:eastAsia="es-ES_tradnl"/>
        </w:rPr>
        <w:t xml:space="preserve"> que la respuesta que dé </w:t>
      </w:r>
      <w:r w:rsidR="00FF0628" w:rsidRPr="00C575A3">
        <w:rPr>
          <w:rFonts w:ascii="Palatino Linotype" w:hAnsi="Palatino Linotype"/>
          <w:b/>
          <w:color w:val="222222"/>
          <w:szCs w:val="17"/>
          <w:lang w:eastAsia="es-ES_tradnl"/>
        </w:rPr>
        <w:t>EL SUJETO OBLIGADO</w:t>
      </w:r>
      <w:r w:rsidR="00FF0628" w:rsidRPr="00C575A3">
        <w:rPr>
          <w:rFonts w:ascii="Palatino Linotype" w:hAnsi="Palatino Linotype"/>
          <w:color w:val="222222"/>
          <w:szCs w:val="17"/>
          <w:lang w:eastAsia="es-ES_tradnl"/>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4D38A7E" w14:textId="77777777" w:rsidR="00FF0628" w:rsidRPr="00C575A3" w:rsidRDefault="00FF0628" w:rsidP="000532B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b/>
          <w:color w:val="222222"/>
          <w:szCs w:val="17"/>
          <w:lang w:eastAsia="es-ES_tradnl"/>
        </w:rPr>
      </w:pPr>
    </w:p>
    <w:p w14:paraId="6274D512" w14:textId="77777777" w:rsidR="000532B3" w:rsidRPr="00C575A3" w:rsidRDefault="00FF0628" w:rsidP="000532B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C575A3">
        <w:rPr>
          <w:rFonts w:ascii="Palatino Linotype" w:hAnsi="Palatino Linotype"/>
          <w:b/>
          <w:color w:val="222222"/>
          <w:szCs w:val="17"/>
          <w:lang w:eastAsia="es-ES_tradnl"/>
        </w:rPr>
        <w:t xml:space="preserve">OCTAVO. </w:t>
      </w:r>
      <w:r w:rsidR="000532B3" w:rsidRPr="00C575A3">
        <w:rPr>
          <w:rFonts w:ascii="Palatino Linotype" w:hAnsi="Palatino Linotype"/>
          <w:b/>
          <w:color w:val="222222"/>
          <w:szCs w:val="17"/>
          <w:lang w:eastAsia="es-ES_tradnl"/>
        </w:rPr>
        <w:t xml:space="preserve">Gírese oficio </w:t>
      </w:r>
      <w:r w:rsidR="000532B3" w:rsidRPr="00C575A3">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0532B3" w:rsidRPr="00C575A3">
        <w:rPr>
          <w:rFonts w:ascii="Palatino Linotype" w:hAnsi="Palatino Linotype"/>
          <w:b/>
          <w:color w:val="222222"/>
          <w:szCs w:val="17"/>
          <w:lang w:eastAsia="es-ES_tradnl"/>
        </w:rPr>
        <w:t>QUINTO</w:t>
      </w:r>
      <w:r w:rsidR="000532B3" w:rsidRPr="00C575A3">
        <w:rPr>
          <w:rFonts w:ascii="Palatino Linotype" w:hAnsi="Palatino Linotype"/>
          <w:color w:val="222222"/>
          <w:szCs w:val="17"/>
          <w:lang w:eastAsia="es-ES_tradnl"/>
        </w:rPr>
        <w:t xml:space="preserve"> de la presente resolución.</w:t>
      </w:r>
    </w:p>
    <w:p w14:paraId="371EF073" w14:textId="77777777" w:rsidR="000532B3" w:rsidRPr="00C575A3" w:rsidRDefault="00677671" w:rsidP="000532B3">
      <w:pPr>
        <w:spacing w:before="100" w:beforeAutospacing="1" w:after="100" w:afterAutospacing="1" w:line="360" w:lineRule="auto"/>
        <w:jc w:val="both"/>
        <w:rPr>
          <w:rFonts w:ascii="Palatino Linotype" w:hAnsi="Palatino Linotype" w:cs="Arial"/>
        </w:rPr>
      </w:pPr>
      <w:r w:rsidRPr="00C575A3">
        <w:rPr>
          <w:rFonts w:ascii="Palatino Linotype" w:hAnsi="Palatino Linotype" w:cs="Arial"/>
        </w:rPr>
        <w:t xml:space="preserve">ASÍ LO RESUELVE, POR </w:t>
      </w:r>
      <w:r w:rsidR="00FF0628" w:rsidRPr="00C575A3">
        <w:rPr>
          <w:rFonts w:ascii="Palatino Linotype" w:hAnsi="Palatino Linotype" w:cs="Arial"/>
        </w:rPr>
        <w:t>UNANIMIDAD</w:t>
      </w:r>
      <w:r w:rsidRPr="00C575A3">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MORALES MARTÍNEZ; LUIS GUSTAVO PARRA NORIEGA Y GUADALUPE RAMÍREZ P</w:t>
      </w:r>
      <w:r w:rsidR="00812915" w:rsidRPr="00C575A3">
        <w:rPr>
          <w:rFonts w:ascii="Palatino Linotype" w:hAnsi="Palatino Linotype" w:cs="Arial"/>
        </w:rPr>
        <w:t xml:space="preserve">EÑA; EN LA </w:t>
      </w:r>
      <w:r w:rsidR="00C13F31" w:rsidRPr="00C575A3">
        <w:rPr>
          <w:rFonts w:ascii="Palatino Linotype" w:hAnsi="Palatino Linotype" w:cs="Arial"/>
        </w:rPr>
        <w:t>TRIGÉSIMO OCTAVA</w:t>
      </w:r>
      <w:r w:rsidR="00812915" w:rsidRPr="00C575A3">
        <w:rPr>
          <w:rFonts w:ascii="Palatino Linotype" w:hAnsi="Palatino Linotype" w:cs="Arial"/>
        </w:rPr>
        <w:t xml:space="preserve"> SESIÓN ORDINARIA CELEBRADA EL VEINTI</w:t>
      </w:r>
      <w:r w:rsidR="00C13F31" w:rsidRPr="00C575A3">
        <w:rPr>
          <w:rFonts w:ascii="Palatino Linotype" w:hAnsi="Palatino Linotype" w:cs="Arial"/>
        </w:rPr>
        <w:t xml:space="preserve">SIETE </w:t>
      </w:r>
      <w:r w:rsidRPr="00C575A3">
        <w:rPr>
          <w:rFonts w:ascii="Palatino Linotype" w:hAnsi="Palatino Linotype" w:cs="Arial"/>
        </w:rPr>
        <w:t xml:space="preserve">DE </w:t>
      </w:r>
      <w:r w:rsidR="00C13F31" w:rsidRPr="00C575A3">
        <w:rPr>
          <w:rFonts w:ascii="Palatino Linotype" w:hAnsi="Palatino Linotype" w:cs="Arial"/>
        </w:rPr>
        <w:t>OCTUBRE</w:t>
      </w:r>
      <w:r w:rsidRPr="00C575A3">
        <w:rPr>
          <w:rFonts w:ascii="Palatino Linotype" w:hAnsi="Palatino Linotype" w:cs="Arial"/>
        </w:rPr>
        <w:t xml:space="preserve"> DE DOS MIL VEINTIUNO, ANTE EL SECRETARIO TÉCNICO DEL PLENO, ALEXIS TAPIA RAMÍREZ.</w:t>
      </w:r>
      <w:r w:rsidR="000532B3" w:rsidRPr="00C575A3">
        <w:rPr>
          <w:rFonts w:ascii="Palatino Linotype" w:hAnsi="Palatino Linotype" w:cs="Arial"/>
        </w:rPr>
        <w:t>.</w:t>
      </w:r>
    </w:p>
    <w:p w14:paraId="38FB4E9C" w14:textId="77777777" w:rsidR="000532B3" w:rsidRDefault="00DB7988" w:rsidP="00DB7988">
      <w:pPr>
        <w:jc w:val="both"/>
        <w:rPr>
          <w:rFonts w:ascii="Palatino Linotype" w:hAnsi="Palatino Linotype" w:cs="Arial"/>
          <w:sz w:val="16"/>
          <w:szCs w:val="16"/>
          <w:lang w:val="es-ES"/>
        </w:rPr>
      </w:pPr>
      <w:r w:rsidRPr="00C575A3">
        <w:rPr>
          <w:rFonts w:ascii="Palatino Linotype" w:hAnsi="Palatino Linotype" w:cs="Arial"/>
          <w:sz w:val="16"/>
          <w:szCs w:val="16"/>
          <w:lang w:val="es-ES"/>
        </w:rPr>
        <w:t>SCMM/BLA/DEMF/VGR</w:t>
      </w:r>
      <w:r w:rsidR="000532B3">
        <w:rPr>
          <w:rFonts w:ascii="Palatino Linotype" w:hAnsi="Palatino Linotype" w:cs="Arial"/>
          <w:sz w:val="16"/>
          <w:szCs w:val="16"/>
          <w:lang w:val="es-ES"/>
        </w:rPr>
        <w:br w:type="page"/>
      </w:r>
    </w:p>
    <w:p w14:paraId="1C03808E" w14:textId="77777777" w:rsidR="000452F8" w:rsidRDefault="000452F8"/>
    <w:sectPr w:rsidR="000452F8" w:rsidSect="00CA3AC0">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2821D" w14:textId="77777777" w:rsidR="00F24E58" w:rsidRDefault="00F24E58" w:rsidP="000532B3">
      <w:r>
        <w:separator/>
      </w:r>
    </w:p>
  </w:endnote>
  <w:endnote w:type="continuationSeparator" w:id="0">
    <w:p w14:paraId="7FC3D512" w14:textId="77777777" w:rsidR="00F24E58" w:rsidRDefault="00F24E58" w:rsidP="0005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BC851" w14:textId="77777777" w:rsidR="000B106B" w:rsidRPr="0010196A" w:rsidRDefault="00210ECE"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0F4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0F4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00A0" w14:textId="77777777" w:rsidR="000B106B" w:rsidRPr="0010196A" w:rsidRDefault="00210ECE"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0F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0F4F">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65A13" w14:textId="77777777" w:rsidR="00F24E58" w:rsidRDefault="00F24E58" w:rsidP="000532B3">
      <w:r>
        <w:separator/>
      </w:r>
    </w:p>
  </w:footnote>
  <w:footnote w:type="continuationSeparator" w:id="0">
    <w:p w14:paraId="3D197541" w14:textId="77777777" w:rsidR="00F24E58" w:rsidRDefault="00F24E58" w:rsidP="000532B3">
      <w:r>
        <w:continuationSeparator/>
      </w:r>
    </w:p>
  </w:footnote>
  <w:footnote w:id="1">
    <w:p w14:paraId="6F5BFEDA" w14:textId="77777777" w:rsidR="000532B3" w:rsidRPr="00F3610E" w:rsidRDefault="000532B3" w:rsidP="000532B3">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374CF25F" w14:textId="77777777" w:rsidR="000532B3" w:rsidRPr="00A9752A" w:rsidRDefault="000532B3" w:rsidP="000532B3">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0C3B1" w14:textId="77777777" w:rsidR="000B106B" w:rsidRDefault="00F24E58">
    <w:pPr>
      <w:pStyle w:val="Encabezado"/>
    </w:pPr>
    <w:r>
      <w:rPr>
        <w:noProof/>
        <w:lang w:val="es-MX" w:eastAsia="es-MX"/>
      </w:rPr>
      <w:pict w14:anchorId="11B47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5DCB0" w14:textId="77777777" w:rsidR="000B106B" w:rsidRPr="0010196A" w:rsidRDefault="00F24E58" w:rsidP="00CA3AC0">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4416AC65" w14:textId="77777777" w:rsidTr="00CA3AC0">
      <w:tc>
        <w:tcPr>
          <w:tcW w:w="3828" w:type="dxa"/>
          <w:vMerge w:val="restart"/>
        </w:tcPr>
        <w:p w14:paraId="6DB01870" w14:textId="77777777" w:rsidR="000B106B" w:rsidRPr="008F2CCC" w:rsidRDefault="00F24E58" w:rsidP="00CA3AC0">
          <w:pPr>
            <w:rPr>
              <w:rFonts w:ascii="Palatino Linotype" w:hAnsi="Palatino Linotype"/>
              <w:b/>
              <w:sz w:val="22"/>
              <w:szCs w:val="22"/>
              <w:lang w:val="es-ES_tradnl"/>
            </w:rPr>
          </w:pPr>
          <w:r>
            <w:rPr>
              <w:rFonts w:ascii="Palatino Linotype" w:hAnsi="Palatino Linotype"/>
              <w:noProof/>
              <w:sz w:val="28"/>
              <w:szCs w:val="28"/>
              <w:lang w:eastAsia="es-MX"/>
            </w:rPr>
            <w:pict w14:anchorId="53634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24.2pt;margin-top:29.15pt;width:540pt;height:10in;z-index:-251658752;mso-position-horizontal-relative:margin;mso-position-vertical-relative:margin" o:allowincell="f">
                <v:imagedata r:id="rId1" o:title="RESOLUCIÓN"/>
                <w10:wrap anchorx="margin" anchory="margin"/>
              </v:shape>
            </w:pict>
          </w:r>
          <w:r w:rsidR="00210ECE">
            <w:rPr>
              <w:rFonts w:ascii="Palatino Linotype" w:hAnsi="Palatino Linotype"/>
              <w:noProof/>
              <w:sz w:val="28"/>
              <w:szCs w:val="28"/>
              <w:lang w:eastAsia="es-MX"/>
            </w:rPr>
            <w:drawing>
              <wp:inline distT="0" distB="0" distL="0" distR="0" wp14:anchorId="23B35D5E" wp14:editId="3311A80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7A66BFD" w14:textId="77777777" w:rsidR="000B106B" w:rsidRPr="00664658" w:rsidRDefault="00210ECE"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66898094" w14:textId="77777777" w:rsidR="000B106B" w:rsidRPr="00664658" w:rsidRDefault="00677671" w:rsidP="00A5424D">
          <w:pPr>
            <w:jc w:val="both"/>
            <w:rPr>
              <w:rFonts w:ascii="Palatino Linotype" w:hAnsi="Palatino Linotype"/>
              <w:b/>
              <w:sz w:val="22"/>
              <w:szCs w:val="22"/>
              <w:lang w:val="es-ES_tradnl"/>
            </w:rPr>
          </w:pPr>
          <w:r>
            <w:rPr>
              <w:rFonts w:ascii="Palatino Linotype" w:hAnsi="Palatino Linotype"/>
              <w:b/>
              <w:sz w:val="22"/>
              <w:szCs w:val="22"/>
              <w:lang w:val="es-ES_tradnl"/>
            </w:rPr>
            <w:t>0</w:t>
          </w:r>
          <w:r w:rsidR="00A5424D">
            <w:rPr>
              <w:rFonts w:ascii="Palatino Linotype" w:hAnsi="Palatino Linotype"/>
              <w:b/>
              <w:sz w:val="22"/>
              <w:szCs w:val="22"/>
              <w:lang w:val="es-ES_tradnl"/>
            </w:rPr>
            <w:t>4352</w:t>
          </w:r>
          <w:r w:rsidR="00210ECE" w:rsidRPr="00E6045D">
            <w:rPr>
              <w:rFonts w:ascii="Palatino Linotype" w:hAnsi="Palatino Linotype"/>
              <w:b/>
              <w:sz w:val="22"/>
              <w:szCs w:val="22"/>
              <w:lang w:val="es-ES_tradnl"/>
            </w:rPr>
            <w:t>/INFOEM/IP/RR/20</w:t>
          </w:r>
          <w:r w:rsidR="00210ECE">
            <w:rPr>
              <w:rFonts w:ascii="Palatino Linotype" w:hAnsi="Palatino Linotype"/>
              <w:b/>
              <w:sz w:val="22"/>
              <w:szCs w:val="22"/>
              <w:lang w:val="es-ES_tradnl"/>
            </w:rPr>
            <w:t>21</w:t>
          </w:r>
        </w:p>
      </w:tc>
    </w:tr>
    <w:tr w:rsidR="000B106B" w:rsidRPr="008F2CCC" w14:paraId="46A5736B" w14:textId="77777777" w:rsidTr="00CA3AC0">
      <w:tc>
        <w:tcPr>
          <w:tcW w:w="3828" w:type="dxa"/>
          <w:vMerge/>
        </w:tcPr>
        <w:p w14:paraId="34E0777C" w14:textId="77777777" w:rsidR="000B106B" w:rsidRPr="008F2CCC" w:rsidRDefault="00F24E58" w:rsidP="00CA3AC0">
          <w:pPr>
            <w:rPr>
              <w:rFonts w:ascii="Palatino Linotype" w:hAnsi="Palatino Linotype"/>
              <w:b/>
              <w:sz w:val="22"/>
              <w:szCs w:val="22"/>
              <w:lang w:val="es-ES_tradnl"/>
            </w:rPr>
          </w:pPr>
        </w:p>
      </w:tc>
      <w:tc>
        <w:tcPr>
          <w:tcW w:w="2551" w:type="dxa"/>
          <w:shd w:val="clear" w:color="auto" w:fill="auto"/>
        </w:tcPr>
        <w:p w14:paraId="22548CE4" w14:textId="77777777" w:rsidR="000B106B" w:rsidRPr="00664658" w:rsidRDefault="00210ECE"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0ADCD30" w14:textId="77777777" w:rsidR="000B106B" w:rsidRPr="00D41D47" w:rsidRDefault="00A5424D" w:rsidP="00F354A5">
          <w:pPr>
            <w:jc w:val="both"/>
            <w:rPr>
              <w:rFonts w:ascii="Palatino Linotype" w:hAnsi="Palatino Linotype"/>
              <w:b/>
              <w:sz w:val="22"/>
              <w:szCs w:val="22"/>
              <w:lang w:val="es-ES_tradnl"/>
            </w:rPr>
          </w:pPr>
          <w:r>
            <w:rPr>
              <w:rFonts w:ascii="Palatino Linotype" w:hAnsi="Palatino Linotype"/>
              <w:b/>
              <w:sz w:val="22"/>
              <w:szCs w:val="22"/>
              <w:lang w:val="es-ES_tradnl"/>
            </w:rPr>
            <w:t>Ayuntamiento de San Felipe del Progreso</w:t>
          </w:r>
        </w:p>
      </w:tc>
    </w:tr>
    <w:tr w:rsidR="000B106B" w:rsidRPr="008F2CCC" w14:paraId="66B093A3" w14:textId="77777777" w:rsidTr="00CA3AC0">
      <w:trPr>
        <w:trHeight w:val="228"/>
      </w:trPr>
      <w:tc>
        <w:tcPr>
          <w:tcW w:w="3828" w:type="dxa"/>
          <w:vMerge/>
        </w:tcPr>
        <w:p w14:paraId="5449A690" w14:textId="77777777" w:rsidR="000B106B" w:rsidRPr="008F2CCC" w:rsidRDefault="00F24E58" w:rsidP="00CA3AC0">
          <w:pPr>
            <w:rPr>
              <w:rFonts w:ascii="Palatino Linotype" w:hAnsi="Palatino Linotype"/>
              <w:b/>
              <w:sz w:val="22"/>
              <w:szCs w:val="22"/>
              <w:lang w:val="es-ES_tradnl"/>
            </w:rPr>
          </w:pPr>
        </w:p>
      </w:tc>
      <w:tc>
        <w:tcPr>
          <w:tcW w:w="2551" w:type="dxa"/>
          <w:shd w:val="clear" w:color="auto" w:fill="auto"/>
        </w:tcPr>
        <w:p w14:paraId="2887C239" w14:textId="77777777" w:rsidR="000B106B" w:rsidRPr="00664658" w:rsidRDefault="00210ECE"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32CB5C" w14:textId="77777777" w:rsidR="000B106B" w:rsidRPr="00664658" w:rsidRDefault="00A5424D" w:rsidP="00CA3AC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1CC0F0" w14:textId="77777777" w:rsidR="000B106B" w:rsidRPr="0010196A" w:rsidRDefault="00F24E58"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0B1E" w14:textId="77777777" w:rsidR="000B106B" w:rsidRPr="0010196A" w:rsidRDefault="00F24E58">
    <w:pPr>
      <w:rPr>
        <w:rFonts w:ascii="Palatino Linotype" w:hAnsi="Palatino Linotype"/>
        <w:sz w:val="28"/>
        <w:szCs w:val="28"/>
      </w:rPr>
    </w:pPr>
    <w:r>
      <w:rPr>
        <w:rFonts w:ascii="Palatino Linotype" w:hAnsi="Palatino Linotype"/>
        <w:noProof/>
        <w:sz w:val="28"/>
        <w:szCs w:val="28"/>
        <w:lang w:eastAsia="es-MX"/>
      </w:rPr>
      <w:pict w14:anchorId="4768F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62404048" w14:textId="77777777" w:rsidTr="00CA3AC0">
      <w:tc>
        <w:tcPr>
          <w:tcW w:w="3828" w:type="dxa"/>
          <w:vMerge w:val="restart"/>
          <w:shd w:val="clear" w:color="auto" w:fill="auto"/>
        </w:tcPr>
        <w:p w14:paraId="5AE93C63" w14:textId="77777777" w:rsidR="000B106B" w:rsidRPr="008F2CCC" w:rsidRDefault="00210ECE"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EB193B" wp14:editId="1933B2B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0BE8E89" w14:textId="77777777"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696EFF2D" w14:textId="77777777" w:rsidR="000B106B" w:rsidRPr="008F2CCC" w:rsidRDefault="007D3F74" w:rsidP="00D75024">
          <w:pPr>
            <w:jc w:val="both"/>
            <w:rPr>
              <w:rFonts w:ascii="Palatino Linotype" w:hAnsi="Palatino Linotype"/>
              <w:b/>
              <w:sz w:val="22"/>
              <w:szCs w:val="22"/>
              <w:lang w:val="es-ES_tradnl"/>
            </w:rPr>
          </w:pPr>
          <w:r>
            <w:rPr>
              <w:rFonts w:ascii="Palatino Linotype" w:hAnsi="Palatino Linotype"/>
              <w:b/>
              <w:sz w:val="22"/>
              <w:szCs w:val="22"/>
              <w:lang w:val="es-ES_tradnl"/>
            </w:rPr>
            <w:t>4352</w:t>
          </w:r>
          <w:r w:rsidR="00210ECE">
            <w:rPr>
              <w:rFonts w:ascii="Palatino Linotype" w:hAnsi="Palatino Linotype"/>
              <w:b/>
              <w:sz w:val="22"/>
              <w:szCs w:val="22"/>
              <w:lang w:val="es-ES_tradnl"/>
            </w:rPr>
            <w:t>/INFOEM/IP/RR/2021</w:t>
          </w:r>
        </w:p>
      </w:tc>
    </w:tr>
    <w:tr w:rsidR="000B106B" w:rsidRPr="008F2CCC" w14:paraId="6F4E25F9" w14:textId="77777777" w:rsidTr="00CA3AC0">
      <w:tc>
        <w:tcPr>
          <w:tcW w:w="3828" w:type="dxa"/>
          <w:vMerge/>
          <w:shd w:val="clear" w:color="auto" w:fill="auto"/>
        </w:tcPr>
        <w:p w14:paraId="55EEE950" w14:textId="77777777" w:rsidR="000B106B" w:rsidRPr="008F2CCC" w:rsidRDefault="00F24E58" w:rsidP="00CA3AC0">
          <w:pPr>
            <w:rPr>
              <w:rFonts w:ascii="Palatino Linotype" w:hAnsi="Palatino Linotype"/>
              <w:b/>
              <w:sz w:val="22"/>
              <w:szCs w:val="22"/>
              <w:lang w:val="es-ES_tradnl"/>
            </w:rPr>
          </w:pPr>
        </w:p>
      </w:tc>
      <w:tc>
        <w:tcPr>
          <w:tcW w:w="2552" w:type="dxa"/>
          <w:shd w:val="clear" w:color="auto" w:fill="auto"/>
        </w:tcPr>
        <w:p w14:paraId="49799620" w14:textId="77777777"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58813153" w14:textId="450B731F" w:rsidR="000B106B" w:rsidRPr="008F2CCC" w:rsidRDefault="00D80F4F" w:rsidP="00862FCD">
          <w:pPr>
            <w:jc w:val="both"/>
            <w:rPr>
              <w:rFonts w:ascii="Palatino Linotype" w:hAnsi="Palatino Linotype"/>
              <w:b/>
              <w:sz w:val="22"/>
              <w:szCs w:val="22"/>
              <w:lang w:val="es-ES_tradnl"/>
            </w:rPr>
          </w:pPr>
          <w:r>
            <w:rPr>
              <w:rFonts w:ascii="Palatino Linotype" w:hAnsi="Palatino Linotype"/>
              <w:b/>
              <w:sz w:val="22"/>
              <w:szCs w:val="22"/>
              <w:lang w:val="es-ES_tradnl"/>
            </w:rPr>
            <w:t>XXXXX XXXXXXX XXXXX</w:t>
          </w:r>
          <w:r w:rsidR="00677671">
            <w:rPr>
              <w:rFonts w:ascii="Palatino Linotype" w:hAnsi="Palatino Linotype"/>
              <w:b/>
              <w:sz w:val="22"/>
              <w:szCs w:val="22"/>
              <w:lang w:val="es-ES_tradnl"/>
            </w:rPr>
            <w:t xml:space="preserve"> </w:t>
          </w:r>
        </w:p>
      </w:tc>
    </w:tr>
    <w:tr w:rsidR="000B106B" w:rsidRPr="008F2CCC" w14:paraId="234A5BA6" w14:textId="77777777" w:rsidTr="00CA3AC0">
      <w:trPr>
        <w:trHeight w:val="228"/>
      </w:trPr>
      <w:tc>
        <w:tcPr>
          <w:tcW w:w="3828" w:type="dxa"/>
          <w:vMerge/>
          <w:shd w:val="clear" w:color="auto" w:fill="auto"/>
        </w:tcPr>
        <w:p w14:paraId="2413C615" w14:textId="77777777" w:rsidR="000B106B" w:rsidRPr="008F2CCC" w:rsidRDefault="00F24E58" w:rsidP="00CA3AC0">
          <w:pPr>
            <w:rPr>
              <w:rFonts w:ascii="Palatino Linotype" w:hAnsi="Palatino Linotype"/>
              <w:b/>
              <w:sz w:val="22"/>
              <w:szCs w:val="22"/>
              <w:lang w:val="es-ES_tradnl"/>
            </w:rPr>
          </w:pPr>
        </w:p>
      </w:tc>
      <w:tc>
        <w:tcPr>
          <w:tcW w:w="2552" w:type="dxa"/>
          <w:shd w:val="clear" w:color="auto" w:fill="auto"/>
        </w:tcPr>
        <w:p w14:paraId="25A2DA97" w14:textId="77777777"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73A886DA" w14:textId="77777777" w:rsidR="000B106B" w:rsidRPr="00D907B3" w:rsidRDefault="00677671" w:rsidP="00862FCD">
          <w:pPr>
            <w:jc w:val="both"/>
            <w:rPr>
              <w:rFonts w:ascii="Palatino Linotype" w:hAnsi="Palatino Linotype"/>
              <w:b/>
              <w:sz w:val="22"/>
              <w:szCs w:val="22"/>
              <w:lang w:val="es-ES_tradnl"/>
            </w:rPr>
          </w:pPr>
          <w:r>
            <w:rPr>
              <w:rFonts w:ascii="Palatino Linotype" w:hAnsi="Palatino Linotype"/>
              <w:b/>
              <w:sz w:val="22"/>
              <w:szCs w:val="22"/>
              <w:lang w:val="es-ES_tradnl"/>
            </w:rPr>
            <w:t>Ayuntamiento de</w:t>
          </w:r>
          <w:r w:rsidR="00862FCD">
            <w:rPr>
              <w:rFonts w:ascii="Palatino Linotype" w:hAnsi="Palatino Linotype"/>
              <w:b/>
              <w:sz w:val="22"/>
              <w:szCs w:val="22"/>
              <w:lang w:val="es-ES_tradnl"/>
            </w:rPr>
            <w:t xml:space="preserve"> San Felipe del Progreso</w:t>
          </w:r>
        </w:p>
      </w:tc>
    </w:tr>
    <w:tr w:rsidR="000B106B" w:rsidRPr="008F2CCC" w14:paraId="13E4E23F" w14:textId="77777777" w:rsidTr="00CA3AC0">
      <w:tc>
        <w:tcPr>
          <w:tcW w:w="3828" w:type="dxa"/>
          <w:vMerge/>
          <w:shd w:val="clear" w:color="auto" w:fill="auto"/>
        </w:tcPr>
        <w:p w14:paraId="76AAABEB" w14:textId="77777777" w:rsidR="000B106B" w:rsidRPr="008F2CCC" w:rsidRDefault="00F24E58" w:rsidP="00CA3AC0">
          <w:pPr>
            <w:rPr>
              <w:rFonts w:ascii="Palatino Linotype" w:hAnsi="Palatino Linotype"/>
              <w:b/>
              <w:sz w:val="22"/>
              <w:szCs w:val="22"/>
              <w:lang w:val="es-ES_tradnl"/>
            </w:rPr>
          </w:pPr>
        </w:p>
      </w:tc>
      <w:tc>
        <w:tcPr>
          <w:tcW w:w="2552" w:type="dxa"/>
          <w:shd w:val="clear" w:color="auto" w:fill="auto"/>
        </w:tcPr>
        <w:p w14:paraId="0C92548E" w14:textId="77777777"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64C27A90" w14:textId="77777777" w:rsidR="000B106B" w:rsidRPr="008F2CCC" w:rsidRDefault="00862FCD" w:rsidP="00862FCD">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EC84EFF" w14:textId="77777777" w:rsidR="000B106B" w:rsidRPr="0010196A" w:rsidRDefault="00F24E58"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062BF"/>
    <w:rsid w:val="000452F8"/>
    <w:rsid w:val="000532B3"/>
    <w:rsid w:val="00086A8C"/>
    <w:rsid w:val="000B540E"/>
    <w:rsid w:val="000E7A3D"/>
    <w:rsid w:val="00153685"/>
    <w:rsid w:val="001C5CC7"/>
    <w:rsid w:val="001E575B"/>
    <w:rsid w:val="00210ECE"/>
    <w:rsid w:val="00227BE1"/>
    <w:rsid w:val="00242377"/>
    <w:rsid w:val="00431048"/>
    <w:rsid w:val="0045701A"/>
    <w:rsid w:val="004B7AD1"/>
    <w:rsid w:val="004E0548"/>
    <w:rsid w:val="00534EED"/>
    <w:rsid w:val="005F2137"/>
    <w:rsid w:val="00655483"/>
    <w:rsid w:val="0066758C"/>
    <w:rsid w:val="00677671"/>
    <w:rsid w:val="006F0CDA"/>
    <w:rsid w:val="00717DE3"/>
    <w:rsid w:val="00730E69"/>
    <w:rsid w:val="007750F3"/>
    <w:rsid w:val="007D3F74"/>
    <w:rsid w:val="00812915"/>
    <w:rsid w:val="00862FCD"/>
    <w:rsid w:val="009149BD"/>
    <w:rsid w:val="00915490"/>
    <w:rsid w:val="009C1149"/>
    <w:rsid w:val="00A24820"/>
    <w:rsid w:val="00A5424D"/>
    <w:rsid w:val="00AA6CFC"/>
    <w:rsid w:val="00BD0979"/>
    <w:rsid w:val="00C13F31"/>
    <w:rsid w:val="00C575A3"/>
    <w:rsid w:val="00CA53B8"/>
    <w:rsid w:val="00CD057F"/>
    <w:rsid w:val="00D0290B"/>
    <w:rsid w:val="00D2122B"/>
    <w:rsid w:val="00D75024"/>
    <w:rsid w:val="00D80F4F"/>
    <w:rsid w:val="00DA2D32"/>
    <w:rsid w:val="00DB7988"/>
    <w:rsid w:val="00E30A11"/>
    <w:rsid w:val="00E875D6"/>
    <w:rsid w:val="00EB01A6"/>
    <w:rsid w:val="00F24E58"/>
    <w:rsid w:val="00F50BCB"/>
    <w:rsid w:val="00F93A58"/>
    <w:rsid w:val="00FF06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7B53A"/>
  <w15:chartTrackingRefBased/>
  <w15:docId w15:val="{20CFE3ED-E32E-415E-967C-077D63E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B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532B3"/>
    <w:rPr>
      <w:rFonts w:eastAsiaTheme="minorEastAsia"/>
      <w:sz w:val="24"/>
      <w:szCs w:val="24"/>
      <w:lang w:val="es-ES_tradnl" w:eastAsia="es-ES"/>
    </w:rPr>
  </w:style>
  <w:style w:type="paragraph" w:styleId="Piedepgina">
    <w:name w:val="footer"/>
    <w:basedOn w:val="Normal"/>
    <w:link w:val="Piedepgina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532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532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532B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32B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32B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3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32</Pages>
  <Words>8320</Words>
  <Characters>45764</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PONENCIA EAY</cp:lastModifiedBy>
  <cp:revision>16</cp:revision>
  <dcterms:created xsi:type="dcterms:W3CDTF">2021-10-20T01:55:00Z</dcterms:created>
  <dcterms:modified xsi:type="dcterms:W3CDTF">2021-11-05T22:55:00Z</dcterms:modified>
</cp:coreProperties>
</file>