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3465"/>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dieciocho (18) de noviembre de dos mil veintiuno.</w:t>
      </w:r>
    </w:p>
    <w:p w:rsidR="00000000" w:rsidDel="00000000" w:rsidP="00000000" w:rsidRDefault="00000000" w:rsidRPr="00000000" w14:paraId="00000002">
      <w:pPr>
        <w:tabs>
          <w:tab w:val="left" w:pos="3465"/>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electrónico formado con motivo del recurso de revisión </w:t>
      </w:r>
      <w:r w:rsidDel="00000000" w:rsidR="00000000" w:rsidRPr="00000000">
        <w:rPr>
          <w:rFonts w:ascii="Palatino Linotype" w:cs="Palatino Linotype" w:eastAsia="Palatino Linotype" w:hAnsi="Palatino Linotype"/>
          <w:b w:val="1"/>
          <w:rtl w:val="0"/>
        </w:rPr>
        <w:t xml:space="preserve">03903/INFOEM/IP/RR/2021, </w:t>
      </w:r>
      <w:r w:rsidDel="00000000" w:rsidR="00000000" w:rsidRPr="00000000">
        <w:rPr>
          <w:rFonts w:ascii="Palatino Linotype" w:cs="Palatino Linotype" w:eastAsia="Palatino Linotype" w:hAnsi="Palatino Linotype"/>
          <w:rtl w:val="0"/>
        </w:rPr>
        <w:t xml:space="preserve">promovido por </w:t>
      </w:r>
      <w:r w:rsidDel="00000000" w:rsidR="00000000" w:rsidRPr="00000000">
        <w:rPr>
          <w:rFonts w:ascii="Palatino Linotype" w:cs="Palatino Linotype" w:eastAsia="Palatino Linotype" w:hAnsi="Palatino Linotype"/>
          <w:b w:val="1"/>
          <w:rtl w:val="0"/>
        </w:rPr>
        <w:t xml:space="preserve">Christopher Martinez de Alejandro</w:t>
      </w:r>
      <w:r w:rsidDel="00000000" w:rsidR="00000000" w:rsidRPr="00000000">
        <w:rPr>
          <w:rFonts w:ascii="Palatino Linotype" w:cs="Palatino Linotype" w:eastAsia="Palatino Linotype" w:hAnsi="Palatino Linotype"/>
          <w:rtl w:val="0"/>
        </w:rPr>
        <w:t xml:space="preserve"> a través del Sistema de Acceso a la Información Mexiquense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quien en lo sucesivo se le identificará como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en contra de la respuesta de la </w:t>
      </w:r>
      <w:r w:rsidDel="00000000" w:rsidR="00000000" w:rsidRPr="00000000">
        <w:rPr>
          <w:rFonts w:ascii="Palatino Linotype" w:cs="Palatino Linotype" w:eastAsia="Palatino Linotype" w:hAnsi="Palatino Linotype"/>
          <w:b w:val="1"/>
          <w:rtl w:val="0"/>
        </w:rPr>
        <w:t xml:space="preserve">Secretaría de Cultura y Turismo, </w:t>
      </w:r>
      <w:r w:rsidDel="00000000" w:rsidR="00000000" w:rsidRPr="00000000">
        <w:rPr>
          <w:rFonts w:ascii="Palatino Linotype" w:cs="Palatino Linotype" w:eastAsia="Palatino Linotype" w:hAnsi="Palatino Linotype"/>
          <w:rtl w:val="0"/>
        </w:rPr>
        <w:t xml:space="preserve">en lo sucesivo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pStyle w:val="Heading1"/>
        <w:spacing w:before="0" w:line="360" w:lineRule="auto"/>
        <w:jc w:val="center"/>
        <w:rPr>
          <w:rFonts w:ascii="Palatino Linotype" w:cs="Palatino Linotype" w:eastAsia="Palatino Linotype" w:hAnsi="Palatino Linotype"/>
          <w:b w:val="1"/>
          <w:color w:val="000000"/>
          <w:sz w:val="24"/>
          <w:szCs w:val="24"/>
        </w:rPr>
      </w:pPr>
      <w:bookmarkStart w:colFirst="0" w:colLast="0" w:name="_heading=h.gjdgxs" w:id="0"/>
      <w:bookmarkEnd w:id="0"/>
      <w:r w:rsidDel="00000000" w:rsidR="00000000" w:rsidRPr="00000000">
        <w:rPr>
          <w:rFonts w:ascii="Palatino Linotype" w:cs="Palatino Linotype" w:eastAsia="Palatino Linotype" w:hAnsi="Palatino Linotype"/>
          <w:b w:val="1"/>
          <w:color w:val="000000"/>
          <w:sz w:val="24"/>
          <w:szCs w:val="24"/>
          <w:rtl w:val="0"/>
        </w:rPr>
        <w:t xml:space="preserve">A N T E C E D E N T E 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día veintiocho (28) de junio de dos mil veintiuno</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presentó ante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vía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Sistema de Acceso a la Información Mexiquense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solicitud de información pública registrada con el número</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00080/SCTUR/IP/2021,</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mediante la cual se solicitó la siguiente información:</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74"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“Quiero la información sobre la competencia denominada "Nacionales Conade 2021" en la modalidad de vela, para ser más preciso, Quiero que me proporcionen: A) los requisitos para la inscripción y eliminatorias para participantes y entrenadores. B) Fecha de las competencias y eliminatorias para los seleccionados del Estado de México, así como la fecha y lugar donde se realizaron las NACIONALES CONADE de vela 2021. C) Un desglose presupuestal de lo destinado para ello; es decir donde contenga el detalle de los costos qué cubren el transporte, viáticos y hospedaje de los atletas, delegados y entrenadores, junto con una relación del "nombre o razón social", DE LA PERSONA FISICA O MORAL de los proveedores de los servicios antes mencionados. :v Y una relación con un desglose individual de los gastos de transporte, viáticos y hospedaje de LOS ENTRENADORES, delegados Y ATLETAS(COMPETIDORES) que participaron en las NACIONALES CONADE 2021. :V”</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74"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146" w:right="474"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Modalidad de entrega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SAIMEX.</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46" w:right="474"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día dos (02) de agosto de dos mil veintiuno,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emitió su respuesta en los siguientes términos: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inline distB="0" distT="0" distL="0" distR="0">
            <wp:extent cx="3624482" cy="3224385"/>
            <wp:effectExtent b="0" l="0" r="0" t="0"/>
            <wp:docPr id="4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624482" cy="322438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5651500</wp:posOffset>
                </wp:positionV>
                <wp:extent cx="5470857" cy="1362881"/>
                <wp:effectExtent b="0" l="0" r="0" t="0"/>
                <wp:wrapNone/>
                <wp:docPr id="39" name=""/>
                <a:graphic>
                  <a:graphicData uri="http://schemas.microsoft.com/office/word/2010/wordprocessingShape">
                    <wps:wsp>
                      <wps:cNvCnPr/>
                      <wps:spPr>
                        <a:xfrm>
                          <a:off x="2623272" y="3111260"/>
                          <a:ext cx="5445457" cy="1337481"/>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5651500</wp:posOffset>
                </wp:positionV>
                <wp:extent cx="5470857" cy="1362881"/>
                <wp:effectExtent b="0" l="0" r="0" t="0"/>
                <wp:wrapNone/>
                <wp:docPr id="39"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5470857" cy="1362881"/>
                        </a:xfrm>
                        <a:prstGeom prst="rect"/>
                        <a:ln/>
                      </pic:spPr>
                    </pic:pic>
                  </a:graphicData>
                </a:graphic>
              </wp:anchor>
            </w:drawing>
          </mc:Fallback>
        </mc:AlternateConten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día tres (03) de agosto de dos mil veintiuno, el particular interpuso recurso de revisión, señalando como:</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0"/>
        </w:tabs>
        <w:spacing w:after="0" w:before="0" w:line="360" w:lineRule="auto"/>
        <w:ind w:left="720" w:right="49" w:hanging="36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Acto impugnado: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“No me proporcionaron la información solicitada en mi solicitud de información”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(Sic)</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708" w:right="49"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0"/>
        </w:tabs>
        <w:spacing w:after="0" w:before="0" w:line="360" w:lineRule="auto"/>
        <w:ind w:left="720" w:right="49" w:hanging="36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Razones o Motivos de inconformidad: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“No me proporcionaron la información solicitada en el inciso "C" de mi solicitud de información, consistente en: C) Un desglose presupuestal de lo destinado para ello; es decir donde contenga el detalle de los costos qué cubren el transporte, viáticos y hospedaje de los atletas, delegados y entrenadores, junto con una relación del "nombre o razón social", DE LA PERSONA FISICA O MORAL de los proveedores de los servicios antes mencionados. :v Y una relación con un desglose individual de los gastos de transporte, viáticos y hospedaje de LOS ENTRENADORES, delegados Y ATLETAS(COMPETIDORES) que participaron en las NACIONALES CONADE 2021. Anexo fotos del evento y enlace con los resultados https://www.racingrulesofsailing.org/documents/2193/event”</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left"/>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Asimismo, se anexaron los siguientes documentos, que en obvio de repeticiones, contener datos personales y al ya ser del conocimiento de las partes, se omite su inserción:</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46"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46"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FB_IMG_1628050792457.jpg</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46"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FB_IMG_1628050866967.jpg</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46"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FB_IMG_1628050766247.jpg</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46"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FB_IMG_1628050786846.jpg</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46"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FB_IMG_1628050832381.jpg</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46"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FB_IMG_1628050775745.jpg</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46"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FB_IMG_1628050862026.jpg</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46"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FB_IMG_1628050753471.jpg</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46"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FB_IMG_1628050759918.jpg</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46"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FB_IMG_1628050827849.jpg</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46"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FB_IMG_1628050827849.jpg</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46"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FB_IMG_1628050862026.jpg</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46"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FB_IMG_1628050770646.jpg</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left"/>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registró el Recurso de Revisión bajo el número de expediente al rubro indicado, y con fundamento en lo dispuesto por el artículo 185 fracción I de la Ley de Transparencia y Acceso a la Información Pública del Estado de México y Municipios, se turnó a la entonces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Comisionada Zulema Martínez Sánchez</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el objeto de su análisis.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Comisionada Ponente de origen con fundamento en lo dispuesto por el artículo 185 fracción II de la ley de la materia, a través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acuerdo de admisión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fecha  nueve (9) de agosto de dos mil veintiuno, puso a disposición de las partes el expediente electrónico vía SAIMEX a efecto de que en un plazo máximo de siete días manifestaran lo que a su derecho conviniera, ofrecieran pruebas y alegatos según corresponda al caso concreto, de esta forma para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presentara el Informe Justificado procedente.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el día catorce (14) de agosto de dos mil veintiuno, se pronunció adjuntando dos archivos con una relación y un padrón de atletas. Por su parte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fecha dieciocho (18) de agosto del año en curso, rindió su informe justificado, el cual fue puesto a disposición del particular mediante acuerdo de fecha veintisiete (27) del mismo mes y año.</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Pleno de este Órgano Autónomo, en la Segunda Sesión Extraordinaria, de fecha veintitrés (23) de agosto de dos mil veintiuno, ordenó el returno del Recurso de Revisión a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Comisionada María del Rosario Mejía Ayala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fin de que presentara el proyecto de resolución correspondiente.</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8"/>
          <w:szCs w:val="28"/>
          <w:u w:val="none"/>
          <w:shd w:fill="auto" w:val="clear"/>
          <w:vertAlign w:val="baseline"/>
        </w:rPr>
      </w:pPr>
      <w:bookmarkStart w:colFirst="0" w:colLast="0" w:name="_heading=h.2et92p0" w:id="4"/>
      <w:bookmarkEnd w:id="4"/>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Comisionada Ponente mediante acuerdos de fecha ocho (08) de noviembre de dos mil veintiuno, amplió el termino para resolver y decreto el cierre de instrucción, por lo que no habiendo más que hacer constar, y -----------------------------</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pStyle w:val="Heading1"/>
        <w:spacing w:before="0" w:line="360" w:lineRule="auto"/>
        <w:jc w:val="center"/>
        <w:rPr>
          <w:rFonts w:ascii="Palatino Linotype" w:cs="Palatino Linotype" w:eastAsia="Palatino Linotype" w:hAnsi="Palatino Linotype"/>
          <w:b w:val="1"/>
          <w:color w:val="000000"/>
          <w:sz w:val="28"/>
          <w:szCs w:val="28"/>
        </w:rPr>
      </w:pPr>
      <w:bookmarkStart w:colFirst="0" w:colLast="0" w:name="_heading=h.tyjcwt" w:id="5"/>
      <w:bookmarkEnd w:id="5"/>
      <w:r w:rsidDel="00000000" w:rsidR="00000000" w:rsidRPr="00000000">
        <w:rPr>
          <w:rFonts w:ascii="Palatino Linotype" w:cs="Palatino Linotype" w:eastAsia="Palatino Linotype" w:hAnsi="Palatino Linotype"/>
          <w:b w:val="1"/>
          <w:color w:val="000000"/>
          <w:sz w:val="28"/>
          <w:szCs w:val="28"/>
          <w:rtl w:val="0"/>
        </w:rPr>
        <w:t xml:space="preserve">CONSIDERANDO</w:t>
      </w:r>
    </w:p>
    <w:p w:rsidR="00000000" w:rsidDel="00000000" w:rsidP="00000000" w:rsidRDefault="00000000" w:rsidRPr="00000000" w14:paraId="00000031">
      <w:pPr>
        <w:pStyle w:val="Heading2"/>
        <w:spacing w:before="0" w:line="360" w:lineRule="auto"/>
        <w:rPr>
          <w:rFonts w:ascii="Palatino Linotype" w:cs="Palatino Linotype" w:eastAsia="Palatino Linotype" w:hAnsi="Palatino Linotype"/>
          <w:b w:val="1"/>
          <w:color w:val="000000"/>
          <w:sz w:val="24"/>
          <w:szCs w:val="24"/>
        </w:rPr>
      </w:pPr>
      <w:bookmarkStart w:colFirst="0" w:colLast="0" w:name="_heading=h.3dy6vkm" w:id="6"/>
      <w:bookmarkEnd w:id="6"/>
      <w:r w:rsidDel="00000000" w:rsidR="00000000" w:rsidRPr="00000000">
        <w:rPr>
          <w:rtl w:val="0"/>
        </w:rPr>
      </w:r>
    </w:p>
    <w:p w:rsidR="00000000" w:rsidDel="00000000" w:rsidP="00000000" w:rsidRDefault="00000000" w:rsidRPr="00000000" w14:paraId="00000032">
      <w:pPr>
        <w:pStyle w:val="Heading2"/>
        <w:spacing w:before="0" w:line="360" w:lineRule="auto"/>
        <w:rPr>
          <w:rFonts w:ascii="Palatino Linotype" w:cs="Palatino Linotype" w:eastAsia="Palatino Linotype" w:hAnsi="Palatino Linotype"/>
          <w:b w:val="1"/>
          <w:color w:val="000000"/>
          <w:sz w:val="24"/>
          <w:szCs w:val="24"/>
        </w:rPr>
      </w:pPr>
      <w:bookmarkStart w:colFirst="0" w:colLast="0" w:name="_heading=h.1t3h5sf" w:id="7"/>
      <w:bookmarkEnd w:id="7"/>
      <w:r w:rsidDel="00000000" w:rsidR="00000000" w:rsidRPr="00000000">
        <w:rPr>
          <w:rFonts w:ascii="Palatino Linotype" w:cs="Palatino Linotype" w:eastAsia="Palatino Linotype" w:hAnsi="Palatino Linotype"/>
          <w:b w:val="1"/>
          <w:color w:val="000000"/>
          <w:sz w:val="24"/>
          <w:szCs w:val="24"/>
          <w:rtl w:val="0"/>
        </w:rPr>
        <w:t xml:space="preserve">PRIMERO. De la competencia</w:t>
      </w:r>
    </w:p>
    <w:p w:rsidR="00000000" w:rsidDel="00000000" w:rsidP="00000000" w:rsidRDefault="00000000" w:rsidRPr="00000000" w14:paraId="00000033">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bookmarkStart w:colFirst="0" w:colLast="0" w:name="_heading=h.2s8eyo1" w:id="9"/>
      <w:bookmarkEnd w:id="9"/>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SEGUNDO. De la oportunidad y procedencia.</w:t>
      </w:r>
    </w:p>
    <w:p w:rsidR="00000000" w:rsidDel="00000000" w:rsidP="00000000" w:rsidRDefault="00000000" w:rsidRPr="00000000" w14:paraId="00000037">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bookmarkStart w:colFirst="0" w:colLast="0" w:name="_heading=h.17dp8vu" w:id="10"/>
      <w:bookmarkEnd w:id="10"/>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medio de impugnación fue presentado a través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el formato previamente aprobado para tal efecto y dentro del plazo legal de quince días hábiles otorgados; para el caso en particular es de señalar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entregó su respuesta el día dos (02) de agosto de dos mil veintiuno, de tal forma que el plazo para interponer el recurso transcurrió del día tres (03) al veintitrés (23) de agosto de dos mil veintiuno; en consecuencia, el ahora recurrente presentó su inconformidad el día tres (3) de agosto de dos mil veintiuno; es decir dentro del lapso temporal legalmente establecido para tal efecto.</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pStyle w:val="Heading1"/>
        <w:spacing w:before="0" w:line="360" w:lineRule="auto"/>
        <w:rPr>
          <w:rFonts w:ascii="Palatino Linotype" w:cs="Palatino Linotype" w:eastAsia="Palatino Linotype" w:hAnsi="Palatino Linotype"/>
          <w:b w:val="1"/>
          <w:color w:val="000000"/>
          <w:sz w:val="24"/>
          <w:szCs w:val="24"/>
        </w:rPr>
      </w:pPr>
      <w:bookmarkStart w:colFirst="0" w:colLast="0" w:name="_heading=h.3rdcrjn" w:id="11"/>
      <w:bookmarkEnd w:id="11"/>
      <w:r w:rsidDel="00000000" w:rsidR="00000000" w:rsidRPr="00000000">
        <w:rPr>
          <w:rFonts w:ascii="Palatino Linotype" w:cs="Palatino Linotype" w:eastAsia="Palatino Linotype" w:hAnsi="Palatino Linotype"/>
          <w:b w:val="1"/>
          <w:color w:val="000000"/>
          <w:sz w:val="24"/>
          <w:szCs w:val="24"/>
          <w:rtl w:val="0"/>
        </w:rPr>
        <w:t xml:space="preserve">TERCERO. Del planteamiento de la </w:t>
      </w:r>
      <w:r w:rsidDel="00000000" w:rsidR="00000000" w:rsidRPr="00000000">
        <w:rPr>
          <w:rFonts w:ascii="Palatino Linotype" w:cs="Palatino Linotype" w:eastAsia="Palatino Linotype" w:hAnsi="Palatino Linotype"/>
          <w:b w:val="1"/>
          <w:i w:val="1"/>
          <w:color w:val="000000"/>
          <w:sz w:val="24"/>
          <w:szCs w:val="24"/>
          <w:rtl w:val="0"/>
        </w:rPr>
        <w:t xml:space="preserve">Litis</w:t>
      </w:r>
      <w:r w:rsidDel="00000000" w:rsidR="00000000" w:rsidRPr="00000000">
        <w:rPr>
          <w:rFonts w:ascii="Palatino Linotype" w:cs="Palatino Linotype" w:eastAsia="Palatino Linotype" w:hAnsi="Palatino Linotype"/>
          <w:b w:val="1"/>
          <w:color w:val="000000"/>
          <w:sz w:val="24"/>
          <w:szCs w:val="24"/>
          <w:rtl w:val="0"/>
        </w:rPr>
        <w:t xml:space="preserve">.</w:t>
      </w:r>
    </w:p>
    <w:p w:rsidR="00000000" w:rsidDel="00000000" w:rsidP="00000000" w:rsidRDefault="00000000" w:rsidRPr="00000000" w14:paraId="0000003D">
      <w:pPr>
        <w:spacing w:line="360" w:lineRule="auto"/>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solicitó, la siguiente información a modo desagregado:</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93" w:right="616"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 la competencia denominada "Nacionales CONADE 2021" en la modalidad de Vela, la siguiente información:</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9" w:right="616"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9" w:right="616"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Requisitos para la inscripción y eliminatorias de participantes y entrenadores;</w:t>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9" w:right="616"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Fechas de competencias y eliminatorias para los seleccionados del Estado de México, así como fecha y lugar donde se realizó el evento;</w:t>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9" w:right="616"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Desglose presupuestal del que se desprenda el detalle de costos de transporte, viáticos y hospedaje de los atletas, delegados y entrenadores y el nombre o razón social de los proveedores; y</w:t>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9" w:right="616"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Desglose individual de los gastos de transporte, viáticos y hospedaje de entrenadores, delegados y atletas.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616"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respuesta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emitió un oficio  con hipervínculos en los que a su decir se encuentra la información requerida, anteriormente transcrito en el párrafo dos (2).</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Inconforme con la respuesta, el solicitante interpuso recurso de revisión, inconformándose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grosso modo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refiriendo que no se atendió lo querido en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Inciso C</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dichas condiciones, la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Litis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resolver en el presente recurso de revisión, se circunscribe a determinar si se actualizan la causal de procedencia prevista en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artículo 179</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fracción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V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Ley de Transparencia y Acceso a la Información Pública del Estado de México y Municipios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fracción que determina las hipótesis jurídica de la entrega de información incompleta, causal de la que se dolió el particular recurrente al momento de interponer su recurso de revisión, por lo que se determinará si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su respuesta ciertamente actualiza la causal de referencia;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completa e integral.</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pStyle w:val="Heading1"/>
        <w:spacing w:before="0" w:line="360" w:lineRule="auto"/>
        <w:rPr>
          <w:rFonts w:ascii="Palatino Linotype" w:cs="Palatino Linotype" w:eastAsia="Palatino Linotype" w:hAnsi="Palatino Linotype"/>
          <w:b w:val="1"/>
          <w:color w:val="000000"/>
          <w:sz w:val="24"/>
          <w:szCs w:val="24"/>
        </w:rPr>
      </w:pPr>
      <w:bookmarkStart w:colFirst="0" w:colLast="0" w:name="_heading=h.26in1rg" w:id="12"/>
      <w:bookmarkEnd w:id="12"/>
      <w:r w:rsidDel="00000000" w:rsidR="00000000" w:rsidRPr="00000000">
        <w:rPr>
          <w:rFonts w:ascii="Palatino Linotype" w:cs="Palatino Linotype" w:eastAsia="Palatino Linotype" w:hAnsi="Palatino Linotype"/>
          <w:b w:val="1"/>
          <w:color w:val="000000"/>
          <w:sz w:val="24"/>
          <w:szCs w:val="24"/>
          <w:rtl w:val="0"/>
        </w:rPr>
        <w:t xml:space="preserve">CUARTO. Del estudio y resolución del asunto.</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Primeramente es menester precisar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debe ser cuidadoso del debido cumplimiento de las obligaciones constitucionales que se le imponen, en consecuencia, a todas las autoridades, en el ámbito de su competencia, según lo dispone el tercer párrafo del artículo primero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Constitución Política de los Estados Unidos Mexicanos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al señalar la obligación de “promover, respetar, proteger y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garantizar</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los derechos humanos”, entre los cuales se encuentra dicho derecho.</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Así las cosas, podemos definir el Derecho de Acceso a la Información Pública como: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La igualdad de oportunidades para recibir, buscar e impartir información</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Pr>
        <w:footnoteReference w:customMarkFollows="0" w:id="0"/>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Pr>
        <w:footnoteReference w:customMarkFollows="0" w:id="1"/>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se constituye como una herramienta fundamental para ejercer</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el control democrático de las gestiones estatales, de forma tal que puedan cuestionar, indagar y considerar si se está dando un adecuado cumplimiento a las funciones públicas,</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Pr>
        <w:footnoteReference w:customMarkFollows="0" w:id="2"/>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fomentando</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la transparencia de las actividades estatales y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promoviendo</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la responsabilidad de los funcionarios sobre su gestión pública,</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Pr>
        <w:footnoteReference w:customMarkFollows="0" w:id="3"/>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permite</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saber qué están haciendo los gobiernos por sus pueblos, sin lo cual la verdad languidecería y la participación en el gobierno permanecería fragmentada.</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Acotado lo anterior, es dable primeramente señalar, que como se desprende del planteamiento de la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Litis,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hoy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se inconforma únicamente por la falta de atención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Inciso C</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 su solicitud de información primigenia.</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Luego entonces, la falta de impugnación respecto de los requerimientos que no fueron manifestados en el recurso de revisión, debe entenderse como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actos consentidos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left"/>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26"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“REVISIÓN EN AMPARO. LOS RESOLUTIVOS NO COMBATIDOS DEBEN DECLARARSE FIRMES. </w:t>
      </w:r>
      <w:r w:rsidDel="00000000" w:rsidR="00000000" w:rsidRPr="00000000">
        <w:rPr>
          <w:rFonts w:ascii="Palatino Linotype" w:cs="Palatino Linotype" w:eastAsia="Palatino Linotype" w:hAnsi="Palatino Linotype"/>
          <w:b w:val="0"/>
          <w:i w:val="1"/>
          <w:smallCaps w:val="0"/>
          <w:strike w:val="0"/>
          <w:color w:val="000000"/>
          <w:sz w:val="24"/>
          <w:szCs w:val="24"/>
          <w:u w:val="single"/>
          <w:shd w:fill="auto" w:val="clear"/>
          <w:vertAlign w:val="baseline"/>
          <w:rtl w:val="0"/>
        </w:rPr>
        <w:t xml:space="preserve">Cuando algún resolutivo de la sentencia impugnada afecta a la recurrente, y ésta no expresa agravio en contra de las consideraciones que le sirven de base, dicho resolutivo debe declararse firme.</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Esto es, en el caso referido, no obstante que la materia de la revisión comprende a todos los resolutivos que afectan a la recurrente, </w:t>
      </w:r>
      <w:r w:rsidDel="00000000" w:rsidR="00000000" w:rsidRPr="00000000">
        <w:rPr>
          <w:rFonts w:ascii="Palatino Linotype" w:cs="Palatino Linotype" w:eastAsia="Palatino Linotype" w:hAnsi="Palatino Linotype"/>
          <w:b w:val="0"/>
          <w:i w:val="1"/>
          <w:smallCaps w:val="0"/>
          <w:strike w:val="0"/>
          <w:color w:val="000000"/>
          <w:sz w:val="24"/>
          <w:szCs w:val="24"/>
          <w:u w:val="single"/>
          <w:shd w:fill="auto" w:val="clear"/>
          <w:vertAlign w:val="baseline"/>
          <w:rtl w:val="0"/>
        </w:rPr>
        <w:t xml:space="preserve">deben declararse firmes aquéllos en contra de los cuales no se formuló agravio y dicha declaración de firmeza debe reflejarse en la parte considerativa y en los resolutivos debe confirmarse la sentencia recurrida en la parte correspondiente</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2" w:right="426"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(Énfasis añadido)</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2" w:right="426"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Consecuentemente,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 parte de la respuesta que no fue impugnada debe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declararse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consentida por el recurrente, toda vez que no realizó manifestaciones de inconformidad</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474"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“ACTOS CONSENTIDOS. SON LOS QUE NO SE IMPUGNAN MEDIANTE EL RECURSO IDÓNEO. </w:t>
      </w:r>
      <w:r w:rsidDel="00000000" w:rsidR="00000000" w:rsidRPr="00000000">
        <w:rPr>
          <w:rFonts w:ascii="Palatino Linotype" w:cs="Palatino Linotype" w:eastAsia="Palatino Linotype" w:hAnsi="Palatino Linotype"/>
          <w:b w:val="0"/>
          <w:i w:val="1"/>
          <w:smallCaps w:val="0"/>
          <w:strike w:val="0"/>
          <w:color w:val="000000"/>
          <w:sz w:val="24"/>
          <w:szCs w:val="24"/>
          <w:u w:val="single"/>
          <w:shd w:fill="auto" w:val="clear"/>
          <w:vertAlign w:val="baseline"/>
          <w:rtl w:val="0"/>
        </w:rPr>
        <w:t xml:space="preserve">Debe reputarse como consentido el acto que no se impugnó por el medio establecido por la ley</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2" w:right="474"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(Énfasis añadido)</w:t>
      </w:r>
    </w:p>
    <w:p w:rsidR="00000000" w:rsidDel="00000000" w:rsidP="00000000" w:rsidRDefault="00000000" w:rsidRPr="00000000" w14:paraId="00000064">
      <w:pPr>
        <w:spacing w:line="360" w:lineRule="auto"/>
        <w:ind w:right="47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Así las cosas, se obtiene que el presente asunto versará en determinar si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atendió lo relativo 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Inciso C)</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que de manera literal correspondió a lo siguiente: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“C) Un desglose presupuestal de lo destinado para ello; es decir donde contenga el detalle de los costos qué cubren el transporte, viáticos y hospedaje de los atletas, delegados y entrenadores, junto con una relación del "nombre o razón social", DE LA PERSONA FISICA O MORAL de los proveedores de los servicios antes mencionados. :v Y una relación con un desglose individual de los gastos de transporte, viáticos y hospedaje de LOS ENTRENADORES, delegados Y ATLETAS(COMPETIDORES) que participaron en las NACIONALES CONADE 2021”</w:t>
      </w:r>
      <w:r w:rsidDel="00000000" w:rsidR="00000000" w:rsidRPr="00000000">
        <w:rPr>
          <w:rtl w:val="0"/>
        </w:rPr>
      </w:r>
    </w:p>
    <w:p w:rsidR="00000000" w:rsidDel="00000000" w:rsidP="00000000" w:rsidRDefault="00000000" w:rsidRPr="00000000" w14:paraId="00000066">
      <w:pP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Al respecto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se pronunció en el sentido de señalar que derivado del recorte presupuestal que por motivos de la pandemia SARS-CoV2  aqueja al País y al Estado de México, a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Asociación de Vela del Estado de México no se le proporcionó apoyo económico ni en especie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por lo que, no se puede entregar información al respecto; asimismo refiere que es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Comisión Nacional de Cultura Física y Deporte (CONADE) quien cubre los gastos de hospedaje y alimentación de las personas que se acreditan debidamente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Contexto que se refrendó al momento de rendir el informe justificado correspondiente, donde además se agregó que la Asociación de Vela del Estado de México, no solicitó apoyo económico ni en especie para acudir a su participación en los Nacionales CONADE, como se observa:</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127000</wp:posOffset>
                </wp:positionV>
                <wp:extent cx="5570321" cy="2300427"/>
                <wp:effectExtent b="0" l="0" r="0" t="0"/>
                <wp:wrapNone/>
                <wp:docPr id="40" name=""/>
                <a:graphic>
                  <a:graphicData uri="http://schemas.microsoft.com/office/word/2010/wordprocessingShape">
                    <wps:wsp>
                      <wps:cNvCnPr/>
                      <wps:spPr>
                        <a:xfrm>
                          <a:off x="2573540" y="2642487"/>
                          <a:ext cx="5544921" cy="2275027"/>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127000</wp:posOffset>
                </wp:positionV>
                <wp:extent cx="5570321" cy="2300427"/>
                <wp:effectExtent b="0" l="0" r="0" t="0"/>
                <wp:wrapNone/>
                <wp:docPr id="40"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5570321" cy="2300427"/>
                        </a:xfrm>
                        <a:prstGeom prst="rect"/>
                        <a:ln/>
                      </pic:spPr>
                    </pic:pic>
                  </a:graphicData>
                </a:graphic>
              </wp:anchor>
            </w:drawing>
          </mc:Fallback>
        </mc:AlternateConten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inline distB="0" distT="0" distL="0" distR="0">
            <wp:extent cx="5455606" cy="6886585"/>
            <wp:effectExtent b="0" l="0" r="0" t="0"/>
            <wp:docPr id="4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455606" cy="688658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Luego entonces, se debe entender que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no cuenta con la  información solicitada, por lo que para esta Ponencia considera que se está ante un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hecho negativo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el que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no ha generado, poseído o administrado tal documentación, por lo que no obra en sus archivos, y en tal razón no hay manera de dar satisfacción a la información específica requerida por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este sentido, cabe traer a cuenta lo previsto por el artículo 12 de la Ley de Acceso a la Información de esta Entidad Federativa, que a la letra establece lo siguiente: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505"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Quienes generen, recopilen, administren, manejen, procesen, archiven o conserven información pública serán responsables de la misma en los términos de las disposiciones jurídicas aplicables.</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902"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Énfasis añadido</w:t>
      </w:r>
    </w:p>
    <w:p w:rsidR="00000000" w:rsidDel="00000000" w:rsidP="00000000" w:rsidRDefault="00000000" w:rsidRPr="00000000" w14:paraId="00000073">
      <w:pPr>
        <w:spacing w:line="360" w:lineRule="auto"/>
        <w:ind w:right="90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Dicho precepto jurídico, es de carácter normativo, y por lo tanto, no está sujeto a interpretación, debiendo el operador del derecho aplicarlo en sus términos, y en consonancia con ello, se desprende que los sujetos obligados están compelidos a proporcionar única y exclusivamente aquella documentación que obre en sus archivos, y por lo tanto,</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a contrario sensu</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no están obligados a proporcionar información que no poseen, tal como en el presente asunto.</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Cabe señalar que el Pleno de este Organismo Garante, ha sostenido que cuando se está en presencia de un hecho negativo; es decir, que no se actualiza la circunstancia por la cual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el ámbito de sus atribuciones, pudiese poseer en sus archivos la información solicitada, resultaría innecesaria una declaratoria de inexistencia  en términos del tercer párrafo del artículo 19, y ante un hecho negativo resultan aplicables las siguientes tesis: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“INEXISTENCIA DE LA INFORMACIÓN. EL COMITÉ DE ACCESO A LA INFORMACIÓN PUEDE DECLARARLA ANTE SU EVIDENCIA, SIN NECESIDAD DE DICTAR MEDIDAS PARA SU LOCALIZACIÓN.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Clasificación de Información 35/2004-J, deriva de la solicitud de acceso a la información de Daniel Lizárraga Méndez.- 15 de noviembre de 2004.- Unanimidad de votos”.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No. Registro: 267,287</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Tésis aislada</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Matéria(s): Común</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Sexta Época</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Instancia: Segunda Sala</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Fuente: Semanario Judicial de la Federación Tercera Parte, LII</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Tesis: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Página: 101</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HECHOS NEGATIVOS, NO SON SUSCEPTIBLES DE DEMOSTRACION.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Tratándose de un hecho negativo, el Juez no tiene por que invocar prueba alguna de la que se desprenda, ya que es bien sabido que esta clase de hechos no son susceptibles de demostración.</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Amparo en revisión 2022/61. José García Florín (Menor). 9 de octubre de 1961. Cinco votos. Ponente: José Rivera Pérez Campos.</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anterior, y derivado del análisis expuesto, se concluye que se está en presencia de un hecho negativo, por lo que en este sentido resulta innecesario realizar una declaratoria de inexistencia.</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otro lado, de la respuesta emitida por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se puede dudar de su veracidad, ni de las respuestas esgrimidas por los sujetos obligados ni de la que ponen a disposición de los solicitantes; situación que se aleja de las atribuciones de este Instituto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máxime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al momento que ponen a disposición ésta, la misma tiene el carácter oficial y se presume veraz, tan es así que la misma queda registrada en el Sistema de Acceso a la Información Mexiquense (SAIMEX).</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Sirviendo de apoyo a lo anterior por analogía, el criterio 31-10 emitido por el ahora Instituto Nacional de Transparencia, Acceso a la Información y Protección de Datos Personales, que a la letra dice:</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360" w:lineRule="auto"/>
        <w:ind w:left="567" w:right="616"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El Instituto Federal de Acceso a la Información y Protección de Datos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Asimismo,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Ley de Transparencia y Acceso a la Información Pública del Estado de México y Municipios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artículo 3,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902"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616" w:firstLine="0"/>
        <w:jc w:val="both"/>
        <w:rPr>
          <w:rFonts w:ascii="Palatino Linotype" w:cs="Palatino Linotype" w:eastAsia="Palatino Linotype" w:hAnsi="Palatino Linotype"/>
          <w:b w:val="1"/>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902" w:firstLine="0"/>
        <w:jc w:val="both"/>
        <w:rPr>
          <w:rFonts w:ascii="Palatino Linotype" w:cs="Palatino Linotype" w:eastAsia="Palatino Linotype" w:hAnsi="Palatino Linotype"/>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Numerales que compelen 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apegarse en todo momento a los criterios ya expuestos, imipidiendo a este Órgano Colegiado cuestionar la veracidad de la información.</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otro lado, de las constancias que obran en el expediente electrónico en que se actúa, se desprende que quien emite la respuesta es el Director General de Cultura Física y de Deporte en su carácter de servidor público habilitado, como se observa:</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inline distB="0" distT="0" distL="0" distR="0">
            <wp:extent cx="5526103" cy="679972"/>
            <wp:effectExtent b="0" l="0" r="0" t="0"/>
            <wp:docPr id="4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526103" cy="679972"/>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inline distB="0" distT="0" distL="0" distR="0">
            <wp:extent cx="4429453" cy="3703312"/>
            <wp:effectExtent b="0" l="0" r="0" t="0"/>
            <wp:docPr id="4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429453" cy="3703312"/>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Ahora bien, de la respuesta se advierte también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realiza una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declinación de competencia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al señalar que es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Comisión Nacional de Cultura Física y Deporte (CONADE) y las entidades sedes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quien cubre los gastos de hospedaje y alimentación de las personas que se acreditan debidamente.</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las constancias que integran el asunto de mérito, se desprende que el ente organizador y convocante del evento deportivo, ciertamente es la Comisión Nacional de Cultura Física y Deporte, como se observa:</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inline distB="0" distT="0" distL="0" distR="0">
            <wp:extent cx="5609590" cy="1688465"/>
            <wp:effectExtent b="0" l="0" r="0" t="0"/>
            <wp:docPr id="4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609590" cy="1688465"/>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ese sentido,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Reglamento General de Participación de los Nacionales CONADE y Paranacionales CONADE 2021</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relativo al punto de mérito, establece lo siguiente;</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74"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“Artículo 3. Los Deportistas, Entrenadores, Auxiliares, Delegados por Deporte, Oficiales, Médicos, y Jefes de Misión, entre otros, podrán participar en los Nacionales CONADE y Paranacionales CONADE 2021, siempre y cuando cumplan con los siguientes requisitos:</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74"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74"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VI. JEFATURA DE MISIÓN.</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74"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a) NACIONALES CONADE</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w:t>
        <w:br w:type="textWrapping"/>
        <w:t xml:space="preserve">...</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74"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El número de personas con servicios de hospedaje y alimentación a las que cada Entidad tiene derecho en cada entidad Sede y Subsede, será determinado por la CONADE en función a la participación de cada entidad</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74"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74"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Artículo 4. Los integrantes del Sistema Nacional de Cultura Física y Deporte, participantes en los Nacionales CONADE y Paranacionales CONADE 2021, tendrán las siguientes funciones:</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74"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74"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II. De la CONADE.</w:t>
        <w:br w:type="textWrapping"/>
        <w:t xml:space="preserve">...</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74"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o)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Las entidades Sede y Subsedes, deben proporcionar los servicios de hospedaje, alimentación, transporte en la sede, entre otros, a los integrantes de las delegaciones participantes</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74"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74"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III.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Del Gobierno de las Entidades Sede y Subsedes de las Etapas Estatal, Regional y Nacional</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74"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74"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w) Coordinar con las Asociaciones Deportivas Nacionales o Directores Técnicos de Competencia (de conformidad a la designación realizada por CONADE), las visitas técnicas de supervisión y aprobación de las Instalaciones Deportivas</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 cubriendo los gastos de transportación, hospedaje y alimentación</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del Director Técnico de competencia</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siempre y cuando se haya realizado la solicitud previa correspondiente, se encuentre manifiesto en los Requerimientos Técnicos y se cuente con suficiencia presupuestal.</w:t>
      </w:r>
    </w:p>
    <w:p w:rsidR="00000000" w:rsidDel="00000000" w:rsidP="00000000" w:rsidRDefault="00000000" w:rsidRPr="00000000" w14:paraId="000000A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Como se observa, ciertamente es la CONADE la encargada de cubrir gastos de hospedaje, transportación y alimentos con el apoyo del Gobierno de las Entidades Sede y Subsedes de las Etapas Estatal, Regional y Nacional; en ese contexto, las sedes para el evento del año en curso, fueron las siguientes:</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inline distB="0" distT="0" distL="0" distR="0">
            <wp:extent cx="4547239" cy="1764539"/>
            <wp:effectExtent b="0" l="0" r="0" t="0"/>
            <wp:docPr id="48"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547239" cy="1764539"/>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Asimismo, del deporte requerido específicamente, se muestra que se realizó en el Estado de Guerrero, como se observa:</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inline distB="0" distT="0" distL="0" distR="0">
            <wp:extent cx="5604510" cy="2748915"/>
            <wp:effectExtent b="0" l="0" r="0" t="0"/>
            <wp:docPr id="47"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604510" cy="2748915"/>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Atento a lo anterior, se concluye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no cumplió con lo que establece la Ley de Transparencia y Acceso a la Información Pública del Estado de México y Municipios, en el artículo 167 primer párrafo, siendo lo siguiente: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2"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2" w:right="567"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Artículo 167.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Cuando las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unidades de transparencia determinen la notoria incompetencia por parte de los sujetos obligado</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s, dentro del ámbito de aplicación, para atender la solicitud de acceso a la información, deberán comunicarlo al solicitante, dentro de los </w:t>
      </w:r>
      <w:r w:rsidDel="00000000" w:rsidR="00000000" w:rsidRPr="00000000">
        <w:rPr>
          <w:rFonts w:ascii="Palatino Linotype" w:cs="Palatino Linotype" w:eastAsia="Palatino Linotype" w:hAnsi="Palatino Linotype"/>
          <w:b w:val="1"/>
          <w:i w:val="1"/>
          <w:smallCaps w:val="0"/>
          <w:strike w:val="0"/>
          <w:color w:val="000000"/>
          <w:sz w:val="24"/>
          <w:szCs w:val="24"/>
          <w:u w:val="single"/>
          <w:shd w:fill="auto" w:val="clear"/>
          <w:vertAlign w:val="baseline"/>
          <w:rtl w:val="0"/>
        </w:rPr>
        <w:t xml:space="preserve">tres días hábiles posteriores a la recepción de la solicitud</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y, en su caso orientar al solicitante, el o los sujetos obligados competentes.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2"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Luego entonces, como se visualiza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manifestó su incompetencia dentro del margen temporal establecido para tal efecto; es decir,  no hizo del conocimiento al solicitante de tal situación dentro del término de 3 días hábiles, posteriores a la presentación de la solicitud, incumpliendo con el término referido en el artículo 167 de la Ley en Materia.</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ese mismo contexto, es de señalar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2"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 así que, su obligación es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realizar, con efectividad, los trámites internos necesarios para la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atención</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de las solicitudes de información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superscript"/>
        </w:rPr>
        <w:footnoteReference w:customMarkFollows="0" w:id="4"/>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es decir, deben otorgar respuestas concisas, contundentes y sobre todo que den la certeza de los actos que realizan.</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Acotado lo anterior, es que resulta dable dejar a salvo sus derechos del particular para interponer nuevas solicitudes de información ante los sujetos obligados que considere de acuerdo a sus intereses; toda vez que el Derecho que tutela este Órgano Garante –se reitera– corresponde a la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igualdad de oportunidades para recibir, buscar e impartir información</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Pr>
        <w:footnoteReference w:customMarkFollows="0" w:id="5"/>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superscript"/>
        </w:rPr>
        <w:footnoteReference w:customMarkFollows="0" w:id="6"/>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se constituye como una herramienta fundamental para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ejercer control democrático de las gestiones estatales, de forma tal que puedan cuestionar, indagar y considerar si se está dando un adecuado cumplimiento de las funciones públicas,</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Pr>
        <w:footnoteReference w:customMarkFollows="0" w:id="7"/>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fomentando</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la transparencia de las actividades estatales y</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promoviendo</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la responsabilidad de los funcionarios sobre su gestión pública</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Pr>
        <w:footnoteReference w:customMarkFollows="0" w:id="8"/>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permite</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saber qué están haciendo los gobiernos por sus pueblos, sin lo cual la verdad languidecería y la participación en el gobierno permanecería fragmentada.</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Pr>
        <w:footnoteReference w:customMarkFollows="0" w:id="9"/>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spacing w:line="360"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C1">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TEMÁTICA DE LOS ARTÍCULOS 2, FRACCIÓN V, XV, Y XVI, 3, 4,11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C2">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C3">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C4">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C5">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C6">
      <w:pPr>
        <w:spacing w:line="360" w:lineRule="auto"/>
        <w:ind w:left="567" w:right="567" w:firstLine="0"/>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derecho de acceso a la información encuentra su materia elemental en los documentos, y la Ley de Transparencia local  nos brinda el siguiente concepto, para darnos un mejor panorama:</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 </w:t>
      </w:r>
      <w:r w:rsidDel="00000000" w:rsidR="00000000" w:rsidRPr="00000000">
        <w:rPr>
          <w:rFonts w:ascii="Palatino Linotype" w:cs="Palatino Linotype" w:eastAsia="Palatino Linotype" w:hAnsi="Palatino Linotype"/>
          <w:i w:val="1"/>
          <w:sz w:val="22"/>
          <w:szCs w:val="22"/>
          <w:rtl w:val="0"/>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00000" w:rsidDel="00000000" w:rsidP="00000000" w:rsidRDefault="00000000" w:rsidRPr="00000000" w14:paraId="000000CA">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 así que, todos los actos de autoridad que realicen los Sujetos Obligados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deben estar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documentados y, bajo el más alto estándar de transparencia deberán poner toda la información que se encuentre en su posesión, a disposición de los particulares que la soliciten.</w:t>
      </w:r>
    </w:p>
    <w:p w:rsidR="00000000" w:rsidDel="00000000" w:rsidP="00000000" w:rsidRDefault="00000000" w:rsidRPr="00000000" w14:paraId="000000C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Además, debemos tomar en cuenta los artículos 4 y 12, de la Ley de Transparencia y Acceso a la Información Pública del Estado de México y Municipios, los cuales establecen lo siguiente:</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spacing w:line="36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 </w:t>
      </w:r>
      <w:r w:rsidDel="00000000" w:rsidR="00000000" w:rsidRPr="00000000">
        <w:rPr>
          <w:rFonts w:ascii="Palatino Linotype" w:cs="Palatino Linotype" w:eastAsia="Palatino Linotype" w:hAnsi="Palatino Linotype"/>
          <w:i w:val="1"/>
          <w:rtl w:val="0"/>
        </w:rPr>
        <w:t xml:space="preserve">El derecho humano de acceso a la información pública es la prerrogativa de las personas para buscar, difundir, investigar, recabar, recibir y solicitar información pública, sin necesidad de acreditar personalidad ni interés jurídico.</w:t>
      </w:r>
    </w:p>
    <w:p w:rsidR="00000000" w:rsidDel="00000000" w:rsidP="00000000" w:rsidRDefault="00000000" w:rsidRPr="00000000" w14:paraId="000000CF">
      <w:pPr>
        <w:spacing w:line="36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la información</w:t>
      </w:r>
      <w:r w:rsidDel="00000000" w:rsidR="00000000" w:rsidRPr="00000000">
        <w:rPr>
          <w:rFonts w:ascii="Palatino Linotype" w:cs="Palatino Linotype" w:eastAsia="Palatino Linotype" w:hAnsi="Palatino Linotype"/>
          <w:i w:val="1"/>
          <w:rtl w:val="0"/>
        </w:rPr>
        <w:t xml:space="preserve"> generada, obtenida, adquirida, transformada, administrada o </w:t>
      </w:r>
      <w:r w:rsidDel="00000000" w:rsidR="00000000" w:rsidRPr="00000000">
        <w:rPr>
          <w:rFonts w:ascii="Palatino Linotype" w:cs="Palatino Linotype" w:eastAsia="Palatino Linotype" w:hAnsi="Palatino Linotype"/>
          <w:b w:val="1"/>
          <w:i w:val="1"/>
          <w:rtl w:val="0"/>
        </w:rPr>
        <w:t xml:space="preserve">en posesión de los sujetos obligados es pública</w:t>
      </w:r>
      <w:r w:rsidDel="00000000" w:rsidR="00000000" w:rsidRPr="00000000">
        <w:rPr>
          <w:rFonts w:ascii="Palatino Linotype" w:cs="Palatino Linotype" w:eastAsia="Palatino Linotype" w:hAnsi="Palatino Linotype"/>
          <w:i w:val="1"/>
          <w:rtl w:val="0"/>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00000" w:rsidDel="00000000" w:rsidP="00000000" w:rsidRDefault="00000000" w:rsidRPr="00000000" w14:paraId="000000D0">
      <w:pPr>
        <w:spacing w:line="36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D1">
      <w:pPr>
        <w:spacing w:line="360"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2">
      <w:pPr>
        <w:spacing w:line="36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12. Quienes generen, recopilen, administren, manejen, procesen, archiven o conserven información pública serán responsables de la misma en los términos de las disposiciones jurídicas aplicables.</w:t>
      </w:r>
    </w:p>
    <w:p w:rsidR="00000000" w:rsidDel="00000000" w:rsidP="00000000" w:rsidRDefault="00000000" w:rsidRPr="00000000" w14:paraId="000000D3">
      <w:pPr>
        <w:spacing w:line="36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4">
      <w:pPr>
        <w:spacing w:line="36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obligación de proporcionar información no comprende el procesamiento de la misma, ni el presentarla conforme al interés del solicitante; no estarán obligados a generarla, resumirla, efectuar cálculos o practicar investigaciones.</w:t>
      </w:r>
    </w:p>
    <w:p w:rsidR="00000000" w:rsidDel="00000000" w:rsidP="00000000" w:rsidRDefault="00000000" w:rsidRPr="00000000" w14:paraId="000000D5">
      <w:pPr>
        <w:spacing w:line="360"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Luego entonces,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superscript"/>
        </w:rPr>
        <w:footnoteReference w:customMarkFollows="0" w:id="10"/>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Robustece lo anterior la Tesis aislada identificada con la clave I.4º.A.40 A del Cuarto Tribunal colegiado en Materia Administrativa del Primer Circuito, publicada en el Seminario Judicial de la Federación y su Gaceta en el libro XVIII, Marzo 2013, Página 1899.</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ACCESO A LA INFORMACIÓN. IMPLICACIÓN DEL PRINCIPIO DE MÁXIMA PUBLICIDAD EN EL DERECHO FUNDAMENTAL RELATIVO.</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CUARTO TRIBUNAL COLEGIADO EN MATERIA ADMINISTRATIVA DEL PRIMER CIRCUITO.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Amparo en revisión 257/2012. Ruth Corona Muñoz. 6 de diciembre de 2012. Unanimidad de votos. Ponente: Jean Claude Tron Petit. Secretaria: Mayra Susana Martínez López.</w:t>
      </w:r>
    </w:p>
    <w:p w:rsidR="00000000" w:rsidDel="00000000" w:rsidP="00000000" w:rsidRDefault="00000000" w:rsidRPr="00000000" w14:paraId="000000DE">
      <w:pPr>
        <w:shd w:fill="ffffff" w:val="clear"/>
        <w:spacing w:line="36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Asimismo, la declaración de incompetencia del Sujeto Obligado debe ser aprobada por su Comité de Transparencia en términos del artículo 49 de la Ley de Transparencia Estatal, el cual dispone lo siguiente:</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2"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49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Los Comités de Transparencia tendrán las siguientes atribuciones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Confirmar, modificar o revocar las determinaciones que en materia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 ampliación del plazo de respuesta, clasificación de la información y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declaración de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inexistencia o de</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 incompetencia realicen los titulares de las áreas de los sujetos obligados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56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consecuencia, para mejor proveer a la presente resolución, en términos de los artículos 13, 181, párrafo cuarto y 49, fracción II, de la Ley de Transparencia supraindicada, resulta procedente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ordenar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emita el respectivo acuerdo de incompetencia, debidamente motivado y fundado, en el que exprese las razones, motivos y circunstancias de hecho y derecho por virtud de las cuales justifique su incompetencia.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Cobrado aplicación lo que señala la jurisprudencia de la novena época visible en el Semanario Judicial de la Federación y su Gaceta. Instancia: Tribunales Colegiados de Circuito. Tesis I.4o.A.J/43 (9a.) bajo el número de registro 175082 cuyo rubro y texto esgrime;</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2" w:right="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FUNDAMENTACIÓN Y MOTIVACIÓN. EL ASPECTO FORMAL DE LA GARANTÍA Y SU FINALIDAD SE TRADUCEN EN EXPLICAR, JUSTIFICAR, POSIBILITAR LA DEFENSA Y COMUNICAR LA DECISIÓN.</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8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br w:type="textWrapping"/>
        <w:t xml:space="preserve">El contenido formal de la garantía de legalidad prevista en el artículo </w:t>
      </w:r>
      <w:hyperlink r:id="rId17">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16 constitucional</w:t>
        </w:r>
      </w:hyperlink>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expuesto, con fundamento en el artículo 186 fracción III de la Ley de Transparencia y Acceso a la Información Pública del Estado de México y Municipios, este Órgano Garante considera procedente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modificar la respuesta y ordenar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entrega del Acuerdo referido.</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anteriormente expuesto y fundado, este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ÓRGANO GARANTE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emite los siguientes:</w:t>
      </w:r>
    </w:p>
    <w:p w:rsidR="00000000" w:rsidDel="00000000" w:rsidP="00000000" w:rsidRDefault="00000000" w:rsidRPr="00000000" w14:paraId="000000F0">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F1">
      <w:pPr>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5636158" cy="3331871"/>
                <wp:effectExtent b="0" l="0" r="0" t="0"/>
                <wp:wrapNone/>
                <wp:docPr id="38" name=""/>
                <a:graphic>
                  <a:graphicData uri="http://schemas.microsoft.com/office/word/2010/wordprocessingShape">
                    <wps:wsp>
                      <wps:cNvCnPr/>
                      <wps:spPr>
                        <a:xfrm>
                          <a:off x="2540621" y="2126765"/>
                          <a:ext cx="5610758" cy="3306471"/>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5636158" cy="3331871"/>
                <wp:effectExtent b="0" l="0" r="0" t="0"/>
                <wp:wrapNone/>
                <wp:docPr id="38"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5636158" cy="3331871"/>
                        </a:xfrm>
                        <a:prstGeom prst="rect"/>
                        <a:ln/>
                      </pic:spPr>
                    </pic:pic>
                  </a:graphicData>
                </a:graphic>
              </wp:anchor>
            </w:drawing>
          </mc:Fallback>
        </mc:AlternateContent>
      </w:r>
    </w:p>
    <w:p w:rsidR="00000000" w:rsidDel="00000000" w:rsidP="00000000" w:rsidRDefault="00000000" w:rsidRPr="00000000" w14:paraId="000000F2">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F3">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F4">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F5">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F6">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F7">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F8">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F9">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FA">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FB">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FC">
      <w:pPr>
        <w:pStyle w:val="Heading1"/>
        <w:spacing w:before="0" w:lineRule="auto"/>
        <w:jc w:val="center"/>
        <w:rPr>
          <w:rFonts w:ascii="Palatino Linotype" w:cs="Palatino Linotype" w:eastAsia="Palatino Linotype" w:hAnsi="Palatino Linotype"/>
          <w:b w:val="1"/>
          <w:color w:val="000000"/>
          <w:sz w:val="24"/>
          <w:szCs w:val="24"/>
        </w:rPr>
      </w:pPr>
      <w:bookmarkStart w:colFirst="0" w:colLast="0" w:name="_heading=h.lnxbz9" w:id="13"/>
      <w:bookmarkEnd w:id="13"/>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pStyle w:val="Heading1"/>
        <w:spacing w:before="0" w:line="360" w:lineRule="auto"/>
        <w:jc w:val="center"/>
        <w:rPr>
          <w:rFonts w:ascii="Palatino Linotype" w:cs="Palatino Linotype" w:eastAsia="Palatino Linotype" w:hAnsi="Palatino Linotype"/>
          <w:b w:val="1"/>
          <w:color w:val="000000"/>
          <w:sz w:val="24"/>
          <w:szCs w:val="24"/>
        </w:rPr>
      </w:pPr>
      <w:bookmarkStart w:colFirst="0" w:colLast="0" w:name="_heading=h.35nkun2" w:id="14"/>
      <w:bookmarkEnd w:id="14"/>
      <w:r w:rsidDel="00000000" w:rsidR="00000000" w:rsidRPr="00000000">
        <w:rPr>
          <w:rFonts w:ascii="Palatino Linotype" w:cs="Palatino Linotype" w:eastAsia="Palatino Linotype" w:hAnsi="Palatino Linotype"/>
          <w:b w:val="1"/>
          <w:color w:val="000000"/>
          <w:sz w:val="24"/>
          <w:szCs w:val="24"/>
          <w:rtl w:val="0"/>
        </w:rPr>
        <w:t xml:space="preserve">R E S O L U T I V O S </w:t>
      </w:r>
    </w:p>
    <w:p w:rsidR="00000000" w:rsidDel="00000000" w:rsidP="00000000" w:rsidRDefault="00000000" w:rsidRPr="00000000" w14:paraId="00000106">
      <w:pPr>
        <w:spacing w:line="360" w:lineRule="auto"/>
        <w:rPr/>
      </w:pPr>
      <w:r w:rsidDel="00000000" w:rsidR="00000000" w:rsidRPr="00000000">
        <w:rPr>
          <w:rtl w:val="0"/>
        </w:rPr>
      </w:r>
    </w:p>
    <w:p w:rsidR="00000000" w:rsidDel="00000000" w:rsidP="00000000" w:rsidRDefault="00000000" w:rsidRPr="00000000" w14:paraId="0000010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Resultan parcialmente fundadas las razones o motivos de inconformidad hechos valer en el Recurso de Revisión </w:t>
      </w:r>
      <w:r w:rsidDel="00000000" w:rsidR="00000000" w:rsidRPr="00000000">
        <w:rPr>
          <w:rFonts w:ascii="Palatino Linotype" w:cs="Palatino Linotype" w:eastAsia="Palatino Linotype" w:hAnsi="Palatino Linotype"/>
          <w:b w:val="1"/>
          <w:rtl w:val="0"/>
        </w:rPr>
        <w:t xml:space="preserve">03903/INFOEM/IP/RR/2021</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 </w:t>
      </w:r>
    </w:p>
    <w:p w:rsidR="00000000" w:rsidDel="00000000" w:rsidP="00000000" w:rsidRDefault="00000000" w:rsidRPr="00000000" w14:paraId="0000010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9">
      <w:pPr>
        <w:spacing w:line="360" w:lineRule="auto"/>
        <w:jc w:val="both"/>
        <w:rPr>
          <w:rFonts w:ascii="Palatino Linotype" w:cs="Palatino Linotype" w:eastAsia="Palatino Linotype" w:hAnsi="Palatino Linotype"/>
          <w:color w:val="000000"/>
        </w:rPr>
      </w:pPr>
      <w:bookmarkStart w:colFirst="0" w:colLast="0" w:name="_heading=h.1ksv4uv" w:id="15"/>
      <w:bookmarkEnd w:id="15"/>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color w:val="000000"/>
          <w:rtl w:val="0"/>
        </w:rPr>
        <w:t xml:space="preserve">Se </w:t>
      </w:r>
      <w:r w:rsidDel="00000000" w:rsidR="00000000" w:rsidRPr="00000000">
        <w:rPr>
          <w:rFonts w:ascii="Palatino Linotype" w:cs="Palatino Linotype" w:eastAsia="Palatino Linotype" w:hAnsi="Palatino Linotype"/>
          <w:b w:val="1"/>
          <w:color w:val="000000"/>
          <w:rtl w:val="0"/>
        </w:rPr>
        <w:t xml:space="preserve">MODIFICA </w:t>
      </w:r>
      <w:r w:rsidDel="00000000" w:rsidR="00000000" w:rsidRPr="00000000">
        <w:rPr>
          <w:rFonts w:ascii="Palatino Linotype" w:cs="Palatino Linotype" w:eastAsia="Palatino Linotype" w:hAnsi="Palatino Linotype"/>
          <w:color w:val="000000"/>
          <w:rtl w:val="0"/>
        </w:rPr>
        <w:t xml:space="preserve">la respuesta emitida por la </w:t>
      </w:r>
      <w:r w:rsidDel="00000000" w:rsidR="00000000" w:rsidRPr="00000000">
        <w:rPr>
          <w:rFonts w:ascii="Palatino Linotype" w:cs="Palatino Linotype" w:eastAsia="Palatino Linotype" w:hAnsi="Palatino Linotype"/>
          <w:b w:val="1"/>
          <w:color w:val="000000"/>
          <w:rtl w:val="0"/>
        </w:rPr>
        <w:t xml:space="preserve">Secretaría de Cultura y Turismo </w:t>
      </w:r>
      <w:r w:rsidDel="00000000" w:rsidR="00000000" w:rsidRPr="00000000">
        <w:rPr>
          <w:rFonts w:ascii="Palatino Linotype" w:cs="Palatino Linotype" w:eastAsia="Palatino Linotype" w:hAnsi="Palatino Linotype"/>
          <w:color w:val="000000"/>
          <w:rtl w:val="0"/>
        </w:rPr>
        <w:t xml:space="preserve">y se </w:t>
      </w:r>
      <w:r w:rsidDel="00000000" w:rsidR="00000000" w:rsidRPr="00000000">
        <w:rPr>
          <w:rFonts w:ascii="Palatino Linotype" w:cs="Palatino Linotype" w:eastAsia="Palatino Linotype" w:hAnsi="Palatino Linotype"/>
          <w:b w:val="1"/>
          <w:color w:val="000000"/>
          <w:rtl w:val="0"/>
        </w:rPr>
        <w:t xml:space="preserve">ORDENA</w:t>
      </w:r>
      <w:r w:rsidDel="00000000" w:rsidR="00000000" w:rsidRPr="00000000">
        <w:rPr>
          <w:rFonts w:ascii="Palatino Linotype" w:cs="Palatino Linotype" w:eastAsia="Palatino Linotype" w:hAnsi="Palatino Linotype"/>
          <w:color w:val="000000"/>
          <w:rtl w:val="0"/>
        </w:rPr>
        <w:t xml:space="preserve"> entregar vía Sistema de Acceso a la Información Mexiquense </w:t>
      </w:r>
      <w:r w:rsidDel="00000000" w:rsidR="00000000" w:rsidRPr="00000000">
        <w:rPr>
          <w:rFonts w:ascii="Palatino Linotype" w:cs="Palatino Linotype" w:eastAsia="Palatino Linotype" w:hAnsi="Palatino Linotype"/>
          <w:b w:val="1"/>
          <w:color w:val="000000"/>
          <w:rtl w:val="0"/>
        </w:rPr>
        <w:t xml:space="preserve">(SAIMEX)</w:t>
      </w:r>
      <w:r w:rsidDel="00000000" w:rsidR="00000000" w:rsidRPr="00000000">
        <w:rPr>
          <w:rFonts w:ascii="Palatino Linotype" w:cs="Palatino Linotype" w:eastAsia="Palatino Linotype" w:hAnsi="Palatino Linotype"/>
          <w:color w:val="000000"/>
          <w:rtl w:val="0"/>
        </w:rPr>
        <w:t xml:space="preserve">, lo siguiente: </w:t>
      </w:r>
    </w:p>
    <w:p w:rsidR="00000000" w:rsidDel="00000000" w:rsidP="00000000" w:rsidRDefault="00000000" w:rsidRPr="00000000" w14:paraId="0000010A">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1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70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44sinio" w:id="16"/>
      <w:bookmarkEnd w:id="16"/>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Acuerdo de Incompetencia, debidamente motivado y fundado, relacionado con los montos de transporte, alimentos y hospedaje, de los atletas, delegados y entrenadores participantes en las Nacionales CONADE 2021 en la categoría de Vela, así como el nombre o razón social de los proveedores de los servicios de referencia.</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spacing w:line="360" w:lineRule="auto"/>
        <w:jc w:val="both"/>
        <w:rPr>
          <w:rFonts w:ascii="Palatino Linotype" w:cs="Palatino Linotype" w:eastAsia="Palatino Linotype" w:hAnsi="Palatino Linotype"/>
          <w:highlight w:val="white"/>
        </w:rPr>
      </w:pPr>
      <w:bookmarkStart w:colFirst="0" w:colLast="0" w:name="_heading=h.2jxsxqh" w:id="17"/>
      <w:bookmarkEnd w:id="17"/>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Notifíquese </w:t>
      </w:r>
      <w:r w:rsidDel="00000000" w:rsidR="00000000" w:rsidRPr="00000000">
        <w:rPr>
          <w:rFonts w:ascii="Palatino Linotype" w:cs="Palatino Linotype" w:eastAsia="Palatino Linotype" w:hAnsi="Palatino Linotype"/>
          <w:rtl w:val="0"/>
        </w:rPr>
        <w:t xml:space="preserve">al Titular de la Unidad de Transparencia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vía SAIMEX, para que conforme a los artículos 186 último párrafo, 189 párrafo segundo y 199 de la Ley de Transparencia y Acceso a la Información Pública del Estado de México y Municipios, </w:t>
      </w:r>
      <w:r w:rsidDel="00000000" w:rsidR="00000000" w:rsidRPr="00000000">
        <w:rPr>
          <w:rFonts w:ascii="Palatino Linotype" w:cs="Palatino Linotype" w:eastAsia="Palatino Linotype" w:hAnsi="Palatino Linotype"/>
          <w:highlight w:val="white"/>
          <w:rtl w:val="0"/>
        </w:rPr>
        <w:t xml:space="preserve">vigente, dé cumplimiento a lo ordenado dentro del plazo de </w:t>
      </w:r>
      <w:r w:rsidDel="00000000" w:rsidR="00000000" w:rsidRPr="00000000">
        <w:rPr>
          <w:rFonts w:ascii="Palatino Linotype" w:cs="Palatino Linotype" w:eastAsia="Palatino Linotype" w:hAnsi="Palatino Linotype"/>
          <w:b w:val="1"/>
          <w:highlight w:val="white"/>
          <w:rtl w:val="0"/>
        </w:rPr>
        <w:t xml:space="preserve">diez días hábiles</w:t>
      </w:r>
      <w:r w:rsidDel="00000000" w:rsidR="00000000" w:rsidRPr="00000000">
        <w:rPr>
          <w:rFonts w:ascii="Palatino Linotype" w:cs="Palatino Linotype" w:eastAsia="Palatino Linotype" w:hAnsi="Palatino Linotype"/>
          <w:highlight w:val="white"/>
          <w:rtl w:val="0"/>
        </w:rPr>
        <w:t xml:space="preserve">, debiendo rendir a este Instituto el informe de cumplimiento de la resolución en un plazo de tres días hábiles posteriores.</w:t>
      </w:r>
    </w:p>
    <w:p w:rsidR="00000000" w:rsidDel="00000000" w:rsidP="00000000" w:rsidRDefault="00000000" w:rsidRPr="00000000" w14:paraId="0000010E">
      <w:pPr>
        <w:spacing w:line="360" w:lineRule="auto"/>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10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10">
      <w:pPr>
        <w:tabs>
          <w:tab w:val="left" w:pos="8080"/>
        </w:tabs>
        <w:spacing w:before="240" w:line="360" w:lineRule="auto"/>
        <w:ind w:right="49"/>
        <w:jc w:val="both"/>
        <w:rPr>
          <w:rFonts w:ascii="Palatino Linotype" w:cs="Palatino Linotype" w:eastAsia="Palatino Linotype" w:hAnsi="Palatino Linotype"/>
          <w:b w:val="1"/>
        </w:rPr>
      </w:pPr>
      <w:bookmarkStart w:colFirst="0" w:colLast="0" w:name="_heading=h.z337ya" w:id="18"/>
      <w:bookmarkEnd w:id="18"/>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rtl w:val="0"/>
        </w:rPr>
        <w:t xml:space="preserve">Notifíquese a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la presente resolución, vía SAIMEX.</w:t>
      </w:r>
      <w:r w:rsidDel="00000000" w:rsidR="00000000" w:rsidRPr="00000000">
        <w:rPr>
          <w:rtl w:val="0"/>
        </w:rPr>
      </w:r>
    </w:p>
    <w:p w:rsidR="00000000" w:rsidDel="00000000" w:rsidP="00000000" w:rsidRDefault="00000000" w:rsidRPr="00000000" w14:paraId="00000111">
      <w:pPr>
        <w:shd w:fill="ffffff" w:val="clea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SEXTO.</w:t>
      </w:r>
      <w:r w:rsidDel="00000000" w:rsidR="00000000" w:rsidRPr="00000000">
        <w:rPr>
          <w:rFonts w:ascii="Palatino Linotype" w:cs="Palatino Linotype" w:eastAsia="Palatino Linotype" w:hAnsi="Palatino Linotype"/>
          <w:rtl w:val="0"/>
        </w:rPr>
        <w:t xml:space="preserve"> Se hace del conocimiento de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000000" w:rsidDel="00000000" w:rsidP="00000000" w:rsidRDefault="00000000" w:rsidRPr="00000000" w14:paraId="00000112">
      <w:pPr>
        <w:tabs>
          <w:tab w:val="left" w:pos="0"/>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GUADALUPE RAMÍREZ PEÑA Y LUIS GUSTAVO PARRA NORIEGA; EN LA CUADRAGÉSIMA PRIMERA SESIÓN ORDINARIA CELEBRADA EL DIECIOCHO DE NOVIEMBRE DE DOS MIL VEINTIUNO, ANTE EL SECRETARIO TÉCNICO DEL PLENO, ALEXIS TAPIA RAMÍREZ.</w:t>
      </w:r>
    </w:p>
    <w:p w:rsidR="00000000" w:rsidDel="00000000" w:rsidP="00000000" w:rsidRDefault="00000000" w:rsidRPr="00000000" w14:paraId="00000113">
      <w:pPr>
        <w:tabs>
          <w:tab w:val="left" w:pos="0"/>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4">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5">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6">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7">
      <w:pPr>
        <w:spacing w:line="360" w:lineRule="auto"/>
        <w:rPr/>
      </w:pPr>
      <w:r w:rsidDel="00000000" w:rsidR="00000000" w:rsidRPr="00000000">
        <w:rPr>
          <w:rtl w:val="0"/>
        </w:rPr>
      </w:r>
    </w:p>
    <w:p w:rsidR="00000000" w:rsidDel="00000000" w:rsidP="00000000" w:rsidRDefault="00000000" w:rsidRPr="00000000" w14:paraId="00000118">
      <w:pPr>
        <w:spacing w:line="360" w:lineRule="auto"/>
        <w:rPr/>
      </w:pPr>
      <w:r w:rsidDel="00000000" w:rsidR="00000000" w:rsidRPr="00000000">
        <w:rPr>
          <w:rtl w:val="0"/>
        </w:rPr>
      </w:r>
    </w:p>
    <w:p w:rsidR="00000000" w:rsidDel="00000000" w:rsidP="00000000" w:rsidRDefault="00000000" w:rsidRPr="00000000" w14:paraId="00000119">
      <w:pPr>
        <w:spacing w:line="360" w:lineRule="auto"/>
        <w:rPr/>
      </w:pPr>
      <w:r w:rsidDel="00000000" w:rsidR="00000000" w:rsidRPr="00000000">
        <w:rPr>
          <w:rtl w:val="0"/>
        </w:rPr>
      </w:r>
    </w:p>
    <w:p w:rsidR="00000000" w:rsidDel="00000000" w:rsidP="00000000" w:rsidRDefault="00000000" w:rsidRPr="00000000" w14:paraId="0000011A">
      <w:pPr>
        <w:spacing w:line="360" w:lineRule="auto"/>
        <w:rPr/>
      </w:pPr>
      <w:r w:rsidDel="00000000" w:rsidR="00000000" w:rsidRPr="00000000">
        <w:rPr>
          <w:rtl w:val="0"/>
        </w:rPr>
      </w:r>
    </w:p>
    <w:p w:rsidR="00000000" w:rsidDel="00000000" w:rsidP="00000000" w:rsidRDefault="00000000" w:rsidRPr="00000000" w14:paraId="0000011B">
      <w:pPr>
        <w:spacing w:line="360" w:lineRule="auto"/>
        <w:rPr/>
      </w:pPr>
      <w:r w:rsidDel="00000000" w:rsidR="00000000" w:rsidRPr="00000000">
        <w:rPr>
          <w:rtl w:val="0"/>
        </w:rPr>
      </w:r>
    </w:p>
    <w:p w:rsidR="00000000" w:rsidDel="00000000" w:rsidP="00000000" w:rsidRDefault="00000000" w:rsidRPr="00000000" w14:paraId="0000011C">
      <w:pPr>
        <w:spacing w:line="360" w:lineRule="auto"/>
        <w:rPr/>
      </w:pPr>
      <w:r w:rsidDel="00000000" w:rsidR="00000000" w:rsidRPr="00000000">
        <w:rPr>
          <w:rtl w:val="0"/>
        </w:rPr>
      </w:r>
    </w:p>
    <w:p w:rsidR="00000000" w:rsidDel="00000000" w:rsidP="00000000" w:rsidRDefault="00000000" w:rsidRPr="00000000" w14:paraId="0000011D">
      <w:pPr>
        <w:spacing w:line="360" w:lineRule="auto"/>
        <w:rPr/>
      </w:pPr>
      <w:r w:rsidDel="00000000" w:rsidR="00000000" w:rsidRPr="00000000">
        <w:rPr>
          <w:rtl w:val="0"/>
        </w:rPr>
      </w:r>
    </w:p>
    <w:p w:rsidR="00000000" w:rsidDel="00000000" w:rsidP="00000000" w:rsidRDefault="00000000" w:rsidRPr="00000000" w14:paraId="0000011E">
      <w:pPr>
        <w:spacing w:line="360" w:lineRule="auto"/>
        <w:rPr/>
      </w:pPr>
      <w:r w:rsidDel="00000000" w:rsidR="00000000" w:rsidRPr="00000000">
        <w:rPr>
          <w:rtl w:val="0"/>
        </w:rPr>
      </w:r>
    </w:p>
    <w:p w:rsidR="00000000" w:rsidDel="00000000" w:rsidP="00000000" w:rsidRDefault="00000000" w:rsidRPr="00000000" w14:paraId="0000011F">
      <w:pPr>
        <w:spacing w:line="360" w:lineRule="auto"/>
        <w:rPr/>
      </w:pPr>
      <w:r w:rsidDel="00000000" w:rsidR="00000000" w:rsidRPr="00000000">
        <w:rPr>
          <w:rtl w:val="0"/>
        </w:rPr>
      </w:r>
    </w:p>
    <w:p w:rsidR="00000000" w:rsidDel="00000000" w:rsidP="00000000" w:rsidRDefault="00000000" w:rsidRPr="00000000" w14:paraId="00000120">
      <w:pPr>
        <w:spacing w:line="360" w:lineRule="auto"/>
        <w:rPr/>
      </w:pPr>
      <w:r w:rsidDel="00000000" w:rsidR="00000000" w:rsidRPr="00000000">
        <w:rPr>
          <w:rtl w:val="0"/>
        </w:rPr>
      </w:r>
    </w:p>
    <w:p w:rsidR="00000000" w:rsidDel="00000000" w:rsidP="00000000" w:rsidRDefault="00000000" w:rsidRPr="00000000" w14:paraId="00000121">
      <w:pPr>
        <w:spacing w:line="360" w:lineRule="auto"/>
        <w:rPr/>
      </w:pPr>
      <w:r w:rsidDel="00000000" w:rsidR="00000000" w:rsidRPr="00000000">
        <w:rPr>
          <w:rtl w:val="0"/>
        </w:rPr>
      </w:r>
    </w:p>
    <w:p w:rsidR="00000000" w:rsidDel="00000000" w:rsidP="00000000" w:rsidRDefault="00000000" w:rsidRPr="00000000" w14:paraId="00000122">
      <w:pPr>
        <w:spacing w:line="360" w:lineRule="auto"/>
        <w:rPr/>
      </w:pPr>
      <w:r w:rsidDel="00000000" w:rsidR="00000000" w:rsidRPr="00000000">
        <w:rPr>
          <w:rtl w:val="0"/>
        </w:rPr>
      </w:r>
    </w:p>
    <w:p w:rsidR="00000000" w:rsidDel="00000000" w:rsidP="00000000" w:rsidRDefault="00000000" w:rsidRPr="00000000" w14:paraId="00000123">
      <w:pPr>
        <w:spacing w:line="360" w:lineRule="auto"/>
        <w:rPr/>
      </w:pPr>
      <w:r w:rsidDel="00000000" w:rsidR="00000000" w:rsidRPr="00000000">
        <w:rPr>
          <w:rtl w:val="0"/>
        </w:rPr>
      </w:r>
    </w:p>
    <w:p w:rsidR="00000000" w:rsidDel="00000000" w:rsidP="00000000" w:rsidRDefault="00000000" w:rsidRPr="00000000" w14:paraId="00000124">
      <w:pPr>
        <w:spacing w:line="360" w:lineRule="auto"/>
        <w:rPr/>
      </w:pPr>
      <w:r w:rsidDel="00000000" w:rsidR="00000000" w:rsidRPr="00000000">
        <w:rPr>
          <w:rtl w:val="0"/>
        </w:rPr>
      </w:r>
    </w:p>
    <w:p w:rsidR="00000000" w:rsidDel="00000000" w:rsidP="00000000" w:rsidRDefault="00000000" w:rsidRPr="00000000" w14:paraId="00000125">
      <w:pPr>
        <w:spacing w:line="360" w:lineRule="auto"/>
        <w:rPr/>
      </w:pPr>
      <w:r w:rsidDel="00000000" w:rsidR="00000000" w:rsidRPr="00000000">
        <w:rPr>
          <w:rtl w:val="0"/>
        </w:rPr>
      </w:r>
    </w:p>
    <w:p w:rsidR="00000000" w:rsidDel="00000000" w:rsidP="00000000" w:rsidRDefault="00000000" w:rsidRPr="00000000" w14:paraId="00000126">
      <w:pPr>
        <w:spacing w:line="360" w:lineRule="auto"/>
        <w:rPr/>
      </w:pPr>
      <w:r w:rsidDel="00000000" w:rsidR="00000000" w:rsidRPr="00000000">
        <w:rPr>
          <w:rtl w:val="0"/>
        </w:rPr>
      </w:r>
    </w:p>
    <w:p w:rsidR="00000000" w:rsidDel="00000000" w:rsidP="00000000" w:rsidRDefault="00000000" w:rsidRPr="00000000" w14:paraId="00000127">
      <w:pPr>
        <w:spacing w:line="360" w:lineRule="auto"/>
        <w:rPr/>
      </w:pPr>
      <w:r w:rsidDel="00000000" w:rsidR="00000000" w:rsidRPr="00000000">
        <w:rPr>
          <w:rtl w:val="0"/>
        </w:rPr>
      </w:r>
    </w:p>
    <w:p w:rsidR="00000000" w:rsidDel="00000000" w:rsidP="00000000" w:rsidRDefault="00000000" w:rsidRPr="00000000" w14:paraId="00000128">
      <w:pPr>
        <w:spacing w:line="360" w:lineRule="auto"/>
        <w:rPr/>
      </w:pPr>
      <w:r w:rsidDel="00000000" w:rsidR="00000000" w:rsidRPr="00000000">
        <w:rPr>
          <w:rtl w:val="0"/>
        </w:rPr>
      </w:r>
    </w:p>
    <w:p w:rsidR="00000000" w:rsidDel="00000000" w:rsidP="00000000" w:rsidRDefault="00000000" w:rsidRPr="00000000" w14:paraId="00000129">
      <w:pPr>
        <w:spacing w:line="360" w:lineRule="auto"/>
        <w:rPr/>
      </w:pPr>
      <w:r w:rsidDel="00000000" w:rsidR="00000000" w:rsidRPr="00000000">
        <w:rPr>
          <w:rtl w:val="0"/>
        </w:rPr>
      </w:r>
    </w:p>
    <w:p w:rsidR="00000000" w:rsidDel="00000000" w:rsidP="00000000" w:rsidRDefault="00000000" w:rsidRPr="00000000" w14:paraId="0000012A">
      <w:pPr>
        <w:spacing w:line="360" w:lineRule="auto"/>
        <w:rPr/>
      </w:pPr>
      <w:r w:rsidDel="00000000" w:rsidR="00000000" w:rsidRPr="00000000">
        <w:rPr>
          <w:rtl w:val="0"/>
        </w:rPr>
      </w:r>
    </w:p>
    <w:p w:rsidR="00000000" w:rsidDel="00000000" w:rsidP="00000000" w:rsidRDefault="00000000" w:rsidRPr="00000000" w14:paraId="0000012B">
      <w:pPr>
        <w:spacing w:line="360" w:lineRule="auto"/>
        <w:rPr/>
      </w:pPr>
      <w:r w:rsidDel="00000000" w:rsidR="00000000" w:rsidRPr="00000000">
        <w:rPr>
          <w:rtl w:val="0"/>
        </w:rPr>
      </w:r>
    </w:p>
    <w:p w:rsidR="00000000" w:rsidDel="00000000" w:rsidP="00000000" w:rsidRDefault="00000000" w:rsidRPr="00000000" w14:paraId="0000012C">
      <w:pPr>
        <w:spacing w:line="360" w:lineRule="auto"/>
        <w:rPr/>
      </w:pPr>
      <w:r w:rsidDel="00000000" w:rsidR="00000000" w:rsidRPr="00000000">
        <w:rPr>
          <w:rtl w:val="0"/>
        </w:rPr>
      </w:r>
    </w:p>
    <w:p w:rsidR="00000000" w:rsidDel="00000000" w:rsidP="00000000" w:rsidRDefault="00000000" w:rsidRPr="00000000" w14:paraId="0000012D">
      <w:pPr>
        <w:spacing w:line="360" w:lineRule="auto"/>
        <w:rPr/>
      </w:pPr>
      <w:r w:rsidDel="00000000" w:rsidR="00000000" w:rsidRPr="00000000">
        <w:rPr>
          <w:rtl w:val="0"/>
        </w:rPr>
      </w:r>
    </w:p>
    <w:p w:rsidR="00000000" w:rsidDel="00000000" w:rsidP="00000000" w:rsidRDefault="00000000" w:rsidRPr="00000000" w14:paraId="0000012E">
      <w:pPr>
        <w:spacing w:line="360" w:lineRule="auto"/>
        <w:rPr/>
      </w:pPr>
      <w:r w:rsidDel="00000000" w:rsidR="00000000" w:rsidRPr="00000000">
        <w:rPr>
          <w:rtl w:val="0"/>
        </w:rPr>
      </w:r>
    </w:p>
    <w:p w:rsidR="00000000" w:rsidDel="00000000" w:rsidP="00000000" w:rsidRDefault="00000000" w:rsidRPr="00000000" w14:paraId="0000012F">
      <w:pPr>
        <w:spacing w:line="360" w:lineRule="auto"/>
        <w:rPr/>
      </w:pPr>
      <w:r w:rsidDel="00000000" w:rsidR="00000000" w:rsidRPr="00000000">
        <w:rPr>
          <w:rtl w:val="0"/>
        </w:rPr>
      </w:r>
    </w:p>
    <w:p w:rsidR="00000000" w:rsidDel="00000000" w:rsidP="00000000" w:rsidRDefault="00000000" w:rsidRPr="00000000" w14:paraId="00000130">
      <w:pPr>
        <w:spacing w:line="360" w:lineRule="auto"/>
        <w:rPr/>
      </w:pPr>
      <w:r w:rsidDel="00000000" w:rsidR="00000000" w:rsidRPr="00000000">
        <w:rPr>
          <w:rtl w:val="0"/>
        </w:rPr>
      </w:r>
    </w:p>
    <w:sectPr>
      <w:headerReference r:id="rId19" w:type="default"/>
      <w:headerReference r:id="rId20" w:type="first"/>
      <w:footerReference r:id="rId21" w:type="default"/>
      <w:footerReference r:id="rId22" w:type="first"/>
      <w:pgSz w:h="15840" w:w="12240" w:orient="portrait"/>
      <w:pgMar w:bottom="1843" w:top="2269"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Arial"/>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8"/>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Convención Americana sobre Derechos Humanos. Artículo 13.</w:t>
      </w:r>
    </w:p>
  </w:footnote>
  <w:footnote w:id="1">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Constitución Política de los Estados Unidos Mexicanos. Artículo sexto, sección A, fracción I.</w:t>
      </w:r>
    </w:p>
  </w:footnote>
  <w:footnote w:id="2">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Corte Interamericana de Derechos Humanos. Caso Claude Reyes y otros vs. Chile. Sentencia de 19 de septiembre de 2006. Serie C. No. 151. Párr. 86.</w:t>
      </w:r>
    </w:p>
  </w:footnote>
  <w:footnote w:id="3">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Ibídem. Parr. 87.</w:t>
      </w:r>
      <w:r w:rsidDel="00000000" w:rsidR="00000000" w:rsidRPr="00000000">
        <w:rPr>
          <w:rtl w:val="0"/>
        </w:rPr>
      </w:r>
    </w:p>
  </w:footnote>
  <w:footnote w:id="4">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Fracción IV. Artículo 53. Ibídem.</w:t>
      </w:r>
    </w:p>
  </w:footnote>
  <w:footnote w:id="5">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Convención Americana sobre Derechos Humanos. Artículo 13.</w:t>
      </w:r>
    </w:p>
  </w:footnote>
  <w:footnote w:id="6">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Constitución Política de los Estados Unidos Mexicanos. Artículo sexto, sección A, Fracción I.</w:t>
      </w:r>
    </w:p>
  </w:footnote>
  <w:footnote w:id="7">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Corte Interamericana de Derechos Humanos. Caso Claude Reyes y otros vs Chile. Sentencia de 19 de septiembre de 2006. Serie C. No. 151. Párr. 86.</w:t>
      </w:r>
    </w:p>
  </w:footnote>
  <w:footnote w:id="8">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Ibídem. Párr. 87.</w:t>
      </w:r>
    </w:p>
  </w:footnote>
  <w:footnote w:id="9">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sidDel="00000000" w:rsidR="00000000" w:rsidRPr="00000000">
          <w:rPr>
            <w:rFonts w:ascii="Palatino Linotype" w:cs="Palatino Linotype" w:eastAsia="Palatino Linotype" w:hAnsi="Palatino Linotype"/>
            <w:b w:val="0"/>
            <w:i w:val="0"/>
            <w:smallCaps w:val="0"/>
            <w:strike w:val="0"/>
            <w:color w:val="0000ff"/>
            <w:sz w:val="18"/>
            <w:szCs w:val="18"/>
            <w:u w:val="single"/>
            <w:shd w:fill="auto" w:val="clear"/>
            <w:vertAlign w:val="baseline"/>
            <w:rtl w:val="0"/>
          </w:rPr>
          <w:t xml:space="preserve">http://www.oas.org/es/cidh/expresion/documentos_basicos/declaraciones.asp</w:t>
        </w:r>
      </w:hyperlink>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w:t>
      </w:r>
      <w:r w:rsidDel="00000000" w:rsidR="00000000" w:rsidRPr="00000000">
        <w:rPr>
          <w:rtl w:val="0"/>
        </w:rPr>
      </w:r>
    </w:p>
  </w:footnote>
  <w:footnote w:id="10">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Ley de Transparencia y Acceso a la Información Pública del Estado de México y Municipios. Artículo 9.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II. Eficacia: Obligación del Instituto para tutelar, de manera efectiva, el derecho de acceso a la información;</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-1078864</wp:posOffset>
          </wp:positionH>
          <wp:positionV relativeFrom="paragraph">
            <wp:posOffset>-411479</wp:posOffset>
          </wp:positionV>
          <wp:extent cx="7813085" cy="10170000"/>
          <wp:effectExtent b="0" l="0" r="0" t="0"/>
          <wp:wrapNone/>
          <wp:docPr id="41"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813085" cy="10170000"/>
                  </a:xfrm>
                  <a:prstGeom prst="rect"/>
                  <a:ln/>
                </pic:spPr>
              </pic:pic>
            </a:graphicData>
          </a:graphic>
        </wp:anchor>
      </w:drawing>
    </w:r>
  </w:p>
  <w:tbl>
    <w:tblPr>
      <w:tblStyle w:val="Table1"/>
      <w:tblW w:w="6095.0" w:type="dxa"/>
      <w:jc w:val="left"/>
      <w:tblInd w:w="3119.0" w:type="dxa"/>
      <w:tblLayout w:type="fixed"/>
      <w:tblLook w:val="0400"/>
    </w:tblPr>
    <w:tblGrid>
      <w:gridCol w:w="2551"/>
      <w:gridCol w:w="3544"/>
      <w:tblGridChange w:id="0">
        <w:tblGrid>
          <w:gridCol w:w="2551"/>
          <w:gridCol w:w="3544"/>
        </w:tblGrid>
      </w:tblGridChange>
    </w:tblGrid>
    <w:tr>
      <w:trPr>
        <w:cantSplit w:val="0"/>
        <w:tblHeader w:val="0"/>
      </w:trPr>
      <w:tc>
        <w:tcPr>
          <w:vAlign w:val="center"/>
        </w:tcPr>
        <w:p w:rsidR="00000000" w:rsidDel="00000000" w:rsidP="00000000" w:rsidRDefault="00000000" w:rsidRPr="00000000" w14:paraId="0000013F">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140">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03903/INFOEM/IP/RR/2021</w:t>
          </w:r>
        </w:p>
      </w:tc>
    </w:tr>
    <w:tr>
      <w:trPr>
        <w:cantSplit w:val="0"/>
        <w:tblHeader w:val="0"/>
      </w:trPr>
      <w:tc>
        <w:tcPr>
          <w:vAlign w:val="center"/>
        </w:tcPr>
        <w:p w:rsidR="00000000" w:rsidDel="00000000" w:rsidP="00000000" w:rsidRDefault="00000000" w:rsidRPr="00000000" w14:paraId="00000141">
          <w:pPr>
            <w:ind w:left="35" w:hanging="35"/>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Recurrente:</w:t>
          </w:r>
        </w:p>
      </w:tc>
      <w:tc>
        <w:tcPr>
          <w:vAlign w:val="center"/>
        </w:tcPr>
        <w:p w:rsidR="00000000" w:rsidDel="00000000" w:rsidP="00000000" w:rsidRDefault="00000000" w:rsidRPr="00000000" w14:paraId="00000142">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Christopher Martinez de Alejandro</w:t>
          </w:r>
        </w:p>
      </w:tc>
    </w:tr>
    <w:tr>
      <w:trPr>
        <w:cantSplit w:val="0"/>
        <w:trHeight w:val="228" w:hRule="atLeast"/>
        <w:tblHeader w:val="0"/>
      </w:trPr>
      <w:tc>
        <w:tcPr>
          <w:vAlign w:val="center"/>
        </w:tcPr>
        <w:p w:rsidR="00000000" w:rsidDel="00000000" w:rsidP="00000000" w:rsidRDefault="00000000" w:rsidRPr="00000000" w14:paraId="00000143">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vAlign w:val="center"/>
        </w:tcPr>
        <w:p w:rsidR="00000000" w:rsidDel="00000000" w:rsidP="00000000" w:rsidRDefault="00000000" w:rsidRPr="00000000" w14:paraId="00000144">
          <w:pPr>
            <w:ind w:left="35" w:hanging="35"/>
            <w:jc w:val="both"/>
            <w:rPr>
              <w:rFonts w:ascii="Palatino Linotype" w:cs="Palatino Linotype" w:eastAsia="Palatino Linotype" w:hAnsi="Palatino Linotype"/>
              <w:sz w:val="21"/>
              <w:szCs w:val="21"/>
            </w:rPr>
          </w:pPr>
          <w:r w:rsidDel="00000000" w:rsidR="00000000" w:rsidRPr="00000000">
            <w:rPr>
              <w:rFonts w:ascii="Palatino Linotype" w:cs="Palatino Linotype" w:eastAsia="Palatino Linotype" w:hAnsi="Palatino Linotype"/>
              <w:b w:val="1"/>
              <w:sz w:val="21"/>
              <w:szCs w:val="21"/>
              <w:rtl w:val="0"/>
            </w:rPr>
            <w:t xml:space="preserve">Secretaría de Cultura y Turismo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5">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146">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María del Rosario Mejía Ayala</w:t>
          </w:r>
        </w:p>
      </w:tc>
    </w:tr>
  </w:tbl>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5812.0" w:type="dxa"/>
      <w:jc w:val="left"/>
      <w:tblInd w:w="2977.0" w:type="dxa"/>
      <w:tblLayout w:type="fixed"/>
      <w:tblLook w:val="0400"/>
    </w:tblPr>
    <w:tblGrid>
      <w:gridCol w:w="2552"/>
      <w:gridCol w:w="3260"/>
      <w:tblGridChange w:id="0">
        <w:tblGrid>
          <w:gridCol w:w="2552"/>
          <w:gridCol w:w="3260"/>
        </w:tblGrid>
      </w:tblGridChange>
    </w:tblGrid>
    <w:tr>
      <w:trPr>
        <w:cantSplit w:val="0"/>
        <w:tblHeader w:val="0"/>
      </w:trPr>
      <w:tc>
        <w:tcPr>
          <w:vAlign w:val="center"/>
        </w:tcPr>
        <w:p w:rsidR="00000000" w:rsidDel="00000000" w:rsidP="00000000" w:rsidRDefault="00000000" w:rsidRPr="00000000" w14:paraId="00000149">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14A">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03903/INFOEM/IP/RR/2021</w:t>
          </w:r>
        </w:p>
      </w:tc>
    </w:tr>
    <w:tr>
      <w:trPr>
        <w:cantSplit w:val="0"/>
        <w:trHeight w:val="228" w:hRule="atLeast"/>
        <w:tblHeader w:val="0"/>
      </w:trPr>
      <w:tc>
        <w:tcPr>
          <w:vAlign w:val="center"/>
        </w:tcPr>
        <w:p w:rsidR="00000000" w:rsidDel="00000000" w:rsidP="00000000" w:rsidRDefault="00000000" w:rsidRPr="00000000" w14:paraId="0000014B">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vAlign w:val="center"/>
        </w:tcPr>
        <w:p w:rsidR="00000000" w:rsidDel="00000000" w:rsidP="00000000" w:rsidRDefault="00000000" w:rsidRPr="00000000" w14:paraId="0000014C">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Secretaría de Cultura y Turismo</w:t>
          </w:r>
        </w:p>
      </w:tc>
    </w:tr>
    <w:tr>
      <w:trPr>
        <w:cantSplit w:val="0"/>
        <w:tblHeader w:val="0"/>
      </w:trPr>
      <w:tc>
        <w:tcPr>
          <w:vAlign w:val="center"/>
        </w:tcPr>
        <w:p w:rsidR="00000000" w:rsidDel="00000000" w:rsidP="00000000" w:rsidRDefault="00000000" w:rsidRPr="00000000" w14:paraId="0000014D">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14E">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María del Rosario Mejía Ayala</w:t>
          </w:r>
        </w:p>
      </w:tc>
    </w:tr>
  </w:tbl>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-1071901</wp:posOffset>
          </wp:positionH>
          <wp:positionV relativeFrom="paragraph">
            <wp:posOffset>-997298</wp:posOffset>
          </wp:positionV>
          <wp:extent cx="7809876" cy="10165823"/>
          <wp:effectExtent b="0" l="0" r="0" t="0"/>
          <wp:wrapNone/>
          <wp:docPr id="49"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502" w:hanging="360"/>
      </w:pPr>
      <w:rPr>
        <w:rFonts w:ascii="Palatino Linotype" w:cs="Palatino Linotype" w:eastAsia="Palatino Linotype" w:hAnsi="Palatino Linotype"/>
        <w:b w:val="1"/>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1429" w:hanging="360"/>
      </w:pPr>
      <w:rPr>
        <w:b w:val="1"/>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4">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5">
    <w:lvl w:ilvl="0">
      <w:start w:val="1"/>
      <w:numFmt w:val="lowerLetter"/>
      <w:lvlText w:val="%1)"/>
      <w:lvlJc w:val="left"/>
      <w:pPr>
        <w:ind w:left="720" w:hanging="360"/>
      </w:pPr>
      <w:rPr>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256" w:lineRule="auto"/>
    </w:pPr>
    <w:rPr>
      <w:rFonts w:ascii="Calibri" w:cs="Calibri" w:eastAsia="Calibri" w:hAnsi="Calibri"/>
      <w:color w:val="366091"/>
      <w:sz w:val="26"/>
      <w:szCs w:val="2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before="40" w:lineRule="auto"/>
    </w:pPr>
    <w:rPr>
      <w:rFonts w:ascii="Calibri" w:cs="Calibri" w:eastAsia="Calibri" w:hAnsi="Calibri"/>
      <w:i w:val="1"/>
      <w:color w:val="366091"/>
    </w:rPr>
  </w:style>
  <w:style w:type="paragraph" w:styleId="Heading5">
    <w:name w:val="heading 5"/>
    <w:basedOn w:val="Normal"/>
    <w:next w:val="Normal"/>
    <w:pPr>
      <w:keepNext w:val="1"/>
      <w:keepLines w:val="1"/>
      <w:spacing w:before="40" w:lineRule="auto"/>
    </w:pPr>
    <w:rPr>
      <w:rFonts w:ascii="Calibri" w:cs="Calibri" w:eastAsia="Calibri" w:hAnsi="Calibri"/>
      <w:color w:val="366091"/>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66A97"/>
    <w:rPr>
      <w:rFonts w:ascii="Times New Roman" w:cs="Times New Roman" w:eastAsia="Times New Roman" w:hAnsi="Times New Roman"/>
      <w:lang w:eastAsia="es-MX" w:val="es-MX"/>
    </w:rPr>
  </w:style>
  <w:style w:type="paragraph" w:styleId="Ttulo1">
    <w:name w:val="heading 1"/>
    <w:basedOn w:val="Normal"/>
    <w:next w:val="Normal"/>
    <w:link w:val="Ttulo1Car"/>
    <w:uiPriority w:val="9"/>
    <w:qFormat w:val="1"/>
    <w:rsid w:val="00A07966"/>
    <w:pPr>
      <w:keepNext w:val="1"/>
      <w:keepLines w:val="1"/>
      <w:spacing w:before="240"/>
      <w:outlineLvl w:val="0"/>
    </w:pPr>
    <w:rPr>
      <w:rFonts w:asciiTheme="majorHAnsi" w:cstheme="majorBidi" w:eastAsiaTheme="majorEastAsia" w:hAnsiTheme="majorHAnsi"/>
      <w:color w:val="365f91" w:themeColor="accent1" w:themeShade="0000BF"/>
      <w:sz w:val="32"/>
      <w:szCs w:val="32"/>
      <w:lang w:eastAsia="es-ES"/>
    </w:rPr>
  </w:style>
  <w:style w:type="paragraph" w:styleId="Ttulo2">
    <w:name w:val="heading 2"/>
    <w:basedOn w:val="Normal"/>
    <w:next w:val="Normal"/>
    <w:link w:val="Ttulo2Car"/>
    <w:uiPriority w:val="9"/>
    <w:unhideWhenUsed w:val="1"/>
    <w:qFormat w:val="1"/>
    <w:rsid w:val="00A07966"/>
    <w:pPr>
      <w:keepNext w:val="1"/>
      <w:keepLines w:val="1"/>
      <w:spacing w:before="40" w:line="256" w:lineRule="auto"/>
      <w:outlineLvl w:val="1"/>
    </w:pPr>
    <w:rPr>
      <w:rFonts w:asciiTheme="majorHAnsi" w:cstheme="majorBidi" w:eastAsiaTheme="majorEastAsia" w:hAnsiTheme="majorHAnsi"/>
      <w:color w:val="365f91" w:themeColor="accent1" w:themeShade="0000BF"/>
      <w:sz w:val="26"/>
      <w:szCs w:val="26"/>
      <w:lang w:eastAsia="en-US"/>
    </w:rPr>
  </w:style>
  <w:style w:type="paragraph" w:styleId="Ttulo3">
    <w:name w:val="heading 3"/>
    <w:basedOn w:val="Normal"/>
    <w:link w:val="Ttulo3Car"/>
    <w:uiPriority w:val="9"/>
    <w:unhideWhenUsed w:val="1"/>
    <w:qFormat w:val="1"/>
    <w:rsid w:val="00A07966"/>
    <w:pPr>
      <w:spacing w:after="100" w:afterAutospacing="1" w:before="100" w:beforeAutospacing="1"/>
      <w:outlineLvl w:val="2"/>
    </w:pPr>
    <w:rPr>
      <w:b w:val="1"/>
      <w:bCs w:val="1"/>
      <w:sz w:val="27"/>
      <w:szCs w:val="27"/>
    </w:rPr>
  </w:style>
  <w:style w:type="paragraph" w:styleId="Ttulo4">
    <w:name w:val="heading 4"/>
    <w:basedOn w:val="Normal"/>
    <w:next w:val="Normal"/>
    <w:link w:val="Ttulo4Car"/>
    <w:uiPriority w:val="9"/>
    <w:unhideWhenUsed w:val="1"/>
    <w:qFormat w:val="1"/>
    <w:rsid w:val="00A07966"/>
    <w:pPr>
      <w:keepNext w:val="1"/>
      <w:keepLines w:val="1"/>
      <w:spacing w:before="40"/>
      <w:outlineLvl w:val="3"/>
    </w:pPr>
    <w:rPr>
      <w:rFonts w:asciiTheme="majorHAnsi" w:cstheme="majorBidi" w:eastAsiaTheme="majorEastAsia" w:hAnsiTheme="majorHAnsi"/>
      <w:i w:val="1"/>
      <w:iCs w:val="1"/>
      <w:color w:val="365f91" w:themeColor="accent1" w:themeShade="0000BF"/>
      <w:lang w:eastAsia="es-ES"/>
    </w:rPr>
  </w:style>
  <w:style w:type="paragraph" w:styleId="Ttulo5">
    <w:name w:val="heading 5"/>
    <w:basedOn w:val="Normal"/>
    <w:next w:val="Normal"/>
    <w:link w:val="Ttulo5Car"/>
    <w:uiPriority w:val="9"/>
    <w:semiHidden w:val="1"/>
    <w:unhideWhenUsed w:val="1"/>
    <w:qFormat w:val="1"/>
    <w:rsid w:val="00A07966"/>
    <w:pPr>
      <w:keepNext w:val="1"/>
      <w:keepLines w:val="1"/>
      <w:spacing w:before="40"/>
      <w:outlineLvl w:val="4"/>
    </w:pPr>
    <w:rPr>
      <w:rFonts w:asciiTheme="majorHAnsi" w:cstheme="majorBidi" w:eastAsiaTheme="majorEastAsia" w:hAnsiTheme="majorHAnsi"/>
      <w:color w:val="365f91" w:themeColor="accent1" w:themeShade="0000BF"/>
      <w:lang w:eastAsia="es-ES"/>
    </w:rPr>
  </w:style>
  <w:style w:type="paragraph" w:styleId="Ttulo6">
    <w:name w:val="heading 6"/>
    <w:basedOn w:val="Normal"/>
    <w:next w:val="Normal"/>
    <w:link w:val="Ttulo6Car"/>
    <w:semiHidden w:val="1"/>
    <w:unhideWhenUsed w:val="1"/>
    <w:qFormat w:val="1"/>
    <w:rsid w:val="009417CA"/>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9417CA"/>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9417CA"/>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9417CA"/>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eastAsia="es-ES"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eastAsia="es-ES"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D485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9D4854"/>
    <w:pPr>
      <w:ind w:left="708"/>
    </w:pPr>
    <w:rPr>
      <w:lang w:eastAsia="es-ES" w:val="es-ES"/>
    </w:rPr>
  </w:style>
  <w:style w:type="table" w:styleId="Tablaconcuadrcula">
    <w:name w:val="Table Grid"/>
    <w:basedOn w:val="Tablanormal"/>
    <w:uiPriority w:val="59"/>
    <w:rsid w:val="00087A2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087A2F"/>
  </w:style>
  <w:style w:type="character" w:styleId="apple-converted-space" w:customStyle="1">
    <w:name w:val="apple-converted-space"/>
    <w:basedOn w:val="Fuentedeprrafopredeter"/>
    <w:qFormat w:val="1"/>
    <w:rsid w:val="00087A2F"/>
  </w:style>
  <w:style w:type="paragraph" w:styleId="paragraph" w:customStyle="1">
    <w:name w:val="paragraph"/>
    <w:basedOn w:val="Normal"/>
    <w:uiPriority w:val="99"/>
    <w:rsid w:val="00087A2F"/>
    <w:pPr>
      <w:spacing w:after="100" w:afterAutospacing="1" w:before="100" w:beforeAutospacing="1"/>
    </w:pPr>
  </w:style>
  <w:style w:type="character" w:styleId="eop" w:customStyle="1">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087A2F"/>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087A2F"/>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val="1"/>
    <w:rsid w:val="00087A2F"/>
    <w:rPr>
      <w:color w:val="0000ff" w:themeColor="hyperlink"/>
      <w:u w:val="single"/>
    </w:rPr>
  </w:style>
  <w:style w:type="paragraph" w:styleId="Default" w:customStyle="1">
    <w:name w:val="Default"/>
    <w:qFormat w:val="1"/>
    <w:rsid w:val="00087A2F"/>
    <w:pPr>
      <w:autoSpaceDE w:val="0"/>
      <w:autoSpaceDN w:val="0"/>
      <w:adjustRightInd w:val="0"/>
    </w:pPr>
    <w:rPr>
      <w:rFonts w:ascii="Arial" w:cs="Arial" w:hAnsi="Arial" w:eastAsiaTheme="minorHAnsi"/>
      <w:color w:val="000000"/>
      <w:lang w:eastAsia="en-US" w:val="es-MX"/>
    </w:rPr>
  </w:style>
  <w:style w:type="paragraph" w:styleId="NormalWeb">
    <w:name w:val="Normal (Web)"/>
    <w:basedOn w:val="Normal"/>
    <w:uiPriority w:val="99"/>
    <w:unhideWhenUsed w:val="1"/>
    <w:rsid w:val="00C657AA"/>
    <w:pPr>
      <w:spacing w:after="100" w:afterAutospacing="1" w:before="100" w:beforeAutospacing="1"/>
    </w:pPr>
  </w:style>
  <w:style w:type="paragraph" w:styleId="Standard" w:customStyle="1">
    <w:name w:val="Standard"/>
    <w:uiPriority w:val="99"/>
    <w:rsid w:val="00734B70"/>
    <w:pPr>
      <w:widowControl w:val="0"/>
      <w:suppressAutoHyphens w:val="1"/>
      <w:autoSpaceDN w:val="0"/>
      <w:textAlignment w:val="baseline"/>
    </w:pPr>
    <w:rPr>
      <w:rFonts w:ascii="Liberation Serif" w:cs="Lohit Hindi" w:eastAsia="DejaVu Sans" w:hAnsi="Liberation Serif"/>
      <w:kern w:val="3"/>
      <w:lang w:bidi="hi-IN" w:eastAsia="zh-CN" w:val="es-MX"/>
    </w:rPr>
  </w:style>
  <w:style w:type="paragraph" w:styleId="Sinespaciado">
    <w:name w:val="No Spacing"/>
    <w:aliases w:val="Francesa,INAI"/>
    <w:link w:val="SinespaciadoCar"/>
    <w:uiPriority w:val="1"/>
    <w:qFormat w:val="1"/>
    <w:rsid w:val="00652DED"/>
    <w:rPr>
      <w:rFonts w:ascii="Times New Roman" w:cs="Times New Roman" w:eastAsia="Times New Roman" w:hAnsi="Times New Roman"/>
      <w:lang w:val="es-MX"/>
    </w:rPr>
  </w:style>
  <w:style w:type="character" w:styleId="SinespaciadoCar" w:customStyle="1">
    <w:name w:val="Sin espaciado Car"/>
    <w:aliases w:val="Francesa Car,INAI Car"/>
    <w:link w:val="Sinespaciado"/>
    <w:uiPriority w:val="1"/>
    <w:locked w:val="1"/>
    <w:rsid w:val="00652DED"/>
    <w:rPr>
      <w:rFonts w:ascii="Times New Roman" w:cs="Times New Roman" w:eastAsia="Times New Roman" w:hAnsi="Times New Roman"/>
      <w:lang w:val="es-MX"/>
    </w:rPr>
  </w:style>
  <w:style w:type="paragraph" w:styleId="q" w:customStyle="1">
    <w:name w:val="q"/>
    <w:basedOn w:val="Normal"/>
    <w:rsid w:val="00CF02AF"/>
    <w:pPr>
      <w:spacing w:after="100" w:afterAutospacing="1" w:before="100" w:beforeAutospacing="1"/>
    </w:pPr>
  </w:style>
  <w:style w:type="paragraph" w:styleId="Bibliografa">
    <w:name w:val="Bibliography"/>
    <w:basedOn w:val="Normal"/>
    <w:next w:val="Normal"/>
    <w:uiPriority w:val="37"/>
    <w:semiHidden w:val="1"/>
    <w:unhideWhenUsed w:val="1"/>
    <w:rsid w:val="00B753C7"/>
  </w:style>
  <w:style w:type="character" w:styleId="nacep" w:customStyle="1">
    <w:name w:val="n_acep"/>
    <w:basedOn w:val="Fuentedeprrafopredeter"/>
    <w:rsid w:val="000D1CE4"/>
  </w:style>
  <w:style w:type="character" w:styleId="m2871584667633129156gmail-apple-converted-space" w:customStyle="1">
    <w:name w:val="m_2871584667633129156gmail-apple-converted-space"/>
    <w:basedOn w:val="Fuentedeprrafopredeter"/>
    <w:rsid w:val="009C1A6A"/>
  </w:style>
  <w:style w:type="character" w:styleId="m2871584667633129156gmail-msofootnotereference" w:customStyle="1">
    <w:name w:val="m_2871584667633129156gmail-msofootnotereference"/>
    <w:basedOn w:val="Fuentedeprrafopredeter"/>
    <w:rsid w:val="009C1A6A"/>
  </w:style>
  <w:style w:type="paragraph" w:styleId="m2871584667633129156gmail-msofootnotetext" w:customStyle="1">
    <w:name w:val="m_2871584667633129156gmail-msofootnotetext"/>
    <w:basedOn w:val="Normal"/>
    <w:rsid w:val="009C1A6A"/>
    <w:pPr>
      <w:spacing w:after="100" w:afterAutospacing="1" w:before="100" w:beforeAutospacing="1"/>
    </w:pPr>
  </w:style>
  <w:style w:type="character" w:styleId="TextonotapieCar1" w:customStyle="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eastAsia="es-ES" w:val="es-ES"/>
    </w:rPr>
  </w:style>
  <w:style w:type="paragraph" w:styleId="Texto" w:customStyle="1">
    <w:name w:val="Texto"/>
    <w:basedOn w:val="Normal"/>
    <w:link w:val="TextoCar"/>
    <w:rsid w:val="004554CC"/>
    <w:pPr>
      <w:spacing w:after="101" w:line="216" w:lineRule="exact"/>
      <w:ind w:firstLine="288"/>
      <w:jc w:val="both"/>
    </w:pPr>
    <w:rPr>
      <w:rFonts w:ascii="Arial" w:cs="Arial" w:hAnsi="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Ttulo1Car" w:customStyle="1">
    <w:name w:val="Título 1 Car"/>
    <w:basedOn w:val="Fuentedeprrafopredeter"/>
    <w:link w:val="Ttulo1"/>
    <w:uiPriority w:val="9"/>
    <w:rsid w:val="00A07966"/>
    <w:rPr>
      <w:rFonts w:asciiTheme="majorHAnsi" w:cstheme="majorBidi" w:eastAsiaTheme="majorEastAsia" w:hAnsiTheme="majorHAnsi"/>
      <w:color w:val="365f91" w:themeColor="accent1" w:themeShade="0000BF"/>
      <w:sz w:val="32"/>
      <w:szCs w:val="32"/>
      <w:lang w:val="es-MX"/>
    </w:rPr>
  </w:style>
  <w:style w:type="character" w:styleId="Ttulo2Car" w:customStyle="1">
    <w:name w:val="Título 2 Car"/>
    <w:basedOn w:val="Fuentedeprrafopredeter"/>
    <w:link w:val="Ttulo2"/>
    <w:uiPriority w:val="9"/>
    <w:rsid w:val="00A07966"/>
    <w:rPr>
      <w:rFonts w:asciiTheme="majorHAnsi" w:cstheme="majorBidi" w:eastAsiaTheme="majorEastAsia" w:hAnsiTheme="majorHAnsi"/>
      <w:color w:val="365f91" w:themeColor="accent1" w:themeShade="0000BF"/>
      <w:sz w:val="26"/>
      <w:szCs w:val="26"/>
      <w:lang w:eastAsia="en-US" w:val="es-MX"/>
    </w:rPr>
  </w:style>
  <w:style w:type="character" w:styleId="Ttulo3Car" w:customStyle="1">
    <w:name w:val="Título 3 Car"/>
    <w:basedOn w:val="Fuentedeprrafopredeter"/>
    <w:link w:val="Ttulo3"/>
    <w:uiPriority w:val="9"/>
    <w:rsid w:val="00A07966"/>
    <w:rPr>
      <w:rFonts w:ascii="Times New Roman" w:cs="Times New Roman" w:eastAsia="Times New Roman" w:hAnsi="Times New Roman"/>
      <w:b w:val="1"/>
      <w:bCs w:val="1"/>
      <w:sz w:val="27"/>
      <w:szCs w:val="27"/>
      <w:lang w:eastAsia="es-MX" w:val="es-MX"/>
    </w:rPr>
  </w:style>
  <w:style w:type="character" w:styleId="Ttulo4Car" w:customStyle="1">
    <w:name w:val="Título 4 Car"/>
    <w:basedOn w:val="Fuentedeprrafopredeter"/>
    <w:link w:val="Ttulo4"/>
    <w:uiPriority w:val="9"/>
    <w:rsid w:val="00A07966"/>
    <w:rPr>
      <w:rFonts w:asciiTheme="majorHAnsi" w:cstheme="majorBidi" w:eastAsiaTheme="majorEastAsia" w:hAnsiTheme="majorHAnsi"/>
      <w:i w:val="1"/>
      <w:iCs w:val="1"/>
      <w:color w:val="365f91" w:themeColor="accent1" w:themeShade="0000BF"/>
      <w:lang w:val="es-MX"/>
    </w:rPr>
  </w:style>
  <w:style w:type="character" w:styleId="Ttulo5Car" w:customStyle="1">
    <w:name w:val="Título 5 Car"/>
    <w:basedOn w:val="Fuentedeprrafopredeter"/>
    <w:link w:val="Ttulo5"/>
    <w:uiPriority w:val="9"/>
    <w:semiHidden w:val="1"/>
    <w:rsid w:val="00A07966"/>
    <w:rPr>
      <w:rFonts w:asciiTheme="majorHAnsi" w:cstheme="majorBidi" w:eastAsiaTheme="majorEastAsia" w:hAnsiTheme="majorHAnsi"/>
      <w:color w:val="365f91" w:themeColor="accent1" w:themeShade="0000BF"/>
      <w:lang w:val="es-MX"/>
    </w:rPr>
  </w:style>
  <w:style w:type="character" w:styleId="Hipervnculovisitado">
    <w:name w:val="FollowedHyperlink"/>
    <w:basedOn w:val="Fuentedeprrafopredeter"/>
    <w:uiPriority w:val="99"/>
    <w:semiHidden w:val="1"/>
    <w:unhideWhenUsed w:val="1"/>
    <w:rsid w:val="00A07966"/>
    <w:rPr>
      <w:color w:val="800080" w:themeColor="followedHyperlink"/>
      <w:u w:val="single"/>
    </w:rPr>
  </w:style>
  <w:style w:type="paragraph" w:styleId="Textocomentario">
    <w:name w:val="annotation text"/>
    <w:basedOn w:val="Normal"/>
    <w:link w:val="TextocomentarioCar"/>
    <w:uiPriority w:val="99"/>
    <w:semiHidden w:val="1"/>
    <w:unhideWhenUsed w:val="1"/>
    <w:rsid w:val="00A07966"/>
    <w:rPr>
      <w:sz w:val="20"/>
      <w:szCs w:val="20"/>
      <w:lang w:eastAsia="es-ES"/>
    </w:rPr>
  </w:style>
  <w:style w:type="character" w:styleId="TextocomentarioCar" w:customStyle="1">
    <w:name w:val="Texto comentario Car"/>
    <w:basedOn w:val="Fuentedeprrafopredeter"/>
    <w:link w:val="Textocomentario"/>
    <w:uiPriority w:val="99"/>
    <w:semiHidden w:val="1"/>
    <w:rsid w:val="00A07966"/>
    <w:rPr>
      <w:rFonts w:ascii="Times New Roman" w:cs="Times New Roman" w:eastAsia="Times New Roman" w:hAnsi="Times New Roman"/>
      <w:sz w:val="20"/>
      <w:szCs w:val="20"/>
      <w:lang w:val="es-MX"/>
    </w:rPr>
  </w:style>
  <w:style w:type="paragraph" w:styleId="Textoindependiente2">
    <w:name w:val="Body Text 2"/>
    <w:basedOn w:val="Normal"/>
    <w:link w:val="Textoindependiente2Car"/>
    <w:uiPriority w:val="99"/>
    <w:semiHidden w:val="1"/>
    <w:unhideWhenUsed w:val="1"/>
    <w:rsid w:val="00A07966"/>
    <w:pPr>
      <w:spacing w:after="120" w:line="480" w:lineRule="auto"/>
    </w:pPr>
    <w:rPr>
      <w:lang w:eastAsia="es-ES" w:val="es-ES"/>
    </w:rPr>
  </w:style>
  <w:style w:type="character" w:styleId="Textoindependiente2Car" w:customStyle="1">
    <w:name w:val="Texto independiente 2 Car"/>
    <w:basedOn w:val="Fuentedeprrafopredeter"/>
    <w:link w:val="Textoindependiente2"/>
    <w:uiPriority w:val="99"/>
    <w:semiHidden w:val="1"/>
    <w:rsid w:val="00A07966"/>
    <w:rPr>
      <w:rFonts w:ascii="Times New Roman" w:cs="Times New Roman" w:eastAsia="Times New Roman" w:hAnsi="Times New Roman"/>
      <w:lang w:val="es-ES"/>
    </w:rPr>
  </w:style>
  <w:style w:type="paragraph" w:styleId="Textosinformato">
    <w:name w:val="Plain Text"/>
    <w:basedOn w:val="Normal"/>
    <w:link w:val="TextosinformatoCar"/>
    <w:unhideWhenUsed w:val="1"/>
    <w:rsid w:val="00A07966"/>
    <w:rPr>
      <w:rFonts w:ascii="Courier New" w:hAnsi="Courier New"/>
      <w:sz w:val="20"/>
      <w:szCs w:val="20"/>
      <w:lang w:eastAsia="es-ES" w:val="es-ES"/>
    </w:rPr>
  </w:style>
  <w:style w:type="character" w:styleId="TextosinformatoCar" w:customStyle="1">
    <w:name w:val="Texto sin formato Car"/>
    <w:basedOn w:val="Fuentedeprrafopredeter"/>
    <w:link w:val="Textosinformato"/>
    <w:rsid w:val="00A07966"/>
    <w:rPr>
      <w:rFonts w:ascii="Courier New" w:cs="Times New Roman" w:eastAsia="Times New Roman" w:hAnsi="Courier New"/>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A07966"/>
    <w:rPr>
      <w:b w:val="1"/>
      <w:bCs w:val="1"/>
    </w:rPr>
  </w:style>
  <w:style w:type="character" w:styleId="AsuntodelcomentarioCar" w:customStyle="1">
    <w:name w:val="Asunto del comentario Car"/>
    <w:basedOn w:val="TextocomentarioCar"/>
    <w:link w:val="Asuntodelcomentario"/>
    <w:uiPriority w:val="99"/>
    <w:semiHidden w:val="1"/>
    <w:rsid w:val="00A07966"/>
    <w:rPr>
      <w:rFonts w:ascii="Times New Roman" w:cs="Times New Roman" w:eastAsia="Times New Roman" w:hAnsi="Times New Roman"/>
      <w:b w:val="1"/>
      <w:bCs w:val="1"/>
      <w:sz w:val="20"/>
      <w:szCs w:val="20"/>
      <w:lang w:val="es-MX"/>
    </w:rPr>
  </w:style>
  <w:style w:type="character" w:styleId="TextoCar" w:customStyle="1">
    <w:name w:val="Texto Car"/>
    <w:link w:val="Texto"/>
    <w:locked w:val="1"/>
    <w:rsid w:val="00A07966"/>
    <w:rPr>
      <w:rFonts w:ascii="Arial" w:cs="Arial" w:eastAsia="Times New Roman" w:hAnsi="Arial"/>
      <w:sz w:val="18"/>
      <w:szCs w:val="18"/>
      <w:lang w:val="es-MX"/>
    </w:rPr>
  </w:style>
  <w:style w:type="character" w:styleId="ROMANOSCar" w:customStyle="1">
    <w:name w:val="ROMANOS Car"/>
    <w:link w:val="ROMANOS"/>
    <w:locked w:val="1"/>
    <w:rsid w:val="00A07966"/>
    <w:rPr>
      <w:rFonts w:ascii="Arial" w:cs="Arial" w:eastAsia="Times New Roman" w:hAnsi="Arial"/>
      <w:sz w:val="18"/>
      <w:szCs w:val="18"/>
      <w:lang w:val="es-ES"/>
    </w:rPr>
  </w:style>
  <w:style w:type="paragraph" w:styleId="ROMANOS" w:customStyle="1">
    <w:name w:val="ROMANOS"/>
    <w:basedOn w:val="Normal"/>
    <w:link w:val="ROMANOSCar"/>
    <w:rsid w:val="00A07966"/>
    <w:pPr>
      <w:tabs>
        <w:tab w:val="left" w:pos="720"/>
      </w:tabs>
      <w:spacing w:after="101" w:line="216" w:lineRule="exact"/>
      <w:ind w:left="720" w:hanging="432"/>
      <w:jc w:val="both"/>
    </w:pPr>
    <w:rPr>
      <w:rFonts w:ascii="Arial" w:cs="Arial" w:hAnsi="Arial"/>
      <w:sz w:val="18"/>
      <w:szCs w:val="18"/>
      <w:lang w:eastAsia="es-ES" w:val="es-ES"/>
    </w:rPr>
  </w:style>
  <w:style w:type="paragraph" w:styleId="n2" w:customStyle="1">
    <w:name w:val="n2"/>
    <w:basedOn w:val="Normal"/>
    <w:rsid w:val="00A07966"/>
    <w:pPr>
      <w:spacing w:after="100" w:afterAutospacing="1" w:before="100" w:beforeAutospacing="1"/>
    </w:pPr>
  </w:style>
  <w:style w:type="paragraph" w:styleId="j" w:customStyle="1">
    <w:name w:val="j"/>
    <w:basedOn w:val="Normal"/>
    <w:rsid w:val="00A07966"/>
    <w:pPr>
      <w:spacing w:after="100" w:afterAutospacing="1" w:before="100" w:beforeAutospacing="1"/>
    </w:pPr>
  </w:style>
  <w:style w:type="character" w:styleId="Listavistosa-nfasis1Car" w:customStyle="1">
    <w:name w:val="Lista vistosa - Énfasis 1 Car"/>
    <w:link w:val="Listavistosa-nfasis11"/>
    <w:uiPriority w:val="34"/>
    <w:locked w:val="1"/>
    <w:rsid w:val="00A07966"/>
    <w:rPr>
      <w:rFonts w:ascii="Times New Roman" w:cs="Times New Roman" w:eastAsia="Times New Roman" w:hAnsi="Times New Roman"/>
      <w:lang w:val="es-ES"/>
    </w:rPr>
  </w:style>
  <w:style w:type="paragraph" w:styleId="Listavistosa-nfasis11" w:customStyle="1">
    <w:name w:val="Lista vistosa - Énfasis 11"/>
    <w:basedOn w:val="Normal"/>
    <w:link w:val="Listavistosa-nfasis1Car"/>
    <w:uiPriority w:val="34"/>
    <w:qFormat w:val="1"/>
    <w:rsid w:val="00A07966"/>
    <w:pPr>
      <w:ind w:left="708"/>
    </w:pPr>
    <w:rPr>
      <w:lang w:eastAsia="es-ES" w:val="es-ES"/>
    </w:rPr>
  </w:style>
  <w:style w:type="paragraph" w:styleId="Pa2" w:customStyle="1">
    <w:name w:val="Pa2"/>
    <w:basedOn w:val="Normal"/>
    <w:next w:val="Normal"/>
    <w:uiPriority w:val="99"/>
    <w:rsid w:val="00A07966"/>
    <w:pPr>
      <w:autoSpaceDE w:val="0"/>
      <w:autoSpaceDN w:val="0"/>
      <w:adjustRightInd w:val="0"/>
      <w:spacing w:line="240" w:lineRule="atLeast"/>
    </w:pPr>
    <w:rPr>
      <w:rFonts w:ascii="Helvetica" w:hAnsi="Helvetica"/>
      <w:lang w:eastAsia="es-ES_tradnl" w:val="es-ES_tradnl"/>
    </w:rPr>
  </w:style>
  <w:style w:type="paragraph" w:styleId="RSCGnotaalpie" w:customStyle="1">
    <w:name w:val="RSCG nota al pie"/>
    <w:basedOn w:val="Normal"/>
    <w:uiPriority w:val="99"/>
    <w:qFormat w:val="1"/>
    <w:rsid w:val="00A07966"/>
    <w:pPr>
      <w:spacing w:after="120"/>
      <w:jc w:val="both"/>
    </w:pPr>
    <w:rPr>
      <w:rFonts w:ascii="Palatino" w:hAnsi="Palatino" w:cstheme="minorBidi"/>
      <w:sz w:val="22"/>
      <w:szCs w:val="22"/>
      <w:lang w:eastAsia="en-US"/>
    </w:rPr>
  </w:style>
  <w:style w:type="character" w:styleId="ANOTACIONCar" w:customStyle="1">
    <w:name w:val="ANOTACION Car"/>
    <w:link w:val="ANOTACION"/>
    <w:locked w:val="1"/>
    <w:rsid w:val="00A07966"/>
    <w:rPr>
      <w:rFonts w:ascii="Times New Roman" w:cs="Times New Roman" w:eastAsia="Times New Roman" w:hAnsi="Times New Roman"/>
      <w:b w:val="1"/>
      <w:sz w:val="18"/>
      <w:szCs w:val="18"/>
      <w:lang w:eastAsia="x-none" w:val="x-none"/>
    </w:rPr>
  </w:style>
  <w:style w:type="paragraph" w:styleId="ANOTACION" w:customStyle="1">
    <w:name w:val="ANOTACION"/>
    <w:basedOn w:val="Normal"/>
    <w:link w:val="ANOTACIONCar"/>
    <w:rsid w:val="00A07966"/>
    <w:pPr>
      <w:spacing w:after="101" w:before="101"/>
      <w:jc w:val="center"/>
    </w:pPr>
    <w:rPr>
      <w:b w:val="1"/>
      <w:sz w:val="18"/>
      <w:szCs w:val="18"/>
      <w:lang w:eastAsia="x-none" w:val="x-none"/>
    </w:rPr>
  </w:style>
  <w:style w:type="character" w:styleId="Refdecomentario">
    <w:name w:val="annotation reference"/>
    <w:basedOn w:val="Fuentedeprrafopredeter"/>
    <w:uiPriority w:val="99"/>
    <w:semiHidden w:val="1"/>
    <w:unhideWhenUsed w:val="1"/>
    <w:rsid w:val="00A07966"/>
    <w:rPr>
      <w:sz w:val="16"/>
      <w:szCs w:val="16"/>
    </w:rPr>
  </w:style>
  <w:style w:type="character" w:styleId="m1553324590483875794gmail-m8993139698400752374gmail-apple-converted-space" w:customStyle="1">
    <w:name w:val="m_1553324590483875794gmail-m_8993139698400752374gmail-apple-converted-space"/>
    <w:basedOn w:val="Fuentedeprrafopredeter"/>
    <w:rsid w:val="00A07966"/>
  </w:style>
  <w:style w:type="character" w:styleId="d" w:customStyle="1">
    <w:name w:val="d"/>
    <w:basedOn w:val="Fuentedeprrafopredeter"/>
    <w:rsid w:val="00A07966"/>
  </w:style>
  <w:style w:type="character" w:styleId="apple-style-span" w:customStyle="1">
    <w:name w:val="apple-style-span"/>
    <w:rsid w:val="00A07966"/>
  </w:style>
  <w:style w:type="character" w:styleId="negritas1" w:customStyle="1">
    <w:name w:val="negritas1"/>
    <w:rsid w:val="00A07966"/>
    <w:rPr>
      <w:rFonts w:ascii="Arial" w:cs="Arial" w:hAnsi="Arial" w:hint="default"/>
      <w:b w:val="1"/>
      <w:bCs w:val="1"/>
      <w:sz w:val="18"/>
      <w:szCs w:val="18"/>
    </w:rPr>
  </w:style>
  <w:style w:type="character" w:styleId="b" w:customStyle="1">
    <w:name w:val="b"/>
    <w:basedOn w:val="Fuentedeprrafopredeter"/>
    <w:rsid w:val="00A07966"/>
  </w:style>
  <w:style w:type="character" w:styleId="k" w:customStyle="1">
    <w:name w:val="k"/>
    <w:basedOn w:val="Fuentedeprrafopredeter"/>
    <w:rsid w:val="00A07966"/>
  </w:style>
  <w:style w:type="character" w:styleId="h" w:customStyle="1">
    <w:name w:val="h"/>
    <w:basedOn w:val="Fuentedeprrafopredeter"/>
    <w:rsid w:val="00A07966"/>
  </w:style>
  <w:style w:type="character" w:styleId="lbl-encabezado-blanco2" w:customStyle="1">
    <w:name w:val="lbl-encabezado-blanco2"/>
    <w:rsid w:val="00A07966"/>
    <w:rPr>
      <w:color w:val="ffffff"/>
    </w:rPr>
  </w:style>
  <w:style w:type="table" w:styleId="Tablaconcuadrcula1clara-nfasis1">
    <w:name w:val="Grid Table 1 Light Accent 1"/>
    <w:basedOn w:val="Tablanormal"/>
    <w:uiPriority w:val="46"/>
    <w:rsid w:val="00A07966"/>
    <w:rPr>
      <w:rFonts w:eastAsiaTheme="minorHAnsi"/>
      <w:sz w:val="22"/>
      <w:szCs w:val="22"/>
      <w:lang w:eastAsia="en-US" w:val="es-MX"/>
    </w:r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paragraph" w:styleId="TDC1">
    <w:name w:val="toc 1"/>
    <w:basedOn w:val="Normal"/>
    <w:next w:val="Normal"/>
    <w:autoRedefine w:val="1"/>
    <w:uiPriority w:val="39"/>
    <w:unhideWhenUsed w:val="1"/>
    <w:rsid w:val="00A07966"/>
    <w:pPr>
      <w:tabs>
        <w:tab w:val="right" w:leader="dot" w:pos="8779"/>
      </w:tabs>
      <w:spacing w:after="100" w:line="360" w:lineRule="auto"/>
      <w:ind w:left="284"/>
    </w:pPr>
    <w:rPr>
      <w:rFonts w:asciiTheme="minorHAnsi" w:cstheme="minorBidi" w:eastAsiaTheme="minorEastAsia" w:hAnsiTheme="minorHAnsi"/>
      <w:lang w:eastAsia="es-ES" w:val="es-ES_tradnl"/>
    </w:rPr>
  </w:style>
  <w:style w:type="paragraph" w:styleId="TDC2">
    <w:name w:val="toc 2"/>
    <w:basedOn w:val="Normal"/>
    <w:next w:val="Normal"/>
    <w:autoRedefine w:val="1"/>
    <w:uiPriority w:val="39"/>
    <w:unhideWhenUsed w:val="1"/>
    <w:rsid w:val="00A07966"/>
    <w:pPr>
      <w:tabs>
        <w:tab w:val="left" w:pos="709"/>
        <w:tab w:val="right" w:leader="dot" w:pos="8779"/>
      </w:tabs>
      <w:spacing w:after="100" w:line="480" w:lineRule="auto"/>
      <w:ind w:left="284"/>
    </w:pPr>
    <w:rPr>
      <w:rFonts w:asciiTheme="minorHAnsi" w:cstheme="minorBidi" w:eastAsiaTheme="minorEastAsia" w:hAnsiTheme="minorHAnsi"/>
      <w:lang w:eastAsia="es-ES" w:val="es-ES_tradnl"/>
    </w:rPr>
  </w:style>
  <w:style w:type="paragraph" w:styleId="Textoindependiente">
    <w:name w:val="Body Text"/>
    <w:basedOn w:val="Normal"/>
    <w:link w:val="TextoindependienteCar"/>
    <w:rsid w:val="00A07966"/>
    <w:pPr>
      <w:jc w:val="both"/>
    </w:pPr>
    <w:rPr>
      <w:rFonts w:ascii="Arial" w:hAnsi="Arial"/>
      <w:szCs w:val="20"/>
      <w:lang w:eastAsia="es-ES" w:val="es-ES_tradnl"/>
    </w:rPr>
  </w:style>
  <w:style w:type="character" w:styleId="TextoindependienteCar" w:customStyle="1">
    <w:name w:val="Texto independiente Car"/>
    <w:basedOn w:val="Fuentedeprrafopredeter"/>
    <w:link w:val="Textoindependiente"/>
    <w:rsid w:val="00A07966"/>
    <w:rPr>
      <w:rFonts w:ascii="Arial" w:cs="Times New Roman" w:eastAsia="Times New Roman" w:hAnsi="Arial"/>
      <w:szCs w:val="20"/>
    </w:rPr>
  </w:style>
  <w:style w:type="paragraph" w:styleId="p" w:customStyle="1">
    <w:name w:val="p"/>
    <w:basedOn w:val="Normal"/>
    <w:rsid w:val="00A07966"/>
    <w:pPr>
      <w:spacing w:after="100" w:afterAutospacing="1" w:before="100" w:beforeAutospacing="1"/>
    </w:pPr>
  </w:style>
  <w:style w:type="character" w:styleId="a" w:customStyle="1">
    <w:name w:val="a"/>
    <w:basedOn w:val="Fuentedeprrafopredeter"/>
    <w:rsid w:val="00A07966"/>
  </w:style>
  <w:style w:type="character" w:styleId="g" w:customStyle="1">
    <w:name w:val="g"/>
    <w:basedOn w:val="Fuentedeprrafopredeter"/>
    <w:rsid w:val="00A07966"/>
  </w:style>
  <w:style w:type="table" w:styleId="Tablaconcuadrcula1" w:customStyle="1">
    <w:name w:val="Tabla con cuadrícula1"/>
    <w:basedOn w:val="Tablanormal"/>
    <w:next w:val="Tablaconcuadrcula"/>
    <w:uiPriority w:val="59"/>
    <w:rsid w:val="00A07966"/>
    <w:rPr>
      <w:rFonts w:eastAsia="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TDC">
    <w:name w:val="TOC Heading"/>
    <w:basedOn w:val="Ttulo1"/>
    <w:next w:val="Normal"/>
    <w:uiPriority w:val="39"/>
    <w:unhideWhenUsed w:val="1"/>
    <w:qFormat w:val="1"/>
    <w:rsid w:val="00A07966"/>
    <w:pPr>
      <w:spacing w:line="259" w:lineRule="auto"/>
      <w:outlineLvl w:val="9"/>
    </w:pPr>
    <w:rPr>
      <w:rFonts w:ascii="Palatino Linotype" w:hAnsi="Palatino Linotype"/>
      <w:b w:val="1"/>
      <w:color w:val="000000" w:themeColor="text1"/>
      <w:sz w:val="24"/>
      <w:lang w:eastAsia="es-MX"/>
    </w:rPr>
  </w:style>
  <w:style w:type="paragraph" w:styleId="FootnoteTextCharCharChar1" w:customStyle="1">
    <w:name w:val="Footnote Text Char Char Char1"/>
    <w:basedOn w:val="Normal"/>
    <w:next w:val="Textonotapie"/>
    <w:unhideWhenUsed w:val="1"/>
    <w:rsid w:val="00A07966"/>
    <w:rPr>
      <w:rFonts w:eastAsia="Cambria" w:asciiTheme="minorHAnsi" w:cstheme="minorBidi" w:hAnsiTheme="minorHAnsi"/>
      <w:sz w:val="20"/>
      <w:szCs w:val="20"/>
      <w:lang w:eastAsia="en-US"/>
    </w:rPr>
  </w:style>
  <w:style w:type="character" w:styleId="il" w:customStyle="1">
    <w:name w:val="il"/>
    <w:basedOn w:val="Fuentedeprrafopredeter"/>
    <w:rsid w:val="00A07966"/>
  </w:style>
  <w:style w:type="paragraph" w:styleId="TDC3">
    <w:name w:val="toc 3"/>
    <w:basedOn w:val="Normal"/>
    <w:next w:val="Normal"/>
    <w:autoRedefine w:val="1"/>
    <w:uiPriority w:val="39"/>
    <w:unhideWhenUsed w:val="1"/>
    <w:rsid w:val="00A07966"/>
    <w:pPr>
      <w:spacing w:after="100"/>
      <w:ind w:left="480"/>
    </w:pPr>
    <w:rPr>
      <w:rFonts w:asciiTheme="minorHAnsi" w:cstheme="minorBidi" w:eastAsiaTheme="minorEastAsia" w:hAnsiTheme="minorHAnsi"/>
      <w:lang w:eastAsia="es-ES" w:val="es-ES_tradnl"/>
    </w:rPr>
  </w:style>
  <w:style w:type="character" w:styleId="Textoennegrita">
    <w:name w:val="Strong"/>
    <w:uiPriority w:val="22"/>
    <w:qFormat w:val="1"/>
    <w:rsid w:val="00A07966"/>
    <w:rPr>
      <w:b w:val="1"/>
      <w:bCs w:val="1"/>
    </w:rPr>
  </w:style>
  <w:style w:type="character" w:styleId="titulorubrolgt" w:customStyle="1">
    <w:name w:val="titulorubrolgt"/>
    <w:basedOn w:val="Fuentedeprrafopredeter"/>
    <w:rsid w:val="00A07966"/>
  </w:style>
  <w:style w:type="character" w:styleId="ctr" w:customStyle="1">
    <w:name w:val="ctr"/>
    <w:basedOn w:val="Fuentedeprrafopredeter"/>
    <w:rsid w:val="00A07966"/>
  </w:style>
  <w:style w:type="paragraph" w:styleId="Textonotapie1" w:customStyle="1">
    <w:name w:val="Texto nota pie1"/>
    <w:basedOn w:val="Normal"/>
    <w:next w:val="Textonotapie"/>
    <w:uiPriority w:val="99"/>
    <w:unhideWhenUsed w:val="1"/>
    <w:rsid w:val="00A07966"/>
    <w:rPr>
      <w:rFonts w:eastAsia="Cambria" w:asciiTheme="minorHAnsi" w:cstheme="minorBidi" w:hAnsiTheme="minorHAnsi"/>
      <w:sz w:val="20"/>
      <w:szCs w:val="20"/>
      <w:lang w:eastAsia="en-US"/>
    </w:rPr>
  </w:style>
  <w:style w:type="character" w:styleId="nfasis">
    <w:name w:val="Emphasis"/>
    <w:basedOn w:val="Fuentedeprrafopredeter"/>
    <w:uiPriority w:val="20"/>
    <w:qFormat w:val="1"/>
    <w:rsid w:val="00A07966"/>
    <w:rPr>
      <w:i w:val="1"/>
      <w:iCs w:val="1"/>
    </w:rPr>
  </w:style>
  <w:style w:type="paragraph" w:styleId="j1" w:customStyle="1">
    <w:name w:val="j1"/>
    <w:basedOn w:val="Normal"/>
    <w:rsid w:val="00A07966"/>
    <w:pPr>
      <w:spacing w:after="100" w:afterAutospacing="1" w:before="100" w:beforeAutospacing="1"/>
    </w:pPr>
  </w:style>
  <w:style w:type="table" w:styleId="Cuadrculadetablaclara1" w:customStyle="1">
    <w:name w:val="Cuadrícula de tabla clara1"/>
    <w:basedOn w:val="Tablanormal"/>
    <w:uiPriority w:val="40"/>
    <w:rsid w:val="00A07966"/>
    <w:rPr>
      <w:rFonts w:eastAsiaTheme="minorHAnsi"/>
      <w:sz w:val="22"/>
      <w:szCs w:val="22"/>
      <w:lang w:eastAsia="en-US" w:val="es-MX"/>
    </w:r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lanormal11" w:customStyle="1">
    <w:name w:val="Tabla normal 11"/>
    <w:basedOn w:val="Tablanormal"/>
    <w:uiPriority w:val="41"/>
    <w:rsid w:val="00A07966"/>
    <w:rPr>
      <w:rFonts w:eastAsiaTheme="minorHAnsi"/>
      <w:sz w:val="22"/>
      <w:szCs w:val="22"/>
      <w:lang w:eastAsia="en-US" w:val="es-MX"/>
    </w:r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m3468294172500300143gmail-msolistparagraph" w:customStyle="1">
    <w:name w:val="m_3468294172500300143gmail-msolistparagraph"/>
    <w:basedOn w:val="Normal"/>
    <w:rsid w:val="00A07966"/>
    <w:pPr>
      <w:spacing w:after="100" w:afterAutospacing="1" w:before="100" w:beforeAutospacing="1"/>
    </w:pPr>
  </w:style>
  <w:style w:type="paragraph" w:styleId="m7640689326625126977gmail-msolistparagraph" w:customStyle="1">
    <w:name w:val="m_7640689326625126977gmail-msolistparagraph"/>
    <w:basedOn w:val="Normal"/>
    <w:rsid w:val="00A07966"/>
    <w:pPr>
      <w:spacing w:after="100" w:afterAutospacing="1" w:before="100" w:beforeAutospacing="1"/>
    </w:pPr>
  </w:style>
  <w:style w:type="character" w:styleId="stytxtare" w:customStyle="1">
    <w:name w:val="stytxtare"/>
    <w:rsid w:val="00A07966"/>
  </w:style>
  <w:style w:type="paragraph" w:styleId="yiv6449924580ydp7ca81294msonormal" w:customStyle="1">
    <w:name w:val="yiv6449924580ydp7ca81294msonormal"/>
    <w:basedOn w:val="Normal"/>
    <w:rsid w:val="00A07966"/>
    <w:pPr>
      <w:spacing w:after="100" w:afterAutospacing="1" w:before="100" w:beforeAutospacing="1"/>
    </w:pPr>
  </w:style>
  <w:style w:type="paragraph" w:styleId="gmail-msolistparagraph" w:customStyle="1">
    <w:name w:val="gmail-msolistparagraph"/>
    <w:basedOn w:val="Normal"/>
    <w:rsid w:val="00A07966"/>
    <w:pPr>
      <w:spacing w:after="100" w:afterAutospacing="1" w:before="100" w:beforeAutospacing="1"/>
    </w:pPr>
  </w:style>
  <w:style w:type="character" w:styleId="vidspn" w:customStyle="1">
    <w:name w:val="vid_spn"/>
    <w:basedOn w:val="Fuentedeprrafopredeter"/>
    <w:rsid w:val="00A07966"/>
  </w:style>
  <w:style w:type="character" w:styleId="Ttulo6Car" w:customStyle="1">
    <w:name w:val="Título 6 Car"/>
    <w:basedOn w:val="Fuentedeprrafopredeter"/>
    <w:link w:val="Ttulo6"/>
    <w:semiHidden w:val="1"/>
    <w:rsid w:val="009417CA"/>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9417CA"/>
    <w:rPr>
      <w:lang w:eastAsia="en-US" w:val="en-US"/>
    </w:rPr>
  </w:style>
  <w:style w:type="character" w:styleId="Ttulo8Car" w:customStyle="1">
    <w:name w:val="Título 8 Car"/>
    <w:basedOn w:val="Fuentedeprrafopredeter"/>
    <w:link w:val="Ttulo8"/>
    <w:uiPriority w:val="9"/>
    <w:semiHidden w:val="1"/>
    <w:rsid w:val="009417CA"/>
    <w:rPr>
      <w:i w:val="1"/>
      <w:iCs w:val="1"/>
      <w:lang w:eastAsia="en-US" w:val="en-US"/>
    </w:rPr>
  </w:style>
  <w:style w:type="character" w:styleId="Ttulo9Car" w:customStyle="1">
    <w:name w:val="Título 9 Car"/>
    <w:basedOn w:val="Fuentedeprrafopredeter"/>
    <w:link w:val="Ttulo9"/>
    <w:uiPriority w:val="9"/>
    <w:semiHidden w:val="1"/>
    <w:rsid w:val="009417CA"/>
    <w:rPr>
      <w:rFonts w:asciiTheme="majorHAnsi" w:cstheme="majorBidi" w:eastAsiaTheme="majorEastAsia" w:hAnsiTheme="majorHAnsi"/>
      <w:sz w:val="22"/>
      <w:szCs w:val="22"/>
      <w:lang w:eastAsia="en-US" w:val="en-US"/>
    </w:rPr>
  </w:style>
  <w:style w:type="table" w:styleId="Tabladecuadrcula1clara1" w:customStyle="1">
    <w:name w:val="Tabla de cuadrícula 1 clara1"/>
    <w:basedOn w:val="Tablanormal"/>
    <w:uiPriority w:val="99"/>
    <w:rsid w:val="009417CA"/>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ladecuadrcula4-nfasis11" w:customStyle="1">
    <w:name w:val="Tabla de cuadrícula 4 - Énfasis 11"/>
    <w:basedOn w:val="Tablanormal"/>
    <w:uiPriority w:val="49"/>
    <w:rsid w:val="009417CA"/>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color w:val="ffffff" w:themeColor="background1"/>
      </w:rPr>
      <w:tblPr/>
      <w:tcPr>
        <w:tcBorders>
          <w:top w:color="4f81bd" w:space="0" w:sz="4" w:themeColor="accent1" w:val="single"/>
          <w:left w:color="4f81bd" w:space="0" w:sz="4" w:themeColor="accent1" w:val="single"/>
          <w:bottom w:color="4f81bd" w:space="0" w:sz="4" w:themeColor="accent1" w:val="single"/>
          <w:right w:color="4f81bd" w:space="0" w:sz="4" w:themeColor="accent1" w:val="single"/>
          <w:insideH w:space="0" w:sz="0" w:val="nil"/>
          <w:insideV w:space="0" w:sz="0" w:val="nil"/>
        </w:tcBorders>
        <w:shd w:color="auto" w:fill="4f81bd" w:themeFill="accent1" w:val="clear"/>
      </w:tcPr>
    </w:tblStylePr>
    <w:tblStylePr w:type="lastRow">
      <w:rPr>
        <w:b w:val="1"/>
        <w:bCs w:val="1"/>
      </w:rPr>
      <w:tblPr/>
      <w:tcPr>
        <w:tcBorders>
          <w:top w:color="4f81bd" w:space="0" w:sz="4" w:themeColor="accent1"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paragraph" w:styleId="m-698976158124685028gmail-msolistparagraph" w:customStyle="1">
    <w:name w:val="m_-698976158124685028gmail-msolistparagraph"/>
    <w:basedOn w:val="Normal"/>
    <w:rsid w:val="009417CA"/>
    <w:pPr>
      <w:spacing w:after="100" w:afterAutospacing="1" w:before="100" w:beforeAutospacing="1"/>
    </w:pPr>
  </w:style>
  <w:style w:type="numbering" w:styleId="Estiloimportado1" w:customStyle="1">
    <w:name w:val="Estilo importado 1"/>
    <w:rsid w:val="009417CA"/>
    <w:pPr>
      <w:numPr>
        <w:numId w:val="1"/>
      </w:numPr>
    </w:pPr>
  </w:style>
  <w:style w:type="paragraph" w:styleId="ADB1" w:customStyle="1">
    <w:name w:val="ADB1"/>
    <w:basedOn w:val="Normal"/>
    <w:next w:val="Textonotapie"/>
    <w:uiPriority w:val="99"/>
    <w:unhideWhenUsed w:val="1"/>
    <w:qFormat w:val="1"/>
    <w:rsid w:val="009417CA"/>
    <w:rPr>
      <w:rFonts w:eastAsia="Cambria" w:asciiTheme="minorHAnsi" w:cstheme="minorBidi" w:hAnsiTheme="minorHAnsi"/>
      <w:sz w:val="20"/>
      <w:szCs w:val="20"/>
      <w:lang w:eastAsia="en-US"/>
    </w:rPr>
  </w:style>
  <w:style w:type="paragraph" w:styleId="m-698976158124685028gmail-default" w:customStyle="1">
    <w:name w:val="m_-698976158124685028gmail-default"/>
    <w:basedOn w:val="Normal"/>
    <w:rsid w:val="009417CA"/>
    <w:pPr>
      <w:spacing w:after="100" w:afterAutospacing="1" w:before="100" w:beforeAutospacing="1"/>
    </w:pPr>
  </w:style>
  <w:style w:type="table" w:styleId="Tablaconcuadrcula1clara">
    <w:name w:val="Grid Table 1 Light"/>
    <w:basedOn w:val="Tablanormal"/>
    <w:uiPriority w:val="46"/>
    <w:rsid w:val="009417CA"/>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paragraph" w:styleId="francesa" w:customStyle="1">
    <w:name w:val="francesa"/>
    <w:basedOn w:val="Normal"/>
    <w:rsid w:val="009417CA"/>
    <w:pPr>
      <w:spacing w:after="100" w:afterAutospacing="1" w:before="100" w:beforeAutospacing="1"/>
    </w:pPr>
  </w:style>
  <w:style w:type="paragraph" w:styleId="Ttulo10" w:customStyle="1">
    <w:name w:val="Título1"/>
    <w:basedOn w:val="Normal"/>
    <w:next w:val="Textoindependiente"/>
    <w:qFormat w:val="1"/>
    <w:rsid w:val="00AA5E30"/>
    <w:pPr>
      <w:keepNext w:val="1"/>
      <w:suppressAutoHyphens w:val="1"/>
      <w:spacing w:after="120" w:before="240"/>
    </w:pPr>
    <w:rPr>
      <w:rFonts w:ascii="Liberation Sans" w:cs="Lohit Devanagari" w:eastAsia="Noto Sans CJK SC" w:hAnsi="Liberation Sans"/>
      <w:sz w:val="28"/>
      <w:szCs w:val="28"/>
      <w:lang w:eastAsia="es-ES"/>
    </w:rPr>
  </w:style>
  <w:style w:type="table" w:styleId="Tablaconcuadrcula27" w:customStyle="1">
    <w:name w:val="Tabla con cuadrícula27"/>
    <w:basedOn w:val="Tablanormal"/>
    <w:next w:val="Tablaconcuadrcula"/>
    <w:uiPriority w:val="39"/>
    <w:rsid w:val="00AA5E30"/>
    <w:rPr>
      <w:rFonts w:eastAsia="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0.png"/><Relationship Id="rId22" Type="http://schemas.openxmlformats.org/officeDocument/2006/relationships/footer" Target="footer1.xml"/><Relationship Id="rId10" Type="http://schemas.openxmlformats.org/officeDocument/2006/relationships/image" Target="media/image11.png"/><Relationship Id="rId21" Type="http://schemas.openxmlformats.org/officeDocument/2006/relationships/footer" Target="footer2.xml"/><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png"/><Relationship Id="rId15" Type="http://schemas.openxmlformats.org/officeDocument/2006/relationships/image" Target="media/image4.png"/><Relationship Id="rId14" Type="http://schemas.openxmlformats.org/officeDocument/2006/relationships/image" Target="media/image5.png"/><Relationship Id="rId17" Type="http://schemas.openxmlformats.org/officeDocument/2006/relationships/hyperlink" Target="about:blank" TargetMode="External"/><Relationship Id="rId16" Type="http://schemas.openxmlformats.org/officeDocument/2006/relationships/image" Target="media/image3.png"/><Relationship Id="rId5" Type="http://schemas.openxmlformats.org/officeDocument/2006/relationships/numbering" Target="numbering.xml"/><Relationship Id="rId19" Type="http://schemas.openxmlformats.org/officeDocument/2006/relationships/header" Target="header2.xml"/><Relationship Id="rId6" Type="http://schemas.openxmlformats.org/officeDocument/2006/relationships/styles" Target="styles.xml"/><Relationship Id="rId18" Type="http://schemas.openxmlformats.org/officeDocument/2006/relationships/image" Target="media/image7.png"/><Relationship Id="rId7" Type="http://schemas.openxmlformats.org/officeDocument/2006/relationships/customXml" Target="../customXML/item1.xm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9Xjgs2z8fcGlSHqUVacEcvhKEQ==">AMUW2mV/QgzCQh1OavgXeCURh4mfDGd3Ye/rwIYBkQDN2LXZTJ1afTuK7BnkR/c7JttRoO+6TMcSy7xFnIa31p4uoRXPx1mWgyEX6Xedh5hZnflGY+dD9v6bk1NsxzF/ZRgciig3xwVRWScGqZ4LEwFVgCQrP6s5sGhL/8ErO/scZI6kJRH3LqIrnqPT7GsyqRDlNuGuocBXIqCwCm/J7QFpPUIwNRHJ5iJhH7LcHhK21EWpu4sEp2LA+LzLxvwR4H8IaZZx7MsEGF3yHujld39ZiOURnaS/W8OOH1eNtmnXpNcnT4bGt0Tpft0cGlAuE7uuwR4IzlxKz8zox2SEAf79PKR4zF9wRZ7ewzRkn9YwaAM+AZyvEc2YJPStUHNh7OjU2LXb6pt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2021-08-24T02:06:00Z</dcterms:created>
  <dc:creator>iMac</dc:creator>
</cp:coreProperties>
</file>