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54537" w14:textId="77777777" w:rsidR="00BE1923" w:rsidRDefault="00BE1923" w:rsidP="00BE1923">
      <w:pPr>
        <w:spacing w:line="360" w:lineRule="auto"/>
        <w:jc w:val="center"/>
        <w:rPr>
          <w:rFonts w:ascii="Palatino Linotype" w:hAnsi="Palatino Linotype"/>
          <w:b/>
          <w:u w:val="single"/>
        </w:rPr>
      </w:pPr>
    </w:p>
    <w:p w14:paraId="0033714A" w14:textId="7C747FB9"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34EF7">
        <w:rPr>
          <w:rFonts w:ascii="Palatino Linotype" w:hAnsi="Palatino Linotype"/>
        </w:rPr>
        <w:t>diez</w:t>
      </w:r>
      <w:r w:rsidRPr="008A449C">
        <w:rPr>
          <w:rFonts w:ascii="Palatino Linotype" w:hAnsi="Palatino Linotype"/>
        </w:rPr>
        <w:t xml:space="preserve"> (</w:t>
      </w:r>
      <w:r w:rsidR="00434EF7">
        <w:rPr>
          <w:rFonts w:ascii="Palatino Linotype" w:hAnsi="Palatino Linotype"/>
        </w:rPr>
        <w:t>10</w:t>
      </w:r>
      <w:r w:rsidRPr="008A449C">
        <w:rPr>
          <w:rFonts w:ascii="Palatino Linotype" w:hAnsi="Palatino Linotype"/>
        </w:rPr>
        <w:t>)</w:t>
      </w:r>
      <w:r w:rsidRPr="00D27215">
        <w:rPr>
          <w:rFonts w:ascii="Palatino Linotype" w:hAnsi="Palatino Linotype"/>
        </w:rPr>
        <w:t xml:space="preserve"> de </w:t>
      </w:r>
      <w:r w:rsidR="00C96E1C">
        <w:rPr>
          <w:rFonts w:ascii="Palatino Linotype" w:hAnsi="Palatino Linotype"/>
        </w:rPr>
        <w:t>noviem</w:t>
      </w:r>
      <w:r w:rsidR="00F8739B">
        <w:rPr>
          <w:rFonts w:ascii="Palatino Linotype" w:hAnsi="Palatino Linotype"/>
        </w:rPr>
        <w:t>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64E61ED4" w:rsidR="009417CA" w:rsidRPr="008A269D" w:rsidRDefault="009417CA" w:rsidP="008A269D">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motivo del recurso de revisión </w:t>
      </w:r>
      <w:r w:rsidR="00434EF7">
        <w:rPr>
          <w:rFonts w:ascii="Palatino Linotype" w:hAnsi="Palatino Linotype"/>
          <w:b/>
        </w:rPr>
        <w:t>03603/INFOEM/IP/RR/2021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proofErr w:type="spellStart"/>
      <w:r w:rsidR="00725E32">
        <w:rPr>
          <w:rFonts w:ascii="Palatino Linotype" w:hAnsi="Palatino Linotype"/>
          <w:b/>
        </w:rPr>
        <w:t>xxxxxxxxxxxxx</w:t>
      </w:r>
      <w:proofErr w:type="spellEnd"/>
      <w:r w:rsidR="00725E32">
        <w:rPr>
          <w:rFonts w:ascii="Palatino Linotype" w:hAnsi="Palatino Linotype"/>
          <w:b/>
        </w:rPr>
        <w:t xml:space="preserve"> x </w:t>
      </w:r>
      <w:proofErr w:type="spellStart"/>
      <w:r w:rsidR="00725E32">
        <w:rPr>
          <w:rFonts w:ascii="Palatino Linotype" w:hAnsi="Palatino Linotype"/>
          <w:b/>
        </w:rPr>
        <w:t>xxxxx</w:t>
      </w:r>
      <w:proofErr w:type="spellEnd"/>
      <w:r w:rsidR="00725E32">
        <w:rPr>
          <w:rFonts w:ascii="Palatino Linotype" w:hAnsi="Palatino Linotype"/>
          <w:b/>
        </w:rPr>
        <w:t xml:space="preserve"> X </w:t>
      </w:r>
      <w:proofErr w:type="spellStart"/>
      <w:r w:rsidR="00725E32">
        <w:rPr>
          <w:rFonts w:ascii="Palatino Linotype" w:hAnsi="Palatino Linotype"/>
          <w:b/>
        </w:rPr>
        <w:t>Xx</w:t>
      </w:r>
      <w:proofErr w:type="spellEnd"/>
      <w:r w:rsidR="00725E32">
        <w:rPr>
          <w:rFonts w:ascii="Palatino Linotype" w:hAnsi="Palatino Linotype"/>
          <w:b/>
        </w:rPr>
        <w:t xml:space="preserve"> </w:t>
      </w:r>
      <w:proofErr w:type="spellStart"/>
      <w:r w:rsidR="00725E32">
        <w:rPr>
          <w:rFonts w:ascii="Palatino Linotype" w:hAnsi="Palatino Linotype"/>
          <w:b/>
        </w:rPr>
        <w:t>Xxxxxxx</w:t>
      </w:r>
      <w:proofErr w:type="spellEnd"/>
      <w:r w:rsidR="008B13E3">
        <w:rPr>
          <w:rFonts w:ascii="Palatino Linotype" w:hAnsi="Palatino Linotype"/>
        </w:rPr>
        <w:t xml:space="preserve"> a través de</w:t>
      </w:r>
      <w:r w:rsidR="00EF4C63">
        <w:rPr>
          <w:rFonts w:ascii="Palatino Linotype" w:hAnsi="Palatino Linotype"/>
        </w:rPr>
        <w:t xml:space="preserve"> la Plataforma Nacional de Transparencia </w:t>
      </w:r>
      <w:r w:rsidRPr="00D27215">
        <w:rPr>
          <w:rFonts w:ascii="Palatino Linotype" w:hAnsi="Palatino Linotype"/>
          <w:b/>
        </w:rPr>
        <w:t>(</w:t>
      </w:r>
      <w:r w:rsidR="00EF4C63">
        <w:rPr>
          <w:rFonts w:ascii="Palatino Linotype" w:hAnsi="Palatino Linotype"/>
          <w:b/>
        </w:rPr>
        <w:t>PNT</w:t>
      </w:r>
      <w:r w:rsidRPr="00D27215">
        <w:rPr>
          <w:rFonts w:ascii="Palatino Linotype" w:hAnsi="Palatino Linotype"/>
          <w:b/>
        </w:rPr>
        <w:t>)</w:t>
      </w:r>
      <w:r w:rsidRPr="00D27215">
        <w:rPr>
          <w:rFonts w:ascii="Palatino Linotype" w:hAnsi="Palatino Linotype"/>
        </w:rPr>
        <w:t xml:space="preserve">, </w:t>
      </w:r>
      <w:r w:rsidR="00150024">
        <w:rPr>
          <w:rFonts w:ascii="Palatino Linotype" w:hAnsi="Palatino Linotype"/>
        </w:rPr>
        <w:t xml:space="preserve">a quien </w:t>
      </w:r>
      <w:r w:rsidR="00A5272E">
        <w:rPr>
          <w:rFonts w:ascii="Palatino Linotype" w:hAnsi="Palatino Linotype"/>
        </w:rPr>
        <w:t>en lo sucesivo</w:t>
      </w:r>
      <w:r w:rsidRPr="00D27215">
        <w:rPr>
          <w:rFonts w:ascii="Palatino Linotype" w:hAnsi="Palatino Linotype"/>
        </w:rPr>
        <w:t xml:space="preserve"> se le identificará como </w:t>
      </w:r>
      <w:r w:rsidR="00A5272E" w:rsidRPr="00A5272E">
        <w:rPr>
          <w:rFonts w:ascii="Palatino Linotype" w:hAnsi="Palatino Linotype"/>
          <w:b/>
        </w:rPr>
        <w:t>EL</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de la respuesta del </w:t>
      </w:r>
      <w:r w:rsidR="00434EF7">
        <w:rPr>
          <w:rFonts w:ascii="Palatino Linotype" w:hAnsi="Palatino Linotype" w:cs="Arial"/>
          <w:b/>
        </w:rPr>
        <w:t>Secretaría de Seguridad</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w:t>
      </w:r>
      <w:r w:rsidRPr="008A269D">
        <w:rPr>
          <w:rFonts w:ascii="Palatino Linotype" w:hAnsi="Palatino Linotype"/>
        </w:rPr>
        <w:t>dictar la presente resolución, con base en los siguientes:</w:t>
      </w:r>
    </w:p>
    <w:p w14:paraId="410DB856" w14:textId="77777777" w:rsidR="008A269D" w:rsidRPr="008A269D" w:rsidRDefault="008A269D" w:rsidP="008A269D">
      <w:pPr>
        <w:spacing w:line="360" w:lineRule="auto"/>
        <w:jc w:val="both"/>
        <w:rPr>
          <w:rFonts w:ascii="Palatino Linotype" w:hAnsi="Palatino Linotype"/>
        </w:rPr>
      </w:pPr>
    </w:p>
    <w:p w14:paraId="6D4F2D4C" w14:textId="7847DB03" w:rsidR="009417CA"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0" w:name="_Toc86947360"/>
      <w:r w:rsidRPr="008A269D">
        <w:rPr>
          <w:rFonts w:ascii="Palatino Linotype" w:hAnsi="Palatino Linotype"/>
          <w:b/>
          <w:color w:val="000000" w:themeColor="text1"/>
          <w:sz w:val="24"/>
          <w:szCs w:val="24"/>
          <w:lang w:val="es-ES"/>
        </w:rPr>
        <w:t>A N T E C E D E N T E S</w:t>
      </w:r>
      <w:bookmarkEnd w:id="0"/>
    </w:p>
    <w:p w14:paraId="07B8C422" w14:textId="77777777" w:rsidR="008A269D" w:rsidRPr="008A269D" w:rsidRDefault="008A269D" w:rsidP="008A269D">
      <w:pPr>
        <w:rPr>
          <w:lang w:val="es-ES" w:eastAsia="es-ES"/>
        </w:rPr>
      </w:pPr>
    </w:p>
    <w:p w14:paraId="6C73856D" w14:textId="5FF8FF4B" w:rsidR="009417CA"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8A269D">
        <w:rPr>
          <w:rFonts w:ascii="Palatino Linotype" w:eastAsia="Calibri" w:hAnsi="Palatino Linotype" w:cs="Arial"/>
        </w:rPr>
        <w:t xml:space="preserve">El día </w:t>
      </w:r>
      <w:r w:rsidR="00434EF7">
        <w:rPr>
          <w:rFonts w:ascii="Palatino Linotype" w:eastAsia="Calibri" w:hAnsi="Palatino Linotype" w:cs="Arial"/>
        </w:rPr>
        <w:t>once</w:t>
      </w:r>
      <w:r w:rsidRPr="008A269D">
        <w:rPr>
          <w:rFonts w:ascii="Palatino Linotype" w:eastAsia="Calibri" w:hAnsi="Palatino Linotype" w:cs="Arial"/>
        </w:rPr>
        <w:t xml:space="preserve"> (</w:t>
      </w:r>
      <w:r w:rsidR="00434EF7">
        <w:rPr>
          <w:rFonts w:ascii="Palatino Linotype" w:eastAsia="Calibri" w:hAnsi="Palatino Linotype" w:cs="Arial"/>
        </w:rPr>
        <w:t>11</w:t>
      </w:r>
      <w:r w:rsidRPr="008A269D">
        <w:rPr>
          <w:rFonts w:ascii="Palatino Linotype" w:eastAsia="Calibri" w:hAnsi="Palatino Linotype" w:cs="Arial"/>
        </w:rPr>
        <w:t xml:space="preserve">) de </w:t>
      </w:r>
      <w:r w:rsidR="00434EF7">
        <w:rPr>
          <w:rFonts w:ascii="Palatino Linotype" w:eastAsia="Calibri" w:hAnsi="Palatino Linotype" w:cs="Arial"/>
        </w:rPr>
        <w:t>juni</w:t>
      </w:r>
      <w:r w:rsidRPr="008A269D">
        <w:rPr>
          <w:rFonts w:ascii="Palatino Linotype" w:eastAsia="Calibri" w:hAnsi="Palatino Linotype" w:cs="Arial"/>
        </w:rPr>
        <w:t>o de dos</w:t>
      </w:r>
      <w:r>
        <w:rPr>
          <w:rFonts w:ascii="Palatino Linotype" w:eastAsia="Calibri" w:hAnsi="Palatino Linotype" w:cs="Arial"/>
        </w:rPr>
        <w:t xml:space="preserve">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w:t>
      </w:r>
      <w:r w:rsidRPr="00E63491">
        <w:rPr>
          <w:rFonts w:ascii="Palatino Linotype" w:eastAsia="Calibri" w:hAnsi="Palatino Linotype" w:cs="Arial"/>
          <w:b/>
        </w:rPr>
        <w:t xml:space="preserve"> </w:t>
      </w:r>
      <w:r w:rsidR="00E63491" w:rsidRPr="00E63491">
        <w:rPr>
          <w:rFonts w:ascii="Palatino Linotype" w:eastAsia="Calibri" w:hAnsi="Palatino Linotype" w:cs="Arial"/>
          <w:b/>
        </w:rPr>
        <w:t>PNT</w:t>
      </w:r>
      <w:r w:rsidR="00E63491">
        <w:rPr>
          <w:rFonts w:ascii="Palatino Linotype" w:eastAsia="Calibri" w:hAnsi="Palatino Linotype" w:cs="Arial"/>
        </w:rPr>
        <w:t xml:space="preserve">; la cual se encuentra vinculada al Sistema de Acceso a la Información Mexiquense </w:t>
      </w:r>
      <w:r w:rsidR="00E63491" w:rsidRPr="00E63491">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434EF7">
        <w:rPr>
          <w:rFonts w:ascii="Palatino Linotype" w:hAnsi="Palatino Linotype"/>
          <w:b/>
          <w:bCs/>
          <w:color w:val="000000" w:themeColor="text1"/>
        </w:rPr>
        <w:t>00322/SSEM/IP/2021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54912EC1" w14:textId="77777777" w:rsidR="00150024" w:rsidRPr="00D27215" w:rsidRDefault="00150024" w:rsidP="00150024">
      <w:pPr>
        <w:pStyle w:val="Prrafodelista"/>
        <w:spacing w:line="360" w:lineRule="auto"/>
        <w:ind w:left="0"/>
        <w:jc w:val="both"/>
        <w:rPr>
          <w:rFonts w:ascii="Palatino Linotype" w:eastAsia="Calibri" w:hAnsi="Palatino Linotype" w:cs="Arial"/>
        </w:rPr>
      </w:pPr>
    </w:p>
    <w:p w14:paraId="7A083BA2" w14:textId="4AC31A26"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434EF7" w:rsidRPr="00434EF7">
        <w:rPr>
          <w:rFonts w:ascii="Palatino Linotype" w:eastAsia="Calibri" w:hAnsi="Palatino Linotype" w:cs="Arial"/>
          <w:i/>
        </w:rPr>
        <w:t xml:space="preserve">Informen lo siguiente 1.Que partidas presupuestales son las que tienen autorizadas para la salud, deporte y recreación en esa Entidad. 2.2. A cuánto asciende dicha cantidad. </w:t>
      </w:r>
      <w:proofErr w:type="gramStart"/>
      <w:r w:rsidR="00434EF7" w:rsidRPr="00434EF7">
        <w:rPr>
          <w:rFonts w:ascii="Palatino Linotype" w:eastAsia="Calibri" w:hAnsi="Palatino Linotype" w:cs="Arial"/>
          <w:i/>
        </w:rPr>
        <w:t>3.En</w:t>
      </w:r>
      <w:proofErr w:type="gramEnd"/>
      <w:r w:rsidR="00434EF7" w:rsidRPr="00434EF7">
        <w:rPr>
          <w:rFonts w:ascii="Palatino Linotype" w:eastAsia="Calibri" w:hAnsi="Palatino Linotype" w:cs="Arial"/>
          <w:i/>
        </w:rPr>
        <w:t xml:space="preserve"> que actividades se está ocupando. </w:t>
      </w:r>
      <w:proofErr w:type="gramStart"/>
      <w:r w:rsidR="00434EF7" w:rsidRPr="00434EF7">
        <w:rPr>
          <w:rFonts w:ascii="Palatino Linotype" w:eastAsia="Calibri" w:hAnsi="Palatino Linotype" w:cs="Arial"/>
          <w:i/>
        </w:rPr>
        <w:t>4.Cómo</w:t>
      </w:r>
      <w:proofErr w:type="gramEnd"/>
      <w:r w:rsidR="00434EF7" w:rsidRPr="00434EF7">
        <w:rPr>
          <w:rFonts w:ascii="Palatino Linotype" w:eastAsia="Calibri" w:hAnsi="Palatino Linotype" w:cs="Arial"/>
          <w:i/>
        </w:rPr>
        <w:t xml:space="preserve"> se puede participar en esa </w:t>
      </w:r>
      <w:proofErr w:type="spellStart"/>
      <w:r w:rsidR="00434EF7" w:rsidRPr="00434EF7">
        <w:rPr>
          <w:rFonts w:ascii="Palatino Linotype" w:eastAsia="Calibri" w:hAnsi="Palatino Linotype" w:cs="Arial"/>
          <w:i/>
        </w:rPr>
        <w:t>Entidaad</w:t>
      </w:r>
      <w:proofErr w:type="spellEnd"/>
      <w:r w:rsidR="00434EF7" w:rsidRPr="00434EF7">
        <w:rPr>
          <w:rFonts w:ascii="Palatino Linotype" w:eastAsia="Calibri" w:hAnsi="Palatino Linotype" w:cs="Arial"/>
          <w:i/>
        </w:rPr>
        <w:t xml:space="preserve"> para promover la salud y el deporte. </w:t>
      </w:r>
      <w:proofErr w:type="gramStart"/>
      <w:r w:rsidR="00434EF7" w:rsidRPr="00434EF7">
        <w:rPr>
          <w:rFonts w:ascii="Palatino Linotype" w:eastAsia="Calibri" w:hAnsi="Palatino Linotype" w:cs="Arial"/>
          <w:i/>
        </w:rPr>
        <w:t>5.Con</w:t>
      </w:r>
      <w:proofErr w:type="gramEnd"/>
      <w:r w:rsidR="00434EF7" w:rsidRPr="00434EF7">
        <w:rPr>
          <w:rFonts w:ascii="Palatino Linotype" w:eastAsia="Calibri" w:hAnsi="Palatino Linotype" w:cs="Arial"/>
          <w:i/>
        </w:rPr>
        <w:t xml:space="preserve"> quien debo </w:t>
      </w:r>
      <w:r w:rsidR="00434EF7" w:rsidRPr="00434EF7">
        <w:rPr>
          <w:rFonts w:ascii="Palatino Linotype" w:eastAsia="Calibri" w:hAnsi="Palatino Linotype" w:cs="Arial"/>
          <w:i/>
        </w:rPr>
        <w:lastRenderedPageBreak/>
        <w:t xml:space="preserve">dirigirme para que me autoricen una </w:t>
      </w:r>
      <w:proofErr w:type="spellStart"/>
      <w:r w:rsidR="00434EF7" w:rsidRPr="00434EF7">
        <w:rPr>
          <w:rFonts w:ascii="Palatino Linotype" w:eastAsia="Calibri" w:hAnsi="Palatino Linotype" w:cs="Arial"/>
          <w:i/>
        </w:rPr>
        <w:t>platica</w:t>
      </w:r>
      <w:proofErr w:type="spellEnd"/>
      <w:r w:rsidR="00434EF7" w:rsidRPr="00434EF7">
        <w:rPr>
          <w:rFonts w:ascii="Palatino Linotype" w:eastAsia="Calibri" w:hAnsi="Palatino Linotype" w:cs="Arial"/>
          <w:i/>
        </w:rPr>
        <w:t xml:space="preserve"> informativa de salud y deporte con los servidores públicos que colaboran en esa Entidad. </w:t>
      </w:r>
      <w:proofErr w:type="gramStart"/>
      <w:r w:rsidR="00434EF7" w:rsidRPr="00434EF7">
        <w:rPr>
          <w:rFonts w:ascii="Palatino Linotype" w:eastAsia="Calibri" w:hAnsi="Palatino Linotype" w:cs="Arial"/>
          <w:i/>
        </w:rPr>
        <w:t>6.Que</w:t>
      </w:r>
      <w:proofErr w:type="gramEnd"/>
      <w:r w:rsidR="00434EF7" w:rsidRPr="00434EF7">
        <w:rPr>
          <w:rFonts w:ascii="Palatino Linotype" w:eastAsia="Calibri" w:hAnsi="Palatino Linotype" w:cs="Arial"/>
          <w:i/>
        </w:rPr>
        <w:t xml:space="preserve"> actividades deportivas son las que promueven en esa Entidad y cuál fue el procedimiento para que se autorizaran dichos proyectos. La información deberá ser entregada por correo o en la PNT</w:t>
      </w:r>
      <w:r>
        <w:rPr>
          <w:rFonts w:ascii="Palatino Linotype" w:eastAsia="Calibri" w:hAnsi="Palatino Linotype" w:cs="Arial"/>
          <w:i/>
        </w:rPr>
        <w:t>”</w:t>
      </w:r>
    </w:p>
    <w:p w14:paraId="07A16A16" w14:textId="77777777" w:rsidR="00C42E34" w:rsidRDefault="00C42E34" w:rsidP="00BE1923">
      <w:pPr>
        <w:pStyle w:val="Prrafodelista"/>
        <w:spacing w:line="360" w:lineRule="auto"/>
        <w:ind w:left="426" w:right="474"/>
        <w:jc w:val="both"/>
        <w:rPr>
          <w:rFonts w:ascii="Palatino Linotype" w:eastAsia="Calibri" w:hAnsi="Palatino Linotype" w:cs="Arial"/>
          <w:i/>
        </w:rPr>
      </w:pPr>
    </w:p>
    <w:p w14:paraId="21F94BB8" w14:textId="384EB664" w:rsidR="00074F84" w:rsidRPr="00074F84"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w:t>
      </w:r>
      <w:r w:rsidR="00434EF7">
        <w:rPr>
          <w:rFonts w:ascii="Palatino Linotype" w:eastAsia="Calibri" w:hAnsi="Palatino Linotype" w:cs="Arial"/>
        </w:rPr>
        <w:t xml:space="preserve"> SAIMEX y</w:t>
      </w:r>
      <w:r w:rsidRPr="00D27215">
        <w:rPr>
          <w:rFonts w:ascii="Palatino Linotype" w:eastAsia="Calibri" w:hAnsi="Palatino Linotype" w:cs="Arial"/>
        </w:rPr>
        <w:t xml:space="preserve"> </w:t>
      </w:r>
      <w:r w:rsidR="00434EF7">
        <w:rPr>
          <w:rFonts w:ascii="Palatino Linotype" w:eastAsia="Calibri" w:hAnsi="Palatino Linotype" w:cs="Arial"/>
        </w:rPr>
        <w:t>c</w:t>
      </w:r>
      <w:r w:rsidR="00C96E1C">
        <w:rPr>
          <w:rFonts w:ascii="Palatino Linotype" w:eastAsia="Calibri" w:hAnsi="Palatino Linotype" w:cs="Arial"/>
        </w:rPr>
        <w:t>orreo electrónico</w:t>
      </w:r>
      <w:r w:rsidR="00150024">
        <w:rPr>
          <w:rFonts w:ascii="Palatino Linotype" w:eastAsia="Calibri" w:hAnsi="Palatino Linotype" w:cs="Arial"/>
        </w:rPr>
        <w:t>.</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0A4D420D" w:rsidR="00C96E1C" w:rsidRDefault="00434EF7" w:rsidP="00BE1923">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El día dieciséis</w:t>
      </w:r>
      <w:r w:rsidR="00C96E1C">
        <w:rPr>
          <w:rFonts w:ascii="Palatino Linotype" w:hAnsi="Palatino Linotype" w:cs="Arial"/>
          <w:color w:val="000000" w:themeColor="text1"/>
        </w:rPr>
        <w:t xml:space="preserve"> (</w:t>
      </w:r>
      <w:r>
        <w:rPr>
          <w:rFonts w:ascii="Palatino Linotype" w:hAnsi="Palatino Linotype" w:cs="Arial"/>
          <w:color w:val="000000" w:themeColor="text1"/>
        </w:rPr>
        <w:t>16</w:t>
      </w:r>
      <w:r w:rsidR="00C96E1C">
        <w:rPr>
          <w:rFonts w:ascii="Palatino Linotype" w:hAnsi="Palatino Linotype" w:cs="Arial"/>
          <w:color w:val="000000" w:themeColor="text1"/>
        </w:rPr>
        <w:t xml:space="preserve">) de </w:t>
      </w:r>
      <w:r>
        <w:rPr>
          <w:rFonts w:ascii="Palatino Linotype" w:hAnsi="Palatino Linotype" w:cs="Arial"/>
          <w:color w:val="000000" w:themeColor="text1"/>
        </w:rPr>
        <w:t>juni</w:t>
      </w:r>
      <w:r w:rsidR="00C96E1C">
        <w:rPr>
          <w:rFonts w:ascii="Palatino Linotype" w:hAnsi="Palatino Linotype" w:cs="Arial"/>
          <w:color w:val="000000" w:themeColor="text1"/>
        </w:rPr>
        <w:t xml:space="preserve">o de dos mil veintiuno, el </w:t>
      </w:r>
      <w:r w:rsidR="00C96E1C">
        <w:rPr>
          <w:rFonts w:ascii="Palatino Linotype" w:hAnsi="Palatino Linotype" w:cs="Arial"/>
          <w:b/>
          <w:color w:val="000000" w:themeColor="text1"/>
        </w:rPr>
        <w:t>SUJETO OBLIGADO</w:t>
      </w:r>
      <w:r w:rsidR="00C96E1C">
        <w:rPr>
          <w:rFonts w:ascii="Palatino Linotype" w:hAnsi="Palatino Linotype" w:cs="Arial"/>
          <w:color w:val="000000" w:themeColor="text1"/>
        </w:rPr>
        <w:t xml:space="preserve"> realizó una </w:t>
      </w:r>
      <w:r>
        <w:rPr>
          <w:rFonts w:ascii="Palatino Linotype" w:hAnsi="Palatino Linotype" w:cs="Arial"/>
          <w:color w:val="000000" w:themeColor="text1"/>
        </w:rPr>
        <w:t>declinación de competenci</w:t>
      </w:r>
      <w:bookmarkStart w:id="1" w:name="_GoBack"/>
      <w:bookmarkEnd w:id="1"/>
      <w:r>
        <w:rPr>
          <w:rFonts w:ascii="Palatino Linotype" w:hAnsi="Palatino Linotype" w:cs="Arial"/>
          <w:color w:val="000000" w:themeColor="text1"/>
        </w:rPr>
        <w:t>a en</w:t>
      </w:r>
      <w:r w:rsidR="00C96E1C">
        <w:rPr>
          <w:rFonts w:ascii="Palatino Linotype" w:hAnsi="Palatino Linotype" w:cs="Arial"/>
          <w:color w:val="000000" w:themeColor="text1"/>
        </w:rPr>
        <w:t xml:space="preserve"> los siguientes términos:</w:t>
      </w:r>
    </w:p>
    <w:p w14:paraId="06385E67" w14:textId="47592EEF" w:rsidR="00434EF7" w:rsidRPr="00434EF7" w:rsidRDefault="00FE6B70" w:rsidP="00434EF7">
      <w:pPr>
        <w:pStyle w:val="Prrafodelista"/>
        <w:spacing w:line="360" w:lineRule="auto"/>
        <w:ind w:left="0"/>
        <w:jc w:val="both"/>
        <w:rPr>
          <w:rFonts w:ascii="Palatino Linotype" w:hAnsi="Palatino Linotype" w:cs="Arial"/>
          <w:color w:val="000000" w:themeColor="text1"/>
          <w:sz w:val="14"/>
        </w:rPr>
      </w:pPr>
      <w:r>
        <w:rPr>
          <w:rFonts w:ascii="Palatino Linotype" w:hAnsi="Palatino Linotype" w:cs="Arial"/>
          <w:noProof/>
          <w:color w:val="000000" w:themeColor="text1"/>
          <w:sz w:val="14"/>
          <w:lang w:val="es-MX" w:eastAsia="es-MX"/>
        </w:rPr>
        <mc:AlternateContent>
          <mc:Choice Requires="wps">
            <w:drawing>
              <wp:anchor distT="0" distB="0" distL="114300" distR="114300" simplePos="0" relativeHeight="251673600" behindDoc="0" locked="0" layoutInCell="1" allowOverlap="1" wp14:anchorId="436A7173" wp14:editId="1CDAD56F">
                <wp:simplePos x="0" y="0"/>
                <wp:positionH relativeFrom="column">
                  <wp:posOffset>11685</wp:posOffset>
                </wp:positionH>
                <wp:positionV relativeFrom="paragraph">
                  <wp:posOffset>191826</wp:posOffset>
                </wp:positionV>
                <wp:extent cx="5418161" cy="3910083"/>
                <wp:effectExtent l="38100" t="19050" r="68580" b="90805"/>
                <wp:wrapNone/>
                <wp:docPr id="36" name="Conector recto 36"/>
                <wp:cNvGraphicFramePr/>
                <a:graphic xmlns:a="http://schemas.openxmlformats.org/drawingml/2006/main">
                  <a:graphicData uri="http://schemas.microsoft.com/office/word/2010/wordprocessingShape">
                    <wps:wsp>
                      <wps:cNvCnPr/>
                      <wps:spPr>
                        <a:xfrm>
                          <a:off x="0" y="0"/>
                          <a:ext cx="5418161" cy="391008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D0F723" id="Conector recto 3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pt,15.1pt" to="427.5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" strokecolor="black [3200]" strokeweight="2pt">
                <v:shadow on="t" color="black" opacity="24903f" origin=",.5" offset="0,.55556mm"/>
              </v:line>
            </w:pict>
          </mc:Fallback>
        </mc:AlternateContent>
      </w:r>
    </w:p>
    <w:p w14:paraId="1BCA37F4" w14:textId="0963AE2C" w:rsidR="00C96E1C" w:rsidRDefault="00FE6B70" w:rsidP="00C96E1C">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74624" behindDoc="0" locked="0" layoutInCell="1" allowOverlap="1" wp14:anchorId="501D9577" wp14:editId="0F1D5FE7">
                <wp:simplePos x="0" y="0"/>
                <wp:positionH relativeFrom="column">
                  <wp:posOffset>168634</wp:posOffset>
                </wp:positionH>
                <wp:positionV relativeFrom="paragraph">
                  <wp:posOffset>5676491</wp:posOffset>
                </wp:positionV>
                <wp:extent cx="5445457" cy="1337481"/>
                <wp:effectExtent l="38100" t="38100" r="60325" b="91440"/>
                <wp:wrapNone/>
                <wp:docPr id="37" name="Conector recto 37"/>
                <wp:cNvGraphicFramePr/>
                <a:graphic xmlns:a="http://schemas.openxmlformats.org/drawingml/2006/main">
                  <a:graphicData uri="http://schemas.microsoft.com/office/word/2010/wordprocessingShape">
                    <wps:wsp>
                      <wps:cNvCnPr/>
                      <wps:spPr>
                        <a:xfrm>
                          <a:off x="0" y="0"/>
                          <a:ext cx="5445457" cy="133748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4FC62A2" id="Conector recto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3.3pt,446.95pt" to="442.1pt,5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" strokecolor="black [3200]" strokeweight="2pt">
                <v:shadow on="t" color="black" opacity="24903f" origin=",.5" offset="0,.55556mm"/>
              </v:line>
            </w:pict>
          </mc:Fallback>
        </mc:AlternateContent>
      </w:r>
      <w:r w:rsidR="00434EF7">
        <w:rPr>
          <w:rFonts w:ascii="Palatino Linotype" w:hAnsi="Palatino Linotype" w:cs="Arial"/>
          <w:noProof/>
          <w:color w:val="000000" w:themeColor="text1"/>
          <w:lang w:val="es-MX" w:eastAsia="es-MX"/>
        </w:rPr>
        <w:drawing>
          <wp:inline distT="0" distB="0" distL="0" distR="0" wp14:anchorId="6CD7F569" wp14:editId="3411115B">
            <wp:extent cx="5094260" cy="5397690"/>
            <wp:effectExtent l="19050" t="19050" r="1143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1114" cy="5426143"/>
                    </a:xfrm>
                    <a:prstGeom prst="rect">
                      <a:avLst/>
                    </a:prstGeom>
                    <a:noFill/>
                    <a:ln>
                      <a:solidFill>
                        <a:schemeClr val="tx1"/>
                      </a:solidFill>
                    </a:ln>
                  </pic:spPr>
                </pic:pic>
              </a:graphicData>
            </a:graphic>
          </wp:inline>
        </w:drawing>
      </w:r>
    </w:p>
    <w:p w14:paraId="52332686" w14:textId="728FEBFB" w:rsidR="00C96E1C" w:rsidRDefault="00434EF7" w:rsidP="00C96E1C">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71C262D0" wp14:editId="7275F7A4">
            <wp:extent cx="5183579" cy="6785701"/>
            <wp:effectExtent l="19050" t="19050" r="17145"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593" cy="6787028"/>
                    </a:xfrm>
                    <a:prstGeom prst="rect">
                      <a:avLst/>
                    </a:prstGeom>
                    <a:noFill/>
                    <a:ln>
                      <a:solidFill>
                        <a:schemeClr val="tx1"/>
                      </a:solidFill>
                    </a:ln>
                  </pic:spPr>
                </pic:pic>
              </a:graphicData>
            </a:graphic>
          </wp:inline>
        </w:drawing>
      </w:r>
    </w:p>
    <w:p w14:paraId="32AA542D" w14:textId="11BF71A7" w:rsidR="00434EF7" w:rsidRDefault="00434EF7" w:rsidP="00C96E1C">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0D98C61C" wp14:editId="0C8D2F01">
            <wp:extent cx="4987636" cy="5035616"/>
            <wp:effectExtent l="19050" t="19050" r="2286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092" cy="5039105"/>
                    </a:xfrm>
                    <a:prstGeom prst="rect">
                      <a:avLst/>
                    </a:prstGeom>
                    <a:noFill/>
                    <a:ln>
                      <a:solidFill>
                        <a:schemeClr val="tx1"/>
                      </a:solidFill>
                    </a:ln>
                  </pic:spPr>
                </pic:pic>
              </a:graphicData>
            </a:graphic>
          </wp:inline>
        </w:drawing>
      </w:r>
    </w:p>
    <w:p w14:paraId="6C59001E" w14:textId="1834B224" w:rsidR="00C96E1C" w:rsidRDefault="00C96E1C" w:rsidP="00C96E1C">
      <w:pPr>
        <w:pStyle w:val="Prrafodelista"/>
        <w:spacing w:line="360" w:lineRule="auto"/>
        <w:ind w:left="0"/>
        <w:jc w:val="center"/>
        <w:rPr>
          <w:rFonts w:ascii="Palatino Linotype" w:hAnsi="Palatino Linotype" w:cs="Arial"/>
          <w:color w:val="000000" w:themeColor="text1"/>
        </w:rPr>
      </w:pPr>
    </w:p>
    <w:p w14:paraId="7EEC3E58" w14:textId="40DDEF50" w:rsidR="009417CA" w:rsidRPr="00434EF7"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434EF7">
        <w:rPr>
          <w:rFonts w:ascii="Palatino Linotype" w:hAnsi="Palatino Linotype" w:cs="Arial"/>
          <w:color w:val="000000" w:themeColor="text1"/>
        </w:rPr>
        <w:t xml:space="preserve">El día </w:t>
      </w:r>
      <w:r w:rsidR="00434EF7" w:rsidRPr="00434EF7">
        <w:rPr>
          <w:rFonts w:ascii="Palatino Linotype" w:hAnsi="Palatino Linotype" w:cs="Arial"/>
          <w:color w:val="000000" w:themeColor="text1"/>
        </w:rPr>
        <w:t>dos</w:t>
      </w:r>
      <w:r w:rsidRPr="00434EF7">
        <w:rPr>
          <w:rFonts w:ascii="Palatino Linotype" w:hAnsi="Palatino Linotype" w:cs="Arial"/>
          <w:color w:val="000000" w:themeColor="text1"/>
        </w:rPr>
        <w:t xml:space="preserve"> (0</w:t>
      </w:r>
      <w:r w:rsidR="00434EF7" w:rsidRPr="00434EF7">
        <w:rPr>
          <w:rFonts w:ascii="Palatino Linotype" w:hAnsi="Palatino Linotype" w:cs="Arial"/>
          <w:color w:val="000000" w:themeColor="text1"/>
        </w:rPr>
        <w:t>2</w:t>
      </w:r>
      <w:r w:rsidRPr="00434EF7">
        <w:rPr>
          <w:rFonts w:ascii="Palatino Linotype" w:hAnsi="Palatino Linotype" w:cs="Arial"/>
          <w:color w:val="000000" w:themeColor="text1"/>
        </w:rPr>
        <w:t xml:space="preserve">) de </w:t>
      </w:r>
      <w:r w:rsidR="00444ACF">
        <w:rPr>
          <w:rFonts w:ascii="Palatino Linotype" w:hAnsi="Palatino Linotype" w:cs="Arial"/>
          <w:color w:val="000000" w:themeColor="text1"/>
        </w:rPr>
        <w:t>jul</w:t>
      </w:r>
      <w:r w:rsidR="00434EF7" w:rsidRPr="00434EF7">
        <w:rPr>
          <w:rFonts w:ascii="Palatino Linotype" w:hAnsi="Palatino Linotype" w:cs="Arial"/>
          <w:color w:val="000000" w:themeColor="text1"/>
        </w:rPr>
        <w:t>i</w:t>
      </w:r>
      <w:r w:rsidRPr="00434EF7">
        <w:rPr>
          <w:rFonts w:ascii="Palatino Linotype" w:hAnsi="Palatino Linotype" w:cs="Arial"/>
          <w:color w:val="000000" w:themeColor="text1"/>
        </w:rPr>
        <w:t xml:space="preserve">o de dos mil veintiuno, el particular </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00434EF7">
        <w:rPr>
          <w:rFonts w:ascii="Palatino Linotype" w:hAnsi="Palatino Linotype" w:cs="Arial"/>
          <w:color w:val="000000" w:themeColor="text1"/>
        </w:rPr>
        <w:t xml:space="preserve">interpuso </w:t>
      </w:r>
      <w:r w:rsidR="009417CA" w:rsidRPr="00434EF7">
        <w:rPr>
          <w:rFonts w:ascii="Palatino Linotype" w:hAnsi="Palatino Linotype" w:cs="Arial"/>
          <w:color w:val="000000" w:themeColor="text1"/>
        </w:rPr>
        <w:t>recurso de revisión, señalando como:</w:t>
      </w:r>
    </w:p>
    <w:p w14:paraId="21935EB1" w14:textId="77777777" w:rsidR="00B00B6B" w:rsidRPr="00BF7D41" w:rsidRDefault="00B00B6B" w:rsidP="00B00B6B">
      <w:pPr>
        <w:pStyle w:val="Prrafodelista"/>
        <w:spacing w:line="360" w:lineRule="auto"/>
        <w:ind w:left="0"/>
        <w:jc w:val="both"/>
        <w:rPr>
          <w:rFonts w:ascii="Palatino Linotype" w:hAnsi="Palatino Linotype" w:cs="Arial"/>
          <w:i/>
          <w:color w:val="000000" w:themeColor="text1"/>
        </w:rPr>
      </w:pPr>
    </w:p>
    <w:p w14:paraId="277E4464" w14:textId="33CD170F" w:rsidR="009417CA" w:rsidRPr="007408FA" w:rsidRDefault="009417CA" w:rsidP="00434EF7">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bookmarkStart w:id="100" w:name="_Toc86246035"/>
      <w:bookmarkStart w:id="101" w:name="_Toc86250994"/>
      <w:bookmarkStart w:id="102" w:name="_Toc86946580"/>
      <w:bookmarkStart w:id="103" w:name="_Toc86947361"/>
      <w:r w:rsidRPr="007408FA">
        <w:rPr>
          <w:rStyle w:val="Ttulo2Car"/>
          <w:rFonts w:ascii="Palatino Linotype" w:hAnsi="Palatino Linotype"/>
          <w:b/>
          <w:color w:val="000000" w:themeColor="text1"/>
          <w:sz w:val="24"/>
          <w:szCs w:val="24"/>
        </w:rPr>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00434EF7" w:rsidRPr="00434EF7">
        <w:rPr>
          <w:rStyle w:val="Ttulo2Car"/>
          <w:rFonts w:ascii="Palatino Linotype" w:hAnsi="Palatino Linotype"/>
          <w:i/>
          <w:color w:val="000000" w:themeColor="text1"/>
          <w:sz w:val="24"/>
          <w:szCs w:val="24"/>
        </w:rPr>
        <w:t xml:space="preserve">no </w:t>
      </w:r>
      <w:proofErr w:type="spellStart"/>
      <w:r w:rsidR="00434EF7" w:rsidRPr="00434EF7">
        <w:rPr>
          <w:rStyle w:val="Ttulo2Car"/>
          <w:rFonts w:ascii="Palatino Linotype" w:hAnsi="Palatino Linotype"/>
          <w:i/>
          <w:color w:val="000000" w:themeColor="text1"/>
          <w:sz w:val="24"/>
          <w:szCs w:val="24"/>
        </w:rPr>
        <w:t>daan</w:t>
      </w:r>
      <w:proofErr w:type="spellEnd"/>
      <w:r w:rsidR="00434EF7" w:rsidRPr="00434EF7">
        <w:rPr>
          <w:rStyle w:val="Ttulo2Car"/>
          <w:rFonts w:ascii="Palatino Linotype" w:hAnsi="Palatino Linotype"/>
          <w:i/>
          <w:color w:val="000000" w:themeColor="text1"/>
          <w:sz w:val="24"/>
          <w:szCs w:val="24"/>
        </w:rPr>
        <w:t xml:space="preserve"> </w:t>
      </w:r>
      <w:proofErr w:type="spellStart"/>
      <w:r w:rsidR="00434EF7" w:rsidRPr="00434EF7">
        <w:rPr>
          <w:rStyle w:val="Ttulo2Car"/>
          <w:rFonts w:ascii="Palatino Linotype" w:hAnsi="Palatino Linotype"/>
          <w:i/>
          <w:color w:val="000000" w:themeColor="text1"/>
          <w:sz w:val="24"/>
          <w:szCs w:val="24"/>
        </w:rPr>
        <w:t>respuestaa</w:t>
      </w:r>
      <w:proofErr w:type="spellEnd"/>
      <w:r w:rsidR="00434EF7" w:rsidRPr="00434EF7">
        <w:rPr>
          <w:rStyle w:val="Ttulo2Car"/>
          <w:rFonts w:ascii="Palatino Linotype" w:hAnsi="Palatino Linotype"/>
          <w:i/>
          <w:color w:val="000000" w:themeColor="text1"/>
          <w:sz w:val="24"/>
          <w:szCs w:val="24"/>
        </w:rPr>
        <w:t xml:space="preserve"> a lo solicitado, razón por la cual interpongo recurso en contra de la NO COMPETENCIA, toda vez </w:t>
      </w:r>
      <w:proofErr w:type="spellStart"/>
      <w:r w:rsidR="00434EF7" w:rsidRPr="00434EF7">
        <w:rPr>
          <w:rStyle w:val="Ttulo2Car"/>
          <w:rFonts w:ascii="Palatino Linotype" w:hAnsi="Palatino Linotype"/>
          <w:i/>
          <w:color w:val="000000" w:themeColor="text1"/>
          <w:sz w:val="24"/>
          <w:szCs w:val="24"/>
        </w:rPr>
        <w:t>qque</w:t>
      </w:r>
      <w:proofErr w:type="spellEnd"/>
      <w:r w:rsidR="00434EF7" w:rsidRPr="00434EF7">
        <w:rPr>
          <w:rStyle w:val="Ttulo2Car"/>
          <w:rFonts w:ascii="Palatino Linotype" w:hAnsi="Palatino Linotype"/>
          <w:i/>
          <w:color w:val="000000" w:themeColor="text1"/>
          <w:sz w:val="24"/>
          <w:szCs w:val="24"/>
        </w:rPr>
        <w:t xml:space="preserve"> no, no fundan y motivan la respuesta otorgada y niegan la información ya que no informan si existen </w:t>
      </w:r>
      <w:r w:rsidR="00434EF7" w:rsidRPr="00434EF7">
        <w:rPr>
          <w:rStyle w:val="Ttulo2Car"/>
          <w:rFonts w:ascii="Palatino Linotype" w:hAnsi="Palatino Linotype"/>
          <w:i/>
          <w:color w:val="000000" w:themeColor="text1"/>
          <w:sz w:val="24"/>
          <w:szCs w:val="24"/>
        </w:rPr>
        <w:lastRenderedPageBreak/>
        <w:t>recursos públicos que sean utilizados para el fondo de la información solicitada, en razón de lo expuesto solicito a ese Órgano Garante se pronuncie respecto del caso en concreto y no responden en todo caso quien puede tener dicha información, no orientan</w:t>
      </w:r>
      <w:bookmarkEnd w:id="102"/>
      <w:bookmarkEnd w:id="103"/>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104" w:name="_Toc466982515"/>
      <w:bookmarkStart w:id="105" w:name="_Toc27589209"/>
      <w:bookmarkStart w:id="106" w:name="_Toc29395023"/>
      <w:bookmarkStart w:id="107" w:name="_Toc29481468"/>
      <w:bookmarkStart w:id="108" w:name="_Toc33113912"/>
      <w:bookmarkStart w:id="109" w:name="_Toc33643060"/>
      <w:bookmarkStart w:id="110" w:name="_Toc33724992"/>
      <w:bookmarkStart w:id="111" w:name="_Toc33726435"/>
      <w:bookmarkStart w:id="112" w:name="_Toc34157663"/>
      <w:bookmarkStart w:id="113" w:name="_Toc35003616"/>
      <w:bookmarkStart w:id="114" w:name="_Toc35535692"/>
      <w:bookmarkStart w:id="115" w:name="_Toc52971950"/>
      <w:bookmarkStart w:id="116" w:name="_Toc52996699"/>
      <w:bookmarkStart w:id="117" w:name="_Toc54138947"/>
      <w:bookmarkStart w:id="118" w:name="_Toc54267071"/>
      <w:bookmarkStart w:id="119" w:name="_Toc61462045"/>
      <w:bookmarkStart w:id="120" w:name="_Toc62081312"/>
      <w:bookmarkStart w:id="121" w:name="_Toc62765905"/>
      <w:bookmarkStart w:id="122" w:name="_Toc63932066"/>
      <w:bookmarkStart w:id="123" w:name="_Toc65793607"/>
      <w:bookmarkStart w:id="124" w:name="_Toc66973887"/>
      <w:bookmarkStart w:id="125" w:name="_Toc66974016"/>
      <w:bookmarkStart w:id="126" w:name="_Toc66979492"/>
      <w:bookmarkStart w:id="127" w:name="_Toc66998019"/>
      <w:bookmarkStart w:id="128" w:name="_Toc66998081"/>
      <w:bookmarkStart w:id="129" w:name="_Toc471908127"/>
      <w:bookmarkStart w:id="130" w:name="_Toc491791301"/>
      <w:bookmarkStart w:id="131" w:name="_Toc496726171"/>
      <w:bookmarkStart w:id="132" w:name="_Toc497242135"/>
      <w:bookmarkStart w:id="133" w:name="_Toc497292518"/>
      <w:bookmarkStart w:id="134" w:name="_Toc498503717"/>
      <w:bookmarkStart w:id="135" w:name="_Toc499568661"/>
      <w:bookmarkStart w:id="136" w:name="_Toc499568694"/>
      <w:bookmarkStart w:id="137" w:name="_Toc499665453"/>
      <w:bookmarkStart w:id="138" w:name="_Toc499729820"/>
      <w:bookmarkStart w:id="139" w:name="_Toc499835025"/>
      <w:bookmarkStart w:id="140" w:name="_Toc499835836"/>
      <w:bookmarkStart w:id="141" w:name="_Toc499835859"/>
      <w:bookmarkStart w:id="142" w:name="_Toc500264538"/>
      <w:bookmarkStart w:id="143" w:name="_Toc503290276"/>
      <w:bookmarkStart w:id="144" w:name="_Toc524009638"/>
      <w:bookmarkStart w:id="145" w:name="_Toc524009673"/>
      <w:bookmarkStart w:id="146" w:name="_Toc524602721"/>
      <w:bookmarkStart w:id="147" w:name="_Toc526365280"/>
      <w:bookmarkStart w:id="148" w:name="_Toc526365338"/>
      <w:bookmarkStart w:id="149" w:name="_Toc530067665"/>
      <w:bookmarkStart w:id="150" w:name="_Toc530067693"/>
      <w:bookmarkStart w:id="151" w:name="_Toc530067940"/>
      <w:bookmarkStart w:id="152" w:name="_Toc530590421"/>
      <w:bookmarkStart w:id="153" w:name="_Toc530593952"/>
      <w:bookmarkStart w:id="154" w:name="_Toc531190249"/>
      <w:bookmarkStart w:id="155" w:name="_Toc531190296"/>
      <w:bookmarkStart w:id="156" w:name="_Toc534908209"/>
      <w:bookmarkStart w:id="157" w:name="_Toc534909345"/>
      <w:bookmarkStart w:id="158" w:name="_Toc535353306"/>
      <w:bookmarkStart w:id="159" w:name="_Toc535353792"/>
      <w:bookmarkStart w:id="160" w:name="_Toc18436352"/>
      <w:bookmarkStart w:id="161" w:name="_Toc18436386"/>
      <w:bookmarkStart w:id="162" w:name="_Toc18513478"/>
      <w:bookmarkStart w:id="163" w:name="_Toc18513504"/>
      <w:bookmarkStart w:id="164" w:name="_Toc18606802"/>
      <w:bookmarkStart w:id="165" w:name="_Toc19723537"/>
      <w:bookmarkStart w:id="166" w:name="_Toc20322796"/>
      <w:bookmarkStart w:id="167" w:name="_Toc20323053"/>
      <w:bookmarkStart w:id="168" w:name="_Toc20323182"/>
      <w:bookmarkStart w:id="169" w:name="_Toc20420592"/>
      <w:bookmarkStart w:id="170" w:name="_Toc20421580"/>
      <w:bookmarkStart w:id="171" w:name="_Toc21027317"/>
      <w:bookmarkStart w:id="172" w:name="_Toc22660653"/>
      <w:bookmarkStart w:id="173" w:name="_Toc22811624"/>
      <w:bookmarkStart w:id="174"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434EF7">
        <w:rPr>
          <w:rFonts w:ascii="Palatino Linotype" w:hAnsi="Palatino Linotype"/>
          <w:color w:val="000000" w:themeColor="text1"/>
        </w:rPr>
        <w:t>(Sic)</w:t>
      </w:r>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06329E14" w:rsidR="009417CA" w:rsidRPr="007408FA" w:rsidRDefault="009417CA" w:rsidP="00434EF7">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5" w:name="_Toc68785282"/>
      <w:bookmarkStart w:id="176" w:name="_Toc69381530"/>
      <w:bookmarkStart w:id="177" w:name="_Toc69381640"/>
      <w:bookmarkStart w:id="178" w:name="_Toc69831973"/>
      <w:bookmarkStart w:id="179" w:name="_Toc69843169"/>
      <w:bookmarkStart w:id="180" w:name="_Toc69843264"/>
      <w:bookmarkStart w:id="181" w:name="_Toc69843416"/>
      <w:bookmarkStart w:id="182" w:name="_Toc69843554"/>
      <w:bookmarkStart w:id="183" w:name="_Toc70082897"/>
      <w:bookmarkStart w:id="184" w:name="_Toc70082934"/>
      <w:bookmarkStart w:id="185" w:name="_Toc70593345"/>
      <w:bookmarkStart w:id="186" w:name="_Toc72501021"/>
      <w:bookmarkStart w:id="187" w:name="_Toc72501064"/>
      <w:bookmarkStart w:id="188" w:name="_Toc74778591"/>
      <w:bookmarkStart w:id="189" w:name="_Toc80642338"/>
      <w:bookmarkStart w:id="190" w:name="_Toc80642359"/>
      <w:bookmarkStart w:id="191" w:name="_Toc80642426"/>
      <w:bookmarkStart w:id="192" w:name="_Toc80673808"/>
      <w:bookmarkStart w:id="193" w:name="_Toc81279806"/>
      <w:bookmarkStart w:id="194" w:name="_Toc81349548"/>
      <w:bookmarkStart w:id="195" w:name="_Toc81349627"/>
      <w:bookmarkStart w:id="196" w:name="_Toc82531981"/>
      <w:bookmarkStart w:id="197" w:name="_Toc82533468"/>
      <w:bookmarkStart w:id="198" w:name="_Toc82533520"/>
      <w:bookmarkStart w:id="199" w:name="_Toc85732944"/>
      <w:bookmarkStart w:id="200" w:name="_Toc85733114"/>
      <w:bookmarkStart w:id="201" w:name="_Toc85733156"/>
      <w:bookmarkStart w:id="202" w:name="_Toc86246036"/>
      <w:bookmarkStart w:id="203" w:name="_Toc86250995"/>
      <w:bookmarkStart w:id="204" w:name="_Toc86946581"/>
      <w:bookmarkStart w:id="205" w:name="_Toc86947362"/>
      <w:r w:rsidRPr="007408FA">
        <w:rPr>
          <w:rStyle w:val="Ttulo2Car"/>
          <w:rFonts w:ascii="Palatino Linotype" w:hAnsi="Palatino Linotype"/>
          <w:b/>
          <w:color w:val="000000" w:themeColor="text1"/>
          <w:sz w:val="24"/>
          <w:szCs w:val="24"/>
        </w:rPr>
        <w:t>Razones o Motivos de inconformidad:</w:t>
      </w:r>
      <w:bookmarkEnd w:id="10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434EF7" w:rsidRPr="00434EF7">
        <w:rPr>
          <w:rFonts w:ascii="Palatino Linotype" w:hAnsi="Palatino Linotype"/>
          <w:i/>
          <w:color w:val="000000" w:themeColor="text1"/>
        </w:rPr>
        <w:t xml:space="preserve">no </w:t>
      </w:r>
      <w:proofErr w:type="spellStart"/>
      <w:r w:rsidR="00434EF7" w:rsidRPr="00434EF7">
        <w:rPr>
          <w:rFonts w:ascii="Palatino Linotype" w:hAnsi="Palatino Linotype"/>
          <w:i/>
          <w:color w:val="000000" w:themeColor="text1"/>
        </w:rPr>
        <w:t>daan</w:t>
      </w:r>
      <w:proofErr w:type="spellEnd"/>
      <w:r w:rsidR="00434EF7" w:rsidRPr="00434EF7">
        <w:rPr>
          <w:rFonts w:ascii="Palatino Linotype" w:hAnsi="Palatino Linotype"/>
          <w:i/>
          <w:color w:val="000000" w:themeColor="text1"/>
        </w:rPr>
        <w:t xml:space="preserve"> </w:t>
      </w:r>
      <w:proofErr w:type="spellStart"/>
      <w:r w:rsidR="00434EF7" w:rsidRPr="00434EF7">
        <w:rPr>
          <w:rFonts w:ascii="Palatino Linotype" w:hAnsi="Palatino Linotype"/>
          <w:i/>
          <w:color w:val="000000" w:themeColor="text1"/>
        </w:rPr>
        <w:t>respuestaa</w:t>
      </w:r>
      <w:proofErr w:type="spellEnd"/>
      <w:r w:rsidR="00434EF7" w:rsidRPr="00434EF7">
        <w:rPr>
          <w:rFonts w:ascii="Palatino Linotype" w:hAnsi="Palatino Linotype"/>
          <w:i/>
          <w:color w:val="000000" w:themeColor="text1"/>
        </w:rPr>
        <w:t xml:space="preserve"> a lo solicitado, razón por la cual interpongo recurso en contra de la NO COMPETENCIA, toda vez </w:t>
      </w:r>
      <w:proofErr w:type="spellStart"/>
      <w:r w:rsidR="00434EF7" w:rsidRPr="00434EF7">
        <w:rPr>
          <w:rFonts w:ascii="Palatino Linotype" w:hAnsi="Palatino Linotype"/>
          <w:i/>
          <w:color w:val="000000" w:themeColor="text1"/>
        </w:rPr>
        <w:t>qque</w:t>
      </w:r>
      <w:proofErr w:type="spellEnd"/>
      <w:r w:rsidR="00434EF7" w:rsidRPr="00434EF7">
        <w:rPr>
          <w:rFonts w:ascii="Palatino Linotype" w:hAnsi="Palatino Linotype"/>
          <w:i/>
          <w:color w:val="000000" w:themeColor="text1"/>
        </w:rPr>
        <w:t xml:space="preserve"> no, no fundan y motivan la respuesta otorgada y niegan la información ya que no informan si existen recursos públicos que sean utilizados para el fondo de la información solicitada, en razón de lo expuesto solicito a ese Órgano Garante se pronuncie respecto del caso en concreto y no responden en todo caso quien puede tener dicha información, no orientan</w:t>
      </w:r>
      <w:r w:rsidRPr="007408FA">
        <w:rPr>
          <w:rFonts w:ascii="Palatino Linotype" w:hAnsi="Palatino Linotype"/>
          <w:i/>
          <w:color w:val="000000" w:themeColor="text1"/>
        </w:rPr>
        <w: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9C4E098" w14:textId="77777777" w:rsidR="007B4CF4" w:rsidRPr="007B4CF4" w:rsidRDefault="007B4CF4" w:rsidP="00BE1923">
      <w:pPr>
        <w:pStyle w:val="Prrafodelista"/>
        <w:spacing w:line="360" w:lineRule="auto"/>
        <w:rPr>
          <w:rFonts w:ascii="Palatino Linotype" w:hAnsi="Palatino Linotype" w:cs="Arial"/>
          <w:i/>
          <w:color w:val="000000" w:themeColor="text1"/>
        </w:rPr>
      </w:pPr>
    </w:p>
    <w:p w14:paraId="18403F73" w14:textId="04E1FC78"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00EB2DE6">
        <w:rPr>
          <w:rFonts w:ascii="Palatino Linotype" w:eastAsia="Calibri" w:hAnsi="Palatino Linotype" w:cs="Arial"/>
        </w:rPr>
        <w:t xml:space="preserve"> el R</w:t>
      </w:r>
      <w:r w:rsidRPr="000016E9">
        <w:rPr>
          <w:rFonts w:ascii="Palatino Linotype" w:eastAsia="Calibri" w:hAnsi="Palatino Linotype" w:cs="Arial"/>
        </w:rPr>
        <w:t xml:space="preserve">ecurso de </w:t>
      </w:r>
      <w:r w:rsidR="00EB2DE6">
        <w:rPr>
          <w:rFonts w:ascii="Palatino Linotype" w:eastAsia="Calibri" w:hAnsi="Palatino Linotype" w:cs="Arial"/>
        </w:rPr>
        <w:t>R</w:t>
      </w:r>
      <w:r w:rsidRPr="000016E9">
        <w:rPr>
          <w:rFonts w:ascii="Palatino Linotype" w:eastAsia="Calibri" w:hAnsi="Palatino Linotype" w:cs="Arial"/>
        </w:rPr>
        <w:t>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a</w:t>
      </w:r>
      <w:r w:rsidR="00EB2DE6">
        <w:rPr>
          <w:rFonts w:ascii="Palatino Linotype" w:eastAsia="Calibri" w:hAnsi="Palatino Linotype" w:cs="Arial"/>
        </w:rPr>
        <w:t xml:space="preserve"> entonces</w:t>
      </w:r>
      <w:r w:rsidR="000B08A0">
        <w:rPr>
          <w:rFonts w:ascii="Palatino Linotype" w:eastAsia="Calibri" w:hAnsi="Palatino Linotype" w:cs="Arial"/>
        </w:rPr>
        <w:t xml:space="preserve">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EB2DE6">
        <w:rPr>
          <w:rFonts w:ascii="Palatino Linotype" w:eastAsia="Calibri" w:hAnsi="Palatino Linotype" w:cs="Arial"/>
          <w:b/>
        </w:rPr>
        <w:t>Zulema Martínez Sánchez</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5380B4EA" w:rsidR="005123A8" w:rsidRDefault="000B08A0" w:rsidP="00B00B6B">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w:t>
      </w:r>
      <w:r w:rsidR="00EB2DE6">
        <w:rPr>
          <w:rFonts w:ascii="Palatino Linotype" w:hAnsi="Palatino Linotype"/>
          <w:color w:val="000000"/>
        </w:rPr>
        <w:t xml:space="preserve"> de origen</w:t>
      </w:r>
      <w:r w:rsidR="009417CA" w:rsidRPr="000016E9">
        <w:rPr>
          <w:rFonts w:ascii="Palatino Linotype" w:hAnsi="Palatino Linotype"/>
          <w:color w:val="000000"/>
        </w:rPr>
        <w:t xml:space="preserve"> </w:t>
      </w:r>
      <w:r w:rsidR="009417CA" w:rsidRPr="00B00B6B">
        <w:rPr>
          <w:rFonts w:ascii="Palatino Linotype" w:hAnsi="Palatino Linotype"/>
          <w:color w:val="000000"/>
        </w:rPr>
        <w:t xml:space="preserve">con fundamento en lo dispuesto por el artículo 185 </w:t>
      </w:r>
      <w:r w:rsidR="009417CA" w:rsidRPr="00B00B6B">
        <w:rPr>
          <w:rFonts w:ascii="Palatino Linotype" w:eastAsia="Calibri" w:hAnsi="Palatino Linotype" w:cs="Arial"/>
        </w:rPr>
        <w:t>fracción</w:t>
      </w:r>
      <w:r w:rsidR="009417CA" w:rsidRPr="00B00B6B">
        <w:rPr>
          <w:rFonts w:ascii="Palatino Linotype" w:hAnsi="Palatino Linotype"/>
          <w:color w:val="000000"/>
        </w:rPr>
        <w:t xml:space="preserve"> II de la ley de la materia, a través del </w:t>
      </w:r>
      <w:r w:rsidR="009417CA" w:rsidRPr="007A69F1">
        <w:rPr>
          <w:rFonts w:ascii="Palatino Linotype" w:hAnsi="Palatino Linotype"/>
          <w:b/>
          <w:color w:val="000000"/>
        </w:rPr>
        <w:t xml:space="preserve">acuerdo de admisión </w:t>
      </w:r>
      <w:r w:rsidR="009417CA" w:rsidRPr="00B00B6B">
        <w:rPr>
          <w:rFonts w:ascii="Palatino Linotype" w:hAnsi="Palatino Linotype"/>
          <w:color w:val="000000"/>
        </w:rPr>
        <w:t xml:space="preserve">de fecha </w:t>
      </w:r>
      <w:r w:rsidR="006C12BD">
        <w:rPr>
          <w:rFonts w:ascii="Palatino Linotype" w:hAnsi="Palatino Linotype"/>
          <w:color w:val="000000"/>
        </w:rPr>
        <w:t xml:space="preserve"> o</w:t>
      </w:r>
      <w:r w:rsidR="00EB2DE6">
        <w:rPr>
          <w:rFonts w:ascii="Palatino Linotype" w:hAnsi="Palatino Linotype"/>
          <w:color w:val="000000"/>
        </w:rPr>
        <w:t>cho</w:t>
      </w:r>
      <w:r w:rsidR="009417CA" w:rsidRPr="00B00B6B">
        <w:rPr>
          <w:rFonts w:ascii="Palatino Linotype" w:hAnsi="Palatino Linotype"/>
          <w:color w:val="000000"/>
        </w:rPr>
        <w:t xml:space="preserve"> (</w:t>
      </w:r>
      <w:r w:rsidR="00EB2DE6">
        <w:rPr>
          <w:rFonts w:ascii="Palatino Linotype" w:hAnsi="Palatino Linotype"/>
          <w:color w:val="000000"/>
        </w:rPr>
        <w:t>8</w:t>
      </w:r>
      <w:r w:rsidR="009417CA" w:rsidRPr="00B00B6B">
        <w:rPr>
          <w:rFonts w:ascii="Palatino Linotype" w:hAnsi="Palatino Linotype"/>
          <w:color w:val="000000"/>
        </w:rPr>
        <w:t xml:space="preserve">) de </w:t>
      </w:r>
      <w:r w:rsidR="00EB2DE6">
        <w:rPr>
          <w:rFonts w:ascii="Palatino Linotype" w:hAnsi="Palatino Linotype"/>
          <w:color w:val="000000"/>
        </w:rPr>
        <w:t>juni</w:t>
      </w:r>
      <w:r w:rsidR="006C12BD">
        <w:rPr>
          <w:rFonts w:ascii="Palatino Linotype" w:hAnsi="Palatino Linotype"/>
          <w:color w:val="000000"/>
        </w:rPr>
        <w:t>o</w:t>
      </w:r>
      <w:r w:rsidR="009417CA" w:rsidRPr="00B00B6B">
        <w:rPr>
          <w:rFonts w:ascii="Palatino Linotype" w:hAnsi="Palatino Linotype"/>
          <w:color w:val="000000"/>
        </w:rPr>
        <w:t xml:space="preserve"> de dos mil veintiuno, puso a disposición de las partes el expediente electrónico vía SAIMEX a efecto de que en un plazo máximo de siete días manifestaran lo que a </w:t>
      </w:r>
      <w:r w:rsidRPr="00B00B6B">
        <w:rPr>
          <w:rFonts w:ascii="Palatino Linotype" w:hAnsi="Palatino Linotype"/>
          <w:color w:val="000000"/>
        </w:rPr>
        <w:t xml:space="preserve">su </w:t>
      </w:r>
      <w:r w:rsidR="009417CA" w:rsidRPr="00B00B6B">
        <w:rPr>
          <w:rFonts w:ascii="Palatino Linotype" w:hAnsi="Palatino Linotype"/>
          <w:color w:val="000000"/>
        </w:rPr>
        <w:t xml:space="preserve">derecho conviniera, ofrecieran pruebas y alegatos según </w:t>
      </w:r>
      <w:r w:rsidR="009417CA" w:rsidRPr="00B00B6B">
        <w:rPr>
          <w:rFonts w:ascii="Palatino Linotype" w:hAnsi="Palatino Linotype"/>
          <w:color w:val="000000"/>
        </w:rPr>
        <w:lastRenderedPageBreak/>
        <w:t xml:space="preserve">corresponda al caso concreto, de esta forma para que el </w:t>
      </w:r>
      <w:r w:rsidR="009417CA" w:rsidRPr="00B00B6B">
        <w:rPr>
          <w:rFonts w:ascii="Palatino Linotype" w:hAnsi="Palatino Linotype"/>
          <w:b/>
          <w:color w:val="000000"/>
        </w:rPr>
        <w:t xml:space="preserve">SUJETO OBLIGADO </w:t>
      </w:r>
      <w:r w:rsidR="009417CA" w:rsidRPr="00B00B6B">
        <w:rPr>
          <w:rFonts w:ascii="Palatino Linotype" w:hAnsi="Palatino Linotype"/>
          <w:color w:val="000000"/>
        </w:rPr>
        <w:t>presentara el Informe Justificado procedente.</w:t>
      </w:r>
    </w:p>
    <w:p w14:paraId="7D24C2CB" w14:textId="77777777" w:rsidR="00EF6536" w:rsidRPr="00EF6536" w:rsidRDefault="00EF6536" w:rsidP="00EF6536">
      <w:pPr>
        <w:pStyle w:val="Prrafodelista"/>
        <w:rPr>
          <w:rFonts w:ascii="Palatino Linotype" w:hAnsi="Palatino Linotype"/>
          <w:color w:val="000000"/>
        </w:rPr>
      </w:pPr>
    </w:p>
    <w:p w14:paraId="26EC5D4D" w14:textId="0EEAD8B8"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EB2DE6">
        <w:rPr>
          <w:rFonts w:ascii="Palatino Linotype" w:hAnsi="Palatino Linotype"/>
        </w:rPr>
        <w:t>en fecha dos (2</w:t>
      </w:r>
      <w:r w:rsidR="007A69F1">
        <w:rPr>
          <w:rFonts w:ascii="Palatino Linotype" w:hAnsi="Palatino Linotype"/>
        </w:rPr>
        <w:t xml:space="preserve">) de </w:t>
      </w:r>
      <w:r w:rsidR="00EB2DE6">
        <w:rPr>
          <w:rFonts w:ascii="Palatino Linotype" w:hAnsi="Palatino Linotype"/>
        </w:rPr>
        <w:t>agosto</w:t>
      </w:r>
      <w:r w:rsidR="007A69F1">
        <w:rPr>
          <w:rFonts w:ascii="Palatino Linotype" w:hAnsi="Palatino Linotype"/>
        </w:rPr>
        <w:t xml:space="preserve"> del año en curso, rindió su informe justificado, </w:t>
      </w:r>
      <w:r w:rsidR="009B3056">
        <w:rPr>
          <w:rFonts w:ascii="Palatino Linotype" w:hAnsi="Palatino Linotype"/>
        </w:rPr>
        <w:t xml:space="preserve">el cual fue puesto a disposición del particular mediante acuerdo </w:t>
      </w:r>
      <w:r w:rsidR="00EB2DE6">
        <w:rPr>
          <w:rFonts w:ascii="Palatino Linotype" w:hAnsi="Palatino Linotype"/>
        </w:rPr>
        <w:t>misma fecha</w:t>
      </w:r>
      <w:r>
        <w:rPr>
          <w:rFonts w:ascii="Palatino Linotype" w:hAnsi="Palatino Linotype"/>
        </w:rPr>
        <w:t xml:space="preserve">. Por su parte el </w:t>
      </w:r>
      <w:r>
        <w:rPr>
          <w:rFonts w:ascii="Palatino Linotype" w:hAnsi="Palatino Linotype"/>
          <w:b/>
        </w:rPr>
        <w:t>RECURRENTE</w:t>
      </w:r>
      <w:r>
        <w:rPr>
          <w:rFonts w:ascii="Palatino Linotype" w:hAnsi="Palatino Linotype"/>
        </w:rPr>
        <w:t xml:space="preserve">, </w:t>
      </w:r>
      <w:r w:rsidR="00EB2DE6">
        <w:rPr>
          <w:rFonts w:ascii="Palatino Linotype" w:hAnsi="Palatino Linotype"/>
        </w:rPr>
        <w:t>fue omiso en realizar manifestaciones que a su derecho convinieran y asistieran</w:t>
      </w:r>
      <w:r>
        <w:rPr>
          <w:rFonts w:ascii="Palatino Linotype" w:hAnsi="Palatino Linotype"/>
        </w:rPr>
        <w:t>.</w:t>
      </w:r>
    </w:p>
    <w:p w14:paraId="7668BE5D" w14:textId="77777777" w:rsidR="00BE1923" w:rsidRPr="00BE1923" w:rsidRDefault="00BE1923" w:rsidP="00BE1923">
      <w:pPr>
        <w:pStyle w:val="Prrafodelista"/>
        <w:rPr>
          <w:rFonts w:ascii="Palatino Linotype" w:hAnsi="Palatino Linotype"/>
        </w:rPr>
      </w:pPr>
    </w:p>
    <w:p w14:paraId="141597A7" w14:textId="5395D17A" w:rsidR="00EB2DE6" w:rsidRPr="00EB2DE6" w:rsidRDefault="00EB2DE6" w:rsidP="00EB2DE6">
      <w:pPr>
        <w:pStyle w:val="Prrafodelista"/>
        <w:numPr>
          <w:ilvl w:val="0"/>
          <w:numId w:val="7"/>
        </w:numPr>
        <w:spacing w:line="360" w:lineRule="auto"/>
        <w:ind w:left="0" w:firstLine="0"/>
        <w:jc w:val="both"/>
        <w:rPr>
          <w:rFonts w:ascii="Palatino Linotype" w:hAnsi="Palatino Linotype"/>
          <w:b/>
          <w:color w:val="000000" w:themeColor="text1"/>
          <w:sz w:val="28"/>
        </w:rPr>
      </w:pPr>
      <w:r>
        <w:rPr>
          <w:rFonts w:ascii="Palatino Linotype" w:hAnsi="Palatino Linotype"/>
        </w:rPr>
        <w:t>La</w:t>
      </w:r>
      <w:r w:rsidRPr="0034367F">
        <w:rPr>
          <w:rFonts w:ascii="Palatino Linotype" w:hAnsi="Palatino Linotype"/>
        </w:rPr>
        <w:t xml:space="preserve"> Comisionad</w:t>
      </w:r>
      <w:r>
        <w:rPr>
          <w:rFonts w:ascii="Palatino Linotype" w:hAnsi="Palatino Linotype"/>
        </w:rPr>
        <w:t>a</w:t>
      </w:r>
      <w:r w:rsidRPr="0034367F">
        <w:rPr>
          <w:rFonts w:ascii="Palatino Linotype" w:hAnsi="Palatino Linotype"/>
        </w:rPr>
        <w:t xml:space="preserve"> Ponente </w:t>
      </w:r>
      <w:r>
        <w:rPr>
          <w:rFonts w:ascii="Palatino Linotype" w:hAnsi="Palatino Linotype"/>
        </w:rPr>
        <w:t xml:space="preserve">de origen </w:t>
      </w:r>
      <w:r w:rsidRPr="0034367F">
        <w:rPr>
          <w:rFonts w:ascii="Palatino Linotype" w:hAnsi="Palatino Linotype"/>
        </w:rPr>
        <w:t>mediante acuerdo</w:t>
      </w:r>
      <w:r>
        <w:rPr>
          <w:rFonts w:ascii="Palatino Linotype" w:hAnsi="Palatino Linotype"/>
        </w:rPr>
        <w:t xml:space="preserve"> de fecha seis (06) de agosto</w:t>
      </w:r>
      <w:r w:rsidRPr="0034367F">
        <w:rPr>
          <w:rFonts w:ascii="Palatino Linotype" w:hAnsi="Palatino Linotype"/>
        </w:rPr>
        <w:t xml:space="preserve"> </w:t>
      </w:r>
      <w:r>
        <w:rPr>
          <w:rFonts w:ascii="Palatino Linotype" w:hAnsi="Palatino Linotype"/>
        </w:rPr>
        <w:t>de dos mil veintiuno decreto el cierre de instrucción.</w:t>
      </w:r>
    </w:p>
    <w:p w14:paraId="1B67AA5A" w14:textId="77777777" w:rsidR="00EB2DE6" w:rsidRPr="00EB2DE6" w:rsidRDefault="00EB2DE6" w:rsidP="00EB2DE6">
      <w:pPr>
        <w:pStyle w:val="Prrafodelista"/>
        <w:rPr>
          <w:rFonts w:ascii="Palatino Linotype" w:hAnsi="Palatino Linotype" w:cs="Arial"/>
        </w:rPr>
      </w:pPr>
    </w:p>
    <w:p w14:paraId="29B5361A" w14:textId="77777777" w:rsidR="00EB2DE6" w:rsidRPr="003C26A0" w:rsidRDefault="00EB2DE6" w:rsidP="00EB2DE6">
      <w:pPr>
        <w:pStyle w:val="Prrafodelista"/>
        <w:numPr>
          <w:ilvl w:val="0"/>
          <w:numId w:val="7"/>
        </w:numPr>
        <w:spacing w:line="360" w:lineRule="auto"/>
        <w:ind w:left="0" w:firstLine="0"/>
        <w:jc w:val="both"/>
        <w:rPr>
          <w:rFonts w:ascii="Palatino Linotype" w:hAnsi="Palatino Linotype"/>
          <w:b/>
          <w:color w:val="000000" w:themeColor="text1"/>
          <w:sz w:val="28"/>
        </w:rPr>
      </w:pPr>
      <w:r w:rsidRPr="003E7EB6">
        <w:rPr>
          <w:rFonts w:ascii="Palatino Linotype" w:hAnsi="Palatino Linotype" w:cs="Arial"/>
        </w:rPr>
        <w:t xml:space="preserve">El </w:t>
      </w:r>
      <w:r w:rsidRPr="00EB2DE6">
        <w:rPr>
          <w:rFonts w:ascii="Palatino Linotype" w:hAnsi="Palatino Linotype"/>
        </w:rPr>
        <w:t>Pleno</w:t>
      </w:r>
      <w:r w:rsidRPr="003E7EB6">
        <w:rPr>
          <w:rFonts w:ascii="Palatino Linotype" w:hAnsi="Palatino Linotype" w:cs="Arial"/>
        </w:rPr>
        <w:t xml:space="preserve"> de este Órgano Autónomo, en la </w:t>
      </w:r>
      <w:r w:rsidRPr="003E7EB6">
        <w:rPr>
          <w:rFonts w:ascii="Palatino Linotype" w:hAnsi="Palatino Linotype"/>
        </w:rPr>
        <w:t xml:space="preserve">Segunda Sesión Extraordinaria, de fecha veintitrés (23) de agosto de dos mil veintiuno, ordenó el </w:t>
      </w:r>
      <w:proofErr w:type="spellStart"/>
      <w:r w:rsidRPr="003E7EB6">
        <w:rPr>
          <w:rFonts w:ascii="Palatino Linotype" w:hAnsi="Palatino Linotype"/>
        </w:rPr>
        <w:t>returno</w:t>
      </w:r>
      <w:proofErr w:type="spellEnd"/>
      <w:r w:rsidRPr="003E7EB6">
        <w:rPr>
          <w:rFonts w:ascii="Palatino Linotype" w:hAnsi="Palatino Linotype"/>
        </w:rPr>
        <w:t xml:space="preserve"> del Recurso de Revisión a la </w:t>
      </w:r>
      <w:r w:rsidRPr="003E7EB6">
        <w:rPr>
          <w:rFonts w:ascii="Palatino Linotype" w:hAnsi="Palatino Linotype"/>
          <w:b/>
        </w:rPr>
        <w:t>Comisionada María del Rosario Mejía Ayala</w:t>
      </w:r>
      <w:r w:rsidRPr="003E7EB6">
        <w:rPr>
          <w:rFonts w:ascii="Palatino Linotype" w:hAnsi="Palatino Linotype"/>
        </w:rPr>
        <w:t xml:space="preserve">, a fin de que </w:t>
      </w:r>
      <w:r w:rsidRPr="003C26A0">
        <w:rPr>
          <w:rFonts w:ascii="Palatino Linotype" w:hAnsi="Palatino Linotype"/>
        </w:rPr>
        <w:t>presentara el proyecto de resolución correspondiente.</w:t>
      </w:r>
    </w:p>
    <w:p w14:paraId="0DBCB249" w14:textId="77777777" w:rsidR="00EB2DE6" w:rsidRPr="00EB2DE6" w:rsidRDefault="00EB2DE6" w:rsidP="00EB2DE6">
      <w:pPr>
        <w:pStyle w:val="Prrafodelista"/>
        <w:rPr>
          <w:rFonts w:ascii="Palatino Linotype" w:hAnsi="Palatino Linotype"/>
        </w:rPr>
      </w:pPr>
    </w:p>
    <w:p w14:paraId="5B29B248" w14:textId="54AB87AC" w:rsidR="001769CF" w:rsidRPr="00BE1923" w:rsidRDefault="00EB2DE6"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En</w:t>
      </w:r>
      <w:r w:rsidR="009417CA" w:rsidRPr="0034367F">
        <w:rPr>
          <w:rFonts w:ascii="Palatino Linotype" w:hAnsi="Palatino Linotype"/>
        </w:rPr>
        <w:t xml:space="preserve"> fecha </w:t>
      </w:r>
      <w:r>
        <w:rPr>
          <w:rFonts w:ascii="Palatino Linotype" w:hAnsi="Palatino Linotype"/>
        </w:rPr>
        <w:t>veintiséis</w:t>
      </w:r>
      <w:r w:rsidR="009417CA" w:rsidRPr="0034367F">
        <w:rPr>
          <w:rFonts w:ascii="Palatino Linotype" w:hAnsi="Palatino Linotype"/>
        </w:rPr>
        <w:t xml:space="preserve"> (</w:t>
      </w:r>
      <w:r w:rsidR="00B00B6B">
        <w:rPr>
          <w:rFonts w:ascii="Palatino Linotype" w:hAnsi="Palatino Linotype"/>
        </w:rPr>
        <w:t>2</w:t>
      </w:r>
      <w:r>
        <w:rPr>
          <w:rFonts w:ascii="Palatino Linotype" w:hAnsi="Palatino Linotype"/>
        </w:rPr>
        <w:t>6</w:t>
      </w:r>
      <w:r w:rsidR="009417CA" w:rsidRPr="0034367F">
        <w:rPr>
          <w:rFonts w:ascii="Palatino Linotype" w:hAnsi="Palatino Linotype"/>
        </w:rPr>
        <w:t xml:space="preserve">) de </w:t>
      </w:r>
      <w:r>
        <w:rPr>
          <w:rFonts w:ascii="Palatino Linotype" w:hAnsi="Palatino Linotype"/>
        </w:rPr>
        <w:t>agosto</w:t>
      </w:r>
      <w:r w:rsidR="009417CA" w:rsidRPr="0034367F">
        <w:rPr>
          <w:rFonts w:ascii="Palatino Linotype" w:hAnsi="Palatino Linotype"/>
        </w:rPr>
        <w:t xml:space="preserve"> de dos mil veintiuno</w:t>
      </w:r>
      <w:r w:rsidR="003E7EB6">
        <w:rPr>
          <w:rFonts w:ascii="Palatino Linotype" w:hAnsi="Palatino Linotype"/>
        </w:rPr>
        <w:t>,</w:t>
      </w:r>
      <w:r w:rsidR="009417CA" w:rsidRPr="0034367F">
        <w:rPr>
          <w:rFonts w:ascii="Palatino Linotype" w:hAnsi="Palatino Linotype"/>
        </w:rPr>
        <w:t xml:space="preserve"> decretó </w:t>
      </w:r>
      <w:r w:rsidR="00B00B6B">
        <w:rPr>
          <w:rFonts w:ascii="Palatino Linotype" w:hAnsi="Palatino Linotype"/>
        </w:rPr>
        <w:t>la ampliación de plazo para resolver</w:t>
      </w:r>
      <w:r w:rsidR="007B4CF4" w:rsidRPr="000B08A0">
        <w:rPr>
          <w:rFonts w:ascii="Palatino Linotype" w:hAnsi="Palatino Linotype" w:cs="Arial"/>
        </w:rPr>
        <w:t xml:space="preserve">, </w:t>
      </w:r>
      <w:r w:rsidR="009417CA" w:rsidRPr="000B08A0">
        <w:rPr>
          <w:rFonts w:ascii="Palatino Linotype" w:hAnsi="Palatino Linotype" w:cs="Arial"/>
        </w:rPr>
        <w:t>por lo que no habiendo más que hacer constar, y --------------</w:t>
      </w:r>
      <w:bookmarkStart w:id="206" w:name="_Toc491791302"/>
      <w:bookmarkStart w:id="207" w:name="_Toc74778592"/>
    </w:p>
    <w:p w14:paraId="4199DCB5" w14:textId="77777777" w:rsidR="00BE1923" w:rsidRPr="000B08A0" w:rsidRDefault="00BE1923" w:rsidP="00BE1923">
      <w:pPr>
        <w:pStyle w:val="Prrafodelista"/>
        <w:spacing w:line="360" w:lineRule="auto"/>
        <w:ind w:left="0"/>
        <w:jc w:val="both"/>
        <w:rPr>
          <w:rFonts w:ascii="Palatino Linotype" w:hAnsi="Palatino Linotype"/>
        </w:rPr>
      </w:pPr>
    </w:p>
    <w:p w14:paraId="425AF908" w14:textId="69A958DC" w:rsidR="009417CA" w:rsidRPr="007C7F08" w:rsidRDefault="009417CA" w:rsidP="00BE1923">
      <w:pPr>
        <w:pStyle w:val="Ttulo1"/>
        <w:spacing w:before="0" w:line="360" w:lineRule="auto"/>
        <w:jc w:val="center"/>
        <w:rPr>
          <w:rFonts w:ascii="Palatino Linotype" w:hAnsi="Palatino Linotype"/>
          <w:b/>
          <w:color w:val="000000" w:themeColor="text1"/>
          <w:sz w:val="28"/>
        </w:rPr>
      </w:pPr>
      <w:bookmarkStart w:id="208" w:name="_Toc86947363"/>
      <w:r w:rsidRPr="007C7F08">
        <w:rPr>
          <w:rFonts w:ascii="Palatino Linotype" w:hAnsi="Palatino Linotype"/>
          <w:b/>
          <w:color w:val="000000" w:themeColor="text1"/>
          <w:sz w:val="28"/>
        </w:rPr>
        <w:t>CONSIDERANDO</w:t>
      </w:r>
      <w:bookmarkEnd w:id="206"/>
      <w:bookmarkEnd w:id="207"/>
      <w:bookmarkEnd w:id="208"/>
    </w:p>
    <w:p w14:paraId="6B045C1B" w14:textId="77777777" w:rsidR="00BE1923" w:rsidRDefault="00BE1923" w:rsidP="00BE1923">
      <w:pPr>
        <w:pStyle w:val="Ttulo2"/>
        <w:spacing w:before="0" w:line="360" w:lineRule="auto"/>
        <w:rPr>
          <w:rFonts w:ascii="Palatino Linotype" w:hAnsi="Palatino Linotype"/>
          <w:b/>
          <w:color w:val="auto"/>
          <w:sz w:val="24"/>
          <w:szCs w:val="24"/>
        </w:rPr>
      </w:pPr>
      <w:bookmarkStart w:id="209" w:name="_Toc491791303"/>
      <w:bookmarkStart w:id="210" w:name="_Toc74778593"/>
    </w:p>
    <w:p w14:paraId="0EE6D2B8" w14:textId="77777777" w:rsidR="009417CA" w:rsidRPr="00D27215" w:rsidRDefault="009417CA" w:rsidP="00BE1923">
      <w:pPr>
        <w:pStyle w:val="Ttulo2"/>
        <w:spacing w:before="0" w:line="360" w:lineRule="auto"/>
        <w:rPr>
          <w:rFonts w:ascii="Palatino Linotype" w:hAnsi="Palatino Linotype"/>
          <w:b/>
          <w:color w:val="auto"/>
          <w:sz w:val="24"/>
          <w:szCs w:val="24"/>
        </w:rPr>
      </w:pPr>
      <w:bookmarkStart w:id="211" w:name="_Toc86947364"/>
      <w:r w:rsidRPr="00D27215">
        <w:rPr>
          <w:rFonts w:ascii="Palatino Linotype" w:hAnsi="Palatino Linotype"/>
          <w:b/>
          <w:color w:val="auto"/>
          <w:sz w:val="24"/>
          <w:szCs w:val="24"/>
        </w:rPr>
        <w:t>PRIMERO. De la competencia</w:t>
      </w:r>
      <w:bookmarkEnd w:id="209"/>
      <w:bookmarkEnd w:id="210"/>
      <w:bookmarkEnd w:id="211"/>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w:t>
      </w:r>
      <w:r w:rsidRPr="009E6B17">
        <w:rPr>
          <w:rFonts w:ascii="Palatino Linotype" w:hAnsi="Palatino Linotype"/>
          <w:color w:val="000000" w:themeColor="text1"/>
        </w:rPr>
        <w:lastRenderedPageBreak/>
        <w:t>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2" w:name="_Toc80699770"/>
      <w:bookmarkStart w:id="213" w:name="_Toc81260548"/>
    </w:p>
    <w:p w14:paraId="775CEE32" w14:textId="50DEE960" w:rsidR="009417CA" w:rsidRPr="00EA7E3D"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4" w:name="_Toc86947365"/>
      <w:r>
        <w:rPr>
          <w:rFonts w:ascii="Palatino Linotype" w:hAnsi="Palatino Linotype"/>
          <w:b/>
          <w:bCs/>
          <w:color w:val="000000" w:themeColor="text1"/>
        </w:rPr>
        <w:t>SEGUNDO.</w:t>
      </w:r>
      <w:bookmarkStart w:id="215" w:name="_Toc491791304"/>
      <w:bookmarkStart w:id="216" w:name="_Toc74778594"/>
      <w:bookmarkEnd w:id="212"/>
      <w:bookmarkEnd w:id="213"/>
      <w:r w:rsidR="009417CA" w:rsidRPr="00EA7E3D">
        <w:rPr>
          <w:rFonts w:ascii="Palatino Linotype" w:hAnsi="Palatino Linotype"/>
          <w:b/>
          <w:color w:val="000000" w:themeColor="text1"/>
        </w:rPr>
        <w:t xml:space="preserve"> De la oportunidad y procedencia.</w:t>
      </w:r>
      <w:bookmarkEnd w:id="214"/>
      <w:bookmarkEnd w:id="215"/>
      <w:bookmarkEnd w:id="216"/>
    </w:p>
    <w:p w14:paraId="432ADE56" w14:textId="77777777" w:rsidR="009417CA" w:rsidRPr="00D27215" w:rsidRDefault="009417CA" w:rsidP="00BE1923">
      <w:pPr>
        <w:spacing w:line="360" w:lineRule="auto"/>
        <w:rPr>
          <w:rFonts w:ascii="Palatino Linotype" w:hAnsi="Palatino Linotype"/>
          <w:lang w:eastAsia="en-US"/>
        </w:rPr>
      </w:pPr>
    </w:p>
    <w:p w14:paraId="30820BC9" w14:textId="5219FF5A" w:rsidR="00F17E65" w:rsidRPr="00C93C30"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17" w:name="_Toc521431830"/>
      <w:bookmarkStart w:id="218" w:name="_Toc27653760"/>
      <w:r w:rsidRPr="00F26AA5">
        <w:rPr>
          <w:rFonts w:ascii="Palatino Linotype" w:eastAsia="Calibri" w:hAnsi="Palatino Linotype" w:cs="Arial"/>
        </w:rPr>
        <w:t xml:space="preserve">El medio de impugnación fue presentado a través del </w:t>
      </w:r>
      <w:r w:rsidR="007A69F1">
        <w:rPr>
          <w:rFonts w:ascii="Palatino Linotype" w:eastAsia="Calibri" w:hAnsi="Palatino Linotype" w:cs="Arial"/>
          <w:b/>
        </w:rPr>
        <w:t>SAIMEX</w:t>
      </w:r>
      <w:r w:rsidRPr="00F26AA5">
        <w:rPr>
          <w:rFonts w:ascii="Palatino Linotype" w:eastAsia="Calibri" w:hAnsi="Palatino Linotype" w:cs="Arial"/>
          <w:b/>
        </w:rPr>
        <w:t>,</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EB2DE6">
        <w:rPr>
          <w:rFonts w:ascii="Palatino Linotype" w:eastAsia="Calibri" w:hAnsi="Palatino Linotype" w:cs="Arial"/>
        </w:rPr>
        <w:t>dieciséis</w:t>
      </w:r>
      <w:r>
        <w:rPr>
          <w:rFonts w:ascii="Palatino Linotype" w:eastAsia="Calibri" w:hAnsi="Palatino Linotype" w:cs="Arial"/>
        </w:rPr>
        <w:t xml:space="preserve"> </w:t>
      </w:r>
      <w:r w:rsidRPr="00F26AA5">
        <w:rPr>
          <w:rFonts w:ascii="Palatino Linotype" w:eastAsia="Calibri" w:hAnsi="Palatino Linotype" w:cs="Arial"/>
        </w:rPr>
        <w:t>(</w:t>
      </w:r>
      <w:r w:rsidR="00EB2DE6">
        <w:rPr>
          <w:rFonts w:ascii="Palatino Linotype" w:eastAsia="Calibri" w:hAnsi="Palatino Linotype" w:cs="Arial"/>
        </w:rPr>
        <w:t>16</w:t>
      </w:r>
      <w:r w:rsidRPr="00F26AA5">
        <w:rPr>
          <w:rFonts w:ascii="Palatino Linotype" w:eastAsia="Calibri" w:hAnsi="Palatino Linotype" w:cs="Arial"/>
        </w:rPr>
        <w:t xml:space="preserve">) de </w:t>
      </w:r>
      <w:r w:rsidR="00EB2DE6">
        <w:rPr>
          <w:rFonts w:ascii="Palatino Linotype" w:eastAsia="Calibri" w:hAnsi="Palatino Linotype" w:cs="Arial"/>
        </w:rPr>
        <w:t>juni</w:t>
      </w:r>
      <w:r w:rsidR="008D410C">
        <w:rPr>
          <w:rFonts w:ascii="Palatino Linotype" w:eastAsia="Calibri" w:hAnsi="Palatino Linotype" w:cs="Arial"/>
        </w:rPr>
        <w:t>o</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EB2DE6">
        <w:rPr>
          <w:rFonts w:ascii="Palatino Linotype" w:hAnsi="Palatino Linotype" w:cs="Arial"/>
        </w:rPr>
        <w:t>diecisiete</w:t>
      </w:r>
      <w:r w:rsidRPr="00F26AA5">
        <w:rPr>
          <w:rFonts w:ascii="Palatino Linotype" w:hAnsi="Palatino Linotype" w:cs="Arial"/>
        </w:rPr>
        <w:t xml:space="preserve"> (</w:t>
      </w:r>
      <w:r w:rsidR="00EB2DE6">
        <w:rPr>
          <w:rFonts w:ascii="Palatino Linotype" w:hAnsi="Palatino Linotype" w:cs="Arial"/>
        </w:rPr>
        <w:t>17</w:t>
      </w:r>
      <w:r w:rsidRPr="00F26AA5">
        <w:rPr>
          <w:rFonts w:ascii="Palatino Linotype" w:hAnsi="Palatino Linotype" w:cs="Arial"/>
        </w:rPr>
        <w:t xml:space="preserve">) </w:t>
      </w:r>
      <w:r w:rsidR="003E7EB6">
        <w:rPr>
          <w:rFonts w:ascii="Palatino Linotype" w:hAnsi="Palatino Linotype" w:cs="Arial"/>
        </w:rPr>
        <w:t>de</w:t>
      </w:r>
      <w:r w:rsidR="00DB5531">
        <w:rPr>
          <w:rFonts w:ascii="Palatino Linotype" w:hAnsi="Palatino Linotype" w:cs="Arial"/>
        </w:rPr>
        <w:t xml:space="preserve"> </w:t>
      </w:r>
      <w:r w:rsidR="00EB2DE6">
        <w:rPr>
          <w:rFonts w:ascii="Palatino Linotype" w:hAnsi="Palatino Linotype" w:cs="Arial"/>
        </w:rPr>
        <w:t>juni</w:t>
      </w:r>
      <w:r w:rsidR="00DB5531">
        <w:rPr>
          <w:rFonts w:ascii="Palatino Linotype" w:hAnsi="Palatino Linotype" w:cs="Arial"/>
        </w:rPr>
        <w:t>o</w:t>
      </w:r>
      <w:r w:rsidR="003E7EB6">
        <w:rPr>
          <w:rFonts w:ascii="Palatino Linotype" w:hAnsi="Palatino Linotype" w:cs="Arial"/>
        </w:rPr>
        <w:t xml:space="preserve"> </w:t>
      </w:r>
      <w:r w:rsidRPr="00F26AA5">
        <w:rPr>
          <w:rFonts w:ascii="Palatino Linotype" w:hAnsi="Palatino Linotype" w:cs="Arial"/>
        </w:rPr>
        <w:t xml:space="preserve">al </w:t>
      </w:r>
      <w:r w:rsidR="00EB2DE6">
        <w:rPr>
          <w:rFonts w:ascii="Palatino Linotype" w:hAnsi="Palatino Linotype" w:cs="Arial"/>
        </w:rPr>
        <w:t>siete</w:t>
      </w:r>
      <w:r w:rsidRPr="00F26AA5">
        <w:rPr>
          <w:rFonts w:ascii="Palatino Linotype" w:hAnsi="Palatino Linotype" w:cs="Arial"/>
        </w:rPr>
        <w:t xml:space="preserve"> (</w:t>
      </w:r>
      <w:r w:rsidR="00EB2DE6">
        <w:rPr>
          <w:rFonts w:ascii="Palatino Linotype" w:hAnsi="Palatino Linotype" w:cs="Arial"/>
        </w:rPr>
        <w:t>07</w:t>
      </w:r>
      <w:r w:rsidRPr="00F26AA5">
        <w:rPr>
          <w:rFonts w:ascii="Palatino Linotype" w:hAnsi="Palatino Linotype" w:cs="Arial"/>
        </w:rPr>
        <w:t xml:space="preserve">) de </w:t>
      </w:r>
      <w:r w:rsidR="00EB2DE6">
        <w:rPr>
          <w:rFonts w:ascii="Palatino Linotype" w:hAnsi="Palatino Linotype" w:cs="Arial"/>
        </w:rPr>
        <w:t>julio</w:t>
      </w:r>
      <w:r w:rsidRPr="00F26AA5">
        <w:rPr>
          <w:rFonts w:ascii="Palatino Linotype" w:hAnsi="Palatino Linotype" w:cs="Arial"/>
        </w:rPr>
        <w:t xml:space="preserve"> de dos mil veintiuno; en consecuencia, el ahora recurrente presentó su inconformidad el día </w:t>
      </w:r>
      <w:r w:rsidR="00C93C30">
        <w:rPr>
          <w:rFonts w:ascii="Palatino Linotype" w:hAnsi="Palatino Linotype" w:cs="Arial"/>
        </w:rPr>
        <w:t>dos</w:t>
      </w:r>
      <w:r w:rsidR="00002D71">
        <w:rPr>
          <w:rFonts w:ascii="Palatino Linotype" w:hAnsi="Palatino Linotype" w:cs="Arial"/>
        </w:rPr>
        <w:t xml:space="preserve"> </w:t>
      </w:r>
      <w:r w:rsidRPr="00F26AA5">
        <w:rPr>
          <w:rFonts w:ascii="Palatino Linotype" w:hAnsi="Palatino Linotype" w:cs="Arial"/>
        </w:rPr>
        <w:t>(</w:t>
      </w:r>
      <w:r w:rsidR="00C93C30">
        <w:rPr>
          <w:rFonts w:ascii="Palatino Linotype" w:hAnsi="Palatino Linotype" w:cs="Arial"/>
        </w:rPr>
        <w:t>2</w:t>
      </w:r>
      <w:r w:rsidRPr="00F26AA5">
        <w:rPr>
          <w:rFonts w:ascii="Palatino Linotype" w:hAnsi="Palatino Linotype" w:cs="Arial"/>
        </w:rPr>
        <w:t>) de</w:t>
      </w:r>
      <w:r w:rsidR="00DB5531">
        <w:rPr>
          <w:rFonts w:ascii="Palatino Linotype" w:hAnsi="Palatino Linotype" w:cs="Arial"/>
        </w:rPr>
        <w:t xml:space="preserve"> </w:t>
      </w:r>
      <w:r w:rsidR="00C93C30">
        <w:rPr>
          <w:rFonts w:ascii="Palatino Linotype" w:hAnsi="Palatino Linotype" w:cs="Arial"/>
        </w:rPr>
        <w:t>juli</w:t>
      </w:r>
      <w:r w:rsidR="009B3056">
        <w:rPr>
          <w:rFonts w:ascii="Palatino Linotype" w:hAnsi="Palatino Linotype" w:cs="Arial"/>
        </w:rPr>
        <w:t>o</w:t>
      </w:r>
      <w:r w:rsidRPr="00F26AA5">
        <w:rPr>
          <w:rFonts w:ascii="Palatino Linotype" w:hAnsi="Palatino Linotype" w:cs="Arial"/>
        </w:rPr>
        <w:t xml:space="preserve"> de dos mil veintiuno; es decir </w:t>
      </w:r>
      <w:r w:rsidR="0034421A">
        <w:rPr>
          <w:rFonts w:ascii="Palatino Linotype" w:hAnsi="Palatino Linotype" w:cs="Arial"/>
        </w:rPr>
        <w:t>dentro del lapso temporal legalmente establecido para tal efecto</w:t>
      </w:r>
      <w:r w:rsidR="00F17E65" w:rsidRPr="00B167A0">
        <w:rPr>
          <w:rFonts w:ascii="Palatino Linotype" w:hAnsi="Palatino Linotype"/>
          <w:lang w:val="es-MX"/>
        </w:rPr>
        <w:t>.</w:t>
      </w:r>
    </w:p>
    <w:p w14:paraId="04BD08EF" w14:textId="77777777" w:rsidR="00C93C30" w:rsidRPr="00C93C30" w:rsidRDefault="00C93C30" w:rsidP="00C93C30">
      <w:pPr>
        <w:pStyle w:val="Prrafodelista"/>
        <w:spacing w:line="360" w:lineRule="auto"/>
        <w:ind w:left="0"/>
        <w:jc w:val="both"/>
        <w:rPr>
          <w:rFonts w:ascii="Palatino Linotype" w:hAnsi="Palatino Linotype" w:cs="Arial"/>
          <w:i/>
          <w:sz w:val="22"/>
          <w:szCs w:val="20"/>
        </w:rPr>
      </w:pPr>
    </w:p>
    <w:p w14:paraId="630C70A5" w14:textId="3B390EBD" w:rsidR="00C93C30" w:rsidRDefault="00C93C30" w:rsidP="00C93C30">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lastRenderedPageBreak/>
        <w:t>Asimismo, 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w:t>
      </w:r>
      <w:r>
        <w:rPr>
          <w:rFonts w:ascii="Palatino Linotype" w:hAnsi="Palatino Linotype"/>
        </w:rPr>
        <w:t>za sobre su identidad;</w:t>
      </w:r>
      <w:r w:rsidRPr="009B7FA3">
        <w:rPr>
          <w:rFonts w:ascii="Palatino Linotype" w:hAnsi="Palatino Linotype"/>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F4A5024" w14:textId="77777777" w:rsidR="00C93C30" w:rsidRDefault="00C93C30" w:rsidP="00C93C30">
      <w:pPr>
        <w:pStyle w:val="Prrafodelista"/>
        <w:spacing w:line="360" w:lineRule="auto"/>
        <w:ind w:left="0"/>
        <w:jc w:val="both"/>
        <w:rPr>
          <w:rFonts w:ascii="Palatino Linotype" w:hAnsi="Palatino Linotype"/>
        </w:rPr>
      </w:pPr>
    </w:p>
    <w:p w14:paraId="10F16BFE" w14:textId="77777777" w:rsidR="00C93C30" w:rsidRDefault="00C93C30" w:rsidP="00C93C30">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C8ACF1" w14:textId="77777777" w:rsidR="00C93C30" w:rsidRPr="00BE1923" w:rsidRDefault="00C93C30" w:rsidP="00C93C30">
      <w:pPr>
        <w:pStyle w:val="Prrafodelista"/>
        <w:rPr>
          <w:rFonts w:ascii="Palatino Linotype" w:hAnsi="Palatino Linotype"/>
        </w:rPr>
      </w:pPr>
    </w:p>
    <w:p w14:paraId="659F5FD5" w14:textId="77777777" w:rsidR="00C93C30" w:rsidRDefault="00C93C30" w:rsidP="00C93C30">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w:t>
      </w:r>
      <w:r>
        <w:rPr>
          <w:rFonts w:ascii="Palatino Linotype" w:hAnsi="Palatino Linotype"/>
        </w:rPr>
        <w:t>acceso a la información pública;</w:t>
      </w:r>
      <w:r w:rsidRPr="009B7FA3">
        <w:rPr>
          <w:rFonts w:ascii="Palatino Linotype" w:hAnsi="Palatino Linotype"/>
        </w:rPr>
        <w:t xml:space="preserve"> es decir, dicho derecho fundamental exime a quien lo </w:t>
      </w:r>
      <w:r w:rsidRPr="009B7FA3">
        <w:rPr>
          <w:rFonts w:ascii="Palatino Linotype" w:hAnsi="Palatino Linotype"/>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E2C56C1" w14:textId="77777777" w:rsidR="00C93C30" w:rsidRPr="00BE1923" w:rsidRDefault="00C93C30" w:rsidP="00C93C30">
      <w:pPr>
        <w:pStyle w:val="Prrafodelista"/>
        <w:rPr>
          <w:rFonts w:ascii="Palatino Linotype" w:hAnsi="Palatino Linotype"/>
        </w:rPr>
      </w:pPr>
    </w:p>
    <w:p w14:paraId="760904EC" w14:textId="77777777" w:rsidR="00C93C30" w:rsidRDefault="00C93C30" w:rsidP="00C93C30">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30ED7A1" w14:textId="77777777" w:rsidR="00C93C30" w:rsidRPr="00BE1923" w:rsidRDefault="00C93C30" w:rsidP="00C93C30">
      <w:pPr>
        <w:pStyle w:val="Prrafodelista"/>
        <w:rPr>
          <w:rFonts w:ascii="Palatino Linotype" w:hAnsi="Palatino Linotype"/>
        </w:rPr>
      </w:pPr>
    </w:p>
    <w:p w14:paraId="7B732C1A" w14:textId="77777777" w:rsidR="00C93C30" w:rsidRDefault="00C93C30" w:rsidP="00C93C30">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w:t>
      </w:r>
      <w:r>
        <w:rPr>
          <w:rFonts w:ascii="Palatino Linotype" w:hAnsi="Palatino Linotype"/>
        </w:rPr>
        <w:t>Garante</w:t>
      </w:r>
      <w:r w:rsidRPr="009B7FA3">
        <w:rPr>
          <w:rFonts w:ascii="Palatino Linotype" w:hAnsi="Palatino Linotype"/>
        </w:rPr>
        <w:t>.</w:t>
      </w:r>
    </w:p>
    <w:p w14:paraId="465386CD" w14:textId="77777777" w:rsidR="009B3056" w:rsidRPr="00BE1923" w:rsidRDefault="009B3056" w:rsidP="009B3056">
      <w:pPr>
        <w:pStyle w:val="Prrafodelista"/>
        <w:spacing w:line="360" w:lineRule="auto"/>
        <w:ind w:left="0"/>
        <w:jc w:val="both"/>
        <w:rPr>
          <w:rFonts w:ascii="Palatino Linotype" w:hAnsi="Palatino Linotype" w:cs="Arial"/>
          <w:i/>
          <w:sz w:val="22"/>
          <w:szCs w:val="20"/>
        </w:rPr>
      </w:pPr>
    </w:p>
    <w:p w14:paraId="269A32B1" w14:textId="77777777" w:rsidR="00F17E65" w:rsidRPr="00484252"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73721A" w14:textId="77777777" w:rsidR="00484252" w:rsidRPr="00484252" w:rsidRDefault="00484252" w:rsidP="00484252">
      <w:pPr>
        <w:pStyle w:val="Prrafodelista"/>
        <w:rPr>
          <w:rFonts w:ascii="Palatino Linotype" w:hAnsi="Palatino Linotype"/>
        </w:rPr>
      </w:pPr>
    </w:p>
    <w:p w14:paraId="6E205F1F" w14:textId="3FB7F74E" w:rsidR="009417CA" w:rsidRPr="00EA7E3D" w:rsidRDefault="00C76CBA" w:rsidP="00BE1923">
      <w:pPr>
        <w:pStyle w:val="Ttulo1"/>
        <w:spacing w:before="0" w:line="360" w:lineRule="auto"/>
        <w:rPr>
          <w:rFonts w:ascii="Palatino Linotype" w:hAnsi="Palatino Linotype"/>
          <w:b/>
          <w:color w:val="000000" w:themeColor="text1"/>
          <w:sz w:val="24"/>
        </w:rPr>
      </w:pPr>
      <w:bookmarkStart w:id="219" w:name="_Toc86947366"/>
      <w:r>
        <w:rPr>
          <w:rFonts w:ascii="Palatino Linotype" w:hAnsi="Palatino Linotype" w:cs="Arial"/>
          <w:b/>
          <w:color w:val="000000" w:themeColor="text1"/>
          <w:sz w:val="24"/>
        </w:rPr>
        <w:t>TERCER</w:t>
      </w:r>
      <w:r w:rsidR="009417CA" w:rsidRPr="00EA7E3D">
        <w:rPr>
          <w:rFonts w:ascii="Palatino Linotype" w:hAnsi="Palatino Linotype" w:cs="Arial"/>
          <w:b/>
          <w:color w:val="000000" w:themeColor="text1"/>
          <w:sz w:val="24"/>
        </w:rPr>
        <w:t xml:space="preserve">O. </w:t>
      </w:r>
      <w:bookmarkStart w:id="220" w:name="_Toc34246179"/>
      <w:bookmarkStart w:id="221" w:name="_Toc74778598"/>
      <w:bookmarkStart w:id="222" w:name="_Toc501021589"/>
      <w:bookmarkEnd w:id="217"/>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18"/>
      <w:bookmarkEnd w:id="219"/>
      <w:bookmarkEnd w:id="220"/>
      <w:bookmarkEnd w:id="221"/>
      <w:bookmarkEnd w:id="222"/>
    </w:p>
    <w:p w14:paraId="6AEE1235" w14:textId="77777777" w:rsidR="009417CA" w:rsidRPr="0091500E" w:rsidRDefault="009417CA" w:rsidP="00BE1923">
      <w:pPr>
        <w:spacing w:line="360" w:lineRule="auto"/>
        <w:rPr>
          <w:lang w:eastAsia="en-US"/>
        </w:rPr>
      </w:pPr>
    </w:p>
    <w:p w14:paraId="4A3D7576" w14:textId="42E5C5A5" w:rsidR="009417CA" w:rsidRPr="00C42E34"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7B2D9506" w14:textId="77777777" w:rsidR="00C42E34" w:rsidRPr="0034421A" w:rsidRDefault="00C42E34" w:rsidP="00C42E34">
      <w:pPr>
        <w:pStyle w:val="Prrafodelista"/>
        <w:spacing w:line="360" w:lineRule="auto"/>
        <w:ind w:left="0"/>
        <w:jc w:val="both"/>
        <w:rPr>
          <w:rFonts w:ascii="Palatino Linotype" w:hAnsi="Palatino Linotype"/>
          <w:lang w:val="es-MX" w:eastAsia="en-US"/>
        </w:rPr>
      </w:pPr>
    </w:p>
    <w:p w14:paraId="40F26354" w14:textId="6E5D17E8" w:rsidR="00C93C30" w:rsidRPr="00C93C30" w:rsidRDefault="00C93C30" w:rsidP="00C93C30">
      <w:pPr>
        <w:pStyle w:val="Prrafodelista"/>
        <w:numPr>
          <w:ilvl w:val="0"/>
          <w:numId w:val="5"/>
        </w:numPr>
        <w:spacing w:line="360" w:lineRule="auto"/>
        <w:ind w:left="709" w:right="616"/>
        <w:jc w:val="both"/>
        <w:rPr>
          <w:rFonts w:ascii="Palatino Linotype" w:hAnsi="Palatino Linotype" w:cs="Arial"/>
          <w:u w:val="single"/>
        </w:rPr>
      </w:pPr>
      <w:r>
        <w:rPr>
          <w:rFonts w:ascii="Palatino Linotype" w:hAnsi="Palatino Linotype" w:cs="Arial"/>
        </w:rPr>
        <w:t>P</w:t>
      </w:r>
      <w:r w:rsidRPr="00C93C30">
        <w:rPr>
          <w:rFonts w:ascii="Palatino Linotype" w:hAnsi="Palatino Linotype" w:cs="Arial"/>
        </w:rPr>
        <w:t>artidas presupuestales autorizadas para la s</w:t>
      </w:r>
      <w:r>
        <w:rPr>
          <w:rFonts w:ascii="Palatino Linotype" w:hAnsi="Palatino Linotype" w:cs="Arial"/>
        </w:rPr>
        <w:t>alud, deporte y recreación en la Entidad;</w:t>
      </w:r>
    </w:p>
    <w:p w14:paraId="6EF42EB3" w14:textId="77777777" w:rsidR="00C93C30" w:rsidRPr="00C93C30" w:rsidRDefault="00C93C30" w:rsidP="00C93C30">
      <w:pPr>
        <w:pStyle w:val="Prrafodelista"/>
        <w:numPr>
          <w:ilvl w:val="0"/>
          <w:numId w:val="5"/>
        </w:numPr>
        <w:spacing w:line="360" w:lineRule="auto"/>
        <w:ind w:left="709" w:right="616"/>
        <w:jc w:val="both"/>
        <w:rPr>
          <w:rFonts w:ascii="Palatino Linotype" w:hAnsi="Palatino Linotype" w:cs="Arial"/>
          <w:u w:val="single"/>
        </w:rPr>
      </w:pPr>
      <w:r w:rsidRPr="00C93C30">
        <w:rPr>
          <w:rFonts w:ascii="Palatino Linotype" w:hAnsi="Palatino Linotype" w:cs="Arial"/>
        </w:rPr>
        <w:t>A</w:t>
      </w:r>
      <w:r>
        <w:rPr>
          <w:rFonts w:ascii="Palatino Linotype" w:hAnsi="Palatino Linotype" w:cs="Arial"/>
        </w:rPr>
        <w:t xml:space="preserve"> cuánto asciende dicha cantidad;</w:t>
      </w:r>
    </w:p>
    <w:p w14:paraId="5BB43865" w14:textId="77777777" w:rsidR="00C93C30" w:rsidRPr="00C93C30" w:rsidRDefault="00C93C30" w:rsidP="00C93C30">
      <w:pPr>
        <w:pStyle w:val="Prrafodelista"/>
        <w:numPr>
          <w:ilvl w:val="0"/>
          <w:numId w:val="5"/>
        </w:numPr>
        <w:spacing w:line="360" w:lineRule="auto"/>
        <w:ind w:left="709" w:right="616"/>
        <w:jc w:val="both"/>
        <w:rPr>
          <w:rFonts w:ascii="Palatino Linotype" w:hAnsi="Palatino Linotype" w:cs="Arial"/>
          <w:u w:val="single"/>
        </w:rPr>
      </w:pPr>
      <w:r>
        <w:rPr>
          <w:rFonts w:ascii="Palatino Linotype" w:hAnsi="Palatino Linotype" w:cs="Arial"/>
        </w:rPr>
        <w:t>A</w:t>
      </w:r>
      <w:r w:rsidRPr="00C93C30">
        <w:rPr>
          <w:rFonts w:ascii="Palatino Linotype" w:hAnsi="Palatino Linotype" w:cs="Arial"/>
        </w:rPr>
        <w:t>ctividades</w:t>
      </w:r>
      <w:r>
        <w:rPr>
          <w:rFonts w:ascii="Palatino Linotype" w:hAnsi="Palatino Linotype" w:cs="Arial"/>
        </w:rPr>
        <w:t xml:space="preserve"> en que se está ocupando;</w:t>
      </w:r>
    </w:p>
    <w:p w14:paraId="36D94635" w14:textId="77777777" w:rsidR="00C93C30" w:rsidRPr="00C93C30" w:rsidRDefault="00C93C30" w:rsidP="00C93C30">
      <w:pPr>
        <w:pStyle w:val="Prrafodelista"/>
        <w:numPr>
          <w:ilvl w:val="0"/>
          <w:numId w:val="5"/>
        </w:numPr>
        <w:spacing w:line="360" w:lineRule="auto"/>
        <w:ind w:left="709" w:right="616"/>
        <w:jc w:val="both"/>
        <w:rPr>
          <w:rFonts w:ascii="Palatino Linotype" w:hAnsi="Palatino Linotype" w:cs="Arial"/>
          <w:u w:val="single"/>
        </w:rPr>
      </w:pPr>
      <w:r>
        <w:rPr>
          <w:rFonts w:ascii="Palatino Linotype" w:hAnsi="Palatino Linotype" w:cs="Arial"/>
        </w:rPr>
        <w:t>Cómo se puede participar en l</w:t>
      </w:r>
      <w:r w:rsidRPr="00C93C30">
        <w:rPr>
          <w:rFonts w:ascii="Palatino Linotype" w:hAnsi="Palatino Linotype" w:cs="Arial"/>
        </w:rPr>
        <w:t>a Entidad para pr</w:t>
      </w:r>
      <w:r>
        <w:rPr>
          <w:rFonts w:ascii="Palatino Linotype" w:hAnsi="Palatino Linotype" w:cs="Arial"/>
        </w:rPr>
        <w:t>omover la salud y el deporte;</w:t>
      </w:r>
    </w:p>
    <w:p w14:paraId="4CE72447" w14:textId="5F2EA047" w:rsidR="00C93C30" w:rsidRPr="00C93C30" w:rsidRDefault="00C93C30" w:rsidP="00C93C30">
      <w:pPr>
        <w:pStyle w:val="Prrafodelista"/>
        <w:numPr>
          <w:ilvl w:val="0"/>
          <w:numId w:val="5"/>
        </w:numPr>
        <w:spacing w:line="360" w:lineRule="auto"/>
        <w:ind w:left="709" w:right="616"/>
        <w:jc w:val="both"/>
        <w:rPr>
          <w:rFonts w:ascii="Palatino Linotype" w:hAnsi="Palatino Linotype" w:cs="Arial"/>
          <w:u w:val="single"/>
        </w:rPr>
      </w:pPr>
      <w:r>
        <w:rPr>
          <w:rFonts w:ascii="Palatino Linotype" w:hAnsi="Palatino Linotype" w:cs="Arial"/>
        </w:rPr>
        <w:t>Con quien se debe</w:t>
      </w:r>
      <w:r w:rsidRPr="00C93C30">
        <w:rPr>
          <w:rFonts w:ascii="Palatino Linotype" w:hAnsi="Palatino Linotype" w:cs="Arial"/>
        </w:rPr>
        <w:t xml:space="preserve"> dirigir para </w:t>
      </w:r>
      <w:r>
        <w:rPr>
          <w:rFonts w:ascii="Palatino Linotype" w:hAnsi="Palatino Linotype" w:cs="Arial"/>
        </w:rPr>
        <w:t xml:space="preserve">la </w:t>
      </w:r>
      <w:r w:rsidRPr="00C93C30">
        <w:rPr>
          <w:rFonts w:ascii="Palatino Linotype" w:hAnsi="Palatino Linotype" w:cs="Arial"/>
        </w:rPr>
        <w:t>autori</w:t>
      </w:r>
      <w:r>
        <w:rPr>
          <w:rFonts w:ascii="Palatino Linotype" w:hAnsi="Palatino Linotype" w:cs="Arial"/>
        </w:rPr>
        <w:t>zación de</w:t>
      </w:r>
      <w:r w:rsidRPr="00C93C30">
        <w:rPr>
          <w:rFonts w:ascii="Palatino Linotype" w:hAnsi="Palatino Linotype" w:cs="Arial"/>
        </w:rPr>
        <w:t xml:space="preserve"> una plática informativa de salud y deporte con los servido</w:t>
      </w:r>
      <w:r>
        <w:rPr>
          <w:rFonts w:ascii="Palatino Linotype" w:hAnsi="Palatino Linotype" w:cs="Arial"/>
        </w:rPr>
        <w:t>res públicos que colaboran en l</w:t>
      </w:r>
      <w:r w:rsidRPr="00C93C30">
        <w:rPr>
          <w:rFonts w:ascii="Palatino Linotype" w:hAnsi="Palatino Linotype" w:cs="Arial"/>
        </w:rPr>
        <w:t>a Entidad</w:t>
      </w:r>
      <w:r>
        <w:rPr>
          <w:rFonts w:ascii="Palatino Linotype" w:hAnsi="Palatino Linotype" w:cs="Arial"/>
        </w:rPr>
        <w:t>; y</w:t>
      </w:r>
    </w:p>
    <w:p w14:paraId="772298AE" w14:textId="384087C9" w:rsidR="00C24A95" w:rsidRDefault="00C93C30" w:rsidP="0068277C">
      <w:pPr>
        <w:pStyle w:val="Prrafodelista"/>
        <w:numPr>
          <w:ilvl w:val="0"/>
          <w:numId w:val="5"/>
        </w:numPr>
        <w:spacing w:line="360" w:lineRule="auto"/>
        <w:ind w:left="851" w:right="616"/>
        <w:jc w:val="both"/>
        <w:rPr>
          <w:rFonts w:ascii="Palatino Linotype" w:hAnsi="Palatino Linotype" w:cs="Arial"/>
        </w:rPr>
      </w:pPr>
      <w:r w:rsidRPr="00C93C30">
        <w:rPr>
          <w:rFonts w:ascii="Palatino Linotype" w:hAnsi="Palatino Linotype" w:cs="Arial"/>
        </w:rPr>
        <w:t>Actividades deportivas que se promueven en la Entidad y cuál fue el procedimiento para que se autorizaran dichos proyectos</w:t>
      </w:r>
    </w:p>
    <w:p w14:paraId="1EA5F181" w14:textId="77777777" w:rsidR="00C93C30" w:rsidRPr="00C93C30" w:rsidRDefault="00C93C30" w:rsidP="00C93C30">
      <w:pPr>
        <w:pStyle w:val="Prrafodelista"/>
        <w:spacing w:line="360" w:lineRule="auto"/>
        <w:ind w:left="851" w:right="616"/>
        <w:jc w:val="both"/>
        <w:rPr>
          <w:rFonts w:ascii="Palatino Linotype" w:hAnsi="Palatino Linotype" w:cs="Arial"/>
        </w:rPr>
      </w:pPr>
    </w:p>
    <w:p w14:paraId="53E9C495" w14:textId="598D0FBF" w:rsidR="00BE1923" w:rsidRDefault="009417CA" w:rsidP="00C93C30">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C93C30">
        <w:rPr>
          <w:rFonts w:ascii="Palatino Linotype" w:hAnsi="Palatino Linotype" w:cs="Arial"/>
        </w:rPr>
        <w:t>declinó su competencia.</w:t>
      </w:r>
    </w:p>
    <w:p w14:paraId="22FCDBE8" w14:textId="77777777" w:rsidR="00C93C30" w:rsidRDefault="00C93C30" w:rsidP="00C93C30">
      <w:pPr>
        <w:pStyle w:val="Prrafodelista"/>
        <w:spacing w:line="360" w:lineRule="auto"/>
        <w:ind w:left="0"/>
        <w:jc w:val="both"/>
        <w:rPr>
          <w:rFonts w:ascii="Palatino Linotype" w:hAnsi="Palatino Linotype" w:cs="Arial"/>
        </w:rPr>
      </w:pPr>
    </w:p>
    <w:p w14:paraId="45F5E30A" w14:textId="7ED3D55B" w:rsidR="009417CA" w:rsidRDefault="009417CA" w:rsidP="00C93C30">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Inconforme con la res</w:t>
      </w:r>
      <w:r w:rsidR="00317CDA">
        <w:rPr>
          <w:rFonts w:ascii="Palatino Linotype" w:hAnsi="Palatino Linotype" w:cs="Arial"/>
        </w:rPr>
        <w:t>puesta, el solicitante interpuso</w:t>
      </w:r>
      <w:r>
        <w:rPr>
          <w:rFonts w:ascii="Palatino Linotype" w:hAnsi="Palatino Linotype" w:cs="Arial"/>
        </w:rPr>
        <w:t xml:space="preserve"> recurso de revisión, </w:t>
      </w:r>
      <w:r w:rsidR="001C1420">
        <w:rPr>
          <w:rFonts w:ascii="Palatino Linotype" w:hAnsi="Palatino Linotype" w:cs="Arial"/>
        </w:rPr>
        <w:t>inconformándose</w:t>
      </w:r>
      <w:r>
        <w:rPr>
          <w:rFonts w:ascii="Palatino Linotype" w:hAnsi="Palatino Linotype" w:cs="Arial"/>
        </w:rPr>
        <w:t xml:space="preserve"> </w:t>
      </w:r>
      <w:r w:rsidRPr="0059337F">
        <w:rPr>
          <w:rFonts w:ascii="Palatino Linotype" w:hAnsi="Palatino Linotype" w:cs="Arial"/>
          <w:i/>
        </w:rPr>
        <w:t>grosso modo</w:t>
      </w:r>
      <w:r w:rsidR="003E7EB6">
        <w:rPr>
          <w:rFonts w:ascii="Palatino Linotype" w:hAnsi="Palatino Linotype" w:cs="Arial"/>
          <w:i/>
        </w:rPr>
        <w:t xml:space="preserve"> </w:t>
      </w:r>
      <w:r w:rsidR="0039460E">
        <w:rPr>
          <w:rFonts w:ascii="Palatino Linotype" w:hAnsi="Palatino Linotype" w:cs="Arial"/>
        </w:rPr>
        <w:t>refiriendo que</w:t>
      </w:r>
      <w:r w:rsidR="00E63491">
        <w:rPr>
          <w:rFonts w:ascii="Palatino Linotype" w:hAnsi="Palatino Linotype" w:cs="Arial"/>
        </w:rPr>
        <w:t>:</w:t>
      </w:r>
      <w:r w:rsidR="0039460E">
        <w:rPr>
          <w:rFonts w:ascii="Palatino Linotype" w:hAnsi="Palatino Linotype" w:cs="Arial"/>
        </w:rPr>
        <w:t xml:space="preserve"> </w:t>
      </w:r>
      <w:r w:rsidR="0039460E" w:rsidRPr="0039460E">
        <w:rPr>
          <w:rFonts w:ascii="Palatino Linotype" w:hAnsi="Palatino Linotype" w:cs="Arial"/>
          <w:i/>
        </w:rPr>
        <w:t>“…</w:t>
      </w:r>
      <w:r w:rsidR="00C93C30" w:rsidRPr="00C93C30">
        <w:rPr>
          <w:rFonts w:ascii="Palatino Linotype" w:hAnsi="Palatino Linotype" w:cs="Arial"/>
          <w:i/>
        </w:rPr>
        <w:t xml:space="preserve">no fundan y motivan la respuesta otorgada y niegan la información </w:t>
      </w:r>
      <w:r w:rsidR="0039460E" w:rsidRPr="0039460E">
        <w:rPr>
          <w:rFonts w:ascii="Palatino Linotype" w:hAnsi="Palatino Linotype" w:cs="Arial"/>
          <w:i/>
        </w:rPr>
        <w:t>…”</w:t>
      </w:r>
    </w:p>
    <w:p w14:paraId="62598A9C" w14:textId="77777777" w:rsidR="00BE1923" w:rsidRPr="00BE1923" w:rsidRDefault="00BE1923" w:rsidP="00BE1923">
      <w:pPr>
        <w:pStyle w:val="Prrafodelista"/>
        <w:rPr>
          <w:rFonts w:ascii="Palatino Linotype" w:hAnsi="Palatino Linotype" w:cs="Arial"/>
        </w:rPr>
      </w:pPr>
    </w:p>
    <w:p w14:paraId="646B010A" w14:textId="50A1431A" w:rsidR="009417CA" w:rsidRPr="00077B62" w:rsidRDefault="009417CA" w:rsidP="00C93C30">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w:t>
      </w:r>
      <w:r>
        <w:rPr>
          <w:rFonts w:ascii="Palatino Linotype" w:eastAsia="MS Mincho" w:hAnsi="Palatino Linotype" w:cs="Arial"/>
        </w:rPr>
        <w:t>s</w:t>
      </w:r>
      <w:r w:rsidRPr="00D27C98">
        <w:rPr>
          <w:rFonts w:ascii="Palatino Linotype" w:eastAsia="MS Mincho" w:hAnsi="Palatino Linotype" w:cs="Arial"/>
        </w:rPr>
        <w:t xml:space="preserve"> causal</w:t>
      </w:r>
      <w:r>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 xml:space="preserve">as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39460E">
        <w:rPr>
          <w:rFonts w:ascii="Palatino Linotype" w:eastAsia="MS Mincho" w:hAnsi="Palatino Linotype" w:cs="Arial"/>
        </w:rPr>
        <w:t>fracciones</w:t>
      </w:r>
      <w:r>
        <w:rPr>
          <w:rFonts w:ascii="Palatino Linotype" w:eastAsia="MS Mincho" w:hAnsi="Palatino Linotype" w:cs="Arial"/>
        </w:rPr>
        <w:t xml:space="preserve"> </w:t>
      </w:r>
      <w:r w:rsidR="0039460E">
        <w:rPr>
          <w:rFonts w:ascii="Palatino Linotype" w:eastAsia="MS Mincho" w:hAnsi="Palatino Linotype" w:cs="Arial"/>
          <w:b/>
        </w:rPr>
        <w:t xml:space="preserve">V </w:t>
      </w:r>
      <w:r w:rsidR="0039460E" w:rsidRPr="0039460E">
        <w:rPr>
          <w:rFonts w:ascii="Palatino Linotype" w:eastAsia="MS Mincho" w:hAnsi="Palatino Linotype" w:cs="Arial"/>
        </w:rPr>
        <w:t>y</w:t>
      </w:r>
      <w:r w:rsidR="00C93C30">
        <w:rPr>
          <w:rFonts w:ascii="Palatino Linotype" w:eastAsia="MS Mincho" w:hAnsi="Palatino Linotype" w:cs="Arial"/>
          <w:b/>
        </w:rPr>
        <w:t xml:space="preserve"> XII</w:t>
      </w:r>
      <w:r w:rsidR="0039460E">
        <w:rPr>
          <w:rFonts w:ascii="Palatino Linotype" w:eastAsia="MS Mincho" w:hAnsi="Palatino Linotype" w:cs="Arial"/>
          <w:b/>
        </w:rPr>
        <w:t>I</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0039460E" w:rsidRPr="00D27C98">
        <w:rPr>
          <w:rFonts w:ascii="Palatino Linotype" w:hAnsi="Palatino Linotype" w:cs="Arial"/>
          <w:color w:val="000000" w:themeColor="text1"/>
        </w:rPr>
        <w:t>fraccion</w:t>
      </w:r>
      <w:r w:rsidR="0039460E">
        <w:rPr>
          <w:rFonts w:ascii="Palatino Linotype" w:hAnsi="Palatino Linotype" w:cs="Arial"/>
          <w:color w:val="000000" w:themeColor="text1"/>
        </w:rPr>
        <w:t>es</w:t>
      </w:r>
      <w:r w:rsidRPr="00D27C98">
        <w:rPr>
          <w:rFonts w:ascii="Palatino Linotype" w:hAnsi="Palatino Linotype" w:cs="Arial"/>
          <w:color w:val="000000" w:themeColor="text1"/>
        </w:rPr>
        <w:t xml:space="preserve"> que determina</w:t>
      </w:r>
      <w:r w:rsidR="0039460E">
        <w:rPr>
          <w:rFonts w:ascii="Palatino Linotype" w:hAnsi="Palatino Linotype" w:cs="Arial"/>
          <w:color w:val="000000" w:themeColor="text1"/>
        </w:rPr>
        <w:t>n</w:t>
      </w:r>
      <w:r w:rsidRPr="00D27C98">
        <w:rPr>
          <w:rFonts w:ascii="Palatino Linotype" w:hAnsi="Palatino Linotype" w:cs="Arial"/>
          <w:color w:val="000000" w:themeColor="text1"/>
        </w:rPr>
        <w:t xml:space="preserve"> la</w:t>
      </w:r>
      <w:r w:rsidR="0039460E">
        <w:rPr>
          <w:rFonts w:ascii="Palatino Linotype" w:hAnsi="Palatino Linotype" w:cs="Arial"/>
          <w:color w:val="000000" w:themeColor="text1"/>
        </w:rPr>
        <w:t>s</w:t>
      </w:r>
      <w:r w:rsidRPr="00D27C98">
        <w:rPr>
          <w:rFonts w:ascii="Palatino Linotype" w:hAnsi="Palatino Linotype" w:cs="Arial"/>
          <w:color w:val="000000" w:themeColor="text1"/>
        </w:rPr>
        <w:t xml:space="preserve"> hipótesis jurídica</w:t>
      </w:r>
      <w:r w:rsidR="0039460E">
        <w:rPr>
          <w:rFonts w:ascii="Palatino Linotype" w:hAnsi="Palatino Linotype" w:cs="Arial"/>
          <w:color w:val="000000" w:themeColor="text1"/>
        </w:rPr>
        <w:t>s</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sidR="0039460E" w:rsidRPr="0039460E">
        <w:rPr>
          <w:rFonts w:ascii="Palatino Linotype" w:hAnsi="Palatino Linotype" w:cs="Arial"/>
          <w:color w:val="000000" w:themeColor="text1"/>
        </w:rPr>
        <w:t xml:space="preserve">la entrega de información incompleta y la </w:t>
      </w:r>
      <w:r w:rsidR="00C93C30" w:rsidRPr="00C93C30">
        <w:rPr>
          <w:rFonts w:ascii="Palatino Linotype" w:hAnsi="Palatino Linotype" w:cs="Arial"/>
          <w:color w:val="000000" w:themeColor="text1"/>
        </w:rPr>
        <w:t xml:space="preserve">falta, </w:t>
      </w:r>
      <w:r w:rsidR="00C93C30" w:rsidRPr="00C93C30">
        <w:rPr>
          <w:rFonts w:ascii="Palatino Linotype" w:hAnsi="Palatino Linotype" w:cs="Arial"/>
          <w:color w:val="000000" w:themeColor="text1"/>
        </w:rPr>
        <w:lastRenderedPageBreak/>
        <w:t>deficiencia o insuficiencia de la fundamentación y/o motivación en la respuesta</w:t>
      </w:r>
      <w:r>
        <w:rPr>
          <w:rFonts w:ascii="Palatino Linotype" w:hAnsi="Palatino Linotype" w:cs="Arial"/>
          <w:color w:val="000000" w:themeColor="text1"/>
        </w:rPr>
        <w:t xml:space="preserve">, </w:t>
      </w:r>
      <w:r>
        <w:rPr>
          <w:rFonts w:ascii="Palatino Linotype" w:eastAsia="MS Mincho" w:hAnsi="Palatino Linotype" w:cs="Arial"/>
        </w:rPr>
        <w:t>causal</w:t>
      </w:r>
      <w:r w:rsidR="0039460E">
        <w:rPr>
          <w:rFonts w:ascii="Palatino Linotype" w:eastAsia="MS Mincho" w:hAnsi="Palatino Linotype" w:cs="Arial"/>
        </w:rPr>
        <w:t>es</w:t>
      </w:r>
      <w:r>
        <w:rPr>
          <w:rFonts w:ascii="Palatino Linotype" w:eastAsia="MS Mincho" w:hAnsi="Palatino Linotype" w:cs="Arial"/>
        </w:rPr>
        <w:t xml:space="preserve"> de la</w:t>
      </w:r>
      <w:r w:rsidR="0039460E">
        <w:rPr>
          <w:rFonts w:ascii="Palatino Linotype" w:eastAsia="MS Mincho" w:hAnsi="Palatino Linotype" w:cs="Arial"/>
        </w:rPr>
        <w:t>s</w:t>
      </w:r>
      <w:r>
        <w:rPr>
          <w:rFonts w:ascii="Palatino Linotype" w:eastAsia="MS Mincho" w:hAnsi="Palatino Linotype" w:cs="Arial"/>
        </w:rPr>
        <w:t xml:space="preserve">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w:t>
      </w:r>
      <w:r w:rsidR="0039460E">
        <w:rPr>
          <w:rFonts w:ascii="Palatino Linotype" w:hAnsi="Palatino Linotype"/>
          <w:color w:val="000000" w:themeColor="text1"/>
        </w:rPr>
        <w:t>s</w:t>
      </w:r>
      <w:r w:rsidRPr="00D27C98">
        <w:rPr>
          <w:rFonts w:ascii="Palatino Linotype" w:hAnsi="Palatino Linotype"/>
          <w:color w:val="000000" w:themeColor="text1"/>
        </w:rPr>
        <w:t xml:space="preserve"> causa</w:t>
      </w:r>
      <w:r>
        <w:rPr>
          <w:rFonts w:ascii="Palatino Linotype" w:hAnsi="Palatino Linotype"/>
          <w:color w:val="000000" w:themeColor="text1"/>
        </w:rPr>
        <w:t>l</w:t>
      </w:r>
      <w:r w:rsidR="0039460E">
        <w:rPr>
          <w:rFonts w:ascii="Palatino Linotype" w:hAnsi="Palatino Linotype"/>
          <w:color w:val="000000" w:themeColor="text1"/>
        </w:rPr>
        <w:t>es</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2E01F487" w:rsidR="009417CA" w:rsidRPr="00EA7E3D" w:rsidRDefault="00C76CBA" w:rsidP="00BE1923">
      <w:pPr>
        <w:pStyle w:val="Ttulo1"/>
        <w:spacing w:before="0" w:line="360" w:lineRule="auto"/>
        <w:rPr>
          <w:rFonts w:ascii="Palatino Linotype" w:hAnsi="Palatino Linotype"/>
          <w:b/>
          <w:color w:val="000000" w:themeColor="text1"/>
          <w:sz w:val="24"/>
        </w:rPr>
      </w:pPr>
      <w:bookmarkStart w:id="223" w:name="_Toc495427545"/>
      <w:bookmarkStart w:id="224" w:name="_Toc23414596"/>
      <w:bookmarkStart w:id="225" w:name="_Toc34819433"/>
      <w:bookmarkStart w:id="226" w:name="_Toc51259589"/>
      <w:bookmarkStart w:id="227" w:name="_Toc52472142"/>
      <w:bookmarkStart w:id="228" w:name="_Toc54808041"/>
      <w:bookmarkStart w:id="229" w:name="_Toc74778599"/>
      <w:bookmarkStart w:id="230" w:name="_Toc86947367"/>
      <w:r>
        <w:rPr>
          <w:rFonts w:ascii="Palatino Linotype" w:hAnsi="Palatino Linotype"/>
          <w:b/>
          <w:color w:val="000000" w:themeColor="text1"/>
          <w:sz w:val="24"/>
        </w:rPr>
        <w:t>CUAR</w:t>
      </w:r>
      <w:r w:rsidR="00822012" w:rsidRPr="00E34993">
        <w:rPr>
          <w:rFonts w:ascii="Palatino Linotype" w:hAnsi="Palatino Linotype"/>
          <w:b/>
          <w:color w:val="000000" w:themeColor="text1"/>
          <w:sz w:val="24"/>
        </w:rPr>
        <w:t>T</w:t>
      </w:r>
      <w:r w:rsidR="009417CA" w:rsidRPr="00E34993">
        <w:rPr>
          <w:rFonts w:ascii="Palatino Linotype" w:hAnsi="Palatino Linotype"/>
          <w:b/>
          <w:color w:val="000000" w:themeColor="text1"/>
          <w:sz w:val="24"/>
        </w:rPr>
        <w:t>O. Del estudio y resolución del asunto.</w:t>
      </w:r>
      <w:bookmarkEnd w:id="223"/>
      <w:bookmarkEnd w:id="224"/>
      <w:bookmarkEnd w:id="225"/>
      <w:bookmarkEnd w:id="226"/>
      <w:bookmarkEnd w:id="227"/>
      <w:bookmarkEnd w:id="228"/>
      <w:bookmarkEnd w:id="229"/>
      <w:bookmarkEnd w:id="230"/>
    </w:p>
    <w:p w14:paraId="149F90C6" w14:textId="77777777" w:rsidR="0039460E" w:rsidRPr="0039460E" w:rsidRDefault="0039460E" w:rsidP="0039460E">
      <w:pPr>
        <w:rPr>
          <w:lang w:eastAsia="en-US"/>
        </w:rPr>
      </w:pPr>
    </w:p>
    <w:p w14:paraId="027D0966"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Primeramente es menester precisar</w:t>
      </w:r>
      <w:r w:rsidRPr="00DA2D95">
        <w:rPr>
          <w:rFonts w:ascii="Palatino Linotype" w:hAnsi="Palatino Linotype"/>
          <w:bCs/>
          <w:color w:val="000000" w:themeColor="text1"/>
          <w:lang w:val="es-MX"/>
        </w:rPr>
        <w:t xml:space="preserve"> que </w:t>
      </w:r>
      <w:r w:rsidRPr="00DA2D95">
        <w:rPr>
          <w:rFonts w:ascii="Palatino Linotype" w:hAnsi="Palatino Linotype"/>
          <w:bCs/>
          <w:color w:val="000000" w:themeColor="text1"/>
        </w:rPr>
        <w:t xml:space="preserve">este Órgano Garante parte del hecho que el Derecho de </w:t>
      </w:r>
      <w:r w:rsidRPr="00736D1C">
        <w:rPr>
          <w:rFonts w:ascii="Palatino Linotype" w:eastAsia="MS Mincho" w:hAnsi="Palatino Linotype" w:cs="Arial"/>
        </w:rPr>
        <w:t>Acceso</w:t>
      </w:r>
      <w:r w:rsidRPr="00DA2D95">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2D95">
        <w:rPr>
          <w:rFonts w:ascii="Palatino Linotype" w:hAnsi="Palatino Linotype"/>
          <w:b/>
          <w:bCs/>
          <w:color w:val="000000" w:themeColor="text1"/>
        </w:rPr>
        <w:t xml:space="preserve">Constitución Política de los Estados Unidos Mexicanos </w:t>
      </w:r>
      <w:r w:rsidRPr="00DA2D95">
        <w:rPr>
          <w:rFonts w:ascii="Palatino Linotype" w:hAnsi="Palatino Linotype"/>
          <w:bCs/>
          <w:color w:val="000000" w:themeColor="text1"/>
        </w:rPr>
        <w:t xml:space="preserve">al señalar la obligación de “promover, </w:t>
      </w:r>
      <w:r w:rsidRPr="003F507A">
        <w:rPr>
          <w:rFonts w:ascii="Palatino Linotype" w:hAnsi="Palatino Linotype"/>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11DE4FB2" w14:textId="77777777" w:rsidR="00C93C30" w:rsidRPr="0055159A"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lang w:val="es-MX"/>
        </w:rPr>
        <w:t xml:space="preserve">lo anterior, se deduce que el derecho de acceso a la información pública es un </w:t>
      </w:r>
      <w:r w:rsidRPr="00736D1C">
        <w:rPr>
          <w:rFonts w:ascii="Palatino Linotype" w:hAnsi="Palatino Linotype"/>
          <w:color w:val="000000" w:themeColor="text1"/>
        </w:rPr>
        <w:t>derecho</w:t>
      </w:r>
      <w:r w:rsidRPr="00DA2D95">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736D1C" w:rsidRDefault="00C93C30" w:rsidP="00C93C30">
      <w:pPr>
        <w:pStyle w:val="Prrafodelista"/>
        <w:rPr>
          <w:rFonts w:ascii="Palatino Linotype" w:hAnsi="Palatino Linotype"/>
          <w:color w:val="000000" w:themeColor="text1"/>
        </w:rPr>
      </w:pPr>
    </w:p>
    <w:p w14:paraId="289871E1"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lang w:val="es-MX"/>
        </w:rPr>
        <w:t xml:space="preserve">podemos definir el Derecho de Acceso a la Información Pública como: </w:t>
      </w:r>
      <w:r w:rsidRPr="00DA2D95">
        <w:rPr>
          <w:rFonts w:ascii="Palatino Linotype" w:hAnsi="Palatino Linotype"/>
          <w:i/>
          <w:color w:val="000000" w:themeColor="text1"/>
          <w:lang w:val="es-MX"/>
        </w:rPr>
        <w:t>La igualdad de oportunidades para recibir, buscar e impartir información</w:t>
      </w:r>
      <w:r w:rsidRPr="00DA2D95">
        <w:rPr>
          <w:rFonts w:ascii="Palatino Linotype" w:hAnsi="Palatino Linotype"/>
          <w:i/>
          <w:color w:val="000000" w:themeColor="text1"/>
          <w:vertAlign w:val="superscript"/>
          <w:lang w:val="es-MX"/>
        </w:rPr>
        <w:footnoteReference w:id="1"/>
      </w:r>
      <w:r w:rsidRPr="00DA2D95">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lang w:val="es-MX"/>
        </w:rPr>
        <w:footnoteReference w:id="2"/>
      </w:r>
      <w:r w:rsidRPr="00DA2D95">
        <w:rPr>
          <w:rFonts w:ascii="Palatino Linotype" w:hAnsi="Palatino Linotype"/>
          <w:color w:val="000000" w:themeColor="text1"/>
          <w:lang w:val="es-MX"/>
        </w:rPr>
        <w:t>que se constituye como una herramienta fundamental para ejercer</w:t>
      </w:r>
      <w:r w:rsidRPr="00DA2D95">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lang w:val="es-MX"/>
        </w:rPr>
        <w:footnoteReference w:id="3"/>
      </w:r>
      <w:r w:rsidRPr="00DA2D95">
        <w:rPr>
          <w:rFonts w:ascii="Palatino Linotype" w:hAnsi="Palatino Linotype"/>
          <w:i/>
          <w:color w:val="000000" w:themeColor="text1"/>
          <w:lang w:val="es-MX"/>
        </w:rPr>
        <w:t xml:space="preserve"> </w:t>
      </w:r>
      <w:r w:rsidRPr="00DA2D95">
        <w:rPr>
          <w:rFonts w:ascii="Palatino Linotype" w:hAnsi="Palatino Linotype"/>
          <w:color w:val="000000" w:themeColor="text1"/>
          <w:lang w:val="es-MX"/>
        </w:rPr>
        <w:t>fomentando</w:t>
      </w:r>
      <w:r w:rsidRPr="00DA2D95">
        <w:rPr>
          <w:rFonts w:ascii="Palatino Linotype" w:hAnsi="Palatino Linotype"/>
          <w:i/>
          <w:color w:val="000000" w:themeColor="text1"/>
          <w:lang w:val="es-MX"/>
        </w:rPr>
        <w:t xml:space="preserve"> la transparencia de las actividades estatales y </w:t>
      </w:r>
      <w:r w:rsidRPr="00DA2D95">
        <w:rPr>
          <w:rFonts w:ascii="Palatino Linotype" w:hAnsi="Palatino Linotype"/>
          <w:color w:val="000000" w:themeColor="text1"/>
          <w:lang w:val="es-MX"/>
        </w:rPr>
        <w:t>promoviendo</w:t>
      </w:r>
      <w:r w:rsidRPr="00DA2D95">
        <w:rPr>
          <w:rFonts w:ascii="Palatino Linotype" w:hAnsi="Palatino Linotype"/>
          <w:i/>
          <w:color w:val="000000" w:themeColor="text1"/>
          <w:lang w:val="es-MX"/>
        </w:rPr>
        <w:t xml:space="preserve"> la responsabilidad de los funcionarios sobre su gestión pública,</w:t>
      </w:r>
      <w:r w:rsidRPr="00DA2D95">
        <w:rPr>
          <w:rFonts w:ascii="Palatino Linotype" w:hAnsi="Palatino Linotype"/>
          <w:i/>
          <w:color w:val="000000" w:themeColor="text1"/>
          <w:vertAlign w:val="superscript"/>
          <w:lang w:val="es-MX"/>
        </w:rPr>
        <w:footnoteReference w:id="4"/>
      </w:r>
      <w:r w:rsidRPr="00DA2D95">
        <w:rPr>
          <w:rFonts w:ascii="Palatino Linotype" w:hAnsi="Palatino Linotype"/>
          <w:color w:val="000000" w:themeColor="text1"/>
          <w:lang w:val="es-MX"/>
        </w:rPr>
        <w:t>que permite</w:t>
      </w:r>
      <w:r w:rsidRPr="00DA2D9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736D1C" w:rsidRDefault="00C93C30" w:rsidP="00C93C30">
      <w:pPr>
        <w:pStyle w:val="Prrafodelista"/>
        <w:rPr>
          <w:rFonts w:ascii="Palatino Linotype" w:hAnsi="Palatino Linotype"/>
          <w:color w:val="000000" w:themeColor="text1"/>
        </w:rPr>
      </w:pPr>
    </w:p>
    <w:p w14:paraId="1AB2137B" w14:textId="77777777" w:rsidR="00C93C30" w:rsidRPr="00736D1C"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w:t>
      </w:r>
      <w:r w:rsidRPr="0055159A">
        <w:rPr>
          <w:rFonts w:ascii="Palatino Linotype" w:hAnsi="Palatino Linotype"/>
          <w:color w:val="000000" w:themeColor="text1"/>
          <w:lang w:val="es-MX"/>
        </w:rPr>
        <w:lastRenderedPageBreak/>
        <w:t>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C0B8F16" w14:textId="77777777" w:rsidR="00C93C30" w:rsidRDefault="00C93C30" w:rsidP="00C93C30">
      <w:pPr>
        <w:pStyle w:val="Prrafodelista"/>
        <w:spacing w:line="360" w:lineRule="auto"/>
        <w:ind w:left="502"/>
        <w:jc w:val="both"/>
        <w:rPr>
          <w:rFonts w:ascii="Palatino Linotype" w:eastAsia="MS Mincho" w:hAnsi="Palatino Linotype" w:cs="Arial"/>
        </w:rPr>
      </w:pPr>
    </w:p>
    <w:p w14:paraId="467661DF" w14:textId="38D09F27" w:rsidR="00C93C30" w:rsidRDefault="0039460E" w:rsidP="00C93C30">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Primeramente es dable señalar que el hoy </w:t>
      </w:r>
      <w:r>
        <w:rPr>
          <w:rFonts w:ascii="Palatino Linotype" w:eastAsia="MS Mincho" w:hAnsi="Palatino Linotype" w:cs="Arial"/>
          <w:b/>
        </w:rPr>
        <w:t>RECURRENTE</w:t>
      </w:r>
      <w:r>
        <w:rPr>
          <w:rFonts w:ascii="Palatino Linotype" w:eastAsia="MS Mincho" w:hAnsi="Palatino Linotype" w:cs="Arial"/>
        </w:rPr>
        <w:t xml:space="preserve"> en su </w:t>
      </w:r>
      <w:r w:rsidR="00A209DB">
        <w:rPr>
          <w:rFonts w:ascii="Palatino Linotype" w:eastAsia="MS Mincho" w:hAnsi="Palatino Linotype" w:cs="Arial"/>
        </w:rPr>
        <w:t>solicitud de información</w:t>
      </w:r>
      <w:r w:rsidR="00C93C30">
        <w:rPr>
          <w:rFonts w:ascii="Palatino Linotype" w:eastAsia="MS Mincho" w:hAnsi="Palatino Linotype" w:cs="Arial"/>
        </w:rPr>
        <w:t xml:space="preserve"> en materia de </w:t>
      </w:r>
      <w:r w:rsidR="00C93C30" w:rsidRPr="00FE6B70">
        <w:rPr>
          <w:rFonts w:ascii="Palatino Linotype" w:eastAsia="MS Mincho" w:hAnsi="Palatino Linotype" w:cs="Arial"/>
          <w:b/>
        </w:rPr>
        <w:t>salud, deporte y recreación en esta Entidad</w:t>
      </w:r>
      <w:r w:rsidR="00C93C30">
        <w:rPr>
          <w:rFonts w:ascii="Palatino Linotype" w:eastAsia="MS Mincho" w:hAnsi="Palatino Linotype" w:cs="Arial"/>
        </w:rPr>
        <w:t>; es decir el Estado de México. En ese contexto el sujeto obligado al que se dirige la solicitud ciertamente es incompetente por las siguientes consideraciones.</w:t>
      </w:r>
    </w:p>
    <w:p w14:paraId="36765F21" w14:textId="77777777" w:rsidR="00C93C30" w:rsidRPr="00C93C30" w:rsidRDefault="00C93C30" w:rsidP="00C93C30">
      <w:pPr>
        <w:pStyle w:val="Prrafodelista"/>
        <w:rPr>
          <w:rFonts w:ascii="Palatino Linotype" w:eastAsia="MS Mincho" w:hAnsi="Palatino Linotype" w:cs="Arial"/>
        </w:rPr>
      </w:pPr>
    </w:p>
    <w:p w14:paraId="72D9A063" w14:textId="549752A1" w:rsidR="00C93C30" w:rsidRDefault="00C93C30" w:rsidP="00C93C30">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La </w:t>
      </w:r>
      <w:r w:rsidRPr="00C93C30">
        <w:rPr>
          <w:rFonts w:ascii="Palatino Linotype" w:eastAsia="MS Mincho" w:hAnsi="Palatino Linotype" w:cs="Arial"/>
        </w:rPr>
        <w:t xml:space="preserve">Ley Orgánica </w:t>
      </w:r>
      <w:r>
        <w:rPr>
          <w:rFonts w:ascii="Palatino Linotype" w:eastAsia="MS Mincho" w:hAnsi="Palatino Linotype" w:cs="Arial"/>
        </w:rPr>
        <w:t>de la Administración Pública del Estado d</w:t>
      </w:r>
      <w:r w:rsidRPr="00C93C30">
        <w:rPr>
          <w:rFonts w:ascii="Palatino Linotype" w:eastAsia="MS Mincho" w:hAnsi="Palatino Linotype" w:cs="Arial"/>
        </w:rPr>
        <w:t>e México</w:t>
      </w:r>
      <w:r>
        <w:rPr>
          <w:rFonts w:ascii="Palatino Linotype" w:eastAsia="MS Mincho" w:hAnsi="Palatino Linotype" w:cs="Arial"/>
        </w:rPr>
        <w:t>, establece lo siguiente:</w:t>
      </w:r>
    </w:p>
    <w:p w14:paraId="177DEA6F" w14:textId="77777777" w:rsidR="00C93C30" w:rsidRDefault="00C93C30" w:rsidP="00C93C30">
      <w:pPr>
        <w:pStyle w:val="Prrafodelista"/>
        <w:spacing w:line="360" w:lineRule="auto"/>
        <w:ind w:left="0"/>
        <w:jc w:val="both"/>
        <w:rPr>
          <w:rFonts w:ascii="Palatino Linotype" w:eastAsia="MS Mincho" w:hAnsi="Palatino Linotype" w:cs="Arial"/>
        </w:rPr>
      </w:pPr>
    </w:p>
    <w:p w14:paraId="2D71A781" w14:textId="15670BDF"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b/>
          <w:i/>
        </w:rPr>
        <w:t>“Artículo 19.-</w:t>
      </w:r>
      <w:r w:rsidRPr="00C93C30">
        <w:rPr>
          <w:rFonts w:ascii="Palatino Linotype" w:eastAsia="MS Mincho" w:hAnsi="Palatino Linotype" w:cs="Arial"/>
          <w:i/>
        </w:rPr>
        <w:t xml:space="preserve"> Para el estudio, planeación y despacho de los asuntos, en los diversos ramos de la Administración Pública del Estado, auxiliarán al Titular del Ejecutivo, las siguientes dependencias:</w:t>
      </w:r>
    </w:p>
    <w:p w14:paraId="7C33DA13" w14:textId="7777777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w:t>
      </w:r>
    </w:p>
    <w:p w14:paraId="6C41FF6A" w14:textId="7777777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 xml:space="preserve">II. </w:t>
      </w:r>
      <w:r w:rsidRPr="00C93C30">
        <w:rPr>
          <w:rFonts w:ascii="Palatino Linotype" w:eastAsia="MS Mincho" w:hAnsi="Palatino Linotype" w:cs="Arial"/>
          <w:b/>
          <w:i/>
        </w:rPr>
        <w:t>Secretaría de Seguridad</w:t>
      </w:r>
    </w:p>
    <w:p w14:paraId="3AF070BB" w14:textId="16F02B79"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w:t>
      </w:r>
    </w:p>
    <w:p w14:paraId="35218D14" w14:textId="77777777" w:rsidR="00C93C30" w:rsidRPr="00C93C30" w:rsidRDefault="00C93C30" w:rsidP="00C93C30">
      <w:pPr>
        <w:pStyle w:val="Prrafodelista"/>
        <w:spacing w:line="360" w:lineRule="auto"/>
        <w:ind w:left="426" w:right="474"/>
        <w:jc w:val="both"/>
        <w:rPr>
          <w:rFonts w:ascii="Palatino Linotype" w:eastAsia="MS Mincho" w:hAnsi="Palatino Linotype" w:cs="Arial"/>
          <w:i/>
        </w:rPr>
      </w:pPr>
    </w:p>
    <w:p w14:paraId="7EB5100F" w14:textId="2F359EBA" w:rsidR="00C93C30" w:rsidRPr="00C93C30" w:rsidRDefault="00C93C30" w:rsidP="00C93C30">
      <w:pPr>
        <w:pStyle w:val="Prrafodelista"/>
        <w:spacing w:line="360" w:lineRule="auto"/>
        <w:ind w:left="426" w:right="474"/>
        <w:jc w:val="both"/>
        <w:rPr>
          <w:rFonts w:ascii="Palatino Linotype" w:eastAsia="MS Mincho" w:hAnsi="Palatino Linotype" w:cs="Arial"/>
          <w:b/>
          <w:i/>
        </w:rPr>
      </w:pPr>
      <w:r w:rsidRPr="00C93C30">
        <w:rPr>
          <w:rFonts w:ascii="Palatino Linotype" w:eastAsia="MS Mincho" w:hAnsi="Palatino Linotype" w:cs="Arial"/>
          <w:i/>
        </w:rPr>
        <w:lastRenderedPageBreak/>
        <w:t>“</w:t>
      </w:r>
      <w:r w:rsidRPr="00C93C30">
        <w:rPr>
          <w:rFonts w:ascii="Palatino Linotype" w:eastAsia="MS Mincho" w:hAnsi="Palatino Linotype" w:cs="Arial"/>
          <w:b/>
          <w:i/>
        </w:rPr>
        <w:t>Artículo 21 Bis.</w:t>
      </w:r>
      <w:r w:rsidRPr="00C93C30">
        <w:rPr>
          <w:rFonts w:ascii="Palatino Linotype" w:eastAsia="MS Mincho" w:hAnsi="Palatino Linotype" w:cs="Arial"/>
          <w:i/>
        </w:rPr>
        <w:t xml:space="preserve"> </w:t>
      </w:r>
      <w:r w:rsidRPr="00C93C30">
        <w:rPr>
          <w:rFonts w:ascii="Palatino Linotype" w:eastAsia="MS Mincho" w:hAnsi="Palatino Linotype" w:cs="Arial"/>
          <w:b/>
          <w:i/>
        </w:rPr>
        <w:t>La Secretaría de Seguridad es la dependencia encargada de planear, formular, conducir, coordinar, ejecutar, supervisar y evaluar las políticas, programas y acciones en materia de seguridad pública.</w:t>
      </w:r>
    </w:p>
    <w:p w14:paraId="03360EAE" w14:textId="7777777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b/>
          <w:i/>
        </w:rPr>
        <w:t>A la Secretaría le corresponde el despacho de los siguientes asuntos</w:t>
      </w:r>
      <w:r w:rsidRPr="00C93C30">
        <w:rPr>
          <w:rFonts w:ascii="Palatino Linotype" w:eastAsia="MS Mincho" w:hAnsi="Palatino Linotype" w:cs="Arial"/>
          <w:i/>
        </w:rPr>
        <w:t>:</w:t>
      </w:r>
    </w:p>
    <w:p w14:paraId="1BE0812A" w14:textId="0DF4671F"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I. Transmitir y ejecutar los acuerdos y demás disposiciones que instruya el Gobernador del Estado en materia de seguridad y fuerza pública;</w:t>
      </w:r>
    </w:p>
    <w:p w14:paraId="66586F34" w14:textId="3A9192CA"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II. Dictar las disposiciones necesarias para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w:t>
      </w:r>
      <w:r>
        <w:rPr>
          <w:rFonts w:ascii="Palatino Linotype" w:eastAsia="MS Mincho" w:hAnsi="Palatino Linotype" w:cs="Arial"/>
          <w:i/>
        </w:rPr>
        <w:t xml:space="preserve"> </w:t>
      </w:r>
      <w:r w:rsidRPr="00C93C30">
        <w:rPr>
          <w:rFonts w:ascii="Palatino Linotype" w:eastAsia="MS Mincho" w:hAnsi="Palatino Linotype" w:cs="Arial"/>
          <w:i/>
        </w:rPr>
        <w:t>así lo soliciten, así como concurrir, en términos de la ley, con las autoridades en casos de siniestro o desastre;</w:t>
      </w:r>
    </w:p>
    <w:p w14:paraId="78BE8E77" w14:textId="682BD83E"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III. Impulsar mecanismos para garantizar la participación de la ciudadanía en el diseño de las políticas de seguridad pública;</w:t>
      </w:r>
    </w:p>
    <w:p w14:paraId="74CD30D0" w14:textId="1011430B"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IV. Impulsar mecanismos que garanticen la participación social y ciudadana en la vigilancia del desarrollo de las actividades en materia de seguridad pública;</w:t>
      </w:r>
    </w:p>
    <w:p w14:paraId="7ED6970A" w14:textId="7777777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V. Realizar la investigación para la prevención de los delitos;</w:t>
      </w:r>
    </w:p>
    <w:p w14:paraId="453C7EBA" w14:textId="682B73AA"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VI. Elaborar y ejecutar los programas de reinserción social de los sentenciados y reintegración social para adolescentes;</w:t>
      </w:r>
    </w:p>
    <w:p w14:paraId="25CC4D95" w14:textId="0A63FD9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 xml:space="preserve">VII. 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instrumentar y coordinar acciones y </w:t>
      </w:r>
      <w:r w:rsidRPr="00C93C30">
        <w:rPr>
          <w:rFonts w:ascii="Palatino Linotype" w:eastAsia="MS Mincho" w:hAnsi="Palatino Linotype" w:cs="Arial"/>
          <w:i/>
        </w:rPr>
        <w:lastRenderedPageBreak/>
        <w:t>procedimientos para la planeación, obtención, procesamiento y aprovechamiento de información de inteligencia para tales efectos;</w:t>
      </w:r>
    </w:p>
    <w:p w14:paraId="10ACB721" w14:textId="64D72A30"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VIII.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w:t>
      </w:r>
    </w:p>
    <w:p w14:paraId="33D31A5C" w14:textId="48C2652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IX. Ejercer el mando directo de la policía procesal que realice los traslados de imputados de las áreas de espera de detenidos puestos a disposición del juez para audiencia;</w:t>
      </w:r>
    </w:p>
    <w:p w14:paraId="44A704B4" w14:textId="7777777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 Resguardar a los imputados en las audiencias bajo el mando de los jueces;</w:t>
      </w:r>
    </w:p>
    <w:p w14:paraId="0764C11A" w14:textId="325A7500"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 xml:space="preserve">XI. Auxiliar a la autoridad de vigilancia de las medidas cautelares, de las obligaciones </w:t>
      </w:r>
      <w:proofErr w:type="spellStart"/>
      <w:r w:rsidRPr="00C93C30">
        <w:rPr>
          <w:rFonts w:ascii="Palatino Linotype" w:eastAsia="MS Mincho" w:hAnsi="Palatino Linotype" w:cs="Arial"/>
          <w:i/>
        </w:rPr>
        <w:t>suspensionales</w:t>
      </w:r>
      <w:proofErr w:type="spellEnd"/>
      <w:r w:rsidRPr="00C93C30">
        <w:rPr>
          <w:rFonts w:ascii="Palatino Linotype" w:eastAsia="MS Mincho" w:hAnsi="Palatino Linotype" w:cs="Arial"/>
          <w:i/>
        </w:rPr>
        <w:t>, así como a la autoridad de reinserción social en la vigilancia de los sentenciados con sustitutivo penal o sujetos a libertad anticipada;</w:t>
      </w:r>
    </w:p>
    <w:p w14:paraId="504FA9A7" w14:textId="2CD6BAA6"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XII. Aplicar los protocolos nacionales autorizados por el Consejo Nacional de Seguridad Pública, así como los emitidos por la Fiscalía General de Justicia en materia de investigación y persecución de los delitos;</w:t>
      </w:r>
    </w:p>
    <w:p w14:paraId="3AB4F953" w14:textId="6D85CB40"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XIII. Impulsar la coordinación de las instituciones policiales y proponer, en el ámbito de sus facultades, la adopción y aplicación de políticas y programas de cooperación en materia de seguridad pública, con la Federación, las entidades federativas y los municipios;</w:t>
      </w:r>
    </w:p>
    <w:p w14:paraId="30303BEB" w14:textId="063E16C0"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XIV. Promover la formación, capacitación, profesionalización, actualización, adiestramiento y especialización de las instituciones policiales;</w:t>
      </w:r>
    </w:p>
    <w:p w14:paraId="45778023" w14:textId="7777777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XV. Coordinar la evaluación del funcionamiento de la seguridad pública;</w:t>
      </w:r>
    </w:p>
    <w:p w14:paraId="6253AB61" w14:textId="49F9C825"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lastRenderedPageBreak/>
        <w:t>XVI. Participar, en coordinación con la Fiscalía General de Justicia, en la elaboración de diagnósticos y estrategias de política criminal;</w:t>
      </w:r>
    </w:p>
    <w:p w14:paraId="1698DD6B" w14:textId="61D23198"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XVII. Autorizar, coordinar, controlar y supervisar los servicios de seguridad pública y privada, de conformidad con las normas aplicables;</w:t>
      </w:r>
    </w:p>
    <w:p w14:paraId="76C91C0C" w14:textId="0F125F65"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XVIII. Coordinar y prestar los servicios de seguridad pública, vigilancia y protección regional en caminos y carreteras estatales o vías primarias, carriles confinados, terminales y estaciones del sistema de transporte masivo y teleférico, zonas rurales, áreas de recreo y turísticas de competencia estatal; así como las instalaciones estratégicas del Estado;</w:t>
      </w:r>
    </w:p>
    <w:p w14:paraId="444C1366" w14:textId="5B196896"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XIX. Establecer y vigilar la operación de los procedimientos de administración, seguridad, control, vigilancia y apoyo logístico del sistema penitenciario;</w:t>
      </w:r>
    </w:p>
    <w:p w14:paraId="6334A04A" w14:textId="024EE759"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 Administrar los centros de reinserción social y tramitar las solicitudes de libertad anticipada y traslado de internos, así como supervisar a los sentenciados con sustitutivos o beneficios de libertad anticipada;</w:t>
      </w:r>
    </w:p>
    <w:p w14:paraId="23F420F1" w14:textId="39674708"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XXI. Vigilar el establecimiento de instituciones para internamiento y la aplicación de la normatividad en materia de justicia para adolescentes;</w:t>
      </w:r>
    </w:p>
    <w:p w14:paraId="69BD02C3" w14:textId="4301E0E4"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XXII. Ejecutar las políticas, lineamientos y acciones de su competencia, previstos en los convenios de coordinación suscritos por el Estado de México en el marco del Sistema Nacional de Seguridad Pública, así como los derivados de los acuerdos y resoluciones del Consejo Nacional de Seguridad Pública y demás instancias de coordinación que correspondan;</w:t>
      </w:r>
    </w:p>
    <w:p w14:paraId="4B03C6F2" w14:textId="16861075"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XXIII. Establecer mecanismos de coordinación con el Secretariado Ejecutivo del Sistema Estatal de Seguridad Pública;</w:t>
      </w:r>
    </w:p>
    <w:p w14:paraId="4C24474E" w14:textId="399D0A6A"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lastRenderedPageBreak/>
        <w:t>XXIV. Colaborar, cuando así lo soliciten otras instituciones del Estado, federales, municipales o de la Ciudad de México competentes en la protección de la integridad, derechos y patrimonio de las personas, en situaciones de peligro, cuando se vean amenazadas por disturbios u otras situaciones que impliquen violencia o riesgo inminente en el mantenimiento y restablecimiento de la paz y orden públicos, así como intervenir, en el ámbito de su competencia, en materia de portación de armas y explosivos;</w:t>
      </w:r>
    </w:p>
    <w:p w14:paraId="6A6F7B28" w14:textId="7262FF01"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XXV. Establecer, integrar, supervisar, utilizar y mantener actualizados los instrumentos de información del Sistema Nacional de Seguridad Pública que le competan, mediante las bases de datos en materia de seguridad pública correspondientes;</w:t>
      </w:r>
    </w:p>
    <w:p w14:paraId="63D83C79" w14:textId="07FDE346"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XXVI. Organizar, dirigir y administrar la recepción y transferencia de los reportes sobre emergencias, infracciones y delitos;</w:t>
      </w:r>
    </w:p>
    <w:p w14:paraId="5C90A578" w14:textId="77A1A15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XXVII. Coordinar planes y operativos para la defensa y protección del medio ambiente, a fin de preservar y salvaguardar los recursos naturales de la entidad;</w:t>
      </w:r>
    </w:p>
    <w:p w14:paraId="1CCCD0ED" w14:textId="2DC4D2AD"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XXVIII. Retirar los vehículos abandonados en la infraestructura vial y remitirlos al depósito vehicular más cercano;</w:t>
      </w:r>
    </w:p>
    <w:p w14:paraId="75C40506" w14:textId="2C381347"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XXIX. Compartir las bases de datos e información de que disponga en materia delictiva para la consolidación de una plataforma única de información preventiva y para la investigación de los delitos.</w:t>
      </w:r>
    </w:p>
    <w:p w14:paraId="691F9F2D" w14:textId="59FBEA2C"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Para efectos de lo dispuesto en esta fracción, todas las autoridades del gobierno del Estado de México y de los municipios deben aportar sus bases de datos para la consolidación de una plataforma única de información para la prevención e investigación de los delitos.</w:t>
      </w:r>
    </w:p>
    <w:p w14:paraId="5F1299ED" w14:textId="0F131A5C"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lastRenderedPageBreak/>
        <w:t>Los niveles de acceso y características de la plataforma serán definidos en los protocolos de seguridad y en materia de investigación que emitan el Secretario y el Fiscal General, y</w:t>
      </w:r>
    </w:p>
    <w:p w14:paraId="308FF954" w14:textId="37FA8424" w:rsidR="00C93C30" w:rsidRP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XXX. Coordinar e instrumentar las actividades en materia de control de confianza de los cuerpos de seguridad pública y privada estatales; y</w:t>
      </w:r>
    </w:p>
    <w:p w14:paraId="1B89044D" w14:textId="50F6B5BF" w:rsidR="00C93C30" w:rsidRDefault="00C93C30" w:rsidP="00C93C30">
      <w:pPr>
        <w:pStyle w:val="Prrafodelista"/>
        <w:spacing w:line="360" w:lineRule="auto"/>
        <w:ind w:left="426" w:right="474"/>
        <w:jc w:val="both"/>
        <w:rPr>
          <w:rFonts w:ascii="Palatino Linotype" w:eastAsia="MS Mincho" w:hAnsi="Palatino Linotype" w:cs="Arial"/>
          <w:i/>
        </w:rPr>
      </w:pPr>
      <w:r w:rsidRPr="00C93C30">
        <w:rPr>
          <w:rFonts w:ascii="Palatino Linotype" w:eastAsia="MS Mincho" w:hAnsi="Palatino Linotype" w:cs="Arial"/>
          <w:i/>
        </w:rPr>
        <w:t>XXXI. Las demás que le señalen otros ordenamientos jurídicos.”</w:t>
      </w:r>
    </w:p>
    <w:p w14:paraId="7DB92D1D" w14:textId="44809C00" w:rsidR="00C93C30" w:rsidRPr="00C93C30" w:rsidRDefault="00C93C30" w:rsidP="00C93C30">
      <w:pPr>
        <w:pStyle w:val="Prrafodelista"/>
        <w:spacing w:line="360" w:lineRule="auto"/>
        <w:ind w:left="426" w:right="474"/>
        <w:jc w:val="both"/>
        <w:rPr>
          <w:rFonts w:ascii="Palatino Linotype" w:eastAsia="MS Mincho" w:hAnsi="Palatino Linotype" w:cs="Arial"/>
        </w:rPr>
      </w:pPr>
      <w:r>
        <w:rPr>
          <w:rFonts w:ascii="Palatino Linotype" w:eastAsia="MS Mincho" w:hAnsi="Palatino Linotype" w:cs="Arial"/>
        </w:rPr>
        <w:t>(Énfasis añadido)</w:t>
      </w:r>
    </w:p>
    <w:p w14:paraId="7EB90886" w14:textId="77777777" w:rsidR="00C93C30" w:rsidRDefault="00C93C30" w:rsidP="00C93C30">
      <w:pPr>
        <w:pStyle w:val="Prrafodelista"/>
        <w:spacing w:line="360" w:lineRule="auto"/>
        <w:ind w:left="0"/>
        <w:jc w:val="both"/>
        <w:rPr>
          <w:rFonts w:ascii="Palatino Linotype" w:eastAsia="MS Mincho" w:hAnsi="Palatino Linotype" w:cs="Arial"/>
        </w:rPr>
      </w:pPr>
    </w:p>
    <w:p w14:paraId="25441501" w14:textId="50295010" w:rsidR="00F23A06" w:rsidRDefault="00C93C30" w:rsidP="00F23A06">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 xml:space="preserve">Como se desprende de las facultades y atribuciones del </w:t>
      </w:r>
      <w:r>
        <w:rPr>
          <w:rFonts w:ascii="Palatino Linotype" w:hAnsi="Palatino Linotype"/>
          <w:b/>
          <w:color w:val="000000"/>
        </w:rPr>
        <w:t>SUJETO OBLIGADO</w:t>
      </w:r>
      <w:r>
        <w:rPr>
          <w:rFonts w:ascii="Palatino Linotype" w:hAnsi="Palatino Linotype"/>
          <w:color w:val="000000"/>
        </w:rPr>
        <w:t>, no se encuentran las relativas a l</w:t>
      </w:r>
      <w:r w:rsidR="00F23A06">
        <w:rPr>
          <w:rFonts w:ascii="Palatino Linotype" w:hAnsi="Palatino Linotype"/>
          <w:color w:val="000000"/>
        </w:rPr>
        <w:t xml:space="preserve">as de </w:t>
      </w:r>
      <w:r w:rsidR="00F23A06" w:rsidRPr="00F23A06">
        <w:rPr>
          <w:rFonts w:ascii="Palatino Linotype" w:hAnsi="Palatino Linotype"/>
          <w:color w:val="000000"/>
        </w:rPr>
        <w:t>salud, deporte y recreación</w:t>
      </w:r>
      <w:r w:rsidR="00F23A06">
        <w:rPr>
          <w:rFonts w:ascii="Palatino Linotype" w:hAnsi="Palatino Linotype"/>
          <w:color w:val="000000"/>
        </w:rPr>
        <w:t xml:space="preserve">; es decir la Secretaria de Seguridad </w:t>
      </w:r>
      <w:r w:rsidR="00F23A06" w:rsidRPr="00F23A06">
        <w:rPr>
          <w:rFonts w:ascii="Palatino Linotype" w:hAnsi="Palatino Linotype"/>
          <w:color w:val="000000"/>
        </w:rPr>
        <w:t xml:space="preserve">del Estado de México, </w:t>
      </w:r>
      <w:r w:rsidR="00F23A06">
        <w:rPr>
          <w:rFonts w:ascii="Palatino Linotype" w:hAnsi="Palatino Linotype"/>
          <w:color w:val="000000"/>
        </w:rPr>
        <w:t xml:space="preserve">es </w:t>
      </w:r>
      <w:r w:rsidR="00F23A06" w:rsidRPr="00F23A06">
        <w:rPr>
          <w:rFonts w:ascii="Palatino Linotype" w:hAnsi="Palatino Linotype"/>
          <w:color w:val="000000"/>
        </w:rPr>
        <w:t xml:space="preserve">la dependencia encargada de planear, formular, conducir, coordinar, ejecutar, supervisar y evaluar las políticas, programas y acciones </w:t>
      </w:r>
      <w:r w:rsidR="00F23A06">
        <w:rPr>
          <w:rFonts w:ascii="Palatino Linotype" w:hAnsi="Palatino Linotype"/>
          <w:color w:val="000000"/>
        </w:rPr>
        <w:t>en materia de seguridad pública, con la finalidad de g</w:t>
      </w:r>
      <w:r w:rsidR="00F23A06" w:rsidRPr="00F23A06">
        <w:rPr>
          <w:rFonts w:ascii="Palatino Linotype" w:hAnsi="Palatino Linotype"/>
          <w:color w:val="000000"/>
        </w:rPr>
        <w:t>arantizar la seguridad de todas las personas que habitan y transitan en el Estado de México a través del uso eficaz de los recursos, centrando las acciones en la prevención, investigación y persecución del delito, así como administrar la seguridad penitenciaria</w:t>
      </w:r>
      <w:r w:rsidR="00F23A06">
        <w:rPr>
          <w:rFonts w:ascii="Palatino Linotype" w:hAnsi="Palatino Linotype"/>
          <w:color w:val="000000"/>
        </w:rPr>
        <w:t>.</w:t>
      </w:r>
    </w:p>
    <w:p w14:paraId="3A2D92FD" w14:textId="77777777" w:rsidR="00F23A06" w:rsidRPr="00F23A06" w:rsidRDefault="00F23A06" w:rsidP="00F23A06">
      <w:pPr>
        <w:pStyle w:val="Prrafodelista"/>
        <w:spacing w:line="360" w:lineRule="auto"/>
        <w:ind w:left="0"/>
        <w:jc w:val="both"/>
        <w:rPr>
          <w:rFonts w:ascii="Palatino Linotype" w:hAnsi="Palatino Linotype"/>
          <w:color w:val="000000"/>
        </w:rPr>
      </w:pPr>
    </w:p>
    <w:p w14:paraId="46592457" w14:textId="3F284DBE" w:rsidR="00F23A06" w:rsidRPr="000D3339" w:rsidRDefault="00F23A06" w:rsidP="00F23A06">
      <w:pPr>
        <w:pStyle w:val="Prrafodelista"/>
        <w:numPr>
          <w:ilvl w:val="0"/>
          <w:numId w:val="7"/>
        </w:numPr>
        <w:spacing w:line="360" w:lineRule="auto"/>
        <w:ind w:left="0" w:firstLine="0"/>
        <w:jc w:val="both"/>
        <w:rPr>
          <w:rFonts w:ascii="Palatino Linotype" w:eastAsia="Calibri" w:hAnsi="Palatino Linotype" w:cs="Arial"/>
        </w:rPr>
      </w:pPr>
      <w:r>
        <w:rPr>
          <w:rFonts w:ascii="Palatino Linotype" w:hAnsi="Palatino Linotype"/>
          <w:color w:val="000000"/>
        </w:rPr>
        <w:t xml:space="preserve">Ahora bien, relativo a la declinación de incompetencia, se debe señalar que </w:t>
      </w:r>
      <w:r w:rsidRPr="000D3339">
        <w:rPr>
          <w:rFonts w:ascii="Palatino Linotype" w:hAnsi="Palatino Linotype"/>
        </w:rPr>
        <w:t xml:space="preserve">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w:t>
      </w:r>
      <w:r w:rsidRPr="000D3339">
        <w:rPr>
          <w:rFonts w:ascii="Palatino Linotype" w:hAnsi="Palatino Linotype"/>
        </w:rPr>
        <w:lastRenderedPageBreak/>
        <w:t>responsabilidad de realizar una correcta gestión documental que permita localizar de manera rápida los documentos que se soliciten o bien, simplemente para el desarrollo de sus facultades, competencias y atribuciones que a diario desempeñan.</w:t>
      </w:r>
    </w:p>
    <w:p w14:paraId="64D3E649" w14:textId="77777777" w:rsidR="00F23A06" w:rsidRPr="000D3339" w:rsidRDefault="00F23A06" w:rsidP="00F23A06">
      <w:pPr>
        <w:pStyle w:val="Prrafodelista"/>
        <w:rPr>
          <w:rFonts w:ascii="Palatino Linotype" w:hAnsi="Palatino Linotype"/>
        </w:rPr>
      </w:pPr>
    </w:p>
    <w:p w14:paraId="30365FB4" w14:textId="77777777" w:rsidR="00F23A06" w:rsidRPr="000D3339" w:rsidRDefault="00F23A06" w:rsidP="00F23A06">
      <w:pPr>
        <w:pStyle w:val="Prrafodelista"/>
        <w:numPr>
          <w:ilvl w:val="0"/>
          <w:numId w:val="7"/>
        </w:numPr>
        <w:spacing w:line="360" w:lineRule="auto"/>
        <w:ind w:left="0" w:firstLine="0"/>
        <w:jc w:val="both"/>
        <w:rPr>
          <w:rFonts w:ascii="Palatino Linotype" w:eastAsia="Calibri" w:hAnsi="Palatino Linotype" w:cs="Arial"/>
        </w:rPr>
      </w:pPr>
      <w:r w:rsidRPr="000D3339">
        <w:rPr>
          <w:rFonts w:ascii="Palatino Linotype" w:hAnsi="Palatino Linotype"/>
        </w:rPr>
        <w:t xml:space="preserve">Es así que, su </w:t>
      </w:r>
      <w:r w:rsidRPr="00C05995">
        <w:rPr>
          <w:rFonts w:ascii="Palatino Linotype" w:hAnsi="Palatino Linotype"/>
        </w:rPr>
        <w:t xml:space="preserve">obligación es </w:t>
      </w:r>
      <w:r w:rsidRPr="00C05995">
        <w:rPr>
          <w:rFonts w:ascii="Palatino Linotype" w:hAnsi="Palatino Linotype"/>
          <w:i/>
        </w:rPr>
        <w:t xml:space="preserve">realizar, con efectividad, los trámites internos necesarios para la </w:t>
      </w:r>
      <w:r w:rsidRPr="00F23A06">
        <w:rPr>
          <w:rFonts w:ascii="Palatino Linotype" w:hAnsi="Palatino Linotype"/>
          <w:color w:val="000000"/>
        </w:rPr>
        <w:t>atención</w:t>
      </w:r>
      <w:r w:rsidRPr="00C05995">
        <w:rPr>
          <w:rFonts w:ascii="Palatino Linotype" w:hAnsi="Palatino Linotype"/>
          <w:i/>
        </w:rPr>
        <w:t xml:space="preserve"> de las solicitudes de información</w:t>
      </w:r>
      <w:r w:rsidRPr="00C05995">
        <w:rPr>
          <w:rStyle w:val="Refdenotaalpie"/>
          <w:rFonts w:ascii="Palatino Linotype" w:hAnsi="Palatino Linotype"/>
        </w:rPr>
        <w:footnoteReference w:id="5"/>
      </w:r>
      <w:r w:rsidRPr="00C05995">
        <w:rPr>
          <w:rFonts w:ascii="Palatino Linotype" w:hAnsi="Palatino Linotype"/>
          <w:i/>
        </w:rPr>
        <w:t>;</w:t>
      </w:r>
      <w:r w:rsidRPr="00C05995">
        <w:rPr>
          <w:rFonts w:ascii="Palatino Linotype" w:hAnsi="Palatino Linotype"/>
        </w:rPr>
        <w:t xml:space="preserve"> es decir, deben otorgar respuestas concisas, contundentes y sobre todo que den la certeza</w:t>
      </w:r>
      <w:r w:rsidRPr="000D3339">
        <w:rPr>
          <w:rFonts w:ascii="Palatino Linotype" w:hAnsi="Palatino Linotype"/>
        </w:rPr>
        <w:t xml:space="preserve"> de los actos que realizan.</w:t>
      </w:r>
    </w:p>
    <w:p w14:paraId="3102466C" w14:textId="77777777" w:rsidR="00F23A06" w:rsidRPr="000D3339" w:rsidRDefault="00F23A06" w:rsidP="00F23A06">
      <w:pPr>
        <w:pStyle w:val="Prrafodelista"/>
        <w:spacing w:line="360" w:lineRule="auto"/>
        <w:ind w:left="0"/>
        <w:jc w:val="both"/>
        <w:rPr>
          <w:rFonts w:ascii="Palatino Linotype" w:eastAsia="Calibri" w:hAnsi="Palatino Linotype" w:cs="Arial"/>
        </w:rPr>
      </w:pPr>
    </w:p>
    <w:p w14:paraId="3F546265" w14:textId="77777777" w:rsidR="00F23A06" w:rsidRPr="000D3339" w:rsidRDefault="00F23A06" w:rsidP="00F23A06">
      <w:pPr>
        <w:pStyle w:val="Prrafodelista"/>
        <w:numPr>
          <w:ilvl w:val="0"/>
          <w:numId w:val="7"/>
        </w:numPr>
        <w:spacing w:line="360" w:lineRule="auto"/>
        <w:ind w:left="0" w:firstLine="0"/>
        <w:jc w:val="both"/>
        <w:rPr>
          <w:rFonts w:ascii="Palatino Linotype" w:eastAsia="Calibri" w:hAnsi="Palatino Linotype" w:cs="Arial"/>
        </w:rPr>
      </w:pPr>
      <w:r w:rsidRPr="000D3339">
        <w:rPr>
          <w:rFonts w:ascii="Palatino Linotype" w:eastAsia="Calibri" w:hAnsi="Palatino Linotype" w:cs="Arial"/>
        </w:rPr>
        <w:t xml:space="preserve">En el </w:t>
      </w:r>
      <w:r w:rsidRPr="00F23A06">
        <w:rPr>
          <w:rFonts w:ascii="Palatino Linotype" w:hAnsi="Palatino Linotype"/>
        </w:rPr>
        <w:t>presente</w:t>
      </w:r>
      <w:r w:rsidRPr="000D3339">
        <w:rPr>
          <w:rFonts w:ascii="Palatino Linotype" w:eastAsia="Calibri" w:hAnsi="Palatino Linotype" w:cs="Arial"/>
        </w:rPr>
        <w:t xml:space="preserve"> asunto, se tiene que </w:t>
      </w:r>
      <w:r>
        <w:rPr>
          <w:rFonts w:ascii="Palatino Linotype" w:eastAsia="Calibri" w:hAnsi="Palatino Linotype" w:cs="Arial"/>
        </w:rPr>
        <w:t>e</w:t>
      </w:r>
      <w:r w:rsidRPr="000D3339">
        <w:rPr>
          <w:rFonts w:ascii="Palatino Linotype" w:eastAsia="Calibri" w:hAnsi="Palatino Linotype" w:cs="Arial"/>
        </w:rPr>
        <w:t xml:space="preserve">l </w:t>
      </w:r>
      <w:r w:rsidRPr="000D3339">
        <w:rPr>
          <w:rFonts w:ascii="Palatino Linotype" w:eastAsia="Calibri" w:hAnsi="Palatino Linotype" w:cs="Arial"/>
          <w:b/>
        </w:rPr>
        <w:t>SUJETO OBLIGADO</w:t>
      </w:r>
      <w:r w:rsidRPr="000D3339">
        <w:rPr>
          <w:rFonts w:ascii="Palatino Linotype" w:eastAsia="Calibri" w:hAnsi="Palatino Linotype" w:cs="Arial"/>
        </w:rPr>
        <w:t xml:space="preserve">  cumpli</w:t>
      </w:r>
      <w:r>
        <w:rPr>
          <w:rFonts w:ascii="Palatino Linotype" w:eastAsia="Calibri" w:hAnsi="Palatino Linotype" w:cs="Arial"/>
        </w:rPr>
        <w:t>ó</w:t>
      </w:r>
      <w:r w:rsidRPr="000D3339">
        <w:rPr>
          <w:rFonts w:ascii="Palatino Linotype" w:eastAsia="Calibri" w:hAnsi="Palatino Linotype" w:cs="Arial"/>
        </w:rPr>
        <w:t xml:space="preserve"> con lo que </w:t>
      </w:r>
      <w:r w:rsidRPr="004D3BB4">
        <w:rPr>
          <w:rFonts w:ascii="Palatino Linotype" w:hAnsi="Palatino Linotype"/>
        </w:rPr>
        <w:t>establece</w:t>
      </w:r>
      <w:r w:rsidRPr="000D3339">
        <w:rPr>
          <w:rFonts w:ascii="Palatino Linotype" w:eastAsia="Calibri" w:hAnsi="Palatino Linotype" w:cs="Arial"/>
        </w:rPr>
        <w:t xml:space="preserve"> la Ley de Transparencia y Acceso a la Información Pública del Estado de México y Municipios, en el artículo 167 primer párrafo, siendo lo siguiente: </w:t>
      </w:r>
    </w:p>
    <w:p w14:paraId="234F8945" w14:textId="77777777" w:rsidR="00F23A06" w:rsidRPr="000D3339" w:rsidRDefault="00F23A06" w:rsidP="00F23A06">
      <w:pPr>
        <w:pStyle w:val="Prrafodelista"/>
        <w:rPr>
          <w:rFonts w:ascii="Palatino Linotype" w:eastAsia="Calibri" w:hAnsi="Palatino Linotype" w:cs="Arial"/>
        </w:rPr>
      </w:pPr>
    </w:p>
    <w:p w14:paraId="3D51E7F8" w14:textId="77777777" w:rsidR="00F23A06" w:rsidRPr="00F23A06" w:rsidRDefault="00F23A06" w:rsidP="00F23A06">
      <w:pPr>
        <w:autoSpaceDE w:val="0"/>
        <w:autoSpaceDN w:val="0"/>
        <w:adjustRightInd w:val="0"/>
        <w:spacing w:line="360" w:lineRule="auto"/>
        <w:ind w:left="426" w:right="567"/>
        <w:jc w:val="both"/>
        <w:rPr>
          <w:rFonts w:ascii="Palatino Linotype" w:hAnsi="Palatino Linotype" w:cs="Bookman Old Style"/>
          <w:i/>
          <w:szCs w:val="20"/>
        </w:rPr>
      </w:pPr>
      <w:r w:rsidRPr="00F23A06">
        <w:rPr>
          <w:rFonts w:ascii="Palatino Linotype" w:hAnsi="Palatino Linotype" w:cs="Bookman Old Style,Bold"/>
          <w:b/>
          <w:bCs/>
          <w:i/>
          <w:szCs w:val="20"/>
        </w:rPr>
        <w:t xml:space="preserve">Artículo 167. </w:t>
      </w:r>
      <w:r w:rsidRPr="00F23A06">
        <w:rPr>
          <w:rFonts w:ascii="Palatino Linotype" w:hAnsi="Palatino Linotype" w:cs="Bookman Old Style"/>
          <w:i/>
          <w:szCs w:val="20"/>
        </w:rPr>
        <w:t xml:space="preserve">Cuando las </w:t>
      </w:r>
      <w:r w:rsidRPr="00F23A06">
        <w:rPr>
          <w:rFonts w:ascii="Palatino Linotype" w:hAnsi="Palatino Linotype" w:cs="Bookman Old Style"/>
          <w:b/>
          <w:i/>
          <w:szCs w:val="20"/>
        </w:rPr>
        <w:t>unidades de transparencia determinen la notoria incompetencia por parte de los sujetos obligado</w:t>
      </w:r>
      <w:r w:rsidRPr="00F23A06">
        <w:rPr>
          <w:rFonts w:ascii="Palatino Linotype" w:hAnsi="Palatino Linotype" w:cs="Bookman Old Style"/>
          <w:i/>
          <w:szCs w:val="20"/>
        </w:rPr>
        <w:t xml:space="preserve">s, dentro del ámbito de aplicación, para atender la solicitud de acceso a la información, deberán comunicarlo al solicitante, dentro de los </w:t>
      </w:r>
      <w:r w:rsidRPr="00F23A06">
        <w:rPr>
          <w:rFonts w:ascii="Palatino Linotype" w:hAnsi="Palatino Linotype" w:cs="Bookman Old Style"/>
          <w:b/>
          <w:i/>
          <w:szCs w:val="20"/>
          <w:u w:val="single"/>
        </w:rPr>
        <w:t>tres días hábiles posteriores a la recepción de la solicitud</w:t>
      </w:r>
      <w:r w:rsidRPr="00F23A06">
        <w:rPr>
          <w:rFonts w:ascii="Palatino Linotype" w:hAnsi="Palatino Linotype" w:cs="Bookman Old Style"/>
          <w:i/>
          <w:szCs w:val="20"/>
        </w:rPr>
        <w:t xml:space="preserve"> y, en su caso orientar al solicitante, el o los sujetos obligados competentes. </w:t>
      </w:r>
    </w:p>
    <w:p w14:paraId="0A3CEF03" w14:textId="77777777" w:rsidR="00F23A06" w:rsidRPr="000D3339" w:rsidRDefault="00F23A06" w:rsidP="00F23A06">
      <w:pPr>
        <w:pStyle w:val="Prrafodelista"/>
        <w:spacing w:line="360" w:lineRule="auto"/>
        <w:ind w:left="0"/>
        <w:jc w:val="both"/>
        <w:rPr>
          <w:rFonts w:ascii="Palatino Linotype" w:eastAsia="Calibri" w:hAnsi="Palatino Linotype" w:cs="Arial"/>
        </w:rPr>
      </w:pPr>
    </w:p>
    <w:p w14:paraId="5EA9F85D" w14:textId="77777777" w:rsidR="00F23A06" w:rsidRPr="00F23A06" w:rsidRDefault="00F23A06" w:rsidP="00F23A06">
      <w:pPr>
        <w:pStyle w:val="Prrafodelista"/>
        <w:numPr>
          <w:ilvl w:val="0"/>
          <w:numId w:val="7"/>
        </w:numPr>
        <w:spacing w:line="360" w:lineRule="auto"/>
        <w:ind w:left="0" w:firstLine="0"/>
        <w:jc w:val="both"/>
        <w:rPr>
          <w:rFonts w:ascii="Palatino Linotype" w:eastAsia="Calibri" w:hAnsi="Palatino Linotype" w:cs="Arial"/>
        </w:rPr>
      </w:pPr>
      <w:r>
        <w:rPr>
          <w:rFonts w:ascii="Palatino Linotype" w:eastAsia="Calibri" w:hAnsi="Palatino Linotype" w:cs="Arial"/>
        </w:rPr>
        <w:t>Luego entonces, s</w:t>
      </w:r>
      <w:r w:rsidRPr="000D3339">
        <w:rPr>
          <w:rFonts w:ascii="Palatino Linotype" w:eastAsia="Calibri" w:hAnsi="Palatino Linotype" w:cs="Arial"/>
        </w:rPr>
        <w:t xml:space="preserve">e tiene que el </w:t>
      </w:r>
      <w:r w:rsidRPr="004D3BB4">
        <w:rPr>
          <w:rFonts w:ascii="Palatino Linotype" w:eastAsia="Calibri" w:hAnsi="Palatino Linotype" w:cs="Arial"/>
          <w:b/>
        </w:rPr>
        <w:t>SUJETO OBLIGADO</w:t>
      </w:r>
      <w:r w:rsidRPr="000D3339">
        <w:rPr>
          <w:rFonts w:ascii="Palatino Linotype" w:eastAsia="Calibri" w:hAnsi="Palatino Linotype" w:cs="Arial"/>
        </w:rPr>
        <w:t xml:space="preserve"> manifestó su incompetencia </w:t>
      </w:r>
      <w:r>
        <w:rPr>
          <w:rFonts w:ascii="Palatino Linotype" w:eastAsia="Calibri" w:hAnsi="Palatino Linotype" w:cs="Arial"/>
        </w:rPr>
        <w:t>dentro del margen</w:t>
      </w:r>
      <w:r w:rsidRPr="000D3339">
        <w:rPr>
          <w:rFonts w:ascii="Palatino Linotype" w:eastAsia="Calibri" w:hAnsi="Palatino Linotype" w:cs="Arial"/>
        </w:rPr>
        <w:t xml:space="preserve"> temporal establecid</w:t>
      </w:r>
      <w:r>
        <w:rPr>
          <w:rFonts w:ascii="Palatino Linotype" w:eastAsia="Calibri" w:hAnsi="Palatino Linotype" w:cs="Arial"/>
        </w:rPr>
        <w:t>o para tal efecto;</w:t>
      </w:r>
      <w:r w:rsidRPr="000D3339">
        <w:rPr>
          <w:rFonts w:ascii="Palatino Linotype" w:eastAsia="Calibri" w:hAnsi="Palatino Linotype" w:cs="Arial"/>
        </w:rPr>
        <w:t xml:space="preserve"> es decir, </w:t>
      </w:r>
      <w:r>
        <w:rPr>
          <w:rFonts w:ascii="Palatino Linotype" w:hAnsi="Palatino Linotype" w:cs="Arial"/>
        </w:rPr>
        <w:t xml:space="preserve"> hizo</w:t>
      </w:r>
      <w:r w:rsidRPr="000D3339">
        <w:rPr>
          <w:rFonts w:ascii="Palatino Linotype" w:hAnsi="Palatino Linotype" w:cs="Arial"/>
        </w:rPr>
        <w:t xml:space="preserve"> del conocimiento</w:t>
      </w:r>
      <w:r>
        <w:rPr>
          <w:rFonts w:ascii="Palatino Linotype" w:hAnsi="Palatino Linotype" w:cs="Arial"/>
        </w:rPr>
        <w:t xml:space="preserve"> al solicitante de</w:t>
      </w:r>
      <w:r w:rsidRPr="000D3339">
        <w:rPr>
          <w:rFonts w:ascii="Palatino Linotype" w:hAnsi="Palatino Linotype" w:cs="Arial"/>
        </w:rPr>
        <w:t xml:space="preserve"> tal situación dentro del término de </w:t>
      </w:r>
      <w:r w:rsidRPr="00FE6B70">
        <w:rPr>
          <w:rFonts w:ascii="Palatino Linotype" w:hAnsi="Palatino Linotype" w:cs="Arial"/>
          <w:b/>
        </w:rPr>
        <w:t>3 días hábiles</w:t>
      </w:r>
      <w:r w:rsidRPr="000D3339">
        <w:rPr>
          <w:rFonts w:ascii="Palatino Linotype" w:hAnsi="Palatino Linotype" w:cs="Arial"/>
        </w:rPr>
        <w:t xml:space="preserve">, </w:t>
      </w:r>
      <w:r w:rsidRPr="000D3339">
        <w:rPr>
          <w:rFonts w:ascii="Palatino Linotype" w:hAnsi="Palatino Linotype" w:cs="Arial"/>
        </w:rPr>
        <w:lastRenderedPageBreak/>
        <w:t>posteriores a la presentación de la solicitud,</w:t>
      </w:r>
      <w:r>
        <w:rPr>
          <w:rFonts w:ascii="Palatino Linotype" w:hAnsi="Palatino Linotype" w:cs="Arial"/>
        </w:rPr>
        <w:t xml:space="preserve"> cumpliendo</w:t>
      </w:r>
      <w:r w:rsidRPr="000D3339">
        <w:rPr>
          <w:rFonts w:ascii="Palatino Linotype" w:hAnsi="Palatino Linotype" w:cs="Arial"/>
        </w:rPr>
        <w:t xml:space="preserve"> con el término referido en el artículo 167 de la Ley en Materia.</w:t>
      </w:r>
    </w:p>
    <w:p w14:paraId="2F29A9F8" w14:textId="77777777" w:rsidR="00F23A06" w:rsidRPr="004D3BB4" w:rsidRDefault="00F23A06" w:rsidP="00F23A06">
      <w:pPr>
        <w:pStyle w:val="Prrafodelista"/>
        <w:spacing w:line="360" w:lineRule="auto"/>
        <w:ind w:left="0"/>
        <w:jc w:val="both"/>
        <w:rPr>
          <w:rFonts w:ascii="Palatino Linotype" w:eastAsia="Calibri" w:hAnsi="Palatino Linotype" w:cs="Arial"/>
        </w:rPr>
      </w:pPr>
    </w:p>
    <w:p w14:paraId="3FE69DD5" w14:textId="3FCBE166" w:rsidR="00F23A06" w:rsidRDefault="00F23A06" w:rsidP="00F23A06">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 xml:space="preserve">Del precepto legal en cita también se refiere que </w:t>
      </w:r>
      <w:r w:rsidRPr="00F23A06">
        <w:rPr>
          <w:rFonts w:ascii="Palatino Linotype" w:hAnsi="Palatino Linotype"/>
          <w:color w:val="000000"/>
        </w:rPr>
        <w:t xml:space="preserve">en su caso </w:t>
      </w:r>
      <w:r>
        <w:rPr>
          <w:rFonts w:ascii="Palatino Linotype" w:hAnsi="Palatino Linotype"/>
          <w:color w:val="000000"/>
        </w:rPr>
        <w:t xml:space="preserve">se podrá </w:t>
      </w:r>
      <w:r w:rsidRPr="00F23A06">
        <w:rPr>
          <w:rFonts w:ascii="Palatino Linotype" w:hAnsi="Palatino Linotype"/>
          <w:color w:val="000000"/>
        </w:rPr>
        <w:t>orientar al solicitante,</w:t>
      </w:r>
      <w:r>
        <w:rPr>
          <w:rFonts w:ascii="Palatino Linotype" w:hAnsi="Palatino Linotype"/>
          <w:color w:val="000000"/>
        </w:rPr>
        <w:t xml:space="preserve"> ante</w:t>
      </w:r>
      <w:r w:rsidRPr="00F23A06">
        <w:rPr>
          <w:rFonts w:ascii="Palatino Linotype" w:hAnsi="Palatino Linotype"/>
          <w:color w:val="000000"/>
        </w:rPr>
        <w:t xml:space="preserve"> el o los sujetos obligados competentes</w:t>
      </w:r>
      <w:r>
        <w:rPr>
          <w:rFonts w:ascii="Palatino Linotype" w:hAnsi="Palatino Linotype"/>
          <w:color w:val="000000"/>
        </w:rPr>
        <w:t>; es decir que siendo dentro del lapso temporalmente establecido para tal efecto</w:t>
      </w:r>
      <w:r w:rsidR="00C42E34">
        <w:rPr>
          <w:rFonts w:ascii="Palatino Linotype" w:hAnsi="Palatino Linotype"/>
          <w:color w:val="000000"/>
        </w:rPr>
        <w:t>, corresponde a una facultad potestativa.</w:t>
      </w:r>
    </w:p>
    <w:p w14:paraId="0B92E1EC" w14:textId="77777777" w:rsidR="00C42E34" w:rsidRPr="00C42E34" w:rsidRDefault="00C42E34" w:rsidP="00C42E34">
      <w:pPr>
        <w:pStyle w:val="Prrafodelista"/>
        <w:rPr>
          <w:rFonts w:ascii="Palatino Linotype" w:hAnsi="Palatino Linotype"/>
          <w:color w:val="000000"/>
        </w:rPr>
      </w:pPr>
    </w:p>
    <w:p w14:paraId="34281847" w14:textId="293B7E9A" w:rsidR="00C42E34" w:rsidRDefault="00C42E34" w:rsidP="00F23A06">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 xml:space="preserve">No obstante lo anterior, </w:t>
      </w:r>
      <w:r w:rsidRPr="002B22FD">
        <w:rPr>
          <w:rFonts w:ascii="Palatino Linotype" w:hAnsi="Palatino Linotype"/>
          <w:color w:val="000000"/>
        </w:rPr>
        <w:t xml:space="preserve">del caso concreto se advierte que el </w:t>
      </w:r>
      <w:r w:rsidRPr="002B22FD">
        <w:rPr>
          <w:rFonts w:ascii="Palatino Linotype" w:hAnsi="Palatino Linotype"/>
          <w:b/>
          <w:color w:val="000000"/>
        </w:rPr>
        <w:t>SUJETO OBLIGADO</w:t>
      </w:r>
      <w:r w:rsidRPr="002B22FD">
        <w:rPr>
          <w:rFonts w:ascii="Palatino Linotype" w:hAnsi="Palatino Linotype"/>
          <w:color w:val="000000"/>
        </w:rPr>
        <w:t xml:space="preserve">, contrario a lo esgrimido por el hoy </w:t>
      </w:r>
      <w:r w:rsidRPr="002B22FD">
        <w:rPr>
          <w:rFonts w:ascii="Palatino Linotype" w:hAnsi="Palatino Linotype"/>
          <w:b/>
          <w:color w:val="000000"/>
        </w:rPr>
        <w:t>RECURRENTE, si oriento al particular ante el sujeto obligado que eventualmente pueda colmar sus pretensiones</w:t>
      </w:r>
      <w:r>
        <w:rPr>
          <w:rFonts w:ascii="Palatino Linotype" w:hAnsi="Palatino Linotype"/>
          <w:color w:val="000000"/>
        </w:rPr>
        <w:t xml:space="preserve"> como se observa:</w:t>
      </w:r>
    </w:p>
    <w:p w14:paraId="71E42DE1" w14:textId="20560260" w:rsidR="00C42E34" w:rsidRPr="00C42E34" w:rsidRDefault="00C42E34" w:rsidP="00C42E34">
      <w:pPr>
        <w:pStyle w:val="Prrafodelista"/>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72576" behindDoc="0" locked="0" layoutInCell="1" allowOverlap="1" wp14:anchorId="1EA5CE41" wp14:editId="0DDC9EF3">
                <wp:simplePos x="0" y="0"/>
                <wp:positionH relativeFrom="column">
                  <wp:posOffset>17145</wp:posOffset>
                </wp:positionH>
                <wp:positionV relativeFrom="paragraph">
                  <wp:posOffset>148386</wp:posOffset>
                </wp:positionV>
                <wp:extent cx="5471770" cy="3174797"/>
                <wp:effectExtent l="38100" t="19050" r="72390" b="83185"/>
                <wp:wrapNone/>
                <wp:docPr id="32" name="Conector recto 32"/>
                <wp:cNvGraphicFramePr/>
                <a:graphic xmlns:a="http://schemas.openxmlformats.org/drawingml/2006/main">
                  <a:graphicData uri="http://schemas.microsoft.com/office/word/2010/wordprocessingShape">
                    <wps:wsp>
                      <wps:cNvCnPr/>
                      <wps:spPr>
                        <a:xfrm>
                          <a:off x="0" y="0"/>
                          <a:ext cx="5471770" cy="31747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F8C685" id="Conector recto 3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5pt,11.7pt" to="432.2pt,2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" strokecolor="black [3200]" strokeweight="2pt">
                <v:shadow on="t" color="black" opacity="24903f" origin=",.5" offset="0,.55556mm"/>
              </v:line>
            </w:pict>
          </mc:Fallback>
        </mc:AlternateContent>
      </w:r>
    </w:p>
    <w:p w14:paraId="38B0CE39" w14:textId="77777777" w:rsidR="00C42E34" w:rsidRPr="00C42E34" w:rsidRDefault="00C42E34" w:rsidP="00C42E34">
      <w:pPr>
        <w:spacing w:line="360" w:lineRule="auto"/>
        <w:jc w:val="both"/>
        <w:rPr>
          <w:rFonts w:ascii="Palatino Linotype" w:hAnsi="Palatino Linotype"/>
          <w:color w:val="000000"/>
        </w:rPr>
      </w:pPr>
    </w:p>
    <w:p w14:paraId="63B941AB" w14:textId="6841344C" w:rsidR="00C42E34" w:rsidRPr="00C42E34" w:rsidRDefault="00C42E34" w:rsidP="00C42E34">
      <w:pPr>
        <w:jc w:val="center"/>
        <w:rPr>
          <w:rFonts w:ascii="Palatino Linotype" w:hAnsi="Palatino Linotype"/>
          <w:color w:val="000000"/>
        </w:rPr>
      </w:pPr>
      <w:r>
        <w:rPr>
          <w:rFonts w:ascii="Palatino Linotype" w:hAnsi="Palatino Linotype"/>
          <w:noProof/>
          <w:color w:val="000000"/>
        </w:rPr>
        <w:lastRenderedPageBreak/>
        <w:drawing>
          <wp:inline distT="0" distB="0" distL="0" distR="0" wp14:anchorId="561E0ACB" wp14:editId="3A2F03C7">
            <wp:extent cx="4732316" cy="6407986"/>
            <wp:effectExtent l="19050" t="19050" r="11430" b="1206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42" cy="6410188"/>
                    </a:xfrm>
                    <a:prstGeom prst="rect">
                      <a:avLst/>
                    </a:prstGeom>
                    <a:noFill/>
                    <a:ln>
                      <a:solidFill>
                        <a:schemeClr val="tx1"/>
                      </a:solidFill>
                    </a:ln>
                  </pic:spPr>
                </pic:pic>
              </a:graphicData>
            </a:graphic>
          </wp:inline>
        </w:drawing>
      </w:r>
    </w:p>
    <w:p w14:paraId="444FADD0" w14:textId="013830EA" w:rsidR="00C42E34" w:rsidRPr="00F23A06" w:rsidRDefault="00C42E34" w:rsidP="00C42E34">
      <w:pPr>
        <w:pStyle w:val="Prrafodelista"/>
        <w:spacing w:line="360" w:lineRule="auto"/>
        <w:ind w:left="0"/>
        <w:jc w:val="both"/>
        <w:rPr>
          <w:rFonts w:ascii="Palatino Linotype" w:hAnsi="Palatino Linotype"/>
          <w:color w:val="000000"/>
        </w:rPr>
      </w:pPr>
      <w:r w:rsidRPr="00C42E34">
        <w:rPr>
          <w:rFonts w:ascii="Palatino Linotype" w:hAnsi="Palatino Linotype"/>
          <w:color w:val="000000"/>
        </w:rPr>
        <w:t xml:space="preserve"> </w:t>
      </w:r>
    </w:p>
    <w:p w14:paraId="14ED7834" w14:textId="7ABB6FF4" w:rsidR="00C93C30" w:rsidRDefault="00C42E34" w:rsidP="00F23A06">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lastRenderedPageBreak/>
        <w:t xml:space="preserve">Es decir, el </w:t>
      </w:r>
      <w:r>
        <w:rPr>
          <w:rFonts w:ascii="Palatino Linotype" w:hAnsi="Palatino Linotype"/>
          <w:b/>
          <w:color w:val="000000"/>
        </w:rPr>
        <w:t>SUJETO OBLIGADO</w:t>
      </w:r>
      <w:r>
        <w:rPr>
          <w:rFonts w:ascii="Palatino Linotype" w:hAnsi="Palatino Linotype"/>
          <w:color w:val="000000"/>
        </w:rPr>
        <w:t xml:space="preserve"> citó los preceptos legales del organismo público que de acuerdo a sus facultades y atribuciones, tiene fuente obligacional con respecto al solicitado.</w:t>
      </w:r>
    </w:p>
    <w:p w14:paraId="5649CBA7" w14:textId="77777777" w:rsidR="0028419B" w:rsidRDefault="0028419B" w:rsidP="0028419B">
      <w:pPr>
        <w:pStyle w:val="Prrafodelista"/>
        <w:spacing w:line="360" w:lineRule="auto"/>
        <w:ind w:left="0"/>
        <w:jc w:val="both"/>
        <w:rPr>
          <w:rFonts w:ascii="Palatino Linotype" w:hAnsi="Palatino Linotype"/>
          <w:color w:val="000000"/>
        </w:rPr>
      </w:pPr>
    </w:p>
    <w:p w14:paraId="5BF16202" w14:textId="0FB0A472" w:rsidR="0028419B" w:rsidRDefault="0028419B" w:rsidP="00F23A06">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Contexto que se refrendó al momento de rendir el informe justificado como se aprecia:</w:t>
      </w:r>
    </w:p>
    <w:p w14:paraId="344DE3FF" w14:textId="3EECE124" w:rsidR="00F23A06" w:rsidRDefault="0028419B" w:rsidP="0028419B">
      <w:pPr>
        <w:pStyle w:val="Prrafodelista"/>
        <w:spacing w:line="360" w:lineRule="auto"/>
        <w:ind w:left="0"/>
        <w:jc w:val="center"/>
        <w:rPr>
          <w:rFonts w:ascii="Palatino Linotype" w:hAnsi="Palatino Linotype"/>
          <w:color w:val="000000"/>
        </w:rPr>
      </w:pPr>
      <w:r>
        <w:rPr>
          <w:rFonts w:ascii="Palatino Linotype" w:hAnsi="Palatino Linotype"/>
          <w:noProof/>
          <w:color w:val="000000"/>
          <w:lang w:val="es-MX" w:eastAsia="es-MX"/>
        </w:rPr>
        <w:drawing>
          <wp:inline distT="0" distB="0" distL="0" distR="0" wp14:anchorId="38465DF2" wp14:editId="3BB11AF1">
            <wp:extent cx="5418161" cy="3552812"/>
            <wp:effectExtent l="19050" t="19050" r="11430" b="1016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259" cy="3555499"/>
                    </a:xfrm>
                    <a:prstGeom prst="rect">
                      <a:avLst/>
                    </a:prstGeom>
                    <a:noFill/>
                    <a:ln>
                      <a:solidFill>
                        <a:schemeClr val="tx1"/>
                      </a:solidFill>
                    </a:ln>
                  </pic:spPr>
                </pic:pic>
              </a:graphicData>
            </a:graphic>
          </wp:inline>
        </w:drawing>
      </w:r>
    </w:p>
    <w:p w14:paraId="14635E9A" w14:textId="77777777" w:rsidR="0028419B" w:rsidRDefault="0028419B" w:rsidP="0028419B">
      <w:pPr>
        <w:pStyle w:val="Prrafodelista"/>
        <w:spacing w:line="360" w:lineRule="auto"/>
        <w:ind w:left="0"/>
        <w:jc w:val="center"/>
        <w:rPr>
          <w:rFonts w:ascii="Palatino Linotype" w:hAnsi="Palatino Linotype"/>
          <w:color w:val="000000"/>
        </w:rPr>
      </w:pPr>
    </w:p>
    <w:p w14:paraId="4A779A97" w14:textId="4AB19022" w:rsidR="009417CA" w:rsidRPr="0028419B" w:rsidRDefault="0045375F" w:rsidP="0028672A">
      <w:pPr>
        <w:pStyle w:val="Prrafodelista"/>
        <w:numPr>
          <w:ilvl w:val="0"/>
          <w:numId w:val="7"/>
        </w:numPr>
        <w:spacing w:line="360" w:lineRule="auto"/>
        <w:ind w:left="0" w:firstLine="0"/>
        <w:jc w:val="both"/>
        <w:rPr>
          <w:rFonts w:ascii="Palatino Linotype" w:hAnsi="Palatino Linotype"/>
        </w:rPr>
      </w:pPr>
      <w:r>
        <w:rPr>
          <w:rFonts w:ascii="Palatino Linotype" w:hAnsi="Palatino Linotype" w:cs="Tahoma"/>
          <w:bCs/>
          <w:szCs w:val="22"/>
        </w:rPr>
        <w:t xml:space="preserve">Acotado lo anterior, </w:t>
      </w:r>
      <w:r w:rsidR="00C42E34">
        <w:rPr>
          <w:rFonts w:ascii="Palatino Linotype" w:hAnsi="Palatino Linotype" w:cs="Tahoma"/>
          <w:bCs/>
          <w:szCs w:val="22"/>
        </w:rPr>
        <w:t xml:space="preserve">es que resulta dable </w:t>
      </w:r>
      <w:r w:rsidR="00C42E34" w:rsidRPr="00FE6B70">
        <w:rPr>
          <w:rFonts w:ascii="Palatino Linotype" w:hAnsi="Palatino Linotype" w:cs="Tahoma"/>
          <w:b/>
          <w:bCs/>
          <w:szCs w:val="22"/>
        </w:rPr>
        <w:t>CONFIRMAR</w:t>
      </w:r>
      <w:r w:rsidR="00C42E34">
        <w:rPr>
          <w:rFonts w:ascii="Palatino Linotype" w:hAnsi="Palatino Linotype" w:cs="Tahoma"/>
          <w:bCs/>
          <w:szCs w:val="22"/>
        </w:rPr>
        <w:t xml:space="preserve"> la respuesta y</w:t>
      </w:r>
      <w:r>
        <w:rPr>
          <w:rFonts w:ascii="Palatino Linotype" w:hAnsi="Palatino Linotype" w:cs="Tahoma"/>
          <w:bCs/>
          <w:szCs w:val="22"/>
        </w:rPr>
        <w:t xml:space="preserve"> </w:t>
      </w:r>
      <w:r w:rsidR="00C42E34">
        <w:rPr>
          <w:rFonts w:ascii="Palatino Linotype" w:hAnsi="Palatino Linotype" w:cs="Tahoma"/>
          <w:bCs/>
          <w:szCs w:val="22"/>
        </w:rPr>
        <w:t xml:space="preserve">mencionar </w:t>
      </w:r>
      <w:r>
        <w:rPr>
          <w:rFonts w:ascii="Palatino Linotype" w:hAnsi="Palatino Linotype" w:cs="Tahoma"/>
          <w:bCs/>
          <w:szCs w:val="22"/>
        </w:rPr>
        <w:t xml:space="preserve">al particular solicitante que </w:t>
      </w:r>
      <w:r w:rsidRPr="002B22FD">
        <w:rPr>
          <w:rFonts w:ascii="Palatino Linotype" w:hAnsi="Palatino Linotype" w:cs="Tahoma"/>
          <w:b/>
          <w:bCs/>
          <w:szCs w:val="22"/>
        </w:rPr>
        <w:t>se dejan a salvo sus derechos de interponer nuevas solicitudes de información ante los sujetos obligados que considere</w:t>
      </w:r>
      <w:r w:rsidR="0028419B" w:rsidRPr="002B22FD">
        <w:rPr>
          <w:rFonts w:ascii="Palatino Linotype" w:hAnsi="Palatino Linotype" w:cs="Tahoma"/>
          <w:b/>
          <w:bCs/>
          <w:szCs w:val="22"/>
        </w:rPr>
        <w:t xml:space="preserve"> de acuerdo a sus intereses</w:t>
      </w:r>
      <w:r>
        <w:rPr>
          <w:rFonts w:ascii="Palatino Linotype" w:hAnsi="Palatino Linotype" w:cs="Tahoma"/>
          <w:bCs/>
          <w:szCs w:val="22"/>
        </w:rPr>
        <w:t xml:space="preserve">; </w:t>
      </w:r>
      <w:r w:rsidR="0028672A">
        <w:rPr>
          <w:rFonts w:ascii="Palatino Linotype" w:hAnsi="Palatino Linotype" w:cs="Tahoma"/>
          <w:bCs/>
          <w:szCs w:val="22"/>
        </w:rPr>
        <w:t>toda vez</w:t>
      </w:r>
      <w:r w:rsidR="005024DD">
        <w:rPr>
          <w:rFonts w:ascii="Palatino Linotype" w:hAnsi="Palatino Linotype" w:cs="Arial"/>
        </w:rPr>
        <w:t xml:space="preserve"> que</w:t>
      </w:r>
      <w:r w:rsidR="00712B80">
        <w:rPr>
          <w:rFonts w:ascii="Palatino Linotype" w:hAnsi="Palatino Linotype" w:cs="Arial"/>
        </w:rPr>
        <w:t xml:space="preserve"> e</w:t>
      </w:r>
      <w:r w:rsidR="009417CA" w:rsidRPr="009F65F9">
        <w:rPr>
          <w:rFonts w:ascii="Palatino Linotype" w:hAnsi="Palatino Linotype"/>
          <w:color w:val="000000"/>
        </w:rPr>
        <w:t xml:space="preserve">l </w:t>
      </w:r>
      <w:r w:rsidR="009417CA" w:rsidRPr="003F2795">
        <w:rPr>
          <w:rFonts w:ascii="Palatino Linotype" w:eastAsia="MS Mincho" w:hAnsi="Palatino Linotype" w:cs="Arial"/>
        </w:rPr>
        <w:t>Derecho</w:t>
      </w:r>
      <w:r w:rsidR="009417CA" w:rsidRPr="009F65F9">
        <w:rPr>
          <w:rFonts w:ascii="Palatino Linotype" w:hAnsi="Palatino Linotype"/>
          <w:color w:val="000000"/>
        </w:rPr>
        <w:t xml:space="preserve"> que tutela este Órgano Garante </w:t>
      </w:r>
      <w:r w:rsidR="009417CA" w:rsidRPr="009F65F9">
        <w:rPr>
          <w:rFonts w:ascii="Palatino Linotype" w:hAnsi="Palatino Linotype"/>
          <w:color w:val="000000"/>
        </w:rPr>
        <w:lastRenderedPageBreak/>
        <w:t xml:space="preserve">corresponde a la </w:t>
      </w:r>
      <w:r w:rsidR="009417CA" w:rsidRPr="009F65F9">
        <w:rPr>
          <w:rFonts w:ascii="Palatino Linotype" w:hAnsi="Palatino Linotype" w:cs="Arial"/>
          <w:color w:val="000000" w:themeColor="text1"/>
        </w:rPr>
        <w:t xml:space="preserve"> </w:t>
      </w:r>
      <w:r w:rsidR="009417CA" w:rsidRPr="009F65F9">
        <w:rPr>
          <w:rFonts w:ascii="Palatino Linotype" w:eastAsia="MS Mincho" w:hAnsi="Palatino Linotype"/>
          <w:i/>
        </w:rPr>
        <w:t>igualdad de oportunidades para recibir, buscar e impartir información</w:t>
      </w:r>
      <w:r w:rsidR="009417CA" w:rsidRPr="00364908">
        <w:rPr>
          <w:rStyle w:val="Refdenotaalpie"/>
          <w:rFonts w:ascii="Palatino Linotype" w:eastAsia="MS Mincho" w:hAnsi="Palatino Linotype"/>
          <w:i/>
        </w:rPr>
        <w:footnoteReference w:id="6"/>
      </w:r>
      <w:r w:rsidR="009417CA" w:rsidRPr="009F65F9">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9417CA" w:rsidRPr="00364908">
        <w:rPr>
          <w:rStyle w:val="Refdenotaalpie"/>
          <w:rFonts w:ascii="Palatino Linotype" w:eastAsia="MS Mincho" w:hAnsi="Palatino Linotype"/>
        </w:rPr>
        <w:footnoteReference w:id="7"/>
      </w:r>
      <w:r w:rsidR="009417CA" w:rsidRPr="009F65F9">
        <w:rPr>
          <w:rFonts w:ascii="Palatino Linotype" w:eastAsia="MS Mincho" w:hAnsi="Palatino Linotype"/>
          <w:i/>
        </w:rPr>
        <w:t xml:space="preserve"> </w:t>
      </w:r>
      <w:r w:rsidR="009417CA" w:rsidRPr="009F65F9">
        <w:rPr>
          <w:rFonts w:ascii="Palatino Linotype" w:eastAsia="MS Mincho" w:hAnsi="Palatino Linotype"/>
        </w:rPr>
        <w:t xml:space="preserve">que se constituye como una herramienta fundamental para </w:t>
      </w:r>
      <w:r w:rsidR="009417CA" w:rsidRPr="009F65F9">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9417CA" w:rsidRPr="00364908">
        <w:rPr>
          <w:rStyle w:val="Refdenotaalpie"/>
          <w:rFonts w:ascii="Palatino Linotype" w:eastAsia="MS Mincho" w:hAnsi="Palatino Linotype"/>
          <w:i/>
        </w:rPr>
        <w:footnoteReference w:id="8"/>
      </w:r>
      <w:r w:rsidR="009417CA" w:rsidRPr="009F65F9">
        <w:rPr>
          <w:rFonts w:ascii="Palatino Linotype" w:eastAsia="MS Mincho" w:hAnsi="Palatino Linotype"/>
        </w:rPr>
        <w:t>fomentando</w:t>
      </w:r>
      <w:r w:rsidR="009417CA" w:rsidRPr="009F65F9">
        <w:rPr>
          <w:rFonts w:ascii="Palatino Linotype" w:eastAsia="MS Mincho" w:hAnsi="Palatino Linotype"/>
          <w:i/>
        </w:rPr>
        <w:t xml:space="preserve"> la transparencia de las actividades estatales y</w:t>
      </w:r>
      <w:r w:rsidR="009417CA" w:rsidRPr="009F65F9">
        <w:rPr>
          <w:rFonts w:ascii="Palatino Linotype" w:eastAsia="MS Mincho" w:hAnsi="Palatino Linotype"/>
        </w:rPr>
        <w:t xml:space="preserve"> promoviendo</w:t>
      </w:r>
      <w:r w:rsidR="009417CA" w:rsidRPr="009F65F9">
        <w:rPr>
          <w:rFonts w:ascii="Palatino Linotype" w:eastAsia="MS Mincho" w:hAnsi="Palatino Linotype"/>
          <w:i/>
        </w:rPr>
        <w:t xml:space="preserve"> la responsabilidad de los funcionarios sobre su gestión pública</w:t>
      </w:r>
      <w:r w:rsidR="009417CA" w:rsidRPr="00364908">
        <w:rPr>
          <w:rStyle w:val="Refdenotaalpie"/>
          <w:rFonts w:ascii="Palatino Linotype" w:eastAsia="MS Mincho" w:hAnsi="Palatino Linotype"/>
          <w:i/>
        </w:rPr>
        <w:footnoteReference w:id="9"/>
      </w:r>
      <w:r w:rsidR="009417CA" w:rsidRPr="009F65F9">
        <w:rPr>
          <w:rFonts w:ascii="Palatino Linotype" w:eastAsia="MS Mincho" w:hAnsi="Palatino Linotype"/>
          <w:i/>
        </w:rPr>
        <w:t xml:space="preserve"> </w:t>
      </w:r>
      <w:r w:rsidR="009417CA" w:rsidRPr="009F65F9">
        <w:rPr>
          <w:rFonts w:ascii="Palatino Linotype" w:eastAsia="MS Mincho" w:hAnsi="Palatino Linotype"/>
        </w:rPr>
        <w:t>que permite</w:t>
      </w:r>
      <w:r w:rsidR="009417CA" w:rsidRPr="009F65F9">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9417CA" w:rsidRPr="00364908">
        <w:rPr>
          <w:rStyle w:val="Refdenotaalpie"/>
          <w:rFonts w:ascii="Palatino Linotype" w:eastAsia="MS Mincho" w:hAnsi="Palatino Linotype"/>
          <w:i/>
        </w:rPr>
        <w:footnoteReference w:id="10"/>
      </w:r>
      <w:r w:rsidR="009417CA" w:rsidRPr="009F65F9">
        <w:rPr>
          <w:rFonts w:ascii="Palatino Linotype" w:eastAsia="MS Mincho" w:hAnsi="Palatino Linotype"/>
        </w:rPr>
        <w:t xml:space="preserve"> ” </w:t>
      </w:r>
    </w:p>
    <w:p w14:paraId="18F34D5C" w14:textId="77777777" w:rsidR="0028419B" w:rsidRPr="00BE1923" w:rsidRDefault="0028419B" w:rsidP="0028419B">
      <w:pPr>
        <w:pStyle w:val="Prrafodelista"/>
        <w:spacing w:line="360" w:lineRule="auto"/>
        <w:ind w:left="0"/>
        <w:jc w:val="both"/>
        <w:rPr>
          <w:rFonts w:ascii="Palatino Linotype" w:hAnsi="Palatino Linotype"/>
        </w:rPr>
      </w:pPr>
    </w:p>
    <w:p w14:paraId="64F78363"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2F1B5618" w14:textId="77777777" w:rsidR="00BE1923" w:rsidRPr="00BE1923" w:rsidRDefault="00BE1923" w:rsidP="00BE1923">
      <w:pPr>
        <w:pStyle w:val="Prrafodelista"/>
        <w:rPr>
          <w:rFonts w:ascii="Palatino Linotype" w:hAnsi="Palatino Linotype" w:cs="Arial"/>
          <w:i/>
          <w:color w:val="000000" w:themeColor="text1"/>
        </w:rPr>
      </w:pPr>
    </w:p>
    <w:p w14:paraId="06785A4A"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522C7CE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BFC631"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En consecuencia el acceso a la información se refiere a que se cumplan cualquiera de los siguientes tres supuestos:</w:t>
      </w:r>
    </w:p>
    <w:p w14:paraId="4B230258"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generada por los Sujetos Obligados;</w:t>
      </w:r>
    </w:p>
    <w:p w14:paraId="191DBAD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administrada por los Sujetos Obligados, y</w:t>
      </w:r>
    </w:p>
    <w:p w14:paraId="2494BD64" w14:textId="77777777" w:rsidR="009417CA" w:rsidRDefault="009417CA" w:rsidP="00BE1923">
      <w:pPr>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48EB7034" w14:textId="77777777" w:rsidR="0028419B" w:rsidRPr="0002359A" w:rsidRDefault="0028419B" w:rsidP="00BE1923">
      <w:pPr>
        <w:spacing w:line="360" w:lineRule="auto"/>
        <w:ind w:left="567" w:right="567"/>
        <w:jc w:val="both"/>
        <w:rPr>
          <w:rFonts w:ascii="Palatino Linotype" w:hAnsi="Palatino Linotype" w:cs="Arial"/>
          <w:color w:val="000000" w:themeColor="text1"/>
          <w:sz w:val="22"/>
        </w:rPr>
      </w:pPr>
    </w:p>
    <w:p w14:paraId="79327A85"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rPr>
      </w:pPr>
      <w:r w:rsidRPr="00364908">
        <w:rPr>
          <w:rFonts w:ascii="Palatino Linotype" w:hAnsi="Palatino Linotype"/>
        </w:rPr>
        <w:t xml:space="preserve">El </w:t>
      </w:r>
      <w:r w:rsidRPr="003F2795">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local  nos brinda el siguiente concepto, para darnos un mejor panorama:</w:t>
      </w:r>
    </w:p>
    <w:p w14:paraId="0BA1E168" w14:textId="77777777" w:rsidR="00BE1923" w:rsidRPr="00364908" w:rsidRDefault="00BE1923" w:rsidP="00BE1923">
      <w:pPr>
        <w:pStyle w:val="Prrafodelista"/>
        <w:spacing w:line="360" w:lineRule="auto"/>
        <w:ind w:left="0"/>
        <w:jc w:val="both"/>
        <w:rPr>
          <w:rFonts w:ascii="Palatino Linotype" w:hAnsi="Palatino Linotype" w:cs="Arial"/>
        </w:rPr>
      </w:pPr>
    </w:p>
    <w:p w14:paraId="20932E50"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sz w:val="22"/>
        </w:rPr>
      </w:pPr>
      <w:r w:rsidRPr="00872769">
        <w:rPr>
          <w:rFonts w:ascii="Palatino Linotype" w:hAnsi="Palatino Linotype" w:cs="Bookman Old Style,Bold"/>
          <w:b/>
          <w:bCs/>
          <w:i/>
          <w:sz w:val="22"/>
        </w:rPr>
        <w:t xml:space="preserve">XI. Documento: </w:t>
      </w:r>
      <w:r w:rsidRPr="00F06A57">
        <w:rPr>
          <w:rFonts w:ascii="Palatino Linotype" w:hAnsi="Palatino Linotype" w:cs="Bookman Old Style"/>
          <w:i/>
          <w:sz w:val="22"/>
        </w:rPr>
        <w:t>Los expedientes,</w:t>
      </w:r>
      <w:r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Pr="0005504E">
        <w:rPr>
          <w:rFonts w:ascii="Palatino Linotype" w:hAnsi="Palatino Linotype" w:cs="Bookman Old Style"/>
          <w:i/>
          <w:sz w:val="22"/>
        </w:rPr>
        <w:t>cualquier otro registro</w:t>
      </w:r>
      <w:r w:rsidRPr="00872769">
        <w:rPr>
          <w:rFonts w:ascii="Palatino Linotype" w:hAnsi="Palatino Linotype" w:cs="Bookman Old Style"/>
          <w:i/>
          <w:sz w:val="22"/>
        </w:rPr>
        <w:t xml:space="preserve"> que </w:t>
      </w:r>
      <w:r w:rsidRPr="00872769">
        <w:rPr>
          <w:rFonts w:ascii="Palatino Linotype" w:hAnsi="Palatino Linotype" w:cs="Bookman Old Style"/>
          <w:i/>
          <w:sz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5266D02" w14:textId="77777777" w:rsidR="0045375F" w:rsidRDefault="0045375F" w:rsidP="00BE1923">
      <w:pPr>
        <w:autoSpaceDE w:val="0"/>
        <w:autoSpaceDN w:val="0"/>
        <w:adjustRightInd w:val="0"/>
        <w:spacing w:line="360" w:lineRule="auto"/>
        <w:ind w:left="567" w:right="567"/>
        <w:jc w:val="both"/>
        <w:rPr>
          <w:rFonts w:ascii="Palatino Linotype" w:hAnsi="Palatino Linotype" w:cs="Bookman Old Style"/>
          <w:i/>
          <w:sz w:val="22"/>
        </w:rPr>
      </w:pPr>
    </w:p>
    <w:p w14:paraId="49647F6A"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 xml:space="preserve">Es así que, </w:t>
      </w:r>
      <w:r w:rsidRPr="00615D0F">
        <w:rPr>
          <w:rFonts w:ascii="Palatino Linotype" w:hAnsi="Palatino Linotype"/>
        </w:rPr>
        <w:t xml:space="preserve">todos los actos de autoridad que realicen los Sujetos Obligados </w:t>
      </w:r>
      <w:r w:rsidRPr="008C69FA">
        <w:rPr>
          <w:rFonts w:ascii="Palatino Linotype" w:hAnsi="Palatino Linotype"/>
          <w:b/>
        </w:rPr>
        <w:t xml:space="preserve">deben estar </w:t>
      </w:r>
      <w:r w:rsidRPr="003F2795">
        <w:rPr>
          <w:rFonts w:ascii="Palatino Linotype" w:hAnsi="Palatino Linotype"/>
        </w:rPr>
        <w:t>documentados</w:t>
      </w:r>
      <w:r w:rsidRPr="00364908">
        <w:rPr>
          <w:rFonts w:ascii="Palatino Linotype" w:hAnsi="Palatino Linotype"/>
        </w:rPr>
        <w:t xml:space="preserve"> y, bajo el más alto estándar de transparencia deberán poner toda la información que se encuentre en su posesión, a disposición de los particulares que la soliciten.</w:t>
      </w:r>
    </w:p>
    <w:p w14:paraId="68BD6FE8" w14:textId="77777777" w:rsidR="00CD4211" w:rsidRDefault="00CD4211" w:rsidP="00CD4211">
      <w:pPr>
        <w:pStyle w:val="Prrafodelista"/>
        <w:spacing w:line="360" w:lineRule="auto"/>
        <w:ind w:left="0"/>
        <w:jc w:val="both"/>
        <w:rPr>
          <w:rFonts w:ascii="Palatino Linotype" w:hAnsi="Palatino Linotype"/>
        </w:rPr>
      </w:pPr>
    </w:p>
    <w:p w14:paraId="2F78E2DF" w14:textId="77777777" w:rsidR="009417CA" w:rsidRPr="00BE1923"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36490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51DBD441" w14:textId="77777777" w:rsidR="00BE1923" w:rsidRPr="00BE1923" w:rsidRDefault="00BE1923" w:rsidP="00BE1923">
      <w:pPr>
        <w:pStyle w:val="Prrafodelista"/>
        <w:rPr>
          <w:rFonts w:ascii="Palatino Linotype" w:eastAsia="Calibri" w:hAnsi="Palatino Linotype" w:cs="Arial"/>
        </w:rPr>
      </w:pPr>
    </w:p>
    <w:p w14:paraId="4BA444ED"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77F50F9C"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w:t>
      </w:r>
      <w:r w:rsidRPr="00364908">
        <w:rPr>
          <w:rFonts w:ascii="Palatino Linotype" w:hAnsi="Palatino Linotype" w:cs="Bookman Old Style"/>
          <w:i/>
        </w:rPr>
        <w:lastRenderedPageBreak/>
        <w:t>interés público, en los términos de las causas legítimas y estrictamente necesarias previstas por esta Ley.</w:t>
      </w:r>
    </w:p>
    <w:p w14:paraId="0F64D9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EBBD18D"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68F3E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4EA686DB" w14:textId="77777777" w:rsidR="00F06A57"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b/>
          <w:i/>
        </w:rPr>
        <w:t>Los sujetos obligados sólo proporcionarán la información pública que se les requiera y que obre en sus archivos y en el estado en que ésta se encuentre</w:t>
      </w:r>
      <w:r w:rsidRPr="00437282">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w:t>
      </w:r>
      <w:r w:rsidR="00F06A57">
        <w:rPr>
          <w:rFonts w:ascii="Palatino Linotype" w:hAnsi="Palatino Linotype" w:cs="Bookman Old Style"/>
          <w:i/>
        </w:rPr>
        <w:t>os o practicar investigaciones.</w:t>
      </w:r>
    </w:p>
    <w:p w14:paraId="1F80E41C"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474064C" w14:textId="65905B45"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rPr>
        <w:footnoteReference w:id="11"/>
      </w:r>
      <w:r w:rsidRPr="00364908">
        <w:rPr>
          <w:rFonts w:ascii="Palatino Linotype" w:hAnsi="Palatino Linotype"/>
        </w:rPr>
        <w:t xml:space="preserve"> y máxima publicidad, sobre éste último se debe poner mayor </w:t>
      </w:r>
      <w:r w:rsidRPr="00364908">
        <w:rPr>
          <w:rFonts w:ascii="Palatino Linotype" w:hAnsi="Palatino Linotype"/>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7662DDB8" w14:textId="77777777" w:rsidR="00BE1923" w:rsidRDefault="00BE1923" w:rsidP="00BE1923">
      <w:pPr>
        <w:pStyle w:val="Prrafodelista"/>
        <w:spacing w:line="360" w:lineRule="auto"/>
        <w:ind w:left="0"/>
        <w:jc w:val="both"/>
        <w:rPr>
          <w:rFonts w:ascii="Palatino Linotype" w:hAnsi="Palatino Linotype"/>
        </w:rPr>
      </w:pPr>
    </w:p>
    <w:p w14:paraId="32225B44"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0CB7C86" w14:textId="77777777" w:rsidR="00BE1923" w:rsidRPr="00BE1923" w:rsidRDefault="00BE1923" w:rsidP="00BE1923">
      <w:pPr>
        <w:pStyle w:val="Prrafodelista"/>
        <w:rPr>
          <w:rFonts w:ascii="Palatino Linotype" w:hAnsi="Palatino Linotype"/>
        </w:rPr>
      </w:pPr>
    </w:p>
    <w:p w14:paraId="7C4A44FE"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w:t>
      </w:r>
      <w:r w:rsidRPr="004D7D3E">
        <w:rPr>
          <w:rFonts w:ascii="Palatino Linotype" w:hAnsi="Palatino Linotype"/>
          <w:i/>
        </w:rPr>
        <w:lastRenderedPageBreak/>
        <w:t xml:space="preserve">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845CA78"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p>
    <w:p w14:paraId="387543B9"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05B3D9CA" w14:textId="77777777" w:rsidR="009417CA"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Amparo en revisión 257/2012. Ruth Corona Muñoz. 6 de diciembre de 2012. Unanimidad de votos. Ponente: Jean Claude </w:t>
      </w:r>
      <w:proofErr w:type="spellStart"/>
      <w:r w:rsidRPr="004D7D3E">
        <w:rPr>
          <w:rFonts w:ascii="Palatino Linotype" w:hAnsi="Palatino Linotype"/>
          <w:i/>
        </w:rPr>
        <w:t>Tron</w:t>
      </w:r>
      <w:proofErr w:type="spellEnd"/>
      <w:r w:rsidRPr="004D7D3E">
        <w:rPr>
          <w:rFonts w:ascii="Palatino Linotype" w:hAnsi="Palatino Linotype"/>
          <w:i/>
        </w:rPr>
        <w:t xml:space="preserve"> </w:t>
      </w:r>
      <w:proofErr w:type="spellStart"/>
      <w:r w:rsidRPr="004D7D3E">
        <w:rPr>
          <w:rFonts w:ascii="Palatino Linotype" w:hAnsi="Palatino Linotype"/>
          <w:i/>
        </w:rPr>
        <w:t>Petit</w:t>
      </w:r>
      <w:proofErr w:type="spellEnd"/>
      <w:r w:rsidRPr="004D7D3E">
        <w:rPr>
          <w:rFonts w:ascii="Palatino Linotype" w:hAnsi="Palatino Linotype"/>
          <w:i/>
        </w:rPr>
        <w:t>. Secretaria: Mayra Susana Martínez López.</w:t>
      </w:r>
    </w:p>
    <w:p w14:paraId="51544404" w14:textId="77777777" w:rsidR="00CA515B" w:rsidRPr="00E06498" w:rsidRDefault="00CA515B" w:rsidP="00CA515B">
      <w:pPr>
        <w:shd w:val="clear" w:color="auto" w:fill="FFFFFF"/>
        <w:spacing w:line="360" w:lineRule="auto"/>
        <w:contextualSpacing/>
        <w:jc w:val="both"/>
        <w:rPr>
          <w:rFonts w:ascii="Calibri" w:hAnsi="Calibri"/>
          <w:color w:val="222222"/>
        </w:rPr>
      </w:pPr>
    </w:p>
    <w:p w14:paraId="7838EB71" w14:textId="1A03F77E" w:rsidR="007C7F08" w:rsidRDefault="007C7F08" w:rsidP="0028672A">
      <w:pPr>
        <w:pStyle w:val="Prrafodelista"/>
        <w:numPr>
          <w:ilvl w:val="0"/>
          <w:numId w:val="7"/>
        </w:numPr>
        <w:spacing w:line="360" w:lineRule="auto"/>
        <w:ind w:left="0" w:firstLine="0"/>
        <w:jc w:val="both"/>
        <w:rPr>
          <w:rFonts w:ascii="Palatino Linotype" w:hAnsi="Palatino Linotype"/>
          <w:color w:val="000000" w:themeColor="text1"/>
        </w:rPr>
      </w:pPr>
      <w:r w:rsidRPr="003F09D0">
        <w:rPr>
          <w:rFonts w:ascii="Palatino Linotype" w:hAnsi="Palatino Linotype"/>
        </w:rPr>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p>
    <w:p w14:paraId="0B3C540F" w14:textId="77777777" w:rsidR="0028419B" w:rsidRDefault="0028419B" w:rsidP="0028419B">
      <w:pPr>
        <w:spacing w:line="360" w:lineRule="auto"/>
        <w:jc w:val="both"/>
        <w:rPr>
          <w:rFonts w:ascii="Palatino Linotype" w:hAnsi="Palatino Linotype"/>
          <w:color w:val="000000" w:themeColor="text1"/>
        </w:rPr>
      </w:pPr>
    </w:p>
    <w:p w14:paraId="7EFB7D1D" w14:textId="77777777" w:rsidR="0028419B" w:rsidRDefault="0028419B" w:rsidP="0028419B">
      <w:pPr>
        <w:spacing w:line="360" w:lineRule="auto"/>
        <w:jc w:val="both"/>
        <w:rPr>
          <w:rFonts w:ascii="Palatino Linotype" w:hAnsi="Palatino Linotype"/>
          <w:color w:val="000000" w:themeColor="text1"/>
        </w:rPr>
      </w:pPr>
    </w:p>
    <w:p w14:paraId="10FBC171" w14:textId="77777777" w:rsidR="0028419B" w:rsidRDefault="0028419B" w:rsidP="0028419B">
      <w:pPr>
        <w:spacing w:line="360" w:lineRule="auto"/>
        <w:jc w:val="both"/>
        <w:rPr>
          <w:rFonts w:ascii="Palatino Linotype" w:hAnsi="Palatino Linotype"/>
          <w:color w:val="000000" w:themeColor="text1"/>
        </w:rPr>
      </w:pPr>
    </w:p>
    <w:p w14:paraId="2538C1ED" w14:textId="77777777" w:rsidR="0028419B" w:rsidRPr="0028419B" w:rsidRDefault="0028419B" w:rsidP="0028419B">
      <w:pPr>
        <w:spacing w:line="360" w:lineRule="auto"/>
        <w:jc w:val="both"/>
        <w:rPr>
          <w:rFonts w:ascii="Palatino Linotype" w:hAnsi="Palatino Linotype"/>
          <w:color w:val="000000" w:themeColor="text1"/>
        </w:rPr>
      </w:pPr>
    </w:p>
    <w:p w14:paraId="40BE9D81" w14:textId="77777777" w:rsidR="007C7F08" w:rsidRDefault="007C7F08" w:rsidP="00C5741E">
      <w:pPr>
        <w:pStyle w:val="Ttulo1"/>
        <w:spacing w:before="0" w:line="360" w:lineRule="auto"/>
        <w:jc w:val="center"/>
        <w:rPr>
          <w:rFonts w:ascii="Palatino Linotype" w:eastAsia="Calibri" w:hAnsi="Palatino Linotype"/>
          <w:b/>
          <w:color w:val="000000" w:themeColor="text1"/>
          <w:sz w:val="24"/>
          <w:szCs w:val="24"/>
          <w:lang w:val="es-ES"/>
        </w:rPr>
      </w:pPr>
      <w:bookmarkStart w:id="231" w:name="_Toc504500693"/>
      <w:bookmarkStart w:id="232" w:name="_Toc534742545"/>
      <w:bookmarkStart w:id="233" w:name="_Toc2248738"/>
      <w:bookmarkStart w:id="234" w:name="_Toc34819440"/>
      <w:bookmarkStart w:id="235" w:name="_Toc51259595"/>
      <w:bookmarkStart w:id="236" w:name="_Toc52472147"/>
      <w:bookmarkStart w:id="237" w:name="_Toc63932077"/>
      <w:bookmarkStart w:id="238" w:name="_Toc86947368"/>
      <w:r w:rsidRPr="007C7F08">
        <w:rPr>
          <w:rFonts w:ascii="Palatino Linotype" w:eastAsia="Calibri" w:hAnsi="Palatino Linotype"/>
          <w:b/>
          <w:color w:val="000000" w:themeColor="text1"/>
          <w:sz w:val="24"/>
          <w:szCs w:val="24"/>
          <w:lang w:val="es-ES"/>
        </w:rPr>
        <w:lastRenderedPageBreak/>
        <w:t>R E S O L U T I V O S</w:t>
      </w:r>
      <w:bookmarkEnd w:id="231"/>
      <w:bookmarkEnd w:id="232"/>
      <w:bookmarkEnd w:id="233"/>
      <w:bookmarkEnd w:id="234"/>
      <w:bookmarkEnd w:id="235"/>
      <w:bookmarkEnd w:id="236"/>
      <w:bookmarkEnd w:id="237"/>
      <w:bookmarkEnd w:id="238"/>
      <w:r w:rsidRPr="007C7F08">
        <w:rPr>
          <w:rFonts w:ascii="Palatino Linotype" w:eastAsia="Calibri" w:hAnsi="Palatino Linotype"/>
          <w:b/>
          <w:color w:val="000000" w:themeColor="text1"/>
          <w:sz w:val="24"/>
          <w:szCs w:val="24"/>
          <w:lang w:val="es-ES"/>
        </w:rPr>
        <w:t xml:space="preserve"> </w:t>
      </w:r>
    </w:p>
    <w:p w14:paraId="2784BB17" w14:textId="10DD6C3D" w:rsidR="0028419B" w:rsidRPr="0028419B" w:rsidRDefault="0028419B" w:rsidP="0028419B">
      <w:pPr>
        <w:spacing w:before="240" w:after="240" w:line="360" w:lineRule="auto"/>
        <w:jc w:val="both"/>
        <w:rPr>
          <w:rFonts w:ascii="Palatino Linotype" w:hAnsi="Palatino Linotype" w:cs="Arial"/>
        </w:rPr>
      </w:pPr>
      <w:r w:rsidRPr="0028419B">
        <w:rPr>
          <w:rFonts w:ascii="Palatino Linotype" w:hAnsi="Palatino Linotype" w:cs="Arial"/>
          <w:b/>
          <w:bCs/>
        </w:rPr>
        <w:t>PRIMERO</w:t>
      </w:r>
      <w:r w:rsidRPr="0028419B">
        <w:rPr>
          <w:rFonts w:ascii="Palatino Linotype" w:hAnsi="Palatino Linotype" w:cs="Arial"/>
        </w:rPr>
        <w:t>. Resultan infundadas las</w:t>
      </w:r>
      <w:r w:rsidRPr="0028419B">
        <w:rPr>
          <w:rFonts w:ascii="Palatino Linotype" w:hAnsi="Palatino Linotype" w:cs="Arial"/>
          <w:b/>
        </w:rPr>
        <w:t xml:space="preserve"> </w:t>
      </w:r>
      <w:r w:rsidRPr="0028419B">
        <w:rPr>
          <w:rFonts w:ascii="Palatino Linotype" w:hAnsi="Palatino Linotype" w:cs="Arial"/>
          <w:lang w:val="es-ES"/>
        </w:rPr>
        <w:t xml:space="preserve">razones o motivos de inconformidad hechos valer </w:t>
      </w:r>
      <w:r w:rsidRPr="0028419B">
        <w:rPr>
          <w:rFonts w:ascii="Palatino Linotype" w:eastAsia="Calibri" w:hAnsi="Palatino Linotype" w:cs="Arial"/>
          <w:lang w:val="es-ES"/>
        </w:rPr>
        <w:t xml:space="preserve">en el recurso de revisión </w:t>
      </w:r>
      <w:r w:rsidRPr="0028419B">
        <w:rPr>
          <w:rFonts w:ascii="Palatino Linotype" w:hAnsi="Palatino Linotype" w:cs="Arial"/>
          <w:b/>
          <w:bCs/>
        </w:rPr>
        <w:t xml:space="preserve">03603/INFOEM/IP/RR/2021, </w:t>
      </w:r>
      <w:r w:rsidRPr="0028419B">
        <w:rPr>
          <w:rFonts w:ascii="Palatino Linotype" w:hAnsi="Palatino Linotype" w:cs="Arial"/>
          <w:bCs/>
        </w:rPr>
        <w:t xml:space="preserve">en términos del </w:t>
      </w:r>
      <w:r w:rsidRPr="0028419B">
        <w:rPr>
          <w:rFonts w:ascii="Palatino Linotype" w:hAnsi="Palatino Linotype" w:cs="Arial"/>
          <w:b/>
          <w:bCs/>
        </w:rPr>
        <w:t>Considerando</w:t>
      </w:r>
      <w:r w:rsidRPr="0028419B">
        <w:rPr>
          <w:rFonts w:ascii="Palatino Linotype" w:hAnsi="Palatino Linotype" w:cs="Arial"/>
          <w:bCs/>
        </w:rPr>
        <w:t xml:space="preserve"> </w:t>
      </w:r>
      <w:r>
        <w:rPr>
          <w:rFonts w:ascii="Palatino Linotype" w:hAnsi="Palatino Linotype" w:cs="Arial"/>
          <w:b/>
          <w:bCs/>
        </w:rPr>
        <w:t>CUAR</w:t>
      </w:r>
      <w:r w:rsidRPr="0028419B">
        <w:rPr>
          <w:rFonts w:ascii="Palatino Linotype" w:hAnsi="Palatino Linotype" w:cs="Arial"/>
          <w:b/>
          <w:bCs/>
        </w:rPr>
        <w:t>TO</w:t>
      </w:r>
      <w:r w:rsidRPr="0028419B">
        <w:rPr>
          <w:rFonts w:ascii="Palatino Linotype" w:hAnsi="Palatino Linotype" w:cs="Arial"/>
          <w:bCs/>
        </w:rPr>
        <w:t xml:space="preserve"> de la presente resolución.</w:t>
      </w:r>
    </w:p>
    <w:p w14:paraId="2A0A1AE7" w14:textId="3EF5319A" w:rsidR="0028419B" w:rsidRPr="0028419B" w:rsidRDefault="0028419B" w:rsidP="0028419B">
      <w:pPr>
        <w:spacing w:before="240" w:after="240" w:line="360" w:lineRule="auto"/>
        <w:jc w:val="both"/>
        <w:rPr>
          <w:rFonts w:ascii="Palatino Linotype" w:eastAsia="Calibri" w:hAnsi="Palatino Linotype" w:cs="Arial"/>
          <w:lang w:val="es-ES"/>
        </w:rPr>
      </w:pPr>
      <w:r w:rsidRPr="0028419B">
        <w:rPr>
          <w:rFonts w:ascii="Palatino Linotype" w:hAnsi="Palatino Linotype"/>
          <w:b/>
        </w:rPr>
        <w:t>SEGUNDO.</w:t>
      </w:r>
      <w:r w:rsidRPr="0028419B">
        <w:rPr>
          <w:rStyle w:val="Ttulo2Car"/>
          <w:sz w:val="24"/>
          <w:szCs w:val="24"/>
        </w:rPr>
        <w:t xml:space="preserve"> </w:t>
      </w:r>
      <w:r w:rsidRPr="0028419B">
        <w:rPr>
          <w:rFonts w:ascii="Palatino Linotype" w:eastAsia="Calibri" w:hAnsi="Palatino Linotype" w:cs="Arial"/>
          <w:lang w:val="es-ES"/>
        </w:rPr>
        <w:t>Se</w:t>
      </w:r>
      <w:r w:rsidRPr="0028419B">
        <w:rPr>
          <w:rFonts w:ascii="Palatino Linotype" w:eastAsia="Calibri" w:hAnsi="Palatino Linotype" w:cs="Arial"/>
          <w:b/>
          <w:lang w:val="es-ES"/>
        </w:rPr>
        <w:t xml:space="preserve"> CONFIRMA </w:t>
      </w:r>
      <w:r w:rsidRPr="0028419B">
        <w:rPr>
          <w:rFonts w:ascii="Palatino Linotype" w:eastAsia="Calibri" w:hAnsi="Palatino Linotype" w:cs="Arial"/>
          <w:lang w:val="es-ES"/>
        </w:rPr>
        <w:t xml:space="preserve">la respuesta emitida por la </w:t>
      </w:r>
      <w:r w:rsidRPr="0028419B">
        <w:rPr>
          <w:rFonts w:ascii="Palatino Linotype" w:hAnsi="Palatino Linotype"/>
          <w:b/>
        </w:rPr>
        <w:t>Secretaría de Seguridad</w:t>
      </w:r>
      <w:r w:rsidRPr="0028419B">
        <w:rPr>
          <w:rFonts w:ascii="Palatino Linotype" w:eastAsia="Calibri" w:hAnsi="Palatino Linotype" w:cs="Arial"/>
          <w:lang w:val="es-ES"/>
        </w:rPr>
        <w:t xml:space="preserve"> a la solicitud</w:t>
      </w:r>
      <w:r>
        <w:rPr>
          <w:rFonts w:ascii="Palatino Linotype" w:eastAsia="Calibri" w:hAnsi="Palatino Linotype" w:cs="Arial"/>
          <w:lang w:val="es-ES"/>
        </w:rPr>
        <w:t xml:space="preserve"> de información</w:t>
      </w:r>
      <w:r w:rsidRPr="0028419B">
        <w:rPr>
          <w:rFonts w:ascii="Palatino Linotype" w:eastAsia="Calibri" w:hAnsi="Palatino Linotype" w:cs="Arial"/>
          <w:lang w:val="es-ES"/>
        </w:rPr>
        <w:t xml:space="preserve"> </w:t>
      </w:r>
      <w:r w:rsidRPr="0028419B">
        <w:rPr>
          <w:rFonts w:ascii="Palatino Linotype" w:eastAsia="Calibri" w:hAnsi="Palatino Linotype" w:cs="Arial"/>
          <w:b/>
          <w:lang w:val="es-ES"/>
        </w:rPr>
        <w:t>00322/SSEM/IP/2021</w:t>
      </w:r>
      <w:r w:rsidRPr="0028419B">
        <w:rPr>
          <w:rFonts w:ascii="Palatino Linotype" w:eastAsia="Calibri" w:hAnsi="Palatino Linotype" w:cs="Arial"/>
          <w:lang w:val="es-ES"/>
        </w:rPr>
        <w:t xml:space="preserve">. </w:t>
      </w:r>
    </w:p>
    <w:p w14:paraId="60B6D693" w14:textId="5F7CB0D2" w:rsidR="0028419B" w:rsidRPr="0028419B" w:rsidRDefault="0028419B" w:rsidP="0028419B">
      <w:pPr>
        <w:shd w:val="clear" w:color="auto" w:fill="FFFFFF"/>
        <w:spacing w:before="240" w:after="360" w:line="360" w:lineRule="auto"/>
        <w:jc w:val="both"/>
        <w:rPr>
          <w:rStyle w:val="Ttulo2Car"/>
          <w:b/>
          <w:sz w:val="24"/>
          <w:szCs w:val="24"/>
        </w:rPr>
      </w:pPr>
      <w:bookmarkStart w:id="239" w:name="_Toc461648590"/>
      <w:bookmarkStart w:id="240" w:name="_Toc461648682"/>
      <w:bookmarkStart w:id="241" w:name="_Toc462228049"/>
      <w:bookmarkStart w:id="242" w:name="_Toc462228129"/>
      <w:bookmarkStart w:id="243" w:name="_Toc496099789"/>
      <w:bookmarkStart w:id="244" w:name="_Toc496100166"/>
      <w:bookmarkStart w:id="245" w:name="_Toc499756977"/>
      <w:bookmarkStart w:id="246" w:name="_Toc499757020"/>
      <w:bookmarkStart w:id="247" w:name="_Toc504377974"/>
      <w:r w:rsidRPr="0028419B">
        <w:rPr>
          <w:rFonts w:ascii="Palatino Linotype" w:hAnsi="Palatino Linotype" w:cs="Arial"/>
          <w:b/>
        </w:rPr>
        <w:t>TERCERO.</w:t>
      </w:r>
      <w:bookmarkEnd w:id="239"/>
      <w:bookmarkEnd w:id="240"/>
      <w:bookmarkEnd w:id="241"/>
      <w:bookmarkEnd w:id="242"/>
      <w:bookmarkEnd w:id="243"/>
      <w:bookmarkEnd w:id="244"/>
      <w:bookmarkEnd w:id="245"/>
      <w:bookmarkEnd w:id="246"/>
      <w:bookmarkEnd w:id="247"/>
      <w:r w:rsidRPr="0028419B">
        <w:rPr>
          <w:rFonts w:ascii="Palatino Linotype" w:hAnsi="Palatino Linotype" w:cs="Arial"/>
          <w:b/>
        </w:rPr>
        <w:t xml:space="preserve"> </w:t>
      </w:r>
      <w:r w:rsidRPr="00030C01">
        <w:rPr>
          <w:rFonts w:ascii="Palatino Linotype" w:eastAsia="Palatino Linotype" w:hAnsi="Palatino Linotype" w:cs="Palatino Linotype"/>
          <w:b/>
        </w:rPr>
        <w:t xml:space="preserve">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vía SAIMEX, para su conocimiento</w:t>
      </w:r>
      <w:r w:rsidRPr="0028419B">
        <w:rPr>
          <w:rFonts w:ascii="Palatino Linotype" w:eastAsia="MS Mincho" w:hAnsi="Palatino Linotype"/>
          <w:color w:val="000000" w:themeColor="text1"/>
          <w:shd w:val="clear" w:color="auto" w:fill="FFFFFF"/>
        </w:rPr>
        <w:t>.</w:t>
      </w:r>
    </w:p>
    <w:p w14:paraId="6152AA41" w14:textId="7919C147" w:rsidR="0028419B" w:rsidRPr="0028419B" w:rsidRDefault="0028419B" w:rsidP="0028419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28419B">
        <w:rPr>
          <w:rFonts w:ascii="Palatino Linotype" w:hAnsi="Palatino Linotype" w:cs="Arial"/>
          <w:b/>
        </w:rPr>
        <w:t>CUARTO</w:t>
      </w:r>
      <w:r w:rsidRPr="0028419B">
        <w:rPr>
          <w:rFonts w:ascii="Palatino Linotype" w:hAnsi="Palatino Linotype"/>
          <w:b/>
          <w:color w:val="222222"/>
          <w:lang w:eastAsia="es-ES_tradnl"/>
        </w:rPr>
        <w:t xml:space="preserve">. Notifíquese </w:t>
      </w:r>
      <w:r w:rsidRPr="0028419B">
        <w:rPr>
          <w:rFonts w:ascii="Palatino Linotype" w:hAnsi="Palatino Linotype"/>
          <w:color w:val="222222"/>
          <w:lang w:eastAsia="es-ES_tradnl"/>
        </w:rPr>
        <w:t>a</w:t>
      </w:r>
      <w:r w:rsidRPr="0028419B">
        <w:rPr>
          <w:rFonts w:ascii="Palatino Linotype" w:hAnsi="Palatino Linotype"/>
          <w:b/>
          <w:color w:val="222222"/>
          <w:lang w:eastAsia="es-ES_tradnl"/>
        </w:rPr>
        <w:t xml:space="preserve"> </w:t>
      </w:r>
      <w:r w:rsidRPr="0028419B">
        <w:rPr>
          <w:rFonts w:ascii="Palatino Linotype" w:hAnsi="Palatino Linotype"/>
          <w:b/>
        </w:rPr>
        <w:t>EL RECURRENTE</w:t>
      </w:r>
      <w:r w:rsidRPr="0028419B">
        <w:rPr>
          <w:rFonts w:ascii="Palatino Linotype" w:hAnsi="Palatino Linotype"/>
          <w:color w:val="222222"/>
          <w:lang w:eastAsia="es-ES_tradnl"/>
        </w:rPr>
        <w:t xml:space="preserve"> la presente resolución vía </w:t>
      </w:r>
      <w:r>
        <w:rPr>
          <w:rFonts w:ascii="Palatino Linotype" w:hAnsi="Palatino Linotype"/>
          <w:color w:val="222222"/>
          <w:lang w:eastAsia="es-ES_tradnl"/>
        </w:rPr>
        <w:t>SAIMEX y correo electrónico</w:t>
      </w:r>
      <w:r w:rsidRPr="0028419B">
        <w:rPr>
          <w:rFonts w:ascii="Palatino Linotype" w:eastAsia="MS Mincho" w:hAnsi="Palatino Linotype"/>
          <w:color w:val="000000" w:themeColor="text1"/>
          <w:shd w:val="clear" w:color="auto" w:fill="FFFFFF"/>
        </w:rPr>
        <w:t>.</w:t>
      </w:r>
    </w:p>
    <w:p w14:paraId="16F5287C" w14:textId="3411CAF6" w:rsidR="0028419B" w:rsidRPr="0028419B" w:rsidRDefault="0028419B" w:rsidP="0028419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28419B">
        <w:rPr>
          <w:rFonts w:ascii="Palatino Linotype" w:hAnsi="Palatino Linotype"/>
          <w:b/>
          <w:color w:val="222222"/>
          <w:lang w:eastAsia="es-ES_tradnl"/>
        </w:rPr>
        <w:t xml:space="preserve">QUINTO. </w:t>
      </w:r>
      <w:r w:rsidRPr="00030C01">
        <w:rPr>
          <w:rFonts w:ascii="Palatino Linotype" w:eastAsia="MS Mincho" w:hAnsi="Palatino Linotype"/>
        </w:rPr>
        <w:t xml:space="preserve">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6E784A54" w14:textId="77777777" w:rsidR="00E771E0" w:rsidRPr="00030C01" w:rsidRDefault="00E771E0" w:rsidP="00C5741E">
      <w:pPr>
        <w:autoSpaceDE w:val="0"/>
        <w:autoSpaceDN w:val="0"/>
        <w:adjustRightInd w:val="0"/>
        <w:spacing w:line="360" w:lineRule="auto"/>
        <w:ind w:right="49"/>
        <w:jc w:val="both"/>
        <w:rPr>
          <w:rFonts w:ascii="Palatino Linotype" w:eastAsia="MS Mincho" w:hAnsi="Palatino Linotype"/>
        </w:rPr>
      </w:pPr>
    </w:p>
    <w:p w14:paraId="439EA3B8" w14:textId="77777777" w:rsidR="0028419B" w:rsidRPr="00D27215" w:rsidRDefault="0028419B" w:rsidP="0028419B">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RESUELVE, POR </w:t>
      </w:r>
      <w:r w:rsidRPr="00160E2D">
        <w:rPr>
          <w:rFonts w:ascii="Palatino Linotype" w:hAnsi="Palatino Linotype" w:cs="Arial"/>
        </w:rPr>
        <w:t>UNANIMIDAD DE VOTOS</w:t>
      </w:r>
      <w:r w:rsidRPr="00D27215">
        <w:rPr>
          <w:rFonts w:ascii="Palatino Linotype" w:hAnsi="Palatino Linotype" w:cs="Arial"/>
        </w:rPr>
        <w:t>,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w:t>
      </w:r>
      <w:r w:rsidRPr="009A1A1D">
        <w:rPr>
          <w:rFonts w:ascii="Palatino Linotype" w:hAnsi="Palatino Linotype" w:cs="Arial"/>
        </w:rPr>
        <w:t>JOSÉ MARTÍNEZ VILCHIS</w:t>
      </w:r>
      <w:r w:rsidRPr="00D27215">
        <w:rPr>
          <w:rFonts w:ascii="Palatino Linotype" w:hAnsi="Palatino Linotype" w:cs="Arial"/>
        </w:rPr>
        <w:t>;</w:t>
      </w:r>
      <w:r>
        <w:rPr>
          <w:rFonts w:ascii="Palatino Linotype" w:hAnsi="Palatino Linotype" w:cs="Arial"/>
        </w:rPr>
        <w:t xml:space="preserve"> </w:t>
      </w:r>
      <w:r w:rsidRPr="009A1A1D">
        <w:rPr>
          <w:rFonts w:ascii="Palatino Linotype" w:hAnsi="Palatino Linotype" w:cs="Arial"/>
        </w:rPr>
        <w:t>MARÍA DEL ROSARIO MEJÍA AYALA</w:t>
      </w:r>
      <w:r>
        <w:rPr>
          <w:rFonts w:ascii="Palatino Linotype" w:hAnsi="Palatino Linotype" w:cs="Arial"/>
        </w:rPr>
        <w:t xml:space="preserve">; </w:t>
      </w:r>
      <w:r w:rsidRPr="009A1A1D">
        <w:rPr>
          <w:rFonts w:ascii="Palatino Linotype" w:hAnsi="Palatino Linotype" w:cs="Arial"/>
        </w:rPr>
        <w:t xml:space="preserve">SHARON CRISTINA </w:t>
      </w:r>
      <w:r w:rsidRPr="009A1A1D">
        <w:rPr>
          <w:rFonts w:ascii="Palatino Linotype" w:hAnsi="Palatino Linotype" w:cs="Arial"/>
        </w:rPr>
        <w:lastRenderedPageBreak/>
        <w:t>MORALES MARTÍNEZ</w:t>
      </w:r>
      <w:r>
        <w:rPr>
          <w:rFonts w:ascii="Palatino Linotype" w:hAnsi="Palatino Linotype" w:cs="Arial"/>
        </w:rPr>
        <w:t xml:space="preserve">; </w:t>
      </w:r>
      <w:r w:rsidRPr="009A1A1D">
        <w:rPr>
          <w:rFonts w:ascii="Palatino Linotype" w:hAnsi="Palatino Linotype" w:cs="Arial"/>
        </w:rPr>
        <w:t>GUADALUPE RAMÍREZ PEÑA</w:t>
      </w:r>
      <w:r w:rsidRPr="00D27215">
        <w:rPr>
          <w:rFonts w:ascii="Palatino Linotype" w:hAnsi="Palatino Linotype" w:cs="Arial"/>
        </w:rPr>
        <w:t xml:space="preserve"> Y LUIS GUSTAVO PARRA NORIEGA; EN LA </w:t>
      </w:r>
      <w:r>
        <w:rPr>
          <w:rFonts w:ascii="Palatino Linotype" w:hAnsi="Palatino Linotype" w:cs="Arial"/>
        </w:rPr>
        <w:t xml:space="preserve">CUADRAGÉSIMA SESIÓN ORDINARIA CELEBRADA EL DIEZ </w:t>
      </w:r>
      <w:r w:rsidRPr="00D27215">
        <w:rPr>
          <w:rFonts w:ascii="Palatino Linotype" w:hAnsi="Palatino Linotype" w:cs="Arial"/>
        </w:rPr>
        <w:t xml:space="preserve">DE </w:t>
      </w:r>
      <w:r>
        <w:rPr>
          <w:rFonts w:ascii="Palatino Linotype" w:hAnsi="Palatino Linotype" w:cs="Arial"/>
        </w:rPr>
        <w:t>NOVIEMBRE</w:t>
      </w:r>
      <w:r w:rsidRPr="00D27215">
        <w:rPr>
          <w:rFonts w:ascii="Palatino Linotype" w:hAnsi="Palatino Linotype" w:cs="Arial"/>
        </w:rPr>
        <w:t xml:space="preserve"> DE DOS MIL VEINTIUNO, ANTE EL SECRETARIO TÉCNICO DEL PLENO, </w:t>
      </w:r>
      <w:r w:rsidRPr="00D27215">
        <w:rPr>
          <w:rFonts w:ascii="Palatino Linotype" w:hAnsi="Palatino Linotype"/>
        </w:rPr>
        <w:t>ALEXIS TAPIA RAMÍREZ</w:t>
      </w:r>
      <w:r w:rsidRPr="00D27215">
        <w:rPr>
          <w:rFonts w:ascii="Palatino Linotype" w:hAnsi="Palatino Linotype" w:cs="Arial"/>
        </w:rPr>
        <w:t>.</w:t>
      </w:r>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C871AA">
      <w:headerReference w:type="default" r:id="rId13"/>
      <w:footerReference w:type="default" r:id="rId14"/>
      <w:headerReference w:type="first" r:id="rId15"/>
      <w:footerReference w:type="first" r:id="rId16"/>
      <w:pgSz w:w="12240" w:h="15840"/>
      <w:pgMar w:top="2269" w:right="1701"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97643" w14:textId="77777777" w:rsidR="004E5CA8" w:rsidRDefault="004E5CA8" w:rsidP="00C80F8C">
      <w:r>
        <w:separator/>
      </w:r>
    </w:p>
  </w:endnote>
  <w:endnote w:type="continuationSeparator" w:id="0">
    <w:p w14:paraId="7F3E72A7" w14:textId="77777777" w:rsidR="004E5CA8" w:rsidRDefault="004E5C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434EF7" w:rsidRDefault="00434EF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5E32">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5E32">
      <w:rPr>
        <w:rFonts w:ascii="Arial" w:hAnsi="Arial" w:cs="Arial"/>
        <w:b/>
        <w:bCs/>
        <w:noProof/>
        <w:sz w:val="20"/>
        <w:szCs w:val="20"/>
      </w:rPr>
      <w:t>32</w:t>
    </w:r>
    <w:r>
      <w:rPr>
        <w:rFonts w:ascii="Arial" w:hAnsi="Arial" w:cs="Arial"/>
        <w:b/>
        <w:bCs/>
        <w:sz w:val="20"/>
        <w:szCs w:val="20"/>
      </w:rPr>
      <w:fldChar w:fldCharType="end"/>
    </w:r>
  </w:p>
  <w:p w14:paraId="1192A578" w14:textId="77777777" w:rsidR="00434EF7" w:rsidRDefault="00434EF7" w:rsidP="00935A0D">
    <w:pPr>
      <w:pStyle w:val="Piedepgina"/>
      <w:rPr>
        <w:rFonts w:ascii="Times New Roman" w:hAnsi="Times New Roman" w:cs="Times New Roman"/>
      </w:rPr>
    </w:pPr>
  </w:p>
  <w:p w14:paraId="14A770F8" w14:textId="77777777" w:rsidR="00434EF7" w:rsidRDefault="00434EF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434EF7" w:rsidRDefault="00434EF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5E3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5E32">
      <w:rPr>
        <w:rFonts w:ascii="Arial" w:hAnsi="Arial" w:cs="Arial"/>
        <w:b/>
        <w:bCs/>
        <w:noProof/>
        <w:sz w:val="20"/>
        <w:szCs w:val="20"/>
      </w:rPr>
      <w:t>32</w:t>
    </w:r>
    <w:r>
      <w:rPr>
        <w:rFonts w:ascii="Arial" w:hAnsi="Arial" w:cs="Arial"/>
        <w:b/>
        <w:bCs/>
        <w:sz w:val="20"/>
        <w:szCs w:val="20"/>
      </w:rPr>
      <w:fldChar w:fldCharType="end"/>
    </w:r>
  </w:p>
  <w:p w14:paraId="5D98ABD5" w14:textId="77777777" w:rsidR="00434EF7" w:rsidRDefault="00434E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EACF1" w14:textId="77777777" w:rsidR="004E5CA8" w:rsidRDefault="004E5CA8" w:rsidP="00C80F8C">
      <w:r>
        <w:separator/>
      </w:r>
    </w:p>
  </w:footnote>
  <w:footnote w:type="continuationSeparator" w:id="0">
    <w:p w14:paraId="49E0CAFD" w14:textId="77777777" w:rsidR="004E5CA8" w:rsidRDefault="004E5CA8" w:rsidP="00C80F8C">
      <w:r>
        <w:continuationSeparator/>
      </w:r>
    </w:p>
  </w:footnote>
  <w:footnote w:id="1">
    <w:p w14:paraId="3CA21227" w14:textId="77777777" w:rsidR="00C93C30" w:rsidRPr="009C43C2" w:rsidRDefault="00C93C30"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C93C30" w:rsidRPr="009C43C2" w:rsidRDefault="00C93C30"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C93C30" w:rsidRPr="009C43C2" w:rsidRDefault="00C93C30"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C93C30" w:rsidRDefault="00C93C30"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39AA036B" w14:textId="77777777" w:rsidR="00F23A06" w:rsidRDefault="00F23A06" w:rsidP="00F23A06">
      <w:pPr>
        <w:pStyle w:val="Textonotapie"/>
      </w:pPr>
      <w:r>
        <w:rPr>
          <w:rStyle w:val="Refdenotaalpie"/>
        </w:rPr>
        <w:footnoteRef/>
      </w:r>
      <w:r>
        <w:t xml:space="preserve"> Fracción IV. Artículo 53. Ibídem.</w:t>
      </w:r>
    </w:p>
  </w:footnote>
  <w:footnote w:id="6">
    <w:p w14:paraId="61D4D1B7" w14:textId="77777777" w:rsidR="00434EF7" w:rsidRDefault="00434EF7" w:rsidP="009417CA">
      <w:pPr>
        <w:pStyle w:val="Textonotapie"/>
      </w:pPr>
      <w:r>
        <w:rPr>
          <w:rStyle w:val="Refdenotaalpie"/>
        </w:rPr>
        <w:footnoteRef/>
      </w:r>
      <w:r>
        <w:t xml:space="preserve"> Convención Americana sobre Derechos Humanos. Artículo 13.</w:t>
      </w:r>
    </w:p>
  </w:footnote>
  <w:footnote w:id="7">
    <w:p w14:paraId="3C7E4082" w14:textId="77777777" w:rsidR="00434EF7" w:rsidRDefault="00434EF7" w:rsidP="009417CA">
      <w:pPr>
        <w:pStyle w:val="Textonotapie"/>
      </w:pPr>
      <w:r>
        <w:rPr>
          <w:rStyle w:val="Refdenotaalpie"/>
        </w:rPr>
        <w:footnoteRef/>
      </w:r>
      <w:r>
        <w:t xml:space="preserve"> Constitución Política de los Estados Unidos Mexicanos. Artículo sexto, sección A, Fracción I.</w:t>
      </w:r>
    </w:p>
  </w:footnote>
  <w:footnote w:id="8">
    <w:p w14:paraId="527D8BB3" w14:textId="77777777" w:rsidR="00434EF7" w:rsidRPr="00F411B8" w:rsidRDefault="00434EF7"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35652F04" w14:textId="77777777" w:rsidR="00434EF7" w:rsidRPr="00F411B8" w:rsidRDefault="00434EF7"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10">
    <w:p w14:paraId="05C96FE4" w14:textId="77777777" w:rsidR="00434EF7" w:rsidRDefault="00434EF7" w:rsidP="009417CA">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11">
    <w:p w14:paraId="1BD64397" w14:textId="77777777" w:rsidR="00434EF7" w:rsidRDefault="00434EF7" w:rsidP="009417CA">
      <w:pPr>
        <w:pStyle w:val="Textonotapie"/>
      </w:pPr>
      <w:r>
        <w:rPr>
          <w:rStyle w:val="Refdenotaalpie"/>
        </w:rPr>
        <w:footnoteRef/>
      </w:r>
      <w:r>
        <w:t xml:space="preserve"> Ley de Transparencia y Acceso a la Información Pública del Estado de México y Municipios. Artículo 9. …</w:t>
      </w:r>
    </w:p>
    <w:p w14:paraId="05EBAF75" w14:textId="77777777" w:rsidR="00434EF7" w:rsidRDefault="00434EF7" w:rsidP="009417CA">
      <w:pPr>
        <w:pStyle w:val="Textonotapie"/>
      </w:pPr>
      <w:r>
        <w:t>II. Eficacia: Obligación del Instituto para tutelar, de manera efectiva, el derecho de acceso a la información;</w:t>
      </w:r>
    </w:p>
    <w:p w14:paraId="3DB6C670" w14:textId="77777777" w:rsidR="00434EF7" w:rsidRDefault="00434EF7" w:rsidP="009417C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434EF7" w14:paraId="6B4E3B81" w14:textId="77777777" w:rsidTr="007E2BE8">
      <w:tc>
        <w:tcPr>
          <w:tcW w:w="2552" w:type="dxa"/>
          <w:vAlign w:val="center"/>
          <w:hideMark/>
        </w:tcPr>
        <w:p w14:paraId="0ABBC6C0" w14:textId="7C21B4C9" w:rsidR="00434EF7" w:rsidRPr="008C5395" w:rsidRDefault="00434EF7"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37429838" w:rsidR="00434EF7" w:rsidRPr="008C5395" w:rsidRDefault="00434EF7" w:rsidP="00434EF7">
          <w:pPr>
            <w:jc w:val="both"/>
            <w:rPr>
              <w:rFonts w:ascii="Palatino Linotype" w:hAnsi="Palatino Linotype"/>
              <w:b/>
              <w:sz w:val="21"/>
              <w:szCs w:val="21"/>
              <w:lang w:val="es-ES_tradnl"/>
            </w:rPr>
          </w:pPr>
          <w:r>
            <w:rPr>
              <w:rFonts w:ascii="Palatino Linotype" w:hAnsi="Palatino Linotype" w:cs="Arial"/>
              <w:b/>
              <w:bCs/>
              <w:sz w:val="21"/>
              <w:szCs w:val="21"/>
            </w:rPr>
            <w:t>03603</w:t>
          </w:r>
          <w:r w:rsidRPr="008B13E3">
            <w:rPr>
              <w:rFonts w:ascii="Palatino Linotype" w:hAnsi="Palatino Linotype" w:cs="Arial"/>
              <w:b/>
              <w:bCs/>
              <w:sz w:val="21"/>
              <w:szCs w:val="21"/>
            </w:rPr>
            <w:t>/INFOEM/IP/RR/2021</w:t>
          </w:r>
        </w:p>
      </w:tc>
    </w:tr>
    <w:tr w:rsidR="00434EF7" w14:paraId="31CB780F" w14:textId="77777777" w:rsidTr="007E2BE8">
      <w:trPr>
        <w:trHeight w:val="228"/>
      </w:trPr>
      <w:tc>
        <w:tcPr>
          <w:tcW w:w="2552" w:type="dxa"/>
          <w:vAlign w:val="center"/>
          <w:hideMark/>
        </w:tcPr>
        <w:p w14:paraId="4F49CB4A" w14:textId="6C7F970E" w:rsidR="00434EF7" w:rsidRPr="008C5395" w:rsidRDefault="00434EF7"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616C1590" w:rsidR="00434EF7" w:rsidRPr="008C5395" w:rsidRDefault="00434EF7" w:rsidP="008B13E3">
          <w:pPr>
            <w:jc w:val="both"/>
            <w:rPr>
              <w:rFonts w:ascii="Palatino Linotype" w:hAnsi="Palatino Linotype"/>
              <w:b/>
              <w:sz w:val="21"/>
              <w:szCs w:val="21"/>
              <w:lang w:val="es-ES_tradnl"/>
            </w:rPr>
          </w:pPr>
          <w:r w:rsidRPr="00434EF7">
            <w:rPr>
              <w:rFonts w:ascii="Palatino Linotype" w:hAnsi="Palatino Linotype"/>
              <w:b/>
              <w:sz w:val="21"/>
              <w:szCs w:val="21"/>
            </w:rPr>
            <w:t>Secretaría de Seguridad</w:t>
          </w:r>
        </w:p>
      </w:tc>
    </w:tr>
    <w:tr w:rsidR="00434EF7" w14:paraId="69050F56" w14:textId="77777777" w:rsidTr="007E2BE8">
      <w:tc>
        <w:tcPr>
          <w:tcW w:w="2552" w:type="dxa"/>
          <w:vAlign w:val="center"/>
          <w:hideMark/>
        </w:tcPr>
        <w:p w14:paraId="65C9B735" w14:textId="71CA0DD8" w:rsidR="00434EF7" w:rsidRPr="008C5395" w:rsidRDefault="00434EF7"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34EF7" w:rsidRPr="008C5395" w:rsidRDefault="00434EF7"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434EF7" w:rsidRDefault="00434EF7"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434EF7" w:rsidRDefault="00434EF7"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34EF7" w14:paraId="477E149B" w14:textId="77777777" w:rsidTr="00750CDE">
      <w:tc>
        <w:tcPr>
          <w:tcW w:w="2551" w:type="dxa"/>
          <w:vAlign w:val="center"/>
          <w:hideMark/>
        </w:tcPr>
        <w:p w14:paraId="5C0586E4" w14:textId="77777777" w:rsidR="00434EF7" w:rsidRPr="008C5395" w:rsidRDefault="00434EF7"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4ED63E93" w:rsidR="00434EF7" w:rsidRPr="001C1420" w:rsidRDefault="00434EF7" w:rsidP="00C96E1C">
          <w:pPr>
            <w:jc w:val="both"/>
            <w:rPr>
              <w:rFonts w:ascii="Palatino Linotype" w:hAnsi="Palatino Linotype"/>
              <w:b/>
              <w:sz w:val="21"/>
              <w:szCs w:val="21"/>
              <w:lang w:val="es-ES_tradnl"/>
            </w:rPr>
          </w:pPr>
          <w:r>
            <w:rPr>
              <w:rFonts w:ascii="Palatino Linotype" w:hAnsi="Palatino Linotype" w:cs="Arial"/>
              <w:b/>
              <w:bCs/>
              <w:sz w:val="21"/>
              <w:szCs w:val="21"/>
            </w:rPr>
            <w:t>03603</w:t>
          </w:r>
          <w:r w:rsidRPr="001C1420">
            <w:rPr>
              <w:rFonts w:ascii="Palatino Linotype" w:hAnsi="Palatino Linotype" w:cs="Arial"/>
              <w:b/>
              <w:bCs/>
              <w:sz w:val="21"/>
              <w:szCs w:val="21"/>
            </w:rPr>
            <w:t>/INFOEM/IP/RR/2021</w:t>
          </w:r>
        </w:p>
      </w:tc>
    </w:tr>
    <w:tr w:rsidR="00434EF7" w14:paraId="5B5BE21C" w14:textId="77777777" w:rsidTr="00750CDE">
      <w:tc>
        <w:tcPr>
          <w:tcW w:w="2551" w:type="dxa"/>
          <w:vAlign w:val="center"/>
          <w:hideMark/>
        </w:tcPr>
        <w:p w14:paraId="4AE96902" w14:textId="77777777" w:rsidR="00434EF7" w:rsidRPr="008C5395" w:rsidRDefault="00434EF7"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022F607D" w:rsidR="00434EF7" w:rsidRPr="001C1420" w:rsidRDefault="00725E32" w:rsidP="000A3F51">
          <w:pPr>
            <w:rPr>
              <w:rFonts w:ascii="Palatino Linotype" w:hAnsi="Palatino Linotype"/>
              <w:b/>
              <w:sz w:val="21"/>
              <w:szCs w:val="21"/>
            </w:rPr>
          </w:pPr>
          <w:proofErr w:type="spellStart"/>
          <w:r w:rsidRPr="00725E32">
            <w:rPr>
              <w:rFonts w:ascii="Palatino Linotype" w:hAnsi="Palatino Linotype"/>
              <w:b/>
              <w:sz w:val="21"/>
              <w:szCs w:val="21"/>
            </w:rPr>
            <w:t>xxxx</w:t>
          </w:r>
          <w:r>
            <w:rPr>
              <w:rFonts w:ascii="Palatino Linotype" w:hAnsi="Palatino Linotype"/>
              <w:b/>
              <w:sz w:val="21"/>
              <w:szCs w:val="21"/>
            </w:rPr>
            <w:t>xxxxxxxxx</w:t>
          </w:r>
          <w:proofErr w:type="spellEnd"/>
          <w:r w:rsidRPr="00725E32">
            <w:rPr>
              <w:rFonts w:ascii="Palatino Linotype" w:hAnsi="Palatino Linotype"/>
              <w:b/>
              <w:sz w:val="21"/>
              <w:szCs w:val="21"/>
            </w:rPr>
            <w:t xml:space="preserve"> x </w:t>
          </w:r>
          <w:proofErr w:type="spellStart"/>
          <w:r w:rsidRPr="00725E32">
            <w:rPr>
              <w:rFonts w:ascii="Palatino Linotype" w:hAnsi="Palatino Linotype"/>
              <w:b/>
              <w:sz w:val="21"/>
              <w:szCs w:val="21"/>
            </w:rPr>
            <w:t>xxxxx</w:t>
          </w:r>
          <w:proofErr w:type="spellEnd"/>
          <w:r w:rsidRPr="00725E32">
            <w:rPr>
              <w:rFonts w:ascii="Palatino Linotype" w:hAnsi="Palatino Linotype"/>
              <w:b/>
              <w:sz w:val="21"/>
              <w:szCs w:val="21"/>
            </w:rPr>
            <w:t xml:space="preserve"> X </w:t>
          </w:r>
          <w:proofErr w:type="spellStart"/>
          <w:r w:rsidRPr="00725E32">
            <w:rPr>
              <w:rFonts w:ascii="Palatino Linotype" w:hAnsi="Palatino Linotype"/>
              <w:b/>
              <w:sz w:val="21"/>
              <w:szCs w:val="21"/>
            </w:rPr>
            <w:t>Xx</w:t>
          </w:r>
          <w:proofErr w:type="spellEnd"/>
          <w:r w:rsidRPr="00725E32">
            <w:rPr>
              <w:rFonts w:ascii="Palatino Linotype" w:hAnsi="Palatino Linotype"/>
              <w:b/>
              <w:sz w:val="21"/>
              <w:szCs w:val="21"/>
            </w:rPr>
            <w:t xml:space="preserve"> </w:t>
          </w:r>
          <w:proofErr w:type="spellStart"/>
          <w:r w:rsidRPr="00725E32">
            <w:rPr>
              <w:rFonts w:ascii="Palatino Linotype" w:hAnsi="Palatino Linotype"/>
              <w:b/>
              <w:sz w:val="21"/>
              <w:szCs w:val="21"/>
            </w:rPr>
            <w:t>Xxxxxxx</w:t>
          </w:r>
          <w:proofErr w:type="spellEnd"/>
        </w:p>
      </w:tc>
    </w:tr>
    <w:tr w:rsidR="00434EF7" w14:paraId="22601A11" w14:textId="77777777" w:rsidTr="00750CDE">
      <w:trPr>
        <w:trHeight w:val="228"/>
      </w:trPr>
      <w:tc>
        <w:tcPr>
          <w:tcW w:w="2551" w:type="dxa"/>
          <w:vAlign w:val="center"/>
          <w:hideMark/>
        </w:tcPr>
        <w:p w14:paraId="6EFE221D" w14:textId="337D5087" w:rsidR="00434EF7" w:rsidRPr="008C5395" w:rsidRDefault="00434EF7"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64E0C026" w:rsidR="00434EF7" w:rsidRPr="001C1420" w:rsidRDefault="00434EF7" w:rsidP="008B13E3">
          <w:pPr>
            <w:ind w:left="35" w:hanging="35"/>
            <w:jc w:val="both"/>
            <w:rPr>
              <w:rFonts w:ascii="Palatino Linotype" w:hAnsi="Palatino Linotype"/>
              <w:sz w:val="21"/>
              <w:szCs w:val="21"/>
            </w:rPr>
          </w:pPr>
          <w:r w:rsidRPr="00434EF7">
            <w:rPr>
              <w:rFonts w:ascii="Palatino Linotype" w:hAnsi="Palatino Linotype"/>
              <w:b/>
              <w:sz w:val="21"/>
              <w:szCs w:val="21"/>
            </w:rPr>
            <w:t>Secretaría de Seguridad</w:t>
          </w:r>
        </w:p>
      </w:tc>
    </w:tr>
    <w:tr w:rsidR="00434EF7" w14:paraId="2D6C630E" w14:textId="77777777" w:rsidTr="00750CDE">
      <w:tc>
        <w:tcPr>
          <w:tcW w:w="2551" w:type="dxa"/>
          <w:vAlign w:val="center"/>
          <w:hideMark/>
        </w:tcPr>
        <w:p w14:paraId="5BD4C6DB" w14:textId="40502EEE" w:rsidR="00434EF7" w:rsidRPr="008C5395" w:rsidRDefault="00434EF7"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34EF7" w:rsidRPr="001C1420" w:rsidRDefault="00434EF7"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434EF7" w:rsidRDefault="00434EF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6E616099"/>
    <w:multiLevelType w:val="hybridMultilevel"/>
    <w:tmpl w:val="A94AE9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23"/>
  </w:num>
  <w:num w:numId="3">
    <w:abstractNumId w:val="14"/>
  </w:num>
  <w:num w:numId="4">
    <w:abstractNumId w:val="21"/>
  </w:num>
  <w:num w:numId="5">
    <w:abstractNumId w:val="18"/>
  </w:num>
  <w:num w:numId="6">
    <w:abstractNumId w:val="7"/>
  </w:num>
  <w:num w:numId="7">
    <w:abstractNumId w:val="17"/>
  </w:num>
  <w:num w:numId="8">
    <w:abstractNumId w:val="0"/>
  </w:num>
  <w:num w:numId="9">
    <w:abstractNumId w:val="11"/>
  </w:num>
  <w:num w:numId="10">
    <w:abstractNumId w:val="5"/>
  </w:num>
  <w:num w:numId="11">
    <w:abstractNumId w:val="13"/>
  </w:num>
  <w:num w:numId="12">
    <w:abstractNumId w:val="12"/>
  </w:num>
  <w:num w:numId="13">
    <w:abstractNumId w:val="20"/>
  </w:num>
  <w:num w:numId="14">
    <w:abstractNumId w:val="15"/>
  </w:num>
  <w:num w:numId="15">
    <w:abstractNumId w:val="3"/>
  </w:num>
  <w:num w:numId="16">
    <w:abstractNumId w:val="2"/>
  </w:num>
  <w:num w:numId="17">
    <w:abstractNumId w:val="22"/>
  </w:num>
  <w:num w:numId="18">
    <w:abstractNumId w:val="24"/>
  </w:num>
  <w:num w:numId="19">
    <w:abstractNumId w:val="27"/>
  </w:num>
  <w:num w:numId="20">
    <w:abstractNumId w:val="1"/>
  </w:num>
  <w:num w:numId="21">
    <w:abstractNumId w:val="25"/>
  </w:num>
  <w:num w:numId="22">
    <w:abstractNumId w:val="16"/>
  </w:num>
  <w:num w:numId="23">
    <w:abstractNumId w:val="4"/>
  </w:num>
  <w:num w:numId="24">
    <w:abstractNumId w:val="26"/>
  </w:num>
  <w:num w:numId="25">
    <w:abstractNumId w:val="9"/>
  </w:num>
  <w:num w:numId="26">
    <w:abstractNumId w:val="8"/>
  </w:num>
  <w:num w:numId="27">
    <w:abstractNumId w:val="10"/>
  </w:num>
  <w:num w:numId="28">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4432"/>
    <w:rsid w:val="000054B4"/>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F84"/>
    <w:rsid w:val="000773AB"/>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5AB3"/>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3284"/>
    <w:rsid w:val="001032AD"/>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6B18"/>
    <w:rsid w:val="00147BF2"/>
    <w:rsid w:val="00150024"/>
    <w:rsid w:val="00150121"/>
    <w:rsid w:val="00152EB9"/>
    <w:rsid w:val="001549A5"/>
    <w:rsid w:val="00154A89"/>
    <w:rsid w:val="0015543A"/>
    <w:rsid w:val="00155EE8"/>
    <w:rsid w:val="00160770"/>
    <w:rsid w:val="00160E2D"/>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5638"/>
    <w:rsid w:val="002566C3"/>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475"/>
    <w:rsid w:val="00281764"/>
    <w:rsid w:val="002829D3"/>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22FD"/>
    <w:rsid w:val="002B2F89"/>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77077"/>
    <w:rsid w:val="0038104F"/>
    <w:rsid w:val="00383E79"/>
    <w:rsid w:val="00384B94"/>
    <w:rsid w:val="00385D61"/>
    <w:rsid w:val="00387230"/>
    <w:rsid w:val="00390B9F"/>
    <w:rsid w:val="00391A7B"/>
    <w:rsid w:val="00392767"/>
    <w:rsid w:val="00393A05"/>
    <w:rsid w:val="0039460E"/>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1D15"/>
    <w:rsid w:val="004221C6"/>
    <w:rsid w:val="00423670"/>
    <w:rsid w:val="00424E3A"/>
    <w:rsid w:val="00425800"/>
    <w:rsid w:val="00426DC4"/>
    <w:rsid w:val="004332A1"/>
    <w:rsid w:val="004349CB"/>
    <w:rsid w:val="00434DA7"/>
    <w:rsid w:val="00434EF7"/>
    <w:rsid w:val="00435296"/>
    <w:rsid w:val="004352B9"/>
    <w:rsid w:val="004353C8"/>
    <w:rsid w:val="00436B9A"/>
    <w:rsid w:val="00440F78"/>
    <w:rsid w:val="00444ACF"/>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6025"/>
    <w:rsid w:val="004661CB"/>
    <w:rsid w:val="00467BD4"/>
    <w:rsid w:val="0047014C"/>
    <w:rsid w:val="004706C8"/>
    <w:rsid w:val="00471C23"/>
    <w:rsid w:val="00473A67"/>
    <w:rsid w:val="0047415F"/>
    <w:rsid w:val="00474B8E"/>
    <w:rsid w:val="00475219"/>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5CA8"/>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62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6F571A"/>
    <w:rsid w:val="00700E81"/>
    <w:rsid w:val="007023EF"/>
    <w:rsid w:val="007026A7"/>
    <w:rsid w:val="00703BB9"/>
    <w:rsid w:val="00704AF9"/>
    <w:rsid w:val="00712B80"/>
    <w:rsid w:val="007137D7"/>
    <w:rsid w:val="0071531F"/>
    <w:rsid w:val="00716D27"/>
    <w:rsid w:val="00721A45"/>
    <w:rsid w:val="00722947"/>
    <w:rsid w:val="00722FE7"/>
    <w:rsid w:val="00723651"/>
    <w:rsid w:val="00724418"/>
    <w:rsid w:val="00724B06"/>
    <w:rsid w:val="007257BA"/>
    <w:rsid w:val="00725E32"/>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7B0"/>
    <w:rsid w:val="0080112D"/>
    <w:rsid w:val="00803D96"/>
    <w:rsid w:val="0080484A"/>
    <w:rsid w:val="00806247"/>
    <w:rsid w:val="0081015C"/>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2FF"/>
    <w:rsid w:val="00892593"/>
    <w:rsid w:val="00892AFC"/>
    <w:rsid w:val="00893071"/>
    <w:rsid w:val="00894541"/>
    <w:rsid w:val="0089499F"/>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D96"/>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56D"/>
    <w:rsid w:val="00911665"/>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6A80"/>
    <w:rsid w:val="00A27C2C"/>
    <w:rsid w:val="00A30A8F"/>
    <w:rsid w:val="00A33FC6"/>
    <w:rsid w:val="00A343BA"/>
    <w:rsid w:val="00A34CB7"/>
    <w:rsid w:val="00A358F4"/>
    <w:rsid w:val="00A36876"/>
    <w:rsid w:val="00A36D31"/>
    <w:rsid w:val="00A4078A"/>
    <w:rsid w:val="00A41A76"/>
    <w:rsid w:val="00A41BFA"/>
    <w:rsid w:val="00A4602C"/>
    <w:rsid w:val="00A51515"/>
    <w:rsid w:val="00A5237E"/>
    <w:rsid w:val="00A5272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3832"/>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EF7"/>
    <w:rsid w:val="00B77CC9"/>
    <w:rsid w:val="00B81B6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E08"/>
    <w:rsid w:val="00BC53C8"/>
    <w:rsid w:val="00BC63E8"/>
    <w:rsid w:val="00BC7951"/>
    <w:rsid w:val="00BD0EFF"/>
    <w:rsid w:val="00BD1BF5"/>
    <w:rsid w:val="00BD4392"/>
    <w:rsid w:val="00BD441C"/>
    <w:rsid w:val="00BD4A22"/>
    <w:rsid w:val="00BD5233"/>
    <w:rsid w:val="00BD7483"/>
    <w:rsid w:val="00BE0D23"/>
    <w:rsid w:val="00BE1923"/>
    <w:rsid w:val="00BE209C"/>
    <w:rsid w:val="00BE2828"/>
    <w:rsid w:val="00BE4A99"/>
    <w:rsid w:val="00BE540E"/>
    <w:rsid w:val="00BE5795"/>
    <w:rsid w:val="00BE59F1"/>
    <w:rsid w:val="00BE5B23"/>
    <w:rsid w:val="00BF0C44"/>
    <w:rsid w:val="00BF2ADB"/>
    <w:rsid w:val="00BF3453"/>
    <w:rsid w:val="00BF3F78"/>
    <w:rsid w:val="00BF45DC"/>
    <w:rsid w:val="00BF4B12"/>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2E34"/>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7131E"/>
    <w:rsid w:val="00C71B23"/>
    <w:rsid w:val="00C72F08"/>
    <w:rsid w:val="00C75879"/>
    <w:rsid w:val="00C75DF4"/>
    <w:rsid w:val="00C76CBA"/>
    <w:rsid w:val="00C77CAB"/>
    <w:rsid w:val="00C77F8C"/>
    <w:rsid w:val="00C801F1"/>
    <w:rsid w:val="00C808D7"/>
    <w:rsid w:val="00C80956"/>
    <w:rsid w:val="00C80F8C"/>
    <w:rsid w:val="00C8321A"/>
    <w:rsid w:val="00C85F65"/>
    <w:rsid w:val="00C871AA"/>
    <w:rsid w:val="00C8728A"/>
    <w:rsid w:val="00C8734B"/>
    <w:rsid w:val="00C87E6F"/>
    <w:rsid w:val="00C90970"/>
    <w:rsid w:val="00C91163"/>
    <w:rsid w:val="00C917BD"/>
    <w:rsid w:val="00C92F45"/>
    <w:rsid w:val="00C938CF"/>
    <w:rsid w:val="00C93C30"/>
    <w:rsid w:val="00C944F9"/>
    <w:rsid w:val="00C94536"/>
    <w:rsid w:val="00C94EA7"/>
    <w:rsid w:val="00C96E1C"/>
    <w:rsid w:val="00C97AE6"/>
    <w:rsid w:val="00CA03D8"/>
    <w:rsid w:val="00CA1589"/>
    <w:rsid w:val="00CA4AD0"/>
    <w:rsid w:val="00CA4B0D"/>
    <w:rsid w:val="00CA4E9B"/>
    <w:rsid w:val="00CA515B"/>
    <w:rsid w:val="00CA68D1"/>
    <w:rsid w:val="00CA6914"/>
    <w:rsid w:val="00CA6A61"/>
    <w:rsid w:val="00CA7B2B"/>
    <w:rsid w:val="00CB0854"/>
    <w:rsid w:val="00CB1AB9"/>
    <w:rsid w:val="00CB48AF"/>
    <w:rsid w:val="00CC1C85"/>
    <w:rsid w:val="00CC2001"/>
    <w:rsid w:val="00CC280D"/>
    <w:rsid w:val="00CC4CD0"/>
    <w:rsid w:val="00CC5554"/>
    <w:rsid w:val="00CC58BD"/>
    <w:rsid w:val="00CD2D80"/>
    <w:rsid w:val="00CD2E12"/>
    <w:rsid w:val="00CD4211"/>
    <w:rsid w:val="00CD43D2"/>
    <w:rsid w:val="00CD5285"/>
    <w:rsid w:val="00CE0E67"/>
    <w:rsid w:val="00CE1831"/>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716A"/>
    <w:rsid w:val="00D8722C"/>
    <w:rsid w:val="00D90606"/>
    <w:rsid w:val="00D907A4"/>
    <w:rsid w:val="00D91D7E"/>
    <w:rsid w:val="00D9292F"/>
    <w:rsid w:val="00D937F5"/>
    <w:rsid w:val="00D94927"/>
    <w:rsid w:val="00D94CF7"/>
    <w:rsid w:val="00D9522D"/>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03FD8"/>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06"/>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F0ADB-4C3C-45FA-91A6-5EB86646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TotalTime>
  <Pages>32</Pages>
  <Words>5526</Words>
  <Characters>30397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65</cp:revision>
  <cp:lastPrinted>2019-04-02T22:25:00Z</cp:lastPrinted>
  <dcterms:created xsi:type="dcterms:W3CDTF">2021-08-24T02:06:00Z</dcterms:created>
  <dcterms:modified xsi:type="dcterms:W3CDTF">2021-12-02T23:15:00Z</dcterms:modified>
</cp:coreProperties>
</file>