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bookmarkStart w:colFirst="0" w:colLast="0" w:name="_heading=h.gjdgxs" w:id="0"/>
      <w:bookmarkEnd w:id="0"/>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quince de diciembre de dos mil veintiuno.</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relativo al recurso de revisión </w:t>
      </w:r>
      <w:r w:rsidDel="00000000" w:rsidR="00000000" w:rsidRPr="00000000">
        <w:rPr>
          <w:rFonts w:ascii="Palatino Linotype" w:cs="Palatino Linotype" w:eastAsia="Palatino Linotype" w:hAnsi="Palatino Linotype"/>
          <w:b w:val="1"/>
          <w:rtl w:val="0"/>
        </w:rPr>
        <w:t xml:space="preserve">03904/INFOEM/IP/RR/2021 </w:t>
      </w:r>
      <w:r w:rsidDel="00000000" w:rsidR="00000000" w:rsidRPr="00000000">
        <w:rPr>
          <w:rFonts w:ascii="Palatino Linotype" w:cs="Palatino Linotype" w:eastAsia="Palatino Linotype" w:hAnsi="Palatino Linotype"/>
          <w:rtl w:val="0"/>
        </w:rPr>
        <w:t xml:space="preserve">interpuesto por</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b w:val="1"/>
          <w:rtl w:val="0"/>
        </w:rPr>
        <w:t xml:space="preserve">Xxxxxxxxx Xxxxxx Xxxxx</w:t>
      </w:r>
      <w:r w:rsidDel="00000000" w:rsidR="00000000" w:rsidRPr="00000000">
        <w:rPr>
          <w:rFonts w:ascii="Palatino Linotype" w:cs="Palatino Linotype" w:eastAsia="Palatino Linotype" w:hAnsi="Palatino Linotype"/>
          <w:rtl w:val="0"/>
        </w:rPr>
        <w:t xml:space="preserve">, en lo sucesivo la recurrente en contra de la respuesta a la solicitud de información con número de folio </w:t>
      </w:r>
      <w:r w:rsidDel="00000000" w:rsidR="00000000" w:rsidRPr="00000000">
        <w:rPr>
          <w:rFonts w:ascii="Palatino Linotype" w:cs="Palatino Linotype" w:eastAsia="Palatino Linotype" w:hAnsi="Palatino Linotype"/>
          <w:b w:val="1"/>
          <w:rtl w:val="0"/>
        </w:rPr>
        <w:t xml:space="preserve">00054/PAN/IP/2021</w:t>
      </w:r>
      <w:r w:rsidDel="00000000" w:rsidR="00000000" w:rsidRPr="00000000">
        <w:rPr>
          <w:rFonts w:ascii="Palatino Linotype" w:cs="Palatino Linotype" w:eastAsia="Palatino Linotype" w:hAnsi="Palatino Linotype"/>
          <w:rtl w:val="0"/>
        </w:rPr>
        <w:t xml:space="preserve">, por parte del</w:t>
      </w:r>
      <w:r w:rsidDel="00000000" w:rsidR="00000000" w:rsidRPr="00000000">
        <w:rPr>
          <w:rFonts w:ascii="Palatino Linotype" w:cs="Palatino Linotype" w:eastAsia="Palatino Linotype" w:hAnsi="Palatino Linotype"/>
          <w:b w:val="1"/>
          <w:rtl w:val="0"/>
        </w:rPr>
        <w:t xml:space="preserve"> Partido Acción Nacional</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w:t>
      </w:r>
      <w:r w:rsidDel="00000000" w:rsidR="00000000" w:rsidRPr="00000000">
        <w:rPr>
          <w:rtl w:val="0"/>
        </w:rPr>
      </w:r>
    </w:p>
    <w:p w:rsidR="00000000" w:rsidDel="00000000" w:rsidP="00000000" w:rsidRDefault="00000000" w:rsidRPr="00000000" w14:paraId="0000000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240" w:line="360" w:lineRule="auto"/>
        <w:ind w:left="1077" w:right="0" w:hanging="720"/>
        <w:jc w:val="center"/>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 Solicitud de acceso a la información. </w:t>
      </w:r>
      <w:r w:rsidDel="00000000" w:rsidR="00000000" w:rsidRPr="00000000">
        <w:rPr>
          <w:rFonts w:ascii="Palatino Linotype" w:cs="Palatino Linotype" w:eastAsia="Palatino Linotype" w:hAnsi="Palatino Linotype"/>
          <w:rtl w:val="0"/>
        </w:rPr>
        <w:t xml:space="preserve">Con fecha treinta de junio de dos mil veintiuno,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formuló la solicitud de acceso a información pública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del Sistema de Acceso a la Información Mexiquense, en adelante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requiriéndole lo siguiente:</w:t>
      </w:r>
    </w:p>
    <w:p w:rsidR="00000000" w:rsidDel="00000000" w:rsidP="00000000" w:rsidRDefault="00000000" w:rsidRPr="00000000" w14:paraId="00000005">
      <w:pPr>
        <w:spacing w:after="240" w:before="240" w:lineRule="auto"/>
        <w:ind w:left="851"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sz w:val="22"/>
          <w:szCs w:val="22"/>
          <w:rtl w:val="0"/>
        </w:rPr>
        <w:t xml:space="preserve"> “Con fundamento en el artículo 6 de la Constitución Política de los Estados Unidos Mexicanos y en el artículo 5 de la Constitución Política del Estado Libre y Soberano de México, </w:t>
      </w:r>
      <w:r w:rsidDel="00000000" w:rsidR="00000000" w:rsidRPr="00000000">
        <w:rPr>
          <w:rFonts w:ascii="Palatino Linotype" w:cs="Palatino Linotype" w:eastAsia="Palatino Linotype" w:hAnsi="Palatino Linotype"/>
          <w:b w:val="1"/>
          <w:i w:val="1"/>
          <w:sz w:val="22"/>
          <w:szCs w:val="22"/>
          <w:u w:val="single"/>
          <w:rtl w:val="0"/>
        </w:rPr>
        <w:t xml:space="preserve">solicito amablemente al Comité Directivo Estatal del Partido Acción Nacional (PAN) Estado de México</w:t>
      </w:r>
      <w:r w:rsidDel="00000000" w:rsidR="00000000" w:rsidRPr="00000000">
        <w:rPr>
          <w:rFonts w:ascii="Palatino Linotype" w:cs="Palatino Linotype" w:eastAsia="Palatino Linotype" w:hAnsi="Palatino Linotype"/>
          <w:i w:val="1"/>
          <w:sz w:val="22"/>
          <w:szCs w:val="22"/>
          <w:rtl w:val="0"/>
        </w:rPr>
        <w:t xml:space="preserve"> la siguiente información pública: </w:t>
      </w:r>
      <w:r w:rsidDel="00000000" w:rsidR="00000000" w:rsidRPr="00000000">
        <w:rPr>
          <w:rFonts w:ascii="Palatino Linotype" w:cs="Palatino Linotype" w:eastAsia="Palatino Linotype" w:hAnsi="Palatino Linotype"/>
          <w:b w:val="1"/>
          <w:i w:val="1"/>
          <w:sz w:val="22"/>
          <w:szCs w:val="22"/>
          <w:rtl w:val="0"/>
        </w:rPr>
        <w:t xml:space="preserve">1.-</w:t>
      </w:r>
      <w:r w:rsidDel="00000000" w:rsidR="00000000" w:rsidRPr="00000000">
        <w:rPr>
          <w:rFonts w:ascii="Palatino Linotype" w:cs="Palatino Linotype" w:eastAsia="Palatino Linotype" w:hAnsi="Palatino Linotype"/>
          <w:i w:val="1"/>
          <w:sz w:val="22"/>
          <w:szCs w:val="22"/>
          <w:rtl w:val="0"/>
        </w:rPr>
        <w:t xml:space="preserve"> Su </w:t>
      </w:r>
      <w:r w:rsidDel="00000000" w:rsidR="00000000" w:rsidRPr="00000000">
        <w:rPr>
          <w:rFonts w:ascii="Palatino Linotype" w:cs="Palatino Linotype" w:eastAsia="Palatino Linotype" w:hAnsi="Palatino Linotype"/>
          <w:b w:val="1"/>
          <w:i w:val="1"/>
          <w:sz w:val="22"/>
          <w:szCs w:val="22"/>
          <w:u w:val="single"/>
          <w:rtl w:val="0"/>
        </w:rPr>
        <w:t xml:space="preserve">organigrama y directorio, especificando cantidad y nombres de personas</w:t>
      </w:r>
      <w:r w:rsidDel="00000000" w:rsidR="00000000" w:rsidRPr="00000000">
        <w:rPr>
          <w:rFonts w:ascii="Palatino Linotype" w:cs="Palatino Linotype" w:eastAsia="Palatino Linotype" w:hAnsi="Palatino Linotype"/>
          <w:i w:val="1"/>
          <w:sz w:val="22"/>
          <w:szCs w:val="22"/>
          <w:rtl w:val="0"/>
        </w:rPr>
        <w:t xml:space="preserve"> (Secretarios, Directores) </w:t>
      </w:r>
      <w:r w:rsidDel="00000000" w:rsidR="00000000" w:rsidRPr="00000000">
        <w:rPr>
          <w:rFonts w:ascii="Palatino Linotype" w:cs="Palatino Linotype" w:eastAsia="Palatino Linotype" w:hAnsi="Palatino Linotype"/>
          <w:b w:val="1"/>
          <w:i w:val="1"/>
          <w:sz w:val="22"/>
          <w:szCs w:val="22"/>
          <w:u w:val="single"/>
          <w:rtl w:val="0"/>
        </w:rPr>
        <w:t xml:space="preserve">adscritas por área</w:t>
      </w:r>
      <w:r w:rsidDel="00000000" w:rsidR="00000000" w:rsidRPr="00000000">
        <w:rPr>
          <w:rFonts w:ascii="Palatino Linotype" w:cs="Palatino Linotype" w:eastAsia="Palatino Linotype" w:hAnsi="Palatino Linotype"/>
          <w:i w:val="1"/>
          <w:sz w:val="22"/>
          <w:szCs w:val="22"/>
          <w:rtl w:val="0"/>
        </w:rPr>
        <w:t xml:space="preserve"> (Secretaría, Dirección, Miembros de Comité, etc.) </w:t>
      </w:r>
      <w:r w:rsidDel="00000000" w:rsidR="00000000" w:rsidRPr="00000000">
        <w:rPr>
          <w:rFonts w:ascii="Palatino Linotype" w:cs="Palatino Linotype" w:eastAsia="Palatino Linotype" w:hAnsi="Palatino Linotype"/>
          <w:b w:val="1"/>
          <w:i w:val="1"/>
          <w:sz w:val="22"/>
          <w:szCs w:val="22"/>
          <w:rtl w:val="0"/>
        </w:rPr>
        <w:t xml:space="preserve">2.-</w:t>
      </w:r>
      <w:r w:rsidDel="00000000" w:rsidR="00000000" w:rsidRPr="00000000">
        <w:rPr>
          <w:rFonts w:ascii="Palatino Linotype" w:cs="Palatino Linotype" w:eastAsia="Palatino Linotype" w:hAnsi="Palatino Linotype"/>
          <w:i w:val="1"/>
          <w:sz w:val="22"/>
          <w:szCs w:val="22"/>
          <w:rtl w:val="0"/>
        </w:rPr>
        <w:t xml:space="preserve"> ¿Al día de hoy </w:t>
      </w:r>
      <w:r w:rsidDel="00000000" w:rsidR="00000000" w:rsidRPr="00000000">
        <w:rPr>
          <w:rFonts w:ascii="Palatino Linotype" w:cs="Palatino Linotype" w:eastAsia="Palatino Linotype" w:hAnsi="Palatino Linotype"/>
          <w:b w:val="1"/>
          <w:i w:val="1"/>
          <w:sz w:val="22"/>
          <w:szCs w:val="22"/>
          <w:u w:val="single"/>
          <w:rtl w:val="0"/>
        </w:rPr>
        <w:t xml:space="preserve">cuántas personas trabajan en el Comité</w:t>
      </w:r>
      <w:r w:rsidDel="00000000" w:rsidR="00000000" w:rsidRPr="00000000">
        <w:rPr>
          <w:rFonts w:ascii="Palatino Linotype" w:cs="Palatino Linotype" w:eastAsia="Palatino Linotype" w:hAnsi="Palatino Linotype"/>
          <w:i w:val="1"/>
          <w:sz w:val="22"/>
          <w:szCs w:val="22"/>
          <w:rtl w:val="0"/>
        </w:rPr>
        <w:t xml:space="preserve">? Favor de </w:t>
      </w:r>
      <w:r w:rsidDel="00000000" w:rsidR="00000000" w:rsidRPr="00000000">
        <w:rPr>
          <w:rFonts w:ascii="Palatino Linotype" w:cs="Palatino Linotype" w:eastAsia="Palatino Linotype" w:hAnsi="Palatino Linotype"/>
          <w:b w:val="1"/>
          <w:i w:val="1"/>
          <w:sz w:val="22"/>
          <w:szCs w:val="22"/>
          <w:u w:val="single"/>
          <w:rtl w:val="0"/>
        </w:rPr>
        <w:t xml:space="preserve">especificar el cargo</w:t>
      </w:r>
      <w:r w:rsidDel="00000000" w:rsidR="00000000" w:rsidRPr="00000000">
        <w:rPr>
          <w:rFonts w:ascii="Palatino Linotype" w:cs="Palatino Linotype" w:eastAsia="Palatino Linotype" w:hAnsi="Palatino Linotype"/>
          <w:i w:val="1"/>
          <w:sz w:val="22"/>
          <w:szCs w:val="22"/>
          <w:rtl w:val="0"/>
        </w:rPr>
        <w:t xml:space="preserve"> de cada una, así como su </w:t>
      </w:r>
      <w:r w:rsidDel="00000000" w:rsidR="00000000" w:rsidRPr="00000000">
        <w:rPr>
          <w:rFonts w:ascii="Palatino Linotype" w:cs="Palatino Linotype" w:eastAsia="Palatino Linotype" w:hAnsi="Palatino Linotype"/>
          <w:b w:val="1"/>
          <w:i w:val="1"/>
          <w:sz w:val="22"/>
          <w:szCs w:val="22"/>
          <w:u w:val="single"/>
          <w:rtl w:val="0"/>
        </w:rPr>
        <w:t xml:space="preserve">área de adscripción</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3.-</w:t>
      </w:r>
      <w:r w:rsidDel="00000000" w:rsidR="00000000" w:rsidRPr="00000000">
        <w:rPr>
          <w:rFonts w:ascii="Palatino Linotype" w:cs="Palatino Linotype" w:eastAsia="Palatino Linotype" w:hAnsi="Palatino Linotype"/>
          <w:i w:val="1"/>
          <w:sz w:val="22"/>
          <w:szCs w:val="22"/>
          <w:rtl w:val="0"/>
        </w:rPr>
        <w:t xml:space="preserve"> Los </w:t>
      </w:r>
      <w:r w:rsidDel="00000000" w:rsidR="00000000" w:rsidRPr="00000000">
        <w:rPr>
          <w:rFonts w:ascii="Palatino Linotype" w:cs="Palatino Linotype" w:eastAsia="Palatino Linotype" w:hAnsi="Palatino Linotype"/>
          <w:b w:val="1"/>
          <w:i w:val="1"/>
          <w:sz w:val="22"/>
          <w:szCs w:val="22"/>
          <w:u w:val="single"/>
          <w:rtl w:val="0"/>
        </w:rPr>
        <w:t xml:space="preserve">nombres de todas las personas que trabajan en el Comité</w:t>
      </w:r>
      <w:r w:rsidDel="00000000" w:rsidR="00000000" w:rsidRPr="00000000">
        <w:rPr>
          <w:rFonts w:ascii="Palatino Linotype" w:cs="Palatino Linotype" w:eastAsia="Palatino Linotype" w:hAnsi="Palatino Linotype"/>
          <w:i w:val="1"/>
          <w:sz w:val="22"/>
          <w:szCs w:val="22"/>
          <w:rtl w:val="0"/>
        </w:rPr>
        <w:t xml:space="preserve">, donde se indique </w:t>
      </w:r>
      <w:r w:rsidDel="00000000" w:rsidR="00000000" w:rsidRPr="00000000">
        <w:rPr>
          <w:rFonts w:ascii="Palatino Linotype" w:cs="Palatino Linotype" w:eastAsia="Palatino Linotype" w:hAnsi="Palatino Linotype"/>
          <w:b w:val="1"/>
          <w:i w:val="1"/>
          <w:sz w:val="22"/>
          <w:szCs w:val="22"/>
          <w:u w:val="single"/>
          <w:rtl w:val="0"/>
        </w:rPr>
        <w:t xml:space="preserve">su área de adscripción, teléfono con extensión, correo electrónico institucional y sueldo bruto y neto mensual</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4.-</w:t>
      </w:r>
      <w:r w:rsidDel="00000000" w:rsidR="00000000" w:rsidRPr="00000000">
        <w:rPr>
          <w:rFonts w:ascii="Palatino Linotype" w:cs="Palatino Linotype" w:eastAsia="Palatino Linotype" w:hAnsi="Palatino Linotype"/>
          <w:i w:val="1"/>
          <w:sz w:val="22"/>
          <w:szCs w:val="22"/>
          <w:rtl w:val="0"/>
        </w:rPr>
        <w:t xml:space="preserve"> La </w:t>
      </w:r>
      <w:r w:rsidDel="00000000" w:rsidR="00000000" w:rsidRPr="00000000">
        <w:rPr>
          <w:rFonts w:ascii="Palatino Linotype" w:cs="Palatino Linotype" w:eastAsia="Palatino Linotype" w:hAnsi="Palatino Linotype"/>
          <w:b w:val="1"/>
          <w:i w:val="1"/>
          <w:sz w:val="22"/>
          <w:szCs w:val="22"/>
          <w:u w:val="single"/>
          <w:rtl w:val="0"/>
        </w:rPr>
        <w:t xml:space="preserve">versión pública de los recibos de nómina de cada persona que trabaja en el Comité</w:t>
      </w:r>
      <w:r w:rsidDel="00000000" w:rsidR="00000000" w:rsidRPr="00000000">
        <w:rPr>
          <w:rFonts w:ascii="Palatino Linotype" w:cs="Palatino Linotype" w:eastAsia="Palatino Linotype" w:hAnsi="Palatino Linotype"/>
          <w:i w:val="1"/>
          <w:sz w:val="22"/>
          <w:szCs w:val="22"/>
          <w:rtl w:val="0"/>
        </w:rPr>
        <w:t xml:space="preserve">, dichos recibos corresponden a cada una </w:t>
      </w:r>
      <w:r w:rsidDel="00000000" w:rsidR="00000000" w:rsidRPr="00000000">
        <w:rPr>
          <w:rFonts w:ascii="Palatino Linotype" w:cs="Palatino Linotype" w:eastAsia="Palatino Linotype" w:hAnsi="Palatino Linotype"/>
          <w:b w:val="1"/>
          <w:i w:val="1"/>
          <w:sz w:val="22"/>
          <w:szCs w:val="22"/>
          <w:u w:val="single"/>
          <w:rtl w:val="0"/>
        </w:rPr>
        <w:t xml:space="preserve">de las tres últimas quincenas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5.-</w:t>
      </w:r>
      <w:r w:rsidDel="00000000" w:rsidR="00000000" w:rsidRPr="00000000">
        <w:rPr>
          <w:rFonts w:ascii="Palatino Linotype" w:cs="Palatino Linotype" w:eastAsia="Palatino Linotype" w:hAnsi="Palatino Linotype"/>
          <w:i w:val="1"/>
          <w:sz w:val="22"/>
          <w:szCs w:val="22"/>
          <w:rtl w:val="0"/>
        </w:rPr>
        <w:t xml:space="preserve"> El </w:t>
      </w:r>
      <w:r w:rsidDel="00000000" w:rsidR="00000000" w:rsidRPr="00000000">
        <w:rPr>
          <w:rFonts w:ascii="Palatino Linotype" w:cs="Palatino Linotype" w:eastAsia="Palatino Linotype" w:hAnsi="Palatino Linotype"/>
          <w:b w:val="1"/>
          <w:i w:val="1"/>
          <w:sz w:val="22"/>
          <w:szCs w:val="22"/>
          <w:u w:val="single"/>
          <w:rtl w:val="0"/>
        </w:rPr>
        <w:t xml:space="preserve">gasto realizado por concepto de nómina</w:t>
      </w:r>
      <w:r w:rsidDel="00000000" w:rsidR="00000000" w:rsidRPr="00000000">
        <w:rPr>
          <w:rFonts w:ascii="Palatino Linotype" w:cs="Palatino Linotype" w:eastAsia="Palatino Linotype" w:hAnsi="Palatino Linotype"/>
          <w:i w:val="1"/>
          <w:sz w:val="22"/>
          <w:szCs w:val="22"/>
          <w:rtl w:val="0"/>
        </w:rPr>
        <w:t xml:space="preserve"> que realizó el Comité en las últimas 3 quincenas, </w:t>
      </w:r>
      <w:r w:rsidDel="00000000" w:rsidR="00000000" w:rsidRPr="00000000">
        <w:rPr>
          <w:rFonts w:ascii="Palatino Linotype" w:cs="Palatino Linotype" w:eastAsia="Palatino Linotype" w:hAnsi="Palatino Linotype"/>
          <w:b w:val="1"/>
          <w:i w:val="1"/>
          <w:sz w:val="22"/>
          <w:szCs w:val="22"/>
          <w:u w:val="single"/>
          <w:rtl w:val="0"/>
        </w:rPr>
        <w:t xml:space="preserve">especificando el monto por área y/o Secretaría</w:t>
      </w:r>
      <w:r w:rsidDel="00000000" w:rsidR="00000000" w:rsidRPr="00000000">
        <w:rPr>
          <w:rFonts w:ascii="Palatino Linotype" w:cs="Palatino Linotype" w:eastAsia="Palatino Linotype" w:hAnsi="Palatino Linotype"/>
          <w:i w:val="1"/>
          <w:sz w:val="22"/>
          <w:szCs w:val="22"/>
          <w:rtl w:val="0"/>
        </w:rPr>
        <w:t xml:space="preserve">. Gracias por su amable atención.” (Sic</w:t>
      </w: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006">
      <w:pPr>
        <w:spacing w:after="240" w:before="240" w:lineRule="auto"/>
        <w:ind w:left="851"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r w:rsidDel="00000000" w:rsidR="00000000" w:rsidRPr="00000000">
        <w:rPr>
          <w:rtl w:val="0"/>
        </w:rPr>
      </w:r>
    </w:p>
    <w:p w:rsidR="00000000" w:rsidDel="00000000" w:rsidP="00000000" w:rsidRDefault="00000000" w:rsidRPr="00000000" w14:paraId="00000007">
      <w:pPr>
        <w:tabs>
          <w:tab w:val="left" w:pos="3689"/>
        </w:tabs>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ab/>
      </w:r>
    </w:p>
    <w:p w:rsidR="00000000" w:rsidDel="00000000" w:rsidP="00000000" w:rsidRDefault="00000000" w:rsidRPr="00000000" w14:paraId="0000000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elegida por el particular para la entrega de la información: </w:t>
      </w:r>
      <w:r w:rsidDel="00000000" w:rsidR="00000000" w:rsidRPr="00000000">
        <w:rPr>
          <w:rFonts w:ascii="Palatino Linotype" w:cs="Palatino Linotype" w:eastAsia="Palatino Linotype" w:hAnsi="Palatino Linotype"/>
          <w:rtl w:val="0"/>
        </w:rPr>
        <w:t xml:space="preserve">a través del SAIMEX</w:t>
      </w:r>
    </w:p>
    <w:p w:rsidR="00000000" w:rsidDel="00000000" w:rsidP="00000000" w:rsidRDefault="00000000" w:rsidRPr="00000000" w14:paraId="0000000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rtl w:val="0"/>
        </w:rPr>
        <w:t xml:space="preserve">veintinueve de julio de dos mil veintiuno</w:t>
      </w:r>
      <w:r w:rsidDel="00000000" w:rsidR="00000000" w:rsidRPr="00000000">
        <w:rPr>
          <w:rFonts w:ascii="Palatino Linotype" w:cs="Palatino Linotype" w:eastAsia="Palatino Linotype" w:hAnsi="Palatino Linotype"/>
          <w:rtl w:val="0"/>
        </w:rPr>
        <w:t xml:space="preserve">, el Sujeto Obligado emitió respuesta a la solicitud de acceso a la información a través del SAIMEX, sustancialmente en los términos siguientes: </w:t>
      </w:r>
    </w:p>
    <w:p w:rsidR="00000000" w:rsidDel="00000000" w:rsidP="00000000" w:rsidRDefault="00000000" w:rsidRPr="00000000" w14:paraId="0000000A">
      <w:pPr>
        <w:ind w:left="851" w:right="900"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0B">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“Por medio del presente reciba un cordial saludo. En calidad del Titular de la Unidad de Transparencia y Protección de Datos Personales del Partido Acción Nacional en el Estado de México, damos contestación mediante Sistema de Acceso de la Información Mexiquense (SAIMEX) a la solicitud pública de información 00054/PAN/IP/2021.</w:t>
      </w:r>
    </w:p>
    <w:p w:rsidR="00000000" w:rsidDel="00000000" w:rsidP="00000000" w:rsidRDefault="00000000" w:rsidRPr="00000000" w14:paraId="0000000C">
      <w:pPr>
        <w:ind w:left="851"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D">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0E">
      <w:pPr>
        <w:ind w:left="851"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F">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.Lic. en Derecho Juan Carlos Jandette Delgado” (Sic) </w:t>
      </w:r>
    </w:p>
    <w:p w:rsidR="00000000" w:rsidDel="00000000" w:rsidP="00000000" w:rsidRDefault="00000000" w:rsidRPr="00000000" w14:paraId="00000010">
      <w:pPr>
        <w:ind w:left="851"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 suma importancia mencionar que el Sujeto Obligado adjuntó los archivos electrónicos cuyo contenido se detalla a continuación:</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40" w:line="360" w:lineRule="auto"/>
        <w:ind w:left="720" w:right="0"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Archivo “</w:t>
      </w:r>
      <w:hyperlink r:id="rId8">
        <w:r w:rsidDel="00000000" w:rsidR="00000000" w:rsidRPr="00000000">
          <w:rPr>
            <w:rFonts w:ascii="Palatino Linotype" w:cs="Palatino Linotype" w:eastAsia="Palatino Linotype" w:hAnsi="Palatino Linotype"/>
            <w:b w:val="1"/>
            <w:i w:val="0"/>
            <w:smallCaps w:val="0"/>
            <w:strike w:val="0"/>
            <w:color w:val="0563c1"/>
            <w:sz w:val="24"/>
            <w:szCs w:val="24"/>
            <w:u w:val="single"/>
            <w:shd w:fill="auto" w:val="clear"/>
            <w:vertAlign w:val="baseline"/>
            <w:rtl w:val="0"/>
          </w:rPr>
          <w:t xml:space="preserve">Contestacion solicitud 054 PAN IP 2021.pdf</w:t>
        </w:r>
      </w:hyperlink>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contiene el oficio CDE/TES/240/2021 de fecha veintiséis de julio de dos mil veintiuno a través del cual el Tesorero del Comité Directivo Estatal hace saber al Titular de la Unidad de Transparencia y Protección de Datos Personales del Partido Acción Nacional en el Estado de México lo siguiente:</w:t>
      </w: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Por lo que se refiere al organigrama y directorio,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dicha información se puede consultar en el portal de IPOMEX, concretamente en la liga: </w:t>
      </w:r>
      <w:hyperlink r:id="rId9">
        <w:r w:rsidDel="00000000" w:rsidR="00000000" w:rsidRPr="00000000">
          <w:rPr>
            <w:rFonts w:ascii="Palatino Linotype" w:cs="Palatino Linotype" w:eastAsia="Palatino Linotype" w:hAnsi="Palatino Linotype"/>
            <w:b w:val="0"/>
            <w:i w:val="0"/>
            <w:smallCaps w:val="0"/>
            <w:strike w:val="0"/>
            <w:color w:val="0563c1"/>
            <w:sz w:val="24"/>
            <w:szCs w:val="24"/>
            <w:u w:val="single"/>
            <w:shd w:fill="auto" w:val="clear"/>
            <w:vertAlign w:val="baseline"/>
            <w:rtl w:val="0"/>
          </w:rPr>
          <w:t xml:space="preserve">https://www.ipomex.org.mx/ipo3/lgt/indice/PAN/art_92_ii_b.web</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Por lo que se refiere a la cantidad de personas que a la fecha de la solicitud trabajan en el Comité,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refiere que dicha información pude ser consultada en el portal de IPOMEX, en la liga: </w:t>
      </w:r>
      <w:hyperlink r:id="rId10">
        <w:r w:rsidDel="00000000" w:rsidR="00000000" w:rsidRPr="00000000">
          <w:rPr>
            <w:rFonts w:ascii="Palatino Linotype" w:cs="Palatino Linotype" w:eastAsia="Palatino Linotype" w:hAnsi="Palatino Linotype"/>
            <w:b w:val="0"/>
            <w:i w:val="0"/>
            <w:smallCaps w:val="0"/>
            <w:strike w:val="0"/>
            <w:color w:val="0563c1"/>
            <w:sz w:val="24"/>
            <w:szCs w:val="24"/>
            <w:u w:val="single"/>
            <w:shd w:fill="auto" w:val="clear"/>
            <w:vertAlign w:val="baseline"/>
            <w:rtl w:val="0"/>
          </w:rPr>
          <w:t xml:space="preserve">https://www.ipomex.org.mx/ipo3/lgt/indice/PAN/art_100_xvi.web</w:t>
        </w:r>
      </w:hyperlink>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En relación a los nombres de todas las personas que trabajan en el Comité(</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indicando área de adscripción, teléfono con extensión, correo electrónico institucional, sueldo bruto y neto mensual</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 misma puede consultarse en el portal de IPOMEX, en: </w:t>
      </w:r>
      <w:hyperlink r:id="rId11">
        <w:r w:rsidDel="00000000" w:rsidR="00000000" w:rsidRPr="00000000">
          <w:rPr>
            <w:rFonts w:ascii="Palatino Linotype" w:cs="Palatino Linotype" w:eastAsia="Palatino Linotype" w:hAnsi="Palatino Linotype"/>
            <w:b w:val="0"/>
            <w:i w:val="0"/>
            <w:smallCaps w:val="0"/>
            <w:strike w:val="0"/>
            <w:color w:val="0563c1"/>
            <w:sz w:val="24"/>
            <w:szCs w:val="24"/>
            <w:u w:val="single"/>
            <w:shd w:fill="auto" w:val="clear"/>
            <w:vertAlign w:val="baseline"/>
            <w:rtl w:val="0"/>
          </w:rPr>
          <w:t xml:space="preserve">https://www.ipomex.org.mx/ipo3/lgt/indice/PAN/art_100_xvi.web</w:t>
        </w:r>
      </w:hyperlink>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Respecto a los recibos de nómina,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los adjunta en versión pública, precisando que los mismos corresponde a todos los trabajadores del Comité.</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En relación al gasto por concepto de nómina en las últimas tres quincenas,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refiere que dicha información consta en el archivo Gasto efectuado Nomina_16 may al 30 jun 2021.pdf </w:t>
      </w: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Archivo “</w:t>
      </w:r>
      <w:hyperlink r:id="rId12">
        <w:r w:rsidDel="00000000" w:rsidR="00000000" w:rsidRPr="00000000">
          <w:rPr>
            <w:rFonts w:ascii="Palatino Linotype" w:cs="Palatino Linotype" w:eastAsia="Palatino Linotype" w:hAnsi="Palatino Linotype"/>
            <w:b w:val="1"/>
            <w:i w:val="0"/>
            <w:smallCaps w:val="0"/>
            <w:strike w:val="0"/>
            <w:color w:val="0563c1"/>
            <w:sz w:val="24"/>
            <w:szCs w:val="24"/>
            <w:u w:val="single"/>
            <w:shd w:fill="auto" w:val="clear"/>
            <w:vertAlign w:val="baseline"/>
            <w:rtl w:val="0"/>
          </w:rPr>
          <w:t xml:space="preserve">Recibos Nomina 2da Qna May 2021.pdf</w:t>
        </w:r>
      </w:hyperlink>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contiene 94 Comprobantes Fiscales Digitales por Internet de fecha dos de junio de dos mil veintiuno, de los trabajadores adscritos al CDE del ejercicio 2021, del periodo comprendido del 16 al 31 de mayo de 2021, de los cuales se advierte que se testaron datos como NÚMERO DE EMPLEADO, RFC, CURP, NSS, QR Y cadena original del complemento del Certificado Digital del SAT.</w:t>
      </w: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Archivo “</w:t>
      </w:r>
      <w:hyperlink r:id="rId13">
        <w:r w:rsidDel="00000000" w:rsidR="00000000" w:rsidRPr="00000000">
          <w:rPr>
            <w:rFonts w:ascii="Palatino Linotype" w:cs="Palatino Linotype" w:eastAsia="Palatino Linotype" w:hAnsi="Palatino Linotype"/>
            <w:b w:val="1"/>
            <w:i w:val="0"/>
            <w:smallCaps w:val="0"/>
            <w:strike w:val="0"/>
            <w:color w:val="0563c1"/>
            <w:sz w:val="24"/>
            <w:szCs w:val="24"/>
            <w:u w:val="single"/>
            <w:shd w:fill="auto" w:val="clear"/>
            <w:vertAlign w:val="baseline"/>
            <w:rtl w:val="0"/>
          </w:rPr>
          <w:t xml:space="preserve">Recibos Nomina 2da Qna Jun 2021.pdf</w:t>
        </w:r>
      </w:hyperlink>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contiene 97 Comprobantes Fiscales Digitales por Internet de fecha cuatro de julio de dos mil veintiuno, de los trabajadores adscritos al CDE del ejercicio 2021, del periodo comprendido del 16 al 31 de junio de 2021, de los cuales se advierte que se testaron datos como NÚMERO DE EMPLEADO, RFC, CURP, NSS, QR Y cadena original del complemento del Certificado Digital del SAT.</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360" w:lineRule="auto"/>
        <w:ind w:left="720" w:right="0"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Archivo “</w:t>
      </w:r>
      <w:hyperlink r:id="rId14">
        <w:r w:rsidDel="00000000" w:rsidR="00000000" w:rsidRPr="00000000">
          <w:rPr>
            <w:rFonts w:ascii="Palatino Linotype" w:cs="Palatino Linotype" w:eastAsia="Palatino Linotype" w:hAnsi="Palatino Linotype"/>
            <w:b w:val="1"/>
            <w:i w:val="0"/>
            <w:smallCaps w:val="0"/>
            <w:strike w:val="0"/>
            <w:color w:val="0563c1"/>
            <w:sz w:val="24"/>
            <w:szCs w:val="24"/>
            <w:u w:val="single"/>
            <w:shd w:fill="auto" w:val="clear"/>
            <w:vertAlign w:val="baseline"/>
            <w:rtl w:val="0"/>
          </w:rPr>
          <w:t xml:space="preserve">Recibos Nomina 1ra Qna Jun 2021.pdf</w:t>
        </w:r>
      </w:hyperlink>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contiene 96 Comprobantes Fiscales Digitales por Internet de fecha dieciocho de junio de dos mil veintiuno, de los trabajadores adscritos al CDE del ejercicio 2021, del periodo comprendido del 01 al 15 de junio de 2021, de los cuales se advierte que se testaron datos como NÚMERO DE EMPLEADO, RFC, CURP, NSS, QR Y cadena original del complemento del Certificado Digital del SAT.</w:t>
      </w:r>
      <w:r w:rsidDel="00000000" w:rsidR="00000000" w:rsidRPr="00000000">
        <w:rPr>
          <w:rtl w:val="0"/>
        </w:rPr>
      </w:r>
    </w:p>
    <w:p w:rsidR="00000000" w:rsidDel="00000000" w:rsidP="00000000" w:rsidRDefault="00000000" w:rsidRPr="00000000" w14:paraId="0000001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Inconforme el solicitante con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interpuso el recurso de revisión a través del SAIMEX el cuatro de agosto de dos mil veintiuno, a través del cual expresó lo siguiente:</w:t>
      </w:r>
    </w:p>
    <w:p w:rsidR="00000000" w:rsidDel="00000000" w:rsidP="00000000" w:rsidRDefault="00000000" w:rsidRPr="00000000" w14:paraId="0000001C">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Acto impugnado.</w:t>
      </w:r>
    </w:p>
    <w:p w:rsidR="00000000" w:rsidDel="00000000" w:rsidP="00000000" w:rsidRDefault="00000000" w:rsidRPr="00000000" w14:paraId="0000001D">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“La presunta respuesta del sujeto obligado.” (Sic</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1E">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b) Razones o Motivos de inconformidad.</w:t>
      </w:r>
    </w:p>
    <w:p w:rsidR="00000000" w:rsidDel="00000000" w:rsidP="00000000" w:rsidRDefault="00000000" w:rsidRPr="00000000" w14:paraId="0000001F">
      <w:pPr>
        <w:spacing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“El sujeto obligado </w:t>
      </w:r>
      <w:r w:rsidDel="00000000" w:rsidR="00000000" w:rsidRPr="00000000">
        <w:rPr>
          <w:rFonts w:ascii="Palatino Linotype" w:cs="Palatino Linotype" w:eastAsia="Palatino Linotype" w:hAnsi="Palatino Linotype"/>
          <w:b w:val="1"/>
          <w:i w:val="1"/>
          <w:color w:val="000000"/>
          <w:sz w:val="22"/>
          <w:szCs w:val="22"/>
          <w:u w:val="single"/>
          <w:rtl w:val="0"/>
        </w:rPr>
        <w:t xml:space="preserve">no entregó la información requerida</w:t>
      </w:r>
      <w:r w:rsidDel="00000000" w:rsidR="00000000" w:rsidRPr="00000000">
        <w:rPr>
          <w:rFonts w:ascii="Palatino Linotype" w:cs="Palatino Linotype" w:eastAsia="Palatino Linotype" w:hAnsi="Palatino Linotype"/>
          <w:i w:val="1"/>
          <w:color w:val="000000"/>
          <w:sz w:val="22"/>
          <w:szCs w:val="22"/>
          <w:rtl w:val="0"/>
        </w:rPr>
        <w:t xml:space="preserve">. Refiere al sitio del ipomex, sin embargo </w:t>
      </w:r>
      <w:r w:rsidDel="00000000" w:rsidR="00000000" w:rsidRPr="00000000">
        <w:rPr>
          <w:rFonts w:ascii="Palatino Linotype" w:cs="Palatino Linotype" w:eastAsia="Palatino Linotype" w:hAnsi="Palatino Linotype"/>
          <w:b w:val="1"/>
          <w:i w:val="1"/>
          <w:color w:val="000000"/>
          <w:sz w:val="22"/>
          <w:szCs w:val="22"/>
          <w:u w:val="single"/>
          <w:rtl w:val="0"/>
        </w:rPr>
        <w:t xml:space="preserve">las ligas de acceso que proporciona contienen información incompleta y no está actualizada</w:t>
      </w:r>
      <w:r w:rsidDel="00000000" w:rsidR="00000000" w:rsidRPr="00000000">
        <w:rPr>
          <w:rFonts w:ascii="Palatino Linotype" w:cs="Palatino Linotype" w:eastAsia="Palatino Linotype" w:hAnsi="Palatino Linotype"/>
          <w:i w:val="1"/>
          <w:color w:val="000000"/>
          <w:sz w:val="22"/>
          <w:szCs w:val="22"/>
          <w:rtl w:val="0"/>
        </w:rPr>
        <w:t xml:space="preserve">. Por lo anterior solicito a usted Órgano Garante de la Transparencia y el Acceso a la Información Pública que realice lo necesario a efecto de que el sujeto obligado me entregue la información requerida, completa y actualizada. Gracias por su amable atención.” (Sic</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2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al entonces Comisionado </w:t>
      </w:r>
      <w:r w:rsidDel="00000000" w:rsidR="00000000" w:rsidRPr="00000000">
        <w:rPr>
          <w:rFonts w:ascii="Palatino Linotype" w:cs="Palatino Linotype" w:eastAsia="Palatino Linotype" w:hAnsi="Palatino Linotype"/>
          <w:b w:val="1"/>
          <w:rtl w:val="0"/>
        </w:rPr>
        <w:t xml:space="preserve">Javier Martínez cruz, </w:t>
      </w:r>
      <w:r w:rsidDel="00000000" w:rsidR="00000000" w:rsidRPr="00000000">
        <w:rPr>
          <w:rFonts w:ascii="Palatino Linotype" w:cs="Palatino Linotype" w:eastAsia="Palatino Linotype" w:hAnsi="Palatino Linotype"/>
          <w:rtl w:val="0"/>
        </w:rPr>
        <w:t xml:space="preserve">a efecto de que analizará sobre su admisión o su desechamiento.</w:t>
      </w:r>
    </w:p>
    <w:p w:rsidR="00000000" w:rsidDel="00000000" w:rsidP="00000000" w:rsidRDefault="00000000" w:rsidRPr="00000000" w14:paraId="00000021">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5.</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rtl w:val="0"/>
        </w:rPr>
        <w:t xml:space="preserve">Admisión.</w:t>
      </w: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rtl w:val="0"/>
        </w:rPr>
        <w:t xml:space="preserve">Con fecha</w:t>
      </w:r>
      <w:r w:rsidDel="00000000" w:rsidR="00000000" w:rsidRPr="00000000">
        <w:rPr>
          <w:rFonts w:ascii="Palatino Linotype" w:cs="Palatino Linotype" w:eastAsia="Palatino Linotype" w:hAnsi="Palatino Linotype"/>
          <w:b w:val="1"/>
          <w:rtl w:val="0"/>
        </w:rPr>
        <w:t xml:space="preserve"> nueve de agosto de dos mil veintiuno,</w:t>
      </w:r>
      <w:r w:rsidDel="00000000" w:rsidR="00000000" w:rsidRPr="00000000">
        <w:rPr>
          <w:rFonts w:ascii="Palatino Linotype" w:cs="Palatino Linotype" w:eastAsia="Palatino Linotype" w:hAnsi="Palatino Linotype"/>
          <w:b w:val="1"/>
          <w:color w:val="c00000"/>
          <w:rtl w:val="0"/>
        </w:rPr>
        <w:t xml:space="preserve"> </w:t>
      </w:r>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presentará su informe justificado.</w:t>
      </w:r>
      <w:r w:rsidDel="00000000" w:rsidR="00000000" w:rsidRPr="00000000">
        <w:rPr>
          <w:rtl w:val="0"/>
        </w:rPr>
      </w:r>
    </w:p>
    <w:p w:rsidR="00000000" w:rsidDel="00000000" w:rsidP="00000000" w:rsidRDefault="00000000" w:rsidRPr="00000000" w14:paraId="00000022">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6. Manifestaciones</w:t>
      </w:r>
      <w:r w:rsidDel="00000000" w:rsidR="00000000" w:rsidRPr="00000000">
        <w:rPr>
          <w:rFonts w:ascii="Palatino Linotype" w:cs="Palatino Linotype" w:eastAsia="Palatino Linotype" w:hAnsi="Palatino Linotype"/>
          <w:rtl w:val="0"/>
        </w:rPr>
        <w:t xml:space="preserve">: De las constancias que integran el expediente en que se actúa se advierte que las partes fueron omisas en hacer valer manifestación alguna, expresar alegatos o presentar pruebas en el plazo establecido para tal efecto y rendir el informe justificado; por lo que se tiene por precluido su derecho en tal sentido.</w:t>
      </w:r>
    </w:p>
    <w:p w:rsidR="00000000" w:rsidDel="00000000" w:rsidP="00000000" w:rsidRDefault="00000000" w:rsidRPr="00000000" w14:paraId="00000023">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4">
      <w:pPr>
        <w:spacing w:after="240" w:before="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7. Returno.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veintitrés de agosto de dos mil veintiuno, en la Segunda Sesión Extraordinaria</w:t>
      </w:r>
      <w:r w:rsidDel="00000000" w:rsidR="00000000" w:rsidRPr="00000000">
        <w:rPr>
          <w:rFonts w:ascii="Palatino Linotype" w:cs="Palatino Linotype" w:eastAsia="Palatino Linotype" w:hAnsi="Palatino Linotype"/>
          <w:rtl w:val="0"/>
        </w:rPr>
        <w:t xml:space="preserve">, el Pleno del Instituto aprobó el returno del recurso de revisión indicado al rubro a la Ponencia de la </w:t>
      </w:r>
      <w:r w:rsidDel="00000000" w:rsidR="00000000" w:rsidRPr="00000000">
        <w:rPr>
          <w:rFonts w:ascii="Palatino Linotype" w:cs="Palatino Linotype" w:eastAsia="Palatino Linotype" w:hAnsi="Palatino Linotype"/>
          <w:b w:val="1"/>
          <w:rtl w:val="0"/>
        </w:rPr>
        <w:t xml:space="preserve">Comisionada Guadalupe Ramírez Peña</w:t>
      </w:r>
      <w:r w:rsidDel="00000000" w:rsidR="00000000" w:rsidRPr="00000000">
        <w:rPr>
          <w:rFonts w:ascii="Palatino Linotype" w:cs="Palatino Linotype" w:eastAsia="Palatino Linotype" w:hAnsi="Palatino Linotype"/>
          <w:rtl w:val="0"/>
        </w:rPr>
        <w:t xml:space="preserve"> para su estudio y resolución.</w:t>
      </w:r>
      <w:r w:rsidDel="00000000" w:rsidR="00000000" w:rsidRPr="00000000">
        <w:rPr>
          <w:rtl w:val="0"/>
        </w:rPr>
      </w:r>
    </w:p>
    <w:p w:rsidR="00000000" w:rsidDel="00000000" w:rsidP="00000000" w:rsidRDefault="00000000" w:rsidRPr="00000000" w14:paraId="00000025">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8. Ampliación del plazo para emitir resolución</w:t>
      </w:r>
      <w:r w:rsidDel="00000000" w:rsidR="00000000" w:rsidRPr="00000000">
        <w:rPr>
          <w:rFonts w:ascii="Palatino Linotype" w:cs="Palatino Linotype" w:eastAsia="Palatino Linotype" w:hAnsi="Palatino Linotype"/>
          <w:rtl w:val="0"/>
        </w:rPr>
        <w:t xml:space="preserve">. En fecha veinticinco de noviembre del dos mil veintiuno,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 a fin de realizar un mejor estudio del asunto.</w:t>
      </w:r>
      <w:r w:rsidDel="00000000" w:rsidR="00000000" w:rsidRPr="00000000">
        <w:rPr>
          <w:rtl w:val="0"/>
        </w:rPr>
      </w:r>
    </w:p>
    <w:p w:rsidR="00000000" w:rsidDel="00000000" w:rsidP="00000000" w:rsidRDefault="00000000" w:rsidRPr="00000000" w14:paraId="0000002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9.</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Cierre de Instrucción. </w:t>
      </w:r>
      <w:r w:rsidDel="00000000" w:rsidR="00000000" w:rsidRPr="00000000">
        <w:rPr>
          <w:rFonts w:ascii="Palatino Linotype" w:cs="Palatino Linotype" w:eastAsia="Palatino Linotype" w:hAnsi="Palatino Linotype"/>
          <w:rtl w:val="0"/>
        </w:rPr>
        <w:t xml:space="preserve">En fecha dos de diciembre de dos mil veintiuno, anualidad en curso, con fundamento en lo establecido en los artículos 185, fracción VI de la Ley de Transparencia y Acceso a la Información Pública del Estado de México y Municipios, al no existir trámite pendiente por realizar y haber sido sustanciado el medio de impugnación se acordó el cierre de instrucción y se procede a formular la resolución que en derecho corresponda.</w:t>
      </w:r>
    </w:p>
    <w:p w:rsidR="00000000" w:rsidDel="00000000" w:rsidP="00000000" w:rsidRDefault="00000000" w:rsidRPr="00000000" w14:paraId="00000027">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240" w:line="360" w:lineRule="auto"/>
        <w:ind w:left="1080" w:right="0" w:hanging="720"/>
        <w:jc w:val="center"/>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 O N S I D E R A N D O:</w:t>
      </w:r>
    </w:p>
    <w:p w:rsidR="00000000" w:rsidDel="00000000" w:rsidP="00000000" w:rsidRDefault="00000000" w:rsidRPr="00000000" w14:paraId="00000029">
      <w:pPr>
        <w:spacing w:after="240" w:before="240" w:line="360"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b w:val="1"/>
          <w:rtl w:val="0"/>
        </w:rPr>
        <w:t xml:space="preserve">Primero. Competencia. </w:t>
      </w:r>
      <w:r w:rsidDel="00000000" w:rsidR="00000000" w:rsidRPr="00000000">
        <w:rPr>
          <w:rFonts w:ascii="Palatino Linotype" w:cs="Palatino Linotype" w:eastAsia="Palatino Linotype" w:hAnsi="Palatino Linotype"/>
          <w:highlight w:val="white"/>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noveno, trigésimo y trigésimo primero fracciones IV y V de la Constitución Política del Estado Libre y Soberano de México; 1, 2, fracción II; 13,  29, 36, fracciones I y II; 176, 178, 179, 181 párrafo 3 y 185 de la Ley Transparencia y Acceso a la Información Pública; 7, </w:t>
      </w:r>
      <w:r w:rsidDel="00000000" w:rsidR="00000000" w:rsidRPr="00000000">
        <w:rPr>
          <w:rFonts w:ascii="Palatino Linotype" w:cs="Palatino Linotype" w:eastAsia="Palatino Linotype" w:hAnsi="Palatino Linotype"/>
          <w:rtl w:val="0"/>
        </w:rPr>
        <w:t xml:space="preserve">9, fracciones I y XXIV y 11 </w:t>
      </w:r>
      <w:r w:rsidDel="00000000" w:rsidR="00000000" w:rsidRPr="00000000">
        <w:rPr>
          <w:rFonts w:ascii="Palatino Linotype" w:cs="Palatino Linotype" w:eastAsia="Palatino Linotype" w:hAnsi="Palatino Linotype"/>
          <w:highlight w:val="white"/>
          <w:rtl w:val="0"/>
        </w:rPr>
        <w:t xml:space="preserve">del Reglamento Interior del Instituto de Transparencia, Acceso a la Información Pública y Protección de Datos Personales del Estado de México y Municipios.</w:t>
      </w:r>
    </w:p>
    <w:p w:rsidR="00000000" w:rsidDel="00000000" w:rsidP="00000000" w:rsidRDefault="00000000" w:rsidRPr="00000000" w14:paraId="0000002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w:t>
      </w:r>
      <w:r w:rsidDel="00000000" w:rsidR="00000000" w:rsidRPr="00000000">
        <w:rPr>
          <w:rFonts w:ascii="Palatino Linotype" w:cs="Palatino Linotype" w:eastAsia="Palatino Linotype" w:hAnsi="Palatino Linotype"/>
          <w:rtl w:val="0"/>
        </w:rPr>
        <w:t xml:space="preserve">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2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ya que el Sujeto Obligado proporcionó respuesta a la solicitud de información en fecha veintinueve de julio de dos mil veintiuno, mientras que la recurrente interpuso el recurso de revisión el día cuatro de agosto de dos mil veintiuno, es decir, al segundo día hábil en que le fue notificada la respuesta respectivamente, por ende, dentro del término legal que prevé el arábigo de referencia.</w:t>
      </w:r>
    </w:p>
    <w:p w:rsidR="00000000" w:rsidDel="00000000" w:rsidP="00000000" w:rsidRDefault="00000000" w:rsidRPr="00000000" w14:paraId="0000002C">
      <w:pPr>
        <w:shd w:fill="ffffff" w:val="clear"/>
        <w:spacing w:after="240" w:before="240" w:line="360" w:lineRule="auto"/>
        <w:jc w:val="both"/>
        <w:rPr>
          <w:rFonts w:ascii="Palatino Linotype" w:cs="Palatino Linotype" w:eastAsia="Palatino Linotype" w:hAnsi="Palatino Linotype"/>
        </w:rPr>
      </w:pPr>
      <w:bookmarkStart w:colFirst="0" w:colLast="0" w:name="_heading=h.30j0zll" w:id="1"/>
      <w:bookmarkEnd w:id="1"/>
      <w:r w:rsidDel="00000000" w:rsidR="00000000" w:rsidRPr="00000000">
        <w:rPr>
          <w:rFonts w:ascii="Palatino Linotype" w:cs="Palatino Linotype" w:eastAsia="Palatino Linotype" w:hAnsi="Palatino Linotype"/>
          <w:rtl w:val="0"/>
        </w:rPr>
        <w:t xml:space="preserve">Ahora bien resulta procedente la interposición del recurso de revisión según lo aducido por la recurrente en su acto impugnado y motivos de inconformidad, toda vez que se actualiza la hipótesis prevista en el artículo 179, fracción V de la ley de la materia, que a la letra dice:</w:t>
      </w:r>
    </w:p>
    <w:p w:rsidR="00000000" w:rsidDel="00000000" w:rsidP="00000000" w:rsidRDefault="00000000" w:rsidRPr="00000000" w14:paraId="0000002D">
      <w:pPr>
        <w:ind w:left="1276" w:right="175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w:t>
      </w:r>
      <w:r w:rsidDel="00000000" w:rsidR="00000000" w:rsidRPr="00000000">
        <w:rPr>
          <w:rFonts w:ascii="Palatino Linotype" w:cs="Palatino Linotype" w:eastAsia="Palatino Linotype" w:hAnsi="Palatino Linotype"/>
          <w:i w:val="1"/>
          <w:rtl w:val="0"/>
        </w:rPr>
        <w:t xml:space="preserve">causas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2E">
      <w:pPr>
        <w:ind w:left="1276" w:right="175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2F">
      <w:pPr>
        <w:ind w:left="1276" w:right="175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La entrega de información incompleta;</w:t>
      </w:r>
    </w:p>
    <w:p w:rsidR="00000000" w:rsidDel="00000000" w:rsidP="00000000" w:rsidRDefault="00000000" w:rsidRPr="00000000" w14:paraId="00000030">
      <w:pPr>
        <w:ind w:left="1276" w:right="175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31">
      <w:pPr>
        <w:tabs>
          <w:tab w:val="left" w:pos="8647"/>
        </w:tabs>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que obran en el expediente electrónico se advierte que el tema sobre el que este Instituto se pronunciará será: </w:t>
      </w:r>
      <w:r w:rsidDel="00000000" w:rsidR="00000000" w:rsidRPr="00000000">
        <w:rPr>
          <w:rFonts w:ascii="Palatino Linotype" w:cs="Palatino Linotype" w:eastAsia="Palatino Linotype" w:hAnsi="Palatino Linotype"/>
          <w:b w:val="1"/>
          <w:rtl w:val="0"/>
        </w:rPr>
        <w:t xml:space="preserve">verificar si la respuesta otorgada por parte del Sujeto Obligado satisface el requerimiento de la recurrente, o en su caso procede ordenar la entrega de la información faltante.</w:t>
      </w:r>
    </w:p>
    <w:p w:rsidR="00000000" w:rsidDel="00000000" w:rsidP="00000000" w:rsidRDefault="00000000" w:rsidRPr="00000000" w14:paraId="0000003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De manera previa a entrar a analizar las constancias que integran el recurso de revisión al rubro anotado, este Órgano Garante estima pertinente mencionar que la recurrente en su solicitud número </w:t>
      </w:r>
      <w:r w:rsidDel="00000000" w:rsidR="00000000" w:rsidRPr="00000000">
        <w:rPr>
          <w:rFonts w:ascii="Palatino Linotype" w:cs="Palatino Linotype" w:eastAsia="Palatino Linotype" w:hAnsi="Palatino Linotype"/>
          <w:b w:val="1"/>
          <w:rtl w:val="0"/>
        </w:rPr>
        <w:t xml:space="preserve">00054/PAN/IP/2021 </w:t>
      </w:r>
      <w:r w:rsidDel="00000000" w:rsidR="00000000" w:rsidRPr="00000000">
        <w:rPr>
          <w:rFonts w:ascii="Palatino Linotype" w:cs="Palatino Linotype" w:eastAsia="Palatino Linotype" w:hAnsi="Palatino Linotype"/>
          <w:rtl w:val="0"/>
        </w:rPr>
        <w:t xml:space="preserve">requirió al </w:t>
      </w:r>
      <w:r w:rsidDel="00000000" w:rsidR="00000000" w:rsidRPr="00000000">
        <w:rPr>
          <w:rFonts w:ascii="Palatino Linotype" w:cs="Palatino Linotype" w:eastAsia="Palatino Linotype" w:hAnsi="Palatino Linotype"/>
          <w:b w:val="1"/>
          <w:rtl w:val="0"/>
        </w:rPr>
        <w:t xml:space="preserve">Partido Acción Nacional, </w:t>
      </w:r>
      <w:r w:rsidDel="00000000" w:rsidR="00000000" w:rsidRPr="00000000">
        <w:rPr>
          <w:rFonts w:ascii="Palatino Linotype" w:cs="Palatino Linotype" w:eastAsia="Palatino Linotype" w:hAnsi="Palatino Linotype"/>
          <w:rtl w:val="0"/>
        </w:rPr>
        <w:t xml:space="preserve">que le proporcionará lo siguiente:</w:t>
      </w:r>
    </w:p>
    <w:p w:rsidR="00000000" w:rsidDel="00000000" w:rsidP="00000000" w:rsidRDefault="00000000" w:rsidRPr="00000000" w14:paraId="0000003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240" w:line="360" w:lineRule="auto"/>
        <w:ind w:left="928"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organigrama y directorio, especificando cantidad y nombres de personas (Secretarios, Directores) adscritas por área (Secretaría, Dirección, Miembros de Comité, etc.</w:t>
      </w:r>
    </w:p>
    <w:p w:rsidR="00000000" w:rsidDel="00000000" w:rsidP="00000000" w:rsidRDefault="00000000" w:rsidRPr="00000000" w14:paraId="0000003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928"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¿Cuántas personas trabajan en el Comité? especificando el cargo de cada una, así como su área de adscripción.</w:t>
      </w:r>
    </w:p>
    <w:p w:rsidR="00000000" w:rsidDel="00000000" w:rsidP="00000000" w:rsidRDefault="00000000" w:rsidRPr="00000000" w14:paraId="0000003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928"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Los nombres de todas las personas que trabajan en el Comité, donde se indique su área de adscripción, teléfono con extensión, correo electrónico institucional y sueldo bruto y neto mensual.</w:t>
      </w:r>
    </w:p>
    <w:p w:rsidR="00000000" w:rsidDel="00000000" w:rsidP="00000000" w:rsidRDefault="00000000" w:rsidRPr="00000000" w14:paraId="0000003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928"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La versión pública de los recibos de nómina de cada persona que trabaja en el Comité, dichos recibos corresponden a cada una de las tres últimas quincenas.</w:t>
      </w:r>
    </w:p>
    <w:p w:rsidR="00000000" w:rsidDel="00000000" w:rsidP="00000000" w:rsidRDefault="00000000" w:rsidRPr="00000000" w14:paraId="0000003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40" w:before="0" w:line="360" w:lineRule="auto"/>
        <w:ind w:left="928"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gasto realizado por concepto de nómina que realizó el Comité en las últimas 3 quincenas, especificando el monto por área y/o Secretaría.</w:t>
      </w:r>
    </w:p>
    <w:p w:rsidR="00000000" w:rsidDel="00000000" w:rsidP="00000000" w:rsidRDefault="00000000" w:rsidRPr="00000000" w14:paraId="0000003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precisado lo anterior,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000000" w:rsidDel="00000000" w:rsidP="00000000" w:rsidRDefault="00000000" w:rsidRPr="00000000" w14:paraId="0000003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Primeramente, es necesario hacer referencia que, con motivo de la solicitud de información de la recurrente, el Sujeto Obligado adjuntó diversos archivos electrónicos cuyo contenido se detalla a continuación:</w:t>
      </w:r>
    </w:p>
    <w:p w:rsidR="00000000" w:rsidDel="00000000" w:rsidP="00000000" w:rsidRDefault="00000000" w:rsidRPr="00000000" w14:paraId="000000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40" w:line="360" w:lineRule="auto"/>
        <w:ind w:left="720" w:right="0"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Archivo “</w:t>
      </w:r>
      <w:hyperlink r:id="rId15">
        <w:r w:rsidDel="00000000" w:rsidR="00000000" w:rsidRPr="00000000">
          <w:rPr>
            <w:rFonts w:ascii="Palatino Linotype" w:cs="Palatino Linotype" w:eastAsia="Palatino Linotype" w:hAnsi="Palatino Linotype"/>
            <w:b w:val="1"/>
            <w:i w:val="0"/>
            <w:smallCaps w:val="0"/>
            <w:strike w:val="0"/>
            <w:color w:val="0563c1"/>
            <w:sz w:val="24"/>
            <w:szCs w:val="24"/>
            <w:u w:val="single"/>
            <w:shd w:fill="auto" w:val="clear"/>
            <w:vertAlign w:val="baseline"/>
            <w:rtl w:val="0"/>
          </w:rPr>
          <w:t xml:space="preserve">Contestacion solicitud 054 PAN IP 2021.pdf</w:t>
        </w:r>
      </w:hyperlink>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contiene el oficio CDE/TES/240/2021 de fecha veintiséis de julio de dos mil veintiuno a través del cual el Tesorero del Comité Directivo Estatal hace saber al Titular de la Unidad de Transparencia y Protección de Datos Personales del Partido Acción Nacional en el Estado de México lo siguiente:</w:t>
      </w: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Por lo que se refiere al organigrama y directorio,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dicha información se puede consultar en el portal de IPOMEX, concretamente en la liga: </w:t>
      </w:r>
      <w:hyperlink r:id="rId16">
        <w:r w:rsidDel="00000000" w:rsidR="00000000" w:rsidRPr="00000000">
          <w:rPr>
            <w:rFonts w:ascii="Palatino Linotype" w:cs="Palatino Linotype" w:eastAsia="Palatino Linotype" w:hAnsi="Palatino Linotype"/>
            <w:b w:val="0"/>
            <w:i w:val="0"/>
            <w:smallCaps w:val="0"/>
            <w:strike w:val="0"/>
            <w:color w:val="0563c1"/>
            <w:sz w:val="24"/>
            <w:szCs w:val="24"/>
            <w:u w:val="single"/>
            <w:shd w:fill="auto" w:val="clear"/>
            <w:vertAlign w:val="baseline"/>
            <w:rtl w:val="0"/>
          </w:rPr>
          <w:t xml:space="preserve">https://www.ipomex.org.mx/ipo3/lgt/indice/PAN/art_92_ii_b.web</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Por lo que se refiere a la cantidad de personas que a la fecha de la solicitud trabajan en el Comité,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refiere que dicha información pude ser consultada en el portal de IPOMEX, en la liga: </w:t>
      </w:r>
      <w:hyperlink r:id="rId17">
        <w:r w:rsidDel="00000000" w:rsidR="00000000" w:rsidRPr="00000000">
          <w:rPr>
            <w:rFonts w:ascii="Palatino Linotype" w:cs="Palatino Linotype" w:eastAsia="Palatino Linotype" w:hAnsi="Palatino Linotype"/>
            <w:b w:val="0"/>
            <w:i w:val="0"/>
            <w:smallCaps w:val="0"/>
            <w:strike w:val="0"/>
            <w:color w:val="0563c1"/>
            <w:sz w:val="24"/>
            <w:szCs w:val="24"/>
            <w:u w:val="single"/>
            <w:shd w:fill="auto" w:val="clear"/>
            <w:vertAlign w:val="baseline"/>
            <w:rtl w:val="0"/>
          </w:rPr>
          <w:t xml:space="preserve">https://www.ipomex.org.mx/ipo3/lgt/indice/PAN/art_100_xvi.web</w:t>
        </w:r>
      </w:hyperlink>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En relación a los nombres de todas las personas que trabajan en el Comité(</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indicando área de adscripción, teléfono con extensión, correo electrónico institucional, sueldo bruto y neto mensual</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 misma puede consultarse en el portal de IPOMEX, en: </w:t>
      </w:r>
      <w:hyperlink r:id="rId18">
        <w:r w:rsidDel="00000000" w:rsidR="00000000" w:rsidRPr="00000000">
          <w:rPr>
            <w:rFonts w:ascii="Palatino Linotype" w:cs="Palatino Linotype" w:eastAsia="Palatino Linotype" w:hAnsi="Palatino Linotype"/>
            <w:b w:val="0"/>
            <w:i w:val="0"/>
            <w:smallCaps w:val="0"/>
            <w:strike w:val="0"/>
            <w:color w:val="0563c1"/>
            <w:sz w:val="24"/>
            <w:szCs w:val="24"/>
            <w:u w:val="single"/>
            <w:shd w:fill="auto" w:val="clear"/>
            <w:vertAlign w:val="baseline"/>
            <w:rtl w:val="0"/>
          </w:rPr>
          <w:t xml:space="preserve">https://www.ipomex.org.mx/ipo3/lgt/indice/PAN/art_100_xvi.web</w:t>
        </w:r>
      </w:hyperlink>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Respecto a los recibos de nómina,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los adjunta en versión pública, precisando que los mismos corresponde a todos los trabajadores del Comité.</w:t>
      </w: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En relación al gasto por concepto de nómina en las últimas tres quincenas,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refiere que dicha información consta en el archivo Gasto efectuado Nomina_16 may al 30 jun 2021.pdf </w:t>
      </w: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Archivo “</w:t>
      </w:r>
      <w:hyperlink r:id="rId19">
        <w:r w:rsidDel="00000000" w:rsidR="00000000" w:rsidRPr="00000000">
          <w:rPr>
            <w:rFonts w:ascii="Palatino Linotype" w:cs="Palatino Linotype" w:eastAsia="Palatino Linotype" w:hAnsi="Palatino Linotype"/>
            <w:b w:val="1"/>
            <w:i w:val="0"/>
            <w:smallCaps w:val="0"/>
            <w:strike w:val="0"/>
            <w:color w:val="0563c1"/>
            <w:sz w:val="24"/>
            <w:szCs w:val="24"/>
            <w:u w:val="single"/>
            <w:shd w:fill="auto" w:val="clear"/>
            <w:vertAlign w:val="baseline"/>
            <w:rtl w:val="0"/>
          </w:rPr>
          <w:t xml:space="preserve">Recibos Nomina 2da Qna May 2021.pdf</w:t>
        </w:r>
      </w:hyperlink>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contiene 94 Comprobantes Fiscales Digitales por Internet de fecha dos de junio de dos mil veintiuno, de los trabajadores adscritos al CDE del ejercicio 2021, del periodo comprendido del 16 al 31 de mayo de 2021, de los cuales se advierte que se testaron datos como NÚMERO DE EMPLEADO, RFC, CURP, NSS, QR Y cadena original del complemento del Certificado Digital del SAT.</w:t>
      </w: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Archivo “</w:t>
      </w:r>
      <w:hyperlink r:id="rId20">
        <w:r w:rsidDel="00000000" w:rsidR="00000000" w:rsidRPr="00000000">
          <w:rPr>
            <w:rFonts w:ascii="Palatino Linotype" w:cs="Palatino Linotype" w:eastAsia="Palatino Linotype" w:hAnsi="Palatino Linotype"/>
            <w:b w:val="1"/>
            <w:i w:val="0"/>
            <w:smallCaps w:val="0"/>
            <w:strike w:val="0"/>
            <w:color w:val="0563c1"/>
            <w:sz w:val="24"/>
            <w:szCs w:val="24"/>
            <w:u w:val="single"/>
            <w:shd w:fill="auto" w:val="clear"/>
            <w:vertAlign w:val="baseline"/>
            <w:rtl w:val="0"/>
          </w:rPr>
          <w:t xml:space="preserve">Recibos Nomina 2da Qna Jun 2021.pdf</w:t>
        </w:r>
      </w:hyperlink>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contiene 97 Comprobantes Fiscales Digitales por Internet de fecha cuatro de julio de dos mil veintiuno, de los trabajadores adscritos al CDE del ejercicio 2021, del periodo comprendido del 16 al 31 de junio de 2021, de los cuales se advierte que se testaron datos como NÚMERO DE EMPLEADO, RFC, CURP, NSS, QR Y cadena original del complemento del Certificado Digital del SAT.</w:t>
      </w: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360" w:lineRule="auto"/>
        <w:ind w:left="720" w:right="0"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Archivo “</w:t>
      </w:r>
      <w:hyperlink r:id="rId21">
        <w:r w:rsidDel="00000000" w:rsidR="00000000" w:rsidRPr="00000000">
          <w:rPr>
            <w:rFonts w:ascii="Palatino Linotype" w:cs="Palatino Linotype" w:eastAsia="Palatino Linotype" w:hAnsi="Palatino Linotype"/>
            <w:b w:val="1"/>
            <w:i w:val="0"/>
            <w:smallCaps w:val="0"/>
            <w:strike w:val="0"/>
            <w:color w:val="0563c1"/>
            <w:sz w:val="24"/>
            <w:szCs w:val="24"/>
            <w:u w:val="single"/>
            <w:shd w:fill="auto" w:val="clear"/>
            <w:vertAlign w:val="baseline"/>
            <w:rtl w:val="0"/>
          </w:rPr>
          <w:t xml:space="preserve">Recibos Nomina 1ra Qna Jun 2021.pdf</w:t>
        </w:r>
      </w:hyperlink>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contiene 96 Comprobantes Fiscales Digitales por Internet de fecha dieciocho de junio de dos mil veintiuno, de los trabajadores adscritos al CDE del ejercicio 2021, del periodo comprendido del 01 al 15 de junio de 2021, de los cuales se advierte que se testaron datos como NÚMERO DE EMPLEADO, RFC, CURP, NSS, QR Y cadena original del complemento del Certificado Digital del SAT.</w:t>
      </w:r>
      <w:r w:rsidDel="00000000" w:rsidR="00000000" w:rsidRPr="00000000">
        <w:rPr>
          <w:rtl w:val="0"/>
        </w:rPr>
      </w:r>
    </w:p>
    <w:p w:rsidR="00000000" w:rsidDel="00000000" w:rsidP="00000000" w:rsidRDefault="00000000" w:rsidRPr="00000000" w14:paraId="0000004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Inconforme con la respuesta emitida, la parte recurrente interpuso el recurso de revisión manifestando como acto impugnado la respuesta del Sujeto Obligado y como motivos de inconformidad sustancialmente que no se le entregó la información requerida, agregando que las ligas de acceso que proporciona contienen información incompleta y no está actualizada.</w:t>
      </w:r>
    </w:p>
    <w:p w:rsidR="00000000" w:rsidDel="00000000" w:rsidP="00000000" w:rsidRDefault="00000000" w:rsidRPr="00000000" w14:paraId="0000004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debe mencionarse que del análisis realizado a los motivos de inconformidad se concluye que los mismos son fundados en atención a lo siguiente:</w:t>
      </w:r>
    </w:p>
    <w:p w:rsidR="00000000" w:rsidDel="00000000" w:rsidP="00000000" w:rsidRDefault="00000000" w:rsidRPr="00000000" w14:paraId="0000004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46">
      <w:pPr>
        <w:tabs>
          <w:tab w:val="left" w:pos="709"/>
        </w:tabs>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sz w:val="22"/>
          <w:szCs w:val="22"/>
          <w:rtl w:val="0"/>
        </w:rPr>
        <w:t xml:space="preserv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47">
      <w:pPr>
        <w:tabs>
          <w:tab w:val="left" w:pos="709"/>
        </w:tabs>
        <w:ind w:left="851" w:right="85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48">
      <w:pPr>
        <w:tabs>
          <w:tab w:val="left" w:pos="709"/>
        </w:tabs>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sz w:val="22"/>
          <w:szCs w:val="22"/>
          <w:rtl w:val="0"/>
        </w:rPr>
        <w:t xml:space="preserve"> En consecuencia, el Estado deberá prevenir, investigar, sancionar y reparar las violaciones a los derechos humanos, en los términos que establezca la ley</w:t>
      </w:r>
    </w:p>
    <w:p w:rsidR="00000000" w:rsidDel="00000000" w:rsidP="00000000" w:rsidRDefault="00000000" w:rsidRPr="00000000" w14:paraId="00000049">
      <w:pPr>
        <w:tabs>
          <w:tab w:val="left" w:pos="709"/>
        </w:tabs>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A">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6o.</w:t>
      </w:r>
      <w:r w:rsidDel="00000000" w:rsidR="00000000" w:rsidRPr="00000000">
        <w:rPr>
          <w:rtl w:val="0"/>
        </w:rPr>
      </w:r>
    </w:p>
    <w:p w:rsidR="00000000" w:rsidDel="00000000" w:rsidP="00000000" w:rsidRDefault="00000000" w:rsidRPr="00000000" w14:paraId="0000004B">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C">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sz w:val="22"/>
          <w:szCs w:val="22"/>
          <w:u w:val="single"/>
          <w:rtl w:val="0"/>
        </w:rPr>
        <w:t xml:space="preserve">las entidades federativas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en el ámbito de sus respectivas competencias, se regirán por los siguientes principios y bases:</w:t>
      </w:r>
    </w:p>
    <w:p w:rsidR="00000000" w:rsidDel="00000000" w:rsidP="00000000" w:rsidRDefault="00000000" w:rsidRPr="00000000" w14:paraId="0000004D">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4E">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b w:val="1"/>
          <w:i w:val="1"/>
          <w:sz w:val="22"/>
          <w:szCs w:val="22"/>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sz w:val="22"/>
          <w:szCs w:val="22"/>
          <w:rtl w:val="0"/>
        </w:rPr>
        <w:t xml:space="preserve"> Ejecutivo, Legislativo </w:t>
      </w:r>
      <w:r w:rsidDel="00000000" w:rsidR="00000000" w:rsidRPr="00000000">
        <w:rPr>
          <w:rFonts w:ascii="Palatino Linotype" w:cs="Palatino Linotype" w:eastAsia="Palatino Linotype" w:hAnsi="Palatino Linotype"/>
          <w:b w:val="1"/>
          <w:i w:val="1"/>
          <w:sz w:val="22"/>
          <w:szCs w:val="22"/>
          <w:u w:val="single"/>
          <w:rtl w:val="0"/>
        </w:rPr>
        <w:t xml:space="preserve">y Judicial</w:t>
      </w:r>
      <w:r w:rsidDel="00000000" w:rsidR="00000000" w:rsidRPr="00000000">
        <w:rPr>
          <w:rFonts w:ascii="Palatino Linotype" w:cs="Palatino Linotype" w:eastAsia="Palatino Linotype" w:hAnsi="Palatino Linotype"/>
          <w:i w:val="1"/>
          <w:sz w:val="22"/>
          <w:szCs w:val="22"/>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sz w:val="22"/>
          <w:szCs w:val="22"/>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sz w:val="22"/>
          <w:szCs w:val="22"/>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4F">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50">
      <w:pPr>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La información que se refiere a la vida privada y los datos personales será protegida en los términos y con las excepciones que fijen las leyes.</w:t>
      </w:r>
    </w:p>
    <w:p w:rsidR="00000000" w:rsidDel="00000000" w:rsidP="00000000" w:rsidRDefault="00000000" w:rsidRPr="00000000" w14:paraId="00000051">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52">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b w:val="1"/>
          <w:i w:val="1"/>
          <w:sz w:val="22"/>
          <w:szCs w:val="22"/>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sz w:val="22"/>
          <w:szCs w:val="22"/>
          <w:rtl w:val="0"/>
        </w:rPr>
        <w:t xml:space="preserve"> a sus datos personales o a la rectificación de éstos.</w:t>
      </w:r>
    </w:p>
    <w:p w:rsidR="00000000" w:rsidDel="00000000" w:rsidP="00000000" w:rsidRDefault="00000000" w:rsidRPr="00000000" w14:paraId="00000053">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54">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Se establecerán mecanismos de acceso a la información y procedimientos de revisión expeditos que se sustanciarán ante los organismos autónomos especializados e imparciales que establece esta Constitución.</w:t>
      </w:r>
    </w:p>
    <w:p w:rsidR="00000000" w:rsidDel="00000000" w:rsidP="00000000" w:rsidRDefault="00000000" w:rsidRPr="00000000" w14:paraId="00000055">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6">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57">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58">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Las leyes determinarán la manera en que los sujetos obligados deberán hacer pública la información relativa a los recursos públicos que entreguen a personas físicas o morales.</w:t>
      </w:r>
    </w:p>
    <w:p w:rsidR="00000000" w:rsidDel="00000000" w:rsidP="00000000" w:rsidRDefault="00000000" w:rsidRPr="00000000" w14:paraId="00000059">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5A">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inobservancia a las disposiciones en materia de acceso a la información pública será sancionada en los términos que dispongan las leyes. [...]</w:t>
      </w:r>
    </w:p>
    <w:p w:rsidR="00000000" w:rsidDel="00000000" w:rsidP="00000000" w:rsidRDefault="00000000" w:rsidRPr="00000000" w14:paraId="0000005B">
      <w:pPr>
        <w:ind w:right="851"/>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C">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000000" w:rsidDel="00000000" w:rsidP="00000000" w:rsidRDefault="00000000" w:rsidRPr="00000000" w14:paraId="0000005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000000" w:rsidDel="00000000" w:rsidP="00000000" w:rsidRDefault="00000000" w:rsidRPr="00000000" w14:paraId="0000005E">
      <w:pPr>
        <w:spacing w:after="0" w:before="240" w:lineRule="auto"/>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5F">
      <w:pPr>
        <w:spacing w:after="0" w:before="0" w:lineRule="auto"/>
        <w:ind w:left="709" w:right="76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60">
      <w:pPr>
        <w:spacing w:after="0" w:before="0" w:lineRule="auto"/>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solicitantes.”(Sic)</w:t>
      </w:r>
    </w:p>
    <w:p w:rsidR="00000000" w:rsidDel="00000000" w:rsidP="00000000" w:rsidRDefault="00000000" w:rsidRPr="00000000" w14:paraId="00000061">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2">
      <w:pPr>
        <w:spacing w:after="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Del="00000000" w:rsidR="00000000" w:rsidRPr="00000000">
        <w:rPr>
          <w:rFonts w:ascii="Palatino Linotype" w:cs="Palatino Linotype" w:eastAsia="Palatino Linotype" w:hAnsi="Palatino Linotype"/>
          <w:b w:val="1"/>
          <w:rtl w:val="0"/>
        </w:rPr>
        <w:t xml:space="preserve">artículo 12</w:t>
      </w:r>
      <w:r w:rsidDel="00000000" w:rsidR="00000000" w:rsidRPr="00000000">
        <w:rPr>
          <w:rFonts w:ascii="Palatino Linotype" w:cs="Palatino Linotype" w:eastAsia="Palatino Linotype" w:hAnsi="Palatino Linotype"/>
          <w:rtl w:val="0"/>
        </w:rPr>
        <w:t xml:space="preserve"> de la Ley de Transparencia y Acceso a la Información Pública del Estado de México y Municipios, el cual a la letra dice:</w:t>
      </w:r>
    </w:p>
    <w:p w:rsidR="00000000" w:rsidDel="00000000" w:rsidP="00000000" w:rsidRDefault="00000000" w:rsidRPr="00000000" w14:paraId="00000063">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4">
      <w:pPr>
        <w:spacing w:after="0" w:before="0" w:lineRule="auto"/>
        <w:ind w:left="567"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65">
      <w:pPr>
        <w:spacing w:after="0" w:before="0" w:lineRule="auto"/>
        <w:ind w:left="567" w:right="758"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6">
      <w:pPr>
        <w:spacing w:after="0" w:before="0" w:lineRule="auto"/>
        <w:ind w:left="567"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000000" w:rsidDel="00000000" w:rsidP="00000000" w:rsidRDefault="00000000" w:rsidRPr="00000000" w14:paraId="0000006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que el derecho de acceso a la información pública se satisface en aquellos casos en que se entregue documento en que conste la información requerida, toda vez que, los Sujetos Obligados</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no tienen el deber de generar, poseer o administrar la información pública con el grado de detalle solicitado; esto es, que no tienen el deber de generar un documento </w:t>
      </w:r>
      <w:r w:rsidDel="00000000" w:rsidR="00000000" w:rsidRPr="00000000">
        <w:rPr>
          <w:rFonts w:ascii="Palatino Linotype" w:cs="Palatino Linotype" w:eastAsia="Palatino Linotype" w:hAnsi="Palatino Linotype"/>
          <w:i w:val="1"/>
          <w:rtl w:val="0"/>
        </w:rPr>
        <w:t xml:space="preserve">ad hoc</w:t>
      </w:r>
      <w:r w:rsidDel="00000000" w:rsidR="00000000" w:rsidRPr="00000000">
        <w:rPr>
          <w:rFonts w:ascii="Palatino Linotype" w:cs="Palatino Linotype" w:eastAsia="Palatino Linotype" w:hAnsi="Palatino Linotype"/>
          <w:rtl w:val="0"/>
        </w:rPr>
        <w:t xml:space="preserve">, para satisfacer el derecho de acceso a la información pública, como así lo establece el criterio 03/17 emitidos por el Instituto Nacional de Transparencia, Acceso a la Información Pública y Protección de Datos Personales, los cuales señalan lo siguiente:</w:t>
      </w:r>
    </w:p>
    <w:p w:rsidR="00000000" w:rsidDel="00000000" w:rsidP="00000000" w:rsidRDefault="00000000" w:rsidRPr="00000000" w14:paraId="00000069">
      <w:pPr>
        <w:ind w:left="851"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6A">
      <w:pPr>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03/17</w:t>
      </w:r>
    </w:p>
    <w:p w:rsidR="00000000" w:rsidDel="00000000" w:rsidP="00000000" w:rsidRDefault="00000000" w:rsidRPr="00000000" w14:paraId="0000006B">
      <w:pPr>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 ACIÓN.</w:t>
      </w:r>
    </w:p>
    <w:p w:rsidR="00000000" w:rsidDel="00000000" w:rsidP="00000000" w:rsidRDefault="00000000" w:rsidRPr="00000000" w14:paraId="0000006C">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000000" w:rsidDel="00000000" w:rsidP="00000000" w:rsidRDefault="00000000" w:rsidRPr="00000000" w14:paraId="0000006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y aunado a lo antepuesto, el artículo 24, último párrafo de la Ley de la materia</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dispone que los Sujetos Obligados sólo proporcionarán la información pública que generen, administren o posean en el ejercicio de sus atribuciones u obligaciones; por lo tanto,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6F">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0">
      <w:pPr>
        <w:spacing w:after="0" w:before="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71">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Del="00000000" w:rsidR="00000000" w:rsidRPr="00000000">
        <w:rPr>
          <w:rFonts w:ascii="Palatino Linotype" w:cs="Palatino Linotype" w:eastAsia="Palatino Linotype" w:hAnsi="Palatino Linotype"/>
          <w:b w:val="1"/>
          <w:rtl w:val="0"/>
        </w:rPr>
        <w:t xml:space="preserve">cualquier otro registro que documente el ejercicio de las facultades, funciones, obligaciones y competencias de los Sujetos Obligados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los que, podrán estar en cualquier medio</w:t>
      </w:r>
      <w:r w:rsidDel="00000000" w:rsidR="00000000" w:rsidRPr="00000000">
        <w:rPr>
          <w:rFonts w:ascii="Palatino Linotype" w:cs="Palatino Linotype" w:eastAsia="Palatino Linotype" w:hAnsi="Palatino Linotype"/>
          <w:rtl w:val="0"/>
        </w:rPr>
        <w:t xml:space="preserve">, sea escrito, impreso, sonoro, visual, </w:t>
      </w:r>
      <w:r w:rsidDel="00000000" w:rsidR="00000000" w:rsidRPr="00000000">
        <w:rPr>
          <w:rFonts w:ascii="Palatino Linotype" w:cs="Palatino Linotype" w:eastAsia="Palatino Linotype" w:hAnsi="Palatino Linotype"/>
          <w:b w:val="1"/>
          <w:rtl w:val="0"/>
        </w:rPr>
        <w:t xml:space="preserve">electrónico</w:t>
      </w:r>
      <w:r w:rsidDel="00000000" w:rsidR="00000000" w:rsidRPr="00000000">
        <w:rPr>
          <w:rFonts w:ascii="Palatino Linotype" w:cs="Palatino Linotype" w:eastAsia="Palatino Linotype" w:hAnsi="Palatino Linotype"/>
          <w:rtl w:val="0"/>
        </w:rPr>
        <w:t xml:space="preserve">, informático u holográfico de conformidad con el artículo 3, fracción XI de la Ley de la materia, el cual señala lo siguiente: </w:t>
      </w:r>
    </w:p>
    <w:p w:rsidR="00000000" w:rsidDel="00000000" w:rsidP="00000000" w:rsidRDefault="00000000" w:rsidRPr="00000000" w14:paraId="00000073">
      <w:pPr>
        <w:ind w:left="1134" w:right="89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4">
      <w:pPr>
        <w:ind w:left="1134"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75">
      <w:pPr>
        <w:ind w:left="1134"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6">
      <w:pPr>
        <w:ind w:left="1134"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Del="00000000" w:rsidR="00000000" w:rsidRPr="00000000">
        <w:rPr>
          <w:rFonts w:ascii="Palatino Linotype" w:cs="Palatino Linotype" w:eastAsia="Palatino Linotype" w:hAnsi="Palatino Linotype"/>
          <w:b w:val="1"/>
          <w:i w:val="1"/>
          <w:sz w:val="22"/>
          <w:szCs w:val="22"/>
          <w:rtl w:val="0"/>
        </w:rPr>
        <w:t xml:space="preserve">Los documentos podrán estar en cualquier medio</w:t>
      </w:r>
      <w:r w:rsidDel="00000000" w:rsidR="00000000" w:rsidRPr="00000000">
        <w:rPr>
          <w:rFonts w:ascii="Palatino Linotype" w:cs="Palatino Linotype" w:eastAsia="Palatino Linotype" w:hAnsi="Palatino Linotype"/>
          <w:i w:val="1"/>
          <w:sz w:val="22"/>
          <w:szCs w:val="22"/>
          <w:rtl w:val="0"/>
        </w:rPr>
        <w:t xml:space="preserve">, sea escrito, impreso, sonoro, visual, </w:t>
      </w:r>
      <w:r w:rsidDel="00000000" w:rsidR="00000000" w:rsidRPr="00000000">
        <w:rPr>
          <w:rFonts w:ascii="Palatino Linotype" w:cs="Palatino Linotype" w:eastAsia="Palatino Linotype" w:hAnsi="Palatino Linotype"/>
          <w:b w:val="1"/>
          <w:i w:val="1"/>
          <w:sz w:val="22"/>
          <w:szCs w:val="22"/>
          <w:rtl w:val="0"/>
        </w:rPr>
        <w:t xml:space="preserve">electrónico</w:t>
      </w:r>
      <w:r w:rsidDel="00000000" w:rsidR="00000000" w:rsidRPr="00000000">
        <w:rPr>
          <w:rFonts w:ascii="Palatino Linotype" w:cs="Palatino Linotype" w:eastAsia="Palatino Linotype" w:hAnsi="Palatino Linotype"/>
          <w:i w:val="1"/>
          <w:sz w:val="22"/>
          <w:szCs w:val="22"/>
          <w:rtl w:val="0"/>
        </w:rPr>
        <w:t xml:space="preserve">, informático u holográfico</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7">
      <w:pPr>
        <w:ind w:left="851" w:right="89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79">
      <w:pPr>
        <w:ind w:left="851" w:right="89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A">
      <w:pPr>
        <w:ind w:left="1134"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w:t>
      </w:r>
    </w:p>
    <w:p w:rsidR="00000000" w:rsidDel="00000000" w:rsidP="00000000" w:rsidRDefault="00000000" w:rsidRPr="00000000" w14:paraId="0000007B">
      <w:pPr>
        <w:ind w:left="1134"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7C">
      <w:pPr>
        <w:ind w:left="1134"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7D">
      <w:pPr>
        <w:ind w:left="1134"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7E">
      <w:pPr>
        <w:ind w:left="1134"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7F">
      <w:pPr>
        <w:ind w:left="1134"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80">
      <w:pPr>
        <w:ind w:left="1134" w:right="1041"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1">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ahí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Del="00000000" w:rsidR="00000000" w:rsidRPr="00000000">
        <w:rPr>
          <w:rFonts w:ascii="Palatino Linotype" w:cs="Palatino Linotype" w:eastAsia="Palatino Linotype" w:hAnsi="Palatino Linotype"/>
          <w:vertAlign w:val="superscript"/>
        </w:rPr>
        <w:footnoteReference w:customMarkFollows="0" w:id="1"/>
      </w:r>
      <w:r w:rsidDel="00000000" w:rsidR="00000000" w:rsidRPr="00000000">
        <w:rPr>
          <w:rFonts w:ascii="Palatino Linotype" w:cs="Palatino Linotype" w:eastAsia="Palatino Linotype" w:hAnsi="Palatino Linotype"/>
          <w:rtl w:val="0"/>
        </w:rPr>
        <w:t xml:space="preserve">, así como de interés público, es decir, aquella que resulta relevante o beneficiosa para la sociedad y no simplemente de interés individual, y cuya divulgación resulta útil para que el público comprenda las actividades que llevan a cabo los Sujetos Obligados</w:t>
      </w:r>
      <w:r w:rsidDel="00000000" w:rsidR="00000000" w:rsidRPr="00000000">
        <w:rPr>
          <w:rFonts w:ascii="Palatino Linotype" w:cs="Palatino Linotype" w:eastAsia="Palatino Linotype" w:hAnsi="Palatino Linotype"/>
          <w:vertAlign w:val="superscript"/>
        </w:rPr>
        <w:footnoteReference w:customMarkFollows="0" w:id="2"/>
      </w:r>
      <w:r w:rsidDel="00000000" w:rsidR="00000000" w:rsidRPr="00000000">
        <w:rPr>
          <w:rFonts w:ascii="Palatino Linotype" w:cs="Palatino Linotype" w:eastAsia="Palatino Linotype" w:hAnsi="Palatino Linotype"/>
          <w:rtl w:val="0"/>
        </w:rPr>
        <w:t xml:space="preserve">, como pudiera tratarse de aquella relacionada con las obligaciones de trasparencia señaladas en los artículos 92 y 100 de la Ley de la Materia.</w:t>
      </w:r>
    </w:p>
    <w:p w:rsidR="00000000" w:rsidDel="00000000" w:rsidP="00000000" w:rsidRDefault="00000000" w:rsidRPr="00000000" w14:paraId="00000082">
      <w:pPr>
        <w:spacing w:after="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se procede al análisis de la información entregada en respuesta, con la finalidad de determinar si se colmó o no el derecho de acceso a la información del particular, encontrando lo siguiente:</w:t>
      </w:r>
    </w:p>
    <w:p w:rsidR="00000000" w:rsidDel="00000000" w:rsidP="00000000" w:rsidRDefault="00000000" w:rsidRPr="00000000" w14:paraId="00000083">
      <w:pPr>
        <w:spacing w:after="280" w:before="0" w:line="360" w:lineRule="auto"/>
        <w:jc w:val="both"/>
        <w:rPr>
          <w:rFonts w:ascii="Palatino Linotype" w:cs="Palatino Linotype" w:eastAsia="Palatino Linotype" w:hAnsi="Palatino Linotype"/>
        </w:rPr>
      </w:pPr>
      <w:r w:rsidDel="00000000" w:rsidR="00000000" w:rsidRPr="00000000">
        <w:rPr>
          <w:rtl w:val="0"/>
        </w:rPr>
      </w:r>
    </w:p>
    <w:tbl>
      <w:tblPr>
        <w:tblStyle w:val="Table1"/>
        <w:tblW w:w="8828.0" w:type="dxa"/>
        <w:jc w:val="center"/>
        <w:tblLayout w:type="fixed"/>
        <w:tblLook w:val="0400"/>
      </w:tblPr>
      <w:tblGrid>
        <w:gridCol w:w="411"/>
        <w:gridCol w:w="1994"/>
        <w:gridCol w:w="4253"/>
        <w:gridCol w:w="2170"/>
        <w:tblGridChange w:id="0">
          <w:tblGrid>
            <w:gridCol w:w="411"/>
            <w:gridCol w:w="1994"/>
            <w:gridCol w:w="4253"/>
            <w:gridCol w:w="2170"/>
          </w:tblGrid>
        </w:tblGridChange>
      </w:tblGrid>
      <w:tr>
        <w:trPr>
          <w:cantSplit w:val="0"/>
          <w:trHeight w:val="615"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84">
            <w:pPr>
              <w:jc w:val="center"/>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No. </w:t>
            </w:r>
          </w:p>
        </w:tc>
        <w:tc>
          <w:tcPr>
            <w:tcBorders>
              <w:top w:color="000000" w:space="0" w:sz="4"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085">
            <w:pPr>
              <w:jc w:val="center"/>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Información solicitada</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086">
            <w:pPr>
              <w:spacing w:after="0" w:lineRule="auto"/>
              <w:jc w:val="center"/>
              <w:rPr>
                <w:rFonts w:ascii="Palatino Linotype" w:cs="Palatino Linotype" w:eastAsia="Palatino Linotype" w:hAnsi="Palatino Linotype"/>
                <w:b w:val="1"/>
                <w:sz w:val="16"/>
                <w:szCs w:val="16"/>
              </w:rPr>
            </w:pPr>
            <w:r w:rsidDel="00000000" w:rsidR="00000000" w:rsidRPr="00000000">
              <w:rPr>
                <w:rtl w:val="0"/>
              </w:rPr>
            </w:r>
          </w:p>
          <w:p w:rsidR="00000000" w:rsidDel="00000000" w:rsidP="00000000" w:rsidRDefault="00000000" w:rsidRPr="00000000" w14:paraId="00000087">
            <w:pPr>
              <w:spacing w:after="0" w:before="0" w:lineRule="auto"/>
              <w:jc w:val="center"/>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Respuesta</w:t>
            </w:r>
          </w:p>
          <w:p w:rsidR="00000000" w:rsidDel="00000000" w:rsidP="00000000" w:rsidRDefault="00000000" w:rsidRPr="00000000" w14:paraId="00000088">
            <w:pPr>
              <w:spacing w:before="0" w:lineRule="auto"/>
              <w:ind w:left="-28" w:firstLine="28"/>
              <w:jc w:val="center"/>
              <w:rPr>
                <w:rFonts w:ascii="Palatino Linotype" w:cs="Palatino Linotype" w:eastAsia="Palatino Linotype" w:hAnsi="Palatino Linotype"/>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89">
            <w:pPr>
              <w:ind w:right="-102"/>
              <w:jc w:val="center"/>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¿Colma?</w:t>
            </w:r>
          </w:p>
        </w:tc>
      </w:tr>
      <w:tr>
        <w:trPr>
          <w:cantSplit w:val="0"/>
          <w:trHeight w:val="8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A">
            <w:pPr>
              <w:jc w:val="center"/>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8B">
            <w:pPr>
              <w:spacing w:line="360" w:lineRule="auto"/>
              <w:jc w:val="both"/>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Organigrama y Directorio, especificando cantidad y nombres de personas (Secretarios, Directores) adscritas por área (Secretaría, Dirección, Miembros de Comité, etc.</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8C">
            <w:pPr>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La Tesorería del Comité Directivo Estatal del Sujeto Obligado refiere dicha información se puede consultar en el portal de IPOMEX, concretamente en la liga: </w:t>
            </w:r>
            <w:hyperlink r:id="rId22">
              <w:r w:rsidDel="00000000" w:rsidR="00000000" w:rsidRPr="00000000">
                <w:rPr>
                  <w:rFonts w:ascii="Palatino Linotype" w:cs="Palatino Linotype" w:eastAsia="Palatino Linotype" w:hAnsi="Palatino Linotype"/>
                  <w:color w:val="0563c1"/>
                  <w:sz w:val="16"/>
                  <w:szCs w:val="16"/>
                  <w:u w:val="single"/>
                  <w:rtl w:val="0"/>
                </w:rPr>
                <w:t xml:space="preserve">https://www.ipomex.org.mx/ipo3/lgt/indice/PAN/art_92_ii_b.web</w:t>
              </w:r>
            </w:hyperlink>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D">
            <w:pPr>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No en virtud de que si bien es cierto la liga electrónica permite ingresar el Portal de IPOMEX del Sujeto Obligado, concretamente al apartado denominado “</w:t>
            </w:r>
            <w:r w:rsidDel="00000000" w:rsidR="00000000" w:rsidRPr="00000000">
              <w:rPr>
                <w:rFonts w:ascii="Palatino Linotype" w:cs="Palatino Linotype" w:eastAsia="Palatino Linotype" w:hAnsi="Palatino Linotype"/>
                <w:b w:val="1"/>
                <w:sz w:val="16"/>
                <w:szCs w:val="16"/>
                <w:rtl w:val="0"/>
              </w:rPr>
              <w:t xml:space="preserve">Organigrama</w:t>
            </w:r>
            <w:r w:rsidDel="00000000" w:rsidR="00000000" w:rsidRPr="00000000">
              <w:rPr>
                <w:rFonts w:ascii="Palatino Linotype" w:cs="Palatino Linotype" w:eastAsia="Palatino Linotype" w:hAnsi="Palatino Linotype"/>
                <w:sz w:val="16"/>
                <w:szCs w:val="16"/>
                <w:rtl w:val="0"/>
              </w:rPr>
              <w:t xml:space="preserve">”, relativo a la fracción II B del artículo 92 de la Ley de Transparencia vigente en el Estado de México, en donde se puede consultar información relacionada con el organigrama.</w:t>
            </w:r>
          </w:p>
          <w:p w:rsidR="00000000" w:rsidDel="00000000" w:rsidP="00000000" w:rsidRDefault="00000000" w:rsidRPr="00000000" w14:paraId="0000008E">
            <w:pPr>
              <w:jc w:val="both"/>
              <w:rPr>
                <w:rFonts w:ascii="Palatino Linotype" w:cs="Palatino Linotype" w:eastAsia="Palatino Linotype" w:hAnsi="Palatino Linotype"/>
                <w:sz w:val="16"/>
                <w:szCs w:val="16"/>
              </w:rPr>
            </w:pPr>
            <w:r w:rsidDel="00000000" w:rsidR="00000000" w:rsidRPr="00000000">
              <w:rPr>
                <w:rtl w:val="0"/>
              </w:rPr>
            </w:r>
          </w:p>
        </w:tc>
      </w:tr>
      <w:tr>
        <w:trPr>
          <w:cantSplit w:val="0"/>
          <w:trHeight w:val="701"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F">
            <w:pPr>
              <w:jc w:val="center"/>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0">
            <w:pPr>
              <w:spacing w:line="360" w:lineRule="auto"/>
              <w:jc w:val="both"/>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Cantidad de personas que a la fecha de la solicitud trabajan en el Comité.</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91">
            <w:pPr>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La Tesorería del Comité Directivo Estatal del Sujeto Obligado manifestó que dicha información puede ser consultada en el portal de IPOMEX, en la liga: </w:t>
            </w:r>
            <w:hyperlink r:id="rId23">
              <w:r w:rsidDel="00000000" w:rsidR="00000000" w:rsidRPr="00000000">
                <w:rPr>
                  <w:rFonts w:ascii="Palatino Linotype" w:cs="Palatino Linotype" w:eastAsia="Palatino Linotype" w:hAnsi="Palatino Linotype"/>
                  <w:color w:val="0563c1"/>
                  <w:sz w:val="16"/>
                  <w:szCs w:val="16"/>
                  <w:u w:val="single"/>
                  <w:rtl w:val="0"/>
                </w:rPr>
                <w:t xml:space="preserve">https://www.ipomex.org.mx/ipo3/lgt/indice/PAN/art_100_xvi.web</w:t>
              </w:r>
            </w:hyperlink>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2">
            <w:pPr>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b w:val="1"/>
                <w:sz w:val="16"/>
                <w:szCs w:val="16"/>
                <w:rtl w:val="0"/>
              </w:rPr>
              <w:t xml:space="preserve">Parcialmente, </w:t>
            </w:r>
            <w:r w:rsidDel="00000000" w:rsidR="00000000" w:rsidRPr="00000000">
              <w:rPr>
                <w:rFonts w:ascii="Palatino Linotype" w:cs="Palatino Linotype" w:eastAsia="Palatino Linotype" w:hAnsi="Palatino Linotype"/>
                <w:sz w:val="16"/>
                <w:szCs w:val="16"/>
                <w:rtl w:val="0"/>
              </w:rPr>
              <w:t xml:space="preserve">en virtud de que la liga electrónica permite ingresar el Portal de IPOMEX del Sujeto Obligado, concretamente al apartado denominado “</w:t>
            </w:r>
            <w:r w:rsidDel="00000000" w:rsidR="00000000" w:rsidRPr="00000000">
              <w:rPr>
                <w:rFonts w:ascii="Palatino Linotype" w:cs="Palatino Linotype" w:eastAsia="Palatino Linotype" w:hAnsi="Palatino Linotype"/>
                <w:b w:val="1"/>
                <w:sz w:val="16"/>
                <w:szCs w:val="16"/>
                <w:rtl w:val="0"/>
              </w:rPr>
              <w:t xml:space="preserve">Tabulador de remuneraciones</w:t>
            </w:r>
            <w:r w:rsidDel="00000000" w:rsidR="00000000" w:rsidRPr="00000000">
              <w:rPr>
                <w:rFonts w:ascii="Palatino Linotype" w:cs="Palatino Linotype" w:eastAsia="Palatino Linotype" w:hAnsi="Palatino Linotype"/>
                <w:sz w:val="16"/>
                <w:szCs w:val="16"/>
                <w:rtl w:val="0"/>
              </w:rPr>
              <w:t xml:space="preserve">”, relativo a la fracción XVI del artículo 100 de la Ley de Transparencia vigente en el Estado de México, en donde se puede consultar información relacionada con el nombre de las personas que trabajan en el Comité del Sujeto Obligado. </w:t>
            </w:r>
          </w:p>
          <w:p w:rsidR="00000000" w:rsidDel="00000000" w:rsidP="00000000" w:rsidRDefault="00000000" w:rsidRPr="00000000" w14:paraId="00000093">
            <w:pPr>
              <w:jc w:val="both"/>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094">
            <w:pPr>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Cabe agregar que dicha información se actualizó el 26 de agosto de 2021 y fue validada el 14 de noviembre de la anualidad en curso, reportando información al 30 de junio de 2021 (</w:t>
            </w:r>
            <w:r w:rsidDel="00000000" w:rsidR="00000000" w:rsidRPr="00000000">
              <w:rPr>
                <w:rFonts w:ascii="Palatino Linotype" w:cs="Palatino Linotype" w:eastAsia="Palatino Linotype" w:hAnsi="Palatino Linotype"/>
                <w:i w:val="1"/>
                <w:sz w:val="16"/>
                <w:szCs w:val="16"/>
                <w:rtl w:val="0"/>
              </w:rPr>
              <w:t xml:space="preserve">fecha de presentación de la solicitud</w:t>
            </w:r>
            <w:r w:rsidDel="00000000" w:rsidR="00000000" w:rsidRPr="00000000">
              <w:rPr>
                <w:rFonts w:ascii="Palatino Linotype" w:cs="Palatino Linotype" w:eastAsia="Palatino Linotype" w:hAnsi="Palatino Linotype"/>
                <w:sz w:val="16"/>
                <w:szCs w:val="16"/>
                <w:rtl w:val="0"/>
              </w:rPr>
              <w:t xml:space="preserve">).</w:t>
            </w:r>
          </w:p>
          <w:p w:rsidR="00000000" w:rsidDel="00000000" w:rsidP="00000000" w:rsidRDefault="00000000" w:rsidRPr="00000000" w14:paraId="00000095">
            <w:pPr>
              <w:jc w:val="both"/>
              <w:rPr>
                <w:rFonts w:ascii="Palatino Linotype" w:cs="Palatino Linotype" w:eastAsia="Palatino Linotype" w:hAnsi="Palatino Linotype"/>
                <w:sz w:val="16"/>
                <w:szCs w:val="16"/>
              </w:rPr>
            </w:pPr>
            <w:r w:rsidDel="00000000" w:rsidR="00000000" w:rsidRPr="00000000">
              <w:rPr>
                <w:rtl w:val="0"/>
              </w:rPr>
            </w:r>
          </w:p>
        </w:tc>
      </w:tr>
      <w:tr>
        <w:trPr>
          <w:cantSplit w:val="0"/>
          <w:trHeight w:val="1092"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6">
            <w:pPr>
              <w:jc w:val="center"/>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7">
            <w:pPr>
              <w:spacing w:line="360" w:lineRule="auto"/>
              <w:jc w:val="both"/>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Los nombres de todas las personas que trabajan en el Comité, donde se indique su área de adscripción, teléfono con extensión, correo electrónico institucional y sueldo bruto y neto mensual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8">
            <w:pPr>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La Tesorería del Comité Directivo Estatal del Sujeto Obligado manifestó que misma puede consultarse en el portal de IPOMEX, en: </w:t>
            </w:r>
            <w:hyperlink r:id="rId24">
              <w:r w:rsidDel="00000000" w:rsidR="00000000" w:rsidRPr="00000000">
                <w:rPr>
                  <w:rFonts w:ascii="Palatino Linotype" w:cs="Palatino Linotype" w:eastAsia="Palatino Linotype" w:hAnsi="Palatino Linotype"/>
                  <w:color w:val="0563c1"/>
                  <w:sz w:val="16"/>
                  <w:szCs w:val="16"/>
                  <w:u w:val="single"/>
                  <w:rtl w:val="0"/>
                </w:rPr>
                <w:t xml:space="preserve">https://www.ipomex.org.mx/ipo3/lgt/indice/PAN/art_100_xvi.web</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9">
            <w:pPr>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b w:val="1"/>
                <w:sz w:val="16"/>
                <w:szCs w:val="16"/>
                <w:rtl w:val="0"/>
              </w:rPr>
              <w:t xml:space="preserve">Parcialmente, </w:t>
            </w:r>
            <w:r w:rsidDel="00000000" w:rsidR="00000000" w:rsidRPr="00000000">
              <w:rPr>
                <w:rFonts w:ascii="Palatino Linotype" w:cs="Palatino Linotype" w:eastAsia="Palatino Linotype" w:hAnsi="Palatino Linotype"/>
                <w:sz w:val="16"/>
                <w:szCs w:val="16"/>
                <w:rtl w:val="0"/>
              </w:rPr>
              <w:t xml:space="preserve">en virtud de que la liga electrónica permite ingresar el Portal de IPOMEX del Sujeto Obligado, concretamente al apartado denominado “</w:t>
            </w:r>
            <w:r w:rsidDel="00000000" w:rsidR="00000000" w:rsidRPr="00000000">
              <w:rPr>
                <w:rFonts w:ascii="Palatino Linotype" w:cs="Palatino Linotype" w:eastAsia="Palatino Linotype" w:hAnsi="Palatino Linotype"/>
                <w:b w:val="1"/>
                <w:sz w:val="16"/>
                <w:szCs w:val="16"/>
                <w:rtl w:val="0"/>
              </w:rPr>
              <w:t xml:space="preserve">Tabulador de remuneraciones</w:t>
            </w:r>
            <w:r w:rsidDel="00000000" w:rsidR="00000000" w:rsidRPr="00000000">
              <w:rPr>
                <w:rFonts w:ascii="Palatino Linotype" w:cs="Palatino Linotype" w:eastAsia="Palatino Linotype" w:hAnsi="Palatino Linotype"/>
                <w:sz w:val="16"/>
                <w:szCs w:val="16"/>
                <w:rtl w:val="0"/>
              </w:rPr>
              <w:t xml:space="preserve">”, relativo a la fracción XVI del artículo 100 de la Ley de Transparencia vigente en el Estado de México, en donde se puede consultar información relacionada con el nombre de las personas que trabajan en el Comité del Sujeto Obligado. </w:t>
            </w:r>
          </w:p>
          <w:p w:rsidR="00000000" w:rsidDel="00000000" w:rsidP="00000000" w:rsidRDefault="00000000" w:rsidRPr="00000000" w14:paraId="0000009A">
            <w:pPr>
              <w:jc w:val="both"/>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09B">
            <w:pPr>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Cabe agregar que dicha información se actualizó el 26 de agosto de 2021 y fue validada el 14 de noviembre de la anualidad en curso, reportando información al 30 de junio de 2021 (</w:t>
            </w:r>
            <w:r w:rsidDel="00000000" w:rsidR="00000000" w:rsidRPr="00000000">
              <w:rPr>
                <w:rFonts w:ascii="Palatino Linotype" w:cs="Palatino Linotype" w:eastAsia="Palatino Linotype" w:hAnsi="Palatino Linotype"/>
                <w:i w:val="1"/>
                <w:sz w:val="16"/>
                <w:szCs w:val="16"/>
                <w:rtl w:val="0"/>
              </w:rPr>
              <w:t xml:space="preserve">fecha de presentación de la solicitud</w:t>
            </w:r>
            <w:r w:rsidDel="00000000" w:rsidR="00000000" w:rsidRPr="00000000">
              <w:rPr>
                <w:rFonts w:ascii="Palatino Linotype" w:cs="Palatino Linotype" w:eastAsia="Palatino Linotype" w:hAnsi="Palatino Linotype"/>
                <w:sz w:val="16"/>
                <w:szCs w:val="16"/>
                <w:rtl w:val="0"/>
              </w:rPr>
              <w:t xml:space="preserve">).</w:t>
            </w:r>
          </w:p>
          <w:p w:rsidR="00000000" w:rsidDel="00000000" w:rsidP="00000000" w:rsidRDefault="00000000" w:rsidRPr="00000000" w14:paraId="0000009C">
            <w:pPr>
              <w:jc w:val="both"/>
              <w:rPr>
                <w:rFonts w:ascii="Palatino Linotype" w:cs="Palatino Linotype" w:eastAsia="Palatino Linotype" w:hAnsi="Palatino Linotype"/>
                <w:sz w:val="16"/>
                <w:szCs w:val="16"/>
              </w:rPr>
            </w:pPr>
            <w:r w:rsidDel="00000000" w:rsidR="00000000" w:rsidRPr="00000000">
              <w:rPr>
                <w:rtl w:val="0"/>
              </w:rPr>
            </w:r>
          </w:p>
        </w:tc>
      </w:tr>
      <w:tr>
        <w:trPr>
          <w:cantSplit w:val="0"/>
          <w:trHeight w:val="85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D">
            <w:pPr>
              <w:jc w:val="center"/>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E">
            <w:pPr>
              <w:spacing w:line="360" w:lineRule="auto"/>
              <w:jc w:val="both"/>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La versión pública de los recibos de nómina de cada persona que trabaja en el Comité, dichos recibos corresponden a cada una de las tres últimas quincenas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F">
            <w:pPr>
              <w:jc w:val="both"/>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sz w:val="16"/>
                <w:szCs w:val="16"/>
                <w:rtl w:val="0"/>
              </w:rPr>
              <w:t xml:space="preserve">La Tesorería del Comité Directivo Estatal del Sujeto Obligado refiere que los adjunta en versión pública, precisando que los mismos corresponden a todos los trabajadores del Comité.</w:t>
            </w:r>
            <w:r w:rsidDel="00000000" w:rsidR="00000000" w:rsidRPr="00000000">
              <w:rPr>
                <w:rtl w:val="0"/>
              </w:rPr>
            </w:r>
          </w:p>
          <w:p w:rsidR="00000000" w:rsidDel="00000000" w:rsidP="00000000" w:rsidRDefault="00000000" w:rsidRPr="00000000" w14:paraId="000000A0">
            <w:pPr>
              <w:jc w:val="both"/>
              <w:rPr>
                <w:rFonts w:ascii="Palatino Linotype" w:cs="Palatino Linotype" w:eastAsia="Palatino Linotype" w:hAnsi="Palatino Linotype"/>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1">
            <w:pPr>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b w:val="1"/>
                <w:sz w:val="16"/>
                <w:szCs w:val="16"/>
                <w:rtl w:val="0"/>
              </w:rPr>
              <w:t xml:space="preserve">Parcialmente, </w:t>
            </w:r>
            <w:r w:rsidDel="00000000" w:rsidR="00000000" w:rsidRPr="00000000">
              <w:rPr>
                <w:rFonts w:ascii="Palatino Linotype" w:cs="Palatino Linotype" w:eastAsia="Palatino Linotype" w:hAnsi="Palatino Linotype"/>
                <w:sz w:val="16"/>
                <w:szCs w:val="16"/>
                <w:rtl w:val="0"/>
              </w:rPr>
              <w:t xml:space="preserve">en virtud de que si bien es cierto refiere que adjunta los recibos de nómina en versión pública, también cierto lo es que no adjuntó el acuerdo del Comité de Transparencia a través del cual de manera fundada y motivada precise y justifique cuales datos fueron testados de los recibos de nómina en análisis.</w:t>
            </w:r>
          </w:p>
          <w:p w:rsidR="00000000" w:rsidDel="00000000" w:rsidP="00000000" w:rsidRDefault="00000000" w:rsidRPr="00000000" w14:paraId="000000A2">
            <w:pPr>
              <w:jc w:val="both"/>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sz w:val="16"/>
                <w:szCs w:val="16"/>
                <w:rtl w:val="0"/>
              </w:rPr>
              <w:t xml:space="preserve">Aunado a que los recibos de nómina presentan inconsistencias que se harán notar más adelante.</w:t>
            </w:r>
            <w:r w:rsidDel="00000000" w:rsidR="00000000" w:rsidRPr="00000000">
              <w:rPr>
                <w:rtl w:val="0"/>
              </w:rPr>
            </w:r>
          </w:p>
        </w:tc>
      </w:tr>
      <w:tr>
        <w:trPr>
          <w:cantSplit w:val="0"/>
          <w:trHeight w:val="85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3">
            <w:pPr>
              <w:jc w:val="center"/>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4">
            <w:pPr>
              <w:spacing w:line="360" w:lineRule="auto"/>
              <w:jc w:val="both"/>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El gasto realizado por concepto de nómina que realizó el Comité en las últimas 3 quincenas, especificando el monto por área y/o Secretaría.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5">
            <w:pPr>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La Tesorería del Comité Directivo Estatal del Sujeto Obligado refiere que dicha información consta en el archivo Gasto efectuado Nomina_16 may al 30 jun 2021.pdf</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6">
            <w:pPr>
              <w:jc w:val="both"/>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No, </w:t>
            </w:r>
            <w:r w:rsidDel="00000000" w:rsidR="00000000" w:rsidRPr="00000000">
              <w:rPr>
                <w:rFonts w:ascii="Palatino Linotype" w:cs="Palatino Linotype" w:eastAsia="Palatino Linotype" w:hAnsi="Palatino Linotype"/>
                <w:sz w:val="16"/>
                <w:szCs w:val="16"/>
                <w:rtl w:val="0"/>
              </w:rPr>
              <w:t xml:space="preserve">en virtud de que no adjuntó el documento que refiere en respuesta.</w:t>
            </w:r>
            <w:r w:rsidDel="00000000" w:rsidR="00000000" w:rsidRPr="00000000">
              <w:rPr>
                <w:rtl w:val="0"/>
              </w:rPr>
            </w:r>
          </w:p>
        </w:tc>
      </w:tr>
    </w:tbl>
    <w:p w:rsidR="00000000" w:rsidDel="00000000" w:rsidP="00000000" w:rsidRDefault="00000000" w:rsidRPr="00000000" w14:paraId="000000A7">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base en el cuadro comparativo que precede, es de mencionar que si bien el Sujeto Obligado a través de la Tesorería del Comité Directivo Estatal remitió respuesta con la finalidad de atender, todos y cada uno de los requerimientos del recurrente, empero tal circunstancia no sucedió, como se explicará a continuación:</w:t>
      </w:r>
    </w:p>
    <w:p w:rsidR="00000000" w:rsidDel="00000000" w:rsidP="00000000" w:rsidRDefault="00000000" w:rsidRPr="00000000" w14:paraId="000000A8">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primer término debe mencionarse que de la información proporcionada por el Sujeto Obligado se advierte que asume que genera, administra y posee la información materia de los requerimientos identificados en la presente resolución, motivo por el cual se omitirá insertar la fuente obligacional.</w:t>
      </w:r>
    </w:p>
    <w:p w:rsidR="00000000" w:rsidDel="00000000" w:rsidP="00000000" w:rsidRDefault="00000000" w:rsidRPr="00000000" w14:paraId="000000A9">
      <w:pPr>
        <w:spacing w:after="280" w:before="280" w:line="360"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rtl w:val="0"/>
        </w:rPr>
        <w:t xml:space="preserve">Ahora bien, </w:t>
      </w:r>
      <w:r w:rsidDel="00000000" w:rsidR="00000000" w:rsidRPr="00000000">
        <w:rPr>
          <w:rFonts w:ascii="Palatino Linotype" w:cs="Palatino Linotype" w:eastAsia="Palatino Linotype" w:hAnsi="Palatino Linotype"/>
          <w:b w:val="1"/>
          <w:rtl w:val="0"/>
        </w:rPr>
        <w:t xml:space="preserve">respecto al requerimiento identificado con el numeral 1 en la presente resolución, consistente en el</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Organigrama</w:t>
      </w:r>
      <w:r w:rsidDel="00000000" w:rsidR="00000000" w:rsidRPr="00000000">
        <w:rPr>
          <w:rFonts w:ascii="Palatino Linotype" w:cs="Palatino Linotype" w:eastAsia="Palatino Linotype" w:hAnsi="Palatino Linotype"/>
          <w:rtl w:val="0"/>
        </w:rPr>
        <w:t xml:space="preserve">, en primer término debe mencionarse que en el organigrama se establece la organización estructural de una dependencia estableciendo de manera jerárquica, los puestos </w:t>
      </w:r>
      <w:r w:rsidDel="00000000" w:rsidR="00000000" w:rsidRPr="00000000">
        <w:rPr>
          <w:rFonts w:ascii="Palatino Linotype" w:cs="Palatino Linotype" w:eastAsia="Palatino Linotype" w:hAnsi="Palatino Linotype"/>
          <w:highlight w:val="white"/>
          <w:rtl w:val="0"/>
        </w:rPr>
        <w:t xml:space="preserve">y en algunos casos, las personas que las dirigen, al mismo tiempo permite hacer un esquema sobre las relaciones </w:t>
      </w:r>
      <w:hyperlink r:id="rId25">
        <w:r w:rsidDel="00000000" w:rsidR="00000000" w:rsidRPr="00000000">
          <w:rPr>
            <w:rFonts w:ascii="Palatino Linotype" w:cs="Palatino Linotype" w:eastAsia="Palatino Linotype" w:hAnsi="Palatino Linotype"/>
            <w:color w:val="000000"/>
            <w:highlight w:val="white"/>
            <w:u w:val="none"/>
            <w:rtl w:val="0"/>
          </w:rPr>
          <w:t xml:space="preserve">jerárquicas</w:t>
        </w:r>
      </w:hyperlink>
      <w:r w:rsidDel="00000000" w:rsidR="00000000" w:rsidRPr="00000000">
        <w:rPr>
          <w:rFonts w:ascii="Palatino Linotype" w:cs="Palatino Linotype" w:eastAsia="Palatino Linotype" w:hAnsi="Palatino Linotype"/>
          <w:highlight w:val="white"/>
          <w:rtl w:val="0"/>
        </w:rPr>
        <w:t xml:space="preserve"> y </w:t>
      </w:r>
      <w:hyperlink r:id="rId26">
        <w:r w:rsidDel="00000000" w:rsidR="00000000" w:rsidRPr="00000000">
          <w:rPr>
            <w:rFonts w:ascii="Palatino Linotype" w:cs="Palatino Linotype" w:eastAsia="Palatino Linotype" w:hAnsi="Palatino Linotype"/>
            <w:color w:val="000000"/>
            <w:highlight w:val="white"/>
            <w:u w:val="none"/>
            <w:rtl w:val="0"/>
          </w:rPr>
          <w:t xml:space="preserve">competenciales</w:t>
        </w:r>
      </w:hyperlink>
      <w:r w:rsidDel="00000000" w:rsidR="00000000" w:rsidRPr="00000000">
        <w:rPr>
          <w:rFonts w:ascii="Palatino Linotype" w:cs="Palatino Linotype" w:eastAsia="Palatino Linotype" w:hAnsi="Palatino Linotype"/>
          <w:highlight w:val="white"/>
          <w:rtl w:val="0"/>
        </w:rPr>
        <w:t xml:space="preserve">.</w:t>
      </w:r>
    </w:p>
    <w:p w:rsidR="00000000" w:rsidDel="00000000" w:rsidP="00000000" w:rsidRDefault="00000000" w:rsidRPr="00000000" w14:paraId="000000AA">
      <w:pPr>
        <w:tabs>
          <w:tab w:val="left" w:pos="709"/>
        </w:tabs>
        <w:spacing w:after="240" w:before="240" w:line="360"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En este sentido, conviene mencionar que el Sujeto Obligado, al momento de emitir respuesta, refirió que el mismo se podía consultar en el portal de IPOMEX, concretamente en la liga: </w:t>
      </w:r>
      <w:hyperlink r:id="rId27">
        <w:r w:rsidDel="00000000" w:rsidR="00000000" w:rsidRPr="00000000">
          <w:rPr>
            <w:rFonts w:ascii="Palatino Linotype" w:cs="Palatino Linotype" w:eastAsia="Palatino Linotype" w:hAnsi="Palatino Linotype"/>
            <w:color w:val="0563c1"/>
            <w:highlight w:val="white"/>
            <w:u w:val="single"/>
            <w:rtl w:val="0"/>
          </w:rPr>
          <w:t xml:space="preserve">https://www.ipomex.org.mx/ipo3/lgt/indice/PAN/art_92_ii_b.web</w:t>
        </w:r>
      </w:hyperlink>
      <w:r w:rsidDel="00000000" w:rsidR="00000000" w:rsidRPr="00000000">
        <w:rPr>
          <w:rFonts w:ascii="Palatino Linotype" w:cs="Palatino Linotype" w:eastAsia="Palatino Linotype" w:hAnsi="Palatino Linotype"/>
          <w:highlight w:val="white"/>
          <w:rtl w:val="0"/>
        </w:rPr>
        <w:t xml:space="preserve">, motivo por el cual personal adscrito a este Instituto procedió a consultar el Portal de IPOMEX del Sujeto Obligado obteniendo lo siguiente:</w:t>
      </w:r>
    </w:p>
    <w:p w:rsidR="00000000" w:rsidDel="00000000" w:rsidP="00000000" w:rsidRDefault="00000000" w:rsidRPr="00000000" w14:paraId="000000AB">
      <w:pPr>
        <w:tabs>
          <w:tab w:val="left" w:pos="709"/>
        </w:tabs>
        <w:spacing w:after="240" w:before="240" w:line="360" w:lineRule="auto"/>
        <w:jc w:val="both"/>
        <w:rPr>
          <w:rFonts w:ascii="Palatino Linotype" w:cs="Palatino Linotype" w:eastAsia="Palatino Linotype" w:hAnsi="Palatino Linotype"/>
          <w:highlight w:val="white"/>
        </w:rPr>
      </w:pPr>
      <w:r w:rsidDel="00000000" w:rsidR="00000000" w:rsidRPr="00000000">
        <w:rPr/>
        <w:drawing>
          <wp:inline distB="0" distT="0" distL="0" distR="0">
            <wp:extent cx="5648325" cy="3590925"/>
            <wp:effectExtent b="0" l="0" r="0" t="0"/>
            <wp:docPr id="63" name="image6.png"/>
            <a:graphic>
              <a:graphicData uri="http://schemas.openxmlformats.org/drawingml/2006/picture">
                <pic:pic>
                  <pic:nvPicPr>
                    <pic:cNvPr id="0" name="image6.png"/>
                    <pic:cNvPicPr preferRelativeResize="0"/>
                  </pic:nvPicPr>
                  <pic:blipFill>
                    <a:blip r:embed="rId28"/>
                    <a:srcRect b="43873" l="3564" r="51120" t="5130"/>
                    <a:stretch>
                      <a:fillRect/>
                    </a:stretch>
                  </pic:blipFill>
                  <pic:spPr>
                    <a:xfrm>
                      <a:off x="0" y="0"/>
                      <a:ext cx="5648325" cy="35909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wp:posOffset>
                </wp:positionH>
                <wp:positionV relativeFrom="paragraph">
                  <wp:posOffset>3289300</wp:posOffset>
                </wp:positionV>
                <wp:extent cx="885825" cy="209550"/>
                <wp:effectExtent b="0" l="0" r="0" t="0"/>
                <wp:wrapNone/>
                <wp:docPr id="56" name=""/>
                <a:graphic>
                  <a:graphicData uri="http://schemas.microsoft.com/office/word/2010/wordprocessingShape">
                    <wps:wsp>
                      <wps:cNvCnPr/>
                      <wps:spPr>
                        <a:xfrm flipH="1" rot="10800000">
                          <a:off x="4922138" y="3694275"/>
                          <a:ext cx="847725" cy="171450"/>
                        </a:xfrm>
                        <a:prstGeom prst="straightConnector1">
                          <a:avLst/>
                        </a:prstGeom>
                        <a:noFill/>
                        <a:ln cap="flat" cmpd="sng" w="38100">
                          <a:solidFill>
                            <a:srgbClr val="FF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wp:posOffset>
                </wp:positionH>
                <wp:positionV relativeFrom="paragraph">
                  <wp:posOffset>3289300</wp:posOffset>
                </wp:positionV>
                <wp:extent cx="885825" cy="209550"/>
                <wp:effectExtent b="0" l="0" r="0" t="0"/>
                <wp:wrapNone/>
                <wp:docPr id="56" name="image18.png"/>
                <a:graphic>
                  <a:graphicData uri="http://schemas.openxmlformats.org/drawingml/2006/picture">
                    <pic:pic>
                      <pic:nvPicPr>
                        <pic:cNvPr id="0" name="image18.png"/>
                        <pic:cNvPicPr preferRelativeResize="0"/>
                      </pic:nvPicPr>
                      <pic:blipFill>
                        <a:blip r:embed="rId29"/>
                        <a:srcRect/>
                        <a:stretch>
                          <a:fillRect/>
                        </a:stretch>
                      </pic:blipFill>
                      <pic:spPr>
                        <a:xfrm>
                          <a:off x="0" y="0"/>
                          <a:ext cx="885825" cy="209550"/>
                        </a:xfrm>
                        <a:prstGeom prst="rect"/>
                        <a:ln/>
                      </pic:spPr>
                    </pic:pic>
                  </a:graphicData>
                </a:graphic>
              </wp:anchor>
            </w:drawing>
          </mc:Fallback>
        </mc:AlternateContent>
      </w:r>
    </w:p>
    <w:p w:rsidR="00000000" w:rsidDel="00000000" w:rsidP="00000000" w:rsidRDefault="00000000" w:rsidRPr="00000000" w14:paraId="000000AC">
      <w:pPr>
        <w:tabs>
          <w:tab w:val="left" w:pos="709"/>
        </w:tabs>
        <w:spacing w:after="240" w:before="240" w:line="360" w:lineRule="auto"/>
        <w:jc w:val="both"/>
        <w:rPr>
          <w:rFonts w:ascii="Palatino Linotype" w:cs="Palatino Linotype" w:eastAsia="Palatino Linotype" w:hAnsi="Palatino Linotype"/>
          <w:highlight w:val="white"/>
        </w:rPr>
      </w:pPr>
      <w:r w:rsidDel="00000000" w:rsidR="00000000" w:rsidRPr="00000000">
        <w:rPr/>
        <w:drawing>
          <wp:inline distB="0" distT="0" distL="0" distR="0">
            <wp:extent cx="5457825" cy="7172325"/>
            <wp:effectExtent b="0" l="0" r="0" t="0"/>
            <wp:docPr id="65" name="image3.png"/>
            <a:graphic>
              <a:graphicData uri="http://schemas.openxmlformats.org/drawingml/2006/picture">
                <pic:pic>
                  <pic:nvPicPr>
                    <pic:cNvPr id="0" name="image3.png"/>
                    <pic:cNvPicPr preferRelativeResize="0"/>
                  </pic:nvPicPr>
                  <pic:blipFill>
                    <a:blip r:embed="rId30"/>
                    <a:srcRect b="13700" l="32926" r="42468" t="20519"/>
                    <a:stretch>
                      <a:fillRect/>
                    </a:stretch>
                  </pic:blipFill>
                  <pic:spPr>
                    <a:xfrm>
                      <a:off x="0" y="0"/>
                      <a:ext cx="5457825" cy="71723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2108200</wp:posOffset>
                </wp:positionH>
                <wp:positionV relativeFrom="paragraph">
                  <wp:posOffset>2311400</wp:posOffset>
                </wp:positionV>
                <wp:extent cx="914400" cy="83819"/>
                <wp:effectExtent b="0" l="0" r="0" t="0"/>
                <wp:wrapNone/>
                <wp:docPr id="48" name=""/>
                <a:graphic>
                  <a:graphicData uri="http://schemas.microsoft.com/office/word/2010/wordprocessingShape">
                    <wps:wsp>
                      <wps:cNvCnPr/>
                      <wps:spPr>
                        <a:xfrm rot="10800000">
                          <a:off x="4907850" y="3757141"/>
                          <a:ext cx="876300" cy="45719"/>
                        </a:xfrm>
                        <a:prstGeom prst="straightConnector1">
                          <a:avLst/>
                        </a:prstGeom>
                        <a:noFill/>
                        <a:ln cap="flat" cmpd="sng" w="38100">
                          <a:solidFill>
                            <a:srgbClr val="FF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2108200</wp:posOffset>
                </wp:positionH>
                <wp:positionV relativeFrom="paragraph">
                  <wp:posOffset>2311400</wp:posOffset>
                </wp:positionV>
                <wp:extent cx="914400" cy="83819"/>
                <wp:effectExtent b="0" l="0" r="0" t="0"/>
                <wp:wrapNone/>
                <wp:docPr id="48" name="image5.png"/>
                <a:graphic>
                  <a:graphicData uri="http://schemas.openxmlformats.org/drawingml/2006/picture">
                    <pic:pic>
                      <pic:nvPicPr>
                        <pic:cNvPr id="0" name="image5.png"/>
                        <pic:cNvPicPr preferRelativeResize="0"/>
                      </pic:nvPicPr>
                      <pic:blipFill>
                        <a:blip r:embed="rId31"/>
                        <a:srcRect/>
                        <a:stretch>
                          <a:fillRect/>
                        </a:stretch>
                      </pic:blipFill>
                      <pic:spPr>
                        <a:xfrm>
                          <a:off x="0" y="0"/>
                          <a:ext cx="914400" cy="8381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2108200</wp:posOffset>
                </wp:positionH>
                <wp:positionV relativeFrom="paragraph">
                  <wp:posOffset>5880100</wp:posOffset>
                </wp:positionV>
                <wp:extent cx="904875" cy="95250"/>
                <wp:effectExtent b="0" l="0" r="0" t="0"/>
                <wp:wrapNone/>
                <wp:docPr id="60" name=""/>
                <a:graphic>
                  <a:graphicData uri="http://schemas.microsoft.com/office/word/2010/wordprocessingShape">
                    <wps:wsp>
                      <wps:cNvCnPr/>
                      <wps:spPr>
                        <a:xfrm rot="10800000">
                          <a:off x="4912613" y="3751425"/>
                          <a:ext cx="866775" cy="57150"/>
                        </a:xfrm>
                        <a:prstGeom prst="straightConnector1">
                          <a:avLst/>
                        </a:prstGeom>
                        <a:noFill/>
                        <a:ln cap="flat" cmpd="sng" w="38100">
                          <a:solidFill>
                            <a:srgbClr val="FF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2108200</wp:posOffset>
                </wp:positionH>
                <wp:positionV relativeFrom="paragraph">
                  <wp:posOffset>5880100</wp:posOffset>
                </wp:positionV>
                <wp:extent cx="904875" cy="95250"/>
                <wp:effectExtent b="0" l="0" r="0" t="0"/>
                <wp:wrapNone/>
                <wp:docPr id="60" name="image23.png"/>
                <a:graphic>
                  <a:graphicData uri="http://schemas.openxmlformats.org/drawingml/2006/picture">
                    <pic:pic>
                      <pic:nvPicPr>
                        <pic:cNvPr id="0" name="image23.png"/>
                        <pic:cNvPicPr preferRelativeResize="0"/>
                      </pic:nvPicPr>
                      <pic:blipFill>
                        <a:blip r:embed="rId32"/>
                        <a:srcRect/>
                        <a:stretch>
                          <a:fillRect/>
                        </a:stretch>
                      </pic:blipFill>
                      <pic:spPr>
                        <a:xfrm>
                          <a:off x="0" y="0"/>
                          <a:ext cx="904875" cy="952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2108200</wp:posOffset>
                </wp:positionH>
                <wp:positionV relativeFrom="paragraph">
                  <wp:posOffset>4102100</wp:posOffset>
                </wp:positionV>
                <wp:extent cx="847725" cy="104775"/>
                <wp:effectExtent b="0" l="0" r="0" t="0"/>
                <wp:wrapNone/>
                <wp:docPr id="58" name=""/>
                <a:graphic>
                  <a:graphicData uri="http://schemas.microsoft.com/office/word/2010/wordprocessingShape">
                    <wps:wsp>
                      <wps:cNvCnPr/>
                      <wps:spPr>
                        <a:xfrm rot="10800000">
                          <a:off x="4941188" y="3746663"/>
                          <a:ext cx="809625" cy="66675"/>
                        </a:xfrm>
                        <a:prstGeom prst="straightConnector1">
                          <a:avLst/>
                        </a:prstGeom>
                        <a:noFill/>
                        <a:ln cap="flat" cmpd="sng" w="38100">
                          <a:solidFill>
                            <a:srgbClr val="FF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2108200</wp:posOffset>
                </wp:positionH>
                <wp:positionV relativeFrom="paragraph">
                  <wp:posOffset>4102100</wp:posOffset>
                </wp:positionV>
                <wp:extent cx="847725" cy="104775"/>
                <wp:effectExtent b="0" l="0" r="0" t="0"/>
                <wp:wrapNone/>
                <wp:docPr id="58" name="image20.png"/>
                <a:graphic>
                  <a:graphicData uri="http://schemas.openxmlformats.org/drawingml/2006/picture">
                    <pic:pic>
                      <pic:nvPicPr>
                        <pic:cNvPr id="0" name="image20.png"/>
                        <pic:cNvPicPr preferRelativeResize="0"/>
                      </pic:nvPicPr>
                      <pic:blipFill>
                        <a:blip r:embed="rId33"/>
                        <a:srcRect/>
                        <a:stretch>
                          <a:fillRect/>
                        </a:stretch>
                      </pic:blipFill>
                      <pic:spPr>
                        <a:xfrm>
                          <a:off x="0" y="0"/>
                          <a:ext cx="847725" cy="104775"/>
                        </a:xfrm>
                        <a:prstGeom prst="rect"/>
                        <a:ln/>
                      </pic:spPr>
                    </pic:pic>
                  </a:graphicData>
                </a:graphic>
              </wp:anchor>
            </w:drawing>
          </mc:Fallback>
        </mc:AlternateContent>
      </w:r>
    </w:p>
    <w:p w:rsidR="00000000" w:rsidDel="00000000" w:rsidP="00000000" w:rsidRDefault="00000000" w:rsidRPr="00000000" w14:paraId="000000AD">
      <w:pPr>
        <w:tabs>
          <w:tab w:val="left" w:pos="709"/>
        </w:tabs>
        <w:spacing w:after="240" w:before="240" w:line="360" w:lineRule="auto"/>
        <w:jc w:val="both"/>
        <w:rPr>
          <w:rFonts w:ascii="Palatino Linotype" w:cs="Palatino Linotype" w:eastAsia="Palatino Linotype" w:hAnsi="Palatino Linotype"/>
          <w:highlight w:val="white"/>
        </w:rPr>
      </w:pPr>
      <w:r w:rsidDel="00000000" w:rsidR="00000000" w:rsidRPr="00000000">
        <w:rPr>
          <w:rtl w:val="0"/>
        </w:rPr>
      </w:r>
    </w:p>
    <w:p w:rsidR="00000000" w:rsidDel="00000000" w:rsidP="00000000" w:rsidRDefault="00000000" w:rsidRPr="00000000" w14:paraId="000000AE">
      <w:pPr>
        <w:tabs>
          <w:tab w:val="left" w:pos="709"/>
        </w:tabs>
        <w:spacing w:after="240" w:before="240" w:line="360" w:lineRule="auto"/>
        <w:jc w:val="both"/>
        <w:rPr>
          <w:rFonts w:ascii="Palatino Linotype" w:cs="Palatino Linotype" w:eastAsia="Palatino Linotype" w:hAnsi="Palatino Linotype"/>
          <w:highlight w:val="white"/>
        </w:rPr>
      </w:pPr>
      <w:r w:rsidDel="00000000" w:rsidR="00000000" w:rsidRPr="00000000">
        <w:rPr/>
        <w:drawing>
          <wp:inline distB="0" distT="0" distL="0" distR="0">
            <wp:extent cx="5553075" cy="3438525"/>
            <wp:effectExtent b="0" l="0" r="0" t="0"/>
            <wp:docPr id="64" name="image8.png"/>
            <a:graphic>
              <a:graphicData uri="http://schemas.openxmlformats.org/drawingml/2006/picture">
                <pic:pic>
                  <pic:nvPicPr>
                    <pic:cNvPr id="0" name="image8.png"/>
                    <pic:cNvPicPr preferRelativeResize="0"/>
                  </pic:nvPicPr>
                  <pic:blipFill>
                    <a:blip r:embed="rId34"/>
                    <a:srcRect b="36029" l="8995" r="57060" t="4526"/>
                    <a:stretch>
                      <a:fillRect/>
                    </a:stretch>
                  </pic:blipFill>
                  <pic:spPr>
                    <a:xfrm>
                      <a:off x="0" y="0"/>
                      <a:ext cx="5553075" cy="3438525"/>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tabs>
          <w:tab w:val="left" w:pos="709"/>
        </w:tabs>
        <w:spacing w:after="240" w:before="240" w:line="360"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De las imágenes anteriores se aprecia, que efectivamente la dirección electrónica permite ingresar al IPOMEX, concretamente al apartado denominado “</w:t>
      </w:r>
      <w:r w:rsidDel="00000000" w:rsidR="00000000" w:rsidRPr="00000000">
        <w:rPr>
          <w:rFonts w:ascii="Palatino Linotype" w:cs="Palatino Linotype" w:eastAsia="Palatino Linotype" w:hAnsi="Palatino Linotype"/>
          <w:b w:val="1"/>
          <w:highlight w:val="white"/>
          <w:rtl w:val="0"/>
        </w:rPr>
        <w:t xml:space="preserve">Organigrama</w:t>
      </w:r>
      <w:r w:rsidDel="00000000" w:rsidR="00000000" w:rsidRPr="00000000">
        <w:rPr>
          <w:rFonts w:ascii="Palatino Linotype" w:cs="Palatino Linotype" w:eastAsia="Palatino Linotype" w:hAnsi="Palatino Linotype"/>
          <w:highlight w:val="white"/>
          <w:rtl w:val="0"/>
        </w:rPr>
        <w:t xml:space="preserve">”, relativo a la fracción II B del artículo 92 de la Ley de Transparencia vigente en el Estado de México, sin embargo no se pudo acceder al documento requerido, motivo por el cual no se tiene por atendido el requerimiento en estudio, en este sentido, con la finalidad de garantizar el pleno ejercicio del derecho de acceso a la información pública del recurrente, este Instituto considera procedente ordenar al Sujeto Obligado haga entrega del soporte documental en donde conste el organigrama vigente a la fecha de presentación de la solicitud.</w:t>
      </w:r>
    </w:p>
    <w:p w:rsidR="00000000" w:rsidDel="00000000" w:rsidP="00000000" w:rsidRDefault="00000000" w:rsidRPr="00000000" w14:paraId="000000B0">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highlight w:val="white"/>
          <w:rtl w:val="0"/>
        </w:rPr>
        <w:t xml:space="preserve">Por lo que se refiere al requerimiento consistente en el Directorio</w:t>
      </w:r>
      <w:r w:rsidDel="00000000" w:rsidR="00000000" w:rsidRPr="00000000">
        <w:rPr>
          <w:rFonts w:ascii="Palatino Linotype" w:cs="Palatino Linotype" w:eastAsia="Palatino Linotype" w:hAnsi="Palatino Linotype"/>
          <w:highlight w:val="white"/>
          <w:rtl w:val="0"/>
        </w:rPr>
        <w:t xml:space="preserve"> del Sujeto Obligado, debe mencionarse que el Sujeto Obligado al momento de emitir respuesta refiere que dicha información puede ser consultada en IPOMEX, proporcionando la liga electrónica siguiente: </w:t>
      </w:r>
      <w:hyperlink r:id="rId35">
        <w:r w:rsidDel="00000000" w:rsidR="00000000" w:rsidRPr="00000000">
          <w:rPr>
            <w:rFonts w:ascii="Palatino Linotype" w:cs="Palatino Linotype" w:eastAsia="Palatino Linotype" w:hAnsi="Palatino Linotype"/>
            <w:color w:val="0563c1"/>
            <w:highlight w:val="white"/>
            <w:u w:val="single"/>
            <w:rtl w:val="0"/>
          </w:rPr>
          <w:t xml:space="preserve">https://www.ipomex.org.mx/ipo3/lgt/indice/PAN/art_92_ii_b.web</w:t>
        </w:r>
      </w:hyperlink>
      <w:r w:rsidDel="00000000" w:rsidR="00000000" w:rsidRPr="00000000">
        <w:rPr>
          <w:rFonts w:ascii="Palatino Linotype" w:cs="Palatino Linotype" w:eastAsia="Palatino Linotype" w:hAnsi="Palatino Linotype"/>
          <w:highlight w:val="white"/>
          <w:rtl w:val="0"/>
        </w:rPr>
        <w:t xml:space="preserve"> , </w:t>
      </w:r>
      <w:r w:rsidDel="00000000" w:rsidR="00000000" w:rsidRPr="00000000">
        <w:rPr>
          <w:rFonts w:ascii="Palatino Linotype" w:cs="Palatino Linotype" w:eastAsia="Palatino Linotype" w:hAnsi="Palatino Linotype"/>
          <w:color w:val="000000"/>
          <w:rtl w:val="0"/>
        </w:rPr>
        <w:t xml:space="preserve">por lo que personal adscrito a este Órgano Garante procedió a consultar la información disponible en dicho portal, en el cual se observa lo siguiente:</w:t>
      </w:r>
      <w:r w:rsidDel="00000000" w:rsidR="00000000" w:rsidRPr="00000000">
        <w:rPr>
          <w:rtl w:val="0"/>
        </w:rPr>
      </w:r>
    </w:p>
    <w:p w:rsidR="00000000" w:rsidDel="00000000" w:rsidP="00000000" w:rsidRDefault="00000000" w:rsidRPr="00000000" w14:paraId="000000B1">
      <w:pP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5612130" cy="3766657"/>
            <wp:effectExtent b="0" l="0" r="0" t="0"/>
            <wp:docPr id="67" name="image6.png"/>
            <a:graphic>
              <a:graphicData uri="http://schemas.openxmlformats.org/drawingml/2006/picture">
                <pic:pic>
                  <pic:nvPicPr>
                    <pic:cNvPr id="0" name="image6.png"/>
                    <pic:cNvPicPr preferRelativeResize="0"/>
                  </pic:nvPicPr>
                  <pic:blipFill>
                    <a:blip r:embed="rId28"/>
                    <a:srcRect b="43873" l="3564" r="51120" t="5130"/>
                    <a:stretch>
                      <a:fillRect/>
                    </a:stretch>
                  </pic:blipFill>
                  <pic:spPr>
                    <a:xfrm>
                      <a:off x="0" y="0"/>
                      <a:ext cx="5612130" cy="3766657"/>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 consulta realizada a la dirección electrónica proporcionada por el Sujeto Obligado se aprecia que direcciona al Portal de IPOMEX, empero debe mencionarse que la misma direcciona al apartado denominado “</w:t>
      </w:r>
      <w:r w:rsidDel="00000000" w:rsidR="00000000" w:rsidRPr="00000000">
        <w:rPr>
          <w:rFonts w:ascii="Palatino Linotype" w:cs="Palatino Linotype" w:eastAsia="Palatino Linotype" w:hAnsi="Palatino Linotype"/>
          <w:b w:val="1"/>
          <w:rtl w:val="0"/>
        </w:rPr>
        <w:t xml:space="preserve">Organigrama</w:t>
      </w:r>
      <w:r w:rsidDel="00000000" w:rsidR="00000000" w:rsidRPr="00000000">
        <w:rPr>
          <w:rFonts w:ascii="Palatino Linotype" w:cs="Palatino Linotype" w:eastAsia="Palatino Linotype" w:hAnsi="Palatino Linotype"/>
          <w:rtl w:val="0"/>
        </w:rPr>
        <w:t xml:space="preserve">”, relativo a la fracción II B del artículo 92 de la Ley de Transparencia vigente en el Estado de México, por lo anterior, se concluye que dicha electrónica contiene información diversa a la requerida por el recurrente, aunado no se debe perder de vista que anteriormente se precisó que no fue posible consultar la información relativa al organigrama.</w:t>
      </w:r>
    </w:p>
    <w:p w:rsidR="00000000" w:rsidDel="00000000" w:rsidP="00000000" w:rsidRDefault="00000000" w:rsidRPr="00000000" w14:paraId="000000B3">
      <w:pPr>
        <w:tabs>
          <w:tab w:val="left" w:pos="709"/>
        </w:tabs>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tal contexto, en primer lugar, </w:t>
      </w:r>
      <w:r w:rsidDel="00000000" w:rsidR="00000000" w:rsidRPr="00000000">
        <w:rPr>
          <w:rFonts w:ascii="Palatino Linotype" w:cs="Palatino Linotype" w:eastAsia="Palatino Linotype" w:hAnsi="Palatino Linotype"/>
          <w:rtl w:val="0"/>
        </w:rPr>
        <w:t xml:space="preserve">se concluye que no se dio cabal cumplimiento al artículo 161 de la Ley de Transparencia vigente en la Entidad Federativa que a continuación se inserta:</w:t>
      </w:r>
      <w:r w:rsidDel="00000000" w:rsidR="00000000" w:rsidRPr="00000000">
        <w:rPr>
          <w:rtl w:val="0"/>
        </w:rPr>
      </w:r>
    </w:p>
    <w:p w:rsidR="00000000" w:rsidDel="00000000" w:rsidP="00000000" w:rsidRDefault="00000000" w:rsidRPr="00000000" w14:paraId="000000B4">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161.</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Cuando la información requerida por el solicitante ya esté disponible al público en</w:t>
      </w:r>
      <w:r w:rsidDel="00000000" w:rsidR="00000000" w:rsidRPr="00000000">
        <w:rPr>
          <w:rFonts w:ascii="Palatino Linotype" w:cs="Palatino Linotype" w:eastAsia="Palatino Linotype" w:hAnsi="Palatino Linotype"/>
          <w:i w:val="1"/>
          <w:sz w:val="22"/>
          <w:szCs w:val="22"/>
          <w:rtl w:val="0"/>
        </w:rPr>
        <w:t xml:space="preserve"> medios impresos, tales como libros, compendios, trípticos, registros públicos, en </w:t>
      </w:r>
      <w:r w:rsidDel="00000000" w:rsidR="00000000" w:rsidRPr="00000000">
        <w:rPr>
          <w:rFonts w:ascii="Palatino Linotype" w:cs="Palatino Linotype" w:eastAsia="Palatino Linotype" w:hAnsi="Palatino Linotype"/>
          <w:b w:val="1"/>
          <w:i w:val="1"/>
          <w:sz w:val="22"/>
          <w:szCs w:val="22"/>
          <w:u w:val="single"/>
          <w:rtl w:val="0"/>
        </w:rPr>
        <w:t xml:space="preserve">formatos electrónicos disponibles en Internet</w:t>
      </w:r>
      <w:r w:rsidDel="00000000" w:rsidR="00000000" w:rsidRPr="00000000">
        <w:rPr>
          <w:rFonts w:ascii="Palatino Linotype" w:cs="Palatino Linotype" w:eastAsia="Palatino Linotype" w:hAnsi="Palatino Linotype"/>
          <w:i w:val="1"/>
          <w:sz w:val="22"/>
          <w:szCs w:val="22"/>
          <w:rtl w:val="0"/>
        </w:rPr>
        <w:t xml:space="preserve"> o en cualquier otro medio, </w:t>
      </w:r>
      <w:r w:rsidDel="00000000" w:rsidR="00000000" w:rsidRPr="00000000">
        <w:rPr>
          <w:rFonts w:ascii="Palatino Linotype" w:cs="Palatino Linotype" w:eastAsia="Palatino Linotype" w:hAnsi="Palatino Linotype"/>
          <w:b w:val="1"/>
          <w:i w:val="1"/>
          <w:sz w:val="22"/>
          <w:szCs w:val="22"/>
          <w:u w:val="single"/>
          <w:rtl w:val="0"/>
        </w:rPr>
        <w:t xml:space="preserve">se le hará saber por el medio requerido por el solicitante la fuente, el lugar y la forma en que puede consultar, </w:t>
      </w:r>
      <w:r w:rsidDel="00000000" w:rsidR="00000000" w:rsidRPr="00000000">
        <w:rPr>
          <w:rFonts w:ascii="Palatino Linotype" w:cs="Palatino Linotype" w:eastAsia="Palatino Linotype" w:hAnsi="Palatino Linotype"/>
          <w:i w:val="1"/>
          <w:sz w:val="22"/>
          <w:szCs w:val="22"/>
          <w:rtl w:val="0"/>
        </w:rPr>
        <w:t xml:space="preserve">reproducir o adquirir</w:t>
      </w:r>
      <w:r w:rsidDel="00000000" w:rsidR="00000000" w:rsidRPr="00000000">
        <w:rPr>
          <w:rFonts w:ascii="Palatino Linotype" w:cs="Palatino Linotype" w:eastAsia="Palatino Linotype" w:hAnsi="Palatino Linotype"/>
          <w:b w:val="1"/>
          <w:i w:val="1"/>
          <w:sz w:val="22"/>
          <w:szCs w:val="22"/>
          <w:u w:val="single"/>
          <w:rtl w:val="0"/>
        </w:rPr>
        <w:t xml:space="preserve"> dicha información en un plazo no mayor a cinco días hábiles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La fuente deberá ser precisa y concreta y</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no debe implicar que el solicitante realice una búsqueda en toda la información que se encuentre disponible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5">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6">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B7">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8">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Como se advierte del dispositivo legal en comento,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 La fuente</w:t>
      </w: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b) El lugar y</w:t>
      </w: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 La forma</w:t>
      </w: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4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Asimismo, se establece que la fuente de la información deberá ser:</w:t>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 Precisa</w:t>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b) Concreta</w:t>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4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 Y no debe implicar que el solicitante realice una búsqueda en toda la información que se encuentre disponible.</w:t>
      </w: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Imperativos legales que establecen el procedimiento que debe seguir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para que pueda tomarse como válida su orientación sobre la forma en que puede consultar la información requerida, sin embargo, como se advierte el Sujeto Obligado no explica el procedimiento a seguir para localizar la información materia del requerimiento en análisis, del mismo modo es pertinente mencionar que el enlace fue proporcionado al décimo segundo día hábil siguiente al en que fue presentada la solicitud, motivo por el cual se concluye que no se dio cabal cumplimiento al artículo 161 de la Ley de Transparencia vigente en la Entidad Federativa.</w:t>
      </w:r>
      <w:r w:rsidDel="00000000" w:rsidR="00000000" w:rsidRPr="00000000">
        <w:rPr>
          <w:rtl w:val="0"/>
        </w:rPr>
      </w:r>
    </w:p>
    <w:p w:rsidR="00000000" w:rsidDel="00000000" w:rsidP="00000000" w:rsidRDefault="00000000" w:rsidRPr="00000000" w14:paraId="000000C1">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agregar que lo requerido por el recurrente constituye obligación de transparencia común, tal y como lo establece el artículo 92, fracción VII de la Ley de Transparencia que a continuación se inserta:</w:t>
      </w:r>
    </w:p>
    <w:p w:rsidR="00000000" w:rsidDel="00000000" w:rsidP="00000000" w:rsidRDefault="00000000" w:rsidRPr="00000000" w14:paraId="000000C2">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92.</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Los sujetos obligados deberán poner a disposición del público de manera permanente y actualizada</w:t>
      </w:r>
      <w:r w:rsidDel="00000000" w:rsidR="00000000" w:rsidRPr="00000000">
        <w:rPr>
          <w:rFonts w:ascii="Palatino Linotype" w:cs="Palatino Linotype" w:eastAsia="Palatino Linotype" w:hAnsi="Palatino Linotype"/>
          <w:i w:val="1"/>
          <w:sz w:val="22"/>
          <w:szCs w:val="22"/>
          <w:rtl w:val="0"/>
        </w:rPr>
        <w:t xml:space="preserve">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0C3">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4">
      <w:pPr>
        <w:tabs>
          <w:tab w:val="left" w:pos="709"/>
        </w:tabs>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C5">
      <w:pPr>
        <w:tabs>
          <w:tab w:val="left" w:pos="709"/>
        </w:tabs>
        <w:ind w:left="851"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C6">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7">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8">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directorio </w:t>
      </w:r>
      <w:r w:rsidDel="00000000" w:rsidR="00000000" w:rsidRPr="00000000">
        <w:rPr>
          <w:rFonts w:ascii="Palatino Linotype" w:cs="Palatino Linotype" w:eastAsia="Palatino Linotype" w:hAnsi="Palatino Linotype"/>
          <w:b w:val="1"/>
          <w:i w:val="1"/>
          <w:sz w:val="22"/>
          <w:szCs w:val="22"/>
          <w:u w:val="single"/>
          <w:rtl w:val="0"/>
        </w:rPr>
        <w:t xml:space="preserve">deberá incluir</w:t>
      </w:r>
      <w:r w:rsidDel="00000000" w:rsidR="00000000" w:rsidRPr="00000000">
        <w:rPr>
          <w:rFonts w:ascii="Palatino Linotype" w:cs="Palatino Linotype" w:eastAsia="Palatino Linotype" w:hAnsi="Palatino Linotype"/>
          <w:i w:val="1"/>
          <w:sz w:val="22"/>
          <w:szCs w:val="22"/>
          <w:rtl w:val="0"/>
        </w:rPr>
        <w:t xml:space="preserve">, al menos el </w:t>
      </w:r>
      <w:r w:rsidDel="00000000" w:rsidR="00000000" w:rsidRPr="00000000">
        <w:rPr>
          <w:rFonts w:ascii="Palatino Linotype" w:cs="Palatino Linotype" w:eastAsia="Palatino Linotype" w:hAnsi="Palatino Linotype"/>
          <w:b w:val="1"/>
          <w:i w:val="1"/>
          <w:sz w:val="22"/>
          <w:szCs w:val="22"/>
          <w:u w:val="single"/>
          <w:rtl w:val="0"/>
        </w:rPr>
        <w:t xml:space="preserve">nombre, cargo o nombramiento oficial asignado, nivel del puesto</w:t>
      </w:r>
      <w:r w:rsidDel="00000000" w:rsidR="00000000" w:rsidRPr="00000000">
        <w:rPr>
          <w:rFonts w:ascii="Palatino Linotype" w:cs="Palatino Linotype" w:eastAsia="Palatino Linotype" w:hAnsi="Palatino Linotype"/>
          <w:i w:val="1"/>
          <w:sz w:val="22"/>
          <w:szCs w:val="22"/>
          <w:rtl w:val="0"/>
        </w:rPr>
        <w:t xml:space="preserve"> en la estructura orgánica, </w:t>
      </w:r>
      <w:r w:rsidDel="00000000" w:rsidR="00000000" w:rsidRPr="00000000">
        <w:rPr>
          <w:rFonts w:ascii="Palatino Linotype" w:cs="Palatino Linotype" w:eastAsia="Palatino Linotype" w:hAnsi="Palatino Linotype"/>
          <w:b w:val="1"/>
          <w:i w:val="1"/>
          <w:sz w:val="22"/>
          <w:szCs w:val="22"/>
          <w:u w:val="single"/>
          <w:rtl w:val="0"/>
        </w:rPr>
        <w:t xml:space="preserve">fecha de alta</w:t>
      </w:r>
      <w:r w:rsidDel="00000000" w:rsidR="00000000" w:rsidRPr="00000000">
        <w:rPr>
          <w:rFonts w:ascii="Palatino Linotype" w:cs="Palatino Linotype" w:eastAsia="Palatino Linotype" w:hAnsi="Palatino Linotype"/>
          <w:i w:val="1"/>
          <w:sz w:val="22"/>
          <w:szCs w:val="22"/>
          <w:rtl w:val="0"/>
        </w:rPr>
        <w:t xml:space="preserve"> en el cargo, </w:t>
      </w:r>
      <w:r w:rsidDel="00000000" w:rsidR="00000000" w:rsidRPr="00000000">
        <w:rPr>
          <w:rFonts w:ascii="Palatino Linotype" w:cs="Palatino Linotype" w:eastAsia="Palatino Linotype" w:hAnsi="Palatino Linotype"/>
          <w:b w:val="1"/>
          <w:i w:val="1"/>
          <w:sz w:val="22"/>
          <w:szCs w:val="22"/>
          <w:u w:val="single"/>
          <w:rtl w:val="0"/>
        </w:rPr>
        <w:t xml:space="preserve">número telefónico, domicilio para recibir correspondencia</w:t>
      </w:r>
      <w:r w:rsidDel="00000000" w:rsidR="00000000" w:rsidRPr="00000000">
        <w:rPr>
          <w:rFonts w:ascii="Palatino Linotype" w:cs="Palatino Linotype" w:eastAsia="Palatino Linotype" w:hAnsi="Palatino Linotype"/>
          <w:i w:val="1"/>
          <w:sz w:val="22"/>
          <w:szCs w:val="22"/>
          <w:rtl w:val="0"/>
        </w:rPr>
        <w:t xml:space="preserve"> y dirección de </w:t>
      </w:r>
      <w:r w:rsidDel="00000000" w:rsidR="00000000" w:rsidRPr="00000000">
        <w:rPr>
          <w:rFonts w:ascii="Palatino Linotype" w:cs="Palatino Linotype" w:eastAsia="Palatino Linotype" w:hAnsi="Palatino Linotype"/>
          <w:b w:val="1"/>
          <w:i w:val="1"/>
          <w:sz w:val="22"/>
          <w:szCs w:val="22"/>
          <w:u w:val="single"/>
          <w:rtl w:val="0"/>
        </w:rPr>
        <w:t xml:space="preserve">correo electrónico oficiales</w:t>
      </w:r>
      <w:r w:rsidDel="00000000" w:rsidR="00000000" w:rsidRPr="00000000">
        <w:rPr>
          <w:rFonts w:ascii="Palatino Linotype" w:cs="Palatino Linotype" w:eastAsia="Palatino Linotype" w:hAnsi="Palatino Linotype"/>
          <w:i w:val="1"/>
          <w:sz w:val="22"/>
          <w:szCs w:val="22"/>
          <w:rtl w:val="0"/>
        </w:rPr>
        <w:t xml:space="preserve">, datos que deberán señalarse de forma independiente por dependencia y entidad pública de cada sujeto obligado;</w:t>
      </w:r>
    </w:p>
    <w:p w:rsidR="00000000" w:rsidDel="00000000" w:rsidP="00000000" w:rsidRDefault="00000000" w:rsidRPr="00000000" w14:paraId="000000C9">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A">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B">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CC">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en relación al directorio establecen los criterios sustantivos de contenido siguientes:</w:t>
      </w:r>
    </w:p>
    <w:p w:rsidR="00000000" w:rsidDel="00000000" w:rsidP="00000000" w:rsidRDefault="00000000" w:rsidRPr="00000000" w14:paraId="000000CD">
      <w:pPr>
        <w:spacing w:after="280" w:before="280" w:line="360" w:lineRule="auto"/>
        <w:jc w:val="both"/>
        <w:rPr>
          <w:rFonts w:ascii="Palatino Linotype" w:cs="Palatino Linotype" w:eastAsia="Palatino Linotype" w:hAnsi="Palatino Linotype"/>
        </w:rPr>
      </w:pPr>
      <w:r w:rsidDel="00000000" w:rsidR="00000000" w:rsidRPr="00000000">
        <w:rPr/>
        <w:drawing>
          <wp:inline distB="0" distT="0" distL="0" distR="0">
            <wp:extent cx="5553075" cy="3676650"/>
            <wp:effectExtent b="0" l="0" r="0" t="0"/>
            <wp:docPr id="66" name="image1.png"/>
            <a:graphic>
              <a:graphicData uri="http://schemas.openxmlformats.org/drawingml/2006/picture">
                <pic:pic>
                  <pic:nvPicPr>
                    <pic:cNvPr id="0" name="image1.png"/>
                    <pic:cNvPicPr preferRelativeResize="0"/>
                  </pic:nvPicPr>
                  <pic:blipFill>
                    <a:blip r:embed="rId36"/>
                    <a:srcRect b="40555" l="10014" r="58928" t="20519"/>
                    <a:stretch>
                      <a:fillRect/>
                    </a:stretch>
                  </pic:blipFill>
                  <pic:spPr>
                    <a:xfrm>
                      <a:off x="0" y="0"/>
                      <a:ext cx="5553075" cy="367665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876300</wp:posOffset>
                </wp:positionV>
                <wp:extent cx="5143500" cy="2657475"/>
                <wp:effectExtent b="0" l="0" r="0" t="0"/>
                <wp:wrapNone/>
                <wp:docPr id="50" name=""/>
                <a:graphic>
                  <a:graphicData uri="http://schemas.microsoft.com/office/word/2010/wordprocessingShape">
                    <wps:wsp>
                      <wps:cNvSpPr/>
                      <wps:cNvPr id="4" name="Shape 4"/>
                      <wps:spPr>
                        <a:xfrm>
                          <a:off x="2793300" y="2470313"/>
                          <a:ext cx="5105400" cy="2619375"/>
                        </a:xfrm>
                        <a:prstGeom prst="roundRect">
                          <a:avLst>
                            <a:gd fmla="val 16667" name="adj"/>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876300</wp:posOffset>
                </wp:positionV>
                <wp:extent cx="5143500" cy="2657475"/>
                <wp:effectExtent b="0" l="0" r="0" t="0"/>
                <wp:wrapNone/>
                <wp:docPr id="50" name="image11.png"/>
                <a:graphic>
                  <a:graphicData uri="http://schemas.openxmlformats.org/drawingml/2006/picture">
                    <pic:pic>
                      <pic:nvPicPr>
                        <pic:cNvPr id="0" name="image11.png"/>
                        <pic:cNvPicPr preferRelativeResize="0"/>
                      </pic:nvPicPr>
                      <pic:blipFill>
                        <a:blip r:embed="rId37"/>
                        <a:srcRect/>
                        <a:stretch>
                          <a:fillRect/>
                        </a:stretch>
                      </pic:blipFill>
                      <pic:spPr>
                        <a:xfrm>
                          <a:off x="0" y="0"/>
                          <a:ext cx="5143500" cy="2657475"/>
                        </a:xfrm>
                        <a:prstGeom prst="rect"/>
                        <a:ln/>
                      </pic:spPr>
                    </pic:pic>
                  </a:graphicData>
                </a:graphic>
              </wp:anchor>
            </w:drawing>
          </mc:Fallback>
        </mc:AlternateContent>
      </w:r>
    </w:p>
    <w:p w:rsidR="00000000" w:rsidDel="00000000" w:rsidP="00000000" w:rsidRDefault="00000000" w:rsidRPr="00000000" w14:paraId="000000CE">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advierte que el directorio conforme a los criterios sustantivos de llenado establecidos en los Lineamientos en estudio, debe contener información relativa a clave de nivel o puesto, denominación del cargo, nombre del servidor público, área de adscripción, número de teléfono y extensión, así como correo electrónico oficial, por lo que se concluye que el Sujeto Obligado está facultado para generar, administrar y poseer la información materia del presente requerimiento, motivo por el cual lo procedente es ordenar que haga entrega del soporte documental en donde conste el directorio actualizado a la fecha de presentación de la solicitud.</w:t>
      </w:r>
    </w:p>
    <w:p w:rsidR="00000000" w:rsidDel="00000000" w:rsidP="00000000" w:rsidRDefault="00000000" w:rsidRPr="00000000" w14:paraId="000000CF">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Por lo que se refiere a los requerimientos identificados en la presente resolución con los numerales 2 y 3 </w:t>
      </w:r>
      <w:r w:rsidDel="00000000" w:rsidR="00000000" w:rsidRPr="00000000">
        <w:rPr>
          <w:rFonts w:ascii="Palatino Linotype" w:cs="Palatino Linotype" w:eastAsia="Palatino Linotype" w:hAnsi="Palatino Linotype"/>
          <w:rtl w:val="0"/>
        </w:rPr>
        <w:t xml:space="preserve">consistentes en:</w:t>
      </w:r>
    </w:p>
    <w:p w:rsidR="00000000" w:rsidDel="00000000" w:rsidP="00000000" w:rsidRDefault="00000000" w:rsidRPr="00000000" w14:paraId="000000D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40" w:line="360" w:lineRule="auto"/>
        <w:ind w:left="928"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¿Cuántas personas trabajan en el Comité? especificando el cargo de cada una, así como su área de adscripción.</w:t>
      </w:r>
    </w:p>
    <w:p w:rsidR="00000000" w:rsidDel="00000000" w:rsidP="00000000" w:rsidRDefault="00000000" w:rsidRPr="00000000" w14:paraId="000000D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40" w:before="0" w:line="360" w:lineRule="auto"/>
        <w:ind w:left="928"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Los nombres de todas las personas que trabajan en el Comité, donde se indique su área de adscripción, teléfono con extensión, correo electrónico institucional y sueldo bruto y neto mensual.</w:t>
      </w:r>
    </w:p>
    <w:p w:rsidR="00000000" w:rsidDel="00000000" w:rsidP="00000000" w:rsidRDefault="00000000" w:rsidRPr="00000000" w14:paraId="000000D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mismos serán analizados de manera conjunta, por estar relacionado entre sí, toda vez que no se debe perder de vista que la información requerida corresponde a todas las personas que trabajan en el Comité Directivo del Partido Acción Nacional en el Estado de México, especificando su cargo, área de adscripción, teléfono con extensión, correo institucional, sueldo bruto y neto mensual.</w:t>
      </w:r>
    </w:p>
    <w:p w:rsidR="00000000" w:rsidDel="00000000" w:rsidP="00000000" w:rsidRDefault="00000000" w:rsidRPr="00000000" w14:paraId="000000D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debe mencionarse que el Sujeto Obligado al momento de emitir respuesta proporcionó direcciones electrónicas con la finalidad de atender los requerimientos en análisis, sin embargo, debe mencionarse que tal circunstancia no sucedió en virtud de que existen diversas inconsistencias que se explican a continuación:</w:t>
      </w:r>
    </w:p>
    <w:p w:rsidR="00000000" w:rsidDel="00000000" w:rsidP="00000000" w:rsidRDefault="00000000" w:rsidRPr="00000000" w14:paraId="000000D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Por lo que se refiere a la cantidad de personas que al treinta de junio de dos mil veintiuno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fecha de presentación de la solicitud</w:t>
      </w:r>
      <w:r w:rsidDel="00000000" w:rsidR="00000000" w:rsidRPr="00000000">
        <w:rPr>
          <w:rFonts w:ascii="Palatino Linotype" w:cs="Palatino Linotype" w:eastAsia="Palatino Linotype" w:hAnsi="Palatino Linotype"/>
          <w:rtl w:val="0"/>
        </w:rPr>
        <w:t xml:space="preserve">), trabajan en el Comité, el Sujeto Obligado proporcionó la dirección electrónica </w:t>
      </w:r>
      <w:hyperlink r:id="rId38">
        <w:r w:rsidDel="00000000" w:rsidR="00000000" w:rsidRPr="00000000">
          <w:rPr>
            <w:rFonts w:ascii="Palatino Linotype" w:cs="Palatino Linotype" w:eastAsia="Palatino Linotype" w:hAnsi="Palatino Linotype"/>
            <w:i w:val="1"/>
            <w:color w:val="0563c1"/>
            <w:sz w:val="22"/>
            <w:szCs w:val="22"/>
            <w:u w:val="single"/>
            <w:rtl w:val="0"/>
          </w:rPr>
          <w:t xml:space="preserve">https://www.ipomex.org.mx/ipo3/lgt/indice/PAN/art_100_xvi.web</w:t>
        </w:r>
      </w:hyperlink>
      <w:r w:rsidDel="00000000" w:rsidR="00000000" w:rsidRPr="00000000">
        <w:rPr>
          <w:rFonts w:ascii="Palatino Linotype" w:cs="Palatino Linotype" w:eastAsia="Palatino Linotype" w:hAnsi="Palatino Linotype"/>
          <w:rtl w:val="0"/>
        </w:rPr>
        <w:t xml:space="preserve">, obteniendo lo siguiente:</w:t>
      </w:r>
    </w:p>
    <w:p w:rsidR="00000000" w:rsidDel="00000000" w:rsidP="00000000" w:rsidRDefault="00000000" w:rsidRPr="00000000" w14:paraId="000000D5">
      <w:pP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5581650" cy="4219575"/>
            <wp:effectExtent b="0" l="0" r="0" t="0"/>
            <wp:docPr id="69" name="image2.png"/>
            <a:graphic>
              <a:graphicData uri="http://schemas.openxmlformats.org/drawingml/2006/picture">
                <pic:pic>
                  <pic:nvPicPr>
                    <pic:cNvPr id="0" name="image2.png"/>
                    <pic:cNvPicPr preferRelativeResize="0"/>
                  </pic:nvPicPr>
                  <pic:blipFill>
                    <a:blip r:embed="rId39"/>
                    <a:srcRect b="49004" l="6450" r="52307" t="22932"/>
                    <a:stretch>
                      <a:fillRect/>
                    </a:stretch>
                  </pic:blipFill>
                  <pic:spPr>
                    <a:xfrm>
                      <a:off x="0" y="0"/>
                      <a:ext cx="5581650" cy="42195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3708400</wp:posOffset>
                </wp:positionV>
                <wp:extent cx="647700" cy="123825"/>
                <wp:effectExtent b="0" l="0" r="0" t="0"/>
                <wp:wrapNone/>
                <wp:docPr id="55" name=""/>
                <a:graphic>
                  <a:graphicData uri="http://schemas.microsoft.com/office/word/2010/wordprocessingShape">
                    <wps:wsp>
                      <wps:cNvCnPr/>
                      <wps:spPr>
                        <a:xfrm flipH="1" rot="10800000">
                          <a:off x="5041200" y="3737138"/>
                          <a:ext cx="609600" cy="85725"/>
                        </a:xfrm>
                        <a:prstGeom prst="straightConnector1">
                          <a:avLst/>
                        </a:prstGeom>
                        <a:noFill/>
                        <a:ln cap="flat" cmpd="sng" w="38100">
                          <a:solidFill>
                            <a:srgbClr val="FF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3708400</wp:posOffset>
                </wp:positionV>
                <wp:extent cx="647700" cy="123825"/>
                <wp:effectExtent b="0" l="0" r="0" t="0"/>
                <wp:wrapNone/>
                <wp:docPr id="55" name="image17.png"/>
                <a:graphic>
                  <a:graphicData uri="http://schemas.openxmlformats.org/drawingml/2006/picture">
                    <pic:pic>
                      <pic:nvPicPr>
                        <pic:cNvPr id="0" name="image17.png"/>
                        <pic:cNvPicPr preferRelativeResize="0"/>
                      </pic:nvPicPr>
                      <pic:blipFill>
                        <a:blip r:embed="rId40"/>
                        <a:srcRect/>
                        <a:stretch>
                          <a:fillRect/>
                        </a:stretch>
                      </pic:blipFill>
                      <pic:spPr>
                        <a:xfrm>
                          <a:off x="0" y="0"/>
                          <a:ext cx="647700"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3670300</wp:posOffset>
                </wp:positionH>
                <wp:positionV relativeFrom="paragraph">
                  <wp:posOffset>774700</wp:posOffset>
                </wp:positionV>
                <wp:extent cx="647700" cy="123825"/>
                <wp:effectExtent b="0" l="0" r="0" t="0"/>
                <wp:wrapNone/>
                <wp:docPr id="57" name=""/>
                <a:graphic>
                  <a:graphicData uri="http://schemas.microsoft.com/office/word/2010/wordprocessingShape">
                    <wps:wsp>
                      <wps:cNvCnPr/>
                      <wps:spPr>
                        <a:xfrm flipH="1" rot="10800000">
                          <a:off x="5041200" y="3737138"/>
                          <a:ext cx="609600" cy="85725"/>
                        </a:xfrm>
                        <a:prstGeom prst="straightConnector1">
                          <a:avLst/>
                        </a:prstGeom>
                        <a:noFill/>
                        <a:ln cap="flat" cmpd="sng" w="38100">
                          <a:solidFill>
                            <a:srgbClr val="FF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3670300</wp:posOffset>
                </wp:positionH>
                <wp:positionV relativeFrom="paragraph">
                  <wp:posOffset>774700</wp:posOffset>
                </wp:positionV>
                <wp:extent cx="647700" cy="123825"/>
                <wp:effectExtent b="0" l="0" r="0" t="0"/>
                <wp:wrapNone/>
                <wp:docPr id="57" name="image19.png"/>
                <a:graphic>
                  <a:graphicData uri="http://schemas.openxmlformats.org/drawingml/2006/picture">
                    <pic:pic>
                      <pic:nvPicPr>
                        <pic:cNvPr id="0" name="image19.png"/>
                        <pic:cNvPicPr preferRelativeResize="0"/>
                      </pic:nvPicPr>
                      <pic:blipFill>
                        <a:blip r:embed="rId41"/>
                        <a:srcRect/>
                        <a:stretch>
                          <a:fillRect/>
                        </a:stretch>
                      </pic:blipFill>
                      <pic:spPr>
                        <a:xfrm>
                          <a:off x="0" y="0"/>
                          <a:ext cx="647700"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3670300</wp:posOffset>
                </wp:positionH>
                <wp:positionV relativeFrom="paragraph">
                  <wp:posOffset>1485900</wp:posOffset>
                </wp:positionV>
                <wp:extent cx="647700" cy="123825"/>
                <wp:effectExtent b="0" l="0" r="0" t="0"/>
                <wp:wrapNone/>
                <wp:docPr id="54" name=""/>
                <a:graphic>
                  <a:graphicData uri="http://schemas.microsoft.com/office/word/2010/wordprocessingShape">
                    <wps:wsp>
                      <wps:cNvCnPr/>
                      <wps:spPr>
                        <a:xfrm flipH="1" rot="10800000">
                          <a:off x="5041200" y="3737138"/>
                          <a:ext cx="609600" cy="85725"/>
                        </a:xfrm>
                        <a:prstGeom prst="straightConnector1">
                          <a:avLst/>
                        </a:prstGeom>
                        <a:noFill/>
                        <a:ln cap="flat" cmpd="sng" w="38100">
                          <a:solidFill>
                            <a:srgbClr val="FF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3670300</wp:posOffset>
                </wp:positionH>
                <wp:positionV relativeFrom="paragraph">
                  <wp:posOffset>1485900</wp:posOffset>
                </wp:positionV>
                <wp:extent cx="647700" cy="123825"/>
                <wp:effectExtent b="0" l="0" r="0" t="0"/>
                <wp:wrapNone/>
                <wp:docPr id="54" name="image15.png"/>
                <a:graphic>
                  <a:graphicData uri="http://schemas.openxmlformats.org/drawingml/2006/picture">
                    <pic:pic>
                      <pic:nvPicPr>
                        <pic:cNvPr id="0" name="image15.png"/>
                        <pic:cNvPicPr preferRelativeResize="0"/>
                      </pic:nvPicPr>
                      <pic:blipFill>
                        <a:blip r:embed="rId42"/>
                        <a:srcRect/>
                        <a:stretch>
                          <a:fillRect/>
                        </a:stretch>
                      </pic:blipFill>
                      <pic:spPr>
                        <a:xfrm>
                          <a:off x="0" y="0"/>
                          <a:ext cx="647700" cy="123825"/>
                        </a:xfrm>
                        <a:prstGeom prst="rect"/>
                        <a:ln/>
                      </pic:spPr>
                    </pic:pic>
                  </a:graphicData>
                </a:graphic>
              </wp:anchor>
            </w:drawing>
          </mc:Fallback>
        </mc:AlternateContent>
      </w:r>
    </w:p>
    <w:p w:rsidR="00000000" w:rsidDel="00000000" w:rsidP="00000000" w:rsidRDefault="00000000" w:rsidRPr="00000000" w14:paraId="000000D6">
      <w:pP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5495925" cy="7324725"/>
            <wp:effectExtent b="0" l="0" r="0" t="0"/>
            <wp:docPr id="68" name="image7.png"/>
            <a:graphic>
              <a:graphicData uri="http://schemas.openxmlformats.org/drawingml/2006/picture">
                <pic:pic>
                  <pic:nvPicPr>
                    <pic:cNvPr id="0" name="image7.png"/>
                    <pic:cNvPicPr preferRelativeResize="0"/>
                  </pic:nvPicPr>
                  <pic:blipFill>
                    <a:blip r:embed="rId43"/>
                    <a:srcRect b="10379" l="6280" r="64889" t="7544"/>
                    <a:stretch>
                      <a:fillRect/>
                    </a:stretch>
                  </pic:blipFill>
                  <pic:spPr>
                    <a:xfrm>
                      <a:off x="0" y="0"/>
                      <a:ext cx="5495925" cy="7324725"/>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las imágenes anteriores, se aprecia que se puede ingresar el Portal de IPOMEX del Sujeto Obligado, concretamente al apartado denominado “</w:t>
      </w:r>
      <w:r w:rsidDel="00000000" w:rsidR="00000000" w:rsidRPr="00000000">
        <w:rPr>
          <w:rFonts w:ascii="Palatino Linotype" w:cs="Palatino Linotype" w:eastAsia="Palatino Linotype" w:hAnsi="Palatino Linotype"/>
          <w:b w:val="1"/>
          <w:rtl w:val="0"/>
        </w:rPr>
        <w:t xml:space="preserve">Tabulador de remuneraciones</w:t>
      </w:r>
      <w:r w:rsidDel="00000000" w:rsidR="00000000" w:rsidRPr="00000000">
        <w:rPr>
          <w:rFonts w:ascii="Palatino Linotype" w:cs="Palatino Linotype" w:eastAsia="Palatino Linotype" w:hAnsi="Palatino Linotype"/>
          <w:rtl w:val="0"/>
        </w:rPr>
        <w:t xml:space="preserve">”, relativo a la fracción XVI del artículo 100 de la Ley de Transparencia vigente en el Estado de México, y se advierten datos relativos a nombre del trabajador, puesto, áreas de adscripción, remuneración mensual bruta y neta de 89 trabajadores partidistas, sin embargo, no es posible identificar el dato relativo al correo institucional y número telefónico con extensión. </w:t>
      </w:r>
    </w:p>
    <w:p w:rsidR="00000000" w:rsidDel="00000000" w:rsidP="00000000" w:rsidRDefault="00000000" w:rsidRPr="00000000" w14:paraId="000000D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se considera de suma importancia referir que el artículo 100 fracción XVI de la Ley de Transparencia vigente en el Estado de México establece:</w:t>
      </w:r>
    </w:p>
    <w:p w:rsidR="00000000" w:rsidDel="00000000" w:rsidP="00000000" w:rsidRDefault="00000000" w:rsidRPr="00000000" w14:paraId="000000D9">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100.</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Los partidos políticos nacionales acreditados para participar en elecciones locales y los partidos locales</w:t>
      </w:r>
      <w:r w:rsidDel="00000000" w:rsidR="00000000" w:rsidRPr="00000000">
        <w:rPr>
          <w:rFonts w:ascii="Palatino Linotype" w:cs="Palatino Linotype" w:eastAsia="Palatino Linotype" w:hAnsi="Palatino Linotype"/>
          <w:i w:val="1"/>
          <w:sz w:val="22"/>
          <w:szCs w:val="22"/>
          <w:rtl w:val="0"/>
        </w:rPr>
        <w:t xml:space="preserve">, en cuanto hace a sus órganos directivos estatales y municipales, las agrupaciones políticas y las personas jurídicas colectivas constituidas en asociación civil creadas por los ciudadanos que pretendan postular su candidatura independiente, según corresponda, </w:t>
      </w:r>
      <w:r w:rsidDel="00000000" w:rsidR="00000000" w:rsidRPr="00000000">
        <w:rPr>
          <w:rFonts w:ascii="Palatino Linotype" w:cs="Palatino Linotype" w:eastAsia="Palatino Linotype" w:hAnsi="Palatino Linotype"/>
          <w:b w:val="1"/>
          <w:i w:val="1"/>
          <w:sz w:val="22"/>
          <w:szCs w:val="22"/>
          <w:u w:val="single"/>
          <w:rtl w:val="0"/>
        </w:rPr>
        <w:t xml:space="preserve">deberán poner a disposición del público y actualizar la siguiente información</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DA">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DB">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XVI.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El tabulador de remuneraciones que perciben los integrantes de los órganos a que se refiere la fracción anterior y de los demás funcionarios partidistas</w:t>
      </w:r>
      <w:r w:rsidDel="00000000" w:rsidR="00000000" w:rsidRPr="00000000">
        <w:rPr>
          <w:rFonts w:ascii="Palatino Linotype" w:cs="Palatino Linotype" w:eastAsia="Palatino Linotype" w:hAnsi="Palatino Linotype"/>
          <w:i w:val="1"/>
          <w:sz w:val="22"/>
          <w:szCs w:val="22"/>
          <w:rtl w:val="0"/>
        </w:rPr>
        <w:t xml:space="preserve">, que </w:t>
      </w:r>
      <w:r w:rsidDel="00000000" w:rsidR="00000000" w:rsidRPr="00000000">
        <w:rPr>
          <w:rFonts w:ascii="Palatino Linotype" w:cs="Palatino Linotype" w:eastAsia="Palatino Linotype" w:hAnsi="Palatino Linotype"/>
          <w:b w:val="1"/>
          <w:i w:val="1"/>
          <w:sz w:val="22"/>
          <w:szCs w:val="22"/>
          <w:u w:val="single"/>
          <w:rtl w:val="0"/>
        </w:rPr>
        <w:t xml:space="preserve">deberá vincularse con el directorio y estructura orgánica, así como cualquier persona que reciba ingresos por parte del partido político</w:t>
      </w:r>
      <w:r w:rsidDel="00000000" w:rsidR="00000000" w:rsidRPr="00000000">
        <w:rPr>
          <w:rFonts w:ascii="Palatino Linotype" w:cs="Palatino Linotype" w:eastAsia="Palatino Linotype" w:hAnsi="Palatino Linotype"/>
          <w:i w:val="1"/>
          <w:sz w:val="22"/>
          <w:szCs w:val="22"/>
          <w:rtl w:val="0"/>
        </w:rPr>
        <w:t xml:space="preserve">, independientemente de la función que desempeñe dentro o fuera del partido;</w:t>
      </w:r>
    </w:p>
    <w:p w:rsidR="00000000" w:rsidDel="00000000" w:rsidP="00000000" w:rsidRDefault="00000000" w:rsidRPr="00000000" w14:paraId="000000DC">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DD">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E">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D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dispositivo legal en comento se aprecia que es obligación de transparencia publicar la información relacionada con el tabulador de remuneraciones, misma que debe estar vinculada con el directorio y estructura orgánica, por lo anterior, no se tiene por atendidos los requerimientos en análisis, en virtud de que falta información relativa a número telefónico y correo institucional. </w:t>
      </w:r>
    </w:p>
    <w:p w:rsidR="00000000" w:rsidDel="00000000" w:rsidP="00000000" w:rsidRDefault="00000000" w:rsidRPr="00000000" w14:paraId="000000E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mismo modo, conviene agregar que si bien es cierto que el Sujeto Obligado pretende atender los requerimientos en análisis, remitiendo al apartado denominado “</w:t>
      </w:r>
      <w:r w:rsidDel="00000000" w:rsidR="00000000" w:rsidRPr="00000000">
        <w:rPr>
          <w:rFonts w:ascii="Palatino Linotype" w:cs="Palatino Linotype" w:eastAsia="Palatino Linotype" w:hAnsi="Palatino Linotype"/>
          <w:b w:val="1"/>
          <w:rtl w:val="0"/>
        </w:rPr>
        <w:t xml:space="preserve">Tabulador de remuneraciones</w:t>
      </w:r>
      <w:r w:rsidDel="00000000" w:rsidR="00000000" w:rsidRPr="00000000">
        <w:rPr>
          <w:rFonts w:ascii="Palatino Linotype" w:cs="Palatino Linotype" w:eastAsia="Palatino Linotype" w:hAnsi="Palatino Linotype"/>
          <w:rtl w:val="0"/>
        </w:rPr>
        <w:t xml:space="preserve">”, relativo a la fracción XVI del artículo 100 de la Ley de Transparencia vigente en el Estado de México, del cual se aprecia la existencia de 89 registros, mismo que al ser consultado se aprecia que reporta información al treinta de junio del año en curso, sin embargo no se debe perder de vista que dicha información no coindice con los recibos de nómina correspondientes a la segunda quincena de junio del dos mil veintiuno, en virtud de que el Sujeto Obligado entregó 97 recibos de nómina, motivo por el cual se concluye que tomando como referencia los recibos de nómina tiene menos información, por lo que se concluye que dicha información atiende parcialmente el requerimiento en análisis, por lo que lo procedente es ordenar la entrega de la información faltante, en versión pública conforme a lo establecido en el considerando siguiente.</w:t>
      </w:r>
    </w:p>
    <w:p w:rsidR="00000000" w:rsidDel="00000000" w:rsidP="00000000" w:rsidRDefault="00000000" w:rsidRPr="00000000" w14:paraId="000000E1">
      <w:pPr>
        <w:shd w:fill="ffffff" w:val="clea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Por otra parte, respecto a los requerimientos identificados en la presente resolución con los numerales 5 y 6</w:t>
      </w:r>
      <w:r w:rsidDel="00000000" w:rsidR="00000000" w:rsidRPr="00000000">
        <w:rPr>
          <w:rFonts w:ascii="Palatino Linotype" w:cs="Palatino Linotype" w:eastAsia="Palatino Linotype" w:hAnsi="Palatino Linotype"/>
          <w:rtl w:val="0"/>
        </w:rPr>
        <w:t xml:space="preserve"> consistentes en:</w:t>
      </w:r>
    </w:p>
    <w:p w:rsidR="00000000" w:rsidDel="00000000" w:rsidP="00000000" w:rsidRDefault="00000000" w:rsidRPr="00000000" w14:paraId="000000E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240" w:line="36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Versión pública de los recibos de nómina de cada persona que trabaja en el Comité, de las tres últimas quincenas.</w:t>
      </w:r>
    </w:p>
    <w:p w:rsidR="00000000" w:rsidDel="00000000" w:rsidP="00000000" w:rsidRDefault="00000000" w:rsidRPr="00000000" w14:paraId="000000E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240" w:before="0" w:line="36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gasto realizado por concepto de nómina que realizó el Comité en las tres últimas quincenas, especificando el monto por área  y/o Secretaría.</w:t>
      </w:r>
    </w:p>
    <w:p w:rsidR="00000000" w:rsidDel="00000000" w:rsidP="00000000" w:rsidRDefault="00000000" w:rsidRPr="00000000" w14:paraId="000000E4">
      <w:pPr>
        <w:shd w:fill="ffffff" w:val="clear"/>
        <w:spacing w:after="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a los recibos de nómina de las últimas tres quincenas a la fecha de presentación de la solicitud (</w:t>
      </w:r>
      <w:r w:rsidDel="00000000" w:rsidR="00000000" w:rsidRPr="00000000">
        <w:rPr>
          <w:rFonts w:ascii="Palatino Linotype" w:cs="Palatino Linotype" w:eastAsia="Palatino Linotype" w:hAnsi="Palatino Linotype"/>
          <w:i w:val="1"/>
          <w:rtl w:val="0"/>
        </w:rPr>
        <w:t xml:space="preserve">treinta de junio de dos mil veintiuno</w:t>
      </w:r>
      <w:r w:rsidDel="00000000" w:rsidR="00000000" w:rsidRPr="00000000">
        <w:rPr>
          <w:rFonts w:ascii="Palatino Linotype" w:cs="Palatino Linotype" w:eastAsia="Palatino Linotype" w:hAnsi="Palatino Linotype"/>
          <w:rtl w:val="0"/>
        </w:rPr>
        <w:t xml:space="preserve">), el Sujeto Obligado adjuntó dichas documentales correspondientes a la segunda quincena de mayo, primera y segunda de junio de dos mil veintiuno, entregando 94, 96 y 97 recibos respectivamente, sin embargo en los mismos se advierte la existencia de inconsistencias siguientes:</w:t>
      </w:r>
    </w:p>
    <w:p w:rsidR="00000000" w:rsidDel="00000000" w:rsidP="00000000" w:rsidRDefault="00000000" w:rsidRPr="00000000" w14:paraId="000000E5">
      <w:pPr>
        <w:shd w:fill="ffffff" w:val="clear"/>
        <w:spacing w:after="24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Debe mencionarse que el Sujeto Obligado dejó visibles datos relativos a préstamos o descuentos de carácter personal, los cuales al no tener relación con la prestación del servicio y al no involucrar instituciones públicas, se consideran datos confidenciales.</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Para entender los límites y alcances de esta restricción, es oportuno recurrir al artículo 84 de la Ley del Trabajo de los Servidores Públicos del Estado y Municipios:</w:t>
      </w:r>
    </w:p>
    <w:p w:rsidR="00000000" w:rsidDel="00000000" w:rsidP="00000000" w:rsidRDefault="00000000" w:rsidRPr="00000000" w14:paraId="000000E7">
      <w:pPr>
        <w:ind w:left="1134" w:right="1134"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84. </w:t>
      </w:r>
      <w:r w:rsidDel="00000000" w:rsidR="00000000" w:rsidRPr="00000000">
        <w:rPr>
          <w:rFonts w:ascii="Palatino Linotype" w:cs="Palatino Linotype" w:eastAsia="Palatino Linotype" w:hAnsi="Palatino Linotype"/>
          <w:i w:val="1"/>
          <w:sz w:val="22"/>
          <w:szCs w:val="22"/>
          <w:rtl w:val="0"/>
        </w:rPr>
        <w:t xml:space="preserve">Sólo podrán hacerse retenciones, descuentos o deducciones al sueldo de los servidores públicos por concepto de:</w:t>
      </w:r>
      <w:r w:rsidDel="00000000" w:rsidR="00000000" w:rsidRPr="00000000">
        <w:rPr>
          <w:rtl w:val="0"/>
        </w:rPr>
      </w:r>
    </w:p>
    <w:p w:rsidR="00000000" w:rsidDel="00000000" w:rsidP="00000000" w:rsidRDefault="00000000" w:rsidRPr="00000000" w14:paraId="000000E8">
      <w:pPr>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Gravámenes fiscales relacionados con el sueldo;</w:t>
      </w:r>
    </w:p>
    <w:p w:rsidR="00000000" w:rsidDel="00000000" w:rsidP="00000000" w:rsidRDefault="00000000" w:rsidRPr="00000000" w14:paraId="000000E9">
      <w:pPr>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Deudas contraídas con las instituciones públicas o dependencias por concepto de anticipos de sueldo, pagos hechos con exceso, errores o pérdidas debidamente comprobados;</w:t>
      </w:r>
    </w:p>
    <w:p w:rsidR="00000000" w:rsidDel="00000000" w:rsidP="00000000" w:rsidRDefault="00000000" w:rsidRPr="00000000" w14:paraId="000000EA">
      <w:pPr>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Cuotas sindicales;</w:t>
      </w:r>
    </w:p>
    <w:p w:rsidR="00000000" w:rsidDel="00000000" w:rsidP="00000000" w:rsidRDefault="00000000" w:rsidRPr="00000000" w14:paraId="000000EB">
      <w:pPr>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Cuotas de aportación a fondos para la constitución de cooperativas y de cajas de ahorro, siempre que el servidor público hubiese manifestado previamente, de manera expresa, su conformidad;</w:t>
      </w:r>
    </w:p>
    <w:p w:rsidR="00000000" w:rsidDel="00000000" w:rsidP="00000000" w:rsidRDefault="00000000" w:rsidRPr="00000000" w14:paraId="000000EC">
      <w:pPr>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Descuentos ordenados por el Instituto de Seguridad Social del Estado de México y Municipios, con motivo de cuotas y obligaciones contraídas con éste por los servidores públicos;</w:t>
      </w:r>
    </w:p>
    <w:p w:rsidR="00000000" w:rsidDel="00000000" w:rsidP="00000000" w:rsidRDefault="00000000" w:rsidRPr="00000000" w14:paraId="000000ED">
      <w:pPr>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Obligaciones a cargo del servidor público con las que haya consentido, derivadas de la adquisición o del uso de habitaciones consideradas como de interés social;</w:t>
      </w:r>
    </w:p>
    <w:p w:rsidR="00000000" w:rsidDel="00000000" w:rsidP="00000000" w:rsidRDefault="00000000" w:rsidRPr="00000000" w14:paraId="000000EE">
      <w:pPr>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Faltas de puntualidad o de asistencia injustificadas;</w:t>
      </w:r>
    </w:p>
    <w:p w:rsidR="00000000" w:rsidDel="00000000" w:rsidP="00000000" w:rsidRDefault="00000000" w:rsidRPr="00000000" w14:paraId="000000EF">
      <w:pPr>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Pensiones alimenticias ordenadas por la autoridad judicial; o</w:t>
      </w:r>
    </w:p>
    <w:p w:rsidR="00000000" w:rsidDel="00000000" w:rsidP="00000000" w:rsidRDefault="00000000" w:rsidRPr="00000000" w14:paraId="000000F0">
      <w:pPr>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Cualquier otro convenido con instituciones de servicios y aceptado por el servidor público.</w:t>
      </w:r>
    </w:p>
    <w:p w:rsidR="00000000" w:rsidDel="00000000" w:rsidP="00000000" w:rsidRDefault="00000000" w:rsidRPr="00000000" w14:paraId="000000F1">
      <w:pPr>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000000" w:rsidDel="00000000" w:rsidP="00000000" w:rsidRDefault="00000000" w:rsidRPr="00000000" w14:paraId="000000F2">
      <w:pPr>
        <w:ind w:left="1134" w:right="1134" w:firstLine="0"/>
        <w:jc w:val="both"/>
        <w:rPr>
          <w:rFonts w:ascii="Palatino Linotype" w:cs="Palatino Linotype" w:eastAsia="Palatino Linotype" w:hAnsi="Palatino Linotype"/>
          <w:i w:val="1"/>
          <w:sz w:val="23"/>
          <w:szCs w:val="23"/>
        </w:rPr>
      </w:pPr>
      <w:r w:rsidDel="00000000" w:rsidR="00000000" w:rsidRPr="00000000">
        <w:rPr>
          <w:rtl w:val="0"/>
        </w:rPr>
      </w:r>
    </w:p>
    <w:p w:rsidR="00000000" w:rsidDel="00000000" w:rsidP="00000000" w:rsidRDefault="00000000" w:rsidRPr="00000000" w14:paraId="000000F3">
      <w:pPr>
        <w:ind w:left="1134"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F4">
      <w:pPr>
        <w:ind w:left="1134" w:right="1134" w:firstLine="0"/>
        <w:jc w:val="both"/>
        <w:rPr>
          <w:rFonts w:ascii="Palatino Linotype" w:cs="Palatino Linotype" w:eastAsia="Palatino Linotype" w:hAnsi="Palatino Linotype"/>
          <w:i w:val="1"/>
          <w:sz w:val="23"/>
          <w:szCs w:val="23"/>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otra parte debe mencionarse que del análisis realizado a los recibos de nómina proporcionados por el Sujeto Obligado al momento de emitir respuesta, se aprecia que se testaron diversos datos entre los que sobresalen los consistentes en el folio digital, Cadena Original del complemento del Certificado Digital del SAT, número de serie del certificado del SAT, fecha y hora de certificación y número de serie del certificado del emisor, sin embargo es importante señalar que dichos datos no debieron clasificarse como confidenciales, lo anterior es así, toda vez que no se encuentran relacionados con información de particulares; sino más bien de un ente público, se afirma lo anterior en virtud de que el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folio digital</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es un atributo compuesto de 36 caracteres, el cual se encuentra relacionado con el timbrado; que el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número de serie del certificado del SAT</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es un atributo requerido usado para generar el sello digital del timbre fiscal digital y que el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número de serie del certificado del emisor</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es un atributo requerido para expresar la clave del efecto del comprobante fiscal para el contribuyente emisor.</w:t>
      </w:r>
    </w:p>
    <w:p w:rsidR="00000000" w:rsidDel="00000000" w:rsidP="00000000" w:rsidRDefault="00000000" w:rsidRPr="00000000" w14:paraId="000000F7">
      <w:pPr>
        <w:shd w:fill="ffffff" w:val="clear"/>
        <w:spacing w:after="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tiene sustento conforme a lo establecido en el Anexo 20 de la Resolución Miscelánea Fiscal, precisa lo siguiente: </w:t>
      </w:r>
    </w:p>
    <w:p w:rsidR="00000000" w:rsidDel="00000000" w:rsidP="00000000" w:rsidRDefault="00000000" w:rsidRPr="00000000" w14:paraId="000000F8">
      <w:pPr>
        <w:shd w:fill="ffffff" w:val="clear"/>
        <w:spacing w:after="0" w:before="0" w:line="360" w:lineRule="auto"/>
        <w:jc w:val="both"/>
        <w:rPr>
          <w:rFonts w:ascii="Palatino Linotype" w:cs="Palatino Linotype" w:eastAsia="Palatino Linotype" w:hAnsi="Palatino Linotype"/>
          <w:highlight w:val="yellow"/>
        </w:rPr>
      </w:pPr>
      <w:r w:rsidDel="00000000" w:rsidR="00000000" w:rsidRPr="00000000">
        <w:rPr>
          <w:rtl w:val="0"/>
        </w:rPr>
      </w:r>
    </w:p>
    <w:p w:rsidR="00000000" w:rsidDel="00000000" w:rsidP="00000000" w:rsidRDefault="00000000" w:rsidRPr="00000000" w14:paraId="000000F9">
      <w:pPr>
        <w:shd w:fill="ffffff" w:val="clear"/>
        <w:spacing w:after="0" w:before="0" w:line="360" w:lineRule="auto"/>
        <w:jc w:val="both"/>
        <w:rPr>
          <w:rFonts w:ascii="Palatino Linotype" w:cs="Palatino Linotype" w:eastAsia="Palatino Linotype" w:hAnsi="Palatino Linotype"/>
          <w:highlight w:val="yellow"/>
        </w:rPr>
      </w:pPr>
      <w:r w:rsidDel="00000000" w:rsidR="00000000" w:rsidRPr="00000000">
        <w:rPr>
          <w:rFonts w:ascii="Palatino Linotype" w:cs="Palatino Linotype" w:eastAsia="Palatino Linotype" w:hAnsi="Palatino Linotype"/>
          <w:highlight w:val="yellow"/>
        </w:rPr>
        <w:drawing>
          <wp:inline distB="0" distT="0" distL="0" distR="0">
            <wp:extent cx="4556760" cy="3355246"/>
            <wp:effectExtent b="0" l="0" r="0" t="0"/>
            <wp:docPr id="71" name="image21.png"/>
            <a:graphic>
              <a:graphicData uri="http://schemas.openxmlformats.org/drawingml/2006/picture">
                <pic:pic>
                  <pic:nvPicPr>
                    <pic:cNvPr id="0" name="image21.png"/>
                    <pic:cNvPicPr preferRelativeResize="0"/>
                  </pic:nvPicPr>
                  <pic:blipFill>
                    <a:blip r:embed="rId44"/>
                    <a:srcRect b="0" l="0" r="0" t="0"/>
                    <a:stretch>
                      <a:fillRect/>
                    </a:stretch>
                  </pic:blipFill>
                  <pic:spPr>
                    <a:xfrm>
                      <a:off x="0" y="0"/>
                      <a:ext cx="4556760" cy="3355246"/>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50800</wp:posOffset>
                </wp:positionV>
                <wp:extent cx="4524375" cy="478818"/>
                <wp:effectExtent b="0" l="0" r="0" t="0"/>
                <wp:wrapNone/>
                <wp:docPr id="59" name=""/>
                <a:graphic>
                  <a:graphicData uri="http://schemas.microsoft.com/office/word/2010/wordprocessingShape">
                    <wps:wsp>
                      <wps:cNvSpPr/>
                      <wps:cNvPr id="13" name="Shape 13"/>
                      <wps:spPr>
                        <a:xfrm>
                          <a:off x="3098100" y="3554879"/>
                          <a:ext cx="4495800" cy="450243"/>
                        </a:xfrm>
                        <a:prstGeom prst="roundRect">
                          <a:avLst>
                            <a:gd fmla="val 16667" name="adj"/>
                          </a:avLst>
                        </a:prstGeom>
                        <a:noFill/>
                        <a:ln cap="flat" cmpd="sng" w="2857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50800</wp:posOffset>
                </wp:positionV>
                <wp:extent cx="4524375" cy="478818"/>
                <wp:effectExtent b="0" l="0" r="0" t="0"/>
                <wp:wrapNone/>
                <wp:docPr id="59" name="image22.png"/>
                <a:graphic>
                  <a:graphicData uri="http://schemas.openxmlformats.org/drawingml/2006/picture">
                    <pic:pic>
                      <pic:nvPicPr>
                        <pic:cNvPr id="0" name="image22.png"/>
                        <pic:cNvPicPr preferRelativeResize="0"/>
                      </pic:nvPicPr>
                      <pic:blipFill>
                        <a:blip r:embed="rId45"/>
                        <a:srcRect/>
                        <a:stretch>
                          <a:fillRect/>
                        </a:stretch>
                      </pic:blipFill>
                      <pic:spPr>
                        <a:xfrm>
                          <a:off x="0" y="0"/>
                          <a:ext cx="4524375" cy="47881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wp:posOffset>
                </wp:positionH>
                <wp:positionV relativeFrom="paragraph">
                  <wp:posOffset>1663700</wp:posOffset>
                </wp:positionV>
                <wp:extent cx="4128135" cy="622935"/>
                <wp:effectExtent b="0" l="0" r="0" t="0"/>
                <wp:wrapNone/>
                <wp:docPr id="53" name=""/>
                <a:graphic>
                  <a:graphicData uri="http://schemas.microsoft.com/office/word/2010/wordprocessingShape">
                    <wps:wsp>
                      <wps:cNvSpPr/>
                      <wps:cNvPr id="7" name="Shape 7"/>
                      <wps:spPr>
                        <a:xfrm flipH="1" rot="10800000">
                          <a:off x="3296220" y="3482820"/>
                          <a:ext cx="4099560" cy="594360"/>
                        </a:xfrm>
                        <a:prstGeom prst="roundRect">
                          <a:avLst>
                            <a:gd fmla="val 16667" name="adj"/>
                          </a:avLst>
                        </a:prstGeom>
                        <a:noFill/>
                        <a:ln cap="flat" cmpd="sng" w="2857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1663700</wp:posOffset>
                </wp:positionV>
                <wp:extent cx="4128135" cy="622935"/>
                <wp:effectExtent b="0" l="0" r="0" t="0"/>
                <wp:wrapNone/>
                <wp:docPr id="53" name="image14.png"/>
                <a:graphic>
                  <a:graphicData uri="http://schemas.openxmlformats.org/drawingml/2006/picture">
                    <pic:pic>
                      <pic:nvPicPr>
                        <pic:cNvPr id="0" name="image14.png"/>
                        <pic:cNvPicPr preferRelativeResize="0"/>
                      </pic:nvPicPr>
                      <pic:blipFill>
                        <a:blip r:embed="rId46"/>
                        <a:srcRect/>
                        <a:stretch>
                          <a:fillRect/>
                        </a:stretch>
                      </pic:blipFill>
                      <pic:spPr>
                        <a:xfrm>
                          <a:off x="0" y="0"/>
                          <a:ext cx="4128135" cy="622935"/>
                        </a:xfrm>
                        <a:prstGeom prst="rect"/>
                        <a:ln/>
                      </pic:spPr>
                    </pic:pic>
                  </a:graphicData>
                </a:graphic>
              </wp:anchor>
            </w:drawing>
          </mc:Fallback>
        </mc:AlternateContent>
      </w:r>
    </w:p>
    <w:p w:rsidR="00000000" w:rsidDel="00000000" w:rsidP="00000000" w:rsidRDefault="00000000" w:rsidRPr="00000000" w14:paraId="000000FA">
      <w:pPr>
        <w:shd w:fill="ffffff" w:val="clear"/>
        <w:spacing w:after="0" w:before="0" w:line="360" w:lineRule="auto"/>
        <w:jc w:val="both"/>
        <w:rPr>
          <w:rFonts w:ascii="Palatino Linotype" w:cs="Palatino Linotype" w:eastAsia="Palatino Linotype" w:hAnsi="Palatino Linotype"/>
          <w:highlight w:val="yellow"/>
        </w:rPr>
      </w:pPr>
      <w:r w:rsidDel="00000000" w:rsidR="00000000" w:rsidRPr="00000000">
        <w:rPr>
          <w:rFonts w:ascii="Palatino Linotype" w:cs="Palatino Linotype" w:eastAsia="Palatino Linotype" w:hAnsi="Palatino Linotype"/>
          <w:highlight w:val="yellow"/>
        </w:rPr>
        <w:drawing>
          <wp:inline distB="0" distT="0" distL="0" distR="0">
            <wp:extent cx="4330860" cy="2968593"/>
            <wp:effectExtent b="0" l="0" r="0" t="0"/>
            <wp:docPr id="70" name="image9.png"/>
            <a:graphic>
              <a:graphicData uri="http://schemas.openxmlformats.org/drawingml/2006/picture">
                <pic:pic>
                  <pic:nvPicPr>
                    <pic:cNvPr id="0" name="image9.png"/>
                    <pic:cNvPicPr preferRelativeResize="0"/>
                  </pic:nvPicPr>
                  <pic:blipFill>
                    <a:blip r:embed="rId47"/>
                    <a:srcRect b="0" l="0" r="0" t="0"/>
                    <a:stretch>
                      <a:fillRect/>
                    </a:stretch>
                  </pic:blipFill>
                  <pic:spPr>
                    <a:xfrm>
                      <a:off x="0" y="0"/>
                      <a:ext cx="4330860" cy="2968593"/>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812800</wp:posOffset>
                </wp:positionH>
                <wp:positionV relativeFrom="paragraph">
                  <wp:posOffset>152400</wp:posOffset>
                </wp:positionV>
                <wp:extent cx="4128135" cy="1006585"/>
                <wp:effectExtent b="0" l="0" r="0" t="0"/>
                <wp:wrapNone/>
                <wp:docPr id="49" name=""/>
                <a:graphic>
                  <a:graphicData uri="http://schemas.microsoft.com/office/word/2010/wordprocessingShape">
                    <wps:wsp>
                      <wps:cNvSpPr/>
                      <wps:cNvPr id="3" name="Shape 3"/>
                      <wps:spPr>
                        <a:xfrm flipH="1" rot="10800000">
                          <a:off x="3296220" y="3290995"/>
                          <a:ext cx="4099560" cy="978010"/>
                        </a:xfrm>
                        <a:prstGeom prst="roundRect">
                          <a:avLst>
                            <a:gd fmla="val 16667" name="adj"/>
                          </a:avLst>
                        </a:prstGeom>
                        <a:noFill/>
                        <a:ln cap="flat" cmpd="sng" w="2857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812800</wp:posOffset>
                </wp:positionH>
                <wp:positionV relativeFrom="paragraph">
                  <wp:posOffset>152400</wp:posOffset>
                </wp:positionV>
                <wp:extent cx="4128135" cy="1006585"/>
                <wp:effectExtent b="0" l="0" r="0" t="0"/>
                <wp:wrapNone/>
                <wp:docPr id="49" name="image10.png"/>
                <a:graphic>
                  <a:graphicData uri="http://schemas.openxmlformats.org/drawingml/2006/picture">
                    <pic:pic>
                      <pic:nvPicPr>
                        <pic:cNvPr id="0" name="image10.png"/>
                        <pic:cNvPicPr preferRelativeResize="0"/>
                      </pic:nvPicPr>
                      <pic:blipFill>
                        <a:blip r:embed="rId48"/>
                        <a:srcRect/>
                        <a:stretch>
                          <a:fillRect/>
                        </a:stretch>
                      </pic:blipFill>
                      <pic:spPr>
                        <a:xfrm>
                          <a:off x="0" y="0"/>
                          <a:ext cx="4128135" cy="10065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1397000</wp:posOffset>
                </wp:positionV>
                <wp:extent cx="4303395" cy="417195"/>
                <wp:effectExtent b="0" l="0" r="0" t="0"/>
                <wp:wrapNone/>
                <wp:docPr id="51" name=""/>
                <a:graphic>
                  <a:graphicData uri="http://schemas.microsoft.com/office/word/2010/wordprocessingShape">
                    <wps:wsp>
                      <wps:cNvSpPr/>
                      <wps:cNvPr id="5" name="Shape 5"/>
                      <wps:spPr>
                        <a:xfrm flipH="1" rot="10800000">
                          <a:off x="3208590" y="3585690"/>
                          <a:ext cx="4274820" cy="388620"/>
                        </a:xfrm>
                        <a:prstGeom prst="roundRect">
                          <a:avLst>
                            <a:gd fmla="val 16667" name="adj"/>
                          </a:avLst>
                        </a:prstGeom>
                        <a:noFill/>
                        <a:ln cap="flat" cmpd="sng" w="2857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1397000</wp:posOffset>
                </wp:positionV>
                <wp:extent cx="4303395" cy="417195"/>
                <wp:effectExtent b="0" l="0" r="0" t="0"/>
                <wp:wrapNone/>
                <wp:docPr id="51" name="image12.png"/>
                <a:graphic>
                  <a:graphicData uri="http://schemas.openxmlformats.org/drawingml/2006/picture">
                    <pic:pic>
                      <pic:nvPicPr>
                        <pic:cNvPr id="0" name="image12.png"/>
                        <pic:cNvPicPr preferRelativeResize="0"/>
                      </pic:nvPicPr>
                      <pic:blipFill>
                        <a:blip r:embed="rId49"/>
                        <a:srcRect/>
                        <a:stretch>
                          <a:fillRect/>
                        </a:stretch>
                      </pic:blipFill>
                      <pic:spPr>
                        <a:xfrm>
                          <a:off x="0" y="0"/>
                          <a:ext cx="4303395" cy="417195"/>
                        </a:xfrm>
                        <a:prstGeom prst="rect"/>
                        <a:ln/>
                      </pic:spPr>
                    </pic:pic>
                  </a:graphicData>
                </a:graphic>
              </wp:anchor>
            </w:drawing>
          </mc:Fallback>
        </mc:AlternateContent>
      </w:r>
    </w:p>
    <w:p w:rsidR="00000000" w:rsidDel="00000000" w:rsidP="00000000" w:rsidRDefault="00000000" w:rsidRPr="00000000" w14:paraId="000000FB">
      <w:pPr>
        <w:shd w:fill="ffffff" w:val="clear"/>
        <w:spacing w:after="0" w:before="0" w:line="360" w:lineRule="auto"/>
        <w:jc w:val="both"/>
        <w:rPr>
          <w:rFonts w:ascii="Palatino Linotype" w:cs="Palatino Linotype" w:eastAsia="Palatino Linotype" w:hAnsi="Palatino Linotype"/>
          <w:highlight w:val="yellow"/>
        </w:rPr>
      </w:pPr>
      <w:r w:rsidDel="00000000" w:rsidR="00000000" w:rsidRPr="00000000">
        <w:rPr>
          <w:rtl w:val="0"/>
        </w:rPr>
      </w:r>
    </w:p>
    <w:p w:rsidR="00000000" w:rsidDel="00000000" w:rsidP="00000000" w:rsidRDefault="00000000" w:rsidRPr="00000000" w14:paraId="000000FC">
      <w:pPr>
        <w:shd w:fill="ffffff" w:val="clear"/>
        <w:spacing w:after="0" w:before="0" w:line="360" w:lineRule="auto"/>
        <w:jc w:val="both"/>
        <w:rPr>
          <w:rFonts w:ascii="Palatino Linotype" w:cs="Palatino Linotype" w:eastAsia="Palatino Linotype" w:hAnsi="Palatino Linotype"/>
          <w:highlight w:val="yellow"/>
        </w:rPr>
      </w:pPr>
      <w:r w:rsidDel="00000000" w:rsidR="00000000" w:rsidRPr="00000000">
        <w:rPr>
          <w:rFonts w:ascii="Palatino Linotype" w:cs="Palatino Linotype" w:eastAsia="Palatino Linotype" w:hAnsi="Palatino Linotype"/>
          <w:highlight w:val="yellow"/>
        </w:rPr>
        <w:drawing>
          <wp:inline distB="0" distT="0" distL="0" distR="0">
            <wp:extent cx="5128704" cy="1432684"/>
            <wp:effectExtent b="0" l="0" r="0" t="0"/>
            <wp:docPr id="72" name="image16.png"/>
            <a:graphic>
              <a:graphicData uri="http://schemas.openxmlformats.org/drawingml/2006/picture">
                <pic:pic>
                  <pic:nvPicPr>
                    <pic:cNvPr id="0" name="image16.png"/>
                    <pic:cNvPicPr preferRelativeResize="0"/>
                  </pic:nvPicPr>
                  <pic:blipFill>
                    <a:blip r:embed="rId50"/>
                    <a:srcRect b="0" l="0" r="0" t="0"/>
                    <a:stretch>
                      <a:fillRect/>
                    </a:stretch>
                  </pic:blipFill>
                  <pic:spPr>
                    <a:xfrm>
                      <a:off x="0" y="0"/>
                      <a:ext cx="5128704" cy="143268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5156835" cy="661035"/>
                <wp:effectExtent b="0" l="0" r="0" t="0"/>
                <wp:wrapNone/>
                <wp:docPr id="52" name=""/>
                <a:graphic>
                  <a:graphicData uri="http://schemas.microsoft.com/office/word/2010/wordprocessingShape">
                    <wps:wsp>
                      <wps:cNvSpPr/>
                      <wps:cNvPr id="6" name="Shape 6"/>
                      <wps:spPr>
                        <a:xfrm>
                          <a:off x="2781870" y="3463770"/>
                          <a:ext cx="5128260" cy="632460"/>
                        </a:xfrm>
                        <a:prstGeom prst="roundRect">
                          <a:avLst>
                            <a:gd fmla="val 16667" name="adj"/>
                          </a:avLst>
                        </a:prstGeom>
                        <a:noFill/>
                        <a:ln cap="flat" cmpd="sng" w="2857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5156835" cy="661035"/>
                <wp:effectExtent b="0" l="0" r="0" t="0"/>
                <wp:wrapNone/>
                <wp:docPr id="52" name="image13.png"/>
                <a:graphic>
                  <a:graphicData uri="http://schemas.openxmlformats.org/drawingml/2006/picture">
                    <pic:pic>
                      <pic:nvPicPr>
                        <pic:cNvPr id="0" name="image13.png"/>
                        <pic:cNvPicPr preferRelativeResize="0"/>
                      </pic:nvPicPr>
                      <pic:blipFill>
                        <a:blip r:embed="rId51"/>
                        <a:srcRect/>
                        <a:stretch>
                          <a:fillRect/>
                        </a:stretch>
                      </pic:blipFill>
                      <pic:spPr>
                        <a:xfrm>
                          <a:off x="0" y="0"/>
                          <a:ext cx="5156835" cy="661035"/>
                        </a:xfrm>
                        <a:prstGeom prst="rect"/>
                        <a:ln/>
                      </pic:spPr>
                    </pic:pic>
                  </a:graphicData>
                </a:graphic>
              </wp:anchor>
            </w:drawing>
          </mc:Fallback>
        </mc:AlternateContent>
      </w:r>
    </w:p>
    <w:p w:rsidR="00000000" w:rsidDel="00000000" w:rsidP="00000000" w:rsidRDefault="00000000" w:rsidRPr="00000000" w14:paraId="000000FD">
      <w:pPr>
        <w:shd w:fill="ffffff" w:val="clear"/>
        <w:spacing w:after="0" w:before="0" w:line="360" w:lineRule="auto"/>
        <w:jc w:val="both"/>
        <w:rPr>
          <w:rFonts w:ascii="Palatino Linotype" w:cs="Palatino Linotype" w:eastAsia="Palatino Linotype" w:hAnsi="Palatino Linotype"/>
          <w:highlight w:val="yellow"/>
        </w:rPr>
      </w:pPr>
      <w:r w:rsidDel="00000000" w:rsidR="00000000" w:rsidRPr="00000000">
        <w:rPr>
          <w:rtl w:val="0"/>
        </w:rPr>
      </w:r>
    </w:p>
    <w:p w:rsidR="00000000" w:rsidDel="00000000" w:rsidP="00000000" w:rsidRDefault="00000000" w:rsidRPr="00000000" w14:paraId="000000FE">
      <w:pPr>
        <w:shd w:fill="ffffff" w:val="clear"/>
        <w:spacing w:after="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desprende que, el folio digital, es un atributo compuesto de 36 caracteres, el cual se encuentra relacionado con el timbrado; en cuanto al número de serie del certificado del SAT, es un atributo requerido, el cual es usado para generar el sello digital del timbre fiscal digital y por cuanto hace al número de serie del certificado del emisor, este es un atributo requerido para expresar la clave del efecto del comprobante fiscal para el contribuyente emisor; en consecuencia, dichos datos no pueden ser considerados como confidenciales, pues no se encuentra relacionada con información relacionada a particulares; sino más bien de un ente público. </w:t>
      </w:r>
    </w:p>
    <w:p w:rsidR="00000000" w:rsidDel="00000000" w:rsidP="00000000" w:rsidRDefault="00000000" w:rsidRPr="00000000" w14:paraId="000000FF">
      <w:pPr>
        <w:shd w:fill="ffffff" w:val="clea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0">
      <w:pPr>
        <w:shd w:fill="ffffff" w:val="clear"/>
        <w:spacing w:after="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lo anterior, es de suma importancia mencionar que si bien es cierto en los recibos de nómina se precisa que por acuerdo segundo de la Sesión del Comité de Transparencia de fecha 19 de noviembre de 2019 se aprobó la clasificación de dichos datos, cierto lo es que no adjuntó el Acuerdo del Comité de Transparencia en comento, por tal motivo dicho actuar no está fundado ni motivado, al no conocer los motivos, razones y circunstancias de hecho y derecho para testar los datos en comento.</w:t>
      </w:r>
    </w:p>
    <w:p w:rsidR="00000000" w:rsidDel="00000000" w:rsidP="00000000" w:rsidRDefault="00000000" w:rsidRPr="00000000" w14:paraId="00000101">
      <w:pPr>
        <w:shd w:fill="ffffff" w:val="clea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2">
      <w:pPr>
        <w:spacing w:after="24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no se advierte que el Sujeto obligado hubiese expresado el artículo, fracción, inciso o subinciso de la legislación aplicable a la materia, que establece de manera expresa la naturaleza jurídica de todos y cada uno de los datos contenidos en los recibos de nómina que entregó en respuesta, lo anterior, con la finalidad de justificar la procedencia de omitirlos o testarlos, en consecuencia, el actuar del Sujeto Obligado </w:t>
      </w:r>
      <w:r w:rsidDel="00000000" w:rsidR="00000000" w:rsidRPr="00000000">
        <w:rPr>
          <w:rFonts w:ascii="Palatino Linotype" w:cs="Palatino Linotype" w:eastAsia="Palatino Linotype" w:hAnsi="Palatino Linotype"/>
          <w:color w:val="222222"/>
          <w:rtl w:val="0"/>
        </w:rPr>
        <w:t xml:space="preserve">carece de fundamentación y motivación, consistentes en la </w:t>
      </w:r>
      <w:r w:rsidDel="00000000" w:rsidR="00000000" w:rsidRPr="00000000">
        <w:rPr>
          <w:rFonts w:ascii="Palatino Linotype" w:cs="Palatino Linotype" w:eastAsia="Palatino Linotype" w:hAnsi="Palatino Linotype"/>
          <w:rtl w:val="0"/>
        </w:rPr>
        <w:t xml:space="preserve">obligación que tiene todo ente público de expresar los preceptos jurídicos aplicables al asunto motivo del acto y las razones o argumentos de su actuar.</w:t>
      </w:r>
    </w:p>
    <w:p w:rsidR="00000000" w:rsidDel="00000000" w:rsidP="00000000" w:rsidRDefault="00000000" w:rsidRPr="00000000" w14:paraId="0000010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el máximo tribunal del país ha establecido jurisprudencia respecto a qué debe entenderse por fundamentación y motivación, en los siguientes términos:</w:t>
      </w:r>
    </w:p>
    <w:p w:rsidR="00000000" w:rsidDel="00000000" w:rsidP="00000000" w:rsidRDefault="00000000" w:rsidRPr="00000000" w14:paraId="00000104">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5">
      <w:pPr>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“FUNDAMENTACION Y MOTIVACION. </w:t>
      </w:r>
      <w:r w:rsidDel="00000000" w:rsidR="00000000" w:rsidRPr="00000000">
        <w:rPr>
          <w:rFonts w:ascii="Palatino Linotype" w:cs="Palatino Linotype" w:eastAsia="Palatino Linotype" w:hAnsi="Palatino Linotype"/>
          <w:i w:val="1"/>
          <w:sz w:val="22"/>
          <w:szCs w:val="22"/>
          <w:rtl w:val="0"/>
        </w:rPr>
        <w:t xml:space="preserve">La </w:t>
      </w:r>
      <w:r w:rsidDel="00000000" w:rsidR="00000000" w:rsidRPr="00000000">
        <w:rPr>
          <w:rFonts w:ascii="Palatino Linotype" w:cs="Palatino Linotype" w:eastAsia="Palatino Linotype" w:hAnsi="Palatino Linotype"/>
          <w:b w:val="1"/>
          <w:i w:val="1"/>
          <w:sz w:val="22"/>
          <w:szCs w:val="22"/>
          <w:u w:val="single"/>
          <w:rtl w:val="0"/>
        </w:rPr>
        <w:t xml:space="preserve">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06">
      <w:pPr>
        <w:ind w:left="851" w:right="85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…”(Sic)</w:t>
      </w:r>
    </w:p>
    <w:p w:rsidR="00000000" w:rsidDel="00000000" w:rsidP="00000000" w:rsidRDefault="00000000" w:rsidRPr="00000000" w14:paraId="00000107">
      <w:pPr>
        <w:ind w:left="851" w:right="85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un acto de autoridad se surte la debida fundamentación cuando se cita el precepto legal aplicable al caso concreto y la debida motivación cuando se </w:t>
      </w:r>
      <w:r w:rsidDel="00000000" w:rsidR="00000000" w:rsidRPr="00000000">
        <w:rPr>
          <w:rFonts w:ascii="Palatino Linotype" w:cs="Palatino Linotype" w:eastAsia="Palatino Linotype" w:hAnsi="Palatino Linotype"/>
          <w:color w:val="222222"/>
          <w:rtl w:val="0"/>
        </w:rPr>
        <w:t xml:space="preserve">expresan</w:t>
      </w:r>
      <w:r w:rsidDel="00000000" w:rsidR="00000000" w:rsidRPr="00000000">
        <w:rPr>
          <w:rFonts w:ascii="Palatino Linotype" w:cs="Palatino Linotype" w:eastAsia="Palatino Linotype" w:hAnsi="Palatino Linotype"/>
          <w:rtl w:val="0"/>
        </w:rPr>
        <w:t xml:space="preserve"> las razones, motivos o circunstancias que tomó en cuenta la autoridad para adecuar el hecho a los fundamentos de derecho.</w:t>
      </w:r>
    </w:p>
    <w:p w:rsidR="00000000" w:rsidDel="00000000" w:rsidP="00000000" w:rsidRDefault="00000000" w:rsidRPr="00000000" w14:paraId="00000109">
      <w:pPr>
        <w:spacing w:line="360" w:lineRule="auto"/>
        <w:ind w:right="-518"/>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Más aún, a través de diversa jurisprudencia dictada por el </w:t>
      </w:r>
      <w:r w:rsidDel="00000000" w:rsidR="00000000" w:rsidRPr="00000000">
        <w:rPr>
          <w:rFonts w:ascii="Palatino Linotype" w:cs="Palatino Linotype" w:eastAsia="Palatino Linotype" w:hAnsi="Palatino Linotype"/>
          <w:color w:val="222222"/>
          <w:rtl w:val="0"/>
        </w:rPr>
        <w:t xml:space="preserve">Poder</w:t>
      </w:r>
      <w:r w:rsidDel="00000000" w:rsidR="00000000" w:rsidRPr="00000000">
        <w:rPr>
          <w:rFonts w:ascii="Palatino Linotype" w:cs="Palatino Linotype" w:eastAsia="Palatino Linotype" w:hAnsi="Palatino Linotype"/>
          <w:rtl w:val="0"/>
        </w:rPr>
        <w:t xml:space="preserve"> Judicial de la Federación se sostiene que la finalidad de la fundamentación o motivación es la de explicar, justificar, posibilitar la defensa y comunicar la decisión de la autoridad:</w:t>
      </w:r>
    </w:p>
    <w:p w:rsidR="00000000" w:rsidDel="00000000" w:rsidP="00000000" w:rsidRDefault="00000000" w:rsidRPr="00000000" w14:paraId="0000010B">
      <w:pPr>
        <w:ind w:right="-518"/>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C">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“FUNDAMENTACIÓN Y MOTIVACIÓN. EL ASPECTO FORMAL DE LA GARANTÍA Y SU FINALIDAD SE TRADUCEN EN EXPLICAR, JUSTIFICAR, POSIBILITAR LA DEFENSA Y COMUNICAR LA DECISIÓN</w:t>
      </w:r>
      <w:r w:rsidDel="00000000" w:rsidR="00000000" w:rsidRPr="00000000">
        <w:rPr>
          <w:rFonts w:ascii="Palatino Linotype" w:cs="Palatino Linotype" w:eastAsia="Palatino Linotype" w:hAnsi="Palatino Linotype"/>
          <w:i w:val="1"/>
          <w:sz w:val="22"/>
          <w:szCs w:val="22"/>
          <w:rtl w:val="0"/>
        </w:rPr>
        <w:t xml:space="preserve">. El contenido formal de la garantía de legalidad prevista en el artículo 16 constitucional relativa a la fundamentación</w:t>
      </w:r>
      <w:r w:rsidDel="00000000" w:rsidR="00000000" w:rsidRPr="00000000">
        <w:rPr>
          <w:rFonts w:ascii="Palatino Linotype" w:cs="Palatino Linotype" w:eastAsia="Palatino Linotype" w:hAnsi="Palatino Linotype"/>
          <w:b w:val="1"/>
          <w:i w:val="1"/>
          <w:sz w:val="22"/>
          <w:szCs w:val="22"/>
          <w:rtl w:val="0"/>
        </w:rPr>
        <w:t xml:space="preserve">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Del="00000000" w:rsidR="00000000" w:rsidRPr="00000000">
        <w:rPr>
          <w:rFonts w:ascii="Palatino Linotype" w:cs="Palatino Linotype" w:eastAsia="Palatino Linotype" w:hAnsi="Palatino Linotype"/>
          <w:i w:val="1"/>
          <w:sz w:val="22"/>
          <w:szCs w:val="22"/>
          <w:rtl w:val="0"/>
        </w:rPr>
        <w:t xml:space="preserve">. Por tanto, </w:t>
      </w:r>
      <w:r w:rsidDel="00000000" w:rsidR="00000000" w:rsidRPr="00000000">
        <w:rPr>
          <w:rFonts w:ascii="Palatino Linotype" w:cs="Palatino Linotype" w:eastAsia="Palatino Linotype" w:hAnsi="Palatino Linotype"/>
          <w:b w:val="1"/>
          <w:i w:val="1"/>
          <w:sz w:val="22"/>
          <w:szCs w:val="22"/>
          <w:u w:val="single"/>
          <w:rtl w:val="0"/>
        </w:rPr>
        <w:t xml:space="preserve">no basta que el acto de autoridad apenas observe una motivación pro forma pero de una manera incongruente, insuficiente o imprecisa</w:t>
      </w:r>
      <w:r w:rsidDel="00000000" w:rsidR="00000000" w:rsidRPr="00000000">
        <w:rPr>
          <w:rFonts w:ascii="Palatino Linotype" w:cs="Palatino Linotype" w:eastAsia="Palatino Linotype" w:hAnsi="Palatino Linotype"/>
          <w:i w:val="1"/>
          <w:sz w:val="22"/>
          <w:szCs w:val="22"/>
          <w:rtl w:val="0"/>
        </w:rPr>
        <w:t xml:space="preserve">, que impida la finalidad del conocimiento, comprobación y defensa pertinente</w:t>
      </w:r>
      <w:r w:rsidDel="00000000" w:rsidR="00000000" w:rsidRPr="00000000">
        <w:rPr>
          <w:rFonts w:ascii="Palatino Linotype" w:cs="Palatino Linotype" w:eastAsia="Palatino Linotype" w:hAnsi="Palatino Linotype"/>
          <w:b w:val="1"/>
          <w:i w:val="1"/>
          <w:sz w:val="22"/>
          <w:szCs w:val="22"/>
          <w:u w:val="single"/>
          <w:rtl w:val="0"/>
        </w:rPr>
        <w:t xml:space="preserv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Del="00000000" w:rsidR="00000000" w:rsidRPr="00000000">
        <w:rPr>
          <w:rFonts w:ascii="Palatino Linotype" w:cs="Palatino Linotype" w:eastAsia="Palatino Linotype" w:hAnsi="Palatino Linotype"/>
          <w:i w:val="1"/>
          <w:sz w:val="22"/>
          <w:szCs w:val="22"/>
          <w:rtl w:val="0"/>
        </w:rPr>
        <w:t xml:space="preserve">.”(Sic)</w:t>
      </w:r>
    </w:p>
    <w:p w:rsidR="00000000" w:rsidDel="00000000" w:rsidP="00000000" w:rsidRDefault="00000000" w:rsidRPr="00000000" w14:paraId="0000010D">
      <w:pPr>
        <w:ind w:left="851" w:right="89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E">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10F">
      <w:pPr>
        <w:ind w:right="-518"/>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consecuencia, la fundamentación y motivación implica que en el acto de autoridad, además de contener los supuestos jurídicos aplicables debe explicar claramente por qué a través de la utilización de la norma se emitió el acto. De este modo, la persona que se siente afectada podrá impugnar la decisión, permitiéndole una real y auténtica defensa, circunstancia que en el presente asunto no sucedió.</w:t>
      </w:r>
    </w:p>
    <w:p w:rsidR="00000000" w:rsidDel="00000000" w:rsidP="00000000" w:rsidRDefault="00000000" w:rsidRPr="00000000" w14:paraId="00000111">
      <w:pPr>
        <w:shd w:fill="ffffff" w:val="clear"/>
        <w:spacing w:after="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ello no se debe perder de vista que la clasificación es el proceso mediante el cual el sujeto obligado determina que la información en su poder actualiza alguno de los supuestos de reserva o confidencialidad, los cuales deberán ser acordes con las bases, principios y disposiciones establecidos en la Ley General de Transparencia, al respecto, conviene referir que la Ley de Transparencia vigente en el Estado de México establece:</w:t>
      </w:r>
    </w:p>
    <w:p w:rsidR="00000000" w:rsidDel="00000000" w:rsidP="00000000" w:rsidRDefault="00000000" w:rsidRPr="00000000" w14:paraId="00000112">
      <w:pPr>
        <w:shd w:fill="ffffff" w:val="clear"/>
        <w:spacing w:after="0" w:before="0" w:line="360" w:lineRule="auto"/>
        <w:jc w:val="both"/>
        <w:rPr>
          <w:b w:val="1"/>
        </w:rPr>
      </w:pPr>
      <w:r w:rsidDel="00000000" w:rsidR="00000000" w:rsidRPr="00000000">
        <w:rPr>
          <w:rtl w:val="0"/>
        </w:rPr>
      </w:r>
    </w:p>
    <w:p w:rsidR="00000000" w:rsidDel="00000000" w:rsidP="00000000" w:rsidRDefault="00000000" w:rsidRPr="00000000" w14:paraId="00000113">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131.</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La carga de la prueba para justificar toda negativa de acceso a la información, por actualizarse cualquiera de los supuestos de clasificación</w:t>
      </w:r>
      <w:r w:rsidDel="00000000" w:rsidR="00000000" w:rsidRPr="00000000">
        <w:rPr>
          <w:rFonts w:ascii="Palatino Linotype" w:cs="Palatino Linotype" w:eastAsia="Palatino Linotype" w:hAnsi="Palatino Linotype"/>
          <w:i w:val="1"/>
          <w:sz w:val="22"/>
          <w:szCs w:val="22"/>
          <w:rtl w:val="0"/>
        </w:rPr>
        <w:t xml:space="preserve"> previstos en esta Ley </w:t>
      </w:r>
      <w:r w:rsidDel="00000000" w:rsidR="00000000" w:rsidRPr="00000000">
        <w:rPr>
          <w:rFonts w:ascii="Palatino Linotype" w:cs="Palatino Linotype" w:eastAsia="Palatino Linotype" w:hAnsi="Palatino Linotype"/>
          <w:b w:val="1"/>
          <w:i w:val="1"/>
          <w:sz w:val="22"/>
          <w:szCs w:val="22"/>
          <w:u w:val="single"/>
          <w:rtl w:val="0"/>
        </w:rPr>
        <w:t xml:space="preserve">corresponderá a los sujetos obligados; en tal caso deberá fundar y motivar debidamente la clasificación de la información</w:t>
      </w:r>
      <w:r w:rsidDel="00000000" w:rsidR="00000000" w:rsidRPr="00000000">
        <w:rPr>
          <w:rFonts w:ascii="Palatino Linotype" w:cs="Palatino Linotype" w:eastAsia="Palatino Linotype" w:hAnsi="Palatino Linotype"/>
          <w:i w:val="1"/>
          <w:sz w:val="22"/>
          <w:szCs w:val="22"/>
          <w:rtl w:val="0"/>
        </w:rPr>
        <w:t xml:space="preserve">, de conformidad con lo previsto en la presente Ley.</w:t>
      </w:r>
    </w:p>
    <w:p w:rsidR="00000000" w:rsidDel="00000000" w:rsidP="00000000" w:rsidRDefault="00000000" w:rsidRPr="00000000" w14:paraId="00000114">
      <w:pPr>
        <w:shd w:fill="ffffff" w:val="clear"/>
        <w:ind w:left="851"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15">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La clasificación de la información se llevará a cabo</w:t>
      </w:r>
      <w:r w:rsidDel="00000000" w:rsidR="00000000" w:rsidRPr="00000000">
        <w:rPr>
          <w:rFonts w:ascii="Palatino Linotype" w:cs="Palatino Linotype" w:eastAsia="Palatino Linotype" w:hAnsi="Palatino Linotype"/>
          <w:i w:val="1"/>
          <w:sz w:val="22"/>
          <w:szCs w:val="22"/>
          <w:rtl w:val="0"/>
        </w:rPr>
        <w:t xml:space="preserve"> en el momento en que:</w:t>
      </w:r>
    </w:p>
    <w:p w:rsidR="00000000" w:rsidDel="00000000" w:rsidP="00000000" w:rsidRDefault="00000000" w:rsidRPr="00000000" w14:paraId="00000116">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Se reciba una solicitud de acceso a la información</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17">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118">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esta Ley.</w:t>
      </w:r>
    </w:p>
    <w:p w:rsidR="00000000" w:rsidDel="00000000" w:rsidP="00000000" w:rsidRDefault="00000000" w:rsidRPr="00000000" w14:paraId="00000119">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1A">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Tratándose de información reservada, los titulares de las áreas deberán revisar la clasificación al momento de la recepción de una solicitud, para verificar si subsisten las causas que le dieron origen.</w:t>
      </w:r>
    </w:p>
    <w:p w:rsidR="00000000" w:rsidDel="00000000" w:rsidP="00000000" w:rsidRDefault="00000000" w:rsidRPr="00000000" w14:paraId="0000011B">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1C">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134.</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Los sujetos obligados no podrán emitir acuerdos de carácter general</w:t>
      </w:r>
      <w:r w:rsidDel="00000000" w:rsidR="00000000" w:rsidRPr="00000000">
        <w:rPr>
          <w:rFonts w:ascii="Palatino Linotype" w:cs="Palatino Linotype" w:eastAsia="Palatino Linotype" w:hAnsi="Palatino Linotype"/>
          <w:i w:val="1"/>
          <w:sz w:val="22"/>
          <w:szCs w:val="22"/>
          <w:rtl w:val="0"/>
        </w:rPr>
        <w:t xml:space="preserve">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w:t>
      </w:r>
    </w:p>
    <w:p w:rsidR="00000000" w:rsidDel="00000000" w:rsidP="00000000" w:rsidRDefault="00000000" w:rsidRPr="00000000" w14:paraId="0000011D">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1E">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En ningún caso se podrán clasificar documentos antes de que se genere la información</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1F">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20">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clasificación de información se realizará conforme a un análisis caso por caso, mediante la aplicación de la prueba de daño.</w:t>
      </w:r>
    </w:p>
    <w:p w:rsidR="00000000" w:rsidDel="00000000" w:rsidP="00000000" w:rsidRDefault="00000000" w:rsidRPr="00000000" w14:paraId="00000121">
      <w:pPr>
        <w:ind w:left="851"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22">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135.</w:t>
      </w:r>
      <w:r w:rsidDel="00000000" w:rsidR="00000000" w:rsidRPr="00000000">
        <w:rPr>
          <w:rFonts w:ascii="Palatino Linotype" w:cs="Palatino Linotype" w:eastAsia="Palatino Linotype" w:hAnsi="Palatino Linotype"/>
          <w:i w:val="1"/>
          <w:sz w:val="22"/>
          <w:szCs w:val="22"/>
          <w:rtl w:val="0"/>
        </w:rPr>
        <w:t xml:space="preserve"> Los lineamientos generales que se emitan al respecto en materia de clasificación de la información reservada y confidencial y, para la elaboración de versiones públicas, serán de observancia obligatoria para los sujetos obligados.</w:t>
      </w:r>
    </w:p>
    <w:p w:rsidR="00000000" w:rsidDel="00000000" w:rsidP="00000000" w:rsidRDefault="00000000" w:rsidRPr="00000000" w14:paraId="00000123">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24">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125">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2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 normatividad se aprecia que l</w:t>
      </w:r>
      <w:r w:rsidDel="00000000" w:rsidR="00000000" w:rsidRPr="00000000">
        <w:rPr>
          <w:rFonts w:ascii="Palatino Linotype" w:cs="Palatino Linotype" w:eastAsia="Palatino Linotype" w:hAnsi="Palatino Linotype"/>
          <w:b w:val="1"/>
          <w:rtl w:val="0"/>
        </w:rPr>
        <w:t xml:space="preserve">a </w:t>
      </w:r>
      <w:r w:rsidDel="00000000" w:rsidR="00000000" w:rsidRPr="00000000">
        <w:rPr>
          <w:rFonts w:ascii="Palatino Linotype" w:cs="Palatino Linotype" w:eastAsia="Palatino Linotype" w:hAnsi="Palatino Linotype"/>
          <w:rtl w:val="0"/>
        </w:rPr>
        <w:t xml:space="preserve">carga de la prueba para justificar toda negativa de acceso a la información, por actualizarse cualquiera de los supuestos de clasificación corresponde a los sujetos obligados; en tal caso deberá fundar y motivar debidamente la clasificación de la información, la cual se llevará a cabo en el momento en que </w:t>
      </w:r>
      <w:r w:rsidDel="00000000" w:rsidR="00000000" w:rsidRPr="00000000">
        <w:rPr>
          <w:rFonts w:ascii="Palatino Linotype" w:cs="Palatino Linotype" w:eastAsia="Palatino Linotype" w:hAnsi="Palatino Linotype"/>
          <w:i w:val="1"/>
          <w:rtl w:val="0"/>
        </w:rPr>
        <w:t xml:space="preserve">se reciba una solicitud de acceso a la información;</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determine mediante resolución de autoridad competente; 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generen versiones públicas para dar cumplimiento a las obligaciones de transparencia,</w:t>
      </w:r>
      <w:r w:rsidDel="00000000" w:rsidR="00000000" w:rsidRPr="00000000">
        <w:rPr>
          <w:rFonts w:ascii="Palatino Linotype" w:cs="Palatino Linotype" w:eastAsia="Palatino Linotype" w:hAnsi="Palatino Linotype"/>
          <w:rtl w:val="0"/>
        </w:rPr>
        <w:t xml:space="preserve"> cabe mencionar que los sujetos obligados no podrán emitir acuerdos de carácter general, en donde no se podrán clasificar documentos antes de que se genere la información, es decir, la clasificación de información se realizará conforme a un análisis caso por caso, formalidades que en el presente asunto no fueron observadas por el Sujeto Obligado.</w:t>
      </w:r>
    </w:p>
    <w:p w:rsidR="00000000" w:rsidDel="00000000" w:rsidP="00000000" w:rsidRDefault="00000000" w:rsidRPr="00000000" w14:paraId="0000012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y con la finalidad de garantizar el pleno ejercicio del derecho de acceso a la información pública del recurrente, se considera pertinente ordenar la entrega de los recibos de nómina en una adecuada versión pública, toda vez que no se debe perder de vista que el artículo 2 de la Ley de Protección de Datos Personales en Posesión de Sujetos Obligados del Estado de México y Municipios, señala cuales son las finalidades de la ley, y una de ellas es la contenida en la “</w:t>
      </w:r>
      <w:r w:rsidDel="00000000" w:rsidR="00000000" w:rsidRPr="00000000">
        <w:rPr>
          <w:rFonts w:ascii="Palatino Linotype" w:cs="Palatino Linotype" w:eastAsia="Palatino Linotype" w:hAnsi="Palatino Linotype"/>
          <w:i w:val="1"/>
          <w:rtl w:val="0"/>
        </w:rPr>
        <w:t xml:space="preserve">fracción IV. Proteger los datos personales en posesión de los sujetos obligados del Estado de México y municipios a los que se refiere esta Ley, con la finalidad de regular su debido tratamiento.”(Sic)</w:t>
      </w:r>
      <w:r w:rsidDel="00000000" w:rsidR="00000000" w:rsidRPr="00000000">
        <w:rPr>
          <w:rFonts w:ascii="Palatino Linotype" w:cs="Palatino Linotype" w:eastAsia="Palatino Linotype" w:hAnsi="Palatino Linotype"/>
          <w:rtl w:val="0"/>
        </w:rPr>
        <w:t xml:space="preserve">, lo que no hace el sujeto obligado al difundir los datos personales inmersos en los recibos de nómina, que acompaña a su respuesta.</w:t>
      </w:r>
    </w:p>
    <w:p w:rsidR="00000000" w:rsidDel="00000000" w:rsidP="00000000" w:rsidRDefault="00000000" w:rsidRPr="00000000" w14:paraId="00000128">
      <w:pPr>
        <w:shd w:fill="ffffff" w:val="clea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lo establecido en el párrafo anterior, es importante mencionar en relación a los datos personales, que el sujeto obligado omitió testar y que se exponen en su respuesta, vulnera la esfera de derechos privados, por tal motivo es importante atender las consideraciones siguientes:</w:t>
      </w:r>
    </w:p>
    <w:p w:rsidR="00000000" w:rsidDel="00000000" w:rsidP="00000000" w:rsidRDefault="00000000" w:rsidRPr="00000000" w14:paraId="00000129">
      <w:pPr>
        <w:shd w:fill="ffffff" w:val="clea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la Convención Americana sobre Derechos Humanos mejor conocida como (Pacto de San José), estipula es sus artículos 11.1, 11.2 y 11.3, lo siguiente:</w:t>
      </w:r>
    </w:p>
    <w:p w:rsidR="00000000" w:rsidDel="00000000" w:rsidP="00000000" w:rsidRDefault="00000000" w:rsidRPr="00000000" w14:paraId="0000012A">
      <w:pPr>
        <w:shd w:fill="ffffff" w:val="clear"/>
        <w:ind w:left="851" w:right="851"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11.</w:t>
      </w:r>
      <w:r w:rsidDel="00000000" w:rsidR="00000000" w:rsidRPr="00000000">
        <w:rPr>
          <w:rFonts w:ascii="Palatino Linotype" w:cs="Palatino Linotype" w:eastAsia="Palatino Linotype" w:hAnsi="Palatino Linotype"/>
          <w:i w:val="1"/>
          <w:sz w:val="22"/>
          <w:szCs w:val="22"/>
          <w:rtl w:val="0"/>
        </w:rPr>
        <w:t xml:space="preserve"> Protección de la Honra y de la Dignidad</w:t>
      </w:r>
      <w:r w:rsidDel="00000000" w:rsidR="00000000" w:rsidRPr="00000000">
        <w:rPr>
          <w:rtl w:val="0"/>
        </w:rPr>
      </w:r>
    </w:p>
    <w:p w:rsidR="00000000" w:rsidDel="00000000" w:rsidP="00000000" w:rsidRDefault="00000000" w:rsidRPr="00000000" w14:paraId="0000012B">
      <w:pPr>
        <w:shd w:fill="ffffff" w:val="clear"/>
        <w:ind w:left="851" w:right="851"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1. Toda persona tiene derecho al respeto de su honra y al reconocimiento de su dignidad.</w:t>
      </w:r>
      <w:r w:rsidDel="00000000" w:rsidR="00000000" w:rsidRPr="00000000">
        <w:rPr>
          <w:rtl w:val="0"/>
        </w:rPr>
      </w:r>
    </w:p>
    <w:p w:rsidR="00000000" w:rsidDel="00000000" w:rsidP="00000000" w:rsidRDefault="00000000" w:rsidRPr="00000000" w14:paraId="0000012C">
      <w:pPr>
        <w:shd w:fill="ffffff" w:val="clear"/>
        <w:ind w:left="851" w:right="851"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2. Nadie puede ser objeto de injerencias arbitrarias o abusivas en su vida privada, en la de su familia, en su domicilio o en su correspondencia, ni de ataques ilegales a su honra o reputación.</w:t>
      </w:r>
      <w:r w:rsidDel="00000000" w:rsidR="00000000" w:rsidRPr="00000000">
        <w:rPr>
          <w:rtl w:val="0"/>
        </w:rPr>
      </w:r>
    </w:p>
    <w:p w:rsidR="00000000" w:rsidDel="00000000" w:rsidP="00000000" w:rsidRDefault="00000000" w:rsidRPr="00000000" w14:paraId="0000012D">
      <w:pPr>
        <w:shd w:fill="ffffff" w:val="clear"/>
        <w:ind w:left="851" w:right="851"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3. Toda persona tiene derecho a la protección de la ley contra esas injerencias o esos ataques.”</w:t>
      </w:r>
      <w:r w:rsidDel="00000000" w:rsidR="00000000" w:rsidRPr="00000000">
        <w:rPr>
          <w:rtl w:val="0"/>
        </w:rPr>
      </w:r>
    </w:p>
    <w:p w:rsidR="00000000" w:rsidDel="00000000" w:rsidP="00000000" w:rsidRDefault="00000000" w:rsidRPr="00000000" w14:paraId="0000012E">
      <w:pPr>
        <w:shd w:fill="ffffff" w:val="clea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F">
      <w:pPr>
        <w:shd w:fill="ffffff" w:val="clear"/>
        <w:spacing w:line="360" w:lineRule="auto"/>
        <w:ind w:right="49"/>
        <w:jc w:val="both"/>
        <w:rPr>
          <w:sz w:val="23"/>
          <w:szCs w:val="23"/>
        </w:rPr>
      </w:pPr>
      <w:r w:rsidDel="00000000" w:rsidR="00000000" w:rsidRPr="00000000">
        <w:rPr>
          <w:rFonts w:ascii="Palatino Linotype" w:cs="Palatino Linotype" w:eastAsia="Palatino Linotype" w:hAnsi="Palatino Linotype"/>
          <w:sz w:val="23"/>
          <w:szCs w:val="23"/>
          <w:rtl w:val="0"/>
        </w:rPr>
        <w:t xml:space="preserve">En ese mismo escenario la Declaración Americana de los Derechos y Deberes del Hombre, en su artículo 5 establece lo siguiente:</w:t>
      </w:r>
      <w:r w:rsidDel="00000000" w:rsidR="00000000" w:rsidRPr="00000000">
        <w:rPr>
          <w:rtl w:val="0"/>
        </w:rPr>
      </w:r>
    </w:p>
    <w:p w:rsidR="00000000" w:rsidDel="00000000" w:rsidP="00000000" w:rsidRDefault="00000000" w:rsidRPr="00000000" w14:paraId="00000130">
      <w:pPr>
        <w:shd w:fill="ffffff" w:val="clear"/>
        <w:spacing w:line="360" w:lineRule="auto"/>
        <w:ind w:left="851" w:right="49" w:firstLine="0"/>
        <w:jc w:val="both"/>
        <w:rPr/>
      </w:pPr>
      <w:r w:rsidDel="00000000" w:rsidR="00000000" w:rsidRPr="00000000">
        <w:rPr>
          <w:rtl w:val="0"/>
        </w:rPr>
      </w:r>
    </w:p>
    <w:p w:rsidR="00000000" w:rsidDel="00000000" w:rsidP="00000000" w:rsidRDefault="00000000" w:rsidRPr="00000000" w14:paraId="00000131">
      <w:pPr>
        <w:shd w:fill="ffffff" w:val="clear"/>
        <w:ind w:left="851" w:right="851"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w:t>
      </w:r>
      <w:r w:rsidDel="00000000" w:rsidR="00000000" w:rsidRPr="00000000">
        <w:rPr>
          <w:rFonts w:ascii="Palatino Linotype" w:cs="Palatino Linotype" w:eastAsia="Palatino Linotype" w:hAnsi="Palatino Linotype"/>
          <w:i w:val="1"/>
          <w:sz w:val="22"/>
          <w:szCs w:val="22"/>
          <w:rtl w:val="0"/>
        </w:rPr>
        <w:t xml:space="preserve"> Derecho a la protección a la honra, la reputación personal y la vida privada y familiar</w:t>
      </w:r>
      <w:r w:rsidDel="00000000" w:rsidR="00000000" w:rsidRPr="00000000">
        <w:rPr>
          <w:rtl w:val="0"/>
        </w:rPr>
      </w:r>
    </w:p>
    <w:p w:rsidR="00000000" w:rsidDel="00000000" w:rsidP="00000000" w:rsidRDefault="00000000" w:rsidRPr="00000000" w14:paraId="00000132">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Toda persona tiene derecho a la protección de la Ley contra los ataques abusivos a su honra, a su reputación y a su vida privada y familiar.”</w:t>
      </w:r>
    </w:p>
    <w:p w:rsidR="00000000" w:rsidDel="00000000" w:rsidP="00000000" w:rsidRDefault="00000000" w:rsidRPr="00000000" w14:paraId="00000133">
      <w:pPr>
        <w:shd w:fill="ffffff" w:val="clear"/>
        <w:ind w:left="851" w:right="851" w:firstLine="0"/>
        <w:jc w:val="both"/>
        <w:rPr>
          <w:sz w:val="22"/>
          <w:szCs w:val="22"/>
        </w:rPr>
      </w:pPr>
      <w:r w:rsidDel="00000000" w:rsidR="00000000" w:rsidRPr="00000000">
        <w:rPr>
          <w:rtl w:val="0"/>
        </w:rPr>
      </w:r>
    </w:p>
    <w:p w:rsidR="00000000" w:rsidDel="00000000" w:rsidP="00000000" w:rsidRDefault="00000000" w:rsidRPr="00000000" w14:paraId="00000134">
      <w:pPr>
        <w:shd w:fill="ffffff" w:val="clea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instrumentos jurídicos internacionales antes invocados, de los que México es parte se rescata lo siguiente; en primer término se debe proteger de manera precisa y puntual el derecho de protección de datos personales y que el hecho de exponer algún dato personal, se pondría en riesgo la identidad de las personas, su seguridad e integridad física o cuya divulgación puede causar un perjuicio; debiendo anteponer el Derecho a la Protección de Datos Personales ante el Derecho al Acceso a la Información Pública; es decir ponderar el primero que del otro.</w:t>
      </w:r>
    </w:p>
    <w:p w:rsidR="00000000" w:rsidDel="00000000" w:rsidP="00000000" w:rsidRDefault="00000000" w:rsidRPr="00000000" w14:paraId="00000135">
      <w:pPr>
        <w:shd w:fill="ffffff" w:val="clea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importante agregar que al referirse a un dato personal; es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r w:rsidDel="00000000" w:rsidR="00000000" w:rsidRPr="00000000">
        <w:rPr>
          <w:rFonts w:ascii="Palatino Linotype" w:cs="Palatino Linotype" w:eastAsia="Palatino Linotype" w:hAnsi="Palatino Linotype"/>
          <w:vertAlign w:val="superscript"/>
        </w:rPr>
        <w:footnoteReference w:customMarkFollows="0" w:id="3"/>
      </w:r>
      <w:r w:rsidDel="00000000" w:rsidR="00000000" w:rsidRPr="00000000">
        <w:rPr>
          <w:rFonts w:ascii="Palatino Linotype" w:cs="Palatino Linotype" w:eastAsia="Palatino Linotype" w:hAnsi="Palatino Linotype"/>
          <w:rtl w:val="0"/>
        </w:rPr>
        <w:t xml:space="preserve">, y sin duda alguna estamos ante información que contiene datos personales y que se deben garantizar, ya que como se ha mencionado y se insiste se haría identificable a una persona.</w:t>
      </w:r>
    </w:p>
    <w:p w:rsidR="00000000" w:rsidDel="00000000" w:rsidP="00000000" w:rsidRDefault="00000000" w:rsidRPr="00000000" w14:paraId="00000136">
      <w:pPr>
        <w:shd w:fill="ffffff" w:val="clea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rsidR="00000000" w:rsidDel="00000000" w:rsidP="00000000" w:rsidRDefault="00000000" w:rsidRPr="00000000" w14:paraId="00000137">
      <w:pPr>
        <w:shd w:fill="ffffff" w:val="clear"/>
        <w:spacing w:after="240" w:before="240" w:line="360" w:lineRule="auto"/>
        <w:ind w:right="49"/>
        <w:jc w:val="both"/>
        <w:rPr/>
      </w:pPr>
      <w:r w:rsidDel="00000000" w:rsidR="00000000" w:rsidRPr="00000000">
        <w:rPr>
          <w:rFonts w:ascii="Palatino Linotype" w:cs="Palatino Linotype" w:eastAsia="Palatino Linotype" w:hAnsi="Palatino Linotype"/>
          <w:rtl w:val="0"/>
        </w:rPr>
        <w:t xml:space="preserve">De este modo, en armonía con los principios constitucionales de máxima publicidad y de protección de datos personales, la Ley permite la elaboración de versiones públicas en las que se suprima aquella información relacionada con la vida privada de los particulares y de los servidores públicos.</w:t>
      </w:r>
      <w:r w:rsidDel="00000000" w:rsidR="00000000" w:rsidRPr="00000000">
        <w:rPr>
          <w:rtl w:val="0"/>
        </w:rPr>
      </w:r>
    </w:p>
    <w:p w:rsidR="00000000" w:rsidDel="00000000" w:rsidP="00000000" w:rsidRDefault="00000000" w:rsidRPr="00000000" w14:paraId="0000013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lo anterior, no deben perderse de vista los objetivos que se persiguen a través del derecho de acceso a la información, cuya finalidad principal consiste en garantizar la consolidación de nuestro país como un Estado de Derecho, a través de la transparencia y rendición de cuentas por parte de los organismos públicos, en conjunto con la actuación y participación de los gobernados para lo cual resulta de suma importancia no solo del conocimiento de éste derecho humano, sino de su ejercicio.</w:t>
      </w:r>
    </w:p>
    <w:p w:rsidR="00000000" w:rsidDel="00000000" w:rsidP="00000000" w:rsidRDefault="00000000" w:rsidRPr="00000000" w14:paraId="0000013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Debe tomarse en consideración que el derecho de acceso a la información debe ser garantizado por todos los entes públicos, sin que ello implique que los solicitantes tengan la obligación de acreditar interés alguno o justificar su utilización,  en este sentido, se precisa que al proporcionar información en la que no se observaron las medidas necesarias para proteger los datos personales en ella contenidos, se transgrede el derecho de acceso de los particulares, pues se limita su derecho a reutilizar dicha información para los fines que fue requerida, o por el contrario, se estaría contribuyendo a la difusión, retransmisión o propagación de datos que no son de dominio público.</w:t>
      </w:r>
    </w:p>
    <w:p w:rsidR="00000000" w:rsidDel="00000000" w:rsidP="00000000" w:rsidRDefault="00000000" w:rsidRPr="00000000" w14:paraId="0000013A">
      <w:pPr>
        <w:spacing w:after="240" w:before="240" w:line="360" w:lineRule="auto"/>
        <w:jc w:val="both"/>
        <w:rPr>
          <w:rFonts w:ascii="Palatino Linotype" w:cs="Palatino Linotype" w:eastAsia="Palatino Linotype" w:hAnsi="Palatino Linotype"/>
        </w:rPr>
      </w:pPr>
      <w:bookmarkStart w:colFirst="0" w:colLast="0" w:name="_heading=h.1fob9te" w:id="2"/>
      <w:bookmarkEnd w:id="2"/>
      <w:r w:rsidDel="00000000" w:rsidR="00000000" w:rsidRPr="00000000">
        <w:rPr>
          <w:rFonts w:ascii="Palatino Linotype" w:cs="Palatino Linotype" w:eastAsia="Palatino Linotype" w:hAnsi="Palatino Linotype"/>
          <w:rtl w:val="0"/>
        </w:rPr>
        <w:t xml:space="preserve">Finalmente es de suma importancia hacer notar que el Sujeto Obligado al momento de emitir respuesta a la solicitud número </w:t>
      </w:r>
      <w:r w:rsidDel="00000000" w:rsidR="00000000" w:rsidRPr="00000000">
        <w:rPr>
          <w:rFonts w:ascii="Palatino Linotype" w:cs="Palatino Linotype" w:eastAsia="Palatino Linotype" w:hAnsi="Palatino Linotype"/>
          <w:b w:val="1"/>
          <w:rtl w:val="0"/>
        </w:rPr>
        <w:t xml:space="preserve">00054/PAN/IP/2021</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rtl w:val="0"/>
        </w:rPr>
        <w:t xml:space="preserve">adjuntó diversos archivos electrónicos a través de los cuales proporcionó diversos documentos entre los cuales sobresalen los archivos electrónicos denominados “</w:t>
      </w:r>
      <w:hyperlink r:id="rId52">
        <w:r w:rsidDel="00000000" w:rsidR="00000000" w:rsidRPr="00000000">
          <w:rPr>
            <w:rFonts w:ascii="Palatino Linotype" w:cs="Palatino Linotype" w:eastAsia="Palatino Linotype" w:hAnsi="Palatino Linotype"/>
            <w:b w:val="1"/>
            <w:color w:val="67c19d"/>
            <w:u w:val="single"/>
            <w:rtl w:val="0"/>
          </w:rPr>
          <w:t xml:space="preserve">Recibos Nomina 2da Qna May 2021.pdf</w:t>
        </w:r>
      </w:hyperlink>
      <w:r w:rsidDel="00000000" w:rsidR="00000000" w:rsidRPr="00000000">
        <w:rPr>
          <w:rFonts w:ascii="Palatino Linotype" w:cs="Palatino Linotype" w:eastAsia="Palatino Linotype" w:hAnsi="Palatino Linotype"/>
          <w:rtl w:val="0"/>
        </w:rPr>
        <w:t xml:space="preserve">”, “</w:t>
      </w:r>
      <w:hyperlink r:id="rId53">
        <w:r w:rsidDel="00000000" w:rsidR="00000000" w:rsidRPr="00000000">
          <w:rPr>
            <w:rFonts w:ascii="Palatino Linotype" w:cs="Palatino Linotype" w:eastAsia="Palatino Linotype" w:hAnsi="Palatino Linotype"/>
            <w:b w:val="1"/>
            <w:color w:val="67c19d"/>
            <w:u w:val="single"/>
            <w:rtl w:val="0"/>
          </w:rPr>
          <w:t xml:space="preserve">Recibos Nomina 2da Qna Jun 2021.pdf</w:t>
        </w:r>
      </w:hyperlink>
      <w:r w:rsidDel="00000000" w:rsidR="00000000" w:rsidRPr="00000000">
        <w:rPr>
          <w:rFonts w:ascii="Palatino Linotype" w:cs="Palatino Linotype" w:eastAsia="Palatino Linotype" w:hAnsi="Palatino Linotype"/>
          <w:rtl w:val="0"/>
        </w:rPr>
        <w:t xml:space="preserve">” y “</w:t>
      </w:r>
      <w:hyperlink r:id="rId54">
        <w:r w:rsidDel="00000000" w:rsidR="00000000" w:rsidRPr="00000000">
          <w:rPr>
            <w:rFonts w:ascii="Palatino Linotype" w:cs="Palatino Linotype" w:eastAsia="Palatino Linotype" w:hAnsi="Palatino Linotype"/>
            <w:b w:val="1"/>
            <w:color w:val="67c19d"/>
            <w:u w:val="single"/>
            <w:rtl w:val="0"/>
          </w:rPr>
          <w:t xml:space="preserve">Recibos Nomina 1ra Qna Jun 2021.pdf</w:t>
        </w:r>
      </w:hyperlink>
      <w:r w:rsidDel="00000000" w:rsidR="00000000" w:rsidRPr="00000000">
        <w:rPr>
          <w:rFonts w:ascii="Palatino Linotype" w:cs="Palatino Linotype" w:eastAsia="Palatino Linotype" w:hAnsi="Palatino Linotype"/>
          <w:rtl w:val="0"/>
        </w:rPr>
        <w:t xml:space="preserve">” que contienen recibos de nómina en los cuales se aprecia que dejaron visibles datos tales como descuentos por concepto de préstamos, pensión alimenticia dato que de acuerdo a su naturaleza jurídica debieron clasificarse como confidenciales, en atención a que los mismos identifican y hacen identificable al titular de los mismos, motivo por el cual la conducta desplegada por el Sujeto Obligado puede ser considerada como violatoria a la Ley de Transparencia y Acceso a la Información Pública del Estado de México y Municipios, así como de la Ley de Protección de Datos Personales en Posesión de Sujetos Obligados del Estado de México y Municipios; ante tal circunstancia el Pleno de este Organismo Garante de conformidad con el artículo 190 de la Ley de Transparencia y Acceso a la Información Pública del Estado de México y Municipios determina dar vista al Titular de la Contraloría Interna y Órgano de Control y Vigilancia de este Instituto a fin de que en ejercicio de sus funciones realice las actuaciones necesarias y determine el grado de responsabilidad del Sujeto Obligado.</w:t>
      </w:r>
    </w:p>
    <w:p w:rsidR="00000000" w:rsidDel="00000000" w:rsidP="00000000" w:rsidRDefault="00000000" w:rsidRPr="00000000" w14:paraId="0000013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es de mencionarse que los requerimientos en comento pueden ser atendidos con la entrega de un mismo documento, a manera de ejemplo, con el directorio se puede obtener datos como nombre de los servidores públicos, cargo, área de adscripción, número de teléfono y extensión, correo electrónico oficial, así como la cantidad de personas que trabajan en el Sujeto Obligado.</w:t>
      </w:r>
    </w:p>
    <w:p w:rsidR="00000000" w:rsidDel="00000000" w:rsidP="00000000" w:rsidRDefault="00000000" w:rsidRPr="00000000" w14:paraId="0000013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Por lo que se refiere al requerimiento consistente en gasto realizado por concepto de nómina que realizó el Sujeto obligado en las tres últimas quincenas</w:t>
      </w:r>
      <w:r w:rsidDel="00000000" w:rsidR="00000000" w:rsidRPr="00000000">
        <w:rPr>
          <w:rFonts w:ascii="Palatino Linotype" w:cs="Palatino Linotype" w:eastAsia="Palatino Linotype" w:hAnsi="Palatino Linotype"/>
          <w:rtl w:val="0"/>
        </w:rPr>
        <w:t xml:space="preserve">, debe mencionarse que si bien es cierto manifestó que dicha información consta en el archivo Gasto efectuado Nomina_16 may al 30 jun 2021.pdf, sin embargo dicho documento no fue entregado por el Sujeto Obligado, motivo por el cual no se puede tener por atendido el requerimiento en análisis, no obstante y tomando en cuenta que el Sujeto Obligado asume que genera, administra y posee la información en comento, lo procedente es ordenar al Sujeto Obligado que haga entrega del soporte documental en donde conste la información en análisis.</w:t>
      </w:r>
    </w:p>
    <w:p w:rsidR="00000000" w:rsidDel="00000000" w:rsidP="00000000" w:rsidRDefault="00000000" w:rsidRPr="00000000" w14:paraId="0000013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y con la finalidad de garantizar el pleno ejercicio del derecho de acceso a la información púbica del recurrente se considera pertinente ordenar al Sujeto Obligado haga entrega en versión pública de la información materia del presente asunto, conforme a lo establecido en el considerando siguiente.</w:t>
      </w:r>
    </w:p>
    <w:p w:rsidR="00000000" w:rsidDel="00000000" w:rsidP="00000000" w:rsidRDefault="00000000" w:rsidRPr="00000000" w14:paraId="0000013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 </w:t>
      </w:r>
      <w:r w:rsidDel="00000000" w:rsidR="00000000" w:rsidRPr="00000000">
        <w:rPr>
          <w:rFonts w:ascii="Palatino Linotype" w:cs="Palatino Linotype" w:eastAsia="Palatino Linotype" w:hAnsi="Palatino Linotype"/>
          <w:rtl w:val="0"/>
        </w:rPr>
        <w:t xml:space="preserve">Respecto de la documentación con la cual se podría colmar la solicitud de información, resulta oportuno observar lo dispuesto en los artículos 3, fracciones IX, XX, XXI y XLV; 4, 91, 143, 51 y 137 de la Ley de Transparencia y Acceso a la Información Pública del Estado de México y Municipios, de los cuales se desprende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servidores públicos.</w:t>
      </w:r>
    </w:p>
    <w:p w:rsidR="00000000" w:rsidDel="00000000" w:rsidP="00000000" w:rsidRDefault="00000000" w:rsidRPr="00000000" w14:paraId="0000013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 el artículo 38 de la Ley de Protección de Datos Personales en Posesión de Sujetos Obligados del Estado de México y Municipios. </w:t>
      </w:r>
    </w:p>
    <w:p w:rsidR="00000000" w:rsidDel="00000000" w:rsidP="00000000" w:rsidRDefault="00000000" w:rsidRPr="00000000" w14:paraId="0000014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000000" w:rsidDel="00000000" w:rsidP="00000000" w:rsidRDefault="00000000" w:rsidRPr="00000000" w14:paraId="0000014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Del="00000000" w:rsidR="00000000" w:rsidRPr="00000000">
        <w:rPr>
          <w:rFonts w:ascii="Palatino Linotype" w:cs="Palatino Linotype" w:eastAsia="Palatino Linotype" w:hAnsi="Palatino Linotype"/>
          <w:b w:val="1"/>
          <w:rtl w:val="0"/>
        </w:rPr>
        <w:t xml:space="preserve">Registro Federal de Contribuyentes</w:t>
      </w:r>
      <w:r w:rsidDel="00000000" w:rsidR="00000000" w:rsidRPr="00000000">
        <w:rPr>
          <w:rFonts w:ascii="Palatino Linotype" w:cs="Palatino Linotype" w:eastAsia="Palatino Linotype" w:hAnsi="Palatino Linotype"/>
          <w:rtl w:val="0"/>
        </w:rPr>
        <w:t xml:space="preserve"> (RFC), la </w:t>
      </w:r>
      <w:r w:rsidDel="00000000" w:rsidR="00000000" w:rsidRPr="00000000">
        <w:rPr>
          <w:rFonts w:ascii="Palatino Linotype" w:cs="Palatino Linotype" w:eastAsia="Palatino Linotype" w:hAnsi="Palatino Linotype"/>
          <w:b w:val="1"/>
          <w:rtl w:val="0"/>
        </w:rPr>
        <w:t xml:space="preserve">Clave Única de Registro de Población</w:t>
      </w:r>
      <w:r w:rsidDel="00000000" w:rsidR="00000000" w:rsidRPr="00000000">
        <w:rPr>
          <w:rFonts w:ascii="Palatino Linotype" w:cs="Palatino Linotype" w:eastAsia="Palatino Linotype" w:hAnsi="Palatino Linotype"/>
          <w:rtl w:val="0"/>
        </w:rPr>
        <w:t xml:space="preserve"> (CURP) y la </w:t>
      </w:r>
      <w:r w:rsidDel="00000000" w:rsidR="00000000" w:rsidRPr="00000000">
        <w:rPr>
          <w:rFonts w:ascii="Palatino Linotype" w:cs="Palatino Linotype" w:eastAsia="Palatino Linotype" w:hAnsi="Palatino Linotype"/>
          <w:b w:val="1"/>
          <w:rtl w:val="0"/>
        </w:rPr>
        <w:t xml:space="preserve">Clave de cualquier tipo de seguridad social</w:t>
      </w:r>
      <w:r w:rsidDel="00000000" w:rsidR="00000000" w:rsidRPr="00000000">
        <w:rPr>
          <w:rFonts w:ascii="Palatino Linotype" w:cs="Palatino Linotype" w:eastAsia="Palatino Linotype" w:hAnsi="Palatino Linotype"/>
          <w:rtl w:val="0"/>
        </w:rPr>
        <w:t xml:space="preserve"> (ISSEMYM, u otros), y los que de manera sucinta se analizan a continuación, entre otros.</w:t>
      </w:r>
    </w:p>
    <w:p w:rsidR="00000000" w:rsidDel="00000000" w:rsidP="00000000" w:rsidRDefault="00000000" w:rsidRPr="00000000" w14:paraId="0000014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cuanto al RFC, este constituye un dato personal, ya que para su obtención es necesario acreditar ante la autoridad fiscal previamente la identidad de la persona, su fecha de nacimiento, entre otros aspectos.</w:t>
      </w:r>
    </w:p>
    <w:p w:rsidR="00000000" w:rsidDel="00000000" w:rsidP="00000000" w:rsidRDefault="00000000" w:rsidRPr="00000000" w14:paraId="0000014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000000" w:rsidDel="00000000" w:rsidP="00000000" w:rsidRDefault="00000000" w:rsidRPr="00000000" w14:paraId="0000014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es compartido por el Instituto Nacional de Transparencia, Acceso a la Información y Protección de Datos (INAI) a través del Criterio 19/17, el cual es del tenor literal siguiente:</w:t>
      </w:r>
    </w:p>
    <w:p w:rsidR="00000000" w:rsidDel="00000000" w:rsidP="00000000" w:rsidRDefault="00000000" w:rsidRPr="00000000" w14:paraId="00000145">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“Registro Federal de Contribuyentes (RFC) de personas físicas. </w:t>
      </w:r>
      <w:r w:rsidDel="00000000" w:rsidR="00000000" w:rsidRPr="00000000">
        <w:rPr>
          <w:rFonts w:ascii="Palatino Linotype" w:cs="Palatino Linotype" w:eastAsia="Palatino Linotype" w:hAnsi="Palatino Linotype"/>
          <w:i w:val="1"/>
          <w:sz w:val="22"/>
          <w:szCs w:val="22"/>
          <w:rtl w:val="0"/>
        </w:rPr>
        <w:t xml:space="preserve">El RFC es una clave de carácter fiscal, única e irrepetible, que permite identificar al titular, su edad y fecha de nacimiento, por lo que es un dato personal de carácter confidencial.” (Sic)</w:t>
      </w:r>
    </w:p>
    <w:p w:rsidR="00000000" w:rsidDel="00000000" w:rsidP="00000000" w:rsidRDefault="00000000" w:rsidRPr="00000000" w14:paraId="00000146">
      <w:pPr>
        <w:ind w:left="851" w:right="851"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000000" w:rsidDel="00000000" w:rsidP="00000000" w:rsidRDefault="00000000" w:rsidRPr="00000000" w14:paraId="0000014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Argumento que es compartido por el Instituto Nacional de Transparencia, Acceso a la Información y Protección de Datos (INAI)</w:t>
      </w:r>
      <w:r w:rsidDel="00000000" w:rsidR="00000000" w:rsidRPr="00000000">
        <w:rPr>
          <w:rFonts w:ascii="Palatino Linotype" w:cs="Palatino Linotype" w:eastAsia="Palatino Linotype" w:hAnsi="Palatino Linotype"/>
          <w:b w:val="1"/>
          <w:rtl w:val="0"/>
        </w:rPr>
        <w:t xml:space="preserve">, conforme al </w:t>
      </w:r>
      <w:r w:rsidDel="00000000" w:rsidR="00000000" w:rsidRPr="00000000">
        <w:rPr>
          <w:rFonts w:ascii="Palatino Linotype" w:cs="Palatino Linotype" w:eastAsia="Palatino Linotype" w:hAnsi="Palatino Linotype"/>
          <w:rtl w:val="0"/>
        </w:rPr>
        <w:t xml:space="preserve">criterio número 18/17, el cual refiere: </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“Clave Única de Registro de Población (CURP).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000000" w:rsidDel="00000000" w:rsidP="00000000" w:rsidRDefault="00000000" w:rsidRPr="00000000" w14:paraId="0000014D">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“El número de ficha de identificación única de los trabajadores es información de carácter confidencial.</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i w:val="1"/>
          <w:sz w:val="22"/>
          <w:szCs w:val="22"/>
          <w:u w:val="single"/>
          <w:rtl w:val="0"/>
        </w:rPr>
        <w:t xml:space="preserve">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i w:val="1"/>
          <w:sz w:val="22"/>
          <w:szCs w:val="22"/>
          <w:u w:val="single"/>
          <w:rtl w:val="0"/>
        </w:rPr>
        <w:t xml:space="preserve">dicha información es susceptible de clasificarse con el carácter de confidencial</w:t>
      </w:r>
      <w:r w:rsidDel="00000000" w:rsidR="00000000" w:rsidRPr="00000000">
        <w:rPr>
          <w:rFonts w:ascii="Palatino Linotype" w:cs="Palatino Linotype" w:eastAsia="Palatino Linotype" w:hAnsi="Palatino Linotype"/>
          <w:i w:val="1"/>
          <w:sz w:val="22"/>
          <w:szCs w:val="22"/>
          <w:rtl w:val="0"/>
        </w:rPr>
        <w:t xml:space="preserve">, en términos de lo establecido en el artículo 18, fracción II de la Ley Federal de Transparencia y Acceso a la Información Pública Gubernamental, en virtud de que a través de la misma es posible conocer información personal de su titular.” (Sic)</w:t>
      </w:r>
    </w:p>
    <w:p w:rsidR="00000000" w:rsidDel="00000000" w:rsidP="00000000" w:rsidRDefault="00000000" w:rsidRPr="00000000" w14:paraId="0000014E">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cuanto hace a las deducciones, para entender los límites y alcances de esta restricción, es oportuno recurrir al artículo 84 de la Ley del Trabajo de los Servidores Públicos del Estado y Municipios:</w:t>
      </w:r>
    </w:p>
    <w:p w:rsidR="00000000" w:rsidDel="00000000" w:rsidP="00000000" w:rsidRDefault="00000000" w:rsidRPr="00000000" w14:paraId="00000150">
      <w:pPr>
        <w:spacing w:after="0" w:lineRule="auto"/>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84. </w:t>
      </w:r>
      <w:r w:rsidDel="00000000" w:rsidR="00000000" w:rsidRPr="00000000">
        <w:rPr>
          <w:rFonts w:ascii="Palatino Linotype" w:cs="Palatino Linotype" w:eastAsia="Palatino Linotype" w:hAnsi="Palatino Linotype"/>
          <w:i w:val="1"/>
          <w:sz w:val="22"/>
          <w:szCs w:val="22"/>
          <w:rtl w:val="0"/>
        </w:rPr>
        <w:t xml:space="preserve">Sólo podrán hacerse retenciones, descuentos o deducciones al sueldo de los servidores públicos por concepto de:</w:t>
      </w:r>
      <w:r w:rsidDel="00000000" w:rsidR="00000000" w:rsidRPr="00000000">
        <w:rPr>
          <w:rtl w:val="0"/>
        </w:rPr>
      </w:r>
    </w:p>
    <w:p w:rsidR="00000000" w:rsidDel="00000000" w:rsidP="00000000" w:rsidRDefault="00000000" w:rsidRPr="00000000" w14:paraId="00000151">
      <w:pPr>
        <w:spacing w:after="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Gravámenes fiscales relacionados con el sueldo;</w:t>
      </w:r>
    </w:p>
    <w:p w:rsidR="00000000" w:rsidDel="00000000" w:rsidP="00000000" w:rsidRDefault="00000000" w:rsidRPr="00000000" w14:paraId="00000152">
      <w:pPr>
        <w:spacing w:after="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Deudas contraídas con las instituciones públicas o dependencias por concepto de anticipos de sueldo, pagos hechos con exceso, errores o pérdidas debidamente comprobados;</w:t>
      </w:r>
    </w:p>
    <w:p w:rsidR="00000000" w:rsidDel="00000000" w:rsidP="00000000" w:rsidRDefault="00000000" w:rsidRPr="00000000" w14:paraId="00000153">
      <w:pPr>
        <w:spacing w:after="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Cuotas sindicales;</w:t>
      </w:r>
    </w:p>
    <w:p w:rsidR="00000000" w:rsidDel="00000000" w:rsidP="00000000" w:rsidRDefault="00000000" w:rsidRPr="00000000" w14:paraId="00000154">
      <w:pPr>
        <w:spacing w:after="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Cuotas de aportación a fondos para la constitución de cooperativas y de cajas de ahorro, siempre que el servidor público hubiese manifestado previamente, de manera expresa, su conformidad;</w:t>
      </w:r>
    </w:p>
    <w:p w:rsidR="00000000" w:rsidDel="00000000" w:rsidP="00000000" w:rsidRDefault="00000000" w:rsidRPr="00000000" w14:paraId="00000155">
      <w:pPr>
        <w:spacing w:after="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Descuentos ordenados por el Instituto de Seguridad Social del Estado de México y Municipios, con motivo de cuotas y obligaciones contraídas con éste por los servidores públicos;</w:t>
      </w:r>
    </w:p>
    <w:p w:rsidR="00000000" w:rsidDel="00000000" w:rsidP="00000000" w:rsidRDefault="00000000" w:rsidRPr="00000000" w14:paraId="00000156">
      <w:pPr>
        <w:spacing w:after="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Obligaciones a cargo del servidor público con las que haya consentido, derivadas de la adquisición o del uso de habitaciones consideradas como de interés social;</w:t>
      </w:r>
    </w:p>
    <w:p w:rsidR="00000000" w:rsidDel="00000000" w:rsidP="00000000" w:rsidRDefault="00000000" w:rsidRPr="00000000" w14:paraId="00000157">
      <w:pPr>
        <w:spacing w:after="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Faltas de puntualidad o de asistencia injustificadas;</w:t>
      </w:r>
    </w:p>
    <w:p w:rsidR="00000000" w:rsidDel="00000000" w:rsidP="00000000" w:rsidRDefault="00000000" w:rsidRPr="00000000" w14:paraId="00000158">
      <w:pPr>
        <w:spacing w:after="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Pensiones alimenticias ordenadas por la autoridad judicial;</w:t>
      </w:r>
      <w:r w:rsidDel="00000000" w:rsidR="00000000" w:rsidRPr="00000000">
        <w:rPr>
          <w:rFonts w:ascii="Palatino Linotype" w:cs="Palatino Linotype" w:eastAsia="Palatino Linotype" w:hAnsi="Palatino Linotype"/>
          <w:i w:val="1"/>
          <w:sz w:val="22"/>
          <w:szCs w:val="22"/>
          <w:rtl w:val="0"/>
        </w:rPr>
        <w:t xml:space="preserve"> o</w:t>
      </w:r>
    </w:p>
    <w:p w:rsidR="00000000" w:rsidDel="00000000" w:rsidP="00000000" w:rsidRDefault="00000000" w:rsidRPr="00000000" w14:paraId="00000159">
      <w:pPr>
        <w:spacing w:after="0" w:lineRule="auto"/>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Cualquier otro convenido con instituciones de servicios y aceptado por el servidor público.</w:t>
      </w:r>
    </w:p>
    <w:p w:rsidR="00000000" w:rsidDel="00000000" w:rsidP="00000000" w:rsidRDefault="00000000" w:rsidRPr="00000000" w14:paraId="0000015A">
      <w:pPr>
        <w:spacing w:after="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000000" w:rsidDel="00000000" w:rsidP="00000000" w:rsidRDefault="00000000" w:rsidRPr="00000000" w14:paraId="0000015B">
      <w:pPr>
        <w:spacing w:after="120" w:lineRule="auto"/>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000000" w:rsidDel="00000000" w:rsidP="00000000" w:rsidRDefault="00000000" w:rsidRPr="00000000" w14:paraId="0000015D">
      <w:pPr>
        <w:tabs>
          <w:tab w:val="left" w:pos="8647"/>
        </w:tabs>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w:t>
      </w:r>
    </w:p>
    <w:p w:rsidR="00000000" w:rsidDel="00000000" w:rsidP="00000000" w:rsidRDefault="00000000" w:rsidRPr="00000000" w14:paraId="0000015E">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Sirven de sustento a lo anterior las tesis jurisprudenciales emitidas por la Suprema corte de Justicia de la Nación, que son del literal siguiente:</w:t>
      </w:r>
    </w:p>
    <w:p w:rsidR="00000000" w:rsidDel="00000000" w:rsidP="00000000" w:rsidRDefault="00000000" w:rsidRPr="00000000" w14:paraId="0000015F">
      <w:pPr>
        <w:spacing w:after="120" w:before="120" w:lineRule="auto"/>
        <w:ind w:left="851" w:right="76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“DERECHO A LA INFORMACIÓN. SU EJERCICIO SE ENCUENTRA LIMITADO TANTO POR LOS INTERESES NACIONALES Y DE LA SOCIEDAD, COMO POR LOS DERECHOS DE TERCEROS. </w:t>
      </w:r>
      <w:r w:rsidDel="00000000" w:rsidR="00000000" w:rsidRPr="00000000">
        <w:rPr>
          <w:rFonts w:ascii="Palatino Linotype" w:cs="Palatino Linotype" w:eastAsia="Palatino Linotype" w:hAnsi="Palatino Linotype"/>
          <w:i w:val="1"/>
          <w:sz w:val="22"/>
          <w:szCs w:val="22"/>
          <w:rtl w:val="0"/>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Del="00000000" w:rsidR="00000000" w:rsidRPr="00000000">
        <w:rPr>
          <w:rFonts w:ascii="Palatino Linotype" w:cs="Palatino Linotype" w:eastAsia="Palatino Linotype" w:hAnsi="Palatino Linotype"/>
          <w:b w:val="1"/>
          <w:i w:val="1"/>
          <w:sz w:val="22"/>
          <w:szCs w:val="22"/>
          <w:rtl w:val="0"/>
        </w:rPr>
        <w:t xml:space="preserve">restringen el acceso a la información en esta materia, en razón de que su conocimiento público puede generar daños a los intereses nacionales y, por el otro, sancionan la inobservancia de esa reserva;</w:t>
      </w:r>
      <w:r w:rsidDel="00000000" w:rsidR="00000000" w:rsidRPr="00000000">
        <w:rPr>
          <w:rFonts w:ascii="Palatino Linotype" w:cs="Palatino Linotype" w:eastAsia="Palatino Linotype" w:hAnsi="Palatino Linotype"/>
          <w:i w:val="1"/>
          <w:sz w:val="22"/>
          <w:szCs w:val="22"/>
          <w:rtl w:val="0"/>
        </w:rPr>
        <w:t xml:space="preserve"> por lo que hace al interés social, se cuenta con normas que tienden a proteger la averiguación de los delitos, la salud y la moral públicas, </w:t>
      </w:r>
      <w:r w:rsidDel="00000000" w:rsidR="00000000" w:rsidRPr="00000000">
        <w:rPr>
          <w:rFonts w:ascii="Palatino Linotype" w:cs="Palatino Linotype" w:eastAsia="Palatino Linotype" w:hAnsi="Palatino Linotype"/>
          <w:b w:val="1"/>
          <w:i w:val="1"/>
          <w:sz w:val="22"/>
          <w:szCs w:val="22"/>
          <w:rtl w:val="0"/>
        </w:rPr>
        <w:t xml:space="preserve">mientras que por lo que respecta a la protección de la persona existen normas que protegen el derecho a la vida o a la privacidad de los gobernados.</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160">
      <w:pPr>
        <w:spacing w:after="120" w:before="120" w:lineRule="auto"/>
        <w:ind w:left="851" w:right="7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61">
      <w:pPr>
        <w:spacing w:after="120" w:before="120" w:lineRule="auto"/>
        <w:ind w:left="851"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“TRANSPARENCIA Y ACCESO A LA INFORMACIÓN PÚBLICA GUBERNAMENTAL. EL ARTÍCULO 14, FRACCIÓN I, DE LA LEY FEDERAL RELATIVA, NO VIOLA LA GARANTÍA DE ACCESO A LA INFORMACIÓN.</w:t>
      </w:r>
      <w:r w:rsidDel="00000000" w:rsidR="00000000" w:rsidRPr="00000000">
        <w:rPr>
          <w:rFonts w:ascii="Palatino Linotype" w:cs="Palatino Linotype" w:eastAsia="Palatino Linotype" w:hAnsi="Palatino Linotype"/>
          <w:i w:val="1"/>
          <w:sz w:val="22"/>
          <w:szCs w:val="22"/>
          <w:rtl w:val="0"/>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Del="00000000" w:rsidR="00000000" w:rsidRPr="00000000">
        <w:rPr>
          <w:rFonts w:ascii="Palatino Linotype" w:cs="Palatino Linotype" w:eastAsia="Palatino Linotype" w:hAnsi="Palatino Linotype"/>
          <w:b w:val="1"/>
          <w:i w:val="1"/>
          <w:sz w:val="22"/>
          <w:szCs w:val="22"/>
          <w:rtl w:val="0"/>
        </w:rPr>
        <w:t xml:space="preserve">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Del="00000000" w:rsidR="00000000" w:rsidRPr="00000000">
        <w:rPr>
          <w:rFonts w:ascii="Palatino Linotype" w:cs="Palatino Linotype" w:eastAsia="Palatino Linotype" w:hAnsi="Palatino Linotype"/>
          <w:i w:val="1"/>
          <w:sz w:val="22"/>
          <w:szCs w:val="22"/>
          <w:rtl w:val="0"/>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rsidR="00000000" w:rsidDel="00000000" w:rsidP="00000000" w:rsidRDefault="00000000" w:rsidRPr="00000000" w14:paraId="00000162">
      <w:pPr>
        <w:spacing w:after="120" w:before="120" w:lineRule="auto"/>
        <w:ind w:left="851" w:right="7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63">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Acuerdo de Clasificación de </w:t>
      </w:r>
      <w:r w:rsidDel="00000000" w:rsidR="00000000" w:rsidRPr="00000000">
        <w:rPr>
          <w:rFonts w:ascii="Palatino Linotype" w:cs="Palatino Linotype" w:eastAsia="Palatino Linotype" w:hAnsi="Palatino Linotype"/>
          <w:sz w:val="21"/>
          <w:szCs w:val="21"/>
          <w:rtl w:val="0"/>
        </w:rPr>
        <w:t xml:space="preserve">Información</w:t>
      </w:r>
      <w:r w:rsidDel="00000000" w:rsidR="00000000" w:rsidRPr="00000000">
        <w:rPr>
          <w:rFonts w:ascii="Palatino Linotype" w:cs="Palatino Linotype" w:eastAsia="Palatino Linotype" w:hAnsi="Palatino Linotype"/>
          <w:rtl w:val="0"/>
        </w:rPr>
        <w:t xml:space="preserve">,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Del="00000000" w:rsidR="00000000" w:rsidRPr="00000000">
        <w:rPr>
          <w:rFonts w:ascii="Palatino Linotype" w:cs="Palatino Linotype" w:eastAsia="Palatino Linotype" w:hAnsi="Palatino Linotype"/>
          <w:b w:val="1"/>
          <w:u w:val="single"/>
          <w:rtl w:val="0"/>
        </w:rPr>
        <w:t xml:space="preserve">razones, motivos o circunstancias especiales</w:t>
      </w:r>
      <w:r w:rsidDel="00000000" w:rsidR="00000000" w:rsidRPr="00000000">
        <w:rPr>
          <w:rFonts w:ascii="Palatino Linotype" w:cs="Palatino Linotype" w:eastAsia="Palatino Linotype" w:hAnsi="Palatino Linotype"/>
          <w:rtl w:val="0"/>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rsidR="00000000" w:rsidDel="00000000" w:rsidP="00000000" w:rsidRDefault="00000000" w:rsidRPr="00000000" w14:paraId="0000016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la entrega de documentos en su versión pública debe acompañarse necesariamente del Acuerdo del Comité de Transparencia que la sustente, en el que se expongan los fundamentos y razonamientos que llevaron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000000" w:rsidDel="00000000" w:rsidP="00000000" w:rsidRDefault="00000000" w:rsidRPr="00000000" w14:paraId="0000016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mérito de lo expuesto en líneas anteriores, este Órgano Garante considera que resultan fundados los motivos de inconformidad que arguye el recurrente en su medio de impugnación que fue materia de estudio, por ello con fundamento en el artículo 186 fracción IV de la Ley de Transparencia y Acceso a la Información Pública del Estado de México y Municipios, se </w:t>
      </w:r>
      <w:r w:rsidDel="00000000" w:rsidR="00000000" w:rsidRPr="00000000">
        <w:rPr>
          <w:rFonts w:ascii="Palatino Linotype" w:cs="Palatino Linotype" w:eastAsia="Palatino Linotype" w:hAnsi="Palatino Linotype"/>
          <w:b w:val="1"/>
          <w:rtl w:val="0"/>
        </w:rPr>
        <w:t xml:space="preserve">ORDENA al Sujeto Obligado </w:t>
      </w:r>
      <w:r w:rsidDel="00000000" w:rsidR="00000000" w:rsidRPr="00000000">
        <w:rPr>
          <w:rFonts w:ascii="Palatino Linotype" w:cs="Palatino Linotype" w:eastAsia="Palatino Linotype" w:hAnsi="Palatino Linotype"/>
          <w:rtl w:val="0"/>
        </w:rPr>
        <w:t xml:space="preserve">de respuesta a la solicitud de información </w:t>
      </w:r>
      <w:r w:rsidDel="00000000" w:rsidR="00000000" w:rsidRPr="00000000">
        <w:rPr>
          <w:rFonts w:ascii="Palatino Linotype" w:cs="Palatino Linotype" w:eastAsia="Palatino Linotype" w:hAnsi="Palatino Linotype"/>
          <w:b w:val="1"/>
          <w:rtl w:val="0"/>
        </w:rPr>
        <w:t xml:space="preserve">00054/PAN/IP/2021, </w:t>
      </w:r>
      <w:r w:rsidDel="00000000" w:rsidR="00000000" w:rsidRPr="00000000">
        <w:rPr>
          <w:rFonts w:ascii="Palatino Linotype" w:cs="Palatino Linotype" w:eastAsia="Palatino Linotype" w:hAnsi="Palatino Linotype"/>
          <w:rtl w:val="0"/>
        </w:rPr>
        <w:t xml:space="preserve">que ha sido materia del presente fallo, por lo que este Pleno:</w:t>
      </w:r>
    </w:p>
    <w:p w:rsidR="00000000" w:rsidDel="00000000" w:rsidP="00000000" w:rsidRDefault="00000000" w:rsidRPr="00000000" w14:paraId="0000016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80" w:before="280" w:line="360" w:lineRule="auto"/>
        <w:ind w:left="1080" w:right="0" w:hanging="720"/>
        <w:jc w:val="center"/>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 E S U E L V E:</w:t>
      </w:r>
    </w:p>
    <w:p w:rsidR="00000000" w:rsidDel="00000000" w:rsidP="00000000" w:rsidRDefault="00000000" w:rsidRPr="00000000" w14:paraId="00000167">
      <w:pPr>
        <w:spacing w:after="240" w:before="240" w:line="360" w:lineRule="auto"/>
        <w:jc w:val="both"/>
        <w:rPr>
          <w:rFonts w:ascii="Palatino Linotype" w:cs="Palatino Linotype" w:eastAsia="Palatino Linotype" w:hAnsi="Palatino Linotype"/>
        </w:rPr>
      </w:pPr>
      <w:bookmarkStart w:colFirst="0" w:colLast="0" w:name="_heading=h.3znysh7" w:id="3"/>
      <w:bookmarkEnd w:id="3"/>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Son fundados los motivos de inconformidad aducidos por </w:t>
      </w:r>
      <w:r w:rsidDel="00000000" w:rsidR="00000000" w:rsidRPr="00000000">
        <w:rPr>
          <w:rFonts w:ascii="Palatino Linotype" w:cs="Palatino Linotype" w:eastAsia="Palatino Linotype" w:hAnsi="Palatino Linotype"/>
          <w:b w:val="1"/>
          <w:rtl w:val="0"/>
        </w:rPr>
        <w:t xml:space="preserve">el recurrente</w:t>
      </w:r>
      <w:r w:rsidDel="00000000" w:rsidR="00000000" w:rsidRPr="00000000">
        <w:rPr>
          <w:rFonts w:ascii="Palatino Linotype" w:cs="Palatino Linotype" w:eastAsia="Palatino Linotype" w:hAnsi="Palatino Linotype"/>
          <w:rtl w:val="0"/>
        </w:rPr>
        <w:t xml:space="preserve"> en el Recurso de Revisión </w:t>
      </w:r>
      <w:r w:rsidDel="00000000" w:rsidR="00000000" w:rsidRPr="00000000">
        <w:rPr>
          <w:rFonts w:ascii="Palatino Linotype" w:cs="Palatino Linotype" w:eastAsia="Palatino Linotype" w:hAnsi="Palatino Linotype"/>
          <w:b w:val="1"/>
          <w:rtl w:val="0"/>
        </w:rPr>
        <w:t xml:space="preserve">03904/INFOEM/IP/RR/2021</w:t>
      </w:r>
      <w:r w:rsidDel="00000000" w:rsidR="00000000" w:rsidRPr="00000000">
        <w:rPr>
          <w:rFonts w:ascii="Palatino Linotype" w:cs="Palatino Linotype" w:eastAsia="Palatino Linotype" w:hAnsi="Palatino Linotype"/>
          <w:rtl w:val="0"/>
        </w:rPr>
        <w:t xml:space="preserve">, en términos de los argumentos de derecho señalados en el considerando Cuarto, por ende, se </w:t>
      </w:r>
      <w:r w:rsidDel="00000000" w:rsidR="00000000" w:rsidRPr="00000000">
        <w:rPr>
          <w:rFonts w:ascii="Palatino Linotype" w:cs="Palatino Linotype" w:eastAsia="Palatino Linotype" w:hAnsi="Palatino Linotype"/>
          <w:b w:val="1"/>
          <w:rtl w:val="0"/>
        </w:rPr>
        <w:t xml:space="preserve">MODIFICA </w:t>
      </w:r>
      <w:r w:rsidDel="00000000" w:rsidR="00000000" w:rsidRPr="00000000">
        <w:rPr>
          <w:rFonts w:ascii="Palatino Linotype" w:cs="Palatino Linotype" w:eastAsia="Palatino Linotype" w:hAnsi="Palatino Linotype"/>
          <w:rtl w:val="0"/>
        </w:rPr>
        <w:t xml:space="preserve">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tl w:val="0"/>
        </w:rPr>
      </w:r>
    </w:p>
    <w:p w:rsidR="00000000" w:rsidDel="00000000" w:rsidP="00000000" w:rsidRDefault="00000000" w:rsidRPr="00000000" w14:paraId="00000168">
      <w:pPr>
        <w:spacing w:after="240" w:before="240" w:line="360" w:lineRule="auto"/>
        <w:jc w:val="both"/>
        <w:rPr>
          <w:rFonts w:ascii="Palatino Linotype" w:cs="Palatino Linotype" w:eastAsia="Palatino Linotype" w:hAnsi="Palatino Linotype"/>
          <w:sz w:val="23"/>
          <w:szCs w:val="23"/>
        </w:rPr>
      </w:pPr>
      <w:r w:rsidDel="00000000" w:rsidR="00000000" w:rsidRPr="00000000">
        <w:rPr>
          <w:rFonts w:ascii="Palatino Linotype" w:cs="Palatino Linotype" w:eastAsia="Palatino Linotype" w:hAnsi="Palatino Linotype"/>
          <w:b w:val="1"/>
          <w:rtl w:val="0"/>
        </w:rPr>
        <w:t xml:space="preserve">Segundo.</w:t>
      </w:r>
      <w:r w:rsidDel="00000000" w:rsidR="00000000" w:rsidRPr="00000000">
        <w:rPr>
          <w:rFonts w:ascii="Palatino Linotype" w:cs="Palatino Linotype" w:eastAsia="Palatino Linotype" w:hAnsi="Palatino Linotype"/>
          <w:rtl w:val="0"/>
        </w:rPr>
        <w:t xml:space="preserve"> Se</w:t>
      </w:r>
      <w:r w:rsidDel="00000000" w:rsidR="00000000" w:rsidRPr="00000000">
        <w:rPr>
          <w:rFonts w:ascii="Palatino Linotype" w:cs="Palatino Linotype" w:eastAsia="Palatino Linotype" w:hAnsi="Palatino Linotype"/>
          <w:b w:val="1"/>
          <w:rtl w:val="0"/>
        </w:rPr>
        <w:t xml:space="preserve"> ORDENA </w:t>
      </w:r>
      <w:r w:rsidDel="00000000" w:rsidR="00000000" w:rsidRPr="00000000">
        <w:rPr>
          <w:rFonts w:ascii="Palatino Linotype" w:cs="Palatino Linotype" w:eastAsia="Palatino Linotype" w:hAnsi="Palatino Linotype"/>
          <w:rtl w:val="0"/>
        </w:rPr>
        <w:t xml:space="preserve">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términos de los Considerandos  Cuarto y Quinto, haga entrega en versión pública, a través del SAIMEX, de lo siguiente:</w:t>
      </w:r>
      <w:r w:rsidDel="00000000" w:rsidR="00000000" w:rsidRPr="00000000">
        <w:rPr>
          <w:rtl w:val="0"/>
        </w:rPr>
      </w:r>
    </w:p>
    <w:p w:rsidR="00000000" w:rsidDel="00000000" w:rsidP="00000000" w:rsidRDefault="00000000" w:rsidRPr="00000000" w14:paraId="00000169">
      <w:pPr>
        <w:numPr>
          <w:ilvl w:val="0"/>
          <w:numId w:val="2"/>
        </w:numPr>
        <w:spacing w:after="240" w:before="240"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Organigrama y Directorio, de todo el personal al mayor grado de detalle posible, vigente al treinta  de junio de dos mil veintiuno (</w:t>
      </w:r>
      <w:r w:rsidDel="00000000" w:rsidR="00000000" w:rsidRPr="00000000">
        <w:rPr>
          <w:rFonts w:ascii="Palatino Linotype" w:cs="Palatino Linotype" w:eastAsia="Palatino Linotype" w:hAnsi="Palatino Linotype"/>
          <w:i w:val="1"/>
          <w:sz w:val="22"/>
          <w:szCs w:val="22"/>
          <w:rtl w:val="0"/>
        </w:rPr>
        <w:t xml:space="preserve">fecha de presentación de la solicitud</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16A">
      <w:pPr>
        <w:numPr>
          <w:ilvl w:val="0"/>
          <w:numId w:val="2"/>
        </w:numPr>
        <w:spacing w:after="240" w:before="240"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Recibos de nómina de la segunda quincena de mayo, primera y segunda quincena de junio de dos mil veintiuno.</w:t>
      </w:r>
    </w:p>
    <w:p w:rsidR="00000000" w:rsidDel="00000000" w:rsidP="00000000" w:rsidRDefault="00000000" w:rsidRPr="00000000" w14:paraId="0000016B">
      <w:pPr>
        <w:numPr>
          <w:ilvl w:val="0"/>
          <w:numId w:val="2"/>
        </w:numPr>
        <w:spacing w:after="240" w:before="240"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gasto realizado por concepto de nómina que realizó el Comité en la segunda quincena de mayo, primera y segunda quincena de junio de dos mil veintiuno, al mayor grado de detalle posible.</w:t>
      </w:r>
    </w:p>
    <w:p w:rsidR="00000000" w:rsidDel="00000000" w:rsidP="00000000" w:rsidRDefault="00000000" w:rsidRPr="00000000" w14:paraId="0000016C">
      <w:pPr>
        <w:spacing w:after="240" w:before="240" w:line="360" w:lineRule="auto"/>
        <w:ind w:left="72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highlight w:val="white"/>
          <w:rtl w:val="0"/>
        </w:rPr>
        <w:t xml:space="preserve">Para la versión pública, el Sujeto Obligado deberá emitir el Acuerdo del Comité de Transparencia en términos del artículo 49 fracción VIII y </w:t>
      </w:r>
      <w:r w:rsidDel="00000000" w:rsidR="00000000" w:rsidRPr="00000000">
        <w:rPr>
          <w:rFonts w:ascii="Palatino Linotype" w:cs="Palatino Linotype" w:eastAsia="Palatino Linotype" w:hAnsi="Palatino Linotype"/>
          <w:sz w:val="22"/>
          <w:szCs w:val="22"/>
          <w:rtl w:val="0"/>
        </w:rPr>
        <w:t xml:space="preserve">132 fracción II de la Ley de Transparencia y Acceso a la Información Pública del Estado de México y Municipios vigente, en el que funde y motive las razones sobre los datos que se supriman o eliminen dentro del soporte documental respectivo objeto de las versiones públicas que se formulen y se ponga a disposición de la recurrente.</w:t>
      </w:r>
    </w:p>
    <w:p w:rsidR="00000000" w:rsidDel="00000000" w:rsidP="00000000" w:rsidRDefault="00000000" w:rsidRPr="00000000" w14:paraId="0000016D">
      <w:pPr>
        <w:spacing w:after="240" w:before="240" w:line="360" w:lineRule="auto"/>
        <w:ind w:right="49"/>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b w:val="1"/>
          <w:highlight w:val="white"/>
          <w:rtl w:val="0"/>
        </w:rPr>
        <w:t xml:space="preserve">Tercero. Notifíquese vía SAIMEX </w:t>
      </w:r>
      <w:r w:rsidDel="00000000" w:rsidR="00000000" w:rsidRPr="00000000">
        <w:rPr>
          <w:rFonts w:ascii="Palatino Linotype" w:cs="Palatino Linotype" w:eastAsia="Palatino Linotype" w:hAnsi="Palatino Linotype"/>
          <w:highlight w:val="white"/>
          <w:rtl w:val="0"/>
        </w:rPr>
        <w:t xml:space="preserve">al Titular de la Unidad de Transparencia del</w:t>
      </w:r>
      <w:r w:rsidDel="00000000" w:rsidR="00000000" w:rsidRPr="00000000">
        <w:rPr>
          <w:rFonts w:ascii="Palatino Linotype" w:cs="Palatino Linotype" w:eastAsia="Palatino Linotype" w:hAnsi="Palatino Linotype"/>
          <w:b w:val="1"/>
          <w:highlight w:val="white"/>
          <w:rtl w:val="0"/>
        </w:rPr>
        <w:t xml:space="preserve"> SUJETO OBLIGADO</w:t>
      </w:r>
      <w:r w:rsidDel="00000000" w:rsidR="00000000" w:rsidRPr="00000000">
        <w:rPr>
          <w:rFonts w:ascii="Palatino Linotype" w:cs="Palatino Linotype" w:eastAsia="Palatino Linotype" w:hAnsi="Palatino Linotype"/>
          <w:highlight w:val="white"/>
          <w:rtl w:val="0"/>
        </w:rPr>
        <w:t xml:space="preserve">, la presente resolución para que conforme a los artículos 186 último párrafo y 189 párrafo segundo de la Ley de Transparencia y Acceso a la Información Pública del Estado de México y Municipios, dé cumplimiento a lo ordenado dentro del plazo de diez hábiles, debiendo informar a este Instituto en un plazo de tres días hábiles siguientes sobre el cumplimiento dado a la presente resolución.</w:t>
      </w:r>
    </w:p>
    <w:p w:rsidR="00000000" w:rsidDel="00000000" w:rsidP="00000000" w:rsidRDefault="00000000" w:rsidRPr="00000000" w14:paraId="0000016E">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Del="00000000" w:rsidR="00000000" w:rsidRPr="00000000">
        <w:rPr>
          <w:rtl w:val="0"/>
        </w:rPr>
      </w:r>
    </w:p>
    <w:p w:rsidR="00000000" w:rsidDel="00000000" w:rsidP="00000000" w:rsidRDefault="00000000" w:rsidRPr="00000000" w14:paraId="0000016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Notifíquese al recurrente vía SAIMEX</w:t>
      </w:r>
      <w:r w:rsidDel="00000000" w:rsidR="00000000" w:rsidRPr="00000000">
        <w:rPr>
          <w:rFonts w:ascii="Palatino Linotype" w:cs="Palatino Linotype" w:eastAsia="Palatino Linotype" w:hAnsi="Palatino Linotype"/>
          <w:rtl w:val="0"/>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rsidR="00000000" w:rsidDel="00000000" w:rsidP="00000000" w:rsidRDefault="00000000" w:rsidRPr="00000000" w14:paraId="00000170">
      <w:pPr>
        <w:widowControl w:val="0"/>
        <w:tabs>
          <w:tab w:val="left" w:pos="1701"/>
        </w:tabs>
        <w:spacing w:after="0" w:before="240" w:line="360" w:lineRule="auto"/>
        <w:ind w:right="51"/>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b w:val="1"/>
          <w:rtl w:val="0"/>
        </w:rPr>
        <w:t xml:space="preserve">Sexto. </w:t>
      </w:r>
      <w:r w:rsidDel="00000000" w:rsidR="00000000" w:rsidRPr="00000000">
        <w:rPr>
          <w:rFonts w:ascii="Palatino Linotype" w:cs="Palatino Linotype" w:eastAsia="Palatino Linotype" w:hAnsi="Palatino Linotype"/>
          <w:b w:val="1"/>
          <w:highlight w:val="white"/>
          <w:rtl w:val="0"/>
        </w:rPr>
        <w:t xml:space="preserve">Gírese</w:t>
      </w:r>
      <w:r w:rsidDel="00000000" w:rsidR="00000000" w:rsidRPr="00000000">
        <w:rPr>
          <w:rFonts w:ascii="Palatino Linotype" w:cs="Palatino Linotype" w:eastAsia="Palatino Linotype" w:hAnsi="Palatino Linotype"/>
          <w:highlight w:val="white"/>
          <w:rtl w:val="0"/>
        </w:rPr>
        <w:t xml:space="preserve"> oficio al Contralor Interno de este Instituto para que actúe en razón de su competencia, en términos de lo expuesto en el Considerando Cuarto de la presente resolución.</w:t>
      </w:r>
    </w:p>
    <w:p w:rsidR="00000000" w:rsidDel="00000000" w:rsidP="00000000" w:rsidRDefault="00000000" w:rsidRPr="00000000" w14:paraId="00000171">
      <w:pPr>
        <w:widowControl w:val="0"/>
        <w:tabs>
          <w:tab w:val="left" w:pos="1701"/>
        </w:tabs>
        <w:spacing w:after="0" w:before="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2">
      <w:pPr>
        <w:spacing w:after="240" w:before="0" w:line="360" w:lineRule="auto"/>
        <w:jc w:val="both"/>
        <w:rPr>
          <w:rFonts w:ascii="Palatino Linotype" w:cs="Palatino Linotype" w:eastAsia="Palatino Linotype" w:hAnsi="Palatino Linotype"/>
        </w:rPr>
      </w:pPr>
      <w:bookmarkStart w:colFirst="0" w:colLast="0" w:name="_heading=h.2et92p0" w:id="4"/>
      <w:bookmarkEnd w:id="4"/>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CUADRAGÉSIMA QUINTA SESIÓN  ORDINARIA, CELEBRADA EL QUINCE DE DICIEMBRE DE DOS MIL VEINTIUNO, ANTE EL SECRETARIO TÉCNICO DEL PLENO ALEXIS TAPIA RAMÍREZ. </w:t>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r>
    </w:p>
    <w:sectPr>
      <w:headerReference r:id="rId55" w:type="default"/>
      <w:headerReference r:id="rId56" w:type="first"/>
      <w:footerReference r:id="rId57" w:type="default"/>
      <w:footerReference r:id="rId58"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Calibri"/>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Página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Página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70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A2">
      <w:pPr>
        <w:spacing w:after="0" w:before="120" w:lineRule="auto"/>
        <w:ind w:right="902"/>
        <w:jc w:val="both"/>
        <w:rPr>
          <w:rFonts w:ascii="Palatino Linotype" w:cs="Palatino Linotype" w:eastAsia="Palatino Linotype" w:hAnsi="Palatino Linotype"/>
          <w:i w:val="1"/>
          <w:sz w:val="16"/>
          <w:szCs w:val="16"/>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Palatino Linotype" w:cs="Palatino Linotype" w:eastAsia="Palatino Linotype" w:hAnsi="Palatino Linotype"/>
          <w:i w:val="1"/>
          <w:sz w:val="16"/>
          <w:szCs w:val="16"/>
          <w:rtl w:val="0"/>
        </w:rPr>
        <w:t xml:space="preserve">Articulo 24.-</w:t>
      </w:r>
    </w:p>
    <w:p w:rsidR="00000000" w:rsidDel="00000000" w:rsidP="00000000" w:rsidRDefault="00000000" w:rsidRPr="00000000" w14:paraId="000001A3">
      <w:pPr>
        <w:spacing w:after="0" w:before="0" w:lineRule="auto"/>
        <w:ind w:right="902"/>
        <w:jc w:val="both"/>
        <w:rPr>
          <w:rFonts w:ascii="Palatino Linotype" w:cs="Palatino Linotype" w:eastAsia="Palatino Linotype" w:hAnsi="Palatino Linotype"/>
          <w:i w:val="1"/>
          <w:sz w:val="16"/>
          <w:szCs w:val="16"/>
        </w:rPr>
      </w:pPr>
      <w:r w:rsidDel="00000000" w:rsidR="00000000" w:rsidRPr="00000000">
        <w:rPr>
          <w:rFonts w:ascii="Palatino Linotype" w:cs="Palatino Linotype" w:eastAsia="Palatino Linotype" w:hAnsi="Palatino Linotype"/>
          <w:i w:val="1"/>
          <w:sz w:val="16"/>
          <w:szCs w:val="16"/>
          <w:rtl w:val="0"/>
        </w:rPr>
        <w:t xml:space="preserve">…</w:t>
      </w:r>
    </w:p>
    <w:p w:rsidR="00000000" w:rsidDel="00000000" w:rsidP="00000000" w:rsidRDefault="00000000" w:rsidRPr="00000000" w14:paraId="000001A4">
      <w:pPr>
        <w:spacing w:after="240" w:before="0" w:lineRule="auto"/>
        <w:ind w:right="902"/>
        <w:jc w:val="both"/>
        <w:rPr>
          <w:rFonts w:ascii="Palatino Linotype" w:cs="Palatino Linotype" w:eastAsia="Palatino Linotype" w:hAnsi="Palatino Linotype"/>
          <w:i w:val="1"/>
          <w:sz w:val="16"/>
          <w:szCs w:val="16"/>
        </w:rPr>
      </w:pPr>
      <w:r w:rsidDel="00000000" w:rsidR="00000000" w:rsidRPr="00000000">
        <w:rPr>
          <w:rFonts w:ascii="Palatino Linotype" w:cs="Palatino Linotype" w:eastAsia="Palatino Linotype" w:hAnsi="Palatino Linotype"/>
          <w:i w:val="1"/>
          <w:sz w:val="16"/>
          <w:szCs w:val="16"/>
          <w:rtl w:val="0"/>
        </w:rPr>
        <w:t xml:space="preserve">Los sujetos obligados solo proporcionarán la información pública que generen, administren o posean en el ejercicio de sus atribuciones…(Sic)</w:t>
      </w:r>
    </w:p>
  </w:footnote>
  <w:footnote w:id="1">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ootnote>
  <w:footnote w:id="2">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b w:val="0"/>
          <w:i w:val="0"/>
          <w:smallCaps w:val="0"/>
          <w:strike w:val="0"/>
          <w:color w:val="000000"/>
          <w:sz w:val="19"/>
          <w:szCs w:val="19"/>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222222"/>
          <w:sz w:val="16"/>
          <w:szCs w:val="16"/>
          <w:highlight w:val="white"/>
          <w:u w:val="none"/>
          <w:vertAlign w:val="baseline"/>
          <w:rtl w:val="0"/>
        </w:rPr>
        <w:t xml:space="preserve">Se puede consultar en: la fracción XI del artículo 4 de la Ley de Protección de Datos Personales en Posesión de Sujetos Obligados del Estado de México y Municipios.</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-1080134</wp:posOffset>
          </wp:positionH>
          <wp:positionV relativeFrom="paragraph">
            <wp:posOffset>-438784</wp:posOffset>
          </wp:positionV>
          <wp:extent cx="7635875" cy="9943465"/>
          <wp:effectExtent b="0" l="0" r="0" t="0"/>
          <wp:wrapNone/>
          <wp:docPr id="62"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7635875" cy="9943465"/>
                  </a:xfrm>
                  <a:prstGeom prst="rect"/>
                  <a:ln/>
                </pic:spPr>
              </pic:pic>
            </a:graphicData>
          </a:graphic>
        </wp:anchor>
      </w:drawing>
    </w:r>
  </w:p>
  <w:tbl>
    <w:tblPr>
      <w:tblStyle w:val="Table2"/>
      <w:tblW w:w="6238.0" w:type="dxa"/>
      <w:jc w:val="left"/>
      <w:tblInd w:w="3119.0" w:type="dxa"/>
      <w:tblLayout w:type="fixed"/>
      <w:tblLook w:val="0400"/>
    </w:tblPr>
    <w:tblGrid>
      <w:gridCol w:w="2551"/>
      <w:gridCol w:w="3687"/>
      <w:tblGridChange w:id="0">
        <w:tblGrid>
          <w:gridCol w:w="2551"/>
          <w:gridCol w:w="3687"/>
        </w:tblGrid>
      </w:tblGridChange>
    </w:tblGrid>
    <w:tr>
      <w:trPr>
        <w:cantSplit w:val="0"/>
        <w:tblHeader w:val="0"/>
      </w:trPr>
      <w:tc>
        <w:tcPr>
          <w:vAlign w:val="center"/>
        </w:tcPr>
        <w:p w:rsidR="00000000" w:rsidDel="00000000" w:rsidP="00000000" w:rsidRDefault="00000000" w:rsidRPr="00000000" w14:paraId="000001A9">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Recurso de Revisión:</w:t>
          </w:r>
        </w:p>
      </w:tc>
      <w:tc>
        <w:tcPr>
          <w:vAlign w:val="center"/>
        </w:tcPr>
        <w:p w:rsidR="00000000" w:rsidDel="00000000" w:rsidP="00000000" w:rsidRDefault="00000000" w:rsidRPr="00000000" w14:paraId="000001AA">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03904/INFOEM/IP/RR/2021.</w:t>
          </w:r>
        </w:p>
      </w:tc>
    </w:tr>
    <w:tr>
      <w:trPr>
        <w:cantSplit w:val="0"/>
        <w:tblHeader w:val="0"/>
      </w:trPr>
      <w:tc>
        <w:tcPr>
          <w:vAlign w:val="center"/>
        </w:tcPr>
        <w:p w:rsidR="00000000" w:rsidDel="00000000" w:rsidP="00000000" w:rsidRDefault="00000000" w:rsidRPr="00000000" w14:paraId="000001AB">
          <w:pPr>
            <w:ind w:left="35" w:hanging="35"/>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Recurrente:</w:t>
          </w:r>
        </w:p>
      </w:tc>
      <w:tc>
        <w:tcPr>
          <w:vAlign w:val="center"/>
        </w:tcPr>
        <w:p w:rsidR="00000000" w:rsidDel="00000000" w:rsidP="00000000" w:rsidRDefault="00000000" w:rsidRPr="00000000" w14:paraId="000001AC">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Xxxxxxxxx Xxxxxx Xxxxx</w:t>
          </w:r>
        </w:p>
      </w:tc>
    </w:tr>
    <w:tr>
      <w:trPr>
        <w:cantSplit w:val="0"/>
        <w:trHeight w:val="228" w:hRule="atLeast"/>
        <w:tblHeader w:val="0"/>
      </w:trPr>
      <w:tc>
        <w:tcPr>
          <w:vAlign w:val="center"/>
        </w:tcPr>
        <w:p w:rsidR="00000000" w:rsidDel="00000000" w:rsidP="00000000" w:rsidRDefault="00000000" w:rsidRPr="00000000" w14:paraId="000001AD">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Sujeto obligado:</w:t>
          </w:r>
        </w:p>
      </w:tc>
      <w:tc>
        <w:tcPr>
          <w:vAlign w:val="center"/>
        </w:tcPr>
        <w:p w:rsidR="00000000" w:rsidDel="00000000" w:rsidP="00000000" w:rsidRDefault="00000000" w:rsidRPr="00000000" w14:paraId="000001AE">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Partido Acción Nacional.</w:t>
          </w:r>
        </w:p>
      </w:tc>
    </w:tr>
    <w:tr>
      <w:trPr>
        <w:cantSplit w:val="0"/>
        <w:tblHeader w:val="0"/>
      </w:trPr>
      <w:tc>
        <w:tcPr>
          <w:vAlign w:val="center"/>
        </w:tcPr>
        <w:p w:rsidR="00000000" w:rsidDel="00000000" w:rsidP="00000000" w:rsidRDefault="00000000" w:rsidRPr="00000000" w14:paraId="000001AF">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Comisionado ponente:</w:t>
          </w:r>
        </w:p>
      </w:tc>
      <w:tc>
        <w:tcPr>
          <w:vAlign w:val="center"/>
        </w:tcPr>
        <w:p w:rsidR="00000000" w:rsidDel="00000000" w:rsidP="00000000" w:rsidRDefault="00000000" w:rsidRPr="00000000" w14:paraId="000001B0">
          <w:pPr>
            <w:ind w:right="-533"/>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Guadalupe Ramírez Peña.</w:t>
          </w:r>
        </w:p>
      </w:tc>
    </w:tr>
  </w:tbl>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5528.0" w:type="dxa"/>
      <w:jc w:val="left"/>
      <w:tblInd w:w="3261.0" w:type="dxa"/>
      <w:tblLayout w:type="fixed"/>
      <w:tblLook w:val="0400"/>
    </w:tblPr>
    <w:tblGrid>
      <w:gridCol w:w="2552"/>
      <w:gridCol w:w="2976"/>
      <w:tblGridChange w:id="0">
        <w:tblGrid>
          <w:gridCol w:w="2552"/>
          <w:gridCol w:w="2976"/>
        </w:tblGrid>
      </w:tblGridChange>
    </w:tblGrid>
    <w:tr>
      <w:trPr>
        <w:cantSplit w:val="0"/>
        <w:tblHeader w:val="0"/>
      </w:trPr>
      <w:tc>
        <w:tcPr>
          <w:vAlign w:val="center"/>
        </w:tcPr>
        <w:p w:rsidR="00000000" w:rsidDel="00000000" w:rsidP="00000000" w:rsidRDefault="00000000" w:rsidRPr="00000000" w14:paraId="000001B3">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Recurso de Revisión:</w:t>
          </w:r>
        </w:p>
      </w:tc>
      <w:tc>
        <w:tcPr>
          <w:vAlign w:val="center"/>
        </w:tcPr>
        <w:p w:rsidR="00000000" w:rsidDel="00000000" w:rsidP="00000000" w:rsidRDefault="00000000" w:rsidRPr="00000000" w14:paraId="000001B4">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03904/INFOEM/IP/RR/2021</w:t>
          </w:r>
        </w:p>
      </w:tc>
    </w:tr>
    <w:tr>
      <w:trPr>
        <w:cantSplit w:val="0"/>
        <w:trHeight w:val="228" w:hRule="atLeast"/>
        <w:tblHeader w:val="0"/>
      </w:trPr>
      <w:tc>
        <w:tcPr>
          <w:vAlign w:val="center"/>
        </w:tcPr>
        <w:p w:rsidR="00000000" w:rsidDel="00000000" w:rsidP="00000000" w:rsidRDefault="00000000" w:rsidRPr="00000000" w14:paraId="000001B5">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Sujeto obligado:</w:t>
          </w:r>
        </w:p>
      </w:tc>
      <w:tc>
        <w:tcPr>
          <w:vAlign w:val="center"/>
        </w:tcPr>
        <w:p w:rsidR="00000000" w:rsidDel="00000000" w:rsidP="00000000" w:rsidRDefault="00000000" w:rsidRPr="00000000" w14:paraId="000001B6">
          <w:pPr>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Partido Acción Nacional.</w:t>
          </w:r>
        </w:p>
      </w:tc>
    </w:tr>
    <w:tr>
      <w:trPr>
        <w:cantSplit w:val="0"/>
        <w:tblHeader w:val="0"/>
      </w:trPr>
      <w:tc>
        <w:tcPr>
          <w:vAlign w:val="center"/>
        </w:tcPr>
        <w:p w:rsidR="00000000" w:rsidDel="00000000" w:rsidP="00000000" w:rsidRDefault="00000000" w:rsidRPr="00000000" w14:paraId="000001B7">
          <w:pPr>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Comisionado ponente:</w:t>
          </w:r>
        </w:p>
      </w:tc>
      <w:tc>
        <w:tcPr>
          <w:vAlign w:val="center"/>
        </w:tcPr>
        <w:p w:rsidR="00000000" w:rsidDel="00000000" w:rsidP="00000000" w:rsidRDefault="00000000" w:rsidRPr="00000000" w14:paraId="000001B8">
          <w:pPr>
            <w:ind w:right="-533"/>
            <w:jc w:val="both"/>
            <w:rPr>
              <w:rFonts w:ascii="Palatino Linotype" w:cs="Palatino Linotype" w:eastAsia="Palatino Linotype" w:hAnsi="Palatino Linotype"/>
              <w:b w:val="1"/>
              <w:sz w:val="21"/>
              <w:szCs w:val="21"/>
            </w:rPr>
          </w:pPr>
          <w:r w:rsidDel="00000000" w:rsidR="00000000" w:rsidRPr="00000000">
            <w:rPr>
              <w:rFonts w:ascii="Palatino Linotype" w:cs="Palatino Linotype" w:eastAsia="Palatino Linotype" w:hAnsi="Palatino Linotype"/>
              <w:b w:val="1"/>
              <w:sz w:val="21"/>
              <w:szCs w:val="21"/>
              <w:rtl w:val="0"/>
            </w:rPr>
            <w:t xml:space="preserve">Guadalupe Ramírez Peña</w:t>
          </w:r>
        </w:p>
      </w:tc>
    </w:tr>
  </w:tbl>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 w:val="left" w:pos="23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drawing>
        <wp:anchor allowOverlap="1" behindDoc="1" distB="0" distT="0" distL="0" distR="0" hidden="0" layoutInCell="1" locked="0" relativeHeight="0" simplePos="0">
          <wp:simplePos x="0" y="0"/>
          <wp:positionH relativeFrom="column">
            <wp:posOffset>-1156334</wp:posOffset>
          </wp:positionH>
          <wp:positionV relativeFrom="paragraph">
            <wp:posOffset>-1173479</wp:posOffset>
          </wp:positionV>
          <wp:extent cx="7635240" cy="9944100"/>
          <wp:effectExtent b="0" l="0" r="0" t="0"/>
          <wp:wrapNone/>
          <wp:docPr id="61"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7635240" cy="99441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b w:val="1"/>
      </w:rPr>
    </w:lvl>
    <w:lvl w:ilvl="1">
      <w:start w:val="1"/>
      <w:numFmt w:val="decimal"/>
      <w:lvlText w:val="%1.%2."/>
      <w:lvlJc w:val="left"/>
      <w:pPr>
        <w:ind w:left="1155" w:hanging="435"/>
      </w:pPr>
      <w:rPr/>
    </w:lvl>
    <w:lvl w:ilvl="2">
      <w:start w:val="1"/>
      <w:numFmt w:val="decimal"/>
      <w:lvlText w:val="%1.%2.%3."/>
      <w:lvlJc w:val="left"/>
      <w:pPr>
        <w:ind w:left="1800" w:hanging="720"/>
      </w:pPr>
      <w:rPr/>
    </w:lvl>
    <w:lvl w:ilvl="3">
      <w:start w:val="1"/>
      <w:numFmt w:val="decimal"/>
      <w:lvlText w:val="%1.%2.%3.%4."/>
      <w:lvlJc w:val="left"/>
      <w:pPr>
        <w:ind w:left="2160" w:hanging="720"/>
      </w:pPr>
      <w:rPr/>
    </w:lvl>
    <w:lvl w:ilvl="4">
      <w:start w:val="1"/>
      <w:numFmt w:val="decimal"/>
      <w:lvlText w:val="%1.%2.%3.%4.%5."/>
      <w:lvlJc w:val="left"/>
      <w:pPr>
        <w:ind w:left="2880" w:hanging="1080"/>
      </w:pPr>
      <w:rPr/>
    </w:lvl>
    <w:lvl w:ilvl="5">
      <w:start w:val="1"/>
      <w:numFmt w:val="decimal"/>
      <w:lvlText w:val="%1.%2.%3.%4.%5.%6."/>
      <w:lvlJc w:val="left"/>
      <w:pPr>
        <w:ind w:left="3240" w:hanging="1080"/>
      </w:pPr>
      <w:rPr/>
    </w:lvl>
    <w:lvl w:ilvl="6">
      <w:start w:val="1"/>
      <w:numFmt w:val="decimal"/>
      <w:lvlText w:val="%1.%2.%3.%4.%5.%6.%7."/>
      <w:lvlJc w:val="left"/>
      <w:pPr>
        <w:ind w:left="3960" w:hanging="1440"/>
      </w:pPr>
      <w:rPr/>
    </w:lvl>
    <w:lvl w:ilvl="7">
      <w:start w:val="1"/>
      <w:numFmt w:val="decimal"/>
      <w:lvlText w:val="%1.%2.%3.%4.%5.%6.%7.%8."/>
      <w:lvlJc w:val="left"/>
      <w:pPr>
        <w:ind w:left="4320" w:hanging="1440"/>
      </w:pPr>
      <w:rPr/>
    </w:lvl>
    <w:lvl w:ilvl="8">
      <w:start w:val="1"/>
      <w:numFmt w:val="decimal"/>
      <w:lvlText w:val="%1.%2.%3.%4.%5.%6.%7.%8.%9."/>
      <w:lvlJc w:val="left"/>
      <w:pPr>
        <w:ind w:left="5040" w:hanging="1800"/>
      </w:pPr>
      <w:rPr/>
    </w:lvl>
  </w:abstractNum>
  <w:abstractNum w:abstractNumId="3">
    <w:lvl w:ilvl="0">
      <w:start w:val="1"/>
      <w:numFmt w:val="bullet"/>
      <w:lvlText w:val="o"/>
      <w:lvlJc w:val="left"/>
      <w:pPr>
        <w:ind w:left="1440" w:hanging="360"/>
      </w:pPr>
      <w:rPr>
        <w:rFonts w:ascii="Courier New" w:cs="Courier New" w:eastAsia="Courier New" w:hAnsi="Courier New"/>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
    <w:lvl w:ilvl="0">
      <w:start w:val="1"/>
      <w:numFmt w:val="bullet"/>
      <w:lvlText w:val="●"/>
      <w:lvlJc w:val="left"/>
      <w:pPr>
        <w:ind w:left="928" w:hanging="360"/>
      </w:pPr>
      <w:rPr>
        <w:rFonts w:ascii="Noto Sans Symbols" w:cs="Noto Sans Symbols" w:eastAsia="Noto Sans Symbols" w:hAnsi="Noto Sans Symbols"/>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928"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96466"/>
    <w:pPr>
      <w:spacing w:after="0" w:line="240" w:lineRule="auto"/>
    </w:pPr>
    <w:rPr>
      <w:rFonts w:ascii="Times New Roman" w:cs="Times New Roman" w:eastAsia="Times New Roman" w:hAnsi="Times New Roman"/>
      <w:sz w:val="24"/>
      <w:szCs w:val="24"/>
      <w:lang w:eastAsia="es-E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196466"/>
    <w:pPr>
      <w:ind w:left="720"/>
      <w:contextualSpacing w:val="1"/>
    </w:p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196466"/>
    <w:rPr>
      <w:rFonts w:ascii="Times New Roman" w:cs="Times New Roman" w:eastAsia="Times New Roman" w:hAnsi="Times New Roman"/>
      <w:sz w:val="24"/>
      <w:szCs w:val="24"/>
      <w:lang w:eastAsia="es-ES"/>
    </w:rPr>
  </w:style>
  <w:style w:type="paragraph" w:styleId="Encabezado">
    <w:name w:val="header"/>
    <w:basedOn w:val="Normal"/>
    <w:link w:val="EncabezadoCar"/>
    <w:uiPriority w:val="99"/>
    <w:unhideWhenUsed w:val="1"/>
    <w:rsid w:val="00196466"/>
    <w:pPr>
      <w:tabs>
        <w:tab w:val="center" w:pos="4252"/>
        <w:tab w:val="right" w:pos="8504"/>
      </w:tabs>
    </w:pPr>
    <w:rPr>
      <w:rFonts w:ascii="Calibri" w:hAnsi="Calibri"/>
      <w:lang w:val="es-ES_tradnl"/>
    </w:rPr>
  </w:style>
  <w:style w:type="character" w:styleId="EncabezadoCar" w:customStyle="1">
    <w:name w:val="Encabezado Car"/>
    <w:basedOn w:val="Fuentedeprrafopredeter"/>
    <w:link w:val="Encabezado"/>
    <w:uiPriority w:val="99"/>
    <w:rsid w:val="00196466"/>
    <w:rPr>
      <w:rFonts w:ascii="Calibri" w:cs="Times New Roman" w:eastAsia="Times New Roman" w:hAnsi="Calibri"/>
      <w:sz w:val="24"/>
      <w:szCs w:val="24"/>
      <w:lang w:eastAsia="es-ES" w:val="es-ES_tradnl"/>
    </w:rPr>
  </w:style>
  <w:style w:type="paragraph" w:styleId="Piedepgina">
    <w:name w:val="footer"/>
    <w:basedOn w:val="Normal"/>
    <w:link w:val="PiedepginaCar"/>
    <w:uiPriority w:val="99"/>
    <w:unhideWhenUsed w:val="1"/>
    <w:rsid w:val="00196466"/>
    <w:pPr>
      <w:tabs>
        <w:tab w:val="center" w:pos="4252"/>
        <w:tab w:val="right" w:pos="8504"/>
      </w:tabs>
    </w:pPr>
    <w:rPr>
      <w:rFonts w:ascii="Calibri" w:hAnsi="Calibri"/>
      <w:lang w:val="es-ES_tradnl"/>
    </w:rPr>
  </w:style>
  <w:style w:type="character" w:styleId="PiedepginaCar" w:customStyle="1">
    <w:name w:val="Pie de página Car"/>
    <w:basedOn w:val="Fuentedeprrafopredeter"/>
    <w:link w:val="Piedepgina"/>
    <w:uiPriority w:val="99"/>
    <w:rsid w:val="00196466"/>
    <w:rPr>
      <w:rFonts w:ascii="Calibri" w:cs="Times New Roman" w:eastAsia="Times New Roman" w:hAnsi="Calibri"/>
      <w:sz w:val="24"/>
      <w:szCs w:val="24"/>
      <w:lang w:eastAsia="es-ES" w:val="es-ES_tradnl"/>
    </w:rPr>
  </w:style>
  <w:style w:type="character" w:styleId="normaltextrun" w:customStyle="1">
    <w:name w:val="normaltextrun"/>
    <w:basedOn w:val="Fuentedeprrafopredeter"/>
    <w:rsid w:val="00196466"/>
  </w:style>
  <w:style w:type="character" w:styleId="apple-converted-space" w:customStyle="1">
    <w:name w:val="apple-converted-space"/>
    <w:basedOn w:val="Fuentedeprrafopredeter"/>
    <w:rsid w:val="00196466"/>
  </w:style>
  <w:style w:type="paragraph" w:styleId="paragraph" w:customStyle="1">
    <w:name w:val="paragraph"/>
    <w:basedOn w:val="Normal"/>
    <w:rsid w:val="00196466"/>
    <w:pPr>
      <w:spacing w:after="100" w:afterAutospacing="1" w:before="100" w:beforeAutospacing="1"/>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196466"/>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96466"/>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val="1"/>
    <w:qFormat w:val="1"/>
    <w:rsid w:val="00196466"/>
    <w:rPr>
      <w:vertAlign w:val="superscript"/>
    </w:rPr>
  </w:style>
  <w:style w:type="character" w:styleId="Hipervnculo">
    <w:name w:val="Hyperlink"/>
    <w:basedOn w:val="Fuentedeprrafopredeter"/>
    <w:uiPriority w:val="99"/>
    <w:unhideWhenUsed w:val="1"/>
    <w:rsid w:val="00196466"/>
    <w:rPr>
      <w:color w:val="0563c1" w:themeColor="hyperlink"/>
      <w:u w:val="single"/>
    </w:rPr>
  </w:style>
  <w:style w:type="paragraph" w:styleId="Sinespaciado">
    <w:name w:val="No Spacing"/>
    <w:aliases w:val="Francesa,INAI"/>
    <w:link w:val="SinespaciadoCar"/>
    <w:uiPriority w:val="1"/>
    <w:qFormat w:val="1"/>
    <w:rsid w:val="00393814"/>
    <w:pPr>
      <w:spacing w:after="0" w:line="240" w:lineRule="auto"/>
    </w:pPr>
    <w:rPr>
      <w:rFonts w:ascii="Times New Roman" w:cs="Times New Roman" w:eastAsia="Times New Roman" w:hAnsi="Times New Roman"/>
      <w:sz w:val="24"/>
      <w:szCs w:val="24"/>
      <w:lang w:eastAsia="es-ES"/>
    </w:rPr>
  </w:style>
  <w:style w:type="character" w:styleId="SinespaciadoCar" w:customStyle="1">
    <w:name w:val="Sin espaciado Car"/>
    <w:aliases w:val="Francesa Car,INAI Car"/>
    <w:link w:val="Sinespaciado"/>
    <w:uiPriority w:val="1"/>
    <w:locked w:val="1"/>
    <w:rsid w:val="00393814"/>
    <w:rPr>
      <w:rFonts w:ascii="Times New Roman" w:cs="Times New Roman" w:eastAsia="Times New Roman" w:hAnsi="Times New Roman"/>
      <w:sz w:val="24"/>
      <w:szCs w:val="24"/>
      <w:lang w:eastAsia="es-ES"/>
    </w:rPr>
  </w:style>
  <w:style w:type="character" w:styleId="Textoennegrita">
    <w:name w:val="Strong"/>
    <w:basedOn w:val="Fuentedeprrafopredeter"/>
    <w:uiPriority w:val="22"/>
    <w:qFormat w:val="1"/>
    <w:rsid w:val="00393814"/>
    <w:rPr>
      <w:b w:val="1"/>
      <w:bCs w:val="1"/>
    </w:rPr>
  </w:style>
  <w:style w:type="paragraph" w:styleId="Default" w:customStyle="1">
    <w:name w:val="Default"/>
    <w:rsid w:val="00393814"/>
    <w:pPr>
      <w:autoSpaceDE w:val="0"/>
      <w:autoSpaceDN w:val="0"/>
      <w:adjustRightInd w:val="0"/>
      <w:spacing w:after="0" w:line="240" w:lineRule="auto"/>
    </w:pPr>
    <w:rPr>
      <w:rFonts w:ascii="Arial" w:cs="Arial" w:hAnsi="Arial"/>
      <w:color w:val="000000"/>
      <w:sz w:val="24"/>
      <w:szCs w:val="24"/>
    </w:rPr>
  </w:style>
  <w:style w:type="paragraph" w:styleId="Texto" w:customStyle="1">
    <w:name w:val="Texto"/>
    <w:basedOn w:val="Normal"/>
    <w:link w:val="TextoCar"/>
    <w:rsid w:val="00393814"/>
    <w:pPr>
      <w:spacing w:after="101" w:line="216" w:lineRule="exact"/>
      <w:ind w:firstLine="288"/>
      <w:jc w:val="both"/>
    </w:pPr>
    <w:rPr>
      <w:rFonts w:ascii="Arial" w:cs="Arial" w:hAnsi="Arial"/>
      <w:sz w:val="18"/>
      <w:szCs w:val="18"/>
    </w:rPr>
  </w:style>
  <w:style w:type="character" w:styleId="TextoCar" w:customStyle="1">
    <w:name w:val="Texto Car"/>
    <w:link w:val="Texto"/>
    <w:locked w:val="1"/>
    <w:rsid w:val="00393814"/>
    <w:rPr>
      <w:rFonts w:ascii="Arial" w:cs="Arial" w:eastAsia="Times New Roman" w:hAnsi="Arial"/>
      <w:sz w:val="18"/>
      <w:szCs w:val="18"/>
      <w:lang w:eastAsia="es-ES"/>
    </w:rPr>
  </w:style>
  <w:style w:type="paragraph" w:styleId="Textosinformato">
    <w:name w:val="Plain Text"/>
    <w:basedOn w:val="Normal"/>
    <w:link w:val="TextosinformatoCar"/>
    <w:rsid w:val="00393814"/>
    <w:rPr>
      <w:rFonts w:ascii="Courier New" w:hAnsi="Courier New"/>
      <w:sz w:val="20"/>
      <w:szCs w:val="20"/>
      <w:lang w:val="es-ES"/>
    </w:rPr>
  </w:style>
  <w:style w:type="character" w:styleId="TextosinformatoCar" w:customStyle="1">
    <w:name w:val="Texto sin formato Car"/>
    <w:basedOn w:val="Fuentedeprrafopredeter"/>
    <w:link w:val="Textosinformato"/>
    <w:rsid w:val="00393814"/>
    <w:rPr>
      <w:rFonts w:ascii="Courier New" w:cs="Times New Roman" w:eastAsia="Times New Roman" w:hAnsi="Courier New"/>
      <w:sz w:val="20"/>
      <w:szCs w:val="20"/>
      <w:lang w:eastAsia="es-ES" w:val="es-ES"/>
    </w:rPr>
  </w:style>
  <w:style w:type="paragraph" w:styleId="NormalWeb">
    <w:name w:val="Normal (Web)"/>
    <w:basedOn w:val="Normal"/>
    <w:uiPriority w:val="99"/>
    <w:unhideWhenUsed w:val="1"/>
    <w:rsid w:val="00393814"/>
    <w:pPr>
      <w:spacing w:after="100" w:afterAutospacing="1" w:before="100" w:beforeAutospacing="1"/>
    </w:pPr>
    <w:rPr>
      <w:lang w:eastAsia="es-MX"/>
    </w:rPr>
  </w:style>
  <w:style w:type="character" w:styleId="TextodegloboCar" w:customStyle="1">
    <w:name w:val="Texto de globo Car"/>
    <w:basedOn w:val="Fuentedeprrafopredeter"/>
    <w:link w:val="Textodeglobo"/>
    <w:uiPriority w:val="99"/>
    <w:semiHidden w:val="1"/>
    <w:rsid w:val="00393814"/>
    <w:rPr>
      <w:rFonts w:ascii="Segoe UI" w:cs="Segoe UI" w:eastAsia="Times New Roman" w:hAnsi="Segoe UI"/>
      <w:sz w:val="18"/>
      <w:szCs w:val="18"/>
      <w:lang w:eastAsia="es-ES"/>
    </w:rPr>
  </w:style>
  <w:style w:type="paragraph" w:styleId="Textodeglobo">
    <w:name w:val="Balloon Text"/>
    <w:basedOn w:val="Normal"/>
    <w:link w:val="TextodegloboCar"/>
    <w:uiPriority w:val="99"/>
    <w:semiHidden w:val="1"/>
    <w:unhideWhenUsed w:val="1"/>
    <w:rsid w:val="00393814"/>
    <w:rPr>
      <w:rFonts w:ascii="Segoe UI" w:cs="Segoe UI" w:hAnsi="Segoe UI"/>
      <w:sz w:val="18"/>
      <w:szCs w:val="18"/>
    </w:rPr>
  </w:style>
  <w:style w:type="paragraph" w:styleId="m5127500252372250437gmail-paragraph" w:customStyle="1">
    <w:name w:val="m_5127500252372250437gmail-paragraph"/>
    <w:basedOn w:val="Normal"/>
    <w:rsid w:val="009C4080"/>
    <w:pPr>
      <w:spacing w:after="100" w:afterAutospacing="1" w:before="100" w:beforeAutospacing="1"/>
    </w:pPr>
    <w:rPr>
      <w:lang w:eastAsia="es-MX"/>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7.png"/><Relationship Id="rId42" Type="http://schemas.openxmlformats.org/officeDocument/2006/relationships/image" Target="media/image15.png"/><Relationship Id="rId41" Type="http://schemas.openxmlformats.org/officeDocument/2006/relationships/image" Target="media/image19.png"/><Relationship Id="rId44" Type="http://schemas.openxmlformats.org/officeDocument/2006/relationships/image" Target="media/image21.png"/><Relationship Id="rId43" Type="http://schemas.openxmlformats.org/officeDocument/2006/relationships/image" Target="media/image7.png"/><Relationship Id="rId46" Type="http://schemas.openxmlformats.org/officeDocument/2006/relationships/image" Target="media/image14.png"/><Relationship Id="rId45" Type="http://schemas.openxmlformats.org/officeDocument/2006/relationships/image" Target="media/image2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ipomex.org.mx/ipo3/lgt/indice/PAN/art_92_ii_b.web" TargetMode="External"/><Relationship Id="rId48" Type="http://schemas.openxmlformats.org/officeDocument/2006/relationships/image" Target="media/image10.png"/><Relationship Id="rId47" Type="http://schemas.openxmlformats.org/officeDocument/2006/relationships/image" Target="media/image9.png"/><Relationship Id="rId49" Type="http://schemas.openxmlformats.org/officeDocument/2006/relationships/image" Target="media/image12.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saimex.org.mx/saimex/solicitud/downloadAttach/1180167.page" TargetMode="External"/><Relationship Id="rId31" Type="http://schemas.openxmlformats.org/officeDocument/2006/relationships/image" Target="media/image5.png"/><Relationship Id="rId30" Type="http://schemas.openxmlformats.org/officeDocument/2006/relationships/image" Target="media/image3.png"/><Relationship Id="rId33" Type="http://schemas.openxmlformats.org/officeDocument/2006/relationships/image" Target="media/image20.png"/><Relationship Id="rId32" Type="http://schemas.openxmlformats.org/officeDocument/2006/relationships/image" Target="media/image23.png"/><Relationship Id="rId35" Type="http://schemas.openxmlformats.org/officeDocument/2006/relationships/hyperlink" Target="https://www.ipomex.org.mx/ipo3/lgt/indice/PAN/art_92_ii_b.web" TargetMode="External"/><Relationship Id="rId34" Type="http://schemas.openxmlformats.org/officeDocument/2006/relationships/image" Target="media/image8.png"/><Relationship Id="rId37" Type="http://schemas.openxmlformats.org/officeDocument/2006/relationships/image" Target="media/image11.png"/><Relationship Id="rId36" Type="http://schemas.openxmlformats.org/officeDocument/2006/relationships/image" Target="media/image1.png"/><Relationship Id="rId39" Type="http://schemas.openxmlformats.org/officeDocument/2006/relationships/image" Target="media/image2.png"/><Relationship Id="rId38" Type="http://schemas.openxmlformats.org/officeDocument/2006/relationships/hyperlink" Target="https://www.ipomex.org.mx/ipo3/lgt/indice/PAN/art_100_xvi.web" TargetMode="External"/><Relationship Id="rId20" Type="http://schemas.openxmlformats.org/officeDocument/2006/relationships/hyperlink" Target="https://www.saimex.org.mx/saimex/solicitud/downloadAttach/1180169.page" TargetMode="External"/><Relationship Id="rId22" Type="http://schemas.openxmlformats.org/officeDocument/2006/relationships/hyperlink" Target="https://www.ipomex.org.mx/ipo3/lgt/indice/PAN/art_92_ii_b.web" TargetMode="External"/><Relationship Id="rId21" Type="http://schemas.openxmlformats.org/officeDocument/2006/relationships/hyperlink" Target="https://www.saimex.org.mx/saimex/solicitud/downloadAttach/1180170.page" TargetMode="External"/><Relationship Id="rId24" Type="http://schemas.openxmlformats.org/officeDocument/2006/relationships/hyperlink" Target="https://www.ipomex.org.mx/ipo3/lgt/indice/PAN/art_100_xvi.web" TargetMode="External"/><Relationship Id="rId23" Type="http://schemas.openxmlformats.org/officeDocument/2006/relationships/hyperlink" Target="https://www.ipomex.org.mx/ipo3/lgt/indice/PAN/art_100_xvi.web" TargetMode="External"/><Relationship Id="rId26" Type="http://schemas.openxmlformats.org/officeDocument/2006/relationships/hyperlink" Target="https://es.wikipedia.org/wiki/Competencia_(econom%C3%ADa)" TargetMode="External"/><Relationship Id="rId25" Type="http://schemas.openxmlformats.org/officeDocument/2006/relationships/hyperlink" Target="https://es.wikipedia.org/wiki/Jerarqu%C3%ADa" TargetMode="External"/><Relationship Id="rId28" Type="http://schemas.openxmlformats.org/officeDocument/2006/relationships/image" Target="media/image6.png"/><Relationship Id="rId27" Type="http://schemas.openxmlformats.org/officeDocument/2006/relationships/hyperlink" Target="https://www.ipomex.org.mx/ipo3/lgt/indice/PAN/art_92_ii_b.web" TargetMode="External"/><Relationship Id="rId29" Type="http://schemas.openxmlformats.org/officeDocument/2006/relationships/image" Target="media/image18.png"/><Relationship Id="rId51" Type="http://schemas.openxmlformats.org/officeDocument/2006/relationships/image" Target="media/image13.png"/><Relationship Id="rId50" Type="http://schemas.openxmlformats.org/officeDocument/2006/relationships/image" Target="media/image16.png"/><Relationship Id="rId53" Type="http://schemas.openxmlformats.org/officeDocument/2006/relationships/hyperlink" Target="https://www.saimex.org.mx/saimex/solicitud/downloadAttach/1180169.page" TargetMode="External"/><Relationship Id="rId52" Type="http://schemas.openxmlformats.org/officeDocument/2006/relationships/hyperlink" Target="https://www.saimex.org.mx/saimex/solicitud/downloadAttach/1180168.page" TargetMode="External"/><Relationship Id="rId11" Type="http://schemas.openxmlformats.org/officeDocument/2006/relationships/hyperlink" Target="https://www.ipomex.org.mx/ipo3/lgt/indice/PAN/art_100_xvi.web" TargetMode="External"/><Relationship Id="rId55" Type="http://schemas.openxmlformats.org/officeDocument/2006/relationships/header" Target="header2.xml"/><Relationship Id="rId10" Type="http://schemas.openxmlformats.org/officeDocument/2006/relationships/hyperlink" Target="https://www.ipomex.org.mx/ipo3/lgt/indice/PAN/art_100_xvi.web" TargetMode="External"/><Relationship Id="rId54" Type="http://schemas.openxmlformats.org/officeDocument/2006/relationships/hyperlink" Target="https://www.saimex.org.mx/saimex/solicitud/downloadAttach/1180170.page" TargetMode="External"/><Relationship Id="rId13" Type="http://schemas.openxmlformats.org/officeDocument/2006/relationships/hyperlink" Target="https://www.saimex.org.mx/saimex/solicitud/downloadAttach/1180169.page" TargetMode="External"/><Relationship Id="rId57" Type="http://schemas.openxmlformats.org/officeDocument/2006/relationships/footer" Target="footer2.xml"/><Relationship Id="rId12" Type="http://schemas.openxmlformats.org/officeDocument/2006/relationships/hyperlink" Target="https://www.saimex.org.mx/saimex/solicitud/downloadAttach/1180168.page" TargetMode="External"/><Relationship Id="rId56" Type="http://schemas.openxmlformats.org/officeDocument/2006/relationships/header" Target="header1.xml"/><Relationship Id="rId15" Type="http://schemas.openxmlformats.org/officeDocument/2006/relationships/hyperlink" Target="https://www.saimex.org.mx/saimex/solicitud/downloadAttach/1180167.page" TargetMode="External"/><Relationship Id="rId14" Type="http://schemas.openxmlformats.org/officeDocument/2006/relationships/hyperlink" Target="https://www.saimex.org.mx/saimex/solicitud/downloadAttach/1180170.page" TargetMode="External"/><Relationship Id="rId58" Type="http://schemas.openxmlformats.org/officeDocument/2006/relationships/footer" Target="footer1.xml"/><Relationship Id="rId17" Type="http://schemas.openxmlformats.org/officeDocument/2006/relationships/hyperlink" Target="https://www.ipomex.org.mx/ipo3/lgt/indice/PAN/art_100_xvi.web" TargetMode="External"/><Relationship Id="rId16" Type="http://schemas.openxmlformats.org/officeDocument/2006/relationships/hyperlink" Target="https://www.ipomex.org.mx/ipo3/lgt/indice/PAN/art_92_ii_b.web" TargetMode="External"/><Relationship Id="rId19" Type="http://schemas.openxmlformats.org/officeDocument/2006/relationships/hyperlink" Target="https://www.saimex.org.mx/saimex/solicitud/downloadAttach/1180168.page" TargetMode="External"/><Relationship Id="rId18" Type="http://schemas.openxmlformats.org/officeDocument/2006/relationships/hyperlink" Target="https://www.ipomex.org.mx/ipo3/lgt/indice/PAN/art_100_xvi.web"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1/2Kauc5h/3fQ5JaBYwDvIThB8g==">AMUW2mW5OxkRGyHRjr0RznAAK9udXDoj2ci8jclmStSF6mILZJ/xHcxzCeZ63HkF6CdKxYop+OBQOvJV0U/Qfy5Q/lc2HeJPwKgNtyyaV4uIuje48vOAqo9wT55JmFLqZZsMt4PhksTBq1D9zxskbo6sx3xv/qUaxywE4erISU1Aid0+y2K1utspcBAZs7AzaZLYZ3AtCKXY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2021-12-01T01:33:00Z</dcterms:created>
  <dc:creator>Usuario de Windows</dc:creator>
</cp:coreProperties>
</file>