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7C121F0E"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 xml:space="preserve">de fecha </w:t>
      </w:r>
      <w:r w:rsidR="009D6702">
        <w:rPr>
          <w:rStyle w:val="normaltextrun"/>
          <w:rFonts w:ascii="Palatino Linotype" w:hAnsi="Palatino Linotype" w:cs="Arial"/>
        </w:rPr>
        <w:t>primero de septiembre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02D1484E"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9D6702">
        <w:rPr>
          <w:rFonts w:ascii="Palatino Linotype" w:hAnsi="Palatino Linotype" w:cs="Arial"/>
          <w:b/>
          <w:bCs/>
        </w:rPr>
        <w:t>02719</w:t>
      </w:r>
      <w:r w:rsidR="004C49FD">
        <w:rPr>
          <w:rFonts w:ascii="Palatino Linotype" w:hAnsi="Palatino Linotype" w:cs="Arial"/>
          <w:b/>
          <w:bCs/>
        </w:rPr>
        <w:t>/INFOEM/IP/RR/2021</w:t>
      </w:r>
      <w:r w:rsidRPr="00D269C9">
        <w:rPr>
          <w:rFonts w:ascii="Palatino Linotype" w:hAnsi="Palatino Linotype" w:cs="Arial"/>
        </w:rPr>
        <w:t xml:space="preserve">, interpuesto por </w:t>
      </w:r>
      <w:r w:rsidR="009D6702">
        <w:rPr>
          <w:rFonts w:ascii="Palatino Linotype" w:hAnsi="Palatino Linotype" w:cs="Arial"/>
          <w:b/>
        </w:rPr>
        <w:t xml:space="preserve">                     </w:t>
      </w:r>
      <w:r w:rsidR="009D6702">
        <w:rPr>
          <w:rFonts w:ascii="Palatino Linotype" w:hAnsi="Palatino Linotype" w:cs="Arial"/>
        </w:rPr>
        <w:t>, en lo sucesivo el</w:t>
      </w:r>
      <w:r w:rsidR="00DB1296" w:rsidRPr="00080788">
        <w:rPr>
          <w:rFonts w:ascii="Palatino Linotype" w:hAnsi="Palatino Linotype" w:cs="Arial"/>
        </w:rPr>
        <w:t xml:space="preserve"> </w:t>
      </w:r>
      <w:r w:rsidR="00DB1296"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9D6702" w:rsidRPr="009D6702">
        <w:rPr>
          <w:rFonts w:ascii="Palatino Linotype" w:hAnsi="Palatino Linotype" w:cs="Arial"/>
          <w:b/>
        </w:rPr>
        <w:t>00032/ATIZAPAN/IP/2021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9D6702">
        <w:rPr>
          <w:rFonts w:ascii="Palatino Linotype" w:hAnsi="Palatino Linotype" w:cs="Arial"/>
          <w:b/>
        </w:rPr>
        <w:t>Atizapán</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52AE49AE"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9D6702">
        <w:rPr>
          <w:rFonts w:ascii="Palatino Linotype" w:hAnsi="Palatino Linotype" w:cs="Arial"/>
        </w:rPr>
        <w:t xml:space="preserve"> nueve de marzo</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Pr="00D269C9">
        <w:rPr>
          <w:rFonts w:ascii="Palatino Linotype" w:hAnsi="Palatino Linotype" w:cs="Arial"/>
          <w:b/>
        </w:rPr>
        <w:t>recurrente</w:t>
      </w:r>
      <w:r w:rsidRPr="00D269C9">
        <w:rPr>
          <w:rFonts w:ascii="Palatino Linotype" w:hAnsi="Palatino Linotype" w:cs="Arial"/>
        </w:rPr>
        <w:t xml:space="preserve"> 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5E15766D"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9D6702" w:rsidRPr="009D6702">
        <w:rPr>
          <w:rFonts w:ascii="Palatino Linotype" w:hAnsi="Palatino Linotype" w:cs="Arial"/>
          <w:i/>
        </w:rPr>
        <w:t>Solicito en su versión pública los IPH´S (informe policial homologado) de las faltas administrativas que se han realizado en el mes de enero, febrero y marzo del presente año.</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6C180EDA"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lastRenderedPageBreak/>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 de información formulada por el hoy recurrente.</w:t>
      </w:r>
    </w:p>
    <w:p w14:paraId="720D0AD2" w14:textId="4CB2D239"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sidR="006C2893">
        <w:rPr>
          <w:rFonts w:ascii="Palatino Linotype" w:hAnsi="Palatino Linotype" w:cs="Arial"/>
        </w:rPr>
        <w:t xml:space="preserve"> </w:t>
      </w:r>
      <w:r>
        <w:rPr>
          <w:rFonts w:ascii="Palatino Linotype" w:hAnsi="Palatino Linotype" w:cs="Arial"/>
        </w:rPr>
        <w:t>seis de mayo</w:t>
      </w:r>
      <w:r w:rsidR="006C2893">
        <w:rPr>
          <w:rFonts w:ascii="Palatino Linotype" w:hAnsi="Palatino Linotype" w:cs="Arial"/>
        </w:rPr>
        <w:t xml:space="preserve"> de</w:t>
      </w:r>
      <w:r>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41E3C735"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9D6702" w:rsidRPr="009D6702">
        <w:rPr>
          <w:rFonts w:ascii="Palatino Linotype" w:hAnsi="Palatino Linotype" w:cs="Arial"/>
          <w:i/>
        </w:rPr>
        <w:t>la negativa de la información</w:t>
      </w:r>
      <w:r w:rsidR="001004A8">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13D55F12"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9D6702" w:rsidRPr="009D6702">
        <w:rPr>
          <w:rFonts w:ascii="Palatino Linotype" w:hAnsi="Palatino Linotype" w:cs="Arial"/>
          <w:i/>
        </w:rPr>
        <w:t>Solicito se haga valer mi derecho humano de acceso a la información pública, ya que en este caso el sujeto obligado está siendo omiso, también solicito se castigue al servidor público responsable de negarme la información, ya que estoy en estado de indefensión.</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138D4D0" w14:textId="4300700C"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9D6702">
        <w:rPr>
          <w:rFonts w:ascii="Palatino Linotype" w:hAnsi="Palatino Linotype" w:cs="Arial"/>
          <w:b/>
          <w:bCs/>
          <w:sz w:val="23"/>
          <w:szCs w:val="23"/>
        </w:rPr>
        <w:t>02719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 xml:space="preserve">turnado al Comisionado Ponente </w:t>
      </w:r>
      <w:r w:rsidR="009D6702">
        <w:rPr>
          <w:rFonts w:ascii="Palatino Linotype" w:hAnsi="Palatino Linotype"/>
        </w:rPr>
        <w:t>Guadalupe Ramírez Peña</w:t>
      </w:r>
      <w:r w:rsidR="00591A48" w:rsidRPr="00D269C9">
        <w:rPr>
          <w:rFonts w:ascii="Palatino Linotype" w:hAnsi="Palatino Linotype"/>
        </w:rPr>
        <w:t>; a efecto de presentar al Pleno el proyecto de resolución correspondiente.</w:t>
      </w:r>
    </w:p>
    <w:p w14:paraId="3C48FD30" w14:textId="192CBE8C"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715F60">
        <w:rPr>
          <w:rFonts w:ascii="Palatino Linotype" w:hAnsi="Palatino Linotype"/>
        </w:rPr>
        <w:t>once</w:t>
      </w:r>
      <w:r w:rsidR="009D6702">
        <w:rPr>
          <w:rFonts w:ascii="Palatino Linotype" w:hAnsi="Palatino Linotype"/>
        </w:rPr>
        <w:t xml:space="preserve"> de mayo</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lastRenderedPageBreak/>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impetrante omitió realizar manifestaciones.</w:t>
      </w:r>
    </w:p>
    <w:p w14:paraId="67218D91" w14:textId="1E984A9D"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B0282E">
        <w:rPr>
          <w:rFonts w:ascii="Palatino Linotype" w:hAnsi="Palatino Linotype"/>
        </w:rPr>
        <w:t xml:space="preserve"> treinta y uno</w:t>
      </w:r>
      <w:r w:rsidR="00DB1296">
        <w:rPr>
          <w:rFonts w:ascii="Palatino Linotype" w:hAnsi="Palatino Linotype"/>
        </w:rPr>
        <w:t xml:space="preserve"> de agosto</w:t>
      </w:r>
      <w:r w:rsidR="00C17C00">
        <w:rPr>
          <w:rFonts w:ascii="Palatino Linotype" w:hAnsi="Palatino Linotype"/>
        </w:rPr>
        <w:t xml:space="preserve"> de</w:t>
      </w:r>
      <w:r w:rsidR="008C7404">
        <w:rPr>
          <w:rFonts w:ascii="Palatino Linotype" w:hAnsi="Palatino Linotype"/>
        </w:rPr>
        <w:t>l año</w:t>
      </w:r>
      <w:r w:rsidR="00C17C00">
        <w:rPr>
          <w:rFonts w:ascii="Palatino Linotype" w:hAnsi="Palatino Linotype"/>
        </w:rPr>
        <w:t xml:space="preserve"> dos mil veinte</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1842698" w14:textId="0D405460" w:rsidR="00B0282E" w:rsidRDefault="00B0282E" w:rsidP="00B0282E">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t xml:space="preserve">8. </w:t>
      </w:r>
      <w:r w:rsidRPr="008E0A94">
        <w:rPr>
          <w:rFonts w:ascii="Palatino Linotype" w:hAnsi="Palatino Linotype"/>
          <w:b/>
        </w:rPr>
        <w:t>Ampliación del plazo para emitir resolución</w:t>
      </w:r>
      <w:r>
        <w:rPr>
          <w:rFonts w:ascii="Palatino Linotype" w:hAnsi="Palatino Linotype"/>
        </w:rPr>
        <w:t>. En fecha treinta y uno de agosto</w:t>
      </w:r>
      <w:r w:rsidRPr="008E0A94">
        <w:rPr>
          <w:rFonts w:ascii="Palatino Linotype" w:hAnsi="Palatino Linotype"/>
        </w:rPr>
        <w:t xml:space="preserve">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3528E3DA"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 xml:space="preserve">os; 5, párrafos vigésimo </w:t>
      </w:r>
      <w:r w:rsidR="00DB1296">
        <w:rPr>
          <w:rFonts w:ascii="Palatino Linotype" w:hAnsi="Palatino Linotype"/>
          <w:shd w:val="clear" w:color="auto" w:fill="FFFFFF"/>
        </w:rPr>
        <w:lastRenderedPageBreak/>
        <w:t>noveno, trigésimo y trigésimo primero</w:t>
      </w:r>
      <w:r w:rsidRPr="00D269C9">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D269C9">
        <w:rPr>
          <w:rFonts w:ascii="Palatino Linotype" w:hAnsi="Palatino Linotype" w:cs="Arial"/>
          <w:i/>
          <w:sz w:val="22"/>
          <w:szCs w:val="22"/>
          <w:lang w:val="es-MX"/>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46FB5E73" w14:textId="4CB3AA12"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Además, por cuanto hace a la procedibilidad de los recursos de revisión, es de suma importancia señalar que la parte recurrente se identifica como "</w:t>
      </w:r>
      <w:r w:rsidR="008C7404">
        <w:rPr>
          <w:rFonts w:ascii="Palatino Linotype" w:hAnsi="Palatino Linotype" w:cs="Arial"/>
        </w:rPr>
        <w:t xml:space="preserve">                     </w:t>
      </w:r>
      <w:r>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Default="00715F60" w:rsidP="00715F60">
      <w:pPr>
        <w:spacing w:before="240" w:after="240"/>
        <w:ind w:left="567" w:right="474"/>
        <w:contextualSpacing/>
        <w:jc w:val="both"/>
        <w:rPr>
          <w:rFonts w:ascii="Palatino Linotype" w:hAnsi="Palatino Linotype" w:cs="Arial"/>
          <w:i/>
        </w:rPr>
      </w:pPr>
    </w:p>
    <w:p w14:paraId="5D8E5298"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380387C2" w14:textId="77777777" w:rsidR="00715F60"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Default="00715F60" w:rsidP="00715F60">
      <w:pPr>
        <w:spacing w:before="240" w:after="240"/>
        <w:ind w:right="474"/>
        <w:contextualSpacing/>
        <w:jc w:val="both"/>
        <w:rPr>
          <w:rFonts w:ascii="Palatino Linotype" w:hAnsi="Palatino Linotype" w:cs="Arial"/>
          <w:i/>
        </w:rPr>
      </w:pPr>
    </w:p>
    <w:p w14:paraId="7A6B088D"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1F580F02"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2CCAE627"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4E7F74C5"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vigésimo segundo, vigésimo tercero y vigésimo cuarto, de la Constitución Política del Estado Libre y Soberano de México, que determina lo siguiente:</w:t>
      </w:r>
    </w:p>
    <w:p w14:paraId="0AAF9205" w14:textId="77777777" w:rsidR="00715F60"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5C1D242B"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04EDF30C"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47BBFF50"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Pr>
          <w:rFonts w:ascii="Palatino Linotype" w:hAnsi="Palatino Linotype" w:cs="Arial"/>
          <w:i/>
          <w:sz w:val="22"/>
          <w:szCs w:val="22"/>
        </w:rPr>
        <w:lastRenderedPageBreak/>
        <w:t>transparencia, acceso a la información pública y a la protección de datos personales en posesión de los sujetos obligados en los términos que establezca la ley.” (Sic)</w:t>
      </w:r>
    </w:p>
    <w:p w14:paraId="123E746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D269C3A"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14:paraId="5D44364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CE466D1"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Default="00715F60" w:rsidP="00715F60">
      <w:pPr>
        <w:spacing w:line="360" w:lineRule="auto"/>
        <w:jc w:val="both"/>
        <w:rPr>
          <w:rFonts w:ascii="Palatino Linotype" w:hAnsi="Palatino Linotype" w:cs="Arial"/>
        </w:rPr>
      </w:pPr>
    </w:p>
    <w:p w14:paraId="603FB8ED" w14:textId="77777777" w:rsidR="00715F60" w:rsidRDefault="00715F60" w:rsidP="00715F60">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Default="00715F60" w:rsidP="00715F60">
      <w:pPr>
        <w:ind w:left="851" w:right="758"/>
        <w:contextualSpacing/>
        <w:jc w:val="both"/>
        <w:rPr>
          <w:rFonts w:ascii="Palatino Linotype" w:hAnsi="Palatino Linotype"/>
          <w:i/>
        </w:rPr>
      </w:pPr>
    </w:p>
    <w:p w14:paraId="1232FE8A" w14:textId="77777777" w:rsidR="00715F60" w:rsidRDefault="00715F60" w:rsidP="00715F60">
      <w:pPr>
        <w:ind w:left="851" w:right="758"/>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Default="00715F60" w:rsidP="00715F60">
      <w:pPr>
        <w:spacing w:line="360" w:lineRule="auto"/>
        <w:jc w:val="both"/>
        <w:rPr>
          <w:rFonts w:ascii="Palatino Linotype" w:hAnsi="Palatino Linotype"/>
        </w:rPr>
      </w:pPr>
    </w:p>
    <w:p w14:paraId="495BA7AF" w14:textId="11AACB37" w:rsidR="00715F60" w:rsidRDefault="00715F60" w:rsidP="00715F60">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080735">
        <w:rPr>
          <w:rFonts w:ascii="Palatino Linotype" w:hAnsi="Palatino Linotype"/>
        </w:rPr>
        <w:t>nos y 5 párrafo vigésimo noveno, trigésimo y trigésimo primero</w:t>
      </w:r>
      <w:r>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318D191" w14:textId="4D96B4CF"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lastRenderedPageBreak/>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 xml:space="preserve">Ley de Transparencia y Acceso a la Información Pública del Estado de México y Municipios en vigor, en atención a que fue presentado mediante el formato visible </w:t>
      </w:r>
      <w:r w:rsidR="00591A48" w:rsidRPr="00D269C9">
        <w:rPr>
          <w:rFonts w:ascii="Palatino Linotype" w:hAnsi="Palatino Linotype" w:cs="Arial"/>
          <w:b/>
        </w:rPr>
        <w:t xml:space="preserve">EL SAIMEX.  </w:t>
      </w:r>
    </w:p>
    <w:p w14:paraId="4A2C9CF0" w14:textId="7777777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77777777"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33A1084"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p>
    <w:p w14:paraId="459873F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w:t>
      </w:r>
    </w:p>
    <w:p w14:paraId="61F7C317" w14:textId="37B07CC8"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XI.</w:t>
      </w:r>
      <w:r w:rsidRPr="00D269C9">
        <w:rPr>
          <w:rFonts w:ascii="Palatino Linotype" w:hAnsi="Palatino Linotype" w:cs="Arial"/>
          <w:i/>
          <w:sz w:val="22"/>
          <w:szCs w:val="22"/>
        </w:rPr>
        <w:t xml:space="preserve"> La f</w:t>
      </w:r>
      <w:r w:rsidR="00056311">
        <w:rPr>
          <w:rFonts w:ascii="Palatino Linotype" w:hAnsi="Palatino Linotype" w:cs="Arial"/>
          <w:i/>
          <w:sz w:val="22"/>
          <w:szCs w:val="22"/>
        </w:rPr>
        <w:t>alta de trámite a una solicitud</w:t>
      </w:r>
      <w:r w:rsidRPr="00D269C9">
        <w:rPr>
          <w:rFonts w:ascii="Palatino Linotype" w:hAnsi="Palatino Linotype" w:cs="Arial"/>
          <w:i/>
          <w:sz w:val="22"/>
          <w:szCs w:val="22"/>
        </w:rPr>
        <w:t>…”</w:t>
      </w:r>
    </w:p>
    <w:p w14:paraId="79042271" w14:textId="77777777" w:rsidR="00591A48" w:rsidRPr="00D269C9" w:rsidRDefault="00591A48" w:rsidP="00591A48">
      <w:pPr>
        <w:ind w:left="851" w:right="851"/>
        <w:jc w:val="both"/>
        <w:rPr>
          <w:rFonts w:ascii="Palatino Linotype" w:hAnsi="Palatino Linotype" w:cs="Arial"/>
          <w:i/>
        </w:rPr>
      </w:pPr>
    </w:p>
    <w:p w14:paraId="2EAA4821"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xml:space="preserve">,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w:t>
      </w:r>
      <w:r w:rsidRPr="00D269C9">
        <w:rPr>
          <w:rFonts w:ascii="Palatino Linotype" w:hAnsi="Palatino Linotype" w:cs="Arial"/>
        </w:rPr>
        <w:lastRenderedPageBreak/>
        <w:t xml:space="preserve">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559DF639"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Obligado,</w:t>
      </w:r>
      <w:r w:rsidRPr="00D269C9">
        <w:rPr>
          <w:rFonts w:ascii="Palatino Linotype" w:hAnsi="Palatino Linotype" w:cs="Arial"/>
        </w:rPr>
        <w:t xml:space="preserve"> luego,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297CEBCF"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D269C9">
        <w:rPr>
          <w:rFonts w:ascii="Palatino Linotype" w:hAnsi="Palatino Linotype" w:cs="Arial"/>
          <w:b/>
          <w:bCs/>
        </w:rPr>
        <w:t> </w:t>
      </w:r>
      <w:r w:rsidR="00056311">
        <w:rPr>
          <w:rFonts w:ascii="Verdana" w:hAnsi="Verdana"/>
          <w:b/>
          <w:bCs/>
          <w:color w:val="FF0000"/>
        </w:rPr>
        <w:t> </w:t>
      </w:r>
      <w:r w:rsidR="008C7404" w:rsidRPr="008C7404">
        <w:rPr>
          <w:rFonts w:ascii="Palatino Linotype" w:hAnsi="Palatino Linotype" w:cs="Arial"/>
          <w:b/>
        </w:rPr>
        <w:t>00032/ATIZAPAN/IP/2021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7FAD2B73"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Pr="00D269C9">
        <w:rPr>
          <w:rFonts w:ascii="Palatino Linotype" w:hAnsi="Palatino Linotype" w:cs="Arial"/>
          <w:b/>
        </w:rPr>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8C7404">
        <w:rPr>
          <w:rFonts w:ascii="Palatino Linotype" w:hAnsi="Palatino Linotype" w:cs="Arial"/>
        </w:rPr>
        <w:t>Atizapán</w:t>
      </w:r>
      <w:r w:rsidR="006F12F7">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2BFD9696" w14:textId="3391824D" w:rsidR="006F12F7" w:rsidRPr="008C7404" w:rsidRDefault="008C7404" w:rsidP="008C7404">
      <w:pPr>
        <w:pStyle w:val="Prrafodelista"/>
        <w:numPr>
          <w:ilvl w:val="0"/>
          <w:numId w:val="9"/>
        </w:numPr>
        <w:spacing w:before="240" w:after="240" w:line="360" w:lineRule="auto"/>
        <w:jc w:val="both"/>
        <w:rPr>
          <w:rFonts w:ascii="Palatino Linotype" w:hAnsi="Palatino Linotype" w:cs="Arial"/>
          <w:sz w:val="24"/>
          <w:szCs w:val="24"/>
        </w:rPr>
      </w:pPr>
      <w:r w:rsidRPr="008C7404">
        <w:rPr>
          <w:rFonts w:ascii="Palatino Linotype" w:hAnsi="Palatino Linotype" w:cs="Arial"/>
          <w:sz w:val="24"/>
          <w:szCs w:val="24"/>
        </w:rPr>
        <w:t>Versión pública los IPH´S (informe policial homologado) de las faltas administrativas que se han realizado en el mes de enero, febrero y marzo del presente año.</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lastRenderedPageBreak/>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lastRenderedPageBreak/>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551A6A91"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lastRenderedPageBreak/>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Pr>
          <w:rFonts w:ascii="Palatino Linotype" w:hAnsi="Palatino Linotype"/>
          <w:i/>
          <w:sz w:val="22"/>
          <w:szCs w:val="22"/>
        </w:rPr>
        <w:t xml:space="preserve"> [Sic</w:t>
      </w:r>
      <w:r w:rsidRPr="00D269C9">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lastRenderedPageBreak/>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Por su parte, el artículo 53, fracciones II, IV y V de la Ley antes citada establece que </w:t>
      </w:r>
      <w:r w:rsidRPr="002608B8">
        <w:rPr>
          <w:rFonts w:ascii="Palatino Linotype" w:eastAsia="Arial Unicode MS" w:hAnsi="Palatino Linotype" w:cs="Arial"/>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2608B8">
        <w:rPr>
          <w:rFonts w:ascii="Palatino Linotype" w:hAnsi="Palatino Linotype" w:cs="Arial"/>
        </w:rPr>
        <w:lastRenderedPageBreak/>
        <w:t>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tramité y respuesta a la solicitud del particular</w:t>
      </w:r>
    </w:p>
    <w:p w14:paraId="213DF6DB" w14:textId="77777777"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08B8">
        <w:rPr>
          <w:rFonts w:ascii="Palatino Linotype" w:eastAsia="Calibri" w:hAnsi="Palatino Linotype"/>
          <w:b/>
          <w:szCs w:val="22"/>
          <w:lang w:eastAsia="en-US"/>
        </w:rPr>
        <w:t>EL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Ahora bien, en atención al sentido en que se resuelve el presente medio de impugnación, esta Ponencia Resolutora no omite señalar que, s</w:t>
      </w:r>
      <w:r w:rsidRPr="002608B8">
        <w:rPr>
          <w:rFonts w:ascii="Palatino Linotype" w:hAnsi="Palatino Linotype" w:cs="Arial"/>
        </w:rPr>
        <w:t xml:space="preserve">i </w:t>
      </w:r>
      <w:r w:rsidRPr="002608B8">
        <w:rPr>
          <w:rFonts w:ascii="Palatino Linotype" w:hAnsi="Palatino Linotype" w:cs="Arial"/>
          <w:b/>
        </w:rPr>
        <w:t>EL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Pr="002608B8">
        <w:rPr>
          <w:rFonts w:ascii="Palatino Linotype" w:hAnsi="Palatino Linotype"/>
          <w:b/>
        </w:rPr>
        <w:t xml:space="preserve">EL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xml:space="preserve">, teniendo el deber los primeros de ellos de presentar ante la Unidad de </w:t>
      </w:r>
      <w:r w:rsidRPr="002608B8">
        <w:rPr>
          <w:rFonts w:ascii="Palatino Linotype" w:hAnsi="Palatino Linotype" w:cs="Arial"/>
        </w:rPr>
        <w:lastRenderedPageBreak/>
        <w:t>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Pr="002608B8">
        <w:rPr>
          <w:rFonts w:ascii="Palatino Linotype" w:hAnsi="Palatino Linotype" w:cs="Arial"/>
          <w:b/>
        </w:rPr>
        <w:t>EL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w:t>
      </w:r>
      <w:r w:rsidRPr="002608B8">
        <w:rPr>
          <w:rFonts w:ascii="Palatino Linotype" w:hAnsi="Palatino Linotype" w:cs="Arial"/>
        </w:rPr>
        <w:lastRenderedPageBreak/>
        <w:t xml:space="preserve">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w:t>
      </w:r>
      <w:r w:rsidRPr="002608B8">
        <w:rPr>
          <w:rFonts w:ascii="Palatino Linotype" w:eastAsia="Calibri" w:hAnsi="Palatino Linotype" w:cs="Arial"/>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7777777"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 xml:space="preserve">Por todo lo anterior, la reserva de la información implica una clasificación, la cual debe entenderse como el proceso mediante el cual </w:t>
      </w:r>
      <w:r w:rsidRPr="002608B8">
        <w:rPr>
          <w:rFonts w:ascii="Palatino Linotype" w:hAnsi="Palatino Linotype"/>
          <w:b/>
          <w:bCs/>
        </w:rPr>
        <w:t>EL SUJETO OBLIGADO</w:t>
      </w:r>
      <w:r w:rsidRPr="002608B8">
        <w:rPr>
          <w:rFonts w:ascii="Palatino Linotype" w:hAnsi="Palatino Linotype"/>
          <w:bCs/>
        </w:rPr>
        <w:t xml:space="preserve"> determina que la información en su poder, actualiza alguno de los supuestos conforme a las normas aplicables.</w:t>
      </w:r>
    </w:p>
    <w:p w14:paraId="435FCA26"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w:t>
      </w:r>
      <w:r w:rsidRPr="002608B8">
        <w:rPr>
          <w:rFonts w:ascii="Palatino Linotype" w:hAnsi="Palatino Linotype"/>
        </w:rPr>
        <w:lastRenderedPageBreak/>
        <w:t xml:space="preserve">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Pr="002608B8">
        <w:rPr>
          <w:rFonts w:ascii="Palatino Linotype" w:hAnsi="Palatino Linotype"/>
          <w:b/>
        </w:rPr>
        <w:t>EL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este Órgano Garante de la Protección de Datos Personales no omite mencionar que, si dentro de la información que se ordena su entrega, </w:t>
      </w:r>
      <w:r w:rsidRPr="002608B8">
        <w:rPr>
          <w:rFonts w:ascii="Palatino Linotype" w:hAnsi="Palatino Linotype" w:cs="Arial"/>
          <w:b/>
        </w:rPr>
        <w:t xml:space="preserve">EL SUJETO </w:t>
      </w:r>
      <w:r w:rsidRPr="002608B8">
        <w:rPr>
          <w:rFonts w:ascii="Palatino Linotype" w:hAnsi="Palatino Linotype" w:cs="Arial"/>
          <w:b/>
        </w:rPr>
        <w:lastRenderedPageBreak/>
        <w:t xml:space="preserve">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7777777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Pr="002608B8">
        <w:rPr>
          <w:rFonts w:ascii="Palatino Linotype" w:hAnsi="Palatino Linotype"/>
          <w:b/>
        </w:rPr>
        <w:t>EL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 xml:space="preserve">En tal caso, la declaratoria a que se ha hecho referencia deberá realizarse, conforme a lo dispuesto en los artículos 49, fracciones II y XIII, 169 y 170 de la Ley de </w:t>
      </w:r>
      <w:r w:rsidRPr="002608B8">
        <w:rPr>
          <w:rFonts w:ascii="Palatino Linotype" w:hAnsi="Palatino Linotype"/>
          <w:lang w:eastAsia="es-MX"/>
        </w:rPr>
        <w:lastRenderedPageBreak/>
        <w:t>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lastRenderedPageBreak/>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46422548"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lastRenderedPageBreak/>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recurrente,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26A56652"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454394">
        <w:rPr>
          <w:rFonts w:ascii="Verdana" w:hAnsi="Verdana"/>
          <w:b/>
          <w:bCs/>
          <w:color w:val="FF0000"/>
        </w:rPr>
        <w:t> </w:t>
      </w:r>
      <w:r w:rsidR="00454394" w:rsidRPr="00454394">
        <w:rPr>
          <w:rFonts w:ascii="Palatino Linotype" w:hAnsi="Palatino Linotype"/>
          <w:b/>
          <w:bCs/>
          <w:color w:val="222222"/>
          <w:lang w:eastAsia="es-MX"/>
        </w:rPr>
        <w:t>00032/ATIZAPAN/IP/2021</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1"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1"/>
    </w:p>
    <w:p w14:paraId="27400242" w14:textId="77777777"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Hágase del conocimiento</w:t>
      </w:r>
      <w:r>
        <w:rPr>
          <w:rFonts w:ascii="Palatino Linotype" w:eastAsia="Palatino Linotype" w:hAnsi="Palatino Linotype" w:cs="Palatino Linotype"/>
        </w:rPr>
        <w:t xml:space="preserve"> del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45BB1237"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591A48" w:rsidRPr="002F2EFA">
        <w:rPr>
          <w:rFonts w:ascii="Palatino Linotype" w:hAnsi="Palatino Linotype"/>
          <w:b/>
          <w:color w:val="222222"/>
          <w:szCs w:val="17"/>
          <w:lang w:eastAsia="es-ES_tradnl"/>
        </w:rPr>
        <w:t xml:space="preserve">Hágase del conocimiento </w:t>
      </w:r>
      <w:r w:rsidR="00591A48" w:rsidRPr="002F2EFA">
        <w:rPr>
          <w:rFonts w:ascii="Palatino Linotype" w:hAnsi="Palatino Linotype"/>
          <w:color w:val="222222"/>
          <w:szCs w:val="17"/>
          <w:lang w:eastAsia="es-ES_tradnl"/>
        </w:rPr>
        <w:t xml:space="preserve">del </w:t>
      </w:r>
      <w:r w:rsidR="00591A48" w:rsidRPr="002F2EFA">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w:t>
      </w:r>
      <w:r w:rsidR="00591A48" w:rsidRPr="002F2EFA">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34E8670A" w:rsidR="00591A48" w:rsidRPr="00D269C9" w:rsidRDefault="001062B2" w:rsidP="00591A48">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7A178670" w14:textId="0FF0DBC9" w:rsidR="00727FD8" w:rsidRPr="00727FD8" w:rsidRDefault="00727FD8" w:rsidP="00727FD8">
      <w:pPr>
        <w:spacing w:line="360" w:lineRule="auto"/>
        <w:ind w:right="49"/>
        <w:jc w:val="both"/>
        <w:rPr>
          <w:rFonts w:ascii="Palatino Linotype" w:hAnsi="Palatino Linotype"/>
        </w:r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TRIGÉSIMA</w:t>
      </w:r>
      <w:r w:rsidRPr="00727FD8">
        <w:rPr>
          <w:rFonts w:ascii="Palatino Linotype" w:hAnsi="Palatino Linotype"/>
        </w:rPr>
        <w:t xml:space="preserve"> SESIÓN ORDINARIA CELEBRADA EL </w:t>
      </w:r>
      <w:r>
        <w:rPr>
          <w:rFonts w:ascii="Palatino Linotype" w:hAnsi="Palatino Linotype"/>
        </w:rPr>
        <w:t>PRIMERO DE SEPTIEMBRE</w:t>
      </w:r>
      <w:r w:rsidRPr="00727FD8">
        <w:rPr>
          <w:rFonts w:ascii="Palatino Linotype" w:hAnsi="Palatino Linotype"/>
        </w:rPr>
        <w:t xml:space="preserve"> DE DOS MIL VEINTIUNO, ANTE EL SECRETARIO TÉCNICO DEL PLENO ALEXIS TAPIA RAMÍREZ.</w:t>
      </w:r>
    </w:p>
    <w:p w14:paraId="3BAF7F7C" w14:textId="5BB42BC9" w:rsidR="00CF4F4D" w:rsidRDefault="00CF4F4D" w:rsidP="00591A48">
      <w:pPr>
        <w:tabs>
          <w:tab w:val="left" w:pos="709"/>
        </w:tabs>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A009E4E" wp14:editId="0396FF86">
                <wp:simplePos x="0" y="0"/>
                <wp:positionH relativeFrom="column">
                  <wp:posOffset>112242</wp:posOffset>
                </wp:positionH>
                <wp:positionV relativeFrom="paragraph">
                  <wp:posOffset>99822</wp:posOffset>
                </wp:positionV>
                <wp:extent cx="5508345" cy="2706624"/>
                <wp:effectExtent l="0" t="0" r="35560" b="36830"/>
                <wp:wrapNone/>
                <wp:docPr id="2" name="Conector recto 2"/>
                <wp:cNvGraphicFramePr/>
                <a:graphic xmlns:a="http://schemas.openxmlformats.org/drawingml/2006/main">
                  <a:graphicData uri="http://schemas.microsoft.com/office/word/2010/wordprocessingShape">
                    <wps:wsp>
                      <wps:cNvCnPr/>
                      <wps:spPr>
                        <a:xfrm>
                          <a:off x="0" y="0"/>
                          <a:ext cx="5508345" cy="2706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61802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7.85pt" to="442.6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" strokecolor="black [3200]" strokeweight=".5pt">
                <v:stroke joinstyle="miter"/>
              </v:line>
            </w:pict>
          </mc:Fallback>
        </mc:AlternateContent>
      </w: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bookmarkStart w:id="2" w:name="_GoBack"/>
      <w:bookmarkEnd w:id="2"/>
    </w:p>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679D" w14:textId="77777777" w:rsidR="00E43098" w:rsidRDefault="00E43098" w:rsidP="00591A48">
      <w:r>
        <w:separator/>
      </w:r>
    </w:p>
  </w:endnote>
  <w:endnote w:type="continuationSeparator" w:id="0">
    <w:p w14:paraId="622B4FAE" w14:textId="77777777" w:rsidR="00E43098" w:rsidRDefault="00E4309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2283">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2283">
      <w:rPr>
        <w:rFonts w:ascii="Arial" w:hAnsi="Arial" w:cs="Arial"/>
        <w:b/>
        <w:bCs/>
        <w:noProof/>
        <w:sz w:val="20"/>
        <w:szCs w:val="20"/>
      </w:rPr>
      <w:t>30</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2283">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2283">
      <w:rPr>
        <w:rFonts w:ascii="Arial" w:hAnsi="Arial" w:cs="Arial"/>
        <w:b/>
        <w:bCs/>
        <w:noProof/>
        <w:sz w:val="20"/>
        <w:szCs w:val="20"/>
      </w:rPr>
      <w:t>30</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86D24" w14:textId="77777777" w:rsidR="00E43098" w:rsidRDefault="00E43098" w:rsidP="00591A48">
      <w:r>
        <w:separator/>
      </w:r>
    </w:p>
  </w:footnote>
  <w:footnote w:type="continuationSeparator" w:id="0">
    <w:p w14:paraId="6503BD80" w14:textId="77777777" w:rsidR="00E43098" w:rsidRDefault="00E4309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4EC756A6" w:rsidR="00454394"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02719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3EB44420"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9D6702">
            <w:rPr>
              <w:rFonts w:ascii="Palatino Linotype" w:hAnsi="Palatino Linotype"/>
              <w:b/>
              <w:sz w:val="21"/>
              <w:szCs w:val="21"/>
              <w:lang w:val="es-ES_tradnl"/>
            </w:rPr>
            <w:t>Atizapán</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Comisionado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77777777"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1C12092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66712108" w:rsidR="001004A8"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02719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7626739B" w:rsidR="00454394" w:rsidRPr="00967A19" w:rsidRDefault="00454394" w:rsidP="00454394">
          <w:pPr>
            <w:jc w:val="both"/>
            <w:rPr>
              <w:rFonts w:ascii="Palatino Linotype" w:hAnsi="Palatino Linotype"/>
              <w:b/>
              <w:sz w:val="21"/>
              <w:szCs w:val="21"/>
              <w:lang w:val="es-ES_tradnl"/>
            </w:rPr>
          </w:pP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21D9CABB"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9D6702">
            <w:rPr>
              <w:rFonts w:ascii="Palatino Linotype" w:hAnsi="Palatino Linotype"/>
              <w:b/>
              <w:sz w:val="21"/>
              <w:szCs w:val="21"/>
              <w:lang w:val="es-ES_tradnl"/>
            </w:rPr>
            <w:t>Atizapán</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77777777"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EEB4" w14:textId="3E801970" w:rsidR="00CF4F4D" w:rsidRDefault="00CF4F4D" w:rsidP="00454394">
    <w:pPr>
      <w:pStyle w:val="Encabezado"/>
      <w:jc w:val="both"/>
    </w:pPr>
    <w:r>
      <w:t xml:space="preserve">                                  </w:t>
    </w:r>
  </w:p>
  <w:p w14:paraId="66286C85" w14:textId="77777777" w:rsidR="00CF4F4D" w:rsidRDefault="00CF4F4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6311"/>
    <w:rsid w:val="00080735"/>
    <w:rsid w:val="000C088A"/>
    <w:rsid w:val="000D2283"/>
    <w:rsid w:val="001004A8"/>
    <w:rsid w:val="00101B5B"/>
    <w:rsid w:val="001062B2"/>
    <w:rsid w:val="001B3BE7"/>
    <w:rsid w:val="002012C3"/>
    <w:rsid w:val="00225930"/>
    <w:rsid w:val="002608B8"/>
    <w:rsid w:val="00293F41"/>
    <w:rsid w:val="002B2A3C"/>
    <w:rsid w:val="002F2EFA"/>
    <w:rsid w:val="0030234D"/>
    <w:rsid w:val="0032550C"/>
    <w:rsid w:val="00396D84"/>
    <w:rsid w:val="004326BF"/>
    <w:rsid w:val="00454394"/>
    <w:rsid w:val="004B13D4"/>
    <w:rsid w:val="004C49FD"/>
    <w:rsid w:val="004F7E3B"/>
    <w:rsid w:val="00515797"/>
    <w:rsid w:val="00541055"/>
    <w:rsid w:val="00591A48"/>
    <w:rsid w:val="005B4372"/>
    <w:rsid w:val="005D396B"/>
    <w:rsid w:val="00624F3E"/>
    <w:rsid w:val="00663588"/>
    <w:rsid w:val="006C2893"/>
    <w:rsid w:val="006E1523"/>
    <w:rsid w:val="006F12F7"/>
    <w:rsid w:val="00715F60"/>
    <w:rsid w:val="00727FD8"/>
    <w:rsid w:val="00733FA1"/>
    <w:rsid w:val="007343F2"/>
    <w:rsid w:val="00761D2F"/>
    <w:rsid w:val="007B623E"/>
    <w:rsid w:val="00806FB3"/>
    <w:rsid w:val="00836CA4"/>
    <w:rsid w:val="00837C85"/>
    <w:rsid w:val="00840CFA"/>
    <w:rsid w:val="008C7404"/>
    <w:rsid w:val="00943C89"/>
    <w:rsid w:val="009D4FDC"/>
    <w:rsid w:val="009D6702"/>
    <w:rsid w:val="00A21514"/>
    <w:rsid w:val="00B0282E"/>
    <w:rsid w:val="00B3203F"/>
    <w:rsid w:val="00B81B4D"/>
    <w:rsid w:val="00BC42D0"/>
    <w:rsid w:val="00C1399A"/>
    <w:rsid w:val="00C17C00"/>
    <w:rsid w:val="00CC7862"/>
    <w:rsid w:val="00CF4F4D"/>
    <w:rsid w:val="00D33422"/>
    <w:rsid w:val="00D95B57"/>
    <w:rsid w:val="00DB1296"/>
    <w:rsid w:val="00DB583B"/>
    <w:rsid w:val="00E43098"/>
    <w:rsid w:val="00E50F7E"/>
    <w:rsid w:val="00E70E3E"/>
    <w:rsid w:val="00F1271C"/>
    <w:rsid w:val="00F35357"/>
    <w:rsid w:val="00FB0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C313-3F87-4E38-8F20-62A4CCB7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8058</Words>
  <Characters>44320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2</cp:revision>
  <dcterms:created xsi:type="dcterms:W3CDTF">2021-09-02T14:57:00Z</dcterms:created>
  <dcterms:modified xsi:type="dcterms:W3CDTF">2021-09-02T14:57:00Z</dcterms:modified>
</cp:coreProperties>
</file>