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335" w:rsidRDefault="00C22335">
      <w:pPr>
        <w:widowControl w:val="0"/>
        <w:pBdr>
          <w:top w:val="nil"/>
          <w:left w:val="nil"/>
          <w:bottom w:val="nil"/>
          <w:right w:val="nil"/>
          <w:between w:val="nil"/>
        </w:pBdr>
        <w:spacing w:line="276" w:lineRule="auto"/>
      </w:pPr>
    </w:p>
    <w:p w:rsidR="00C22335" w:rsidRDefault="00C22335">
      <w:pPr>
        <w:spacing w:line="360" w:lineRule="auto"/>
        <w:rPr>
          <w:rFonts w:ascii="Palatino Linotype" w:eastAsia="Palatino Linotype" w:hAnsi="Palatino Linotype" w:cs="Palatino Linotype"/>
        </w:rPr>
      </w:pPr>
    </w:p>
    <w:p w:rsidR="00C22335" w:rsidRPr="00681C2A" w:rsidRDefault="00492294">
      <w:pPr>
        <w:tabs>
          <w:tab w:val="left" w:pos="0"/>
        </w:tabs>
        <w:spacing w:line="360" w:lineRule="auto"/>
        <w:jc w:val="both"/>
        <w:rPr>
          <w:rFonts w:ascii="Palatino Linotype" w:eastAsia="Palatino Linotype" w:hAnsi="Palatino Linotype" w:cs="Palatino Linotype"/>
        </w:rPr>
      </w:pPr>
      <w:r w:rsidRPr="00681C2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uno (01) de diciembre  de dos mil veintiuno. </w:t>
      </w:r>
    </w:p>
    <w:p w:rsidR="00C22335" w:rsidRPr="00681C2A" w:rsidRDefault="00C22335">
      <w:pPr>
        <w:tabs>
          <w:tab w:val="left" w:pos="0"/>
        </w:tabs>
        <w:spacing w:line="360" w:lineRule="auto"/>
        <w:jc w:val="both"/>
        <w:rPr>
          <w:rFonts w:ascii="Palatino Linotype" w:eastAsia="Palatino Linotype" w:hAnsi="Palatino Linotype" w:cs="Palatino Linotype"/>
        </w:rPr>
      </w:pPr>
    </w:p>
    <w:p w:rsidR="00C22335" w:rsidRPr="00681C2A" w:rsidRDefault="00492294">
      <w:pPr>
        <w:spacing w:line="360" w:lineRule="auto"/>
        <w:jc w:val="both"/>
        <w:rPr>
          <w:rFonts w:ascii="Palatino Linotype" w:eastAsia="Palatino Linotype" w:hAnsi="Palatino Linotype" w:cs="Palatino Linotype"/>
        </w:rPr>
      </w:pPr>
      <w:r w:rsidRPr="00681C2A">
        <w:rPr>
          <w:rFonts w:ascii="Palatino Linotype" w:eastAsia="Palatino Linotype" w:hAnsi="Palatino Linotype" w:cs="Palatino Linotype"/>
          <w:b/>
        </w:rPr>
        <w:t>VISTO</w:t>
      </w:r>
      <w:r w:rsidRPr="00681C2A">
        <w:rPr>
          <w:rFonts w:ascii="Palatino Linotype" w:eastAsia="Palatino Linotype" w:hAnsi="Palatino Linotype" w:cs="Palatino Linotype"/>
        </w:rPr>
        <w:t xml:space="preserve"> el expediente electrónico formado con motivo del recurso de revisión </w:t>
      </w:r>
      <w:r w:rsidRPr="00681C2A">
        <w:rPr>
          <w:rFonts w:ascii="Palatino Linotype" w:eastAsia="Palatino Linotype" w:hAnsi="Palatino Linotype" w:cs="Palatino Linotype"/>
          <w:b/>
        </w:rPr>
        <w:t xml:space="preserve">04883/INFOEM/IP/RR/2021, </w:t>
      </w:r>
      <w:r w:rsidRPr="00681C2A">
        <w:rPr>
          <w:rFonts w:ascii="Palatino Linotype" w:eastAsia="Palatino Linotype" w:hAnsi="Palatino Linotype" w:cs="Palatino Linotype"/>
        </w:rPr>
        <w:t xml:space="preserve">promovido </w:t>
      </w:r>
      <w:r w:rsidR="00681C2A" w:rsidRPr="00681C2A">
        <w:rPr>
          <w:rFonts w:ascii="Palatino Linotype" w:eastAsia="Palatino Linotype" w:hAnsi="Palatino Linotype" w:cs="Palatino Linotype"/>
          <w:b/>
        </w:rPr>
        <w:t>XXXXXXXXXXXXXXXXXXX</w:t>
      </w:r>
      <w:r w:rsidRPr="00681C2A">
        <w:rPr>
          <w:rFonts w:ascii="Palatino Linotype" w:eastAsia="Palatino Linotype" w:hAnsi="Palatino Linotype" w:cs="Palatino Linotype"/>
        </w:rPr>
        <w:t xml:space="preserve">, quien en lo sucesivo se le identificara como </w:t>
      </w:r>
      <w:r w:rsidRPr="00681C2A">
        <w:rPr>
          <w:rFonts w:ascii="Palatino Linotype" w:eastAsia="Palatino Linotype" w:hAnsi="Palatino Linotype" w:cs="Palatino Linotype"/>
          <w:b/>
        </w:rPr>
        <w:t>RECURRENTE</w:t>
      </w:r>
      <w:r w:rsidRPr="00681C2A">
        <w:rPr>
          <w:rFonts w:ascii="Palatino Linotype" w:eastAsia="Palatino Linotype" w:hAnsi="Palatino Linotype" w:cs="Palatino Linotype"/>
        </w:rPr>
        <w:t xml:space="preserve">, en contra de la respuesta del  </w:t>
      </w:r>
      <w:r w:rsidRPr="00681C2A">
        <w:rPr>
          <w:rFonts w:ascii="Palatino Linotype" w:eastAsia="Palatino Linotype" w:hAnsi="Palatino Linotype" w:cs="Palatino Linotype"/>
          <w:b/>
        </w:rPr>
        <w:t xml:space="preserve">Ayuntamiento de </w:t>
      </w:r>
      <w:proofErr w:type="spellStart"/>
      <w:r w:rsidRPr="00681C2A">
        <w:rPr>
          <w:rFonts w:ascii="Palatino Linotype" w:eastAsia="Palatino Linotype" w:hAnsi="Palatino Linotype" w:cs="Palatino Linotype"/>
          <w:b/>
        </w:rPr>
        <w:t>Capulhuac</w:t>
      </w:r>
      <w:proofErr w:type="spellEnd"/>
      <w:r w:rsidRPr="00681C2A">
        <w:rPr>
          <w:rFonts w:ascii="Palatino Linotype" w:eastAsia="Palatino Linotype" w:hAnsi="Palatino Linotype" w:cs="Palatino Linotype"/>
          <w:b/>
        </w:rPr>
        <w:t xml:space="preserve">, </w:t>
      </w:r>
      <w:r w:rsidRPr="00681C2A">
        <w:rPr>
          <w:rFonts w:ascii="Palatino Linotype" w:eastAsia="Palatino Linotype" w:hAnsi="Palatino Linotype" w:cs="Palatino Linotype"/>
        </w:rPr>
        <w:t xml:space="preserve">en lo sucesivo </w:t>
      </w:r>
      <w:r w:rsidRPr="00681C2A">
        <w:rPr>
          <w:rFonts w:ascii="Palatino Linotype" w:eastAsia="Palatino Linotype" w:hAnsi="Palatino Linotype" w:cs="Palatino Linotype"/>
        </w:rPr>
        <w:t>el</w:t>
      </w:r>
      <w:r w:rsidRPr="00681C2A">
        <w:rPr>
          <w:rFonts w:ascii="Palatino Linotype" w:eastAsia="Palatino Linotype" w:hAnsi="Palatino Linotype" w:cs="Palatino Linotype"/>
          <w:b/>
        </w:rPr>
        <w:t xml:space="preserve"> SUJETO OBLIGADO, </w:t>
      </w:r>
      <w:r w:rsidRPr="00681C2A">
        <w:rPr>
          <w:rFonts w:ascii="Palatino Linotype" w:eastAsia="Palatino Linotype" w:hAnsi="Palatino Linotype" w:cs="Palatino Linotype"/>
        </w:rPr>
        <w:t xml:space="preserve">se procede a dictar la presente resolución, con base en los siguientes: </w:t>
      </w:r>
    </w:p>
    <w:p w:rsidR="00C22335" w:rsidRPr="00681C2A" w:rsidRDefault="00C22335">
      <w:pPr>
        <w:spacing w:line="360" w:lineRule="auto"/>
        <w:jc w:val="both"/>
        <w:rPr>
          <w:rFonts w:ascii="Palatino Linotype" w:eastAsia="Palatino Linotype" w:hAnsi="Palatino Linotype" w:cs="Palatino Linotype"/>
        </w:rPr>
      </w:pPr>
    </w:p>
    <w:p w:rsidR="00C22335" w:rsidRPr="00681C2A" w:rsidRDefault="00492294">
      <w:pPr>
        <w:keepNext/>
        <w:keepLines/>
        <w:tabs>
          <w:tab w:val="left" w:pos="0"/>
        </w:tabs>
        <w:spacing w:line="360" w:lineRule="auto"/>
        <w:jc w:val="center"/>
        <w:rPr>
          <w:rFonts w:ascii="Palatino Linotype" w:eastAsia="Palatino Linotype" w:hAnsi="Palatino Linotype" w:cs="Palatino Linotype"/>
          <w:b/>
        </w:rPr>
      </w:pPr>
      <w:bookmarkStart w:id="0" w:name="_heading=h.gjdgxs" w:colFirst="0" w:colLast="0"/>
      <w:bookmarkEnd w:id="0"/>
      <w:r w:rsidRPr="00681C2A">
        <w:rPr>
          <w:rFonts w:ascii="Palatino Linotype" w:eastAsia="Palatino Linotype" w:hAnsi="Palatino Linotype" w:cs="Palatino Linotype"/>
          <w:b/>
        </w:rPr>
        <w:t>ANTECEDENTES</w:t>
      </w:r>
    </w:p>
    <w:p w:rsidR="00C22335" w:rsidRPr="00681C2A" w:rsidRDefault="00C22335">
      <w:pPr>
        <w:keepNext/>
        <w:keepLines/>
        <w:tabs>
          <w:tab w:val="left" w:pos="0"/>
        </w:tabs>
        <w:spacing w:line="360" w:lineRule="auto"/>
        <w:rPr>
          <w:rFonts w:ascii="Palatino Linotype" w:eastAsia="Palatino Linotype" w:hAnsi="Palatino Linotype" w:cs="Palatino Linotype"/>
          <w:b/>
        </w:rPr>
      </w:pPr>
    </w:p>
    <w:p w:rsidR="00C22335" w:rsidRPr="00681C2A" w:rsidRDefault="00492294">
      <w:pPr>
        <w:numPr>
          <w:ilvl w:val="0"/>
          <w:numId w:val="2"/>
        </w:numPr>
        <w:tabs>
          <w:tab w:val="left" w:pos="0"/>
        </w:tabs>
        <w:spacing w:line="360" w:lineRule="auto"/>
        <w:ind w:left="0" w:firstLine="0"/>
        <w:jc w:val="both"/>
        <w:rPr>
          <w:rFonts w:ascii="Palatino Linotype" w:eastAsia="Palatino Linotype" w:hAnsi="Palatino Linotype" w:cs="Palatino Linotype"/>
        </w:rPr>
      </w:pPr>
      <w:r w:rsidRPr="00681C2A">
        <w:rPr>
          <w:rFonts w:ascii="Palatino Linotype" w:eastAsia="Palatino Linotype" w:hAnsi="Palatino Linotype" w:cs="Palatino Linotype"/>
        </w:rPr>
        <w:t>El tres (03) de septiembre  de dos mil veintiuno, el</w:t>
      </w:r>
      <w:r w:rsidRPr="00681C2A">
        <w:rPr>
          <w:rFonts w:ascii="Palatino Linotype" w:eastAsia="Palatino Linotype" w:hAnsi="Palatino Linotype" w:cs="Palatino Linotype"/>
          <w:b/>
        </w:rPr>
        <w:t xml:space="preserve"> </w:t>
      </w:r>
      <w:r w:rsidRPr="00681C2A">
        <w:rPr>
          <w:rFonts w:ascii="Palatino Linotype" w:eastAsia="Palatino Linotype" w:hAnsi="Palatino Linotype" w:cs="Palatino Linotype"/>
        </w:rPr>
        <w:t>solicitante</w:t>
      </w:r>
      <w:r w:rsidRPr="00681C2A">
        <w:rPr>
          <w:rFonts w:ascii="Palatino Linotype" w:eastAsia="Palatino Linotype" w:hAnsi="Palatino Linotype" w:cs="Palatino Linotype"/>
          <w:b/>
        </w:rPr>
        <w:t xml:space="preserve">  </w:t>
      </w:r>
      <w:r w:rsidRPr="00681C2A">
        <w:rPr>
          <w:rFonts w:ascii="Palatino Linotype" w:eastAsia="Palatino Linotype" w:hAnsi="Palatino Linotype" w:cs="Palatino Linotype"/>
        </w:rPr>
        <w:t>presentó</w:t>
      </w:r>
      <w:r w:rsidRPr="00681C2A">
        <w:rPr>
          <w:rFonts w:ascii="Palatino Linotype" w:eastAsia="Palatino Linotype" w:hAnsi="Palatino Linotype" w:cs="Palatino Linotype"/>
          <w:b/>
        </w:rPr>
        <w:t xml:space="preserve"> </w:t>
      </w:r>
      <w:r w:rsidRPr="00681C2A">
        <w:rPr>
          <w:rFonts w:ascii="Palatino Linotype" w:eastAsia="Palatino Linotype" w:hAnsi="Palatino Linotype" w:cs="Palatino Linotype"/>
        </w:rPr>
        <w:t xml:space="preserve">ante el </w:t>
      </w:r>
      <w:r w:rsidRPr="00681C2A">
        <w:rPr>
          <w:rFonts w:ascii="Palatino Linotype" w:eastAsia="Palatino Linotype" w:hAnsi="Palatino Linotype" w:cs="Palatino Linotype"/>
          <w:b/>
        </w:rPr>
        <w:t>SUJETO OBLIGADO,</w:t>
      </w:r>
      <w:r w:rsidRPr="00681C2A">
        <w:rPr>
          <w:rFonts w:ascii="Palatino Linotype" w:eastAsia="Palatino Linotype" w:hAnsi="Palatino Linotype" w:cs="Palatino Linotype"/>
        </w:rPr>
        <w:t xml:space="preserve"> vía Sistema de Acceso a la Información Mexiquens</w:t>
      </w:r>
      <w:r w:rsidRPr="00681C2A">
        <w:rPr>
          <w:rFonts w:ascii="Palatino Linotype" w:eastAsia="Palatino Linotype" w:hAnsi="Palatino Linotype" w:cs="Palatino Linotype"/>
        </w:rPr>
        <w:t xml:space="preserve">e (SAIMEX) la solicitud de información pública registrada con el número </w:t>
      </w:r>
      <w:r w:rsidRPr="00681C2A">
        <w:rPr>
          <w:rFonts w:ascii="Palatino Linotype" w:eastAsia="Palatino Linotype" w:hAnsi="Palatino Linotype" w:cs="Palatino Linotype"/>
          <w:b/>
        </w:rPr>
        <w:t> 00127/CAPULHUA/IP/2021</w:t>
      </w:r>
      <w:r w:rsidRPr="00681C2A">
        <w:rPr>
          <w:rFonts w:ascii="Palatino Linotype" w:eastAsia="Palatino Linotype" w:hAnsi="Palatino Linotype" w:cs="Palatino Linotype"/>
        </w:rPr>
        <w:t>, mediante la cual se solicitó:</w:t>
      </w:r>
    </w:p>
    <w:p w:rsidR="00C22335" w:rsidRPr="00681C2A" w:rsidRDefault="00C22335">
      <w:pPr>
        <w:tabs>
          <w:tab w:val="left" w:pos="0"/>
        </w:tabs>
        <w:spacing w:line="360" w:lineRule="auto"/>
        <w:ind w:left="360"/>
        <w:jc w:val="both"/>
        <w:rPr>
          <w:rFonts w:ascii="Palatino Linotype" w:eastAsia="Palatino Linotype" w:hAnsi="Palatino Linotype" w:cs="Palatino Linotype"/>
        </w:rPr>
      </w:pPr>
    </w:p>
    <w:p w:rsidR="00C22335" w:rsidRPr="00681C2A" w:rsidRDefault="00492294">
      <w:pPr>
        <w:tabs>
          <w:tab w:val="left" w:pos="0"/>
        </w:tabs>
        <w:spacing w:line="360" w:lineRule="auto"/>
        <w:ind w:left="567" w:right="49"/>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w:t>
      </w:r>
      <w:r w:rsidRPr="00681C2A">
        <w:rPr>
          <w:rFonts w:ascii="Palatino Linotype" w:eastAsia="Palatino Linotype" w:hAnsi="Palatino Linotype" w:cs="Palatino Linotype"/>
          <w:i/>
          <w:color w:val="000000"/>
          <w:sz w:val="22"/>
          <w:szCs w:val="22"/>
        </w:rPr>
        <w:t xml:space="preserve">solicito los bienes muebles de bajo costo, patrimonial del primer levantamiento de enero a junio </w:t>
      </w:r>
      <w:proofErr w:type="gramStart"/>
      <w:r w:rsidRPr="00681C2A">
        <w:rPr>
          <w:rFonts w:ascii="Palatino Linotype" w:eastAsia="Palatino Linotype" w:hAnsi="Palatino Linotype" w:cs="Palatino Linotype"/>
          <w:i/>
          <w:color w:val="000000"/>
          <w:sz w:val="22"/>
          <w:szCs w:val="22"/>
        </w:rPr>
        <w:t>del</w:t>
      </w:r>
      <w:proofErr w:type="gramEnd"/>
      <w:r w:rsidRPr="00681C2A">
        <w:rPr>
          <w:rFonts w:ascii="Palatino Linotype" w:eastAsia="Palatino Linotype" w:hAnsi="Palatino Linotype" w:cs="Palatino Linotype"/>
          <w:i/>
          <w:color w:val="000000"/>
          <w:sz w:val="22"/>
          <w:szCs w:val="22"/>
        </w:rPr>
        <w:t xml:space="preserve"> 2021 </w:t>
      </w:r>
      <w:proofErr w:type="spellStart"/>
      <w:r w:rsidRPr="00681C2A">
        <w:rPr>
          <w:rFonts w:ascii="Palatino Linotype" w:eastAsia="Palatino Linotype" w:hAnsi="Palatino Linotype" w:cs="Palatino Linotype"/>
          <w:i/>
          <w:color w:val="000000"/>
          <w:sz w:val="22"/>
          <w:szCs w:val="22"/>
        </w:rPr>
        <w:t>asi</w:t>
      </w:r>
      <w:proofErr w:type="spellEnd"/>
      <w:r w:rsidRPr="00681C2A">
        <w:rPr>
          <w:rFonts w:ascii="Palatino Linotype" w:eastAsia="Palatino Linotype" w:hAnsi="Palatino Linotype" w:cs="Palatino Linotype"/>
          <w:i/>
          <w:color w:val="000000"/>
          <w:sz w:val="22"/>
          <w:szCs w:val="22"/>
        </w:rPr>
        <w:t xml:space="preserve"> como las actas </w:t>
      </w:r>
      <w:proofErr w:type="spellStart"/>
      <w:r w:rsidRPr="00681C2A">
        <w:rPr>
          <w:rFonts w:ascii="Palatino Linotype" w:eastAsia="Palatino Linotype" w:hAnsi="Palatino Linotype" w:cs="Palatino Linotype"/>
          <w:i/>
          <w:color w:val="000000"/>
          <w:sz w:val="22"/>
          <w:szCs w:val="22"/>
        </w:rPr>
        <w:t>circustanciadas</w:t>
      </w:r>
      <w:proofErr w:type="spellEnd"/>
      <w:r w:rsidRPr="00681C2A">
        <w:rPr>
          <w:rFonts w:ascii="Palatino Linotype" w:eastAsia="Palatino Linotype" w:hAnsi="Palatino Linotype" w:cs="Palatino Linotype"/>
          <w:i/>
          <w:color w:val="000000"/>
          <w:sz w:val="22"/>
          <w:szCs w:val="22"/>
        </w:rPr>
        <w:t xml:space="preserve"> de cada </w:t>
      </w:r>
      <w:proofErr w:type="spellStart"/>
      <w:r w:rsidRPr="00681C2A">
        <w:rPr>
          <w:rFonts w:ascii="Palatino Linotype" w:eastAsia="Palatino Linotype" w:hAnsi="Palatino Linotype" w:cs="Palatino Linotype"/>
          <w:i/>
          <w:color w:val="000000"/>
          <w:sz w:val="22"/>
          <w:szCs w:val="22"/>
        </w:rPr>
        <w:t>unop</w:t>
      </w:r>
      <w:proofErr w:type="spellEnd"/>
      <w:r w:rsidRPr="00681C2A">
        <w:rPr>
          <w:rFonts w:ascii="Palatino Linotype" w:eastAsia="Palatino Linotype" w:hAnsi="Palatino Linotype" w:cs="Palatino Linotype"/>
          <w:i/>
          <w:color w:val="000000"/>
          <w:sz w:val="22"/>
          <w:szCs w:val="22"/>
        </w:rPr>
        <w:t xml:space="preserve"> de ellos</w:t>
      </w:r>
      <w:r w:rsidRPr="00681C2A">
        <w:rPr>
          <w:rFonts w:ascii="Palatino Linotype" w:eastAsia="Palatino Linotype" w:hAnsi="Palatino Linotype" w:cs="Palatino Linotype"/>
          <w:i/>
          <w:sz w:val="22"/>
          <w:szCs w:val="22"/>
        </w:rPr>
        <w:t>” (Sic)</w:t>
      </w:r>
    </w:p>
    <w:p w:rsidR="00C22335" w:rsidRPr="00681C2A" w:rsidRDefault="00C22335">
      <w:pPr>
        <w:tabs>
          <w:tab w:val="left" w:pos="0"/>
        </w:tabs>
        <w:spacing w:line="360" w:lineRule="auto"/>
        <w:ind w:right="616"/>
        <w:jc w:val="both"/>
        <w:rPr>
          <w:rFonts w:ascii="Palatino Linotype" w:eastAsia="Palatino Linotype" w:hAnsi="Palatino Linotype" w:cs="Palatino Linotype"/>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color w:val="000000"/>
        </w:rPr>
        <w:t>Se hace constar que se señaló como modalidad de entrega de la información a través de</w:t>
      </w:r>
      <w:r w:rsidRPr="00681C2A">
        <w:rPr>
          <w:rFonts w:ascii="Palatino Linotype" w:eastAsia="Palatino Linotype" w:hAnsi="Palatino Linotype" w:cs="Palatino Linotype"/>
          <w:color w:val="000000"/>
        </w:rPr>
        <w:t xml:space="preserve">l Sistema de Acceso a la Información Mexiquense </w:t>
      </w:r>
      <w:r w:rsidRPr="00681C2A">
        <w:rPr>
          <w:rFonts w:ascii="Palatino Linotype" w:eastAsia="Palatino Linotype" w:hAnsi="Palatino Linotype" w:cs="Palatino Linotype"/>
          <w:b/>
          <w:color w:val="000000"/>
        </w:rPr>
        <w:t xml:space="preserve">(SAIMEX).  </w:t>
      </w:r>
    </w:p>
    <w:p w:rsidR="00C22335" w:rsidRPr="00681C2A" w:rsidRDefault="00C22335">
      <w:pPr>
        <w:spacing w:line="360" w:lineRule="auto"/>
        <w:rPr>
          <w:rFonts w:ascii="Palatino Linotype" w:eastAsia="Palatino Linotype" w:hAnsi="Palatino Linotype" w:cs="Palatino Linotype"/>
        </w:rPr>
      </w:pPr>
    </w:p>
    <w:p w:rsidR="00C22335" w:rsidRPr="00681C2A" w:rsidRDefault="00C22335">
      <w:pPr>
        <w:tabs>
          <w:tab w:val="left" w:pos="0"/>
        </w:tabs>
        <w:spacing w:line="360" w:lineRule="auto"/>
        <w:ind w:right="34"/>
        <w:jc w:val="both"/>
        <w:rPr>
          <w:rFonts w:ascii="Palatino Linotype" w:eastAsia="Palatino Linotype" w:hAnsi="Palatino Linotype" w:cs="Palatino Linotype"/>
        </w:rPr>
      </w:pPr>
    </w:p>
    <w:p w:rsidR="00C22335" w:rsidRPr="00681C2A" w:rsidRDefault="00492294">
      <w:pPr>
        <w:numPr>
          <w:ilvl w:val="0"/>
          <w:numId w:val="2"/>
        </w:numPr>
        <w:tabs>
          <w:tab w:val="left" w:pos="0"/>
        </w:tabs>
        <w:spacing w:line="360" w:lineRule="auto"/>
        <w:ind w:left="0" w:right="34" w:firstLine="0"/>
        <w:jc w:val="both"/>
        <w:rPr>
          <w:rFonts w:ascii="Palatino Linotype" w:eastAsia="Palatino Linotype" w:hAnsi="Palatino Linotype" w:cs="Palatino Linotype"/>
          <w:i/>
          <w:sz w:val="23"/>
          <w:szCs w:val="23"/>
        </w:rPr>
      </w:pPr>
      <w:bookmarkStart w:id="1" w:name="_heading=h.30j0zll" w:colFirst="0" w:colLast="0"/>
      <w:bookmarkEnd w:id="1"/>
      <w:r w:rsidRPr="00681C2A">
        <w:rPr>
          <w:rFonts w:ascii="Palatino Linotype" w:eastAsia="Palatino Linotype" w:hAnsi="Palatino Linotype" w:cs="Palatino Linotype"/>
        </w:rPr>
        <w:t xml:space="preserve">El veintidós (22) de septiembre de dos mil veintiuno, el </w:t>
      </w:r>
      <w:r w:rsidRPr="00681C2A">
        <w:rPr>
          <w:rFonts w:ascii="Palatino Linotype" w:eastAsia="Palatino Linotype" w:hAnsi="Palatino Linotype" w:cs="Palatino Linotype"/>
          <w:b/>
        </w:rPr>
        <w:t xml:space="preserve">SUJETO OBLIGADO </w:t>
      </w:r>
      <w:r w:rsidRPr="00681C2A">
        <w:rPr>
          <w:rFonts w:ascii="Palatino Linotype" w:eastAsia="Palatino Linotype" w:hAnsi="Palatino Linotype" w:cs="Palatino Linotype"/>
        </w:rPr>
        <w:t>dio respuesta a la solicitud en el siguiente sentido:</w:t>
      </w:r>
    </w:p>
    <w:tbl>
      <w:tblPr>
        <w:tblStyle w:val="a"/>
        <w:tblW w:w="7859" w:type="dxa"/>
        <w:jc w:val="center"/>
        <w:tblInd w:w="0" w:type="dxa"/>
        <w:tblLayout w:type="fixed"/>
        <w:tblLook w:val="0400" w:firstRow="0" w:lastRow="0" w:firstColumn="0" w:lastColumn="0" w:noHBand="0" w:noVBand="1"/>
      </w:tblPr>
      <w:tblGrid>
        <w:gridCol w:w="7859"/>
      </w:tblGrid>
      <w:tr w:rsidR="00C22335" w:rsidRPr="00681C2A">
        <w:trPr>
          <w:trHeight w:val="361"/>
          <w:jc w:val="center"/>
        </w:trPr>
        <w:tc>
          <w:tcPr>
            <w:tcW w:w="7859" w:type="dxa"/>
            <w:vAlign w:val="center"/>
          </w:tcPr>
          <w:p w:rsidR="00C22335" w:rsidRPr="00681C2A" w:rsidRDefault="00C22335">
            <w:pPr>
              <w:spacing w:line="360" w:lineRule="auto"/>
              <w:rPr>
                <w:rFonts w:ascii="Palatino Linotype" w:eastAsia="Palatino Linotype" w:hAnsi="Palatino Linotype" w:cs="Palatino Linotype"/>
                <w:i/>
                <w:sz w:val="22"/>
                <w:szCs w:val="22"/>
              </w:rPr>
            </w:pPr>
          </w:p>
        </w:tc>
      </w:tr>
      <w:tr w:rsidR="00C22335" w:rsidRPr="00681C2A">
        <w:trPr>
          <w:trHeight w:val="144"/>
          <w:jc w:val="center"/>
        </w:trPr>
        <w:tc>
          <w:tcPr>
            <w:tcW w:w="7859" w:type="dxa"/>
            <w:vAlign w:val="center"/>
          </w:tcPr>
          <w:p w:rsidR="00C22335" w:rsidRPr="00681C2A" w:rsidRDefault="00C22335">
            <w:pPr>
              <w:spacing w:line="360" w:lineRule="auto"/>
              <w:jc w:val="center"/>
              <w:rPr>
                <w:rFonts w:ascii="Palatino Linotype" w:eastAsia="Palatino Linotype" w:hAnsi="Palatino Linotype" w:cs="Palatino Linotype"/>
                <w:i/>
                <w:sz w:val="22"/>
                <w:szCs w:val="22"/>
              </w:rPr>
            </w:pPr>
          </w:p>
        </w:tc>
      </w:tr>
      <w:tr w:rsidR="00C22335" w:rsidRPr="00681C2A">
        <w:trPr>
          <w:trHeight w:val="144"/>
          <w:jc w:val="center"/>
        </w:trPr>
        <w:tc>
          <w:tcPr>
            <w:tcW w:w="7859" w:type="dxa"/>
            <w:vAlign w:val="center"/>
          </w:tcPr>
          <w:p w:rsidR="00C22335" w:rsidRPr="00681C2A" w:rsidRDefault="00492294">
            <w:pPr>
              <w:spacing w:line="360" w:lineRule="auto"/>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w:t>
            </w:r>
          </w:p>
        </w:tc>
      </w:tr>
      <w:tr w:rsidR="00C22335" w:rsidRPr="00681C2A">
        <w:trPr>
          <w:trHeight w:val="144"/>
          <w:jc w:val="center"/>
        </w:trPr>
        <w:tc>
          <w:tcPr>
            <w:tcW w:w="7859" w:type="dxa"/>
            <w:vAlign w:val="center"/>
          </w:tcPr>
          <w:p w:rsidR="00C22335" w:rsidRPr="00681C2A" w:rsidRDefault="00492294">
            <w:pPr>
              <w:spacing w:line="360" w:lineRule="auto"/>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 xml:space="preserve">“Con el presente, le saludo a usted en forma cordial al tiempo de que y con atención a su solicitud 00127/CAPULHUA/IP/2021 registrada a través de este Sistema, con lo dispuesto en el Artículo 40 de la Ley de Transparencia y Acceso a la Información Pública </w:t>
            </w:r>
            <w:r w:rsidRPr="00681C2A">
              <w:rPr>
                <w:rFonts w:ascii="Palatino Linotype" w:eastAsia="Palatino Linotype" w:hAnsi="Palatino Linotype" w:cs="Palatino Linotype"/>
                <w:i/>
                <w:sz w:val="22"/>
                <w:szCs w:val="22"/>
              </w:rPr>
              <w:t>del Estado de México y Municipios donde solicito lo siguiente: “solicito los bienes muebles de bajo costo, patrimonial del primer levantamiento de enero a junio del 2021 así como las actas circunstanciadas de cada uno de ellos” (Sic). En tal Virtud me perm</w:t>
            </w:r>
            <w:r w:rsidRPr="00681C2A">
              <w:rPr>
                <w:rFonts w:ascii="Palatino Linotype" w:eastAsia="Palatino Linotype" w:hAnsi="Palatino Linotype" w:cs="Palatino Linotype"/>
                <w:i/>
                <w:sz w:val="22"/>
                <w:szCs w:val="22"/>
              </w:rPr>
              <w:t xml:space="preserve">ito remitirle la información que le enviaron a esta unidad de Transparencia, esto con el fin de dar pleno cumplimiento lo solicitado por el peticionario mencionando que la respuesta proporcionada del área correspondiente es la siguiente: La información se </w:t>
            </w:r>
            <w:r w:rsidRPr="00681C2A">
              <w:rPr>
                <w:rFonts w:ascii="Palatino Linotype" w:eastAsia="Palatino Linotype" w:hAnsi="Palatino Linotype" w:cs="Palatino Linotype"/>
                <w:i/>
                <w:sz w:val="22"/>
                <w:szCs w:val="22"/>
              </w:rPr>
              <w:t>encuentra adjunta a esta respuesta” (Sic)</w:t>
            </w:r>
          </w:p>
          <w:p w:rsidR="00C22335" w:rsidRPr="00681C2A" w:rsidRDefault="00492294">
            <w:pPr>
              <w:spacing w:line="360" w:lineRule="auto"/>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w:t>
            </w:r>
          </w:p>
        </w:tc>
      </w:tr>
      <w:tr w:rsidR="00C22335" w:rsidRPr="00681C2A">
        <w:trPr>
          <w:trHeight w:val="144"/>
          <w:jc w:val="center"/>
        </w:trPr>
        <w:tc>
          <w:tcPr>
            <w:tcW w:w="7859" w:type="dxa"/>
            <w:vAlign w:val="center"/>
          </w:tcPr>
          <w:p w:rsidR="00C22335" w:rsidRPr="00681C2A" w:rsidRDefault="00C22335">
            <w:pPr>
              <w:spacing w:line="360" w:lineRule="auto"/>
              <w:rPr>
                <w:rFonts w:ascii="Palatino Linotype" w:eastAsia="Palatino Linotype" w:hAnsi="Palatino Linotype" w:cs="Palatino Linotype"/>
                <w:i/>
                <w:sz w:val="22"/>
                <w:szCs w:val="22"/>
              </w:rPr>
            </w:pPr>
          </w:p>
        </w:tc>
      </w:tr>
    </w:tbl>
    <w:p w:rsidR="00C22335" w:rsidRPr="00681C2A" w:rsidRDefault="00C22335">
      <w:pPr>
        <w:tabs>
          <w:tab w:val="left" w:pos="0"/>
        </w:tabs>
        <w:spacing w:line="360" w:lineRule="auto"/>
        <w:jc w:val="both"/>
        <w:rPr>
          <w:rFonts w:ascii="Palatino Linotype" w:eastAsia="Palatino Linotype" w:hAnsi="Palatino Linotype" w:cs="Palatino Linotype"/>
          <w:b/>
          <w:sz w:val="28"/>
          <w:szCs w:val="28"/>
        </w:rPr>
      </w:pPr>
    </w:p>
    <w:p w:rsidR="00C22335" w:rsidRPr="00681C2A" w:rsidRDefault="0049229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681C2A">
        <w:rPr>
          <w:rFonts w:ascii="Palatino Linotype" w:eastAsia="Palatino Linotype" w:hAnsi="Palatino Linotype" w:cs="Palatino Linotype"/>
          <w:color w:val="000000"/>
        </w:rPr>
        <w:t>En lo sucesivo el treinta (30) de septiembre   de dos mil veintiuno</w:t>
      </w:r>
      <w:r w:rsidRPr="00681C2A">
        <w:rPr>
          <w:rFonts w:ascii="Palatino Linotype" w:eastAsia="Palatino Linotype" w:hAnsi="Palatino Linotype" w:cs="Palatino Linotype"/>
          <w:b/>
          <w:color w:val="000000"/>
        </w:rPr>
        <w:t>,</w:t>
      </w:r>
      <w:r w:rsidRPr="00681C2A">
        <w:rPr>
          <w:rFonts w:ascii="Palatino Linotype" w:eastAsia="Palatino Linotype" w:hAnsi="Palatino Linotype" w:cs="Palatino Linotype"/>
          <w:color w:val="000000"/>
        </w:rPr>
        <w:t xml:space="preserve"> </w:t>
      </w:r>
      <w:r w:rsidRPr="00681C2A">
        <w:rPr>
          <w:rFonts w:ascii="Palatino Linotype" w:eastAsia="Palatino Linotype" w:hAnsi="Palatino Linotype" w:cs="Palatino Linotype"/>
          <w:b/>
          <w:color w:val="000000"/>
        </w:rPr>
        <w:t xml:space="preserve"> </w:t>
      </w:r>
      <w:r w:rsidRPr="00681C2A">
        <w:rPr>
          <w:rFonts w:ascii="Palatino Linotype" w:eastAsia="Palatino Linotype" w:hAnsi="Palatino Linotype" w:cs="Palatino Linotype"/>
          <w:color w:val="000000"/>
        </w:rPr>
        <w:t>el solicitante interpuso el recurso de revisión, señalando como:</w:t>
      </w:r>
    </w:p>
    <w:p w:rsidR="00C22335" w:rsidRPr="00681C2A" w:rsidRDefault="00C22335">
      <w:pPr>
        <w:tabs>
          <w:tab w:val="left" w:pos="0"/>
        </w:tabs>
        <w:spacing w:line="360" w:lineRule="auto"/>
        <w:ind w:left="360"/>
        <w:jc w:val="both"/>
        <w:rPr>
          <w:rFonts w:ascii="Palatino Linotype" w:eastAsia="Palatino Linotype" w:hAnsi="Palatino Linotype" w:cs="Palatino Linotype"/>
          <w:b/>
        </w:rPr>
      </w:pPr>
    </w:p>
    <w:p w:rsidR="00C22335" w:rsidRPr="00681C2A" w:rsidRDefault="00492294">
      <w:pPr>
        <w:tabs>
          <w:tab w:val="left" w:pos="851"/>
          <w:tab w:val="left" w:pos="8222"/>
        </w:tabs>
        <w:spacing w:line="360" w:lineRule="auto"/>
        <w:ind w:left="851" w:right="567"/>
        <w:jc w:val="both"/>
        <w:rPr>
          <w:rFonts w:ascii="Palatino Linotype" w:eastAsia="Palatino Linotype" w:hAnsi="Palatino Linotype" w:cs="Palatino Linotype"/>
          <w:i/>
        </w:rPr>
      </w:pPr>
      <w:r w:rsidRPr="00681C2A">
        <w:rPr>
          <w:rFonts w:ascii="Palatino Linotype" w:eastAsia="Palatino Linotype" w:hAnsi="Palatino Linotype" w:cs="Palatino Linotype"/>
          <w:b/>
        </w:rPr>
        <w:t>Acto impugnado:</w:t>
      </w:r>
      <w:r w:rsidRPr="00681C2A">
        <w:rPr>
          <w:rFonts w:ascii="Palatino Linotype" w:eastAsia="Palatino Linotype" w:hAnsi="Palatino Linotype" w:cs="Palatino Linotype"/>
          <w:i/>
        </w:rPr>
        <w:t xml:space="preserve"> </w:t>
      </w:r>
      <w:r w:rsidRPr="00681C2A">
        <w:rPr>
          <w:rFonts w:ascii="Palatino Linotype" w:eastAsia="Palatino Linotype" w:hAnsi="Palatino Linotype" w:cs="Palatino Linotype"/>
          <w:sz w:val="22"/>
          <w:szCs w:val="22"/>
        </w:rPr>
        <w:t>“</w:t>
      </w:r>
      <w:r w:rsidRPr="00681C2A">
        <w:rPr>
          <w:rFonts w:ascii="Palatino Linotype" w:eastAsia="Palatino Linotype" w:hAnsi="Palatino Linotype" w:cs="Palatino Linotype"/>
          <w:i/>
          <w:color w:val="000000"/>
          <w:sz w:val="22"/>
          <w:szCs w:val="22"/>
        </w:rPr>
        <w:t>NO ME DIO RESPUESTA DE MI PETICIÓN”</w:t>
      </w:r>
      <w:r w:rsidRPr="00681C2A">
        <w:rPr>
          <w:rFonts w:ascii="Palatino Linotype" w:eastAsia="Palatino Linotype" w:hAnsi="Palatino Linotype" w:cs="Palatino Linotype"/>
          <w:i/>
        </w:rPr>
        <w:t xml:space="preserve"> (Sic) </w:t>
      </w:r>
    </w:p>
    <w:p w:rsidR="00C22335" w:rsidRPr="00681C2A" w:rsidRDefault="00C22335">
      <w:pPr>
        <w:tabs>
          <w:tab w:val="left" w:pos="0"/>
        </w:tabs>
        <w:spacing w:line="360" w:lineRule="auto"/>
        <w:ind w:left="567" w:hanging="141"/>
        <w:rPr>
          <w:rFonts w:ascii="Palatino Linotype" w:eastAsia="Palatino Linotype" w:hAnsi="Palatino Linotype" w:cs="Palatino Linotype"/>
          <w:i/>
        </w:rPr>
      </w:pPr>
    </w:p>
    <w:p w:rsidR="00C22335" w:rsidRPr="00681C2A" w:rsidRDefault="00492294">
      <w:pPr>
        <w:tabs>
          <w:tab w:val="left" w:pos="851"/>
        </w:tabs>
        <w:spacing w:line="360" w:lineRule="auto"/>
        <w:ind w:left="851"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b/>
        </w:rPr>
        <w:lastRenderedPageBreak/>
        <w:t>Razones o Motivos de inconformidad</w:t>
      </w:r>
      <w:r w:rsidRPr="00681C2A">
        <w:rPr>
          <w:rFonts w:ascii="Palatino Linotype" w:eastAsia="Palatino Linotype" w:hAnsi="Palatino Linotype" w:cs="Palatino Linotype"/>
          <w:i/>
        </w:rPr>
        <w:t xml:space="preserve">: </w:t>
      </w:r>
      <w:r w:rsidRPr="00681C2A">
        <w:rPr>
          <w:rFonts w:ascii="Palatino Linotype" w:eastAsia="Palatino Linotype" w:hAnsi="Palatino Linotype" w:cs="Palatino Linotype"/>
          <w:i/>
          <w:sz w:val="22"/>
          <w:szCs w:val="22"/>
        </w:rPr>
        <w:t>“</w:t>
      </w:r>
      <w:r w:rsidRPr="00681C2A">
        <w:rPr>
          <w:rFonts w:ascii="Palatino Linotype" w:eastAsia="Palatino Linotype" w:hAnsi="Palatino Linotype" w:cs="Palatino Linotype"/>
          <w:i/>
          <w:color w:val="000000"/>
          <w:sz w:val="22"/>
          <w:szCs w:val="22"/>
        </w:rPr>
        <w:t>NO ME DIO RESPUESTA DE MI PETICIÓN</w:t>
      </w:r>
      <w:r w:rsidRPr="00681C2A">
        <w:rPr>
          <w:rFonts w:ascii="Palatino Linotype" w:eastAsia="Palatino Linotype" w:hAnsi="Palatino Linotype" w:cs="Palatino Linotype"/>
          <w:i/>
          <w:sz w:val="22"/>
          <w:szCs w:val="22"/>
        </w:rPr>
        <w:t>” (Sic)</w:t>
      </w:r>
    </w:p>
    <w:p w:rsidR="00C22335" w:rsidRPr="00681C2A" w:rsidRDefault="00C22335">
      <w:pPr>
        <w:tabs>
          <w:tab w:val="left" w:pos="851"/>
        </w:tabs>
        <w:spacing w:line="360" w:lineRule="auto"/>
        <w:ind w:left="851" w:right="567"/>
        <w:jc w:val="both"/>
        <w:rPr>
          <w:rFonts w:ascii="Palatino Linotype" w:eastAsia="Palatino Linotype" w:hAnsi="Palatino Linotype" w:cs="Palatino Linotype"/>
          <w:i/>
          <w:sz w:val="22"/>
          <w:szCs w:val="22"/>
        </w:rPr>
      </w:pPr>
    </w:p>
    <w:p w:rsidR="00C22335" w:rsidRPr="00681C2A" w:rsidRDefault="00492294">
      <w:pPr>
        <w:numPr>
          <w:ilvl w:val="0"/>
          <w:numId w:val="2"/>
        </w:numPr>
        <w:spacing w:line="360" w:lineRule="auto"/>
        <w:ind w:left="0" w:firstLine="0"/>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rPr>
        <w:t>Se registró el recurso de revisión bajo el número de expediente al rubro indicado, asimismo con fundamento en lo dispuesto por el artículo 185 fracción I de la Ley de Transpare</w:t>
      </w:r>
      <w:r w:rsidRPr="00681C2A">
        <w:rPr>
          <w:rFonts w:ascii="Palatino Linotype" w:eastAsia="Palatino Linotype" w:hAnsi="Palatino Linotype" w:cs="Palatino Linotype"/>
        </w:rPr>
        <w:t>ncia y Acceso a la Información Pública del Estado de México y Municipios se turnó la Comisionada María del Rosario Mejía Ayala con el objeto de su análisis.</w:t>
      </w:r>
    </w:p>
    <w:p w:rsidR="00C22335" w:rsidRPr="00681C2A" w:rsidRDefault="00C22335">
      <w:pPr>
        <w:spacing w:line="360" w:lineRule="auto"/>
        <w:rPr>
          <w:rFonts w:ascii="Palatino Linotype" w:eastAsia="Palatino Linotype" w:hAnsi="Palatino Linotype" w:cs="Palatino Linotype"/>
        </w:rPr>
      </w:pPr>
    </w:p>
    <w:p w:rsidR="00C22335" w:rsidRPr="00681C2A" w:rsidRDefault="00492294">
      <w:pPr>
        <w:numPr>
          <w:ilvl w:val="0"/>
          <w:numId w:val="2"/>
        </w:numPr>
        <w:spacing w:line="360" w:lineRule="auto"/>
        <w:ind w:left="0" w:firstLine="0"/>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rPr>
        <w:t>La Comisionada Ponente con fundamento en lo dispuesto por el artículo 185 fracción II de la ley de la materia, a través del acuerdo de admisión de cinco (05) de octubre de dos mil veintiuno, puso a disposición de las partes el expediente electrónico vía Si</w:t>
      </w:r>
      <w:r w:rsidRPr="00681C2A">
        <w:rPr>
          <w:rFonts w:ascii="Palatino Linotype" w:eastAsia="Palatino Linotype" w:hAnsi="Palatino Linotype" w:cs="Palatino Linotype"/>
        </w:rPr>
        <w:t xml:space="preserve">stema de Acceso a la Información Mexiquense </w:t>
      </w:r>
      <w:r w:rsidRPr="00681C2A">
        <w:rPr>
          <w:rFonts w:ascii="Palatino Linotype" w:eastAsia="Palatino Linotype" w:hAnsi="Palatino Linotype" w:cs="Palatino Linotype"/>
          <w:b/>
        </w:rPr>
        <w:t xml:space="preserve">(SAIMEX) </w:t>
      </w:r>
      <w:r w:rsidRPr="00681C2A">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681C2A">
        <w:rPr>
          <w:rFonts w:ascii="Palatino Linotype" w:eastAsia="Palatino Linotype" w:hAnsi="Palatino Linotype" w:cs="Palatino Linotype"/>
          <w:b/>
        </w:rPr>
        <w:t>SUJETO OBLIGADO</w:t>
      </w:r>
      <w:r w:rsidRPr="00681C2A">
        <w:rPr>
          <w:rFonts w:ascii="Palatino Linotype" w:eastAsia="Palatino Linotype" w:hAnsi="Palatino Linotype" w:cs="Palatino Linotype"/>
        </w:rPr>
        <w:t xml:space="preserve"> pre</w:t>
      </w:r>
      <w:r w:rsidRPr="00681C2A">
        <w:rPr>
          <w:rFonts w:ascii="Palatino Linotype" w:eastAsia="Palatino Linotype" w:hAnsi="Palatino Linotype" w:cs="Palatino Linotype"/>
        </w:rPr>
        <w:t>sentara el Informe Justificado procedente. De las constancias que obran en el expediente electrónico, se aprecia que las partes no realizaron algún tipo de manifestación.</w:t>
      </w:r>
    </w:p>
    <w:p w:rsidR="00C22335" w:rsidRPr="00681C2A" w:rsidRDefault="00C22335">
      <w:pPr>
        <w:spacing w:line="360" w:lineRule="auto"/>
        <w:jc w:val="both"/>
        <w:rPr>
          <w:rFonts w:ascii="Palatino Linotype" w:eastAsia="Palatino Linotype" w:hAnsi="Palatino Linotype" w:cs="Palatino Linotype"/>
          <w:i/>
          <w:color w:val="000000"/>
        </w:rPr>
      </w:pPr>
    </w:p>
    <w:p w:rsidR="00C22335" w:rsidRPr="00681C2A" w:rsidRDefault="00492294">
      <w:pPr>
        <w:numPr>
          <w:ilvl w:val="0"/>
          <w:numId w:val="2"/>
        </w:numPr>
        <w:spacing w:line="360" w:lineRule="auto"/>
        <w:ind w:left="0" w:firstLine="0"/>
        <w:jc w:val="both"/>
        <w:rPr>
          <w:rFonts w:ascii="Palatino Linotype" w:eastAsia="Palatino Linotype" w:hAnsi="Palatino Linotype" w:cs="Palatino Linotype"/>
          <w:b/>
        </w:rPr>
      </w:pPr>
      <w:r w:rsidRPr="00681C2A">
        <w:rPr>
          <w:rFonts w:ascii="Palatino Linotype" w:eastAsia="Palatino Linotype" w:hAnsi="Palatino Linotype" w:cs="Palatino Linotype"/>
        </w:rPr>
        <w:t>La Comisionada Ponente decretó el cierre de instrucción mediante acuerdo del diecinueve (19) de octubre de dos mil veintiuno, por lo que, ordenó turnar el expediente a resolución, misma que a continuación se pronuncia.</w:t>
      </w:r>
    </w:p>
    <w:p w:rsidR="00C22335" w:rsidRPr="00681C2A" w:rsidRDefault="00C22335">
      <w:pPr>
        <w:spacing w:line="360" w:lineRule="auto"/>
        <w:jc w:val="both"/>
        <w:rPr>
          <w:rFonts w:ascii="Palatino Linotype" w:eastAsia="Palatino Linotype" w:hAnsi="Palatino Linotype" w:cs="Palatino Linotype"/>
          <w:b/>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rPr>
        <w:lastRenderedPageBreak/>
        <w:t>El veinticuatro (24) de noviembre  d</w:t>
      </w:r>
      <w:r w:rsidRPr="00681C2A">
        <w:rPr>
          <w:rFonts w:ascii="Palatino Linotype" w:eastAsia="Palatino Linotype" w:hAnsi="Palatino Linotype" w:cs="Palatino Linotype"/>
          <w:color w:val="000000"/>
        </w:rPr>
        <w:t>e dos mil veintiuno, se notificó mediante acuerdo, que el plazo para resolver el recurso de revisión, se ampliaría por un periodo de quince días hábiles.</w:t>
      </w:r>
    </w:p>
    <w:p w:rsidR="00C22335" w:rsidRPr="00681C2A" w:rsidRDefault="00C223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22335" w:rsidRPr="00681C2A" w:rsidRDefault="00492294">
      <w:pPr>
        <w:keepNext/>
        <w:keepLines/>
        <w:spacing w:line="360" w:lineRule="auto"/>
        <w:jc w:val="center"/>
        <w:rPr>
          <w:rFonts w:ascii="Palatino Linotype" w:eastAsia="Palatino Linotype" w:hAnsi="Palatino Linotype" w:cs="Palatino Linotype"/>
          <w:b/>
        </w:rPr>
      </w:pPr>
      <w:bookmarkStart w:id="2" w:name="_heading=h.1fob9te" w:colFirst="0" w:colLast="0"/>
      <w:bookmarkEnd w:id="2"/>
      <w:r w:rsidRPr="00681C2A">
        <w:rPr>
          <w:rFonts w:ascii="Palatino Linotype" w:eastAsia="Palatino Linotype" w:hAnsi="Palatino Linotype" w:cs="Palatino Linotype"/>
          <w:b/>
        </w:rPr>
        <w:t>CONSIDERANDO</w:t>
      </w:r>
    </w:p>
    <w:p w:rsidR="00C22335" w:rsidRPr="00681C2A" w:rsidRDefault="00C22335">
      <w:pPr>
        <w:spacing w:line="360" w:lineRule="auto"/>
        <w:rPr>
          <w:rFonts w:ascii="Palatino Linotype" w:eastAsia="Palatino Linotype" w:hAnsi="Palatino Linotype" w:cs="Palatino Linotype"/>
        </w:rPr>
      </w:pPr>
    </w:p>
    <w:p w:rsidR="00C22335" w:rsidRPr="00681C2A" w:rsidRDefault="00492294">
      <w:pPr>
        <w:keepNext/>
        <w:keepLines/>
        <w:spacing w:line="360" w:lineRule="auto"/>
        <w:rPr>
          <w:rFonts w:ascii="Palatino Linotype" w:eastAsia="Palatino Linotype" w:hAnsi="Palatino Linotype" w:cs="Palatino Linotype"/>
          <w:b/>
        </w:rPr>
      </w:pPr>
      <w:bookmarkStart w:id="3" w:name="_heading=h.3znysh7" w:colFirst="0" w:colLast="0"/>
      <w:bookmarkEnd w:id="3"/>
      <w:r w:rsidRPr="00681C2A">
        <w:rPr>
          <w:rFonts w:ascii="Palatino Linotype" w:eastAsia="Palatino Linotype" w:hAnsi="Palatino Linotype" w:cs="Palatino Linotype"/>
          <w:b/>
        </w:rPr>
        <w:t>PRIMERO. De la competencia.</w:t>
      </w:r>
    </w:p>
    <w:p w:rsidR="00C22335" w:rsidRPr="00681C2A" w:rsidRDefault="00C22335">
      <w:pPr>
        <w:spacing w:line="360" w:lineRule="auto"/>
        <w:rPr>
          <w:rFonts w:ascii="Palatino Linotype" w:eastAsia="Palatino Linotype" w:hAnsi="Palatino Linotype" w:cs="Palatino Linotype"/>
        </w:rPr>
      </w:pPr>
    </w:p>
    <w:p w:rsidR="00C22335" w:rsidRPr="00681C2A" w:rsidRDefault="00492294">
      <w:pPr>
        <w:numPr>
          <w:ilvl w:val="0"/>
          <w:numId w:val="2"/>
        </w:numPr>
        <w:spacing w:line="360" w:lineRule="auto"/>
        <w:ind w:left="0" w:firstLine="0"/>
        <w:jc w:val="both"/>
        <w:rPr>
          <w:rFonts w:ascii="Palatino Linotype" w:eastAsia="Palatino Linotype" w:hAnsi="Palatino Linotype" w:cs="Palatino Linotype"/>
          <w:b/>
        </w:rPr>
      </w:pPr>
      <w:r w:rsidRPr="00681C2A">
        <w:rPr>
          <w:rFonts w:ascii="Palatino Linotype" w:eastAsia="Palatino Linotype" w:hAnsi="Palatino Linotype" w:cs="Palatino Linotype"/>
        </w:rPr>
        <w:t xml:space="preserve">Este  Instituto de Transparencia, Acceso a la Información </w:t>
      </w:r>
      <w:r w:rsidRPr="00681C2A">
        <w:rPr>
          <w:rFonts w:ascii="Palatino Linotype" w:eastAsia="Palatino Linotype" w:hAnsi="Palatino Linotype" w:cs="Palatino Linotype"/>
        </w:rPr>
        <w:t xml:space="preserve">Pública y Protección de Datos Personales del Estado de México y Municipios, es competente para conocer y resolver el presente recurso de conformidad con el artículo: 6, apartado A, fracción IV de la </w:t>
      </w:r>
      <w:r w:rsidRPr="00681C2A">
        <w:rPr>
          <w:rFonts w:ascii="Palatino Linotype" w:eastAsia="Palatino Linotype" w:hAnsi="Palatino Linotype" w:cs="Palatino Linotype"/>
          <w:b/>
        </w:rPr>
        <w:t>Constitución Política de los Estados Unidos Mexicanos</w:t>
      </w:r>
      <w:r w:rsidRPr="00681C2A">
        <w:rPr>
          <w:rFonts w:ascii="Palatino Linotype" w:eastAsia="Palatino Linotype" w:hAnsi="Palatino Linotype" w:cs="Palatino Linotype"/>
        </w:rPr>
        <w:t>; 5,</w:t>
      </w:r>
      <w:r w:rsidRPr="00681C2A">
        <w:rPr>
          <w:rFonts w:ascii="Palatino Linotype" w:eastAsia="Palatino Linotype" w:hAnsi="Palatino Linotype" w:cs="Palatino Linotype"/>
        </w:rPr>
        <w:t xml:space="preserve"> párrafos trigésimo, trigésimo primero y trigésimo segundo, fracciones IV y V, de la </w:t>
      </w:r>
      <w:r w:rsidRPr="00681C2A">
        <w:rPr>
          <w:rFonts w:ascii="Palatino Linotype" w:eastAsia="Palatino Linotype" w:hAnsi="Palatino Linotype" w:cs="Palatino Linotype"/>
          <w:b/>
        </w:rPr>
        <w:t>Constitución Política del Estado Libre y Soberano de México</w:t>
      </w:r>
      <w:r w:rsidRPr="00681C2A">
        <w:rPr>
          <w:rFonts w:ascii="Palatino Linotype" w:eastAsia="Palatino Linotype" w:hAnsi="Palatino Linotype" w:cs="Palatino Linotype"/>
        </w:rPr>
        <w:t xml:space="preserve">; artículos 1, 2 fracción II, 13, 29, 36 fracciones I y II, 176, 178, 179, 181 párrafo tercero y 185 de la </w:t>
      </w:r>
      <w:r w:rsidRPr="00681C2A">
        <w:rPr>
          <w:rFonts w:ascii="Palatino Linotype" w:eastAsia="Palatino Linotype" w:hAnsi="Palatino Linotype" w:cs="Palatino Linotype"/>
          <w:b/>
        </w:rPr>
        <w:t>Ley d</w:t>
      </w:r>
      <w:r w:rsidRPr="00681C2A">
        <w:rPr>
          <w:rFonts w:ascii="Palatino Linotype" w:eastAsia="Palatino Linotype" w:hAnsi="Palatino Linotype" w:cs="Palatino Linotype"/>
          <w:b/>
        </w:rPr>
        <w:t>e Transparencia y Acceso a la Información Pública del Estado de México y Municipios</w:t>
      </w:r>
      <w:r w:rsidRPr="00681C2A">
        <w:rPr>
          <w:rFonts w:ascii="Palatino Linotype" w:eastAsia="Palatino Linotype" w:hAnsi="Palatino Linotype" w:cs="Palatino Linotype"/>
        </w:rPr>
        <w:t xml:space="preserve">; y 10, 7, 9 fracciones I y XXIV, y 11 del </w:t>
      </w:r>
      <w:r w:rsidRPr="00681C2A">
        <w:rPr>
          <w:rFonts w:ascii="Palatino Linotype" w:eastAsia="Palatino Linotype" w:hAnsi="Palatino Linotype" w:cs="Palatino Linotype"/>
          <w:b/>
        </w:rPr>
        <w:t>Reglamento Interior del Instituto de Transparencia, Acceso a la Información Pública y Protección de Datos Personales del Estado de</w:t>
      </w:r>
      <w:r w:rsidRPr="00681C2A">
        <w:rPr>
          <w:rFonts w:ascii="Palatino Linotype" w:eastAsia="Palatino Linotype" w:hAnsi="Palatino Linotype" w:cs="Palatino Linotype"/>
          <w:b/>
        </w:rPr>
        <w:t xml:space="preserve"> México y Municipios.</w:t>
      </w:r>
    </w:p>
    <w:p w:rsidR="00C22335" w:rsidRPr="00681C2A" w:rsidRDefault="00C22335">
      <w:pPr>
        <w:spacing w:line="360" w:lineRule="auto"/>
        <w:jc w:val="both"/>
        <w:rPr>
          <w:rFonts w:ascii="Palatino Linotype" w:eastAsia="Palatino Linotype" w:hAnsi="Palatino Linotype" w:cs="Palatino Linotype"/>
          <w:b/>
        </w:rPr>
      </w:pPr>
    </w:p>
    <w:p w:rsidR="00C22335" w:rsidRPr="00681C2A" w:rsidRDefault="00492294">
      <w:pPr>
        <w:keepNext/>
        <w:keepLines/>
        <w:spacing w:line="360" w:lineRule="auto"/>
        <w:rPr>
          <w:rFonts w:ascii="Palatino Linotype" w:eastAsia="Palatino Linotype" w:hAnsi="Palatino Linotype" w:cs="Palatino Linotype"/>
          <w:b/>
        </w:rPr>
      </w:pPr>
      <w:bookmarkStart w:id="4" w:name="_heading=h.2et92p0" w:colFirst="0" w:colLast="0"/>
      <w:bookmarkEnd w:id="4"/>
      <w:r w:rsidRPr="00681C2A">
        <w:rPr>
          <w:rFonts w:ascii="Palatino Linotype" w:eastAsia="Palatino Linotype" w:hAnsi="Palatino Linotype" w:cs="Palatino Linotype"/>
          <w:b/>
        </w:rPr>
        <w:t>SEGUNDO. De la oportunidad y procedencia.</w:t>
      </w:r>
    </w:p>
    <w:p w:rsidR="00C22335" w:rsidRPr="00681C2A" w:rsidRDefault="00C22335">
      <w:pPr>
        <w:spacing w:line="360" w:lineRule="auto"/>
        <w:rPr>
          <w:rFonts w:ascii="Palatino Linotype" w:eastAsia="Palatino Linotype" w:hAnsi="Palatino Linotype" w:cs="Palatino Linotype"/>
        </w:rPr>
      </w:pPr>
    </w:p>
    <w:p w:rsidR="00C22335" w:rsidRPr="00681C2A" w:rsidRDefault="00492294">
      <w:pPr>
        <w:numPr>
          <w:ilvl w:val="0"/>
          <w:numId w:val="2"/>
        </w:numPr>
        <w:spacing w:line="360" w:lineRule="auto"/>
        <w:ind w:left="0" w:right="48" w:firstLine="0"/>
        <w:jc w:val="both"/>
        <w:rPr>
          <w:rFonts w:ascii="Palatino Linotype" w:eastAsia="Palatino Linotype" w:hAnsi="Palatino Linotype" w:cs="Palatino Linotype"/>
        </w:rPr>
      </w:pPr>
      <w:r w:rsidRPr="00681C2A">
        <w:rPr>
          <w:rFonts w:ascii="Palatino Linotype" w:eastAsia="Palatino Linotype" w:hAnsi="Palatino Linotype" w:cs="Palatino Linotype"/>
        </w:rPr>
        <w:t xml:space="preserve">El medio de impugnación fue presentado a través del </w:t>
      </w:r>
      <w:r w:rsidRPr="00681C2A">
        <w:rPr>
          <w:rFonts w:ascii="Palatino Linotype" w:eastAsia="Palatino Linotype" w:hAnsi="Palatino Linotype" w:cs="Palatino Linotype"/>
          <w:b/>
        </w:rPr>
        <w:t>SAIMEX,</w:t>
      </w:r>
      <w:r w:rsidRPr="00681C2A">
        <w:rPr>
          <w:rFonts w:ascii="Palatino Linotype" w:eastAsia="Palatino Linotype" w:hAnsi="Palatino Linotype" w:cs="Palatino Linotype"/>
        </w:rPr>
        <w:t xml:space="preserve"> en el formato previamente aprobado para tal efecto y dentro del plazo legal de quince días hábiles </w:t>
      </w:r>
      <w:r w:rsidRPr="00681C2A">
        <w:rPr>
          <w:rFonts w:ascii="Palatino Linotype" w:eastAsia="Palatino Linotype" w:hAnsi="Palatino Linotype" w:cs="Palatino Linotype"/>
        </w:rPr>
        <w:lastRenderedPageBreak/>
        <w:t xml:space="preserve">otorgados; para el caso en particular es de señalar que el </w:t>
      </w:r>
      <w:r w:rsidRPr="00681C2A">
        <w:rPr>
          <w:rFonts w:ascii="Palatino Linotype" w:eastAsia="Palatino Linotype" w:hAnsi="Palatino Linotype" w:cs="Palatino Linotype"/>
          <w:b/>
        </w:rPr>
        <w:t>SUJETO OBLIGADO</w:t>
      </w:r>
      <w:r w:rsidRPr="00681C2A">
        <w:rPr>
          <w:rFonts w:ascii="Palatino Linotype" w:eastAsia="Palatino Linotype" w:hAnsi="Palatino Linotype" w:cs="Palatino Linotype"/>
        </w:rPr>
        <w:t xml:space="preserve"> entregó respuesta el día veintidós (22) de septiembre  de dos mil veintiuno, de t</w:t>
      </w:r>
      <w:r w:rsidRPr="00681C2A">
        <w:rPr>
          <w:rFonts w:ascii="Palatino Linotype" w:eastAsia="Palatino Linotype" w:hAnsi="Palatino Linotype" w:cs="Palatino Linotype"/>
        </w:rPr>
        <w:t>al forma que el plazo para interponer el recurso transcurrió del día veintitrés (23) de septiembre  al trece (13) de octubre  de dos mil veintiuno; en consecuencia, si el particular presentó su inconformidad el día treinta (30) de septiembre  de dos mil ve</w:t>
      </w:r>
      <w:r w:rsidRPr="00681C2A">
        <w:rPr>
          <w:rFonts w:ascii="Palatino Linotype" w:eastAsia="Palatino Linotype" w:hAnsi="Palatino Linotype" w:cs="Palatino Linotype"/>
        </w:rPr>
        <w:t xml:space="preserve">intiuno, se encuentra dentro de los márgenes temporales previstos en el artículo 178 de la </w:t>
      </w:r>
      <w:r w:rsidRPr="00681C2A">
        <w:rPr>
          <w:rFonts w:ascii="Palatino Linotype" w:eastAsia="Palatino Linotype" w:hAnsi="Palatino Linotype" w:cs="Palatino Linotype"/>
          <w:b/>
        </w:rPr>
        <w:t xml:space="preserve">Ley de Transparencia y Acceso a la Información Pública del Estado de México y Municipios </w:t>
      </w:r>
      <w:r w:rsidRPr="00681C2A">
        <w:rPr>
          <w:rFonts w:ascii="Palatino Linotype" w:eastAsia="Palatino Linotype" w:hAnsi="Palatino Linotype" w:cs="Palatino Linotype"/>
        </w:rPr>
        <w:t xml:space="preserve">vigente. </w:t>
      </w:r>
    </w:p>
    <w:p w:rsidR="00C22335" w:rsidRPr="00681C2A" w:rsidRDefault="00C22335">
      <w:pPr>
        <w:spacing w:line="360" w:lineRule="auto"/>
        <w:ind w:right="49"/>
        <w:jc w:val="both"/>
        <w:rPr>
          <w:rFonts w:ascii="Palatino Linotype" w:eastAsia="Palatino Linotype" w:hAnsi="Palatino Linotype" w:cs="Palatino Linotype"/>
          <w:b/>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b/>
        </w:rPr>
      </w:pPr>
      <w:r w:rsidRPr="00681C2A">
        <w:rPr>
          <w:rFonts w:ascii="Palatino Linotype" w:eastAsia="Palatino Linotype" w:hAnsi="Palatino Linotype" w:cs="Palatino Linotype"/>
        </w:rPr>
        <w:t xml:space="preserve">Consecuentemente, el escrito contiene las formalidades previstas </w:t>
      </w:r>
      <w:r w:rsidRPr="00681C2A">
        <w:rPr>
          <w:rFonts w:ascii="Palatino Linotype" w:eastAsia="Palatino Linotype" w:hAnsi="Palatino Linotype" w:cs="Palatino Linotype"/>
        </w:rPr>
        <w:t>por el artículo 180 último párrafo de la Ley de la materia actual, por lo que es procedente que este Instituto de Transparencia, Acceso a la Información Pública y Protección de Datos Personales del Estado de México y Municipios, conozca y resuelva el prese</w:t>
      </w:r>
      <w:r w:rsidRPr="00681C2A">
        <w:rPr>
          <w:rFonts w:ascii="Palatino Linotype" w:eastAsia="Palatino Linotype" w:hAnsi="Palatino Linotype" w:cs="Palatino Linotype"/>
        </w:rPr>
        <w:t>nte recurso.</w:t>
      </w:r>
    </w:p>
    <w:p w:rsidR="00C22335" w:rsidRPr="00681C2A" w:rsidRDefault="00C22335">
      <w:pPr>
        <w:spacing w:line="360" w:lineRule="auto"/>
        <w:ind w:right="49"/>
        <w:jc w:val="both"/>
        <w:rPr>
          <w:rFonts w:ascii="Palatino Linotype" w:eastAsia="Palatino Linotype" w:hAnsi="Palatino Linotype" w:cs="Palatino Linotype"/>
          <w:b/>
        </w:rPr>
      </w:pPr>
    </w:p>
    <w:p w:rsidR="00C22335" w:rsidRPr="00681C2A" w:rsidRDefault="00492294">
      <w:pPr>
        <w:keepNext/>
        <w:keepLines/>
        <w:spacing w:line="360" w:lineRule="auto"/>
        <w:ind w:right="48"/>
        <w:rPr>
          <w:rFonts w:ascii="Palatino Linotype" w:eastAsia="Palatino Linotype" w:hAnsi="Palatino Linotype" w:cs="Palatino Linotype"/>
          <w:b/>
        </w:rPr>
      </w:pPr>
      <w:bookmarkStart w:id="5" w:name="_heading=h.tyjcwt" w:colFirst="0" w:colLast="0"/>
      <w:bookmarkEnd w:id="5"/>
      <w:r w:rsidRPr="00681C2A">
        <w:rPr>
          <w:rFonts w:ascii="Palatino Linotype" w:eastAsia="Palatino Linotype" w:hAnsi="Palatino Linotype" w:cs="Palatino Linotype"/>
          <w:b/>
        </w:rPr>
        <w:t>TERCERO. Planteamiento de la Litis.</w:t>
      </w:r>
    </w:p>
    <w:p w:rsidR="00C22335" w:rsidRPr="00681C2A" w:rsidRDefault="00C22335">
      <w:pPr>
        <w:spacing w:line="360" w:lineRule="auto"/>
        <w:ind w:right="49"/>
        <w:jc w:val="both"/>
        <w:rPr>
          <w:rFonts w:ascii="Palatino Linotype" w:eastAsia="Palatino Linotype" w:hAnsi="Palatino Linotype" w:cs="Palatino Linotype"/>
          <w:b/>
        </w:rPr>
      </w:pPr>
    </w:p>
    <w:p w:rsidR="00C22335" w:rsidRPr="00681C2A" w:rsidRDefault="00492294">
      <w:pPr>
        <w:numPr>
          <w:ilvl w:val="0"/>
          <w:numId w:val="2"/>
        </w:numPr>
        <w:spacing w:line="360" w:lineRule="auto"/>
        <w:ind w:left="0" w:right="48" w:firstLine="0"/>
        <w:jc w:val="both"/>
        <w:rPr>
          <w:rFonts w:ascii="Palatino Linotype" w:eastAsia="Palatino Linotype" w:hAnsi="Palatino Linotype" w:cs="Palatino Linotype"/>
          <w:i/>
        </w:rPr>
      </w:pPr>
      <w:r w:rsidRPr="00681C2A">
        <w:rPr>
          <w:rFonts w:ascii="Palatino Linotype" w:eastAsia="Palatino Linotype" w:hAnsi="Palatino Linotype" w:cs="Palatino Linotype"/>
        </w:rPr>
        <w:t>El particular solicitó</w:t>
      </w:r>
      <w:r w:rsidRPr="00681C2A">
        <w:rPr>
          <w:rFonts w:ascii="Palatino Linotype" w:eastAsia="Palatino Linotype" w:hAnsi="Palatino Linotype" w:cs="Palatino Linotype"/>
          <w:i/>
          <w:color w:val="000000"/>
          <w:sz w:val="22"/>
          <w:szCs w:val="22"/>
        </w:rPr>
        <w:t xml:space="preserve"> los bienes muebles de bajo costo  patrimonial del primer levantamiento de enero a junio del 2021 así como las actas circunstanciadas de cada uno.</w:t>
      </w:r>
    </w:p>
    <w:p w:rsidR="00C22335" w:rsidRPr="00681C2A" w:rsidRDefault="00C22335">
      <w:pPr>
        <w:spacing w:line="360" w:lineRule="auto"/>
        <w:ind w:right="48"/>
        <w:jc w:val="both"/>
        <w:rPr>
          <w:rFonts w:ascii="Palatino Linotype" w:eastAsia="Palatino Linotype" w:hAnsi="Palatino Linotype" w:cs="Palatino Linotype"/>
          <w:i/>
        </w:rPr>
      </w:pPr>
    </w:p>
    <w:p w:rsidR="00C22335" w:rsidRPr="00681C2A" w:rsidRDefault="00492294">
      <w:pPr>
        <w:numPr>
          <w:ilvl w:val="0"/>
          <w:numId w:val="2"/>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color w:val="000000"/>
        </w:rPr>
        <w:t>En respuesta, el SUJETO OBLIGADO manifestó remitir la información solicitada, adjunta a la respuesta.</w:t>
      </w:r>
    </w:p>
    <w:p w:rsidR="00C22335" w:rsidRPr="00681C2A" w:rsidRDefault="00C22335">
      <w:pPr>
        <w:pBdr>
          <w:top w:val="nil"/>
          <w:left w:val="nil"/>
          <w:bottom w:val="nil"/>
          <w:right w:val="nil"/>
          <w:between w:val="nil"/>
        </w:pBdr>
        <w:spacing w:line="360" w:lineRule="auto"/>
        <w:ind w:right="48"/>
        <w:jc w:val="both"/>
        <w:rPr>
          <w:rFonts w:ascii="Palatino Linotype" w:eastAsia="Palatino Linotype" w:hAnsi="Palatino Linotype" w:cs="Palatino Linotype"/>
          <w:i/>
          <w:color w:val="000000"/>
        </w:rPr>
      </w:pPr>
    </w:p>
    <w:p w:rsidR="00C22335" w:rsidRPr="00681C2A" w:rsidRDefault="00492294">
      <w:pPr>
        <w:numPr>
          <w:ilvl w:val="0"/>
          <w:numId w:val="2"/>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color w:val="000000"/>
        </w:rPr>
        <w:lastRenderedPageBreak/>
        <w:t xml:space="preserve">En consecuencia, el particular interpuso recurso de revisión mediante el cual se inconformó ; argumentó en sus motivos de inconformidad </w:t>
      </w:r>
      <w:r w:rsidRPr="00681C2A">
        <w:rPr>
          <w:rFonts w:ascii="Palatino Linotype" w:eastAsia="Palatino Linotype" w:hAnsi="Palatino Linotype" w:cs="Palatino Linotype"/>
          <w:i/>
          <w:color w:val="000000"/>
          <w:sz w:val="22"/>
          <w:szCs w:val="22"/>
        </w:rPr>
        <w:t>“NO ME DIO RESPUE</w:t>
      </w:r>
      <w:r w:rsidRPr="00681C2A">
        <w:rPr>
          <w:rFonts w:ascii="Palatino Linotype" w:eastAsia="Palatino Linotype" w:hAnsi="Palatino Linotype" w:cs="Palatino Linotype"/>
          <w:i/>
          <w:color w:val="000000"/>
          <w:sz w:val="22"/>
          <w:szCs w:val="22"/>
        </w:rPr>
        <w:t>STA DE MI PETICIÓN” (Sic)</w:t>
      </w:r>
    </w:p>
    <w:p w:rsidR="00C22335" w:rsidRPr="00681C2A" w:rsidRDefault="00C22335">
      <w:pPr>
        <w:pBdr>
          <w:top w:val="nil"/>
          <w:left w:val="nil"/>
          <w:bottom w:val="nil"/>
          <w:right w:val="nil"/>
          <w:between w:val="nil"/>
        </w:pBdr>
        <w:spacing w:line="360" w:lineRule="auto"/>
        <w:ind w:right="48"/>
        <w:jc w:val="both"/>
        <w:rPr>
          <w:rFonts w:ascii="Palatino Linotype" w:eastAsia="Palatino Linotype" w:hAnsi="Palatino Linotype" w:cs="Palatino Linotype"/>
          <w:i/>
          <w:color w:val="000000"/>
        </w:rPr>
      </w:pPr>
    </w:p>
    <w:p w:rsidR="00C22335" w:rsidRPr="00681C2A" w:rsidRDefault="00492294">
      <w:pPr>
        <w:numPr>
          <w:ilvl w:val="0"/>
          <w:numId w:val="2"/>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color w:val="000000"/>
        </w:rPr>
        <w:t>En consecuencia, la Litis del presente asunto corresponde en resolver si el SUJETO OBLIGADO atendió la solicitud con apego a los principios establecidos en el artículo 11 de la Ley de Transparencia Local, si con la entrega de los</w:t>
      </w:r>
      <w:r w:rsidRPr="00681C2A">
        <w:rPr>
          <w:rFonts w:ascii="Palatino Linotype" w:eastAsia="Palatino Linotype" w:hAnsi="Palatino Linotype" w:cs="Palatino Linotype"/>
          <w:color w:val="000000"/>
        </w:rPr>
        <w:t xml:space="preserve"> documentos en respuesta se garantiza que la información sea integral y oportuna.</w:t>
      </w:r>
    </w:p>
    <w:p w:rsidR="00C22335" w:rsidRPr="00681C2A" w:rsidRDefault="00C22335">
      <w:pPr>
        <w:pBdr>
          <w:top w:val="nil"/>
          <w:left w:val="nil"/>
          <w:bottom w:val="nil"/>
          <w:right w:val="nil"/>
          <w:between w:val="nil"/>
        </w:pBdr>
        <w:spacing w:line="360" w:lineRule="auto"/>
        <w:ind w:right="48"/>
        <w:jc w:val="both"/>
        <w:rPr>
          <w:rFonts w:ascii="Palatino Linotype" w:eastAsia="Palatino Linotype" w:hAnsi="Palatino Linotype" w:cs="Palatino Linotype"/>
          <w:i/>
          <w:color w:val="000000"/>
        </w:rPr>
      </w:pPr>
    </w:p>
    <w:p w:rsidR="00C22335" w:rsidRPr="00681C2A" w:rsidRDefault="00492294">
      <w:pPr>
        <w:numPr>
          <w:ilvl w:val="0"/>
          <w:numId w:val="2"/>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color w:val="000000"/>
        </w:rPr>
        <w:t>Así mismo determinar si se actualizan las causales de procedencia previstas en la fracciones I  y VII del artículo 179 de la Ley de Transparencia y Acceso a la Información P</w:t>
      </w:r>
      <w:r w:rsidRPr="00681C2A">
        <w:rPr>
          <w:rFonts w:ascii="Palatino Linotype" w:eastAsia="Palatino Linotype" w:hAnsi="Palatino Linotype" w:cs="Palatino Linotype"/>
          <w:color w:val="000000"/>
        </w:rPr>
        <w:t>ública del Estado de México y sus Municipios, que establecen la negativa de la información solicitada y la falta de respuesta.</w:t>
      </w:r>
    </w:p>
    <w:p w:rsidR="00C22335" w:rsidRPr="00681C2A" w:rsidRDefault="00C22335">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C22335" w:rsidRPr="00681C2A" w:rsidRDefault="00492294">
      <w:pPr>
        <w:pStyle w:val="Ttulo1"/>
        <w:spacing w:before="0" w:line="360" w:lineRule="auto"/>
        <w:rPr>
          <w:rFonts w:ascii="Palatino Linotype" w:eastAsia="Palatino Linotype" w:hAnsi="Palatino Linotype" w:cs="Palatino Linotype"/>
          <w:b/>
          <w:color w:val="000000"/>
          <w:sz w:val="24"/>
          <w:szCs w:val="24"/>
        </w:rPr>
      </w:pPr>
      <w:bookmarkStart w:id="6" w:name="_heading=h.3dy6vkm" w:colFirst="0" w:colLast="0"/>
      <w:bookmarkEnd w:id="6"/>
      <w:r w:rsidRPr="00681C2A">
        <w:rPr>
          <w:rFonts w:ascii="Palatino Linotype" w:eastAsia="Palatino Linotype" w:hAnsi="Palatino Linotype" w:cs="Palatino Linotype"/>
          <w:b/>
          <w:color w:val="000000"/>
          <w:sz w:val="24"/>
          <w:szCs w:val="24"/>
        </w:rPr>
        <w:t>CUARTO. Del estudio y resolución del recurso de revisión.</w:t>
      </w:r>
    </w:p>
    <w:p w:rsidR="00C22335" w:rsidRPr="00681C2A" w:rsidRDefault="00C22335">
      <w:pPr>
        <w:spacing w:line="360" w:lineRule="auto"/>
        <w:ind w:right="48"/>
        <w:jc w:val="both"/>
        <w:rPr>
          <w:rFonts w:ascii="Palatino Linotype" w:eastAsia="Palatino Linotype" w:hAnsi="Palatino Linotype" w:cs="Palatino Linotype"/>
        </w:rPr>
      </w:pPr>
    </w:p>
    <w:p w:rsidR="00C22335" w:rsidRPr="00681C2A" w:rsidRDefault="00492294">
      <w:pPr>
        <w:pStyle w:val="Ttulo1"/>
        <w:spacing w:before="0" w:line="360" w:lineRule="auto"/>
        <w:rPr>
          <w:rFonts w:ascii="Palatino Linotype" w:eastAsia="Palatino Linotype" w:hAnsi="Palatino Linotype" w:cs="Palatino Linotype"/>
          <w:b/>
          <w:color w:val="000000"/>
          <w:sz w:val="24"/>
          <w:szCs w:val="24"/>
        </w:rPr>
      </w:pPr>
      <w:bookmarkStart w:id="7" w:name="_heading=h.1t3h5sf" w:colFirst="0" w:colLast="0"/>
      <w:bookmarkEnd w:id="7"/>
      <w:r w:rsidRPr="00681C2A">
        <w:rPr>
          <w:rFonts w:ascii="Palatino Linotype" w:eastAsia="Palatino Linotype" w:hAnsi="Palatino Linotype" w:cs="Palatino Linotype"/>
          <w:b/>
          <w:color w:val="000000"/>
          <w:sz w:val="24"/>
          <w:szCs w:val="24"/>
        </w:rPr>
        <w:t>I. Del derecho de acceso a la información.</w:t>
      </w:r>
    </w:p>
    <w:p w:rsidR="00C22335" w:rsidRPr="00681C2A" w:rsidRDefault="00C22335">
      <w:pPr>
        <w:pBdr>
          <w:top w:val="nil"/>
          <w:left w:val="nil"/>
          <w:bottom w:val="nil"/>
          <w:right w:val="nil"/>
          <w:between w:val="nil"/>
        </w:pBdr>
        <w:spacing w:line="360" w:lineRule="auto"/>
        <w:ind w:left="360" w:right="48"/>
        <w:jc w:val="both"/>
        <w:rPr>
          <w:rFonts w:ascii="Palatino Linotype" w:eastAsia="Palatino Linotype" w:hAnsi="Palatino Linotype" w:cs="Palatino Linotype"/>
          <w:color w:val="000000"/>
        </w:rPr>
      </w:pPr>
    </w:p>
    <w:p w:rsidR="00C22335" w:rsidRPr="00681C2A" w:rsidRDefault="00492294">
      <w:pPr>
        <w:numPr>
          <w:ilvl w:val="0"/>
          <w:numId w:val="2"/>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sz w:val="22"/>
          <w:szCs w:val="22"/>
        </w:rPr>
        <w:t>El Derecho de Acceso a la Información Pública, es un derecho humano reconocido en el Pacto de Derechos Civiles y Políticos en su artículo 19.2; en la Convención Americana sobre Derechos Humanos en su artículo 13.1; en el artículo sexto de la Constitución P</w:t>
      </w:r>
      <w:r w:rsidRPr="00681C2A">
        <w:rPr>
          <w:rFonts w:ascii="Palatino Linotype" w:eastAsia="Palatino Linotype" w:hAnsi="Palatino Linotype" w:cs="Palatino Linotype"/>
          <w:color w:val="000000"/>
          <w:sz w:val="22"/>
          <w:szCs w:val="22"/>
        </w:rPr>
        <w:t xml:space="preserve">olítica de los Estados Unidos Mexicanos y en el artículo quinto de la Particular del Estado de México. </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rPr>
        <w:lastRenderedPageBreak/>
        <w:t xml:space="preserve">Definiendo el Derecho de Acceso a la Información Pública como: </w:t>
      </w:r>
      <w:r w:rsidRPr="00681C2A">
        <w:rPr>
          <w:rFonts w:ascii="Palatino Linotype" w:eastAsia="Palatino Linotype" w:hAnsi="Palatino Linotype" w:cs="Palatino Linotype"/>
          <w:i/>
          <w:color w:val="000000"/>
        </w:rPr>
        <w:t>La igualdad de oportunidades para recibir, buscar e impartir información</w:t>
      </w:r>
      <w:r w:rsidRPr="00681C2A">
        <w:rPr>
          <w:rFonts w:ascii="Palatino Linotype" w:eastAsia="Palatino Linotype" w:hAnsi="Palatino Linotype" w:cs="Palatino Linotype"/>
          <w:i/>
          <w:vertAlign w:val="superscript"/>
        </w:rPr>
        <w:footnoteReference w:id="1"/>
      </w:r>
      <w:r w:rsidRPr="00681C2A">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w:t>
      </w:r>
      <w:r w:rsidRPr="00681C2A">
        <w:rPr>
          <w:rFonts w:ascii="Palatino Linotype" w:eastAsia="Palatino Linotype" w:hAnsi="Palatino Linotype" w:cs="Palatino Linotype"/>
          <w:i/>
          <w:color w:val="000000"/>
        </w:rPr>
        <w:t>erza recursos públicos o realice actos de autoridad en el ámbito federal, estatal y municipal,</w:t>
      </w:r>
      <w:r w:rsidRPr="00681C2A">
        <w:rPr>
          <w:rFonts w:ascii="Palatino Linotype" w:eastAsia="Palatino Linotype" w:hAnsi="Palatino Linotype" w:cs="Palatino Linotype"/>
          <w:i/>
          <w:vertAlign w:val="superscript"/>
        </w:rPr>
        <w:footnoteReference w:id="2"/>
      </w:r>
      <w:r w:rsidRPr="00681C2A">
        <w:rPr>
          <w:rFonts w:ascii="Palatino Linotype" w:eastAsia="Palatino Linotype" w:hAnsi="Palatino Linotype" w:cs="Palatino Linotype"/>
          <w:color w:val="000000"/>
        </w:rPr>
        <w:t>que se constituye como una herramienta fundamental para ejercer</w:t>
      </w:r>
      <w:r w:rsidRPr="00681C2A">
        <w:rPr>
          <w:rFonts w:ascii="Palatino Linotype" w:eastAsia="Palatino Linotype" w:hAnsi="Palatino Linotype" w:cs="Palatino Linotype"/>
          <w:i/>
          <w:color w:val="000000"/>
        </w:rPr>
        <w:t xml:space="preserve"> el control democrático de las gestiones estatales, de forma tal que puedan cuestionar, indagar y </w:t>
      </w:r>
      <w:r w:rsidRPr="00681C2A">
        <w:rPr>
          <w:rFonts w:ascii="Palatino Linotype" w:eastAsia="Palatino Linotype" w:hAnsi="Palatino Linotype" w:cs="Palatino Linotype"/>
          <w:i/>
          <w:color w:val="000000"/>
        </w:rPr>
        <w:t>considerar si se está dando un adecuado cumplimiento a las funciones públicas,</w:t>
      </w:r>
      <w:r w:rsidRPr="00681C2A">
        <w:rPr>
          <w:rFonts w:ascii="Palatino Linotype" w:eastAsia="Palatino Linotype" w:hAnsi="Palatino Linotype" w:cs="Palatino Linotype"/>
          <w:i/>
          <w:vertAlign w:val="superscript"/>
        </w:rPr>
        <w:footnoteReference w:id="3"/>
      </w:r>
      <w:r w:rsidRPr="00681C2A">
        <w:rPr>
          <w:rFonts w:ascii="Palatino Linotype" w:eastAsia="Palatino Linotype" w:hAnsi="Palatino Linotype" w:cs="Palatino Linotype"/>
          <w:color w:val="000000"/>
        </w:rPr>
        <w:t>fomentando</w:t>
      </w:r>
      <w:r w:rsidRPr="00681C2A">
        <w:rPr>
          <w:rFonts w:ascii="Palatino Linotype" w:eastAsia="Palatino Linotype" w:hAnsi="Palatino Linotype" w:cs="Palatino Linotype"/>
          <w:i/>
          <w:color w:val="000000"/>
        </w:rPr>
        <w:t xml:space="preserve"> la transparencia de las actividades estatales y </w:t>
      </w:r>
      <w:r w:rsidRPr="00681C2A">
        <w:rPr>
          <w:rFonts w:ascii="Palatino Linotype" w:eastAsia="Palatino Linotype" w:hAnsi="Palatino Linotype" w:cs="Palatino Linotype"/>
          <w:color w:val="000000"/>
        </w:rPr>
        <w:t>promoviendo</w:t>
      </w:r>
      <w:r w:rsidRPr="00681C2A">
        <w:rPr>
          <w:rFonts w:ascii="Palatino Linotype" w:eastAsia="Palatino Linotype" w:hAnsi="Palatino Linotype" w:cs="Palatino Linotype"/>
          <w:i/>
          <w:color w:val="000000"/>
        </w:rPr>
        <w:t xml:space="preserve"> la responsabilidad de los funcionarios sobre su gestión pública,</w:t>
      </w:r>
      <w:r w:rsidRPr="00681C2A">
        <w:rPr>
          <w:rFonts w:ascii="Palatino Linotype" w:eastAsia="Palatino Linotype" w:hAnsi="Palatino Linotype" w:cs="Palatino Linotype"/>
          <w:i/>
          <w:vertAlign w:val="superscript"/>
        </w:rPr>
        <w:footnoteReference w:id="4"/>
      </w:r>
      <w:r w:rsidRPr="00681C2A">
        <w:rPr>
          <w:rFonts w:ascii="Palatino Linotype" w:eastAsia="Palatino Linotype" w:hAnsi="Palatino Linotype" w:cs="Palatino Linotype"/>
          <w:color w:val="000000"/>
        </w:rPr>
        <w:t>que permite</w:t>
      </w:r>
      <w:r w:rsidRPr="00681C2A">
        <w:rPr>
          <w:rFonts w:ascii="Palatino Linotype" w:eastAsia="Palatino Linotype" w:hAnsi="Palatino Linotype" w:cs="Palatino Linotype"/>
          <w:i/>
          <w:color w:val="000000"/>
        </w:rPr>
        <w:t xml:space="preserve"> saber qué están haciendo los </w:t>
      </w:r>
      <w:r w:rsidRPr="00681C2A">
        <w:rPr>
          <w:rFonts w:ascii="Palatino Linotype" w:eastAsia="Palatino Linotype" w:hAnsi="Palatino Linotype" w:cs="Palatino Linotype"/>
          <w:i/>
          <w:color w:val="000000"/>
        </w:rPr>
        <w:t>gobiernos por sus pueblos, sin lo cual la verdad languidecería y la participación en el gobierno permanecería fragmentada.</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rPr>
        <w:t>En México, además de los derechos, están reconocidas las garantías para su protección, en ese sentido el párrafo tercero de artículo</w:t>
      </w:r>
      <w:r w:rsidRPr="00681C2A">
        <w:rPr>
          <w:rFonts w:ascii="Palatino Linotype" w:eastAsia="Palatino Linotype" w:hAnsi="Palatino Linotype" w:cs="Palatino Linotype"/>
        </w:rPr>
        <w:t xml:space="preserve"> primero de la Constitución Política de los Estados Unidos Mexicanos, dispone lo siguiente:</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w:t>
      </w:r>
      <w:r w:rsidRPr="00681C2A">
        <w:rPr>
          <w:rFonts w:ascii="Palatino Linotype" w:eastAsia="Palatino Linotype" w:hAnsi="Palatino Linotype" w:cs="Palatino Linotype"/>
          <w:b/>
          <w:i/>
          <w:sz w:val="22"/>
          <w:szCs w:val="22"/>
        </w:rPr>
        <w:t>Artículo 1.-</w:t>
      </w:r>
      <w:r w:rsidRPr="00681C2A">
        <w:rPr>
          <w:rFonts w:ascii="Palatino Linotype" w:eastAsia="Palatino Linotype" w:hAnsi="Palatino Linotype" w:cs="Palatino Linotype"/>
          <w:i/>
          <w:sz w:val="22"/>
          <w:szCs w:val="22"/>
        </w:rPr>
        <w:t xml:space="preserve"> </w:t>
      </w:r>
    </w:p>
    <w:p w:rsidR="00C22335" w:rsidRPr="00681C2A" w:rsidRDefault="00492294">
      <w:pPr>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w:t>
      </w:r>
    </w:p>
    <w:p w:rsidR="00C22335" w:rsidRPr="00681C2A" w:rsidRDefault="00492294">
      <w:pPr>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Todas las</w:t>
      </w:r>
      <w:r w:rsidRPr="00681C2A">
        <w:rPr>
          <w:rFonts w:ascii="Palatino Linotype" w:eastAsia="Palatino Linotype" w:hAnsi="Palatino Linotype" w:cs="Palatino Linotype"/>
          <w:sz w:val="22"/>
          <w:szCs w:val="22"/>
        </w:rPr>
        <w:t xml:space="preserve"> </w:t>
      </w:r>
      <w:r w:rsidRPr="00681C2A">
        <w:rPr>
          <w:rFonts w:ascii="Palatino Linotype" w:eastAsia="Palatino Linotype" w:hAnsi="Palatino Linotype" w:cs="Palatino Linotype"/>
          <w:i/>
          <w:sz w:val="22"/>
          <w:szCs w:val="22"/>
        </w:rPr>
        <w:t xml:space="preserve">autoridades, en el ámbito de sus competencias, tienen la obligación de promover, respetar, proteger y garantizar los derechos humanos de conformidad con los principios de </w:t>
      </w:r>
      <w:r w:rsidRPr="00681C2A">
        <w:rPr>
          <w:rFonts w:ascii="Palatino Linotype" w:eastAsia="Palatino Linotype" w:hAnsi="Palatino Linotype" w:cs="Palatino Linotype"/>
          <w:i/>
          <w:sz w:val="22"/>
          <w:szCs w:val="22"/>
        </w:rPr>
        <w:lastRenderedPageBreak/>
        <w:t>universalidad, interdependencia, indivisibilidad y progresividad. En consecuencia, el</w:t>
      </w:r>
      <w:r w:rsidRPr="00681C2A">
        <w:rPr>
          <w:rFonts w:ascii="Palatino Linotype" w:eastAsia="Palatino Linotype" w:hAnsi="Palatino Linotype" w:cs="Palatino Linotype"/>
          <w:i/>
          <w:sz w:val="22"/>
          <w:szCs w:val="22"/>
        </w:rPr>
        <w:t xml:space="preserve"> Estado deberá prevenir, investigar, sancionar y reparar las violaciones a los derechos humanos, en los términos que establezca la ley.</w:t>
      </w:r>
    </w:p>
    <w:p w:rsidR="00C22335" w:rsidRPr="00681C2A" w:rsidRDefault="00492294">
      <w:pPr>
        <w:spacing w:line="360" w:lineRule="auto"/>
        <w:ind w:left="567" w:right="567"/>
        <w:jc w:val="both"/>
        <w:rPr>
          <w:rFonts w:ascii="Palatino Linotype" w:eastAsia="Palatino Linotype" w:hAnsi="Palatino Linotype" w:cs="Palatino Linotype"/>
          <w:sz w:val="22"/>
          <w:szCs w:val="22"/>
        </w:rPr>
      </w:pPr>
      <w:r w:rsidRPr="00681C2A">
        <w:rPr>
          <w:rFonts w:ascii="Palatino Linotype" w:eastAsia="Palatino Linotype" w:hAnsi="Palatino Linotype" w:cs="Palatino Linotype"/>
          <w:i/>
          <w:sz w:val="22"/>
          <w:szCs w:val="22"/>
        </w:rPr>
        <w:t>(…)</w:t>
      </w:r>
      <w:r w:rsidRPr="00681C2A">
        <w:rPr>
          <w:rFonts w:ascii="Palatino Linotype" w:eastAsia="Palatino Linotype" w:hAnsi="Palatino Linotype" w:cs="Palatino Linotype"/>
          <w:sz w:val="22"/>
          <w:szCs w:val="22"/>
        </w:rPr>
        <w:t>”.</w:t>
      </w:r>
    </w:p>
    <w:p w:rsidR="00C22335" w:rsidRPr="00681C2A" w:rsidRDefault="00492294">
      <w:pPr>
        <w:spacing w:line="360" w:lineRule="auto"/>
        <w:ind w:left="567" w:right="567"/>
        <w:jc w:val="both"/>
        <w:rPr>
          <w:rFonts w:ascii="Palatino Linotype" w:eastAsia="Palatino Linotype" w:hAnsi="Palatino Linotype" w:cs="Palatino Linotype"/>
          <w:b/>
          <w:sz w:val="22"/>
          <w:szCs w:val="22"/>
        </w:rPr>
      </w:pPr>
      <w:r w:rsidRPr="00681C2A">
        <w:rPr>
          <w:rFonts w:ascii="Palatino Linotype" w:eastAsia="Palatino Linotype" w:hAnsi="Palatino Linotype" w:cs="Palatino Linotype"/>
          <w:b/>
          <w:i/>
          <w:sz w:val="22"/>
          <w:szCs w:val="22"/>
        </w:rPr>
        <w:t>(Énfasis Añadido)</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w:t>
      </w:r>
      <w:r w:rsidRPr="00681C2A">
        <w:rPr>
          <w:rFonts w:ascii="Palatino Linotype" w:eastAsia="Palatino Linotype" w:hAnsi="Palatino Linotype" w:cs="Palatino Linotype"/>
        </w:rPr>
        <w:t xml:space="preserve"> del párrafo tercero de mismo artículo.</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w:t>
      </w:r>
      <w:r w:rsidRPr="00681C2A">
        <w:rPr>
          <w:rFonts w:ascii="Palatino Linotype" w:eastAsia="Palatino Linotype" w:hAnsi="Palatino Linotype" w:cs="Palatino Linotype"/>
        </w:rPr>
        <w:t>bligaciones inmediatamente relacionadas con el Derecho de Acceso a la Información Pública, permiten que todas las autoridades, en el ámbito de sus atribuciones lo respeten, protejan y garanticen.</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spacing w:line="360" w:lineRule="auto"/>
        <w:ind w:left="567" w:right="567"/>
        <w:jc w:val="center"/>
        <w:rPr>
          <w:rFonts w:ascii="Palatino Linotype" w:eastAsia="Palatino Linotype" w:hAnsi="Palatino Linotype" w:cs="Palatino Linotype"/>
          <w:b/>
          <w:i/>
          <w:sz w:val="22"/>
          <w:szCs w:val="22"/>
        </w:rPr>
      </w:pPr>
      <w:r w:rsidRPr="00681C2A">
        <w:rPr>
          <w:rFonts w:ascii="Palatino Linotype" w:eastAsia="Palatino Linotype" w:hAnsi="Palatino Linotype" w:cs="Palatino Linotype"/>
          <w:b/>
          <w:i/>
          <w:sz w:val="22"/>
          <w:szCs w:val="22"/>
        </w:rPr>
        <w:t>Constitución Política de los Estados Unidos Mexicanos</w:t>
      </w:r>
    </w:p>
    <w:p w:rsidR="00C22335" w:rsidRPr="00681C2A" w:rsidRDefault="00492294">
      <w:pPr>
        <w:spacing w:line="360" w:lineRule="auto"/>
        <w:ind w:left="567" w:right="567"/>
        <w:jc w:val="both"/>
        <w:rPr>
          <w:rFonts w:ascii="Palatino Linotype" w:eastAsia="Palatino Linotype" w:hAnsi="Palatino Linotype" w:cs="Palatino Linotype"/>
          <w:b/>
          <w:i/>
          <w:sz w:val="22"/>
          <w:szCs w:val="22"/>
        </w:rPr>
      </w:pPr>
      <w:r w:rsidRPr="00681C2A">
        <w:rPr>
          <w:rFonts w:ascii="Palatino Linotype" w:eastAsia="Palatino Linotype" w:hAnsi="Palatino Linotype" w:cs="Palatino Linotype"/>
          <w:b/>
          <w:i/>
          <w:sz w:val="22"/>
          <w:szCs w:val="22"/>
        </w:rPr>
        <w:t>“Artí</w:t>
      </w:r>
      <w:r w:rsidRPr="00681C2A">
        <w:rPr>
          <w:rFonts w:ascii="Palatino Linotype" w:eastAsia="Palatino Linotype" w:hAnsi="Palatino Linotype" w:cs="Palatino Linotype"/>
          <w:b/>
          <w:i/>
          <w:sz w:val="22"/>
          <w:szCs w:val="22"/>
        </w:rPr>
        <w:t>culo 6.</w:t>
      </w:r>
      <w:r w:rsidRPr="00681C2A">
        <w:rPr>
          <w:rFonts w:ascii="Palatino Linotype" w:eastAsia="Palatino Linotype" w:hAnsi="Palatino Linotype" w:cs="Palatino Linotype"/>
          <w:i/>
          <w:sz w:val="22"/>
          <w:szCs w:val="22"/>
        </w:rPr>
        <w:t xml:space="preserve"> …</w:t>
      </w:r>
    </w:p>
    <w:p w:rsidR="00C22335" w:rsidRPr="00681C2A" w:rsidRDefault="00492294">
      <w:pPr>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w:t>
      </w:r>
    </w:p>
    <w:p w:rsidR="00C22335" w:rsidRPr="00681C2A" w:rsidRDefault="00492294">
      <w:pPr>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Para efectos de lo dispuesto en el presente artículo se observará lo siguiente:</w:t>
      </w:r>
    </w:p>
    <w:p w:rsidR="00C22335" w:rsidRPr="00681C2A" w:rsidRDefault="00492294">
      <w:pPr>
        <w:spacing w:line="360" w:lineRule="auto"/>
        <w:ind w:left="567" w:right="567"/>
        <w:jc w:val="both"/>
        <w:rPr>
          <w:rFonts w:ascii="Palatino Linotype" w:eastAsia="Palatino Linotype" w:hAnsi="Palatino Linotype" w:cs="Palatino Linotype"/>
          <w:b/>
          <w:i/>
          <w:sz w:val="22"/>
          <w:szCs w:val="22"/>
        </w:rPr>
      </w:pPr>
      <w:r w:rsidRPr="00681C2A">
        <w:rPr>
          <w:rFonts w:ascii="Palatino Linotype" w:eastAsia="Palatino Linotype" w:hAnsi="Palatino Linotype" w:cs="Palatino Linotype"/>
          <w:b/>
          <w:i/>
          <w:sz w:val="22"/>
          <w:szCs w:val="22"/>
        </w:rPr>
        <w:t>A</w:t>
      </w:r>
      <w:r w:rsidRPr="00681C2A">
        <w:rPr>
          <w:rFonts w:ascii="Palatino Linotype" w:eastAsia="Palatino Linotype" w:hAnsi="Palatino Linotype" w:cs="Palatino Linotype"/>
          <w:i/>
          <w:sz w:val="22"/>
          <w:szCs w:val="22"/>
        </w:rPr>
        <w:t xml:space="preserve">. </w:t>
      </w:r>
      <w:r w:rsidRPr="00681C2A">
        <w:rPr>
          <w:rFonts w:ascii="Palatino Linotype" w:eastAsia="Palatino Linotype" w:hAnsi="Palatino Linotype" w:cs="Palatino Linotype"/>
          <w:b/>
          <w:i/>
          <w:sz w:val="22"/>
          <w:szCs w:val="22"/>
        </w:rPr>
        <w:t>Para el ejercicio del derecho de acceso a la información</w:t>
      </w:r>
      <w:r w:rsidRPr="00681C2A">
        <w:rPr>
          <w:rFonts w:ascii="Palatino Linotype" w:eastAsia="Palatino Linotype" w:hAnsi="Palatino Linotype" w:cs="Palatino Linotype"/>
          <w:i/>
          <w:sz w:val="22"/>
          <w:szCs w:val="22"/>
        </w:rPr>
        <w:t xml:space="preserve">, la Federación y </w:t>
      </w:r>
      <w:r w:rsidRPr="00681C2A">
        <w:rPr>
          <w:rFonts w:ascii="Palatino Linotype" w:eastAsia="Palatino Linotype" w:hAnsi="Palatino Linotype" w:cs="Palatino Linotype"/>
          <w:b/>
          <w:i/>
          <w:sz w:val="22"/>
          <w:szCs w:val="22"/>
        </w:rPr>
        <w:t>las entidades federativas, en el ámbito de sus respectivas competencias, se regirán por</w:t>
      </w:r>
      <w:r w:rsidRPr="00681C2A">
        <w:rPr>
          <w:rFonts w:ascii="Palatino Linotype" w:eastAsia="Palatino Linotype" w:hAnsi="Palatino Linotype" w:cs="Palatino Linotype"/>
          <w:b/>
          <w:i/>
          <w:sz w:val="22"/>
          <w:szCs w:val="22"/>
        </w:rPr>
        <w:t xml:space="preserve"> los siguientes principios y bases:</w:t>
      </w:r>
    </w:p>
    <w:p w:rsidR="00C22335" w:rsidRPr="00681C2A" w:rsidRDefault="00C22335">
      <w:pPr>
        <w:spacing w:line="360" w:lineRule="auto"/>
        <w:ind w:left="567" w:right="567"/>
        <w:jc w:val="both"/>
        <w:rPr>
          <w:rFonts w:ascii="Palatino Linotype" w:eastAsia="Palatino Linotype" w:hAnsi="Palatino Linotype" w:cs="Palatino Linotype"/>
          <w:b/>
          <w:i/>
          <w:sz w:val="22"/>
          <w:szCs w:val="22"/>
        </w:rPr>
      </w:pPr>
    </w:p>
    <w:p w:rsidR="00C22335" w:rsidRPr="00681C2A" w:rsidRDefault="00492294">
      <w:pPr>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b/>
          <w:i/>
          <w:sz w:val="22"/>
          <w:szCs w:val="22"/>
        </w:rPr>
        <w:t xml:space="preserve">I. </w:t>
      </w:r>
      <w:r w:rsidRPr="00681C2A">
        <w:rPr>
          <w:rFonts w:ascii="Palatino Linotype" w:eastAsia="Palatino Linotype" w:hAnsi="Palatino Linotype" w:cs="Palatino Linotype"/>
          <w:b/>
          <w:i/>
          <w:sz w:val="22"/>
          <w:szCs w:val="22"/>
        </w:rPr>
        <w:tab/>
        <w:t>Toda la información en posesión de cualquier</w:t>
      </w:r>
      <w:r w:rsidRPr="00681C2A">
        <w:rPr>
          <w:rFonts w:ascii="Palatino Linotype" w:eastAsia="Palatino Linotype" w:hAnsi="Palatino Linotype" w:cs="Palatino Linotype"/>
          <w:i/>
          <w:sz w:val="22"/>
          <w:szCs w:val="22"/>
        </w:rPr>
        <w:t xml:space="preserve"> </w:t>
      </w:r>
      <w:r w:rsidRPr="00681C2A">
        <w:rPr>
          <w:rFonts w:ascii="Palatino Linotype" w:eastAsia="Palatino Linotype" w:hAnsi="Palatino Linotype" w:cs="Palatino Linotype"/>
          <w:b/>
          <w:i/>
          <w:sz w:val="22"/>
          <w:szCs w:val="22"/>
        </w:rPr>
        <w:t>autoridad</w:t>
      </w:r>
      <w:r w:rsidRPr="00681C2A">
        <w:rPr>
          <w:rFonts w:ascii="Palatino Linotype" w:eastAsia="Palatino Linotype" w:hAnsi="Palatino Linotype" w:cs="Palatino Linotype"/>
          <w:i/>
          <w:sz w:val="22"/>
          <w:szCs w:val="22"/>
        </w:rPr>
        <w:t>, entidad, órgano y organismo de los Poderes Ejecutivo, Legislativo y Judicial, órganos autónomos, partidos políticos, fideicomisos y fondos públicos, así como d</w:t>
      </w:r>
      <w:r w:rsidRPr="00681C2A">
        <w:rPr>
          <w:rFonts w:ascii="Palatino Linotype" w:eastAsia="Palatino Linotype" w:hAnsi="Palatino Linotype" w:cs="Palatino Linotype"/>
          <w:i/>
          <w:sz w:val="22"/>
          <w:szCs w:val="22"/>
        </w:rPr>
        <w:t xml:space="preserve">e cualquier persona física, moral o sindicato que reciba y ejerza recursos públicos o realice actos de autoridad en el ámbito federal, estatal y </w:t>
      </w:r>
      <w:r w:rsidRPr="00681C2A">
        <w:rPr>
          <w:rFonts w:ascii="Palatino Linotype" w:eastAsia="Palatino Linotype" w:hAnsi="Palatino Linotype" w:cs="Palatino Linotype"/>
          <w:b/>
          <w:i/>
          <w:sz w:val="22"/>
          <w:szCs w:val="22"/>
        </w:rPr>
        <w:t>municipal</w:t>
      </w:r>
      <w:r w:rsidRPr="00681C2A">
        <w:rPr>
          <w:rFonts w:ascii="Palatino Linotype" w:eastAsia="Palatino Linotype" w:hAnsi="Palatino Linotype" w:cs="Palatino Linotype"/>
          <w:i/>
          <w:sz w:val="22"/>
          <w:szCs w:val="22"/>
        </w:rPr>
        <w:t xml:space="preserve">, </w:t>
      </w:r>
      <w:r w:rsidRPr="00681C2A">
        <w:rPr>
          <w:rFonts w:ascii="Palatino Linotype" w:eastAsia="Palatino Linotype" w:hAnsi="Palatino Linotype" w:cs="Palatino Linotype"/>
          <w:b/>
          <w:i/>
          <w:sz w:val="22"/>
          <w:szCs w:val="22"/>
        </w:rPr>
        <w:t>es pública</w:t>
      </w:r>
      <w:r w:rsidRPr="00681C2A">
        <w:rPr>
          <w:rFonts w:ascii="Palatino Linotype" w:eastAsia="Palatino Linotype" w:hAnsi="Palatino Linotype" w:cs="Palatino Linotype"/>
          <w:i/>
          <w:sz w:val="22"/>
          <w:szCs w:val="22"/>
        </w:rPr>
        <w:t xml:space="preserve"> y sólo podrá ser reservada temporalmente por razones de interés público y seguridad nacio</w:t>
      </w:r>
      <w:r w:rsidRPr="00681C2A">
        <w:rPr>
          <w:rFonts w:ascii="Palatino Linotype" w:eastAsia="Palatino Linotype" w:hAnsi="Palatino Linotype" w:cs="Palatino Linotype"/>
          <w:i/>
          <w:sz w:val="22"/>
          <w:szCs w:val="22"/>
        </w:rPr>
        <w:t xml:space="preserve">nal, en los términos que fijen las leyes. </w:t>
      </w:r>
      <w:r w:rsidRPr="00681C2A">
        <w:rPr>
          <w:rFonts w:ascii="Palatino Linotype" w:eastAsia="Palatino Linotype" w:hAnsi="Palatino Linotype" w:cs="Palatino Linotype"/>
          <w:b/>
          <w:i/>
          <w:sz w:val="22"/>
          <w:szCs w:val="22"/>
        </w:rPr>
        <w:t>En la interpretación de este derecho deberá prevalecer el principio de máxima publicidad. Los sujetos obligados deberán documentar todo acto que derive del ejercicio de sus facultades, competencias o funciones</w:t>
      </w:r>
      <w:r w:rsidRPr="00681C2A">
        <w:rPr>
          <w:rFonts w:ascii="Palatino Linotype" w:eastAsia="Palatino Linotype" w:hAnsi="Palatino Linotype" w:cs="Palatino Linotype"/>
          <w:i/>
          <w:sz w:val="22"/>
          <w:szCs w:val="22"/>
        </w:rPr>
        <w:t xml:space="preserve">, la </w:t>
      </w:r>
      <w:r w:rsidRPr="00681C2A">
        <w:rPr>
          <w:rFonts w:ascii="Palatino Linotype" w:eastAsia="Palatino Linotype" w:hAnsi="Palatino Linotype" w:cs="Palatino Linotype"/>
          <w:i/>
          <w:sz w:val="22"/>
          <w:szCs w:val="22"/>
        </w:rPr>
        <w:t>ley determinará los supuestos específicos bajo los cuales procederá la declaración de inexistencia de la información.”</w:t>
      </w:r>
    </w:p>
    <w:p w:rsidR="00C22335" w:rsidRPr="00681C2A" w:rsidRDefault="00492294">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sz w:val="22"/>
          <w:szCs w:val="22"/>
        </w:rPr>
      </w:pPr>
      <w:r w:rsidRPr="00681C2A">
        <w:rPr>
          <w:rFonts w:ascii="Palatino Linotype" w:eastAsia="Palatino Linotype" w:hAnsi="Palatino Linotype" w:cs="Palatino Linotype"/>
          <w:b/>
          <w:i/>
          <w:color w:val="000000"/>
          <w:sz w:val="22"/>
          <w:szCs w:val="22"/>
        </w:rPr>
        <w:t>(Énfasis añadido)</w:t>
      </w:r>
    </w:p>
    <w:p w:rsidR="00C22335" w:rsidRPr="00681C2A" w:rsidRDefault="00C22335">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sz w:val="22"/>
          <w:szCs w:val="22"/>
        </w:rPr>
      </w:pPr>
    </w:p>
    <w:p w:rsidR="00C22335" w:rsidRPr="00681C2A" w:rsidRDefault="00492294">
      <w:pPr>
        <w:spacing w:line="360" w:lineRule="auto"/>
        <w:ind w:left="567" w:right="567"/>
        <w:jc w:val="center"/>
        <w:rPr>
          <w:rFonts w:ascii="Palatino Linotype" w:eastAsia="Palatino Linotype" w:hAnsi="Palatino Linotype" w:cs="Palatino Linotype"/>
          <w:b/>
          <w:i/>
          <w:sz w:val="22"/>
          <w:szCs w:val="22"/>
        </w:rPr>
      </w:pPr>
      <w:r w:rsidRPr="00681C2A">
        <w:rPr>
          <w:rFonts w:ascii="Palatino Linotype" w:eastAsia="Palatino Linotype" w:hAnsi="Palatino Linotype" w:cs="Palatino Linotype"/>
          <w:b/>
          <w:i/>
          <w:sz w:val="22"/>
          <w:szCs w:val="22"/>
        </w:rPr>
        <w:t>Constitución Política del Estado Libre y Soberano de México</w:t>
      </w:r>
    </w:p>
    <w:p w:rsidR="00C22335" w:rsidRPr="00681C2A" w:rsidRDefault="00492294">
      <w:pPr>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b/>
          <w:i/>
          <w:sz w:val="22"/>
          <w:szCs w:val="22"/>
        </w:rPr>
        <w:t>“Artículo 5</w:t>
      </w:r>
      <w:r w:rsidRPr="00681C2A">
        <w:rPr>
          <w:rFonts w:ascii="Palatino Linotype" w:eastAsia="Palatino Linotype" w:hAnsi="Palatino Linotype" w:cs="Palatino Linotype"/>
          <w:i/>
          <w:sz w:val="22"/>
          <w:szCs w:val="22"/>
        </w:rPr>
        <w:t>.</w:t>
      </w:r>
      <w:proofErr w:type="gramStart"/>
      <w:r w:rsidRPr="00681C2A">
        <w:rPr>
          <w:rFonts w:ascii="Palatino Linotype" w:eastAsia="Palatino Linotype" w:hAnsi="Palatino Linotype" w:cs="Palatino Linotype"/>
          <w:i/>
          <w:sz w:val="22"/>
          <w:szCs w:val="22"/>
        </w:rPr>
        <w:t>- …</w:t>
      </w:r>
      <w:proofErr w:type="gramEnd"/>
    </w:p>
    <w:p w:rsidR="00C22335" w:rsidRPr="00681C2A" w:rsidRDefault="00492294">
      <w:pPr>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w:t>
      </w:r>
    </w:p>
    <w:p w:rsidR="00C22335" w:rsidRPr="00681C2A" w:rsidRDefault="00492294">
      <w:pPr>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b/>
          <w:i/>
          <w:sz w:val="22"/>
          <w:szCs w:val="22"/>
        </w:rPr>
        <w:t>El derecho a la información será garantizado por el Estado. La ley establecerá las previsiones que permitan asegurar la protección, el respeto y la difusión de este derecho</w:t>
      </w:r>
      <w:r w:rsidRPr="00681C2A">
        <w:rPr>
          <w:rFonts w:ascii="Palatino Linotype" w:eastAsia="Palatino Linotype" w:hAnsi="Palatino Linotype" w:cs="Palatino Linotype"/>
          <w:i/>
          <w:sz w:val="22"/>
          <w:szCs w:val="22"/>
        </w:rPr>
        <w:t>.</w:t>
      </w:r>
    </w:p>
    <w:p w:rsidR="00C22335" w:rsidRPr="00681C2A" w:rsidRDefault="00492294">
      <w:pPr>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Para garantizar el ejercicio del derecho de transparencia, acceso a la información</w:t>
      </w:r>
      <w:r w:rsidRPr="00681C2A">
        <w:rPr>
          <w:rFonts w:ascii="Palatino Linotype" w:eastAsia="Palatino Linotype" w:hAnsi="Palatino Linotype" w:cs="Palatino Linotype"/>
          <w:i/>
          <w:sz w:val="22"/>
          <w:szCs w:val="22"/>
        </w:rPr>
        <w:t xml:space="preserve"> pública y protección de datos personales, los poderes públicos y los organismos autónomos, transparentarán sus acciones, en términos de las disposiciones aplicables, la información será oportuna, clara, veraz y de fácil acceso.</w:t>
      </w:r>
    </w:p>
    <w:p w:rsidR="00C22335" w:rsidRPr="00681C2A" w:rsidRDefault="00492294">
      <w:pPr>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b/>
          <w:i/>
          <w:sz w:val="22"/>
          <w:szCs w:val="22"/>
        </w:rPr>
        <w:t xml:space="preserve">Este derecho se regirá por </w:t>
      </w:r>
      <w:r w:rsidRPr="00681C2A">
        <w:rPr>
          <w:rFonts w:ascii="Palatino Linotype" w:eastAsia="Palatino Linotype" w:hAnsi="Palatino Linotype" w:cs="Palatino Linotype"/>
          <w:b/>
          <w:i/>
          <w:sz w:val="22"/>
          <w:szCs w:val="22"/>
        </w:rPr>
        <w:t>los principios y bases siguientes</w:t>
      </w:r>
      <w:r w:rsidRPr="00681C2A">
        <w:rPr>
          <w:rFonts w:ascii="Palatino Linotype" w:eastAsia="Palatino Linotype" w:hAnsi="Palatino Linotype" w:cs="Palatino Linotype"/>
          <w:i/>
          <w:sz w:val="22"/>
          <w:szCs w:val="22"/>
        </w:rPr>
        <w:t>:</w:t>
      </w:r>
    </w:p>
    <w:p w:rsidR="00C22335" w:rsidRPr="00681C2A" w:rsidRDefault="00492294">
      <w:pPr>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b/>
          <w:i/>
          <w:sz w:val="22"/>
          <w:szCs w:val="22"/>
        </w:rPr>
        <w:t>I. Toda la información en posesión de cualquier autoridad, entidad, órgano y organismos de los</w:t>
      </w:r>
      <w:r w:rsidRPr="00681C2A">
        <w:rPr>
          <w:rFonts w:ascii="Palatino Linotype" w:eastAsia="Palatino Linotype" w:hAnsi="Palatino Linotype" w:cs="Palatino Linotype"/>
          <w:i/>
          <w:sz w:val="22"/>
          <w:szCs w:val="22"/>
        </w:rPr>
        <w:t xml:space="preserve"> Poderes Ejecutivo, Legislativo y Judicial, órganos autónomos, partidos </w:t>
      </w:r>
      <w:r w:rsidRPr="00681C2A">
        <w:rPr>
          <w:rFonts w:ascii="Palatino Linotype" w:eastAsia="Palatino Linotype" w:hAnsi="Palatino Linotype" w:cs="Palatino Linotype"/>
          <w:i/>
          <w:sz w:val="22"/>
          <w:szCs w:val="22"/>
        </w:rPr>
        <w:lastRenderedPageBreak/>
        <w:t xml:space="preserve">políticos, fideicomisos y fondos públicos estatales y </w:t>
      </w:r>
      <w:r w:rsidRPr="00681C2A">
        <w:rPr>
          <w:rFonts w:ascii="Palatino Linotype" w:eastAsia="Palatino Linotype" w:hAnsi="Palatino Linotype" w:cs="Palatino Linotype"/>
          <w:b/>
          <w:i/>
          <w:sz w:val="22"/>
          <w:szCs w:val="22"/>
        </w:rPr>
        <w:t>m</w:t>
      </w:r>
      <w:r w:rsidRPr="00681C2A">
        <w:rPr>
          <w:rFonts w:ascii="Palatino Linotype" w:eastAsia="Palatino Linotype" w:hAnsi="Palatino Linotype" w:cs="Palatino Linotype"/>
          <w:b/>
          <w:i/>
          <w:sz w:val="22"/>
          <w:szCs w:val="22"/>
        </w:rPr>
        <w:t>unicipales</w:t>
      </w:r>
      <w:r w:rsidRPr="00681C2A">
        <w:rPr>
          <w:rFonts w:ascii="Palatino Linotype" w:eastAsia="Palatino Linotype" w:hAnsi="Palatino Linotype" w:cs="Palatino Linotype"/>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w:t>
      </w:r>
      <w:r w:rsidRPr="00681C2A">
        <w:rPr>
          <w:rFonts w:ascii="Palatino Linotype" w:eastAsia="Palatino Linotype" w:hAnsi="Palatino Linotype" w:cs="Palatino Linotype"/>
          <w:i/>
          <w:sz w:val="22"/>
          <w:szCs w:val="22"/>
        </w:rPr>
        <w:t xml:space="preserve">to estatal y municipal, </w:t>
      </w:r>
      <w:r w:rsidRPr="00681C2A">
        <w:rPr>
          <w:rFonts w:ascii="Palatino Linotype" w:eastAsia="Palatino Linotype" w:hAnsi="Palatino Linotype" w:cs="Palatino Linotype"/>
          <w:b/>
          <w:i/>
          <w:sz w:val="22"/>
          <w:szCs w:val="22"/>
        </w:rPr>
        <w:t>es pública</w:t>
      </w:r>
      <w:r w:rsidRPr="00681C2A">
        <w:rPr>
          <w:rFonts w:ascii="Palatino Linotype" w:eastAsia="Palatino Linotype" w:hAnsi="Palatino Linotype" w:cs="Palatino Linotype"/>
          <w:i/>
          <w:sz w:val="22"/>
          <w:szCs w:val="22"/>
        </w:rPr>
        <w:t xml:space="preserve"> y sólo podrá ser reservada temporalmente por razones previstas en la Constitución Política de los Estados Unidos Mexicanos de interés público y seguridad, en los términos que fijen las leyes. </w:t>
      </w:r>
      <w:r w:rsidRPr="00681C2A">
        <w:rPr>
          <w:rFonts w:ascii="Palatino Linotype" w:eastAsia="Palatino Linotype" w:hAnsi="Palatino Linotype" w:cs="Palatino Linotype"/>
          <w:b/>
          <w:i/>
          <w:sz w:val="22"/>
          <w:szCs w:val="22"/>
        </w:rPr>
        <w:t xml:space="preserve">En la interpretación de este </w:t>
      </w:r>
      <w:r w:rsidRPr="00681C2A">
        <w:rPr>
          <w:rFonts w:ascii="Palatino Linotype" w:eastAsia="Palatino Linotype" w:hAnsi="Palatino Linotype" w:cs="Palatino Linotype"/>
          <w:b/>
          <w:i/>
          <w:sz w:val="22"/>
          <w:szCs w:val="22"/>
        </w:rPr>
        <w:t>derecho deberá prevalecer el principio de máxima publicidad</w:t>
      </w:r>
      <w:r w:rsidRPr="00681C2A">
        <w:rPr>
          <w:rFonts w:ascii="Palatino Linotype" w:eastAsia="Palatino Linotype" w:hAnsi="Palatino Linotype" w:cs="Palatino Linotype"/>
          <w:i/>
          <w:sz w:val="22"/>
          <w:szCs w:val="22"/>
        </w:rPr>
        <w:t xml:space="preserve">. </w:t>
      </w:r>
      <w:r w:rsidRPr="00681C2A">
        <w:rPr>
          <w:rFonts w:ascii="Palatino Linotype" w:eastAsia="Palatino Linotype" w:hAnsi="Palatino Linotype" w:cs="Palatino Linotype"/>
          <w:b/>
          <w:i/>
          <w:sz w:val="22"/>
          <w:szCs w:val="22"/>
        </w:rPr>
        <w:t>Los sujetos obligados deberán documentar todo acto que derive del ejercicio de sus facultades, competencias o funciones</w:t>
      </w:r>
      <w:r w:rsidRPr="00681C2A">
        <w:rPr>
          <w:rFonts w:ascii="Palatino Linotype" w:eastAsia="Palatino Linotype" w:hAnsi="Palatino Linotype" w:cs="Palatino Linotype"/>
          <w:i/>
          <w:sz w:val="22"/>
          <w:szCs w:val="22"/>
        </w:rPr>
        <w:t xml:space="preserve">, la ley determinará los supuestos específicos bajo los cuales procederá la </w:t>
      </w:r>
      <w:r w:rsidRPr="00681C2A">
        <w:rPr>
          <w:rFonts w:ascii="Palatino Linotype" w:eastAsia="Palatino Linotype" w:hAnsi="Palatino Linotype" w:cs="Palatino Linotype"/>
          <w:i/>
          <w:sz w:val="22"/>
          <w:szCs w:val="22"/>
        </w:rPr>
        <w:t>declaración de inexistencia de la información.”</w:t>
      </w:r>
    </w:p>
    <w:p w:rsidR="00C22335" w:rsidRPr="00681C2A" w:rsidRDefault="00492294">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sz w:val="22"/>
          <w:szCs w:val="22"/>
        </w:rPr>
      </w:pPr>
      <w:r w:rsidRPr="00681C2A">
        <w:rPr>
          <w:rFonts w:ascii="Palatino Linotype" w:eastAsia="Palatino Linotype" w:hAnsi="Palatino Linotype" w:cs="Palatino Linotype"/>
          <w:b/>
          <w:i/>
          <w:color w:val="000000"/>
          <w:sz w:val="22"/>
          <w:szCs w:val="22"/>
        </w:rPr>
        <w:t>(Énfasis añadido)</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681C2A">
        <w:rPr>
          <w:rFonts w:ascii="Palatino Linotype" w:eastAsia="Palatino Linotype" w:hAnsi="Palatino Linotype" w:cs="Palatino Linotype"/>
          <w:i/>
        </w:rPr>
        <w:t xml:space="preserve">por los principios </w:t>
      </w:r>
      <w:r w:rsidRPr="00681C2A">
        <w:rPr>
          <w:rFonts w:ascii="Palatino Linotype" w:eastAsia="Palatino Linotype" w:hAnsi="Palatino Linotype" w:cs="Palatino Linotype"/>
          <w:i/>
        </w:rPr>
        <w:t>de simplicidad, rapidez gratuidad del procedimiento, auxilio y orientación a los particulares</w:t>
      </w:r>
      <w:r w:rsidRPr="00681C2A">
        <w:rPr>
          <w:rFonts w:ascii="Palatino Linotype" w:eastAsia="Palatino Linotype" w:hAnsi="Palatino Linotype" w:cs="Palatino Linotype"/>
        </w:rPr>
        <w:t>, contemplando el derecho de las personas con discapacidad y hablantes de lengua indígena.</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rPr>
        <w:t>El Derecho de Acceso a la Información se garantiza y respeta oportuname</w:t>
      </w:r>
      <w:r w:rsidRPr="00681C2A">
        <w:rPr>
          <w:rFonts w:ascii="Palatino Linotype" w:eastAsia="Palatino Linotype" w:hAnsi="Palatino Linotype" w:cs="Palatino Linotype"/>
        </w:rPr>
        <w:t xml:space="preserve">nte, y según lo que dispone la Ley, las </w:t>
      </w:r>
      <w:r w:rsidRPr="00681C2A">
        <w:rPr>
          <w:rFonts w:ascii="Palatino Linotype" w:eastAsia="Palatino Linotype" w:hAnsi="Palatino Linotype" w:cs="Palatino Linotype"/>
          <w:i/>
        </w:rPr>
        <w:t>solicitudes de acceso a la información</w:t>
      </w:r>
      <w:r w:rsidRPr="00681C2A">
        <w:rPr>
          <w:rFonts w:ascii="Palatino Linotype" w:eastAsia="Palatino Linotype" w:hAnsi="Palatino Linotype" w:cs="Palatino Linotype"/>
        </w:rPr>
        <w:t>.</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rPr>
        <w:t>Así entonces, se procede analizar, en primer lugar, si el SUJETO OBLIGADO al atender la solicitud de acceso a la información, satisfizo la garantía primaria del derecho según lo dispuesto por el artículo 150 de la Ley de Transparencia y Acceso a la Informa</w:t>
      </w:r>
      <w:r w:rsidRPr="00681C2A">
        <w:rPr>
          <w:rFonts w:ascii="Palatino Linotype" w:eastAsia="Palatino Linotype" w:hAnsi="Palatino Linotype" w:cs="Palatino Linotype"/>
        </w:rPr>
        <w:t xml:space="preserve">ción Pública del Estado de México y Municipios y en segundo término si </w:t>
      </w:r>
      <w:r w:rsidRPr="00681C2A">
        <w:rPr>
          <w:rFonts w:ascii="Palatino Linotype" w:eastAsia="Palatino Linotype" w:hAnsi="Palatino Linotype" w:cs="Palatino Linotype"/>
        </w:rPr>
        <w:lastRenderedPageBreak/>
        <w:t>cumplió con su deber de respetar y garantizar el derecho, entregando toda la información solicitada.</w:t>
      </w:r>
    </w:p>
    <w:p w:rsidR="00C22335" w:rsidRPr="00681C2A" w:rsidRDefault="00C22335">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bookmarkStart w:id="8" w:name="_heading=h.4d34og8" w:colFirst="0" w:colLast="0"/>
      <w:bookmarkEnd w:id="8"/>
    </w:p>
    <w:p w:rsidR="00C22335" w:rsidRPr="00681C2A" w:rsidRDefault="00492294">
      <w:pPr>
        <w:pStyle w:val="Ttulo1"/>
        <w:spacing w:before="0" w:line="360" w:lineRule="auto"/>
        <w:rPr>
          <w:rFonts w:ascii="Palatino Linotype" w:eastAsia="Palatino Linotype" w:hAnsi="Palatino Linotype" w:cs="Palatino Linotype"/>
          <w:b/>
          <w:color w:val="000000"/>
          <w:sz w:val="24"/>
          <w:szCs w:val="24"/>
        </w:rPr>
      </w:pPr>
      <w:bookmarkStart w:id="9" w:name="_heading=h.2s8eyo1" w:colFirst="0" w:colLast="0"/>
      <w:bookmarkEnd w:id="9"/>
      <w:r w:rsidRPr="00681C2A">
        <w:rPr>
          <w:rFonts w:ascii="Palatino Linotype" w:eastAsia="Palatino Linotype" w:hAnsi="Palatino Linotype" w:cs="Palatino Linotype"/>
          <w:b/>
          <w:color w:val="000000"/>
          <w:sz w:val="24"/>
          <w:szCs w:val="24"/>
        </w:rPr>
        <w:t>II. De la información solicitada y la respuesta del Sujeto Obligado</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rPr>
        <w:t>Derivado del P</w:t>
      </w:r>
      <w:r w:rsidRPr="00681C2A">
        <w:rPr>
          <w:rFonts w:ascii="Palatino Linotype" w:eastAsia="Palatino Linotype" w:hAnsi="Palatino Linotype" w:cs="Palatino Linotype"/>
          <w:color w:val="000000"/>
        </w:rPr>
        <w:t>lanteamiento de la Litis, se procede a analizar el contenido íntegro de las actuaciones que obran en el expediente electrónico y con ello, este Órgano Garante dicte la resolución correspondiente, tomando en consideración los elementos aportados por las par</w:t>
      </w:r>
      <w:r w:rsidRPr="00681C2A">
        <w:rPr>
          <w:rFonts w:ascii="Palatino Linotype" w:eastAsia="Palatino Linotype" w:hAnsi="Palatino Linotype" w:cs="Palatino Linotype"/>
          <w:color w:val="000000"/>
        </w:rPr>
        <w:t>tes y apegándose en todo momento al principio de máxima publicidad, de acuerdo con lo establecido en el artículo 8 de la Ley de Transparencia y Acceso a la Información Pública del Estado de México y Municipios.</w:t>
      </w:r>
    </w:p>
    <w:p w:rsidR="00C22335" w:rsidRPr="00681C2A" w:rsidRDefault="00C223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22335" w:rsidRPr="00681C2A" w:rsidRDefault="00492294">
      <w:pPr>
        <w:numPr>
          <w:ilvl w:val="0"/>
          <w:numId w:val="2"/>
        </w:numPr>
        <w:spacing w:line="360" w:lineRule="auto"/>
        <w:ind w:left="0" w:right="48" w:firstLine="0"/>
        <w:jc w:val="both"/>
        <w:rPr>
          <w:rFonts w:ascii="Palatino Linotype" w:eastAsia="Palatino Linotype" w:hAnsi="Palatino Linotype" w:cs="Palatino Linotype"/>
          <w:i/>
        </w:rPr>
      </w:pPr>
      <w:r w:rsidRPr="00681C2A">
        <w:rPr>
          <w:rFonts w:ascii="Palatino Linotype" w:eastAsia="Palatino Linotype" w:hAnsi="Palatino Linotype" w:cs="Palatino Linotype"/>
        </w:rPr>
        <w:t>El particular solicitó</w:t>
      </w:r>
      <w:r w:rsidRPr="00681C2A">
        <w:rPr>
          <w:rFonts w:ascii="Palatino Linotype" w:eastAsia="Palatino Linotype" w:hAnsi="Palatino Linotype" w:cs="Palatino Linotype"/>
          <w:i/>
          <w:color w:val="000000"/>
          <w:sz w:val="22"/>
          <w:szCs w:val="22"/>
        </w:rPr>
        <w:t xml:space="preserve"> los bienes muebles de bajo costo  patrimonial del primer levantamiento de enero a junio del 2021 así como las actas circunstanciadas de cada uno.</w:t>
      </w:r>
    </w:p>
    <w:p w:rsidR="00C22335" w:rsidRPr="00681C2A" w:rsidRDefault="00C22335">
      <w:pPr>
        <w:spacing w:line="360" w:lineRule="auto"/>
        <w:ind w:right="48"/>
        <w:jc w:val="both"/>
        <w:rPr>
          <w:rFonts w:ascii="Palatino Linotype" w:eastAsia="Palatino Linotype" w:hAnsi="Palatino Linotype" w:cs="Palatino Linotype"/>
          <w:i/>
        </w:rPr>
      </w:pPr>
    </w:p>
    <w:p w:rsidR="00C22335" w:rsidRPr="00681C2A" w:rsidRDefault="00492294">
      <w:pPr>
        <w:numPr>
          <w:ilvl w:val="0"/>
          <w:numId w:val="2"/>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color w:val="000000"/>
        </w:rPr>
        <w:t>En respuesta, el SUJETO OBLIGADO manifestó dar pleno cumplimiento a lo solicitado por el peticionario, menci</w:t>
      </w:r>
      <w:r w:rsidRPr="00681C2A">
        <w:rPr>
          <w:rFonts w:ascii="Palatino Linotype" w:eastAsia="Palatino Linotype" w:hAnsi="Palatino Linotype" w:cs="Palatino Linotype"/>
          <w:color w:val="000000"/>
        </w:rPr>
        <w:t>onó que la respuesta proporcionada del área correspondiente  se encuentra adjunta a esta respuesta; sin embargo, de la revisión al expediente electrónico SAIMEX, se advierte que no se observa la existencia de un documento adjunto.</w:t>
      </w:r>
    </w:p>
    <w:p w:rsidR="00C22335" w:rsidRPr="00681C2A" w:rsidRDefault="00C22335">
      <w:pPr>
        <w:pBdr>
          <w:top w:val="nil"/>
          <w:left w:val="nil"/>
          <w:bottom w:val="nil"/>
          <w:right w:val="nil"/>
          <w:between w:val="nil"/>
        </w:pBdr>
        <w:spacing w:line="360" w:lineRule="auto"/>
        <w:ind w:right="48"/>
        <w:jc w:val="both"/>
        <w:rPr>
          <w:rFonts w:ascii="Palatino Linotype" w:eastAsia="Palatino Linotype" w:hAnsi="Palatino Linotype" w:cs="Palatino Linotype"/>
          <w:i/>
          <w:color w:val="000000"/>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rPr>
        <w:t xml:space="preserve">En atención a lo anterior expuesto es pertinente señalar que el párrafo primero del artículo 11 de la </w:t>
      </w:r>
      <w:r w:rsidRPr="00681C2A">
        <w:rPr>
          <w:rFonts w:ascii="Palatino Linotype" w:eastAsia="Palatino Linotype" w:hAnsi="Palatino Linotype" w:cs="Palatino Linotype"/>
          <w:b/>
          <w:color w:val="000000"/>
        </w:rPr>
        <w:t>Ley de Transparencia y Acceso a la Información Pública del Estado de México y Municipios</w:t>
      </w:r>
      <w:r w:rsidRPr="00681C2A">
        <w:rPr>
          <w:rFonts w:ascii="Palatino Linotype" w:eastAsia="Palatino Linotype" w:hAnsi="Palatino Linotype" w:cs="Palatino Linotype"/>
          <w:color w:val="000000"/>
        </w:rPr>
        <w:t xml:space="preserve"> , misma que dispone las formas en que se habrá de </w:t>
      </w:r>
      <w:r w:rsidRPr="00681C2A">
        <w:rPr>
          <w:rFonts w:ascii="Palatino Linotype" w:eastAsia="Palatino Linotype" w:hAnsi="Palatino Linotype" w:cs="Palatino Linotype"/>
          <w:color w:val="000000"/>
        </w:rPr>
        <w:lastRenderedPageBreak/>
        <w:t>generar, publicar y hacer entrega de la información al señalar que “</w:t>
      </w:r>
      <w:r w:rsidRPr="00681C2A">
        <w:rPr>
          <w:rFonts w:ascii="Palatino Linotype" w:eastAsia="Palatino Linotype" w:hAnsi="Palatino Linotype" w:cs="Palatino Linotype"/>
          <w:i/>
          <w:color w:val="000000"/>
        </w:rPr>
        <w:t xml:space="preserve">En la generación, publicación y </w:t>
      </w:r>
      <w:r w:rsidRPr="00681C2A">
        <w:rPr>
          <w:rFonts w:ascii="Palatino Linotype" w:eastAsia="Palatino Linotype" w:hAnsi="Palatino Linotype" w:cs="Palatino Linotype"/>
          <w:b/>
          <w:i/>
          <w:color w:val="000000"/>
          <w:u w:val="single"/>
        </w:rPr>
        <w:t>entrega de información</w:t>
      </w:r>
      <w:r w:rsidRPr="00681C2A">
        <w:rPr>
          <w:rFonts w:ascii="Palatino Linotype" w:eastAsia="Palatino Linotype" w:hAnsi="Palatino Linotype" w:cs="Palatino Linotype"/>
          <w:i/>
          <w:color w:val="000000"/>
        </w:rPr>
        <w:t xml:space="preserve"> se deberá garantizar que ésta sea accesible, actualizada, completa, congruente, co</w:t>
      </w:r>
      <w:r w:rsidRPr="00681C2A">
        <w:rPr>
          <w:rFonts w:ascii="Palatino Linotype" w:eastAsia="Palatino Linotype" w:hAnsi="Palatino Linotype" w:cs="Palatino Linotype"/>
          <w:i/>
          <w:color w:val="000000"/>
        </w:rPr>
        <w:t xml:space="preserve">nfiable, verificable, veraz, integral, </w:t>
      </w:r>
      <w:r w:rsidRPr="00681C2A">
        <w:rPr>
          <w:rFonts w:ascii="Palatino Linotype" w:eastAsia="Palatino Linotype" w:hAnsi="Palatino Linotype" w:cs="Palatino Linotype"/>
          <w:b/>
          <w:i/>
          <w:color w:val="000000"/>
        </w:rPr>
        <w:t>oportuna y expedita</w:t>
      </w:r>
      <w:r w:rsidRPr="00681C2A">
        <w:rPr>
          <w:rFonts w:ascii="Palatino Linotype" w:eastAsia="Palatino Linotype" w:hAnsi="Palatino Linotype" w:cs="Palatino Linotype"/>
          <w:i/>
          <w:color w:val="000000"/>
        </w:rPr>
        <w:t>, sujeta a un claro régimen de excepciones que deberá estar definido y ser además legítima y estrictamente necesaria en una sociedad democrática, por lo que atenderá las necesidades del derecho de a</w:t>
      </w:r>
      <w:r w:rsidRPr="00681C2A">
        <w:rPr>
          <w:rFonts w:ascii="Palatino Linotype" w:eastAsia="Palatino Linotype" w:hAnsi="Palatino Linotype" w:cs="Palatino Linotype"/>
          <w:i/>
          <w:color w:val="000000"/>
        </w:rPr>
        <w:t>cceso a la información de toda persona”.</w:t>
      </w:r>
    </w:p>
    <w:p w:rsidR="00C22335" w:rsidRPr="00681C2A" w:rsidRDefault="00C223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22335" w:rsidRPr="00681C2A" w:rsidRDefault="00492294">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u w:val="single"/>
        </w:rPr>
      </w:pPr>
      <w:r w:rsidRPr="00681C2A">
        <w:rPr>
          <w:rFonts w:ascii="Palatino Linotype" w:eastAsia="Palatino Linotype" w:hAnsi="Palatino Linotype" w:cs="Palatino Linotype"/>
          <w:color w:val="000000"/>
        </w:rPr>
        <w:t>Bajo ese tenor se concluye que es obligación de todas las autoridades, promover, respetar y garantizar los derechos humanos, entre ellos el de acceso a la información pública, por lo que la falta de respuesta, gene</w:t>
      </w:r>
      <w:r w:rsidRPr="00681C2A">
        <w:rPr>
          <w:rFonts w:ascii="Palatino Linotype" w:eastAsia="Palatino Linotype" w:hAnsi="Palatino Linotype" w:cs="Palatino Linotype"/>
          <w:color w:val="000000"/>
        </w:rPr>
        <w:t>ran una afectación inicial susceptible de ser reparada mediante el recurso de revisión.</w:t>
      </w:r>
    </w:p>
    <w:p w:rsidR="00C22335" w:rsidRPr="00681C2A" w:rsidRDefault="00C2233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u w:val="single"/>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rPr>
        <w:t xml:space="preserve">Asimismo, es de precisar que se obvia el análisis de la competencia por parte del </w:t>
      </w:r>
      <w:r w:rsidRPr="00681C2A">
        <w:rPr>
          <w:rFonts w:ascii="Palatino Linotype" w:eastAsia="Palatino Linotype" w:hAnsi="Palatino Linotype" w:cs="Palatino Linotype"/>
          <w:b/>
          <w:color w:val="000000"/>
        </w:rPr>
        <w:t>SUJETO OBLIGADO</w:t>
      </w:r>
      <w:r w:rsidRPr="00681C2A">
        <w:rPr>
          <w:rFonts w:ascii="Palatino Linotype" w:eastAsia="Palatino Linotype" w:hAnsi="Palatino Linotype" w:cs="Palatino Linotype"/>
          <w:color w:val="000000"/>
        </w:rPr>
        <w:t>, para generar, administrar o poseer la información solicitada, dado que éste ha asumido la misma, en razón de que en su respuesta señala que no está obligado a procesar la información.</w:t>
      </w:r>
    </w:p>
    <w:p w:rsidR="00C22335" w:rsidRPr="00681C2A" w:rsidRDefault="00C223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rPr>
        <w:t xml:space="preserve">En efecto, el hecho de que </w:t>
      </w:r>
      <w:r w:rsidRPr="00681C2A">
        <w:rPr>
          <w:rFonts w:ascii="Palatino Linotype" w:eastAsia="Palatino Linotype" w:hAnsi="Palatino Linotype" w:cs="Palatino Linotype"/>
          <w:b/>
          <w:color w:val="000000"/>
        </w:rPr>
        <w:t>EL SUJETO OBLIGADO</w:t>
      </w:r>
      <w:r w:rsidRPr="00681C2A">
        <w:rPr>
          <w:rFonts w:ascii="Palatino Linotype" w:eastAsia="Palatino Linotype" w:hAnsi="Palatino Linotype" w:cs="Palatino Linotype"/>
          <w:color w:val="000000"/>
        </w:rPr>
        <w:t xml:space="preserve"> haya asumido contar con</w:t>
      </w:r>
      <w:r w:rsidRPr="00681C2A">
        <w:rPr>
          <w:rFonts w:ascii="Palatino Linotype" w:eastAsia="Palatino Linotype" w:hAnsi="Palatino Linotype" w:cs="Palatino Linotype"/>
          <w:color w:val="000000"/>
        </w:rPr>
        <w:t xml:space="preserve"> la información pública solicitada, acepta que la genera, posee y administra, en ejercicio de sus funciones de derecho público, motivo por el cual se actualiza el supuesto jurídico, previsto en el artículo 12 de la Ley de Transparencia y Acceso a la Inform</w:t>
      </w:r>
      <w:r w:rsidRPr="00681C2A">
        <w:rPr>
          <w:rFonts w:ascii="Palatino Linotype" w:eastAsia="Palatino Linotype" w:hAnsi="Palatino Linotype" w:cs="Palatino Linotype"/>
          <w:color w:val="000000"/>
        </w:rPr>
        <w:t>ación Pública del Estado de México y Municipios.</w:t>
      </w:r>
    </w:p>
    <w:p w:rsidR="00C22335" w:rsidRPr="00681C2A" w:rsidRDefault="00C223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rPr>
        <w:lastRenderedPageBreak/>
        <w:t xml:space="preserve">De hecho, el estudio de la naturaleza jurídica de la información pública solicitada, tiene por objeto determinar si ésta la genera, posee o administra el </w:t>
      </w:r>
      <w:r w:rsidRPr="00681C2A">
        <w:rPr>
          <w:rFonts w:ascii="Palatino Linotype" w:eastAsia="Palatino Linotype" w:hAnsi="Palatino Linotype" w:cs="Palatino Linotype"/>
          <w:b/>
          <w:color w:val="000000"/>
        </w:rPr>
        <w:t>SUJETO OBLIGADO</w:t>
      </w:r>
      <w:r w:rsidRPr="00681C2A">
        <w:rPr>
          <w:rFonts w:ascii="Palatino Linotype" w:eastAsia="Palatino Linotype" w:hAnsi="Palatino Linotype" w:cs="Palatino Linotype"/>
          <w:color w:val="000000"/>
        </w:rPr>
        <w:t>; sin embargo, en aquellos casos en que éste la asume; en virtud de que en la respuesta refiere que da cabal cumplimiento a lo solicitado; por consiguiente, a nada práctico nos conduciría su estudio, ya que se insiste, dicha información, fue asumida por el</w:t>
      </w:r>
      <w:r w:rsidRPr="00681C2A">
        <w:rPr>
          <w:rFonts w:ascii="Palatino Linotype" w:eastAsia="Palatino Linotype" w:hAnsi="Palatino Linotype" w:cs="Palatino Linotype"/>
          <w:color w:val="000000"/>
        </w:rPr>
        <w:t xml:space="preserve"> mismo; por lo que, la genera, posee y administra, en ejercicio de sus funciones de derecho público, motivo por el cual, se actualiza el supuesto jurídico, previsto en el artículo 12 de la Ley de la materia, anteriormente referido.</w:t>
      </w:r>
    </w:p>
    <w:p w:rsidR="00C22335" w:rsidRPr="00681C2A" w:rsidRDefault="00C22335">
      <w:pPr>
        <w:pBdr>
          <w:top w:val="nil"/>
          <w:left w:val="nil"/>
          <w:bottom w:val="nil"/>
          <w:right w:val="nil"/>
          <w:between w:val="nil"/>
        </w:pBdr>
        <w:spacing w:line="360" w:lineRule="auto"/>
        <w:rPr>
          <w:rFonts w:ascii="Palatino Linotype" w:eastAsia="Palatino Linotype" w:hAnsi="Palatino Linotype" w:cs="Palatino Linotype"/>
          <w:color w:val="000000"/>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rPr>
        <w:t xml:space="preserve">Ahora bien, respecto de la información solicitada, es necesario partir de lo que establece el </w:t>
      </w:r>
      <w:r w:rsidRPr="00681C2A">
        <w:rPr>
          <w:rFonts w:ascii="Palatino Linotype" w:eastAsia="Palatino Linotype" w:hAnsi="Palatino Linotype" w:cs="Palatino Linotype"/>
          <w:b/>
          <w:color w:val="000000"/>
          <w:u w:val="single"/>
        </w:rPr>
        <w:t>Código Civil del Estado de México</w:t>
      </w:r>
      <w:r w:rsidRPr="00681C2A">
        <w:rPr>
          <w:rFonts w:ascii="Palatino Linotype" w:eastAsia="Palatino Linotype" w:hAnsi="Palatino Linotype" w:cs="Palatino Linotype"/>
          <w:color w:val="000000"/>
        </w:rPr>
        <w:t>, el cual determina los bienes considerados inmuebles, tal y como se aprecia en el artículo 5.4, que a la letra dice:</w:t>
      </w:r>
    </w:p>
    <w:p w:rsidR="00C22335" w:rsidRPr="00681C2A" w:rsidRDefault="00C223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22335" w:rsidRPr="00681C2A" w:rsidRDefault="00492294">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i/>
          <w:color w:val="000000"/>
          <w:sz w:val="22"/>
          <w:szCs w:val="22"/>
        </w:rPr>
        <w:t xml:space="preserve">“Artículo </w:t>
      </w:r>
      <w:r w:rsidRPr="00681C2A">
        <w:rPr>
          <w:rFonts w:ascii="Palatino Linotype" w:eastAsia="Palatino Linotype" w:hAnsi="Palatino Linotype" w:cs="Palatino Linotype"/>
          <w:i/>
          <w:color w:val="000000"/>
          <w:sz w:val="22"/>
          <w:szCs w:val="22"/>
        </w:rPr>
        <w:t>5.6.- Son bienes muebles por su naturaleza, los que pueden trasladarse de un lugar a otro, ya sea por sí mismos, o por efecto de una fuerza exterior.”</w:t>
      </w:r>
    </w:p>
    <w:p w:rsidR="00C22335" w:rsidRPr="00681C2A" w:rsidRDefault="00C223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sz w:val="22"/>
          <w:szCs w:val="22"/>
        </w:rPr>
        <w:t xml:space="preserve">En concordancia con lo anterior, los </w:t>
      </w:r>
      <w:r w:rsidRPr="00681C2A">
        <w:rPr>
          <w:rFonts w:ascii="Palatino Linotype" w:eastAsia="Palatino Linotype" w:hAnsi="Palatino Linotype" w:cs="Palatino Linotype"/>
          <w:b/>
          <w:color w:val="000000"/>
          <w:sz w:val="22"/>
          <w:szCs w:val="22"/>
        </w:rPr>
        <w:t>Lineamientos para el Registro y Control del Inventario y la Conciliación y Desincorporación de Bienes Muebles e Inmuebles para las Entidades Fiscalizables del Estado de México</w:t>
      </w:r>
      <w:r w:rsidRPr="00681C2A">
        <w:rPr>
          <w:rFonts w:ascii="Palatino Linotype" w:eastAsia="Palatino Linotype" w:hAnsi="Palatino Linotype" w:cs="Palatino Linotype"/>
          <w:color w:val="000000"/>
          <w:sz w:val="22"/>
          <w:szCs w:val="22"/>
        </w:rPr>
        <w:t>, que tienen como propósito actualizar y transparentar el manejo, uso y destino de los bienes así como garantizar la legalidad, control y correcta participación de los servidores públicos municipales en los procedimientos de adquisición, resguardo y baja d</w:t>
      </w:r>
      <w:r w:rsidRPr="00681C2A">
        <w:rPr>
          <w:rFonts w:ascii="Palatino Linotype" w:eastAsia="Palatino Linotype" w:hAnsi="Palatino Linotype" w:cs="Palatino Linotype"/>
          <w:color w:val="000000"/>
          <w:sz w:val="22"/>
          <w:szCs w:val="22"/>
        </w:rPr>
        <w:t>e bienes, permitiendo mantener la debida conciliación del inventario de los bienes muebles e inmuebles con los registros contables, refieren que se entiende por bienes muebles:</w:t>
      </w:r>
    </w:p>
    <w:p w:rsidR="00C22335" w:rsidRPr="00681C2A" w:rsidRDefault="00C22335">
      <w:pPr>
        <w:pBdr>
          <w:top w:val="nil"/>
          <w:left w:val="nil"/>
          <w:bottom w:val="nil"/>
          <w:right w:val="nil"/>
          <w:between w:val="nil"/>
        </w:pBdr>
        <w:tabs>
          <w:tab w:val="left" w:pos="0"/>
          <w:tab w:val="left" w:pos="426"/>
        </w:tabs>
        <w:spacing w:line="360" w:lineRule="auto"/>
        <w:ind w:right="49"/>
        <w:jc w:val="both"/>
        <w:rPr>
          <w:rFonts w:ascii="Palatino Linotype" w:eastAsia="Palatino Linotype" w:hAnsi="Palatino Linotype" w:cs="Palatino Linotype"/>
          <w:color w:val="000000"/>
          <w:sz w:val="22"/>
          <w:szCs w:val="22"/>
        </w:rPr>
      </w:pPr>
    </w:p>
    <w:p w:rsidR="00C22335" w:rsidRPr="00681C2A" w:rsidRDefault="00492294">
      <w:pPr>
        <w:tabs>
          <w:tab w:val="left" w:pos="709"/>
        </w:tabs>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b/>
          <w:i/>
          <w:sz w:val="22"/>
          <w:szCs w:val="22"/>
        </w:rPr>
        <w:lastRenderedPageBreak/>
        <w:t>“NOVENO:</w:t>
      </w:r>
      <w:r w:rsidRPr="00681C2A">
        <w:rPr>
          <w:rFonts w:ascii="Palatino Linotype" w:eastAsia="Palatino Linotype" w:hAnsi="Palatino Linotype" w:cs="Palatino Linotype"/>
          <w:i/>
          <w:sz w:val="22"/>
          <w:szCs w:val="22"/>
        </w:rPr>
        <w:t xml:space="preserve"> Para efectos de los presentes Lineamientos, se entenderá por:</w:t>
      </w:r>
    </w:p>
    <w:p w:rsidR="00C22335" w:rsidRPr="00681C2A" w:rsidRDefault="00492294">
      <w:pPr>
        <w:tabs>
          <w:tab w:val="left" w:pos="709"/>
        </w:tabs>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w:t>
      </w:r>
    </w:p>
    <w:p w:rsidR="00C22335" w:rsidRPr="00681C2A" w:rsidRDefault="00492294">
      <w:pPr>
        <w:tabs>
          <w:tab w:val="left" w:pos="709"/>
        </w:tabs>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VII</w:t>
      </w:r>
      <w:r w:rsidRPr="00681C2A">
        <w:rPr>
          <w:rFonts w:ascii="Palatino Linotype" w:eastAsia="Palatino Linotype" w:hAnsi="Palatino Linotype" w:cs="Palatino Linotype"/>
          <w:i/>
          <w:sz w:val="22"/>
          <w:szCs w:val="22"/>
        </w:rPr>
        <w:t>. BIEN MUEBLE: Objeto que por su naturaleza de uso o consumo, puede ser trasladado de un lugar a otro ya sea por sí mismo, o por efecto de una fuerza exterior, es todo aquello que se conoce como: mobiliario, mesas, sillas, libreros, anaqueles, equipo de of</w:t>
      </w:r>
      <w:r w:rsidRPr="00681C2A">
        <w:rPr>
          <w:rFonts w:ascii="Palatino Linotype" w:eastAsia="Palatino Linotype" w:hAnsi="Palatino Linotype" w:cs="Palatino Linotype"/>
          <w:i/>
          <w:sz w:val="22"/>
          <w:szCs w:val="22"/>
        </w:rPr>
        <w:t>icina en general, equipo de transporte, semovientes, entre otros;</w:t>
      </w:r>
    </w:p>
    <w:p w:rsidR="00C22335" w:rsidRPr="00681C2A" w:rsidRDefault="00492294">
      <w:pPr>
        <w:tabs>
          <w:tab w:val="left" w:pos="709"/>
        </w:tabs>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w:t>
      </w:r>
    </w:p>
    <w:p w:rsidR="00C22335" w:rsidRPr="00681C2A" w:rsidRDefault="00492294">
      <w:pPr>
        <w:tabs>
          <w:tab w:val="left" w:pos="709"/>
        </w:tabs>
        <w:spacing w:line="360" w:lineRule="auto"/>
        <w:ind w:left="567" w:right="567"/>
        <w:jc w:val="both"/>
        <w:rPr>
          <w:rFonts w:ascii="Palatino Linotype" w:eastAsia="Palatino Linotype" w:hAnsi="Palatino Linotype" w:cs="Palatino Linotype"/>
          <w:i/>
          <w:sz w:val="22"/>
          <w:szCs w:val="22"/>
        </w:rPr>
      </w:pPr>
      <w:r w:rsidRPr="00681C2A">
        <w:rPr>
          <w:rFonts w:ascii="Palatino Linotype" w:eastAsia="Palatino Linotype" w:hAnsi="Palatino Linotype" w:cs="Palatino Linotype"/>
          <w:i/>
          <w:sz w:val="22"/>
          <w:szCs w:val="22"/>
        </w:rPr>
        <w:t xml:space="preserve">VIII. BIENES MUEBLES DE BAJO COSTO: A los objetos que por su naturaleza de uso pueden ser trasladados de un lugar a otro, y cuyo costo al momento de su adquisición o incorporación es inferior a 35 salarios mínimos pero mayor a 17 del área geográfica "C" y </w:t>
      </w:r>
      <w:r w:rsidRPr="00681C2A">
        <w:rPr>
          <w:rFonts w:ascii="Palatino Linotype" w:eastAsia="Palatino Linotype" w:hAnsi="Palatino Linotype" w:cs="Palatino Linotype"/>
          <w:i/>
          <w:sz w:val="22"/>
          <w:szCs w:val="22"/>
        </w:rPr>
        <w:t>a partir del uno de enero de 2013, al salario mínimo general del Distrito Federal;</w:t>
      </w:r>
    </w:p>
    <w:p w:rsidR="00C22335" w:rsidRPr="00681C2A" w:rsidRDefault="00492294">
      <w:pPr>
        <w:tabs>
          <w:tab w:val="left" w:pos="709"/>
        </w:tabs>
        <w:spacing w:line="360" w:lineRule="auto"/>
        <w:ind w:left="567" w:right="567"/>
        <w:jc w:val="both"/>
        <w:rPr>
          <w:rFonts w:ascii="Palatino Linotype" w:eastAsia="Palatino Linotype" w:hAnsi="Palatino Linotype" w:cs="Palatino Linotype"/>
          <w:i/>
          <w:sz w:val="20"/>
          <w:szCs w:val="20"/>
        </w:rPr>
      </w:pPr>
      <w:r w:rsidRPr="00681C2A">
        <w:rPr>
          <w:rFonts w:ascii="Palatino Linotype" w:eastAsia="Palatino Linotype" w:hAnsi="Palatino Linotype" w:cs="Palatino Linotype"/>
          <w:i/>
          <w:sz w:val="22"/>
          <w:szCs w:val="22"/>
        </w:rPr>
        <w:t>…”</w:t>
      </w:r>
    </w:p>
    <w:p w:rsidR="00C22335" w:rsidRPr="00681C2A" w:rsidRDefault="00C22335">
      <w:pPr>
        <w:tabs>
          <w:tab w:val="left" w:pos="709"/>
        </w:tabs>
        <w:spacing w:line="360" w:lineRule="auto"/>
        <w:ind w:left="567" w:right="567"/>
        <w:jc w:val="both"/>
        <w:rPr>
          <w:rFonts w:ascii="Palatino Linotype" w:eastAsia="Palatino Linotype" w:hAnsi="Palatino Linotype" w:cs="Palatino Linotype"/>
          <w:i/>
          <w:sz w:val="20"/>
          <w:szCs w:val="20"/>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rPr>
        <w:t>Asimismo, los Lineamientos referidos en el párrafo anterior, Capítulo XIV se establece el Levantamiento Físico, describiéndolo como un acto mediante el cual se realizará</w:t>
      </w:r>
      <w:r w:rsidRPr="00681C2A">
        <w:rPr>
          <w:rFonts w:ascii="Palatino Linotype" w:eastAsia="Palatino Linotype" w:hAnsi="Palatino Linotype" w:cs="Palatino Linotype"/>
          <w:color w:val="000000"/>
        </w:rPr>
        <w:t xml:space="preserve"> la inspección física de los bienes muebles en el lugar donde se encuentran ubicados, obteniendo el reporte de su existencia, estado físico actual y verificando sus datos de identificación y el cual se llevará a cabo dos veces al año:</w:t>
      </w:r>
    </w:p>
    <w:p w:rsidR="00C22335" w:rsidRPr="00681C2A" w:rsidRDefault="00C223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22335" w:rsidRPr="00681C2A" w:rsidRDefault="00492294">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i/>
          <w:color w:val="000000"/>
          <w:sz w:val="22"/>
          <w:szCs w:val="22"/>
        </w:rPr>
        <w:t xml:space="preserve">TRIGÉSIMO SÉPTIMO: El </w:t>
      </w:r>
      <w:r w:rsidRPr="00681C2A">
        <w:rPr>
          <w:rFonts w:ascii="Palatino Linotype" w:eastAsia="Palatino Linotype" w:hAnsi="Palatino Linotype" w:cs="Palatino Linotype"/>
          <w:b/>
          <w:i/>
          <w:color w:val="000000"/>
          <w:sz w:val="22"/>
          <w:szCs w:val="22"/>
        </w:rPr>
        <w:t>levantamiento físico</w:t>
      </w:r>
      <w:r w:rsidRPr="00681C2A">
        <w:rPr>
          <w:rFonts w:ascii="Palatino Linotype" w:eastAsia="Palatino Linotype" w:hAnsi="Palatino Linotype" w:cs="Palatino Linotype"/>
          <w:i/>
          <w:color w:val="000000"/>
          <w:sz w:val="22"/>
          <w:szCs w:val="22"/>
        </w:rPr>
        <w:t>, es el acto mediante el cual se realizará la inspección física de los bienes muebles en el lugar donde se encuentran ubicados, obteniendo el reporte de su existencia, estado físico actual y verificando sus datos d</w:t>
      </w:r>
      <w:r w:rsidRPr="00681C2A">
        <w:rPr>
          <w:rFonts w:ascii="Palatino Linotype" w:eastAsia="Palatino Linotype" w:hAnsi="Palatino Linotype" w:cs="Palatino Linotype"/>
          <w:i/>
          <w:color w:val="000000"/>
          <w:sz w:val="22"/>
          <w:szCs w:val="22"/>
        </w:rPr>
        <w:t xml:space="preserve">e identificación. </w:t>
      </w:r>
    </w:p>
    <w:p w:rsidR="00C22335" w:rsidRPr="00681C2A" w:rsidRDefault="00492294">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i/>
          <w:color w:val="000000"/>
          <w:sz w:val="22"/>
          <w:szCs w:val="22"/>
        </w:rPr>
        <w:t xml:space="preserve">El proceso del levantamiento físico de inventarios inicia tomando como base los registros de los bienes muebles e inmuebles contenidos en los inventarios generales de bienes muebles e inmuebles. </w:t>
      </w:r>
    </w:p>
    <w:p w:rsidR="00C22335" w:rsidRPr="00681C2A" w:rsidRDefault="00492294">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i/>
          <w:color w:val="000000"/>
          <w:sz w:val="22"/>
          <w:szCs w:val="22"/>
        </w:rPr>
        <w:lastRenderedPageBreak/>
        <w:t>TRIGÉSIMO OCTAVO: Los levantamientos físicos tienen como objetivo verificar la existencia de los bienes que se encuentren en la entidad fiscalizable, comprobar el estado de uso y conservación de los mismos, constatar y actualizar los resguardos de los bien</w:t>
      </w:r>
      <w:r w:rsidRPr="00681C2A">
        <w:rPr>
          <w:rFonts w:ascii="Palatino Linotype" w:eastAsia="Palatino Linotype" w:hAnsi="Palatino Linotype" w:cs="Palatino Linotype"/>
          <w:i/>
          <w:color w:val="000000"/>
          <w:sz w:val="22"/>
          <w:szCs w:val="22"/>
        </w:rPr>
        <w:t xml:space="preserve">es muebles y, en su caso, continuar o empezar la regularización de los bienes inmuebles. </w:t>
      </w:r>
    </w:p>
    <w:p w:rsidR="00C22335" w:rsidRPr="00681C2A" w:rsidRDefault="00492294">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i/>
          <w:color w:val="000000"/>
          <w:sz w:val="22"/>
          <w:szCs w:val="22"/>
        </w:rPr>
        <w:t xml:space="preserve">Los levantamientos físicos se deberán </w:t>
      </w:r>
      <w:r w:rsidRPr="00681C2A">
        <w:rPr>
          <w:rFonts w:ascii="Palatino Linotype" w:eastAsia="Palatino Linotype" w:hAnsi="Palatino Linotype" w:cs="Palatino Linotype"/>
          <w:b/>
          <w:i/>
          <w:color w:val="000000"/>
          <w:sz w:val="22"/>
          <w:szCs w:val="22"/>
        </w:rPr>
        <w:t>realizar por lo menos dos veces al año</w:t>
      </w:r>
      <w:r w:rsidRPr="00681C2A">
        <w:rPr>
          <w:rFonts w:ascii="Palatino Linotype" w:eastAsia="Palatino Linotype" w:hAnsi="Palatino Linotype" w:cs="Palatino Linotype"/>
          <w:i/>
          <w:color w:val="000000"/>
          <w:sz w:val="22"/>
          <w:szCs w:val="22"/>
        </w:rPr>
        <w:t>, para lo cual se determinarán las fechas de inicio y término.</w:t>
      </w:r>
    </w:p>
    <w:p w:rsidR="00C22335" w:rsidRPr="00681C2A" w:rsidRDefault="00C22335">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rPr>
        <w:t>Aunado a lo anterior, los Lineamientos señalan que en los meses de junio y diciembre se presentará el resultado del levantamiento físico del inventario:</w:t>
      </w:r>
    </w:p>
    <w:p w:rsidR="00C22335" w:rsidRPr="00681C2A" w:rsidRDefault="00C223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22335" w:rsidRPr="00681C2A" w:rsidRDefault="00492294">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i/>
          <w:color w:val="000000"/>
          <w:sz w:val="22"/>
          <w:szCs w:val="22"/>
        </w:rPr>
        <w:t>VIGÉSIMO PRIMERO: El responsable de elaborar el inventario general de bienes en el municipio, es el se</w:t>
      </w:r>
      <w:r w:rsidRPr="00681C2A">
        <w:rPr>
          <w:rFonts w:ascii="Palatino Linotype" w:eastAsia="Palatino Linotype" w:hAnsi="Palatino Linotype" w:cs="Palatino Linotype"/>
          <w:i/>
          <w:color w:val="000000"/>
          <w:sz w:val="22"/>
          <w:szCs w:val="22"/>
        </w:rPr>
        <w:t xml:space="preserve">cretario con la intervención del síndico y la participación del titular del órgano de control interno, quienes previamente realizarán una revisión física de todos los bienes, al concluirlo deberán asentar sus firmas junto con la del presidente y tesorero, </w:t>
      </w:r>
      <w:r w:rsidRPr="00681C2A">
        <w:rPr>
          <w:rFonts w:ascii="Palatino Linotype" w:eastAsia="Palatino Linotype" w:hAnsi="Palatino Linotype" w:cs="Palatino Linotype"/>
          <w:i/>
          <w:color w:val="000000"/>
          <w:sz w:val="22"/>
          <w:szCs w:val="22"/>
        </w:rPr>
        <w:t>la elaboración de este inventario se realizará dos veces al año, el primero a más tardar el último día hábil del mes de junio, el segundo el último día hábil del mes de diciembre.</w:t>
      </w:r>
    </w:p>
    <w:p w:rsidR="00C22335" w:rsidRPr="00681C2A" w:rsidRDefault="00C22335">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p>
    <w:p w:rsidR="00C22335" w:rsidRPr="00681C2A" w:rsidRDefault="00492294">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i/>
          <w:color w:val="000000"/>
          <w:sz w:val="22"/>
          <w:szCs w:val="22"/>
        </w:rPr>
        <w:t xml:space="preserve">VIGÉSIMO SEGUNDO: Las entidades fiscalizables, registrarán los movimientos </w:t>
      </w:r>
      <w:r w:rsidRPr="00681C2A">
        <w:rPr>
          <w:rFonts w:ascii="Palatino Linotype" w:eastAsia="Palatino Linotype" w:hAnsi="Palatino Linotype" w:cs="Palatino Linotype"/>
          <w:i/>
          <w:color w:val="000000"/>
          <w:sz w:val="22"/>
          <w:szCs w:val="22"/>
        </w:rPr>
        <w:t xml:space="preserve">de alta o baja de sus activos efectuados en el mes y los reflejarán en el informe mensual que es presentado al Órgano Superior, a través del formato "Inventario de Bienes Muebles". En los </w:t>
      </w:r>
      <w:r w:rsidRPr="00681C2A">
        <w:rPr>
          <w:rFonts w:ascii="Palatino Linotype" w:eastAsia="Palatino Linotype" w:hAnsi="Palatino Linotype" w:cs="Palatino Linotype"/>
          <w:b/>
          <w:i/>
          <w:color w:val="000000"/>
          <w:sz w:val="22"/>
          <w:szCs w:val="22"/>
        </w:rPr>
        <w:t>meses de junio y diciembre presentarán el resultado del levantamient</w:t>
      </w:r>
      <w:r w:rsidRPr="00681C2A">
        <w:rPr>
          <w:rFonts w:ascii="Palatino Linotype" w:eastAsia="Palatino Linotype" w:hAnsi="Palatino Linotype" w:cs="Palatino Linotype"/>
          <w:b/>
          <w:i/>
          <w:color w:val="000000"/>
          <w:sz w:val="22"/>
          <w:szCs w:val="22"/>
        </w:rPr>
        <w:t>o físico de inventario</w:t>
      </w:r>
      <w:r w:rsidRPr="00681C2A">
        <w:rPr>
          <w:rFonts w:ascii="Palatino Linotype" w:eastAsia="Palatino Linotype" w:hAnsi="Palatino Linotype" w:cs="Palatino Linotype"/>
          <w:i/>
          <w:color w:val="000000"/>
          <w:sz w:val="22"/>
          <w:szCs w:val="22"/>
        </w:rPr>
        <w:t>, así como la integración de sus saldos. Dicha información deberá integrarse en el disco número 2 del citado informe mensual.</w:t>
      </w:r>
    </w:p>
    <w:p w:rsidR="00C22335" w:rsidRPr="00681C2A" w:rsidRDefault="00C22335">
      <w:pPr>
        <w:pBdr>
          <w:top w:val="nil"/>
          <w:left w:val="nil"/>
          <w:bottom w:val="nil"/>
          <w:right w:val="nil"/>
          <w:between w:val="nil"/>
        </w:pBdr>
        <w:spacing w:line="360" w:lineRule="auto"/>
        <w:ind w:left="851" w:right="822"/>
        <w:jc w:val="both"/>
        <w:rPr>
          <w:rFonts w:ascii="Century Gothic" w:eastAsia="Century Gothic" w:hAnsi="Century Gothic" w:cs="Century Gothic"/>
          <w:color w:val="000000"/>
          <w:sz w:val="22"/>
          <w:szCs w:val="22"/>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rPr>
        <w:t>En este caso, como los señalan los preceptos legales referidos, podemos concluir que se realizan dos levantamientos físicos de los bienes inmuebles, el primero que corresponde al treinta de junio y el segundo al treinta y uno de diciembre de cada año.</w:t>
      </w:r>
    </w:p>
    <w:p w:rsidR="00C22335" w:rsidRPr="00681C2A" w:rsidRDefault="00C223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rPr>
        <w:t>Por</w:t>
      </w:r>
      <w:r w:rsidRPr="00681C2A">
        <w:rPr>
          <w:rFonts w:ascii="Palatino Linotype" w:eastAsia="Palatino Linotype" w:hAnsi="Palatino Linotype" w:cs="Palatino Linotype"/>
          <w:color w:val="000000"/>
        </w:rPr>
        <w:t xml:space="preserve"> otro lado, el Cuadragésimo de los Lineamientos, establece que </w:t>
      </w:r>
      <w:bookmarkStart w:id="10" w:name="_GoBack"/>
      <w:bookmarkEnd w:id="10"/>
      <w:r w:rsidRPr="00681C2A">
        <w:rPr>
          <w:rFonts w:ascii="Palatino Linotype" w:eastAsia="Palatino Linotype" w:hAnsi="Palatino Linotype" w:cs="Palatino Linotype"/>
          <w:color w:val="000000"/>
        </w:rPr>
        <w:t xml:space="preserve">es el Titular del órgano de control interno quien establecerá las bases generales para la realización de los levantamientos físicos de los bienes muebles y será responsable de levantar las </w:t>
      </w:r>
      <w:r w:rsidRPr="00681C2A">
        <w:rPr>
          <w:rFonts w:ascii="Palatino Linotype" w:eastAsia="Palatino Linotype" w:hAnsi="Palatino Linotype" w:cs="Palatino Linotype"/>
          <w:b/>
          <w:color w:val="000000"/>
        </w:rPr>
        <w:t>acta</w:t>
      </w:r>
      <w:r w:rsidRPr="00681C2A">
        <w:rPr>
          <w:rFonts w:ascii="Palatino Linotype" w:eastAsia="Palatino Linotype" w:hAnsi="Palatino Linotype" w:cs="Palatino Linotype"/>
          <w:b/>
          <w:color w:val="000000"/>
        </w:rPr>
        <w:t>s circunstanciadas</w:t>
      </w:r>
      <w:r w:rsidRPr="00681C2A">
        <w:rPr>
          <w:rFonts w:ascii="Palatino Linotype" w:eastAsia="Palatino Linotype" w:hAnsi="Palatino Linotype" w:cs="Palatino Linotype"/>
          <w:color w:val="000000"/>
        </w:rPr>
        <w:t xml:space="preserve"> por cada una de las unidades administrativas de la entidad fiscalizable, atendiendo al Cuadragésimo de los mismos Lineamientos:</w:t>
      </w:r>
    </w:p>
    <w:p w:rsidR="00C22335" w:rsidRPr="00681C2A" w:rsidRDefault="00C223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22335" w:rsidRPr="00681C2A" w:rsidRDefault="00492294">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i/>
          <w:color w:val="000000"/>
          <w:sz w:val="22"/>
          <w:szCs w:val="22"/>
        </w:rPr>
        <w:t xml:space="preserve">“CUADRAGÉSIMO: El titular del órgano de control interno será el responsable de </w:t>
      </w:r>
      <w:r w:rsidRPr="00681C2A">
        <w:rPr>
          <w:rFonts w:ascii="Palatino Linotype" w:eastAsia="Palatino Linotype" w:hAnsi="Palatino Linotype" w:cs="Palatino Linotype"/>
          <w:b/>
          <w:i/>
          <w:color w:val="000000"/>
          <w:sz w:val="22"/>
          <w:szCs w:val="22"/>
        </w:rPr>
        <w:t>levantar las actas circunstanciadas</w:t>
      </w:r>
      <w:r w:rsidRPr="00681C2A">
        <w:rPr>
          <w:rFonts w:ascii="Palatino Linotype" w:eastAsia="Palatino Linotype" w:hAnsi="Palatino Linotype" w:cs="Palatino Linotype"/>
          <w:i/>
          <w:color w:val="000000"/>
          <w:sz w:val="22"/>
          <w:szCs w:val="22"/>
        </w:rPr>
        <w:t xml:space="preserve"> por cada una de las unidades administrativas de la entidad fiscalizable, en las que además de asentar los bienes existentes, se mencionarán los hallazgos que se presenten en el desarrollo del levantamiento físico, incluy</w:t>
      </w:r>
      <w:r w:rsidRPr="00681C2A">
        <w:rPr>
          <w:rFonts w:ascii="Palatino Linotype" w:eastAsia="Palatino Linotype" w:hAnsi="Palatino Linotype" w:cs="Palatino Linotype"/>
          <w:i/>
          <w:color w:val="000000"/>
          <w:sz w:val="22"/>
          <w:szCs w:val="22"/>
        </w:rPr>
        <w:t xml:space="preserve">endo en el caso de los bienes muebles, los faltantes, sobrantes y aquellos que por su estado físico se consideren obsoletos, firmando las actas, los involucrados que realicen el levantamiento físico, así como el titular de cada unidad administrativa; para </w:t>
      </w:r>
      <w:r w:rsidRPr="00681C2A">
        <w:rPr>
          <w:rFonts w:ascii="Palatino Linotype" w:eastAsia="Palatino Linotype" w:hAnsi="Palatino Linotype" w:cs="Palatino Linotype"/>
          <w:i/>
          <w:color w:val="000000"/>
          <w:sz w:val="22"/>
          <w:szCs w:val="22"/>
        </w:rPr>
        <w:t xml:space="preserve">el caso de los inmuebles dará fe de la situación en la que se encuentren los predios propiedad de la entidad municipal. </w:t>
      </w:r>
    </w:p>
    <w:p w:rsidR="00C22335" w:rsidRPr="00681C2A" w:rsidRDefault="00492294">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i/>
          <w:color w:val="000000"/>
          <w:sz w:val="22"/>
          <w:szCs w:val="22"/>
        </w:rPr>
        <w:t xml:space="preserve">Al realizar </w:t>
      </w:r>
      <w:r w:rsidRPr="00681C2A">
        <w:rPr>
          <w:rFonts w:ascii="Palatino Linotype" w:eastAsia="Palatino Linotype" w:hAnsi="Palatino Linotype" w:cs="Palatino Linotype"/>
          <w:b/>
          <w:i/>
          <w:color w:val="000000"/>
          <w:sz w:val="22"/>
          <w:szCs w:val="22"/>
        </w:rPr>
        <w:t>el levantamiento físico</w:t>
      </w:r>
      <w:r w:rsidRPr="00681C2A">
        <w:rPr>
          <w:rFonts w:ascii="Palatino Linotype" w:eastAsia="Palatino Linotype" w:hAnsi="Palatino Linotype" w:cs="Palatino Linotype"/>
          <w:i/>
          <w:color w:val="000000"/>
          <w:sz w:val="22"/>
          <w:szCs w:val="22"/>
        </w:rPr>
        <w:t>, se deberá comprobar que los datos de identificación del bien sean los mismos que se encuentren reg</w:t>
      </w:r>
      <w:r w:rsidRPr="00681C2A">
        <w:rPr>
          <w:rFonts w:ascii="Palatino Linotype" w:eastAsia="Palatino Linotype" w:hAnsi="Palatino Linotype" w:cs="Palatino Linotype"/>
          <w:i/>
          <w:color w:val="000000"/>
          <w:sz w:val="22"/>
          <w:szCs w:val="22"/>
        </w:rPr>
        <w:t xml:space="preserve">istrados en el inventario de bienes muebles e inmuebles. </w:t>
      </w:r>
    </w:p>
    <w:p w:rsidR="00C22335" w:rsidRPr="00681C2A" w:rsidRDefault="00492294">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i/>
          <w:color w:val="000000"/>
          <w:sz w:val="22"/>
          <w:szCs w:val="22"/>
        </w:rPr>
        <w:lastRenderedPageBreak/>
        <w:t>Al término del levantamiento físico, el titular del órgano de control interno, entregará las actas administrativas del levantamiento físico y sus anexos, al presidente del comité, en sesión ordinari</w:t>
      </w:r>
      <w:r w:rsidRPr="00681C2A">
        <w:rPr>
          <w:rFonts w:ascii="Palatino Linotype" w:eastAsia="Palatino Linotype" w:hAnsi="Palatino Linotype" w:cs="Palatino Linotype"/>
          <w:i/>
          <w:color w:val="000000"/>
          <w:sz w:val="22"/>
          <w:szCs w:val="22"/>
        </w:rPr>
        <w:t xml:space="preserve">a del mismo.” </w:t>
      </w:r>
    </w:p>
    <w:p w:rsidR="00C22335" w:rsidRPr="00681C2A" w:rsidRDefault="00492294">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i/>
          <w:color w:val="000000"/>
          <w:sz w:val="22"/>
          <w:szCs w:val="22"/>
        </w:rPr>
        <w:t>(Énfasis añadido)</w:t>
      </w:r>
    </w:p>
    <w:p w:rsidR="00C22335" w:rsidRPr="00681C2A" w:rsidRDefault="00C223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rPr>
        <w:t>Luego entonces, es dable ordenar la entrega del primer levantamiento físico de los bienes muebles de bajo costo y las actas circunstanciadas por cada una de las Unidades Administrativas del año 2021.</w:t>
      </w:r>
    </w:p>
    <w:p w:rsidR="00C22335" w:rsidRPr="00681C2A" w:rsidRDefault="00C223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22335" w:rsidRPr="00681C2A" w:rsidRDefault="00492294">
      <w:pPr>
        <w:widowControl w:val="0"/>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32"/>
          <w:szCs w:val="32"/>
        </w:rPr>
      </w:pPr>
      <w:r w:rsidRPr="00681C2A">
        <w:rPr>
          <w:rFonts w:ascii="Palatino Linotype" w:eastAsia="Palatino Linotype" w:hAnsi="Palatino Linotype" w:cs="Palatino Linotype"/>
          <w:color w:val="000000"/>
        </w:rPr>
        <w:t xml:space="preserve">En mérito de lo expuesto en líneas anteriores, resultan fundados los motivos de inconformidad que arguye </w:t>
      </w:r>
      <w:r w:rsidRPr="00681C2A">
        <w:rPr>
          <w:rFonts w:ascii="Palatino Linotype" w:eastAsia="Palatino Linotype" w:hAnsi="Palatino Linotype" w:cs="Palatino Linotype"/>
          <w:b/>
          <w:color w:val="000000"/>
        </w:rPr>
        <w:t>La Recurrente</w:t>
      </w:r>
      <w:r w:rsidRPr="00681C2A">
        <w:rPr>
          <w:rFonts w:ascii="Palatino Linotype" w:eastAsia="Palatino Linotype" w:hAnsi="Palatino Linotype" w:cs="Palatino Linotype"/>
          <w:color w:val="000000"/>
        </w:rPr>
        <w:t xml:space="preserve"> en su medio de impugnación que fue materia de estudio, por ello con fundamento en la</w:t>
      </w:r>
      <w:r w:rsidRPr="00681C2A">
        <w:rPr>
          <w:rFonts w:ascii="Palatino Linotype" w:eastAsia="Palatino Linotype" w:hAnsi="Palatino Linotype" w:cs="Palatino Linotype"/>
          <w:b/>
          <w:color w:val="000000"/>
        </w:rPr>
        <w:t xml:space="preserve"> </w:t>
      </w:r>
      <w:r w:rsidRPr="00681C2A">
        <w:rPr>
          <w:rFonts w:ascii="Palatino Linotype" w:eastAsia="Palatino Linotype" w:hAnsi="Palatino Linotype" w:cs="Palatino Linotype"/>
          <w:i/>
          <w:color w:val="000000"/>
        </w:rPr>
        <w:t>segunda hipótesis</w:t>
      </w:r>
      <w:r w:rsidRPr="00681C2A">
        <w:rPr>
          <w:rFonts w:ascii="Palatino Linotype" w:eastAsia="Palatino Linotype" w:hAnsi="Palatino Linotype" w:cs="Palatino Linotype"/>
          <w:b/>
          <w:color w:val="000000"/>
        </w:rPr>
        <w:t xml:space="preserve"> </w:t>
      </w:r>
      <w:r w:rsidRPr="00681C2A">
        <w:rPr>
          <w:rFonts w:ascii="Palatino Linotype" w:eastAsia="Palatino Linotype" w:hAnsi="Palatino Linotype" w:cs="Palatino Linotype"/>
          <w:color w:val="000000"/>
        </w:rPr>
        <w:t>de la</w:t>
      </w:r>
      <w:r w:rsidRPr="00681C2A">
        <w:rPr>
          <w:rFonts w:ascii="Palatino Linotype" w:eastAsia="Palatino Linotype" w:hAnsi="Palatino Linotype" w:cs="Palatino Linotype"/>
          <w:b/>
          <w:color w:val="000000"/>
        </w:rPr>
        <w:t xml:space="preserve"> </w:t>
      </w:r>
      <w:r w:rsidRPr="00681C2A">
        <w:rPr>
          <w:rFonts w:ascii="Palatino Linotype" w:eastAsia="Palatino Linotype" w:hAnsi="Palatino Linotype" w:cs="Palatino Linotype"/>
          <w:color w:val="000000"/>
        </w:rPr>
        <w:t>fracción III, del artículo 1</w:t>
      </w:r>
      <w:r w:rsidRPr="00681C2A">
        <w:rPr>
          <w:rFonts w:ascii="Palatino Linotype" w:eastAsia="Palatino Linotype" w:hAnsi="Palatino Linotype" w:cs="Palatino Linotype"/>
          <w:color w:val="000000"/>
        </w:rPr>
        <w:t>86,</w:t>
      </w:r>
      <w:r w:rsidRPr="00681C2A">
        <w:rPr>
          <w:rFonts w:ascii="Palatino Linotype" w:eastAsia="Palatino Linotype" w:hAnsi="Palatino Linotype" w:cs="Palatino Linotype"/>
          <w:b/>
          <w:color w:val="000000"/>
        </w:rPr>
        <w:t xml:space="preserve"> </w:t>
      </w:r>
      <w:r w:rsidRPr="00681C2A">
        <w:rPr>
          <w:rFonts w:ascii="Palatino Linotype" w:eastAsia="Palatino Linotype" w:hAnsi="Palatino Linotype" w:cs="Palatino Linotype"/>
          <w:color w:val="000000"/>
        </w:rPr>
        <w:t xml:space="preserve">de la Ley de Transparencia y Acceso a la Información Pública del Estado de México y Municipios, se </w:t>
      </w:r>
      <w:r w:rsidRPr="00681C2A">
        <w:rPr>
          <w:rFonts w:ascii="Palatino Linotype" w:eastAsia="Palatino Linotype" w:hAnsi="Palatino Linotype" w:cs="Palatino Linotype"/>
          <w:b/>
          <w:color w:val="000000"/>
        </w:rPr>
        <w:t xml:space="preserve">REVOCA </w:t>
      </w:r>
      <w:r w:rsidRPr="00681C2A">
        <w:rPr>
          <w:rFonts w:ascii="Palatino Linotype" w:eastAsia="Palatino Linotype" w:hAnsi="Palatino Linotype" w:cs="Palatino Linotype"/>
          <w:color w:val="000000"/>
        </w:rPr>
        <w:t>la respuesta a la solicitud de información número</w:t>
      </w:r>
      <w:r w:rsidRPr="00681C2A">
        <w:rPr>
          <w:rFonts w:ascii="Palatino Linotype" w:eastAsia="Palatino Linotype" w:hAnsi="Palatino Linotype" w:cs="Palatino Linotype"/>
          <w:b/>
          <w:color w:val="000000"/>
        </w:rPr>
        <w:t xml:space="preserve"> 00127/CAPULHUA/IP/2021</w:t>
      </w:r>
      <w:r w:rsidRPr="00681C2A">
        <w:rPr>
          <w:rFonts w:ascii="Palatino Linotype" w:eastAsia="Palatino Linotype" w:hAnsi="Palatino Linotype" w:cs="Palatino Linotype"/>
          <w:color w:val="000000"/>
        </w:rPr>
        <w:t>.</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pStyle w:val="Ttulo1"/>
        <w:spacing w:before="0" w:line="360" w:lineRule="auto"/>
        <w:rPr>
          <w:rFonts w:ascii="Palatino Linotype" w:eastAsia="Palatino Linotype" w:hAnsi="Palatino Linotype" w:cs="Palatino Linotype"/>
          <w:b/>
          <w:color w:val="000000"/>
          <w:sz w:val="24"/>
          <w:szCs w:val="24"/>
        </w:rPr>
      </w:pPr>
      <w:bookmarkStart w:id="11" w:name="_heading=h.17dp8vu" w:colFirst="0" w:colLast="0"/>
      <w:bookmarkEnd w:id="11"/>
      <w:r w:rsidRPr="00681C2A">
        <w:rPr>
          <w:rFonts w:ascii="Palatino Linotype" w:eastAsia="Palatino Linotype" w:hAnsi="Palatino Linotype" w:cs="Palatino Linotype"/>
          <w:b/>
          <w:color w:val="000000"/>
          <w:sz w:val="24"/>
          <w:szCs w:val="24"/>
        </w:rPr>
        <w:t>QUINTO.  De la versión pública.</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Por otro lado, debe destacarse que debido a la naturaleza de la información solicitada</w:t>
      </w:r>
      <w:r w:rsidRPr="00681C2A">
        <w:rPr>
          <w:rFonts w:ascii="Palatino Linotype" w:eastAsia="Palatino Linotype" w:hAnsi="Palatino Linotype" w:cs="Palatino Linotype"/>
          <w:b/>
          <w:color w:val="000000"/>
        </w:rPr>
        <w:t xml:space="preserve">, </w:t>
      </w:r>
      <w:r w:rsidRPr="00681C2A">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w:t>
      </w:r>
      <w:r w:rsidRPr="00681C2A">
        <w:rPr>
          <w:rFonts w:ascii="Palatino Linotype" w:eastAsia="Palatino Linotype" w:hAnsi="Palatino Linotype" w:cs="Palatino Linotype"/>
          <w:color w:val="000000"/>
        </w:rPr>
        <w:t xml:space="preserve"> datos personales aun tratándose de servidores públicos y en </w:t>
      </w:r>
      <w:r w:rsidRPr="00681C2A">
        <w:rPr>
          <w:rFonts w:ascii="Palatino Linotype" w:eastAsia="Palatino Linotype" w:hAnsi="Palatino Linotype" w:cs="Palatino Linotype"/>
          <w:color w:val="000000"/>
        </w:rPr>
        <w:lastRenderedPageBreak/>
        <w:t xml:space="preserve">su caso generar la </w:t>
      </w:r>
      <w:r w:rsidRPr="00681C2A">
        <w:rPr>
          <w:rFonts w:ascii="Palatino Linotype" w:eastAsia="Palatino Linotype" w:hAnsi="Palatino Linotype" w:cs="Palatino Linotype"/>
          <w:b/>
          <w:color w:val="000000"/>
          <w:u w:val="single"/>
        </w:rPr>
        <w:t>versión pública</w:t>
      </w:r>
      <w:r w:rsidRPr="00681C2A">
        <w:rPr>
          <w:rFonts w:ascii="Palatino Linotype" w:eastAsia="Palatino Linotype" w:hAnsi="Palatino Linotype" w:cs="Palatino Linotype"/>
          <w:color w:val="000000"/>
        </w:rPr>
        <w:t xml:space="preserve"> del documento por las consideraciones que se estimen pertinentes.</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 xml:space="preserve">Es de señalar que, por lo que hace a las versiones públicas, el </w:t>
      </w:r>
      <w:r w:rsidRPr="00681C2A">
        <w:rPr>
          <w:rFonts w:ascii="Palatino Linotype" w:eastAsia="Palatino Linotype" w:hAnsi="Palatino Linotype" w:cs="Palatino Linotype"/>
          <w:b/>
          <w:color w:val="000000"/>
        </w:rPr>
        <w:t>SUJETO OBLIGADO</w:t>
      </w:r>
      <w:r w:rsidRPr="00681C2A">
        <w:rPr>
          <w:rFonts w:ascii="Palatino Linotype" w:eastAsia="Palatino Linotype" w:hAnsi="Palatino Linotype" w:cs="Palatino Linotype"/>
          <w:color w:val="000000"/>
        </w:rPr>
        <w:t xml:space="preserve"> debe cumplir </w:t>
      </w:r>
      <w:r w:rsidRPr="00681C2A">
        <w:rPr>
          <w:rFonts w:ascii="Palatino Linotype" w:eastAsia="Palatino Linotype" w:hAnsi="Palatino Linotype" w:cs="Palatino Linotype"/>
          <w:color w:val="000000"/>
        </w:rPr>
        <w:t>con las formalidades exigidas en la Ley, por lo que para tal efecto emitirá el Acuerdo del Comité de Transparencia en términos de los artículos 49 fracción VIII, 122</w:t>
      </w:r>
      <w:r w:rsidRPr="00681C2A">
        <w:rPr>
          <w:rFonts w:ascii="Palatino Linotype" w:eastAsia="Palatino Linotype" w:hAnsi="Palatino Linotype" w:cs="Palatino Linotype"/>
          <w:vertAlign w:val="superscript"/>
        </w:rPr>
        <w:footnoteReference w:id="5"/>
      </w:r>
      <w:r w:rsidRPr="00681C2A">
        <w:rPr>
          <w:rFonts w:ascii="Palatino Linotype" w:eastAsia="Palatino Linotype" w:hAnsi="Palatino Linotype" w:cs="Palatino Linotype"/>
          <w:color w:val="000000"/>
        </w:rPr>
        <w:t>, 135</w:t>
      </w:r>
      <w:r w:rsidRPr="00681C2A">
        <w:rPr>
          <w:rFonts w:ascii="Palatino Linotype" w:eastAsia="Palatino Linotype" w:hAnsi="Palatino Linotype" w:cs="Palatino Linotype"/>
          <w:vertAlign w:val="superscript"/>
        </w:rPr>
        <w:footnoteReference w:id="6"/>
      </w:r>
      <w:r w:rsidRPr="00681C2A">
        <w:rPr>
          <w:rFonts w:ascii="Palatino Linotype" w:eastAsia="Palatino Linotype" w:hAnsi="Palatino Linotype" w:cs="Palatino Linotype"/>
          <w:color w:val="000000"/>
        </w:rPr>
        <w:t xml:space="preserve"> y 149 de la </w:t>
      </w:r>
      <w:r w:rsidRPr="00681C2A">
        <w:rPr>
          <w:rFonts w:ascii="Palatino Linotype" w:eastAsia="Palatino Linotype" w:hAnsi="Palatino Linotype" w:cs="Palatino Linotype"/>
          <w:b/>
          <w:color w:val="000000"/>
        </w:rPr>
        <w:t>Ley de Transparencia y Acceso a la Información Pública del Estado de Mé</w:t>
      </w:r>
      <w:r w:rsidRPr="00681C2A">
        <w:rPr>
          <w:rFonts w:ascii="Palatino Linotype" w:eastAsia="Palatino Linotype" w:hAnsi="Palatino Linotype" w:cs="Palatino Linotype"/>
          <w:b/>
          <w:color w:val="000000"/>
        </w:rPr>
        <w:t>xico y Municipios</w:t>
      </w:r>
      <w:r w:rsidRPr="00681C2A">
        <w:rPr>
          <w:rFonts w:ascii="Palatino Linotype" w:eastAsia="Palatino Linotype" w:hAnsi="Palatino Linotype" w:cs="Palatino Linotype"/>
          <w:color w:val="000000"/>
        </w:rPr>
        <w:t>, con el cual sustentara de forma fundada y motivada la clasificación de datos y con ello la "versión pública" de los documentos materia de la solicitud.</w:t>
      </w:r>
    </w:p>
    <w:p w:rsidR="00C22335" w:rsidRPr="00681C2A" w:rsidRDefault="00C22335">
      <w:pPr>
        <w:spacing w:line="360" w:lineRule="auto"/>
        <w:ind w:right="49"/>
        <w:jc w:val="both"/>
        <w:rPr>
          <w:rFonts w:ascii="Palatino Linotype" w:eastAsia="Palatino Linotype" w:hAnsi="Palatino Linotype" w:cs="Palatino Linotype"/>
          <w:color w:val="000000"/>
        </w:rPr>
      </w:pPr>
    </w:p>
    <w:p w:rsidR="00C22335" w:rsidRPr="00681C2A" w:rsidRDefault="00492294">
      <w:pPr>
        <w:keepNext/>
        <w:keepLines/>
        <w:spacing w:line="360" w:lineRule="auto"/>
        <w:rPr>
          <w:rFonts w:ascii="Palatino Linotype" w:eastAsia="Palatino Linotype" w:hAnsi="Palatino Linotype" w:cs="Palatino Linotype"/>
          <w:b/>
          <w:color w:val="000000"/>
        </w:rPr>
      </w:pPr>
      <w:bookmarkStart w:id="12" w:name="_heading=h.3rdcrjn" w:colFirst="0" w:colLast="0"/>
      <w:bookmarkEnd w:id="12"/>
      <w:r w:rsidRPr="00681C2A">
        <w:rPr>
          <w:rFonts w:ascii="Palatino Linotype" w:eastAsia="Palatino Linotype" w:hAnsi="Palatino Linotype" w:cs="Palatino Linotype"/>
          <w:b/>
          <w:color w:val="000000"/>
        </w:rPr>
        <w:t>I. De la clasificación de la información.</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La clasificación total o parcial de la in</w:t>
      </w:r>
      <w:r w:rsidRPr="00681C2A">
        <w:rPr>
          <w:rFonts w:ascii="Palatino Linotype" w:eastAsia="Palatino Linotype" w:hAnsi="Palatino Linotype" w:cs="Palatino Linotype"/>
          <w:color w:val="000000"/>
        </w:rPr>
        <w:t xml:space="preserve">formación requerida, mediante solicitud de acceso a la información pública, constituye una restricción al derecho humano de acceso a la información. Como reiteradamente han dicho, diversos órganos </w:t>
      </w:r>
      <w:r w:rsidRPr="00681C2A">
        <w:rPr>
          <w:rFonts w:ascii="Palatino Linotype" w:eastAsia="Palatino Linotype" w:hAnsi="Palatino Linotype" w:cs="Palatino Linotype"/>
          <w:color w:val="000000"/>
        </w:rPr>
        <w:lastRenderedPageBreak/>
        <w:t>jurisdiccionales, ningún derecho es absoluto</w:t>
      </w:r>
      <w:r w:rsidRPr="00681C2A">
        <w:rPr>
          <w:rFonts w:ascii="Palatino Linotype" w:eastAsia="Palatino Linotype" w:hAnsi="Palatino Linotype" w:cs="Palatino Linotype"/>
          <w:vertAlign w:val="superscript"/>
        </w:rPr>
        <w:footnoteReference w:id="7"/>
      </w:r>
      <w:r w:rsidRPr="00681C2A">
        <w:rPr>
          <w:rFonts w:ascii="Palatino Linotype" w:eastAsia="Palatino Linotype" w:hAnsi="Palatino Linotype" w:cs="Palatino Linotype"/>
          <w:color w:val="000000"/>
        </w:rPr>
        <w:t xml:space="preserve"> aunque cualqu</w:t>
      </w:r>
      <w:r w:rsidRPr="00681C2A">
        <w:rPr>
          <w:rFonts w:ascii="Palatino Linotype" w:eastAsia="Palatino Linotype" w:hAnsi="Palatino Linotype" w:cs="Palatino Linotype"/>
          <w:color w:val="000000"/>
        </w:rPr>
        <w:t>ier límite o restricción, para ser legítimo, debe reunir con tres requisitos: primero, debe de estar establecida en un ordenamiento legal, antes de su aplicación; debe de corresponder a un fin legítimo y ser estrictamente proporcional con el principio o va</w:t>
      </w:r>
      <w:r w:rsidRPr="00681C2A">
        <w:rPr>
          <w:rFonts w:ascii="Palatino Linotype" w:eastAsia="Palatino Linotype" w:hAnsi="Palatino Linotype" w:cs="Palatino Linotype"/>
          <w:color w:val="000000"/>
        </w:rPr>
        <w:t>lor que se pretende preservar.</w:t>
      </w:r>
      <w:r w:rsidRPr="00681C2A">
        <w:rPr>
          <w:rFonts w:ascii="Palatino Linotype" w:eastAsia="Palatino Linotype" w:hAnsi="Palatino Linotype" w:cs="Palatino Linotype"/>
          <w:vertAlign w:val="superscript"/>
        </w:rPr>
        <w:footnoteReference w:id="8"/>
      </w:r>
      <w:r w:rsidRPr="00681C2A">
        <w:rPr>
          <w:rFonts w:ascii="Palatino Linotype" w:eastAsia="Palatino Linotype" w:hAnsi="Palatino Linotype" w:cs="Palatino Linotype"/>
          <w:color w:val="000000"/>
        </w:rPr>
        <w:t xml:space="preserve"> En este caso, la clasificación total o parcial de la información es un supuesto que tanto la Ley General de Transparencia y Acceso a la Información </w:t>
      </w:r>
      <w:r w:rsidRPr="00681C2A">
        <w:rPr>
          <w:rFonts w:ascii="Palatino Linotype" w:eastAsia="Palatino Linotype" w:hAnsi="Palatino Linotype" w:cs="Palatino Linotype"/>
          <w:color w:val="000000"/>
        </w:rPr>
        <w:lastRenderedPageBreak/>
        <w:t xml:space="preserve">Pública, en adelante, la Ley General, como la Ley de Transparencia y Acceso </w:t>
      </w:r>
      <w:r w:rsidRPr="00681C2A">
        <w:rPr>
          <w:rFonts w:ascii="Palatino Linotype" w:eastAsia="Palatino Linotype" w:hAnsi="Palatino Linotype" w:cs="Palatino Linotype"/>
          <w:color w:val="000000"/>
        </w:rPr>
        <w:t>a la Información Pública del Estado de México y Municipios, en adelante, la Ley Estatal, establecen, y agotar el procedimiento legalmente establecido, es precisamente lo que permite acreditar el cumplimiento de los otros dos requisitos.</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 xml:space="preserve">El grave problema </w:t>
      </w:r>
      <w:r w:rsidRPr="00681C2A">
        <w:rPr>
          <w:rFonts w:ascii="Palatino Linotype" w:eastAsia="Palatino Linotype" w:hAnsi="Palatino Linotype" w:cs="Palatino Linotype"/>
          <w:color w:val="000000"/>
        </w:rPr>
        <w:t>que enfrentamos todos los días al resolver los recursos de revisión que se presentan, consiste en que a pesar de que han pasado más de dos años desde la entrada en vigor de la Ley General, y poco más de un año de la entrada en vigor de Ley Estatal, y de qu</w:t>
      </w:r>
      <w:r w:rsidRPr="00681C2A">
        <w:rPr>
          <w:rFonts w:ascii="Palatino Linotype" w:eastAsia="Palatino Linotype" w:hAnsi="Palatino Linotype" w:cs="Palatino Linotype"/>
          <w:color w:val="000000"/>
        </w:rPr>
        <w:t>e dichos ordenamientos señalan los pasos, requisitos y formalidades que deben de cumplirse, en general, los acuerdos de clasificación de la información que emiten los Sujetos Obligados siguen sin observar los requisitos, tanto por la complejidad del proced</w:t>
      </w:r>
      <w:r w:rsidRPr="00681C2A">
        <w:rPr>
          <w:rFonts w:ascii="Palatino Linotype" w:eastAsia="Palatino Linotype" w:hAnsi="Palatino Linotype" w:cs="Palatino Linotype"/>
          <w:color w:val="000000"/>
        </w:rPr>
        <w:t>imiento como por la falta de atención de los operadores jurídicos.</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 xml:space="preserve">Por esa razón, es que en esta ocasión se presenta un apretado resumen de las formalidades, elementos y procedimientos que debe considerar el </w:t>
      </w:r>
      <w:r w:rsidRPr="00681C2A">
        <w:rPr>
          <w:rFonts w:ascii="Palatino Linotype" w:eastAsia="Palatino Linotype" w:hAnsi="Palatino Linotype" w:cs="Palatino Linotype"/>
          <w:b/>
          <w:color w:val="000000"/>
        </w:rPr>
        <w:t>SUJETO OBLIGADO</w:t>
      </w:r>
      <w:r w:rsidRPr="00681C2A">
        <w:rPr>
          <w:rFonts w:ascii="Palatino Linotype" w:eastAsia="Palatino Linotype" w:hAnsi="Palatino Linotype" w:cs="Palatino Linotype"/>
          <w:color w:val="000000"/>
        </w:rPr>
        <w:t xml:space="preserve"> para emitir este tipo de acuerd</w:t>
      </w:r>
      <w:r w:rsidRPr="00681C2A">
        <w:rPr>
          <w:rFonts w:ascii="Palatino Linotype" w:eastAsia="Palatino Linotype" w:hAnsi="Palatino Linotype" w:cs="Palatino Linotype"/>
          <w:color w:val="000000"/>
        </w:rPr>
        <w:t>os y que el Órgano Garante debe verificar que se cumplan.</w:t>
      </w:r>
    </w:p>
    <w:p w:rsidR="00C22335" w:rsidRPr="00681C2A" w:rsidRDefault="00C22335">
      <w:pPr>
        <w:spacing w:line="360" w:lineRule="auto"/>
        <w:jc w:val="both"/>
        <w:rPr>
          <w:rFonts w:ascii="Palatino Linotype" w:eastAsia="Palatino Linotype" w:hAnsi="Palatino Linotype" w:cs="Palatino Linotype"/>
          <w:color w:val="000000"/>
        </w:rPr>
      </w:pPr>
    </w:p>
    <w:p w:rsidR="00C22335" w:rsidRPr="00681C2A" w:rsidRDefault="00492294">
      <w:pPr>
        <w:keepNext/>
        <w:keepLines/>
        <w:pBdr>
          <w:top w:val="nil"/>
          <w:left w:val="nil"/>
          <w:bottom w:val="nil"/>
          <w:right w:val="nil"/>
          <w:between w:val="nil"/>
        </w:pBdr>
        <w:spacing w:line="360" w:lineRule="auto"/>
        <w:rPr>
          <w:rFonts w:ascii="Palatino Linotype" w:eastAsia="Palatino Linotype" w:hAnsi="Palatino Linotype" w:cs="Palatino Linotype"/>
          <w:b/>
          <w:color w:val="000000"/>
        </w:rPr>
      </w:pPr>
      <w:bookmarkStart w:id="13" w:name="_heading=h.26in1rg" w:colFirst="0" w:colLast="0"/>
      <w:bookmarkEnd w:id="13"/>
      <w:r w:rsidRPr="00681C2A">
        <w:rPr>
          <w:rFonts w:ascii="Palatino Linotype" w:eastAsia="Palatino Linotype" w:hAnsi="Palatino Linotype" w:cs="Palatino Linotype"/>
          <w:b/>
          <w:color w:val="000000"/>
        </w:rPr>
        <w:t>a) Requisitos previos.</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Los artículos 122 y 100 de la Ley Estatal y de la Ley General, respectivamente, señalan que los Sujetos Obligados determinan que la información actualiza alguno de los supue</w:t>
      </w:r>
      <w:r w:rsidRPr="00681C2A">
        <w:rPr>
          <w:rFonts w:ascii="Palatino Linotype" w:eastAsia="Palatino Linotype" w:hAnsi="Palatino Linotype" w:cs="Palatino Linotype"/>
          <w:color w:val="000000"/>
        </w:rPr>
        <w:t xml:space="preserve">stos de clasificación y que son los titulares de las áreas los encargados de </w:t>
      </w:r>
      <w:r w:rsidRPr="00681C2A">
        <w:rPr>
          <w:rFonts w:ascii="Palatino Linotype" w:eastAsia="Palatino Linotype" w:hAnsi="Palatino Linotype" w:cs="Palatino Linotype"/>
          <w:color w:val="000000"/>
        </w:rPr>
        <w:lastRenderedPageBreak/>
        <w:t>clasificar la información. En consecuencia, son los titulares de las áreas que administran la información los que aprueban su clasificación y no el Comité de Transparencia. Al hac</w:t>
      </w:r>
      <w:r w:rsidRPr="00681C2A">
        <w:rPr>
          <w:rFonts w:ascii="Palatino Linotype" w:eastAsia="Palatino Linotype" w:hAnsi="Palatino Linotype" w:cs="Palatino Linotype"/>
          <w:color w:val="000000"/>
        </w:rPr>
        <w:t>erlo tienen que precisar de qué información se trata (nombre, registro federal de contribuyentes, edad, fotografía, entre otros) que forme parte de algún documento o el documento que se pretende reservar (contrato, licencia, póliza, entre otros), señalando</w:t>
      </w:r>
      <w:r w:rsidRPr="00681C2A">
        <w:rPr>
          <w:rFonts w:ascii="Palatino Linotype" w:eastAsia="Palatino Linotype" w:hAnsi="Palatino Linotype" w:cs="Palatino Linotype"/>
          <w:color w:val="000000"/>
        </w:rPr>
        <w:t xml:space="preserve"> el supuesto de clasificación (confidencialidad o reserva).</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Además, se debe señalar el procedimiento, de los tres que establecen los artículos 132 y 106 de la Ley Estatal y General, respectivamente, por el que se realiza dicha clasificación, a saber, cuan</w:t>
      </w:r>
      <w:r w:rsidRPr="00681C2A">
        <w:rPr>
          <w:rFonts w:ascii="Palatino Linotype" w:eastAsia="Palatino Linotype" w:hAnsi="Palatino Linotype" w:cs="Palatino Linotype"/>
          <w:color w:val="000000"/>
        </w:rPr>
        <w:t>do se atiende una solicitud de acceso a la información, porque lo determina una autoridad competente o porque se va a generar una versión pública para cumplir con sus obligaciones.</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El último de estos requisitos previos consiste en que no se pueden emitir acuerdos de carácter general ni particular, según lo disponen los artículos 134 y 108 de la Ley Estatal y de la Ley General, respectivamente, esto es, no se puede hacer un acuerdo pa</w:t>
      </w:r>
      <w:r w:rsidRPr="00681C2A">
        <w:rPr>
          <w:rFonts w:ascii="Palatino Linotype" w:eastAsia="Palatino Linotype" w:hAnsi="Palatino Linotype" w:cs="Palatino Linotype"/>
          <w:color w:val="000000"/>
        </w:rPr>
        <w:t xml:space="preserve">ra clasificar de manera general todos los documentos de un expediente o área, sin individualizar su análisis y tampoco se puede hacer un acuerdo por cada dato que se vaya a clasificar dentro de un documento con diez datos, por ejemplo, susceptibles de ser </w:t>
      </w:r>
      <w:r w:rsidRPr="00681C2A">
        <w:rPr>
          <w:rFonts w:ascii="Palatino Linotype" w:eastAsia="Palatino Linotype" w:hAnsi="Palatino Linotype" w:cs="Palatino Linotype"/>
          <w:color w:val="000000"/>
        </w:rPr>
        <w:t>clasificados.</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keepNext/>
        <w:keepLines/>
        <w:pBdr>
          <w:top w:val="nil"/>
          <w:left w:val="nil"/>
          <w:bottom w:val="nil"/>
          <w:right w:val="nil"/>
          <w:between w:val="nil"/>
        </w:pBdr>
        <w:spacing w:line="360" w:lineRule="auto"/>
        <w:rPr>
          <w:rFonts w:ascii="Palatino Linotype" w:eastAsia="Palatino Linotype" w:hAnsi="Palatino Linotype" w:cs="Palatino Linotype"/>
          <w:b/>
          <w:color w:val="000000"/>
        </w:rPr>
      </w:pPr>
      <w:bookmarkStart w:id="14" w:name="_heading=h.lnxbz9" w:colFirst="0" w:colLast="0"/>
      <w:bookmarkEnd w:id="14"/>
      <w:r w:rsidRPr="00681C2A">
        <w:rPr>
          <w:rFonts w:ascii="Palatino Linotype" w:eastAsia="Palatino Linotype" w:hAnsi="Palatino Linotype" w:cs="Palatino Linotype"/>
          <w:b/>
          <w:color w:val="000000"/>
        </w:rPr>
        <w:t>b) Supuestos de clasificación.</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lastRenderedPageBreak/>
        <w:t>Las disposiciones constitucionales y legales en la materia establecen los dos supuestos generales para clasificar la información: por reserva y por confidencialidad.</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Mientras que los artículos 143 y 116 de la</w:t>
      </w:r>
      <w:r w:rsidRPr="00681C2A">
        <w:rPr>
          <w:rFonts w:ascii="Palatino Linotype" w:eastAsia="Palatino Linotype" w:hAnsi="Palatino Linotype" w:cs="Palatino Linotype"/>
          <w:color w:val="000000"/>
        </w:rPr>
        <w:t xml:space="preserve"> Ley Estatal y de la Ley General, respectivamente, señalan los supuestos para que la información pueda ser clasificada como confidencial:</w:t>
      </w:r>
    </w:p>
    <w:p w:rsidR="00C22335" w:rsidRPr="00681C2A" w:rsidRDefault="00C22335">
      <w:pPr>
        <w:spacing w:line="360" w:lineRule="auto"/>
        <w:ind w:right="49"/>
        <w:jc w:val="both"/>
        <w:rPr>
          <w:rFonts w:ascii="Palatino Linotype" w:eastAsia="Palatino Linotype" w:hAnsi="Palatino Linotype" w:cs="Palatino Linotype"/>
          <w:color w:val="000000"/>
        </w:rPr>
      </w:pPr>
    </w:p>
    <w:p w:rsidR="00C22335" w:rsidRPr="00681C2A" w:rsidRDefault="00492294">
      <w:pPr>
        <w:widowControl w:val="0"/>
        <w:spacing w:line="360" w:lineRule="auto"/>
        <w:ind w:left="567" w:right="616"/>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i/>
          <w:color w:val="000000"/>
        </w:rPr>
        <w:t>“</w:t>
      </w:r>
      <w:r w:rsidRPr="00681C2A">
        <w:rPr>
          <w:rFonts w:ascii="Palatino Linotype" w:eastAsia="Palatino Linotype" w:hAnsi="Palatino Linotype" w:cs="Palatino Linotype"/>
          <w:b/>
          <w:i/>
          <w:color w:val="000000"/>
        </w:rPr>
        <w:t>I.</w:t>
      </w:r>
      <w:r w:rsidRPr="00681C2A">
        <w:rPr>
          <w:rFonts w:ascii="Palatino Linotype" w:eastAsia="Palatino Linotype" w:hAnsi="Palatino Linotype" w:cs="Palatino Linotype"/>
          <w:i/>
          <w:color w:val="000000"/>
        </w:rPr>
        <w:t xml:space="preserve"> Se refiera a la información privada y los datos personales concernientes a una persona física o jurídico colectiva identificada o identificable; </w:t>
      </w:r>
    </w:p>
    <w:p w:rsidR="00C22335" w:rsidRPr="00681C2A" w:rsidRDefault="00492294">
      <w:pPr>
        <w:widowControl w:val="0"/>
        <w:spacing w:line="360" w:lineRule="auto"/>
        <w:ind w:left="567" w:right="616"/>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b/>
          <w:i/>
          <w:color w:val="000000"/>
        </w:rPr>
        <w:t>II.</w:t>
      </w:r>
      <w:r w:rsidRPr="00681C2A">
        <w:rPr>
          <w:rFonts w:ascii="Palatino Linotype" w:eastAsia="Palatino Linotype" w:hAnsi="Palatino Linotype" w:cs="Palatino Linotype"/>
          <w:i/>
          <w:color w:val="000000"/>
        </w:rPr>
        <w:t xml:space="preserve"> Los secretos bancario, fiduciario, industrial, comercial, fiscal, bursátil y postal, cuya titularidad cor</w:t>
      </w:r>
      <w:r w:rsidRPr="00681C2A">
        <w:rPr>
          <w:rFonts w:ascii="Palatino Linotype" w:eastAsia="Palatino Linotype" w:hAnsi="Palatino Linotype" w:cs="Palatino Linotype"/>
          <w:i/>
          <w:color w:val="000000"/>
        </w:rPr>
        <w:t xml:space="preserve">responda a particulares, sujetos de derecho internacional o a sujetos obligados cuando no involucren el ejercicio de recursos públicos; y </w:t>
      </w:r>
    </w:p>
    <w:p w:rsidR="00C22335" w:rsidRPr="00681C2A" w:rsidRDefault="00492294">
      <w:pPr>
        <w:widowControl w:val="0"/>
        <w:spacing w:line="360" w:lineRule="auto"/>
        <w:ind w:left="567" w:right="616"/>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b/>
          <w:i/>
          <w:color w:val="000000"/>
        </w:rPr>
        <w:t>III.</w:t>
      </w:r>
      <w:r w:rsidRPr="00681C2A">
        <w:rPr>
          <w:rFonts w:ascii="Palatino Linotype" w:eastAsia="Palatino Linotype" w:hAnsi="Palatino Linotype" w:cs="Palatino Linotype"/>
          <w:i/>
          <w:color w:val="000000"/>
        </w:rPr>
        <w:t xml:space="preserve"> La que presenten los particulares a los sujetos obligados, de conformidad con lo dispuesto por las leyes o los t</w:t>
      </w:r>
      <w:r w:rsidRPr="00681C2A">
        <w:rPr>
          <w:rFonts w:ascii="Palatino Linotype" w:eastAsia="Palatino Linotype" w:hAnsi="Palatino Linotype" w:cs="Palatino Linotype"/>
          <w:i/>
          <w:color w:val="000000"/>
        </w:rPr>
        <w:t xml:space="preserve">ratados internacionales. </w:t>
      </w:r>
    </w:p>
    <w:p w:rsidR="00C22335" w:rsidRPr="00681C2A" w:rsidRDefault="00492294">
      <w:pPr>
        <w:widowControl w:val="0"/>
        <w:spacing w:line="360" w:lineRule="auto"/>
        <w:ind w:left="567" w:right="616"/>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i/>
          <w:color w:val="000000"/>
        </w:rPr>
        <w:t xml:space="preserve">La información confidencial no estará sujeta a temporalidad alguna y sólo podrán tener acceso a ella los titulares de la misma, sus representantes y los servidores públicos facultados para ello. </w:t>
      </w:r>
    </w:p>
    <w:p w:rsidR="00C22335" w:rsidRPr="00681C2A" w:rsidRDefault="00492294">
      <w:pPr>
        <w:widowControl w:val="0"/>
        <w:spacing w:line="360" w:lineRule="auto"/>
        <w:ind w:left="567" w:right="616"/>
        <w:jc w:val="both"/>
        <w:rPr>
          <w:rFonts w:ascii="Palatino Linotype" w:eastAsia="Palatino Linotype" w:hAnsi="Palatino Linotype" w:cs="Palatino Linotype"/>
          <w:i/>
          <w:color w:val="000000"/>
        </w:rPr>
      </w:pPr>
      <w:r w:rsidRPr="00681C2A">
        <w:rPr>
          <w:rFonts w:ascii="Palatino Linotype" w:eastAsia="Palatino Linotype" w:hAnsi="Palatino Linotype" w:cs="Palatino Linotype"/>
          <w:i/>
          <w:color w:val="000000"/>
        </w:rPr>
        <w:t xml:space="preserve">No se considerará confidencial la </w:t>
      </w:r>
      <w:r w:rsidRPr="00681C2A">
        <w:rPr>
          <w:rFonts w:ascii="Palatino Linotype" w:eastAsia="Palatino Linotype" w:hAnsi="Palatino Linotype" w:cs="Palatino Linotype"/>
          <w:i/>
          <w:color w:val="000000"/>
        </w:rPr>
        <w:t>información que se encuentre en los registros públicos o en fuentes de acceso público, ni tampoco la que sea considerada por la presente ley como información pública.”</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Mientras que los artículos 130 y 105 de la Ley Estatal y de la Ley General, respectivam</w:t>
      </w:r>
      <w:r w:rsidRPr="00681C2A">
        <w:rPr>
          <w:rFonts w:ascii="Palatino Linotype" w:eastAsia="Palatino Linotype" w:hAnsi="Palatino Linotype" w:cs="Palatino Linotype"/>
          <w:color w:val="000000"/>
        </w:rPr>
        <w:t xml:space="preserve">ente, señalan que la aplicación de estos supuestos debe de realizarse de manera restrictiva y limitada, por lo que debe acreditarse que se cumple con esta </w:t>
      </w:r>
      <w:r w:rsidRPr="00681C2A">
        <w:rPr>
          <w:rFonts w:ascii="Palatino Linotype" w:eastAsia="Palatino Linotype" w:hAnsi="Palatino Linotype" w:cs="Palatino Linotype"/>
          <w:color w:val="000000"/>
        </w:rPr>
        <w:lastRenderedPageBreak/>
        <w:t>condición y no se pueden ampliar las excepciones o supuestos de clasificación aduciendo analogía o ma</w:t>
      </w:r>
      <w:r w:rsidRPr="00681C2A">
        <w:rPr>
          <w:rFonts w:ascii="Palatino Linotype" w:eastAsia="Palatino Linotype" w:hAnsi="Palatino Linotype" w:cs="Palatino Linotype"/>
          <w:color w:val="000000"/>
        </w:rPr>
        <w:t>yoría de razón.</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 xml:space="preserve">Como consecuencia de lo anterior, el </w:t>
      </w:r>
      <w:r w:rsidRPr="00681C2A">
        <w:rPr>
          <w:rFonts w:ascii="Palatino Linotype" w:eastAsia="Palatino Linotype" w:hAnsi="Palatino Linotype" w:cs="Palatino Linotype"/>
          <w:b/>
          <w:color w:val="000000"/>
        </w:rPr>
        <w:t>SUJETO OBLIGADO</w:t>
      </w:r>
      <w:r w:rsidRPr="00681C2A">
        <w:rPr>
          <w:rFonts w:ascii="Palatino Linotype" w:eastAsia="Palatino Linotype" w:hAnsi="Palatino Linotype" w:cs="Palatino Linotype"/>
          <w:color w:val="000000"/>
        </w:rPr>
        <w:t xml:space="preserve"> debe identificar claramente el tipo de información y hacer un juicio de subsunción o encaje</w:t>
      </w:r>
      <w:r w:rsidRPr="00681C2A">
        <w:rPr>
          <w:rFonts w:ascii="Palatino Linotype" w:eastAsia="Palatino Linotype" w:hAnsi="Palatino Linotype" w:cs="Palatino Linotype"/>
          <w:vertAlign w:val="superscript"/>
        </w:rPr>
        <w:footnoteReference w:id="9"/>
      </w:r>
      <w:r w:rsidRPr="00681C2A">
        <w:rPr>
          <w:rFonts w:ascii="Palatino Linotype" w:eastAsia="Palatino Linotype" w:hAnsi="Palatino Linotype" w:cs="Palatino Linotype"/>
          <w:color w:val="000000"/>
        </w:rPr>
        <w:t xml:space="preserve"> para acreditar que el supuesto de hecho corresponde estrictamente con la hipótesis jurídica. Esto también lo debe de realizar el servidor público habilitado y el titular del área que administra la información.</w:t>
      </w: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Una vez hecho lo anterior, se remite la infor</w:t>
      </w:r>
      <w:r w:rsidRPr="00681C2A">
        <w:rPr>
          <w:rFonts w:ascii="Palatino Linotype" w:eastAsia="Palatino Linotype" w:hAnsi="Palatino Linotype" w:cs="Palatino Linotype"/>
          <w:color w:val="000000"/>
        </w:rPr>
        <w:t>mación al Titular de la Unidad de Transparencia, con el acuerdo de clasificación correspondiente, para que sea sometido al conocimiento del Comité de Transparencia.</w:t>
      </w:r>
    </w:p>
    <w:p w:rsidR="00C22335" w:rsidRPr="00681C2A" w:rsidRDefault="00C22335">
      <w:pPr>
        <w:spacing w:line="360" w:lineRule="auto"/>
        <w:jc w:val="both"/>
        <w:rPr>
          <w:rFonts w:ascii="Palatino Linotype" w:eastAsia="Palatino Linotype" w:hAnsi="Palatino Linotype" w:cs="Palatino Linotype"/>
          <w:b/>
          <w:color w:val="000000"/>
        </w:rPr>
      </w:pPr>
    </w:p>
    <w:p w:rsidR="00C22335" w:rsidRPr="00681C2A" w:rsidRDefault="00492294">
      <w:pPr>
        <w:keepNext/>
        <w:keepLines/>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15" w:name="_heading=h.35nkun2" w:colFirst="0" w:colLast="0"/>
      <w:bookmarkEnd w:id="15"/>
      <w:r w:rsidRPr="00681C2A">
        <w:rPr>
          <w:rFonts w:ascii="Palatino Linotype" w:eastAsia="Palatino Linotype" w:hAnsi="Palatino Linotype" w:cs="Palatino Linotype"/>
          <w:b/>
          <w:color w:val="000000"/>
        </w:rPr>
        <w:t>c) Excepciones a los supuestos de clasificación de la información como reservada.</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En todo</w:t>
      </w:r>
      <w:r w:rsidRPr="00681C2A">
        <w:rPr>
          <w:rFonts w:ascii="Palatino Linotype" w:eastAsia="Palatino Linotype" w:hAnsi="Palatino Linotype" w:cs="Palatino Linotype"/>
          <w:color w:val="000000"/>
        </w:rPr>
        <w:t xml:space="preserve">s aquellos casos en los que se pretende adoptar una clasificación de la información como reservada, hay que considerar lo señalado por los artículos 5, 140 </w:t>
      </w:r>
      <w:r w:rsidRPr="00681C2A">
        <w:rPr>
          <w:rFonts w:ascii="Palatino Linotype" w:eastAsia="Palatino Linotype" w:hAnsi="Palatino Linotype" w:cs="Palatino Linotype"/>
          <w:color w:val="000000"/>
        </w:rPr>
        <w:lastRenderedPageBreak/>
        <w:t xml:space="preserve">y 142 de la Ley Estatal y 5, 113 fracción III y 115 de la Ley General, que establecen </w:t>
      </w:r>
      <w:r w:rsidRPr="00681C2A">
        <w:rPr>
          <w:rFonts w:ascii="Palatino Linotype" w:eastAsia="Palatino Linotype" w:hAnsi="Palatino Linotype" w:cs="Palatino Linotype"/>
          <w:b/>
          <w:color w:val="000000"/>
        </w:rPr>
        <w:t>qué no puede c</w:t>
      </w:r>
      <w:r w:rsidRPr="00681C2A">
        <w:rPr>
          <w:rFonts w:ascii="Palatino Linotype" w:eastAsia="Palatino Linotype" w:hAnsi="Palatino Linotype" w:cs="Palatino Linotype"/>
          <w:b/>
          <w:color w:val="000000"/>
        </w:rPr>
        <w:t>lasificarse como información reservada:</w:t>
      </w:r>
    </w:p>
    <w:p w:rsidR="00C22335" w:rsidRPr="00681C2A" w:rsidRDefault="00C22335">
      <w:pPr>
        <w:spacing w:line="360" w:lineRule="auto"/>
        <w:ind w:right="49"/>
        <w:jc w:val="both"/>
        <w:rPr>
          <w:rFonts w:ascii="Palatino Linotype" w:eastAsia="Palatino Linotype" w:hAnsi="Palatino Linotype" w:cs="Palatino Linotype"/>
          <w:b/>
          <w:color w:val="000000"/>
        </w:rPr>
      </w:pPr>
    </w:p>
    <w:p w:rsidR="00C22335" w:rsidRPr="00681C2A" w:rsidRDefault="00492294">
      <w:pPr>
        <w:spacing w:line="360" w:lineRule="auto"/>
        <w:ind w:left="567" w:right="567"/>
        <w:jc w:val="both"/>
        <w:rPr>
          <w:rFonts w:ascii="Palatino Linotype" w:eastAsia="Palatino Linotype" w:hAnsi="Palatino Linotype" w:cs="Palatino Linotype"/>
          <w:b/>
          <w:i/>
          <w:color w:val="000000"/>
        </w:rPr>
      </w:pPr>
      <w:r w:rsidRPr="00681C2A">
        <w:rPr>
          <w:rFonts w:ascii="Palatino Linotype" w:eastAsia="Palatino Linotype" w:hAnsi="Palatino Linotype" w:cs="Palatino Linotype"/>
          <w:color w:val="000000"/>
        </w:rPr>
        <w:t>“</w:t>
      </w:r>
      <w:r w:rsidRPr="00681C2A">
        <w:rPr>
          <w:rFonts w:ascii="Palatino Linotype" w:eastAsia="Palatino Linotype" w:hAnsi="Palatino Linotype" w:cs="Palatino Linotype"/>
          <w:b/>
          <w:i/>
          <w:color w:val="000000"/>
        </w:rPr>
        <w:t>I. Se trate de violaciones graves de derechos humanos, calificada así por autoridad competente;</w:t>
      </w:r>
    </w:p>
    <w:p w:rsidR="00C22335" w:rsidRPr="00681C2A" w:rsidRDefault="00492294">
      <w:pPr>
        <w:spacing w:line="360" w:lineRule="auto"/>
        <w:ind w:left="567" w:right="567"/>
        <w:jc w:val="both"/>
        <w:rPr>
          <w:rFonts w:ascii="Palatino Linotype" w:eastAsia="Palatino Linotype" w:hAnsi="Palatino Linotype" w:cs="Palatino Linotype"/>
          <w:b/>
          <w:i/>
          <w:color w:val="000000"/>
        </w:rPr>
      </w:pPr>
      <w:r w:rsidRPr="00681C2A">
        <w:rPr>
          <w:rFonts w:ascii="Palatino Linotype" w:eastAsia="Palatino Linotype" w:hAnsi="Palatino Linotype" w:cs="Palatino Linotype"/>
          <w:b/>
          <w:i/>
          <w:color w:val="000000"/>
        </w:rPr>
        <w:t>II. Se trate de la investigación de posibles violaciones graves de derechos humanos aun cuando no exista pronunciamien</w:t>
      </w:r>
      <w:r w:rsidRPr="00681C2A">
        <w:rPr>
          <w:rFonts w:ascii="Palatino Linotype" w:eastAsia="Palatino Linotype" w:hAnsi="Palatino Linotype" w:cs="Palatino Linotype"/>
          <w:b/>
          <w:i/>
          <w:color w:val="000000"/>
        </w:rPr>
        <w:t>to previo de autoridad competente, cuando se determine, a partir de criterios cuantitativos y cualitativos la trascendencia social de las violaciones;</w:t>
      </w:r>
    </w:p>
    <w:p w:rsidR="00C22335" w:rsidRPr="00681C2A" w:rsidRDefault="00492294">
      <w:pPr>
        <w:spacing w:line="360" w:lineRule="auto"/>
        <w:ind w:left="567" w:right="567"/>
        <w:jc w:val="both"/>
        <w:rPr>
          <w:rFonts w:ascii="Palatino Linotype" w:eastAsia="Palatino Linotype" w:hAnsi="Palatino Linotype" w:cs="Palatino Linotype"/>
          <w:b/>
          <w:i/>
          <w:color w:val="000000"/>
        </w:rPr>
      </w:pPr>
      <w:r w:rsidRPr="00681C2A">
        <w:rPr>
          <w:rFonts w:ascii="Palatino Linotype" w:eastAsia="Palatino Linotype" w:hAnsi="Palatino Linotype" w:cs="Palatino Linotype"/>
          <w:b/>
          <w:i/>
          <w:color w:val="000000"/>
        </w:rPr>
        <w:t>III. Se trate de delitos de lesa humanidad conforme a los tratados ratificados por el Senado de la Repúbl</w:t>
      </w:r>
      <w:r w:rsidRPr="00681C2A">
        <w:rPr>
          <w:rFonts w:ascii="Palatino Linotype" w:eastAsia="Palatino Linotype" w:hAnsi="Palatino Linotype" w:cs="Palatino Linotype"/>
          <w:b/>
          <w:i/>
          <w:color w:val="000000"/>
        </w:rPr>
        <w:t>ica, las resoluciones emitidas por organismos internacionales cuya competencia sea reconocida por el Estado Mexicano, así como en las disposiciones jurídicas aplicables; y</w:t>
      </w:r>
    </w:p>
    <w:p w:rsidR="00C22335" w:rsidRPr="00681C2A" w:rsidRDefault="00492294">
      <w:pPr>
        <w:spacing w:line="360" w:lineRule="auto"/>
        <w:ind w:left="567" w:right="567"/>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b/>
          <w:i/>
          <w:color w:val="000000"/>
        </w:rPr>
        <w:t>IV. Se trate de información relacionada con actos de corrupción de conformidad con l</w:t>
      </w:r>
      <w:r w:rsidRPr="00681C2A">
        <w:rPr>
          <w:rFonts w:ascii="Palatino Linotype" w:eastAsia="Palatino Linotype" w:hAnsi="Palatino Linotype" w:cs="Palatino Linotype"/>
          <w:b/>
          <w:i/>
          <w:color w:val="000000"/>
        </w:rPr>
        <w:t>as disposiciones jurídicas aplicables.</w:t>
      </w:r>
      <w:r w:rsidRPr="00681C2A">
        <w:rPr>
          <w:rFonts w:ascii="Palatino Linotype" w:eastAsia="Palatino Linotype" w:hAnsi="Palatino Linotype" w:cs="Palatino Linotype"/>
          <w:color w:val="000000"/>
        </w:rPr>
        <w:t>”</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w:t>
      </w:r>
      <w:r w:rsidRPr="00681C2A">
        <w:rPr>
          <w:rFonts w:ascii="Palatino Linotype" w:eastAsia="Palatino Linotype" w:hAnsi="Palatino Linotype" w:cs="Palatino Linotype"/>
          <w:color w:val="000000"/>
        </w:rPr>
        <w:t>derivado que este tipo de casos, deberá de ser del escrutinio público, lo cual ayudará a tener un país informado, que posibilita la población cuestione, indague y verifique los actos de autoridad.</w:t>
      </w:r>
    </w:p>
    <w:p w:rsidR="00C22335" w:rsidRPr="00681C2A" w:rsidRDefault="00C22335">
      <w:pPr>
        <w:spacing w:line="360" w:lineRule="auto"/>
        <w:jc w:val="both"/>
        <w:rPr>
          <w:rFonts w:ascii="Palatino Linotype" w:eastAsia="Palatino Linotype" w:hAnsi="Palatino Linotype" w:cs="Palatino Linotype"/>
          <w:color w:val="000000"/>
        </w:rPr>
      </w:pPr>
    </w:p>
    <w:p w:rsidR="00C22335" w:rsidRPr="00681C2A" w:rsidRDefault="00492294">
      <w:pPr>
        <w:keepNext/>
        <w:keepLines/>
        <w:pBdr>
          <w:top w:val="nil"/>
          <w:left w:val="nil"/>
          <w:bottom w:val="nil"/>
          <w:right w:val="nil"/>
          <w:between w:val="nil"/>
        </w:pBdr>
        <w:spacing w:line="360" w:lineRule="auto"/>
        <w:rPr>
          <w:rFonts w:ascii="Palatino Linotype" w:eastAsia="Palatino Linotype" w:hAnsi="Palatino Linotype" w:cs="Palatino Linotype"/>
          <w:b/>
          <w:color w:val="000000"/>
        </w:rPr>
      </w:pPr>
      <w:bookmarkStart w:id="16" w:name="_heading=h.1ksv4uv" w:colFirst="0" w:colLast="0"/>
      <w:bookmarkEnd w:id="16"/>
      <w:r w:rsidRPr="00681C2A">
        <w:rPr>
          <w:rFonts w:ascii="Palatino Linotype" w:eastAsia="Palatino Linotype" w:hAnsi="Palatino Linotype" w:cs="Palatino Linotype"/>
          <w:b/>
          <w:color w:val="000000"/>
        </w:rPr>
        <w:lastRenderedPageBreak/>
        <w:t>II. La intervención del Comité de Transparencia.</w:t>
      </w:r>
    </w:p>
    <w:p w:rsidR="00C22335" w:rsidRPr="00681C2A" w:rsidRDefault="00C22335">
      <w:pPr>
        <w:spacing w:line="360" w:lineRule="auto"/>
        <w:jc w:val="both"/>
        <w:rPr>
          <w:rFonts w:ascii="Palatino Linotype" w:eastAsia="Palatino Linotype" w:hAnsi="Palatino Linotype" w:cs="Palatino Linotype"/>
          <w:b/>
          <w:color w:val="000000"/>
        </w:rPr>
      </w:pPr>
    </w:p>
    <w:p w:rsidR="00C22335" w:rsidRPr="00681C2A" w:rsidRDefault="00492294">
      <w:pPr>
        <w:keepNext/>
        <w:keepLines/>
        <w:pBdr>
          <w:top w:val="nil"/>
          <w:left w:val="nil"/>
          <w:bottom w:val="nil"/>
          <w:right w:val="nil"/>
          <w:between w:val="nil"/>
        </w:pBdr>
        <w:spacing w:line="360" w:lineRule="auto"/>
        <w:rPr>
          <w:rFonts w:ascii="Palatino Linotype" w:eastAsia="Palatino Linotype" w:hAnsi="Palatino Linotype" w:cs="Palatino Linotype"/>
          <w:b/>
          <w:color w:val="000000"/>
        </w:rPr>
      </w:pPr>
      <w:bookmarkStart w:id="17" w:name="_heading=h.44sinio" w:colFirst="0" w:colLast="0"/>
      <w:bookmarkEnd w:id="17"/>
      <w:r w:rsidRPr="00681C2A">
        <w:rPr>
          <w:rFonts w:ascii="Palatino Linotype" w:eastAsia="Palatino Linotype" w:hAnsi="Palatino Linotype" w:cs="Palatino Linotype"/>
          <w:b/>
          <w:color w:val="000000"/>
        </w:rPr>
        <w:t>a) Formalidades para emitir el acuerdo de clasificación.</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 xml:space="preserve">El Comité de Transparencia, según lo dispuesto en los artículos 128 y 103 de la Ley Estatal y de la Ley General, respectivamente, y la fracción III del numeral Segundo de los Lineamientos Generales </w:t>
      </w:r>
      <w:r w:rsidRPr="00681C2A">
        <w:rPr>
          <w:rFonts w:ascii="Palatino Linotype" w:eastAsia="Palatino Linotype" w:hAnsi="Palatino Linotype" w:cs="Palatino Linotype"/>
          <w:color w:val="000000"/>
        </w:rPr>
        <w:t xml:space="preserve">en Materia de Clasificación y Desclasificación de la Información, así como para la Elaboración de Versiones Públicas (en adelante los Lineamientos Generales), cuenta con las facultades para confirmar, modificar o revocar la clasificación de la información </w:t>
      </w:r>
      <w:r w:rsidRPr="00681C2A">
        <w:rPr>
          <w:rFonts w:ascii="Palatino Linotype" w:eastAsia="Palatino Linotype" w:hAnsi="Palatino Linotype" w:cs="Palatino Linotype"/>
          <w:color w:val="000000"/>
        </w:rPr>
        <w:t>que ha hecho el titular del área que administra la información. Por lo tanto, el Comité no aprueba la clasificación, sino que revisa lo que ha hecho el titular del área y confirma, modifica o revoca la decisión a través de un acuerdo.</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 xml:space="preserve">Evidentemente, esta </w:t>
      </w:r>
      <w:r w:rsidRPr="00681C2A">
        <w:rPr>
          <w:rFonts w:ascii="Palatino Linotype" w:eastAsia="Palatino Linotype" w:hAnsi="Palatino Linotype" w:cs="Palatino Linotype"/>
          <w:color w:val="000000"/>
        </w:rPr>
        <w:t>decisión implica una restricción a un derecho humano, por lo tanto, puede generar un agravio al particular y, en consecuencia, es necesario que el acto reúna con los requisitos elementales, entre ellos, que la autoridad que va a emitir el acto de autoridad</w:t>
      </w:r>
      <w:r w:rsidRPr="00681C2A">
        <w:rPr>
          <w:rFonts w:ascii="Palatino Linotype" w:eastAsia="Palatino Linotype" w:hAnsi="Palatino Linotype" w:cs="Palatino Linotype"/>
          <w:color w:val="000000"/>
        </w:rPr>
        <w:t xml:space="preserve"> sea la legalmente facultada para ello, es decir, que cumpla con el principio de reserva de ley,  por lo que no está demás señalar que el artículo 45 de la Ley Estatal, claramente señala que el Comité de Transparencia, legalmente facultado para emitir el a</w:t>
      </w:r>
      <w:r w:rsidRPr="00681C2A">
        <w:rPr>
          <w:rFonts w:ascii="Palatino Linotype" w:eastAsia="Palatino Linotype" w:hAnsi="Palatino Linotype" w:cs="Palatino Linotype"/>
          <w:color w:val="000000"/>
        </w:rPr>
        <w:t>cuerdo de clasificación, se integra por el Titular de la Unidad de Transparencia, el responsable del área coordinadora de archivos y el titular del órgano interno de control, integrado siempre por un número impar y que no debe de existir dependencia jerárq</w:t>
      </w:r>
      <w:r w:rsidRPr="00681C2A">
        <w:rPr>
          <w:rFonts w:ascii="Palatino Linotype" w:eastAsia="Palatino Linotype" w:hAnsi="Palatino Linotype" w:cs="Palatino Linotype"/>
          <w:color w:val="000000"/>
        </w:rPr>
        <w:t xml:space="preserve">uica entre sus integrantes. Cualquier otra composición del </w:t>
      </w:r>
      <w:r w:rsidRPr="00681C2A">
        <w:rPr>
          <w:rFonts w:ascii="Palatino Linotype" w:eastAsia="Palatino Linotype" w:hAnsi="Palatino Linotype" w:cs="Palatino Linotype"/>
          <w:color w:val="000000"/>
        </w:rPr>
        <w:lastRenderedPageBreak/>
        <w:t>Comité puede generar vicios de legalidad de origen en el acto que restringe un derecho humano.</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La decisión de confirmar, modificar o revocar la clasificación deberá de asentarse en un documento qu</w:t>
      </w:r>
      <w:r w:rsidRPr="00681C2A">
        <w:rPr>
          <w:rFonts w:ascii="Palatino Linotype" w:eastAsia="Palatino Linotype" w:hAnsi="Palatino Linotype" w:cs="Palatino Linotype"/>
          <w:color w:val="000000"/>
        </w:rPr>
        <w:t>e registre la determinación a la que se llegue después de un análisis minucioso a partir de lo aprobado por el Titular del área que administra la información, cuyo análisis debe integrarse en la agenda de los asuntos a tratar en las sesiones, se insiste, a</w:t>
      </w:r>
      <w:r w:rsidRPr="00681C2A">
        <w:rPr>
          <w:rFonts w:ascii="Palatino Linotype" w:eastAsia="Palatino Linotype" w:hAnsi="Palatino Linotype" w:cs="Palatino Linotype"/>
          <w:color w:val="000000"/>
        </w:rPr>
        <w:t xml:space="preserve"> partir de las decisiones adoptadas previamente por los titulares de áreas y que son sujetas a control, en primera instancia, por el Comité de Transparencia.</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keepNext/>
        <w:keepLines/>
        <w:pBdr>
          <w:top w:val="nil"/>
          <w:left w:val="nil"/>
          <w:bottom w:val="nil"/>
          <w:right w:val="nil"/>
          <w:between w:val="nil"/>
        </w:pBdr>
        <w:spacing w:line="360" w:lineRule="auto"/>
        <w:rPr>
          <w:rFonts w:ascii="Palatino Linotype" w:eastAsia="Palatino Linotype" w:hAnsi="Palatino Linotype" w:cs="Palatino Linotype"/>
          <w:b/>
          <w:color w:val="000000"/>
        </w:rPr>
      </w:pPr>
      <w:bookmarkStart w:id="18" w:name="_heading=h.2jxsxqh" w:colFirst="0" w:colLast="0"/>
      <w:bookmarkEnd w:id="18"/>
      <w:r w:rsidRPr="00681C2A">
        <w:rPr>
          <w:rFonts w:ascii="Palatino Linotype" w:eastAsia="Palatino Linotype" w:hAnsi="Palatino Linotype" w:cs="Palatino Linotype"/>
          <w:b/>
          <w:color w:val="000000"/>
        </w:rPr>
        <w:t>b) Requisitos de fondo del acuerdo de clasificación.</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Como se ha señalado antes, al hacer el juic</w:t>
      </w:r>
      <w:r w:rsidRPr="00681C2A">
        <w:rPr>
          <w:rFonts w:ascii="Palatino Linotype" w:eastAsia="Palatino Linotype" w:hAnsi="Palatino Linotype" w:cs="Palatino Linotype"/>
          <w:color w:val="000000"/>
        </w:rPr>
        <w:t>io de subsunción o encaje entre el supuesto de hecho y la hipótesis jurídica, se debe acreditar la estricta correspondencia entre un elemento y otro. Ahora, en esta parte del procedimiento, que se desahoga en sede del Comité de Transparencia, la ley nos ap</w:t>
      </w:r>
      <w:r w:rsidRPr="00681C2A">
        <w:rPr>
          <w:rFonts w:ascii="Palatino Linotype" w:eastAsia="Palatino Linotype" w:hAnsi="Palatino Linotype" w:cs="Palatino Linotype"/>
          <w:color w:val="000000"/>
        </w:rPr>
        <w:t>orta mayores luces para cumplir con dicha acreditación. En los artículos 131 y 105, segundo párrafo, de la Ley Estatal y de la Ley General respectivamente, y el lineamiento sexagésimo segundo de los Lineamientos Generales,  al señalar que la carga de la pr</w:t>
      </w:r>
      <w:r w:rsidRPr="00681C2A">
        <w:rPr>
          <w:rFonts w:ascii="Palatino Linotype" w:eastAsia="Palatino Linotype" w:hAnsi="Palatino Linotype" w:cs="Palatino Linotype"/>
          <w:color w:val="000000"/>
        </w:rPr>
        <w:t xml:space="preserve">ueba, para justificar las restricciones, corresponde a los Sujetos Obligados, por lo que deberán fundar y motivar debidamente la clasificación. </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lastRenderedPageBreak/>
        <w:t>De lo anterior, se desprende que para una correcta clasificación total o parcial, esto es, determinar los dato</w:t>
      </w:r>
      <w:r w:rsidRPr="00681C2A">
        <w:rPr>
          <w:rFonts w:ascii="Palatino Linotype" w:eastAsia="Palatino Linotype" w:hAnsi="Palatino Linotype" w:cs="Palatino Linotype"/>
          <w:color w:val="000000"/>
        </w:rPr>
        <w:t>s que se suprimen en las versiones públicas, es necesario fundar y motivar, de manera correcta, la clasificación; considerando que todo acto que la autoridad pronuncie en el ejercicio de sus atribuciones, debe expresar los fundamentos legales que le dieron</w:t>
      </w:r>
      <w:r w:rsidRPr="00681C2A">
        <w:rPr>
          <w:rFonts w:ascii="Palatino Linotype" w:eastAsia="Palatino Linotype" w:hAnsi="Palatino Linotype" w:cs="Palatino Linotype"/>
          <w:color w:val="000000"/>
        </w:rPr>
        <w:t xml:space="preserve"> origen y las razones por las que se deben aplicar al caso concreto.</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Han sido vastos los estudios doctrinarios relativos a estos derechos fundamentales y al principio de legalidad en ellos contenidos; como ejemplo, el procesalista José Ovalle Fabela, en s</w:t>
      </w:r>
      <w:r w:rsidRPr="00681C2A">
        <w:rPr>
          <w:rFonts w:ascii="Palatino Linotype" w:eastAsia="Palatino Linotype" w:hAnsi="Palatino Linotype" w:cs="Palatino Linotype"/>
          <w:color w:val="000000"/>
        </w:rPr>
        <w:t>u obra “Garantías Constitucionales del Proceso”, refiere que “...</w:t>
      </w:r>
      <w:r w:rsidRPr="00681C2A">
        <w:rPr>
          <w:rFonts w:ascii="Palatino Linotype" w:eastAsia="Palatino Linotype" w:hAnsi="Palatino Linotype" w:cs="Palatino Linotype"/>
          <w:i/>
          <w:color w:val="000000"/>
        </w:rPr>
        <w:t>la garantía de fundamentación impone a las autoridades el deber de precisar las disposiciones jurídicas que aplican a los hechos de que se trate y que sustenten su competencia, así como de ma</w:t>
      </w:r>
      <w:r w:rsidRPr="00681C2A">
        <w:rPr>
          <w:rFonts w:ascii="Palatino Linotype" w:eastAsia="Palatino Linotype" w:hAnsi="Palatino Linotype" w:cs="Palatino Linotype"/>
          <w:i/>
          <w:color w:val="000000"/>
        </w:rPr>
        <w:t>nifestar los razonamientos que demuestren la aplicabilidad de dichas disposiciones, todo lo cual se debe traducir en una argumentación o juicio de derecho. Pero de igual manera, la garantía de motivación exige que las autoridades expongan los razonamientos</w:t>
      </w:r>
      <w:r w:rsidRPr="00681C2A">
        <w:rPr>
          <w:rFonts w:ascii="Palatino Linotype" w:eastAsia="Palatino Linotype" w:hAnsi="Palatino Linotype" w:cs="Palatino Linotype"/>
          <w:i/>
          <w:color w:val="000000"/>
        </w:rPr>
        <w:t xml:space="preserve"> con base en los cuales llegaron a la conclusión de que esos hechos son ciertos, normalmente a partir del análisis de las pruebas, lo cual se debe exteriorizar en una argumentación o juicio de hecho</w:t>
      </w:r>
      <w:r w:rsidRPr="00681C2A">
        <w:rPr>
          <w:rFonts w:ascii="Palatino Linotype" w:eastAsia="Palatino Linotype" w:hAnsi="Palatino Linotype" w:cs="Palatino Linotype"/>
          <w:color w:val="000000"/>
        </w:rPr>
        <w:t>...”.</w:t>
      </w:r>
      <w:r w:rsidRPr="00681C2A">
        <w:rPr>
          <w:rFonts w:ascii="Palatino Linotype" w:eastAsia="Palatino Linotype" w:hAnsi="Palatino Linotype" w:cs="Palatino Linotype"/>
          <w:vertAlign w:val="superscript"/>
        </w:rPr>
        <w:footnoteReference w:id="10"/>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lastRenderedPageBreak/>
        <w:t>Por su parte, el intérprete judicial del país ha establecido una jurisprudencia respecto a qué debe entenderse por fundamentación y motivación, en los siguientes términos</w:t>
      </w:r>
      <w:r w:rsidRPr="00681C2A">
        <w:rPr>
          <w:rFonts w:ascii="Palatino Linotype" w:eastAsia="Palatino Linotype" w:hAnsi="Palatino Linotype" w:cs="Palatino Linotype"/>
          <w:i/>
          <w:vertAlign w:val="superscript"/>
        </w:rPr>
        <w:footnoteReference w:id="11"/>
      </w:r>
      <w:r w:rsidRPr="00681C2A">
        <w:rPr>
          <w:rFonts w:ascii="Palatino Linotype" w:eastAsia="Palatino Linotype" w:hAnsi="Palatino Linotype" w:cs="Palatino Linotype"/>
          <w:color w:val="000000"/>
        </w:rPr>
        <w:t>:</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pBdr>
          <w:top w:val="nil"/>
          <w:left w:val="nil"/>
          <w:bottom w:val="nil"/>
          <w:right w:val="nil"/>
          <w:between w:val="nil"/>
        </w:pBdr>
        <w:spacing w:line="360" w:lineRule="auto"/>
        <w:ind w:left="644" w:right="618"/>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b/>
          <w:i/>
          <w:color w:val="000000"/>
          <w:sz w:val="22"/>
          <w:szCs w:val="22"/>
        </w:rPr>
        <w:t>FUNDAMENTACIÓN Y MOTIVACIÓN.</w:t>
      </w:r>
      <w:r w:rsidRPr="00681C2A">
        <w:rPr>
          <w:rFonts w:ascii="Palatino Linotype" w:eastAsia="Palatino Linotype" w:hAnsi="Palatino Linotype" w:cs="Palatino Linotype"/>
          <w:i/>
          <w:color w:val="000000"/>
          <w:sz w:val="22"/>
          <w:szCs w:val="22"/>
        </w:rPr>
        <w:t xml:space="preserve"> “La </w:t>
      </w:r>
      <w:r w:rsidRPr="00681C2A">
        <w:rPr>
          <w:rFonts w:ascii="Palatino Linotype" w:eastAsia="Palatino Linotype" w:hAnsi="Palatino Linotype" w:cs="Palatino Linotype"/>
          <w:i/>
          <w:color w:val="000000"/>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w:t>
      </w:r>
      <w:r w:rsidRPr="00681C2A">
        <w:rPr>
          <w:rFonts w:ascii="Palatino Linotype" w:eastAsia="Palatino Linotype" w:hAnsi="Palatino Linotype" w:cs="Palatino Linotype"/>
          <w:i/>
          <w:color w:val="000000"/>
          <w:sz w:val="22"/>
          <w:szCs w:val="22"/>
          <w:u w:val="single"/>
        </w:rPr>
        <w:t>dra en el supuesto previsto por la norma legal invocada como fundamento</w:t>
      </w:r>
      <w:r w:rsidRPr="00681C2A">
        <w:rPr>
          <w:rFonts w:ascii="Palatino Linotype" w:eastAsia="Palatino Linotype" w:hAnsi="Palatino Linotype" w:cs="Palatino Linotype"/>
          <w:i/>
          <w:color w:val="000000"/>
          <w:sz w:val="22"/>
          <w:szCs w:val="22"/>
        </w:rPr>
        <w:t>.”</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w:t>
      </w:r>
      <w:r w:rsidRPr="00681C2A">
        <w:rPr>
          <w:rFonts w:ascii="Palatino Linotype" w:eastAsia="Palatino Linotype" w:hAnsi="Palatino Linotype" w:cs="Palatino Linotype"/>
          <w:color w:val="000000"/>
        </w:rPr>
        <w:t>, motivos o circunstancias que tomó en cuenta la autoridad para adecuar el hecho a los fundamentos de derecho.</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En consecuencia, la fundamentación y motivación implica que, en el acto de autoridad, además de contenerse los supuestos jurídicos aplicables se</w:t>
      </w:r>
      <w:r w:rsidRPr="00681C2A">
        <w:rPr>
          <w:rFonts w:ascii="Palatino Linotype" w:eastAsia="Palatino Linotype" w:hAnsi="Palatino Linotype" w:cs="Palatino Linotype"/>
          <w:color w:val="000000"/>
        </w:rPr>
        <w:t xml:space="preserve"> expliquen claramente por qué a través de la utilización de la norma se emitió el acto. De este modo, la persona que se sienta afectada pueda impugnar la decisión, permitiéndole una real y auténtica defensa.</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lastRenderedPageBreak/>
        <w:t xml:space="preserve">En ese mismo sentido, el lineamiento trigésimo </w:t>
      </w:r>
      <w:r w:rsidRPr="00681C2A">
        <w:rPr>
          <w:rFonts w:ascii="Palatino Linotype" w:eastAsia="Palatino Linotype" w:hAnsi="Palatino Linotype" w:cs="Palatino Linotype"/>
          <w:color w:val="000000"/>
        </w:rPr>
        <w:t>tercero fracción V de los Lineamientos Generales, precisa que para motivar la clasificación se deben acreditar las circunstancias de tiempo, modo y lugar.</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Ahora bien, para cada caso además de fundar y motivar, se debe identificar con claridad que datos co</w:t>
      </w:r>
      <w:r w:rsidRPr="00681C2A">
        <w:rPr>
          <w:rFonts w:ascii="Palatino Linotype" w:eastAsia="Palatino Linotype" w:hAnsi="Palatino Linotype" w:cs="Palatino Linotype"/>
          <w:color w:val="000000"/>
        </w:rPr>
        <w:t>ntenidos en las documentales que son susceptibles de suprimirse, por ejemplo, si una documental de naturaleza pública como lo es la nómina general, si bien el dato de sus remuneraciones es eminentemente público, no así todos los datos contenidos en dicho d</w:t>
      </w:r>
      <w:r w:rsidRPr="00681C2A">
        <w:rPr>
          <w:rFonts w:ascii="Palatino Linotype" w:eastAsia="Palatino Linotype" w:hAnsi="Palatino Linotype" w:cs="Palatino Linotype"/>
          <w:color w:val="000000"/>
        </w:rPr>
        <w:t>ocumento que son datos personales</w:t>
      </w:r>
      <w:r w:rsidRPr="00681C2A">
        <w:rPr>
          <w:rFonts w:ascii="Palatino Linotype" w:eastAsia="Palatino Linotype" w:hAnsi="Palatino Linotype" w:cs="Palatino Linotype"/>
          <w:vertAlign w:val="superscript"/>
        </w:rPr>
        <w:footnoteReference w:id="12"/>
      </w:r>
      <w:r w:rsidRPr="00681C2A">
        <w:rPr>
          <w:rFonts w:ascii="Palatino Linotype" w:eastAsia="Palatino Linotype" w:hAnsi="Palatino Linotype" w:cs="Palatino Linotype"/>
          <w:color w:val="000000"/>
        </w:rPr>
        <w:t xml:space="preserve"> del servidor público que no tienen ninguna injerencia en el tema de la transparencia y la rendición de cuentas,  por ejemplo, Clave Única de Registro de Población (CURP), Registro Federal de Contribuyentes (R.F.C.), clave</w:t>
      </w:r>
      <w:r w:rsidRPr="00681C2A">
        <w:rPr>
          <w:rFonts w:ascii="Palatino Linotype" w:eastAsia="Palatino Linotype" w:hAnsi="Palatino Linotype" w:cs="Palatino Linotype"/>
          <w:color w:val="000000"/>
        </w:rPr>
        <w:t xml:space="preserve"> de ISSEMYM, número de cuenta, deducciones (concepto y monto) de sindicato, mutualidad, ayuda por defunción, fondo de resistencia sindical, caja de ahorro, seguro de vida,  ausentismo, Cadenas Originales del Sellos Digitales y los Códigos Bidimensionales, </w:t>
      </w:r>
      <w:r w:rsidRPr="00681C2A">
        <w:rPr>
          <w:rFonts w:ascii="Palatino Linotype" w:eastAsia="Palatino Linotype" w:hAnsi="Palatino Linotype" w:cs="Palatino Linotype"/>
          <w:color w:val="000000"/>
        </w:rPr>
        <w:t xml:space="preserve">también denominados Códigos QR, estos son datos  susceptibles de clasificarse como confidenciales mediante una versión pública que deje a la vista los datos que ofrezcan la información requerida.  </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Otro tipo de información confidencial constituyen los sec</w:t>
      </w:r>
      <w:r w:rsidRPr="00681C2A">
        <w:rPr>
          <w:rFonts w:ascii="Palatino Linotype" w:eastAsia="Palatino Linotype" w:hAnsi="Palatino Linotype" w:cs="Palatino Linotype"/>
          <w:color w:val="000000"/>
        </w:rPr>
        <w:t xml:space="preserve">retos bancario, fiduciario, industrial, comercial, fiscal, bursátil y postal, cuya titularidad corresponda </w:t>
      </w:r>
      <w:r w:rsidRPr="00681C2A">
        <w:rPr>
          <w:rFonts w:ascii="Palatino Linotype" w:eastAsia="Palatino Linotype" w:hAnsi="Palatino Linotype" w:cs="Palatino Linotype"/>
          <w:color w:val="000000"/>
        </w:rPr>
        <w:lastRenderedPageBreak/>
        <w:t>a particulares, sujetos de derecho internacional o a Sujetos Obligados cuando no involucren el ejercicio de recursos públicos, así lo define la fracc</w:t>
      </w:r>
      <w:r w:rsidRPr="00681C2A">
        <w:rPr>
          <w:rFonts w:ascii="Palatino Linotype" w:eastAsia="Palatino Linotype" w:hAnsi="Palatino Linotype" w:cs="Palatino Linotype"/>
          <w:color w:val="000000"/>
        </w:rPr>
        <w:t>ión XXI del artículo 3 de la Ley Estatal.</w:t>
      </w:r>
    </w:p>
    <w:p w:rsidR="00C22335" w:rsidRPr="00681C2A" w:rsidRDefault="00C22335">
      <w:pPr>
        <w:pBdr>
          <w:top w:val="nil"/>
          <w:left w:val="nil"/>
          <w:bottom w:val="nil"/>
          <w:right w:val="nil"/>
          <w:between w:val="nil"/>
        </w:pBdr>
        <w:spacing w:line="360" w:lineRule="auto"/>
        <w:ind w:left="644"/>
        <w:jc w:val="both"/>
        <w:rPr>
          <w:rFonts w:ascii="Palatino Linotype" w:eastAsia="Palatino Linotype" w:hAnsi="Palatino Linotype" w:cs="Palatino Linotype"/>
          <w:color w:val="000000"/>
          <w:sz w:val="22"/>
          <w:szCs w:val="22"/>
        </w:rPr>
      </w:pPr>
    </w:p>
    <w:p w:rsidR="00C22335" w:rsidRPr="00681C2A" w:rsidRDefault="00492294">
      <w:pPr>
        <w:keepNext/>
        <w:keepLines/>
        <w:pBdr>
          <w:top w:val="nil"/>
          <w:left w:val="nil"/>
          <w:bottom w:val="nil"/>
          <w:right w:val="nil"/>
          <w:between w:val="nil"/>
        </w:pBdr>
        <w:spacing w:line="360" w:lineRule="auto"/>
        <w:ind w:left="644"/>
        <w:jc w:val="both"/>
        <w:rPr>
          <w:rFonts w:ascii="Palatino Linotype" w:eastAsia="Palatino Linotype" w:hAnsi="Palatino Linotype" w:cs="Palatino Linotype"/>
          <w:b/>
          <w:color w:val="000000"/>
          <w:sz w:val="22"/>
          <w:szCs w:val="22"/>
        </w:rPr>
      </w:pPr>
      <w:bookmarkStart w:id="19" w:name="_heading=h.z337ya" w:colFirst="0" w:colLast="0"/>
      <w:bookmarkEnd w:id="19"/>
      <w:r w:rsidRPr="00681C2A">
        <w:rPr>
          <w:rFonts w:ascii="Palatino Linotype" w:eastAsia="Palatino Linotype" w:hAnsi="Palatino Linotype" w:cs="Palatino Linotype"/>
          <w:b/>
          <w:color w:val="000000"/>
          <w:sz w:val="22"/>
          <w:szCs w:val="22"/>
        </w:rPr>
        <w:t xml:space="preserve">III. Condiciones especiales de la clasificación de la información como reservada </w:t>
      </w:r>
    </w:p>
    <w:p w:rsidR="00C22335" w:rsidRPr="00681C2A" w:rsidRDefault="00C22335">
      <w:pPr>
        <w:pBdr>
          <w:top w:val="nil"/>
          <w:left w:val="nil"/>
          <w:bottom w:val="nil"/>
          <w:right w:val="nil"/>
          <w:between w:val="nil"/>
        </w:pBdr>
        <w:spacing w:line="360" w:lineRule="auto"/>
        <w:ind w:left="644"/>
        <w:jc w:val="both"/>
        <w:rPr>
          <w:rFonts w:ascii="Palatino Linotype" w:eastAsia="Palatino Linotype" w:hAnsi="Palatino Linotype" w:cs="Palatino Linotype"/>
          <w:b/>
          <w:color w:val="000000"/>
          <w:sz w:val="22"/>
          <w:szCs w:val="22"/>
        </w:rPr>
      </w:pPr>
    </w:p>
    <w:p w:rsidR="00C22335" w:rsidRPr="00681C2A" w:rsidRDefault="00492294">
      <w:pPr>
        <w:pStyle w:val="Ttulo1"/>
        <w:spacing w:before="0" w:line="360" w:lineRule="auto"/>
        <w:ind w:left="644"/>
        <w:rPr>
          <w:rFonts w:ascii="Palatino Linotype" w:eastAsia="Palatino Linotype" w:hAnsi="Palatino Linotype" w:cs="Palatino Linotype"/>
          <w:b/>
          <w:color w:val="000000"/>
          <w:sz w:val="24"/>
          <w:szCs w:val="24"/>
        </w:rPr>
      </w:pPr>
      <w:bookmarkStart w:id="20" w:name="_heading=h.3j2qqm3" w:colFirst="0" w:colLast="0"/>
      <w:bookmarkEnd w:id="20"/>
      <w:r w:rsidRPr="00681C2A">
        <w:rPr>
          <w:rFonts w:ascii="Palatino Linotype" w:eastAsia="Palatino Linotype" w:hAnsi="Palatino Linotype" w:cs="Palatino Linotype"/>
          <w:b/>
          <w:color w:val="000000"/>
          <w:sz w:val="24"/>
          <w:szCs w:val="24"/>
        </w:rPr>
        <w:t>a) La fundamentación específica.</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681C2A">
        <w:rPr>
          <w:rFonts w:ascii="Palatino Linotype" w:eastAsia="Palatino Linotype" w:hAnsi="Palatino Linotype" w:cs="Palatino Linotype"/>
          <w:b/>
          <w:color w:val="000000"/>
        </w:rPr>
        <w:t>SUJ</w:t>
      </w:r>
      <w:r w:rsidRPr="00681C2A">
        <w:rPr>
          <w:rFonts w:ascii="Palatino Linotype" w:eastAsia="Palatino Linotype" w:hAnsi="Palatino Linotype" w:cs="Palatino Linotype"/>
          <w:b/>
          <w:color w:val="000000"/>
        </w:rPr>
        <w:t>ETO OBLIGADO</w:t>
      </w:r>
      <w:r w:rsidRPr="00681C2A">
        <w:rPr>
          <w:rFonts w:ascii="Palatino Linotype" w:eastAsia="Palatino Linotype" w:hAnsi="Palatino Linotype" w:cs="Palatino Linotype"/>
          <w:color w:val="000000"/>
        </w:rPr>
        <w:t xml:space="preserve"> a concluir que el caso fáctico se corresponde con la norma. Por esta razón, la motivación del acto, el juicio de subsunción, para acreditar la estricta correspondencia entre el supuesto de hecho y la hipótesis normativa, deberá señalar las raz</w:t>
      </w:r>
      <w:r w:rsidRPr="00681C2A">
        <w:rPr>
          <w:rFonts w:ascii="Palatino Linotype" w:eastAsia="Palatino Linotype" w:hAnsi="Palatino Linotype" w:cs="Palatino Linotype"/>
          <w:color w:val="000000"/>
        </w:rPr>
        <w:t xml:space="preserve">ones, motivos o circunstancias que lo justifiquen, lo que no es lo mismo que repetir el supuesto de hecho y la hipótesis normativa, sino que se debe generar un juicio demostrativo, no uno autorreferencial en el que primero se dice algo, después se dice lo </w:t>
      </w:r>
      <w:r w:rsidRPr="00681C2A">
        <w:rPr>
          <w:rFonts w:ascii="Palatino Linotype" w:eastAsia="Palatino Linotype" w:hAnsi="Palatino Linotype" w:cs="Palatino Linotype"/>
          <w:color w:val="000000"/>
        </w:rPr>
        <w:t>mismo y al final exactamente lo mismo, cambiando sólo el orden de las palabras.</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pStyle w:val="Ttulo1"/>
        <w:spacing w:before="0" w:line="360" w:lineRule="auto"/>
        <w:rPr>
          <w:rFonts w:ascii="Palatino Linotype" w:eastAsia="Palatino Linotype" w:hAnsi="Palatino Linotype" w:cs="Palatino Linotype"/>
          <w:b/>
          <w:sz w:val="24"/>
          <w:szCs w:val="24"/>
        </w:rPr>
      </w:pPr>
      <w:bookmarkStart w:id="21" w:name="_heading=h.1y810tw" w:colFirst="0" w:colLast="0"/>
      <w:bookmarkEnd w:id="21"/>
      <w:r w:rsidRPr="00681C2A">
        <w:rPr>
          <w:rFonts w:ascii="Palatino Linotype" w:eastAsia="Palatino Linotype" w:hAnsi="Palatino Linotype" w:cs="Palatino Linotype"/>
          <w:b/>
          <w:color w:val="000000"/>
          <w:sz w:val="24"/>
          <w:szCs w:val="24"/>
        </w:rPr>
        <w:t>b) La clasificación de la información reservada debe ser de manera temporal.</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 xml:space="preserve">La información que ha sido clasificada como reservada, tiene la cualidad de que esta debe ser de </w:t>
      </w:r>
      <w:r w:rsidRPr="00681C2A">
        <w:rPr>
          <w:rFonts w:ascii="Palatino Linotype" w:eastAsia="Palatino Linotype" w:hAnsi="Palatino Linotype" w:cs="Palatino Linotype"/>
          <w:color w:val="000000"/>
        </w:rPr>
        <w:t xml:space="preserve">carácter temporal, es decir, no debe perpetuarse o petrificarse su </w:t>
      </w:r>
      <w:r w:rsidRPr="00681C2A">
        <w:rPr>
          <w:rFonts w:ascii="Palatino Linotype" w:eastAsia="Palatino Linotype" w:hAnsi="Palatino Linotype" w:cs="Palatino Linotype"/>
          <w:color w:val="000000"/>
        </w:rPr>
        <w:lastRenderedPageBreak/>
        <w:t>clasificación y que esto traiga como consecuencia el no acceso a la misma y por tanto pierda en definitiva su calidad de pública.</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La temporalidad de la clasificación de la información se encuentra señalada en el artículo 125 de la Ley Estatal y en el 101 de la Ley General, artículos que contemplan que dicha información podrá permanecer con tal carácter hasta por un periodo de cinco a</w:t>
      </w:r>
      <w:r w:rsidRPr="00681C2A">
        <w:rPr>
          <w:rFonts w:ascii="Palatino Linotype" w:eastAsia="Palatino Linotype" w:hAnsi="Palatino Linotype" w:cs="Palatino Linotype"/>
          <w:color w:val="000000"/>
        </w:rPr>
        <w:t xml:space="preserve">ños, contados a partir de su clasificación, salvo que antes del cumplimiento del periodo de restricción, dejaran de existir los motivos de su reserva. </w:t>
      </w: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Ahora bien, los titulares de las áreas tienen la alta responsabilidad de determinar que el plazo de rese</w:t>
      </w:r>
      <w:r w:rsidRPr="00681C2A">
        <w:rPr>
          <w:rFonts w:ascii="Palatino Linotype" w:eastAsia="Palatino Linotype" w:hAnsi="Palatino Linotype" w:cs="Palatino Linotype"/>
          <w:color w:val="000000"/>
        </w:rPr>
        <w:t>rva sea el estrictamente necesario para proteger la información mientras subsistan las causas que dieron origen a la clasificación, salvaguardando el interés público protegido y tomarán en cuenta las razones que justifican el periodo de reserva establecido</w:t>
      </w:r>
      <w:r w:rsidRPr="00681C2A">
        <w:rPr>
          <w:rFonts w:ascii="Palatino Linotype" w:eastAsia="Palatino Linotype" w:hAnsi="Palatino Linotype" w:cs="Palatino Linotype"/>
          <w:color w:val="000000"/>
        </w:rPr>
        <w:t>.</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De</w:t>
      </w:r>
      <w:r w:rsidRPr="00681C2A">
        <w:rPr>
          <w:rFonts w:ascii="Palatino Linotype" w:eastAsia="Palatino Linotype" w:hAnsi="Palatino Linotype" w:cs="Palatino Linotype"/>
          <w:b/>
          <w:color w:val="000000"/>
        </w:rPr>
        <w:t xml:space="preserve"> </w:t>
      </w:r>
      <w:r w:rsidRPr="00681C2A">
        <w:rPr>
          <w:rFonts w:ascii="Palatino Linotype" w:eastAsia="Palatino Linotype" w:hAnsi="Palatino Linotype" w:cs="Palatino Linotype"/>
          <w:color w:val="000000"/>
        </w:rPr>
        <w:t xml:space="preserve">manera excepcional los sujetos obligados con la aprobación de su Comité de Transparencia, podrán ampliar el periodo de reserva hasta por un plazo de cinco años adicionales y por una sola vez, siempre y cuando justifiquen que subsisten las causas que </w:t>
      </w:r>
      <w:r w:rsidRPr="00681C2A">
        <w:rPr>
          <w:rFonts w:ascii="Palatino Linotype" w:eastAsia="Palatino Linotype" w:hAnsi="Palatino Linotype" w:cs="Palatino Linotype"/>
          <w:color w:val="000000"/>
        </w:rPr>
        <w:t xml:space="preserve">dieron origen a su clasificación, mediante la aplicación de una prueba de daño. </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Cuando expiren los plazos de clasificación o se trate de información cuya publicación pueda ocasionar la destrucción o inhabilitación de la infraestructura de carácter estrat</w:t>
      </w:r>
      <w:r w:rsidRPr="00681C2A">
        <w:rPr>
          <w:rFonts w:ascii="Palatino Linotype" w:eastAsia="Palatino Linotype" w:hAnsi="Palatino Linotype" w:cs="Palatino Linotype"/>
          <w:color w:val="000000"/>
        </w:rPr>
        <w:t xml:space="preserve">égico para la provisión de bienes o servicios públicos, que a juicio de un Sujeto Obligado sea necesario ampliar nuevamente el periodo de reserva de la </w:t>
      </w:r>
      <w:r w:rsidRPr="00681C2A">
        <w:rPr>
          <w:rFonts w:ascii="Palatino Linotype" w:eastAsia="Palatino Linotype" w:hAnsi="Palatino Linotype" w:cs="Palatino Linotype"/>
          <w:color w:val="000000"/>
        </w:rPr>
        <w:lastRenderedPageBreak/>
        <w:t>información, el Comité de Transparencia respectivo deberá hacer la solicitud correspondiente al Institut</w:t>
      </w:r>
      <w:r w:rsidRPr="00681C2A">
        <w:rPr>
          <w:rFonts w:ascii="Palatino Linotype" w:eastAsia="Palatino Linotype" w:hAnsi="Palatino Linotype" w:cs="Palatino Linotype"/>
          <w:color w:val="000000"/>
        </w:rPr>
        <w:t>o, debidamente fundada y motivada, aplicando la prueba de daño y señalando el plazo de reserva, por lo menos con tres meses de anticipación al vencimiento del periodo.</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keepNext/>
        <w:keepLines/>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22" w:name="_heading=h.4i7ojhp" w:colFirst="0" w:colLast="0"/>
      <w:bookmarkEnd w:id="22"/>
      <w:r w:rsidRPr="00681C2A">
        <w:rPr>
          <w:rFonts w:ascii="Palatino Linotype" w:eastAsia="Palatino Linotype" w:hAnsi="Palatino Linotype" w:cs="Palatino Linotype"/>
          <w:b/>
          <w:color w:val="000000"/>
        </w:rPr>
        <w:t>Condiciones especiales de la clasificación de la información como confidencial.</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Lo art</w:t>
      </w:r>
      <w:r w:rsidRPr="00681C2A">
        <w:rPr>
          <w:rFonts w:ascii="Palatino Linotype" w:eastAsia="Palatino Linotype" w:hAnsi="Palatino Linotype" w:cs="Palatino Linotype"/>
          <w:color w:val="000000"/>
        </w:rPr>
        <w:t>ículos 148 y 120 de la Ley Estatal y de la Ley General, respectivamente, establecen que aun tratándose de datos personales, se podrán proporcionar, incluso sin solicitar el consentimiento de su titular, cuando dichos datos correspondan a los siguientes sup</w:t>
      </w:r>
      <w:r w:rsidRPr="00681C2A">
        <w:rPr>
          <w:rFonts w:ascii="Palatino Linotype" w:eastAsia="Palatino Linotype" w:hAnsi="Palatino Linotype" w:cs="Palatino Linotype"/>
          <w:color w:val="000000"/>
        </w:rPr>
        <w:t xml:space="preserve">uestos: </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pBdr>
          <w:top w:val="nil"/>
          <w:left w:val="nil"/>
          <w:bottom w:val="nil"/>
          <w:right w:val="nil"/>
          <w:between w:val="nil"/>
        </w:pBdr>
        <w:spacing w:line="360" w:lineRule="auto"/>
        <w:ind w:left="644" w:right="567"/>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i/>
          <w:color w:val="000000"/>
          <w:sz w:val="22"/>
          <w:szCs w:val="22"/>
        </w:rPr>
        <w:t>“</w:t>
      </w:r>
      <w:r w:rsidRPr="00681C2A">
        <w:rPr>
          <w:rFonts w:ascii="Palatino Linotype" w:eastAsia="Palatino Linotype" w:hAnsi="Palatino Linotype" w:cs="Palatino Linotype"/>
          <w:b/>
          <w:i/>
          <w:color w:val="000000"/>
          <w:sz w:val="22"/>
          <w:szCs w:val="22"/>
        </w:rPr>
        <w:t>I.</w:t>
      </w:r>
      <w:r w:rsidRPr="00681C2A">
        <w:rPr>
          <w:rFonts w:ascii="Palatino Linotype" w:eastAsia="Palatino Linotype" w:hAnsi="Palatino Linotype" w:cs="Palatino Linotype"/>
          <w:i/>
          <w:color w:val="000000"/>
          <w:sz w:val="22"/>
          <w:szCs w:val="22"/>
        </w:rPr>
        <w:t xml:space="preserve"> La información se encuentre en registros públicos o fuentes de acceso público;</w:t>
      </w:r>
    </w:p>
    <w:p w:rsidR="00C22335" w:rsidRPr="00681C2A" w:rsidRDefault="00492294">
      <w:pPr>
        <w:pBdr>
          <w:top w:val="nil"/>
          <w:left w:val="nil"/>
          <w:bottom w:val="nil"/>
          <w:right w:val="nil"/>
          <w:between w:val="nil"/>
        </w:pBdr>
        <w:spacing w:line="360" w:lineRule="auto"/>
        <w:ind w:left="644" w:right="567"/>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b/>
          <w:i/>
          <w:color w:val="000000"/>
          <w:sz w:val="22"/>
          <w:szCs w:val="22"/>
        </w:rPr>
        <w:t>II.</w:t>
      </w:r>
      <w:r w:rsidRPr="00681C2A">
        <w:rPr>
          <w:rFonts w:ascii="Palatino Linotype" w:eastAsia="Palatino Linotype" w:hAnsi="Palatino Linotype" w:cs="Palatino Linotype"/>
          <w:i/>
          <w:color w:val="000000"/>
          <w:sz w:val="22"/>
          <w:szCs w:val="22"/>
        </w:rPr>
        <w:t xml:space="preserve"> Por Ley tenga el carácter de pública;</w:t>
      </w:r>
    </w:p>
    <w:p w:rsidR="00C22335" w:rsidRPr="00681C2A" w:rsidRDefault="00492294">
      <w:pPr>
        <w:pBdr>
          <w:top w:val="nil"/>
          <w:left w:val="nil"/>
          <w:bottom w:val="nil"/>
          <w:right w:val="nil"/>
          <w:between w:val="nil"/>
        </w:pBdr>
        <w:spacing w:line="360" w:lineRule="auto"/>
        <w:ind w:left="644" w:right="567"/>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b/>
          <w:i/>
          <w:color w:val="000000"/>
          <w:sz w:val="22"/>
          <w:szCs w:val="22"/>
        </w:rPr>
        <w:t>III.</w:t>
      </w:r>
      <w:r w:rsidRPr="00681C2A">
        <w:rPr>
          <w:rFonts w:ascii="Palatino Linotype" w:eastAsia="Palatino Linotype" w:hAnsi="Palatino Linotype" w:cs="Palatino Linotype"/>
          <w:i/>
          <w:color w:val="000000"/>
          <w:sz w:val="22"/>
          <w:szCs w:val="22"/>
        </w:rPr>
        <w:t xml:space="preserve"> Exista una orden judicial; </w:t>
      </w:r>
    </w:p>
    <w:p w:rsidR="00C22335" w:rsidRPr="00681C2A" w:rsidRDefault="00492294">
      <w:pPr>
        <w:pBdr>
          <w:top w:val="nil"/>
          <w:left w:val="nil"/>
          <w:bottom w:val="nil"/>
          <w:right w:val="nil"/>
          <w:between w:val="nil"/>
        </w:pBdr>
        <w:spacing w:line="360" w:lineRule="auto"/>
        <w:ind w:left="644" w:right="567"/>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b/>
          <w:i/>
          <w:color w:val="000000"/>
          <w:sz w:val="22"/>
          <w:szCs w:val="22"/>
        </w:rPr>
        <w:t>IV.</w:t>
      </w:r>
      <w:r w:rsidRPr="00681C2A">
        <w:rPr>
          <w:rFonts w:ascii="Palatino Linotype" w:eastAsia="Palatino Linotype" w:hAnsi="Palatino Linotype" w:cs="Palatino Linotype"/>
          <w:i/>
          <w:color w:val="000000"/>
          <w:sz w:val="22"/>
          <w:szCs w:val="22"/>
        </w:rPr>
        <w:t xml:space="preserve"> Por razones de seguridad pública, o para proteger los derechos de terceros, se requiera su publicación; o </w:t>
      </w:r>
    </w:p>
    <w:p w:rsidR="00C22335" w:rsidRPr="00681C2A" w:rsidRDefault="00492294">
      <w:pPr>
        <w:pBdr>
          <w:top w:val="nil"/>
          <w:left w:val="nil"/>
          <w:bottom w:val="nil"/>
          <w:right w:val="nil"/>
          <w:between w:val="nil"/>
        </w:pBdr>
        <w:spacing w:line="360" w:lineRule="auto"/>
        <w:ind w:left="644" w:right="567"/>
        <w:jc w:val="both"/>
        <w:rPr>
          <w:rFonts w:ascii="Palatino Linotype" w:eastAsia="Palatino Linotype" w:hAnsi="Palatino Linotype" w:cs="Palatino Linotype"/>
          <w:i/>
          <w:color w:val="000000"/>
          <w:sz w:val="22"/>
          <w:szCs w:val="22"/>
        </w:rPr>
      </w:pPr>
      <w:r w:rsidRPr="00681C2A">
        <w:rPr>
          <w:rFonts w:ascii="Palatino Linotype" w:eastAsia="Palatino Linotype" w:hAnsi="Palatino Linotype" w:cs="Palatino Linotype"/>
          <w:b/>
          <w:i/>
          <w:color w:val="000000"/>
          <w:sz w:val="22"/>
          <w:szCs w:val="22"/>
        </w:rPr>
        <w:t>V.</w:t>
      </w:r>
      <w:r w:rsidRPr="00681C2A">
        <w:rPr>
          <w:rFonts w:ascii="Palatino Linotype" w:eastAsia="Palatino Linotype" w:hAnsi="Palatino Linotype" w:cs="Palatino Linotype"/>
          <w:i/>
          <w:color w:val="000000"/>
          <w:sz w:val="22"/>
          <w:szCs w:val="22"/>
        </w:rPr>
        <w:t xml:space="preserve"> Cuando se transmita entre sujetos obligados y entre éstos y los sujetos de derecho internacional, en términos de los tratados y los acuerdos inte</w:t>
      </w:r>
      <w:r w:rsidRPr="00681C2A">
        <w:rPr>
          <w:rFonts w:ascii="Palatino Linotype" w:eastAsia="Palatino Linotype" w:hAnsi="Palatino Linotype" w:cs="Palatino Linotype"/>
          <w:i/>
          <w:color w:val="000000"/>
          <w:sz w:val="22"/>
          <w:szCs w:val="22"/>
        </w:rPr>
        <w:t>rinstitucionales, siempre y cuando la información se utilice para el ejercicio de facultades propias de los mismos.”</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En el caso de lo señalado en la fracción IV, será el Instituto quien deba aplicar la prueba de interés público, considerando también que c</w:t>
      </w:r>
      <w:r w:rsidRPr="00681C2A">
        <w:rPr>
          <w:rFonts w:ascii="Palatino Linotype" w:eastAsia="Palatino Linotype" w:hAnsi="Palatino Linotype" w:cs="Palatino Linotype"/>
          <w:color w:val="000000"/>
        </w:rPr>
        <w:t xml:space="preserve">omo recientemente ha discutido la Suprema Corte de Justicia de la Nación, los servidores públicos nos encontramos sujetos a un régimen menor de protección. </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Pero si la información que se pretende clasificar como confidencial no se encuentra en los supuest</w:t>
      </w:r>
      <w:r w:rsidRPr="00681C2A">
        <w:rPr>
          <w:rFonts w:ascii="Palatino Linotype" w:eastAsia="Palatino Linotype" w:hAnsi="Palatino Linotype" w:cs="Palatino Linotype"/>
          <w:color w:val="000000"/>
        </w:rPr>
        <w:t>os antes señalados y es posible, se deberá consultar al titular de los datos si permite o no el acceso. De no ser posible, la realización de la consulta procede, fundando y motivando la clasificación.</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Los elementos que brevemente se han señalado son todos</w:t>
      </w:r>
      <w:r w:rsidRPr="00681C2A">
        <w:rPr>
          <w:rFonts w:ascii="Palatino Linotype" w:eastAsia="Palatino Linotype" w:hAnsi="Palatino Linotype" w:cs="Palatino Linotype"/>
          <w:color w:val="000000"/>
        </w:rPr>
        <w:t xml:space="preserve"> los que deben de integrar el proceso de clasificación total o parcial de la información para, especialmente, responder a las solicitudes de acceso a la información pública. La falta de cualquiera de ellos puede provocar que el acto que limita o restringe </w:t>
      </w:r>
      <w:r w:rsidRPr="00681C2A">
        <w:rPr>
          <w:rFonts w:ascii="Palatino Linotype" w:eastAsia="Palatino Linotype" w:hAnsi="Palatino Linotype" w:cs="Palatino Linotype"/>
          <w:color w:val="000000"/>
        </w:rPr>
        <w:t>el derecho de acceso a la información sea considerada infundado y se proceda a ordenar la desclasificación de la información por el incumplimiento de las formalidades, es decir, por vicios de legalidad o a la reposición del acto.  Para tratar de ser aún má</w:t>
      </w:r>
      <w:r w:rsidRPr="00681C2A">
        <w:rPr>
          <w:rFonts w:ascii="Palatino Linotype" w:eastAsia="Palatino Linotype" w:hAnsi="Palatino Linotype" w:cs="Palatino Linotype"/>
          <w:color w:val="000000"/>
        </w:rPr>
        <w:t>s gráficos y propiciar el mejor entendimiento de esta materia, se anexa la siguiente tabla.</w:t>
      </w:r>
    </w:p>
    <w:p w:rsidR="00C22335" w:rsidRPr="00681C2A" w:rsidRDefault="00C22335">
      <w:pPr>
        <w:spacing w:line="360" w:lineRule="auto"/>
        <w:ind w:right="49"/>
        <w:jc w:val="both"/>
        <w:rPr>
          <w:rFonts w:ascii="Palatino Linotype" w:eastAsia="Palatino Linotype" w:hAnsi="Palatino Linotype" w:cs="Palatino Linotype"/>
          <w:color w:val="000000"/>
        </w:rPr>
      </w:pPr>
    </w:p>
    <w:tbl>
      <w:tblPr>
        <w:tblStyle w:val="a0"/>
        <w:tblW w:w="84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1759"/>
        <w:gridCol w:w="2269"/>
        <w:gridCol w:w="2268"/>
      </w:tblGrid>
      <w:tr w:rsidR="00C22335" w:rsidRPr="00681C2A">
        <w:tc>
          <w:tcPr>
            <w:tcW w:w="2155" w:type="dxa"/>
            <w:vMerge w:val="restart"/>
            <w:shd w:val="clear" w:color="auto" w:fill="D5DCE4"/>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Requisitos previos</w:t>
            </w:r>
          </w:p>
        </w:tc>
        <w:tc>
          <w:tcPr>
            <w:tcW w:w="175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Los sujetos obligados determinan que la información actualiza alguno de los supuestos de clasificación:</w:t>
            </w:r>
          </w:p>
        </w:tc>
        <w:tc>
          <w:tcPr>
            <w:tcW w:w="2269"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p w:rsidR="00C22335" w:rsidRPr="00681C2A" w:rsidRDefault="00492294">
            <w:pPr>
              <w:numPr>
                <w:ilvl w:val="0"/>
                <w:numId w:val="4"/>
              </w:num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 xml:space="preserve">Confidencialidad </w:t>
            </w:r>
          </w:p>
          <w:p w:rsidR="00C22335" w:rsidRPr="00681C2A" w:rsidRDefault="00492294">
            <w:pPr>
              <w:numPr>
                <w:ilvl w:val="0"/>
                <w:numId w:val="4"/>
              </w:num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Reserva</w:t>
            </w:r>
          </w:p>
        </w:tc>
        <w:tc>
          <w:tcPr>
            <w:tcW w:w="2268"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r>
      <w:tr w:rsidR="00C22335" w:rsidRPr="00681C2A">
        <w:tc>
          <w:tcPr>
            <w:tcW w:w="2155" w:type="dxa"/>
            <w:vMerge/>
            <w:shd w:val="clear" w:color="auto" w:fill="D5DCE4"/>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75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 xml:space="preserve">Los titulares de las áreas que administran la información son los que aprueban la clasificación </w:t>
            </w:r>
          </w:p>
        </w:tc>
        <w:tc>
          <w:tcPr>
            <w:tcW w:w="2269"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c>
          <w:tcPr>
            <w:tcW w:w="2268"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r>
      <w:tr w:rsidR="00C22335" w:rsidRPr="00681C2A">
        <w:tc>
          <w:tcPr>
            <w:tcW w:w="2155" w:type="dxa"/>
            <w:vMerge/>
            <w:shd w:val="clear" w:color="auto" w:fill="D5DCE4"/>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75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La clasificación de la información se realiza al momento de:</w:t>
            </w:r>
          </w:p>
        </w:tc>
        <w:tc>
          <w:tcPr>
            <w:tcW w:w="2269" w:type="dxa"/>
          </w:tcPr>
          <w:p w:rsidR="00C22335" w:rsidRPr="00681C2A" w:rsidRDefault="00492294">
            <w:pPr>
              <w:numPr>
                <w:ilvl w:val="0"/>
                <w:numId w:val="3"/>
              </w:num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Atender una solicitud</w:t>
            </w:r>
          </w:p>
          <w:p w:rsidR="00C22335" w:rsidRPr="00681C2A" w:rsidRDefault="00492294">
            <w:pPr>
              <w:numPr>
                <w:ilvl w:val="0"/>
                <w:numId w:val="3"/>
              </w:num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Por mandato de una autoridad competente</w:t>
            </w:r>
          </w:p>
          <w:p w:rsidR="00C22335" w:rsidRPr="00681C2A" w:rsidRDefault="00492294">
            <w:pPr>
              <w:numPr>
                <w:ilvl w:val="0"/>
                <w:numId w:val="3"/>
              </w:num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Para elaborar una versión pública y cumplir una obligación de transparencia</w:t>
            </w:r>
          </w:p>
        </w:tc>
        <w:tc>
          <w:tcPr>
            <w:tcW w:w="2268"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r>
      <w:tr w:rsidR="00C22335" w:rsidRPr="00681C2A">
        <w:tc>
          <w:tcPr>
            <w:tcW w:w="2155" w:type="dxa"/>
            <w:vMerge/>
            <w:shd w:val="clear" w:color="auto" w:fill="D5DCE4"/>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75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No se pueden emitir acuerdos de carácter general ni particular</w:t>
            </w:r>
          </w:p>
        </w:tc>
        <w:tc>
          <w:tcPr>
            <w:tcW w:w="226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 xml:space="preserve">El </w:t>
            </w:r>
            <w:r w:rsidRPr="00681C2A">
              <w:rPr>
                <w:rFonts w:ascii="Palatino Linotype" w:eastAsia="Palatino Linotype" w:hAnsi="Palatino Linotype" w:cs="Palatino Linotype"/>
                <w:b/>
                <w:color w:val="000000"/>
                <w:sz w:val="22"/>
                <w:szCs w:val="22"/>
              </w:rPr>
              <w:t>SUJETO OBLIGADO</w:t>
            </w:r>
            <w:r w:rsidRPr="00681C2A">
              <w:rPr>
                <w:rFonts w:ascii="Palatino Linotype" w:eastAsia="Palatino Linotype" w:hAnsi="Palatino Linotype" w:cs="Palatino Linotype"/>
                <w:color w:val="000000"/>
                <w:sz w:val="22"/>
                <w:szCs w:val="22"/>
              </w:rPr>
              <w:t xml:space="preserve"> debe emitir un acuerdo describiendo y analizando cada documento de un expediente y todos </w:t>
            </w:r>
            <w:r w:rsidRPr="00681C2A">
              <w:rPr>
                <w:rFonts w:ascii="Palatino Linotype" w:eastAsia="Palatino Linotype" w:hAnsi="Palatino Linotype" w:cs="Palatino Linotype"/>
                <w:color w:val="000000"/>
                <w:sz w:val="22"/>
                <w:szCs w:val="22"/>
              </w:rPr>
              <w:lastRenderedPageBreak/>
              <w:t xml:space="preserve">los datos incluidos en un documento </w:t>
            </w:r>
          </w:p>
        </w:tc>
        <w:tc>
          <w:tcPr>
            <w:tcW w:w="2268"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r>
      <w:tr w:rsidR="00C22335" w:rsidRPr="00681C2A">
        <w:tc>
          <w:tcPr>
            <w:tcW w:w="2155" w:type="dxa"/>
            <w:vMerge w:val="restart"/>
            <w:shd w:val="clear" w:color="auto" w:fill="D5DCE4"/>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Supuestos de clasificación</w:t>
            </w:r>
          </w:p>
        </w:tc>
        <w:tc>
          <w:tcPr>
            <w:tcW w:w="175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Para clasificar la información como reservada hay</w:t>
            </w:r>
          </w:p>
        </w:tc>
        <w:tc>
          <w:tcPr>
            <w:tcW w:w="2269" w:type="dxa"/>
          </w:tcPr>
          <w:p w:rsidR="00C22335" w:rsidRPr="00681C2A" w:rsidRDefault="00492294">
            <w:pPr>
              <w:numPr>
                <w:ilvl w:val="0"/>
                <w:numId w:val="1"/>
              </w:num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11 supuestos en la Ley Estatal</w:t>
            </w:r>
          </w:p>
          <w:p w:rsidR="00C22335" w:rsidRPr="00681C2A" w:rsidRDefault="00492294">
            <w:pPr>
              <w:numPr>
                <w:ilvl w:val="0"/>
                <w:numId w:val="1"/>
              </w:num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 xml:space="preserve">13 supuestos en la </w:t>
            </w:r>
            <w:r w:rsidRPr="00681C2A">
              <w:rPr>
                <w:rFonts w:ascii="Palatino Linotype" w:eastAsia="Palatino Linotype" w:hAnsi="Palatino Linotype" w:cs="Palatino Linotype"/>
                <w:color w:val="000000"/>
                <w:sz w:val="22"/>
                <w:szCs w:val="22"/>
              </w:rPr>
              <w:t>Ley General</w:t>
            </w:r>
          </w:p>
        </w:tc>
        <w:tc>
          <w:tcPr>
            <w:tcW w:w="2268"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 xml:space="preserve">El </w:t>
            </w:r>
            <w:r w:rsidRPr="00681C2A">
              <w:rPr>
                <w:rFonts w:ascii="Palatino Linotype" w:eastAsia="Palatino Linotype" w:hAnsi="Palatino Linotype" w:cs="Palatino Linotype"/>
                <w:b/>
                <w:color w:val="000000"/>
                <w:sz w:val="22"/>
                <w:szCs w:val="22"/>
              </w:rPr>
              <w:t>SUJETO OBLIGADO</w:t>
            </w:r>
            <w:r w:rsidRPr="00681C2A">
              <w:rPr>
                <w:rFonts w:ascii="Palatino Linotype" w:eastAsia="Palatino Linotype" w:hAnsi="Palatino Linotype" w:cs="Palatino Linotype"/>
                <w:color w:val="000000"/>
                <w:sz w:val="22"/>
                <w:szCs w:val="22"/>
              </w:rPr>
              <w:t xml:space="preserve"> debe identificar claramente la información que se pretende clasificar y realizar un juicio de subsunción o encaje</w:t>
            </w:r>
          </w:p>
        </w:tc>
      </w:tr>
      <w:tr w:rsidR="00C22335" w:rsidRPr="00681C2A">
        <w:tc>
          <w:tcPr>
            <w:tcW w:w="2155" w:type="dxa"/>
            <w:vMerge/>
            <w:shd w:val="clear" w:color="auto" w:fill="D5DCE4"/>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75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Para clasificar la información como confidencial hay</w:t>
            </w:r>
          </w:p>
        </w:tc>
        <w:tc>
          <w:tcPr>
            <w:tcW w:w="226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que considerar la definición de dato personal</w:t>
            </w:r>
          </w:p>
        </w:tc>
        <w:tc>
          <w:tcPr>
            <w:tcW w:w="2268"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r>
      <w:tr w:rsidR="00C22335" w:rsidRPr="00681C2A">
        <w:tc>
          <w:tcPr>
            <w:tcW w:w="2155" w:type="dxa"/>
            <w:vMerge/>
            <w:shd w:val="clear" w:color="auto" w:fill="D5DCE4"/>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75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Estos supuestos se aplican de manera restrictiva y estricta, no pueden ampliarse</w:t>
            </w:r>
          </w:p>
        </w:tc>
        <w:tc>
          <w:tcPr>
            <w:tcW w:w="2269"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c>
          <w:tcPr>
            <w:tcW w:w="2268"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r>
      <w:tr w:rsidR="00C22335" w:rsidRPr="00681C2A">
        <w:tc>
          <w:tcPr>
            <w:tcW w:w="2155" w:type="dxa"/>
            <w:vMerge w:val="restart"/>
            <w:shd w:val="clear" w:color="auto" w:fill="D5DCE4"/>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Excepciones a la clasificación de reserva</w:t>
            </w:r>
          </w:p>
        </w:tc>
        <w:tc>
          <w:tcPr>
            <w:tcW w:w="1759" w:type="dxa"/>
            <w:vMerge w:val="restart"/>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 xml:space="preserve">No puede clasificarse como información </w:t>
            </w:r>
            <w:r w:rsidRPr="00681C2A">
              <w:rPr>
                <w:rFonts w:ascii="Palatino Linotype" w:eastAsia="Palatino Linotype" w:hAnsi="Palatino Linotype" w:cs="Palatino Linotype"/>
                <w:color w:val="000000"/>
                <w:sz w:val="22"/>
                <w:szCs w:val="22"/>
              </w:rPr>
              <w:lastRenderedPageBreak/>
              <w:t>reservada la concerniente a:</w:t>
            </w:r>
          </w:p>
        </w:tc>
        <w:tc>
          <w:tcPr>
            <w:tcW w:w="226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lastRenderedPageBreak/>
              <w:t>Actos (probados o en investigación) graves de violaciones a de</w:t>
            </w:r>
            <w:r w:rsidRPr="00681C2A">
              <w:rPr>
                <w:rFonts w:ascii="Palatino Linotype" w:eastAsia="Palatino Linotype" w:hAnsi="Palatino Linotype" w:cs="Palatino Linotype"/>
                <w:color w:val="000000"/>
                <w:sz w:val="22"/>
                <w:szCs w:val="22"/>
              </w:rPr>
              <w:t>rechos humanos</w:t>
            </w:r>
          </w:p>
        </w:tc>
        <w:tc>
          <w:tcPr>
            <w:tcW w:w="2268"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r>
      <w:tr w:rsidR="00C22335" w:rsidRPr="00681C2A">
        <w:tc>
          <w:tcPr>
            <w:tcW w:w="2155" w:type="dxa"/>
            <w:vMerge/>
            <w:shd w:val="clear" w:color="auto" w:fill="D5DCE4"/>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759" w:type="dxa"/>
            <w:vMerge/>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226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 xml:space="preserve">Delitos de </w:t>
            </w:r>
            <w:proofErr w:type="spellStart"/>
            <w:r w:rsidRPr="00681C2A">
              <w:rPr>
                <w:rFonts w:ascii="Palatino Linotype" w:eastAsia="Palatino Linotype" w:hAnsi="Palatino Linotype" w:cs="Palatino Linotype"/>
                <w:color w:val="000000"/>
                <w:sz w:val="22"/>
                <w:szCs w:val="22"/>
              </w:rPr>
              <w:t>lessa</w:t>
            </w:r>
            <w:proofErr w:type="spellEnd"/>
            <w:r w:rsidRPr="00681C2A">
              <w:rPr>
                <w:rFonts w:ascii="Palatino Linotype" w:eastAsia="Palatino Linotype" w:hAnsi="Palatino Linotype" w:cs="Palatino Linotype"/>
                <w:color w:val="000000"/>
                <w:sz w:val="22"/>
                <w:szCs w:val="22"/>
              </w:rPr>
              <w:t xml:space="preserve"> humanidad</w:t>
            </w:r>
          </w:p>
        </w:tc>
        <w:tc>
          <w:tcPr>
            <w:tcW w:w="2268"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r>
      <w:tr w:rsidR="00C22335" w:rsidRPr="00681C2A">
        <w:tc>
          <w:tcPr>
            <w:tcW w:w="2155" w:type="dxa"/>
            <w:vMerge/>
            <w:shd w:val="clear" w:color="auto" w:fill="D5DCE4"/>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759" w:type="dxa"/>
            <w:vMerge/>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226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Actos de Corrupción</w:t>
            </w:r>
          </w:p>
        </w:tc>
        <w:tc>
          <w:tcPr>
            <w:tcW w:w="2268"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Los comprendidos en el Título Sexto del Código Penal del Estado</w:t>
            </w:r>
          </w:p>
        </w:tc>
      </w:tr>
      <w:tr w:rsidR="00C22335" w:rsidRPr="00681C2A">
        <w:tc>
          <w:tcPr>
            <w:tcW w:w="2155" w:type="dxa"/>
            <w:vMerge w:val="restart"/>
            <w:shd w:val="clear" w:color="auto" w:fill="D5DCE4"/>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Participación del Comité de Transparencia</w:t>
            </w:r>
          </w:p>
        </w:tc>
        <w:tc>
          <w:tcPr>
            <w:tcW w:w="1759" w:type="dxa"/>
            <w:vMerge w:val="restart"/>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Formalidades</w:t>
            </w:r>
          </w:p>
        </w:tc>
        <w:tc>
          <w:tcPr>
            <w:tcW w:w="226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El Comité debe de estar debidamente integrado</w:t>
            </w:r>
          </w:p>
        </w:tc>
        <w:tc>
          <w:tcPr>
            <w:tcW w:w="2268"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r>
      <w:tr w:rsidR="00C22335" w:rsidRPr="00681C2A">
        <w:tc>
          <w:tcPr>
            <w:tcW w:w="2155" w:type="dxa"/>
            <w:vMerge/>
            <w:shd w:val="clear" w:color="auto" w:fill="D5DCE4"/>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759" w:type="dxa"/>
            <w:vMerge/>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226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 xml:space="preserve">El Comité no aprueba la clasificación, sólo: confirma, modifica o revoca la decisión de las áreas </w:t>
            </w:r>
          </w:p>
        </w:tc>
        <w:tc>
          <w:tcPr>
            <w:tcW w:w="2268"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r>
      <w:tr w:rsidR="00C22335" w:rsidRPr="00681C2A">
        <w:tc>
          <w:tcPr>
            <w:tcW w:w="2155" w:type="dxa"/>
            <w:shd w:val="clear" w:color="auto" w:fill="D5DCE4"/>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Fondo del acuerdo de clasificación</w:t>
            </w:r>
          </w:p>
        </w:tc>
        <w:tc>
          <w:tcPr>
            <w:tcW w:w="175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 xml:space="preserve">La carga de la prueba para justificar la restricción corresponde al </w:t>
            </w:r>
            <w:r w:rsidRPr="00681C2A">
              <w:rPr>
                <w:rFonts w:ascii="Palatino Linotype" w:eastAsia="Palatino Linotype" w:hAnsi="Palatino Linotype" w:cs="Palatino Linotype"/>
                <w:b/>
                <w:color w:val="000000"/>
                <w:sz w:val="22"/>
                <w:szCs w:val="22"/>
              </w:rPr>
              <w:t>SUJETO OBLIGADO</w:t>
            </w:r>
          </w:p>
        </w:tc>
        <w:tc>
          <w:tcPr>
            <w:tcW w:w="226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Deber de fundar y motivar</w:t>
            </w:r>
          </w:p>
        </w:tc>
        <w:tc>
          <w:tcPr>
            <w:tcW w:w="2268"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r>
      <w:tr w:rsidR="00C22335" w:rsidRPr="00681C2A">
        <w:trPr>
          <w:trHeight w:val="685"/>
        </w:trPr>
        <w:tc>
          <w:tcPr>
            <w:tcW w:w="2155" w:type="dxa"/>
            <w:vMerge w:val="restart"/>
            <w:shd w:val="clear" w:color="auto" w:fill="D5DCE4"/>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Condiciones especiales de la reserva</w:t>
            </w:r>
          </w:p>
        </w:tc>
        <w:tc>
          <w:tcPr>
            <w:tcW w:w="1759" w:type="dxa"/>
            <w:vMerge w:val="restart"/>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Motivar implica</w:t>
            </w:r>
          </w:p>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 xml:space="preserve">Además se debe aplicar, </w:t>
            </w:r>
            <w:r w:rsidRPr="00681C2A">
              <w:rPr>
                <w:rFonts w:ascii="Palatino Linotype" w:eastAsia="Palatino Linotype" w:hAnsi="Palatino Linotype" w:cs="Palatino Linotype"/>
                <w:color w:val="000000"/>
                <w:sz w:val="22"/>
                <w:szCs w:val="22"/>
              </w:rPr>
              <w:lastRenderedPageBreak/>
              <w:t>caso por caso, una prueba de daño.</w:t>
            </w:r>
          </w:p>
        </w:tc>
        <w:tc>
          <w:tcPr>
            <w:tcW w:w="2269" w:type="dxa"/>
            <w:vMerge w:val="restart"/>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lastRenderedPageBreak/>
              <w:t>Señalar las razones, motivos o circunstancias.</w:t>
            </w:r>
          </w:p>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lastRenderedPageBreak/>
              <w:t>Se deben señalar las razones objetivas y acreditar.</w:t>
            </w:r>
          </w:p>
          <w:p w:rsidR="00C22335" w:rsidRPr="00681C2A" w:rsidRDefault="00C22335">
            <w:pPr>
              <w:spacing w:line="360" w:lineRule="auto"/>
              <w:jc w:val="both"/>
              <w:rPr>
                <w:rFonts w:ascii="Palatino Linotype" w:eastAsia="Palatino Linotype" w:hAnsi="Palatino Linotype" w:cs="Palatino Linotype"/>
                <w:color w:val="000000"/>
                <w:sz w:val="22"/>
                <w:szCs w:val="22"/>
              </w:rPr>
            </w:pPr>
          </w:p>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*Adquiere la condición especial de ser temporal por un periodo de 5 años con la posibilidad de ampliarse por un periodo igual.</w:t>
            </w:r>
          </w:p>
        </w:tc>
        <w:tc>
          <w:tcPr>
            <w:tcW w:w="2268" w:type="dxa"/>
            <w:vMerge w:val="restart"/>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lastRenderedPageBreak/>
              <w:t xml:space="preserve">Que entregar la información provoca un riesgo real, demostrable e </w:t>
            </w:r>
            <w:r w:rsidRPr="00681C2A">
              <w:rPr>
                <w:rFonts w:ascii="Palatino Linotype" w:eastAsia="Palatino Linotype" w:hAnsi="Palatino Linotype" w:cs="Palatino Linotype"/>
                <w:color w:val="000000"/>
                <w:sz w:val="22"/>
                <w:szCs w:val="22"/>
              </w:rPr>
              <w:lastRenderedPageBreak/>
              <w:t>identificable al interés público o a la seguridad pública</w:t>
            </w:r>
          </w:p>
        </w:tc>
      </w:tr>
      <w:tr w:rsidR="00C22335" w:rsidRPr="00681C2A">
        <w:trPr>
          <w:trHeight w:val="685"/>
        </w:trPr>
        <w:tc>
          <w:tcPr>
            <w:tcW w:w="2155" w:type="dxa"/>
            <w:vMerge/>
            <w:shd w:val="clear" w:color="auto" w:fill="D5DCE4"/>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759" w:type="dxa"/>
            <w:vMerge/>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2269" w:type="dxa"/>
            <w:vMerge/>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2268" w:type="dxa"/>
            <w:vMerge/>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r>
      <w:tr w:rsidR="00C22335" w:rsidRPr="00681C2A">
        <w:tc>
          <w:tcPr>
            <w:tcW w:w="2155" w:type="dxa"/>
            <w:vMerge/>
            <w:shd w:val="clear" w:color="auto" w:fill="D5DCE4"/>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759" w:type="dxa"/>
            <w:vMerge/>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2269" w:type="dxa"/>
            <w:vMerge/>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2268"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 xml:space="preserve">El riesgo por divulgar es mayor que el interés público de que se difunda  </w:t>
            </w:r>
          </w:p>
        </w:tc>
      </w:tr>
      <w:tr w:rsidR="00C22335" w:rsidRPr="00681C2A">
        <w:trPr>
          <w:trHeight w:val="1454"/>
        </w:trPr>
        <w:tc>
          <w:tcPr>
            <w:tcW w:w="2155" w:type="dxa"/>
            <w:vMerge/>
            <w:shd w:val="clear" w:color="auto" w:fill="D5DCE4"/>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759" w:type="dxa"/>
            <w:vMerge/>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2269" w:type="dxa"/>
            <w:vMerge/>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2268"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El principio de proporcionalidad</w:t>
            </w:r>
          </w:p>
        </w:tc>
      </w:tr>
      <w:tr w:rsidR="00C22335" w:rsidRPr="00681C2A">
        <w:tc>
          <w:tcPr>
            <w:tcW w:w="2155" w:type="dxa"/>
            <w:vMerge w:val="restart"/>
            <w:shd w:val="clear" w:color="auto" w:fill="D5DCE4"/>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Condiciones especiales de la confidencialidad</w:t>
            </w:r>
          </w:p>
        </w:tc>
        <w:tc>
          <w:tcPr>
            <w:tcW w:w="175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 xml:space="preserve">Para clasificar se debe verificar que no se encuentre en los supuestos del artículo 148 de la ley Estatal </w:t>
            </w:r>
          </w:p>
        </w:tc>
        <w:tc>
          <w:tcPr>
            <w:tcW w:w="226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 xml:space="preserve">Si se encuentra en los supuestos de dicho artículo se entrega aún sin consentimiento del titular del dato personal </w:t>
            </w:r>
          </w:p>
        </w:tc>
        <w:tc>
          <w:tcPr>
            <w:tcW w:w="2268"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r>
      <w:tr w:rsidR="00C22335" w:rsidRPr="00681C2A">
        <w:trPr>
          <w:trHeight w:val="3404"/>
        </w:trPr>
        <w:tc>
          <w:tcPr>
            <w:tcW w:w="2155" w:type="dxa"/>
            <w:vMerge/>
            <w:shd w:val="clear" w:color="auto" w:fill="D5DCE4"/>
          </w:tcPr>
          <w:p w:rsidR="00C22335" w:rsidRPr="00681C2A" w:rsidRDefault="00C2233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c>
        <w:tc>
          <w:tcPr>
            <w:tcW w:w="1759" w:type="dxa"/>
          </w:tcPr>
          <w:p w:rsidR="00C22335" w:rsidRPr="00681C2A" w:rsidRDefault="00492294">
            <w:pPr>
              <w:spacing w:line="360" w:lineRule="auto"/>
              <w:jc w:val="both"/>
              <w:rPr>
                <w:rFonts w:ascii="Palatino Linotype" w:eastAsia="Palatino Linotype" w:hAnsi="Palatino Linotype" w:cs="Palatino Linotype"/>
                <w:color w:val="000000"/>
                <w:sz w:val="22"/>
                <w:szCs w:val="22"/>
              </w:rPr>
            </w:pPr>
            <w:r w:rsidRPr="00681C2A">
              <w:rPr>
                <w:rFonts w:ascii="Palatino Linotype" w:eastAsia="Palatino Linotype" w:hAnsi="Palatino Linotype" w:cs="Palatino Linotype"/>
                <w:color w:val="000000"/>
                <w:sz w:val="22"/>
                <w:szCs w:val="22"/>
              </w:rPr>
              <w:t>Si es posible, se debe consultar al titular de los datos para requerir su autorización para entregarlo</w:t>
            </w:r>
          </w:p>
        </w:tc>
        <w:tc>
          <w:tcPr>
            <w:tcW w:w="2269"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c>
          <w:tcPr>
            <w:tcW w:w="2268" w:type="dxa"/>
          </w:tcPr>
          <w:p w:rsidR="00C22335" w:rsidRPr="00681C2A" w:rsidRDefault="00C22335">
            <w:pPr>
              <w:spacing w:line="360" w:lineRule="auto"/>
              <w:jc w:val="both"/>
              <w:rPr>
                <w:rFonts w:ascii="Palatino Linotype" w:eastAsia="Palatino Linotype" w:hAnsi="Palatino Linotype" w:cs="Palatino Linotype"/>
                <w:color w:val="000000"/>
                <w:sz w:val="22"/>
                <w:szCs w:val="22"/>
              </w:rPr>
            </w:pPr>
          </w:p>
        </w:tc>
      </w:tr>
    </w:tbl>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numPr>
          <w:ilvl w:val="0"/>
          <w:numId w:val="2"/>
        </w:numPr>
        <w:spacing w:line="360" w:lineRule="auto"/>
        <w:ind w:left="0" w:right="49" w:firstLine="0"/>
        <w:jc w:val="both"/>
        <w:rPr>
          <w:rFonts w:ascii="Palatino Linotype" w:eastAsia="Palatino Linotype" w:hAnsi="Palatino Linotype" w:cs="Palatino Linotype"/>
        </w:rPr>
      </w:pPr>
      <w:r w:rsidRPr="00681C2A">
        <w:rPr>
          <w:rFonts w:ascii="Palatino Linotype" w:eastAsia="Palatino Linotype" w:hAnsi="Palatino Linotype" w:cs="Palatino Linotype"/>
          <w:color w:val="000000"/>
        </w:rPr>
        <w:t>Pero si la información que se pretende clasificar como confidencial no se encuentra en los supuestos antes señalados y es posible, se deberá consulta</w:t>
      </w:r>
      <w:r w:rsidRPr="00681C2A">
        <w:rPr>
          <w:rFonts w:ascii="Palatino Linotype" w:eastAsia="Palatino Linotype" w:hAnsi="Palatino Linotype" w:cs="Palatino Linotype"/>
          <w:color w:val="000000"/>
        </w:rPr>
        <w:t>r al titular de los datos si permite o no el acceso. De no ser posible, la realización de la consulta procede, fundando y motivando, la clasificación.</w:t>
      </w:r>
    </w:p>
    <w:p w:rsidR="00C22335" w:rsidRPr="00681C2A" w:rsidRDefault="00C22335">
      <w:pPr>
        <w:spacing w:line="360" w:lineRule="auto"/>
        <w:ind w:right="49"/>
        <w:jc w:val="both"/>
        <w:rPr>
          <w:rFonts w:ascii="Palatino Linotype" w:eastAsia="Palatino Linotype" w:hAnsi="Palatino Linotype" w:cs="Palatino Linotype"/>
          <w:sz w:val="28"/>
          <w:szCs w:val="28"/>
        </w:rPr>
      </w:pPr>
    </w:p>
    <w:p w:rsidR="00C22335" w:rsidRPr="00681C2A" w:rsidRDefault="004922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1C2A">
        <w:rPr>
          <w:rFonts w:ascii="Palatino Linotype" w:eastAsia="Palatino Linotype" w:hAnsi="Palatino Linotype" w:cs="Palatino Linotype"/>
          <w:color w:val="000000"/>
        </w:rPr>
        <w:t xml:space="preserve">Por lo anteriormente expuesto y fundado, este </w:t>
      </w:r>
      <w:r w:rsidRPr="00681C2A">
        <w:rPr>
          <w:rFonts w:ascii="Palatino Linotype" w:eastAsia="Palatino Linotype" w:hAnsi="Palatino Linotype" w:cs="Palatino Linotype"/>
          <w:b/>
          <w:color w:val="000000"/>
        </w:rPr>
        <w:t>ÓRGANO GARANTE</w:t>
      </w:r>
      <w:r w:rsidRPr="00681C2A">
        <w:rPr>
          <w:rFonts w:ascii="Palatino Linotype" w:eastAsia="Palatino Linotype" w:hAnsi="Palatino Linotype" w:cs="Palatino Linotype"/>
          <w:color w:val="000000"/>
        </w:rPr>
        <w:t xml:space="preserve"> emite los siguientes:</w:t>
      </w:r>
    </w:p>
    <w:p w:rsidR="00C22335" w:rsidRPr="00681C2A" w:rsidRDefault="00C22335">
      <w:pPr>
        <w:spacing w:line="360" w:lineRule="auto"/>
        <w:ind w:right="49"/>
        <w:jc w:val="both"/>
        <w:rPr>
          <w:rFonts w:ascii="Palatino Linotype" w:eastAsia="Palatino Linotype" w:hAnsi="Palatino Linotype" w:cs="Palatino Linotype"/>
        </w:rPr>
      </w:pPr>
    </w:p>
    <w:p w:rsidR="00C22335" w:rsidRPr="00681C2A" w:rsidRDefault="00492294">
      <w:pPr>
        <w:keepNext/>
        <w:keepLines/>
        <w:spacing w:line="360" w:lineRule="auto"/>
        <w:jc w:val="center"/>
        <w:rPr>
          <w:rFonts w:ascii="Palatino Linotype" w:eastAsia="Palatino Linotype" w:hAnsi="Palatino Linotype" w:cs="Palatino Linotype"/>
          <w:b/>
          <w:color w:val="000000"/>
        </w:rPr>
      </w:pPr>
      <w:bookmarkStart w:id="23" w:name="_heading=h.2xcytpi" w:colFirst="0" w:colLast="0"/>
      <w:bookmarkEnd w:id="23"/>
      <w:r w:rsidRPr="00681C2A">
        <w:rPr>
          <w:rFonts w:ascii="Palatino Linotype" w:eastAsia="Palatino Linotype" w:hAnsi="Palatino Linotype" w:cs="Palatino Linotype"/>
          <w:b/>
          <w:color w:val="000000"/>
        </w:rPr>
        <w:t>R E S O L U T I V O S</w:t>
      </w:r>
    </w:p>
    <w:p w:rsidR="00C22335" w:rsidRPr="00681C2A" w:rsidRDefault="00C22335">
      <w:pPr>
        <w:keepNext/>
        <w:keepLines/>
        <w:spacing w:line="360" w:lineRule="auto"/>
        <w:jc w:val="center"/>
        <w:rPr>
          <w:rFonts w:ascii="Palatino Linotype" w:eastAsia="Palatino Linotype" w:hAnsi="Palatino Linotype" w:cs="Palatino Linotype"/>
          <w:b/>
          <w:color w:val="000000"/>
        </w:rPr>
      </w:pPr>
    </w:p>
    <w:p w:rsidR="00C22335" w:rsidRPr="00681C2A" w:rsidRDefault="00492294">
      <w:pPr>
        <w:spacing w:line="360" w:lineRule="auto"/>
        <w:ind w:right="48"/>
        <w:jc w:val="both"/>
        <w:rPr>
          <w:rFonts w:ascii="Palatino Linotype" w:eastAsia="Palatino Linotype" w:hAnsi="Palatino Linotype" w:cs="Palatino Linotype"/>
        </w:rPr>
      </w:pPr>
      <w:r w:rsidRPr="00681C2A">
        <w:rPr>
          <w:rFonts w:ascii="Palatino Linotype" w:eastAsia="Palatino Linotype" w:hAnsi="Palatino Linotype" w:cs="Palatino Linotype"/>
          <w:b/>
        </w:rPr>
        <w:t xml:space="preserve">PRIMERO. </w:t>
      </w:r>
      <w:r w:rsidRPr="00681C2A">
        <w:rPr>
          <w:rFonts w:ascii="Palatino Linotype" w:eastAsia="Palatino Linotype" w:hAnsi="Palatino Linotype" w:cs="Palatino Linotype"/>
        </w:rPr>
        <w:t>Resultan fundadas las</w:t>
      </w:r>
      <w:r w:rsidRPr="00681C2A">
        <w:rPr>
          <w:rFonts w:ascii="Palatino Linotype" w:eastAsia="Palatino Linotype" w:hAnsi="Palatino Linotype" w:cs="Palatino Linotype"/>
          <w:b/>
        </w:rPr>
        <w:t xml:space="preserve"> </w:t>
      </w:r>
      <w:r w:rsidRPr="00681C2A">
        <w:rPr>
          <w:rFonts w:ascii="Palatino Linotype" w:eastAsia="Palatino Linotype" w:hAnsi="Palatino Linotype" w:cs="Palatino Linotype"/>
        </w:rPr>
        <w:t xml:space="preserve">razones o motivos de inconformidad hechos valer en el recurso de revisión </w:t>
      </w:r>
      <w:r w:rsidRPr="00681C2A">
        <w:rPr>
          <w:rFonts w:ascii="Palatino Linotype" w:eastAsia="Palatino Linotype" w:hAnsi="Palatino Linotype" w:cs="Palatino Linotype"/>
          <w:b/>
        </w:rPr>
        <w:t xml:space="preserve">04883/INFOEM/IP/RR/2021, </w:t>
      </w:r>
      <w:r w:rsidRPr="00681C2A">
        <w:rPr>
          <w:rFonts w:ascii="Palatino Linotype" w:eastAsia="Palatino Linotype" w:hAnsi="Palatino Linotype" w:cs="Palatino Linotype"/>
        </w:rPr>
        <w:t xml:space="preserve">en términos del </w:t>
      </w:r>
      <w:r w:rsidRPr="00681C2A">
        <w:rPr>
          <w:rFonts w:ascii="Palatino Linotype" w:eastAsia="Palatino Linotype" w:hAnsi="Palatino Linotype" w:cs="Palatino Linotype"/>
          <w:b/>
        </w:rPr>
        <w:t>Considerando</w:t>
      </w:r>
      <w:r w:rsidRPr="00681C2A">
        <w:rPr>
          <w:rFonts w:ascii="Palatino Linotype" w:eastAsia="Palatino Linotype" w:hAnsi="Palatino Linotype" w:cs="Palatino Linotype"/>
        </w:rPr>
        <w:t xml:space="preserve"> </w:t>
      </w:r>
      <w:r w:rsidRPr="00681C2A">
        <w:rPr>
          <w:rFonts w:ascii="Palatino Linotype" w:eastAsia="Palatino Linotype" w:hAnsi="Palatino Linotype" w:cs="Palatino Linotype"/>
          <w:b/>
        </w:rPr>
        <w:t xml:space="preserve">CUARTO y QUINTO </w:t>
      </w:r>
      <w:r w:rsidRPr="00681C2A">
        <w:rPr>
          <w:rFonts w:ascii="Palatino Linotype" w:eastAsia="Palatino Linotype" w:hAnsi="Palatino Linotype" w:cs="Palatino Linotype"/>
        </w:rPr>
        <w:t>de la presente resolución.</w:t>
      </w:r>
    </w:p>
    <w:p w:rsidR="00C22335" w:rsidRPr="00681C2A" w:rsidRDefault="00C22335">
      <w:pPr>
        <w:spacing w:line="360" w:lineRule="auto"/>
        <w:ind w:right="48"/>
        <w:jc w:val="both"/>
        <w:rPr>
          <w:rFonts w:ascii="Palatino Linotype" w:eastAsia="Palatino Linotype" w:hAnsi="Palatino Linotype" w:cs="Palatino Linotype"/>
        </w:rPr>
      </w:pPr>
    </w:p>
    <w:p w:rsidR="00C22335" w:rsidRPr="00681C2A" w:rsidRDefault="00492294">
      <w:pPr>
        <w:spacing w:line="360" w:lineRule="auto"/>
        <w:ind w:right="48"/>
        <w:jc w:val="both"/>
        <w:rPr>
          <w:rFonts w:ascii="Palatino Linotype" w:eastAsia="Palatino Linotype" w:hAnsi="Palatino Linotype" w:cs="Palatino Linotype"/>
        </w:rPr>
      </w:pPr>
      <w:bookmarkStart w:id="24" w:name="_heading=h.1ci93xb" w:colFirst="0" w:colLast="0"/>
      <w:bookmarkEnd w:id="24"/>
      <w:r w:rsidRPr="00681C2A">
        <w:rPr>
          <w:rFonts w:ascii="Palatino Linotype" w:eastAsia="Palatino Linotype" w:hAnsi="Palatino Linotype" w:cs="Palatino Linotype"/>
          <w:b/>
        </w:rPr>
        <w:t>SEGUNDO.</w:t>
      </w:r>
      <w:r w:rsidRPr="00681C2A">
        <w:rPr>
          <w:rFonts w:ascii="Palatino Linotype" w:eastAsia="Palatino Linotype" w:hAnsi="Palatino Linotype" w:cs="Palatino Linotype"/>
          <w:color w:val="2F5496"/>
          <w:sz w:val="36"/>
          <w:szCs w:val="36"/>
        </w:rPr>
        <w:t xml:space="preserve"> </w:t>
      </w:r>
      <w:r w:rsidRPr="00681C2A">
        <w:rPr>
          <w:rFonts w:ascii="Palatino Linotype" w:eastAsia="Palatino Linotype" w:hAnsi="Palatino Linotype" w:cs="Palatino Linotype"/>
        </w:rPr>
        <w:t>Se</w:t>
      </w:r>
      <w:r w:rsidRPr="00681C2A">
        <w:rPr>
          <w:rFonts w:ascii="Palatino Linotype" w:eastAsia="Palatino Linotype" w:hAnsi="Palatino Linotype" w:cs="Palatino Linotype"/>
          <w:b/>
        </w:rPr>
        <w:t xml:space="preserve"> REVOCA </w:t>
      </w:r>
      <w:r w:rsidRPr="00681C2A">
        <w:rPr>
          <w:rFonts w:ascii="Palatino Linotype" w:eastAsia="Palatino Linotype" w:hAnsi="Palatino Linotype" w:cs="Palatino Linotype"/>
        </w:rPr>
        <w:t>la respuest</w:t>
      </w:r>
      <w:r w:rsidRPr="00681C2A">
        <w:rPr>
          <w:rFonts w:ascii="Palatino Linotype" w:eastAsia="Palatino Linotype" w:hAnsi="Palatino Linotype" w:cs="Palatino Linotype"/>
        </w:rPr>
        <w:t xml:space="preserve">a emitida por el </w:t>
      </w:r>
      <w:r w:rsidRPr="00681C2A">
        <w:rPr>
          <w:rFonts w:ascii="Palatino Linotype" w:eastAsia="Palatino Linotype" w:hAnsi="Palatino Linotype" w:cs="Palatino Linotype"/>
          <w:b/>
        </w:rPr>
        <w:t xml:space="preserve">Ayuntamiento de </w:t>
      </w:r>
      <w:proofErr w:type="spellStart"/>
      <w:r w:rsidRPr="00681C2A">
        <w:rPr>
          <w:rFonts w:ascii="Palatino Linotype" w:eastAsia="Palatino Linotype" w:hAnsi="Palatino Linotype" w:cs="Palatino Linotype"/>
          <w:b/>
        </w:rPr>
        <w:t>Capulhuac</w:t>
      </w:r>
      <w:proofErr w:type="spellEnd"/>
      <w:r w:rsidRPr="00681C2A">
        <w:rPr>
          <w:rFonts w:ascii="Palatino Linotype" w:eastAsia="Palatino Linotype" w:hAnsi="Palatino Linotype" w:cs="Palatino Linotype"/>
        </w:rPr>
        <w:t xml:space="preserve"> y se</w:t>
      </w:r>
      <w:r w:rsidRPr="00681C2A">
        <w:rPr>
          <w:rFonts w:ascii="Palatino Linotype" w:eastAsia="Palatino Linotype" w:hAnsi="Palatino Linotype" w:cs="Palatino Linotype"/>
          <w:b/>
        </w:rPr>
        <w:t xml:space="preserve"> ORDENA </w:t>
      </w:r>
      <w:r w:rsidRPr="00681C2A">
        <w:rPr>
          <w:rFonts w:ascii="Palatino Linotype" w:eastAsia="Palatino Linotype" w:hAnsi="Palatino Linotype" w:cs="Palatino Linotype"/>
        </w:rPr>
        <w:t>entregar vía Sistema de Accesos a la Información Mexiquense (SAIMEX), de ser procedente en versión pública, la siguiente información referente al año 2021:</w:t>
      </w:r>
    </w:p>
    <w:p w:rsidR="00C22335" w:rsidRPr="00681C2A" w:rsidRDefault="00C22335">
      <w:pPr>
        <w:spacing w:line="360" w:lineRule="auto"/>
        <w:ind w:right="48"/>
        <w:jc w:val="both"/>
        <w:rPr>
          <w:rFonts w:ascii="Palatino Linotype" w:eastAsia="Palatino Linotype" w:hAnsi="Palatino Linotype" w:cs="Palatino Linotype"/>
        </w:rPr>
      </w:pPr>
    </w:p>
    <w:p w:rsidR="00C22335" w:rsidRPr="00681C2A" w:rsidRDefault="00492294">
      <w:pPr>
        <w:spacing w:line="360" w:lineRule="auto"/>
        <w:ind w:left="567" w:right="899"/>
        <w:jc w:val="both"/>
        <w:rPr>
          <w:rFonts w:ascii="Palatino Linotype" w:eastAsia="Palatino Linotype" w:hAnsi="Palatino Linotype" w:cs="Palatino Linotype"/>
          <w:b/>
        </w:rPr>
      </w:pPr>
      <w:r w:rsidRPr="00681C2A">
        <w:rPr>
          <w:rFonts w:ascii="Palatino Linotype" w:eastAsia="Palatino Linotype" w:hAnsi="Palatino Linotype" w:cs="Palatino Linotype"/>
          <w:b/>
        </w:rPr>
        <w:t>a) Primer levantamiento físico de los bienes</w:t>
      </w:r>
      <w:r w:rsidRPr="00681C2A">
        <w:rPr>
          <w:rFonts w:ascii="Palatino Linotype" w:eastAsia="Palatino Linotype" w:hAnsi="Palatino Linotype" w:cs="Palatino Linotype"/>
          <w:b/>
        </w:rPr>
        <w:t xml:space="preserve"> muebles de bajo costo del Municipio de </w:t>
      </w:r>
      <w:proofErr w:type="spellStart"/>
      <w:r w:rsidRPr="00681C2A">
        <w:rPr>
          <w:rFonts w:ascii="Palatino Linotype" w:eastAsia="Palatino Linotype" w:hAnsi="Palatino Linotype" w:cs="Palatino Linotype"/>
          <w:b/>
        </w:rPr>
        <w:t>Capulhuac</w:t>
      </w:r>
      <w:proofErr w:type="spellEnd"/>
      <w:r w:rsidRPr="00681C2A">
        <w:rPr>
          <w:rFonts w:ascii="Palatino Linotype" w:eastAsia="Palatino Linotype" w:hAnsi="Palatino Linotype" w:cs="Palatino Linotype"/>
          <w:b/>
        </w:rPr>
        <w:t>.</w:t>
      </w:r>
    </w:p>
    <w:p w:rsidR="00C22335" w:rsidRPr="00681C2A" w:rsidRDefault="00492294">
      <w:pPr>
        <w:spacing w:line="360" w:lineRule="auto"/>
        <w:ind w:left="567" w:right="899"/>
        <w:jc w:val="both"/>
        <w:rPr>
          <w:rFonts w:ascii="Palatino Linotype" w:eastAsia="Palatino Linotype" w:hAnsi="Palatino Linotype" w:cs="Palatino Linotype"/>
          <w:b/>
        </w:rPr>
      </w:pPr>
      <w:r w:rsidRPr="00681C2A">
        <w:rPr>
          <w:rFonts w:ascii="Palatino Linotype" w:eastAsia="Palatino Linotype" w:hAnsi="Palatino Linotype" w:cs="Palatino Linotype"/>
          <w:b/>
        </w:rPr>
        <w:t xml:space="preserve">b) Acta o actas circunstanciadas de los bienes muebles de bajo costo de cada unidad administrativa del Municipio de </w:t>
      </w:r>
      <w:proofErr w:type="spellStart"/>
      <w:r w:rsidRPr="00681C2A">
        <w:rPr>
          <w:rFonts w:ascii="Palatino Linotype" w:eastAsia="Palatino Linotype" w:hAnsi="Palatino Linotype" w:cs="Palatino Linotype"/>
          <w:b/>
        </w:rPr>
        <w:t>Capulhuac</w:t>
      </w:r>
      <w:proofErr w:type="spellEnd"/>
      <w:r w:rsidRPr="00681C2A">
        <w:rPr>
          <w:rFonts w:ascii="Palatino Linotype" w:eastAsia="Palatino Linotype" w:hAnsi="Palatino Linotype" w:cs="Palatino Linotype"/>
          <w:b/>
        </w:rPr>
        <w:t>.</w:t>
      </w:r>
    </w:p>
    <w:p w:rsidR="00C22335" w:rsidRPr="00681C2A" w:rsidRDefault="00C22335">
      <w:pPr>
        <w:spacing w:line="360" w:lineRule="auto"/>
        <w:ind w:right="48"/>
        <w:jc w:val="both"/>
        <w:rPr>
          <w:rFonts w:ascii="Palatino Linotype" w:eastAsia="Palatino Linotype" w:hAnsi="Palatino Linotype" w:cs="Palatino Linotype"/>
        </w:rPr>
      </w:pPr>
    </w:p>
    <w:p w:rsidR="00C22335" w:rsidRPr="00681C2A" w:rsidRDefault="00492294">
      <w:pPr>
        <w:tabs>
          <w:tab w:val="left" w:pos="8080"/>
        </w:tabs>
        <w:spacing w:line="360" w:lineRule="auto"/>
        <w:ind w:right="48"/>
        <w:jc w:val="both"/>
        <w:rPr>
          <w:rFonts w:ascii="Palatino Linotype" w:eastAsia="Palatino Linotype" w:hAnsi="Palatino Linotype" w:cs="Palatino Linotype"/>
        </w:rPr>
      </w:pPr>
      <w:r w:rsidRPr="00681C2A">
        <w:rPr>
          <w:rFonts w:ascii="Palatino Linotype" w:eastAsia="Palatino Linotype" w:hAnsi="Palatino Linotype" w:cs="Palatino Linotype"/>
        </w:rPr>
        <w:t>Para efectos de lo anterior, se deberá emitir el Acuerdo del Comité de Transp</w:t>
      </w:r>
      <w:r w:rsidRPr="00681C2A">
        <w:rPr>
          <w:rFonts w:ascii="Palatino Linotype" w:eastAsia="Palatino Linotype" w:hAnsi="Palatino Linotype" w:cs="Palatino Linotype"/>
        </w:rPr>
        <w:t>arencia en términos de los artículos 49, fracción VIII y 132, fracción II de la Ley de Transparencia y Acceso a la Información Pública del Estado de México y Municipios, en el que funde y motive las razones sobre los datos que se supriman o eliminen dentro</w:t>
      </w:r>
      <w:r w:rsidRPr="00681C2A">
        <w:rPr>
          <w:rFonts w:ascii="Palatino Linotype" w:eastAsia="Palatino Linotype" w:hAnsi="Palatino Linotype" w:cs="Palatino Linotype"/>
        </w:rPr>
        <w:t xml:space="preserve"> del soporte documental respectivo objeto de las versiones públicas que se formulen y se pongan a disposición de </w:t>
      </w:r>
      <w:r w:rsidRPr="00681C2A">
        <w:rPr>
          <w:rFonts w:ascii="Palatino Linotype" w:eastAsia="Palatino Linotype" w:hAnsi="Palatino Linotype" w:cs="Palatino Linotype"/>
          <w:b/>
        </w:rPr>
        <w:t>EL RECURRENTE.</w:t>
      </w:r>
    </w:p>
    <w:p w:rsidR="00C22335" w:rsidRPr="00681C2A" w:rsidRDefault="00C22335">
      <w:pPr>
        <w:tabs>
          <w:tab w:val="left" w:pos="8080"/>
        </w:tabs>
        <w:spacing w:line="360" w:lineRule="auto"/>
        <w:ind w:right="48"/>
        <w:jc w:val="both"/>
        <w:rPr>
          <w:rFonts w:ascii="Palatino Linotype" w:eastAsia="Palatino Linotype" w:hAnsi="Palatino Linotype" w:cs="Palatino Linotype"/>
          <w:b/>
        </w:rPr>
      </w:pPr>
    </w:p>
    <w:p w:rsidR="00C22335" w:rsidRPr="00681C2A" w:rsidRDefault="00492294">
      <w:pPr>
        <w:tabs>
          <w:tab w:val="left" w:pos="8080"/>
        </w:tabs>
        <w:spacing w:line="360" w:lineRule="auto"/>
        <w:ind w:right="48"/>
        <w:jc w:val="both"/>
        <w:rPr>
          <w:rFonts w:ascii="Palatino Linotype" w:eastAsia="Palatino Linotype" w:hAnsi="Palatino Linotype" w:cs="Palatino Linotype"/>
          <w:b/>
        </w:rPr>
      </w:pPr>
      <w:r w:rsidRPr="00681C2A">
        <w:rPr>
          <w:rFonts w:ascii="Palatino Linotype" w:eastAsia="Palatino Linotype" w:hAnsi="Palatino Linotype" w:cs="Palatino Linotype"/>
          <w:b/>
        </w:rPr>
        <w:t xml:space="preserve">TERCERO. Notifíquese </w:t>
      </w:r>
      <w:r w:rsidRPr="00681C2A">
        <w:rPr>
          <w:rFonts w:ascii="Palatino Linotype" w:eastAsia="Palatino Linotype" w:hAnsi="Palatino Linotype" w:cs="Palatino Linotype"/>
        </w:rPr>
        <w:t xml:space="preserve">al Titular de la Unidad de Transparencia del </w:t>
      </w:r>
      <w:r w:rsidRPr="00681C2A">
        <w:rPr>
          <w:rFonts w:ascii="Palatino Linotype" w:eastAsia="Palatino Linotype" w:hAnsi="Palatino Linotype" w:cs="Palatino Linotype"/>
          <w:b/>
        </w:rPr>
        <w:t>SUJETO OBLIGADO</w:t>
      </w:r>
      <w:r w:rsidRPr="00681C2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81C2A">
        <w:rPr>
          <w:rFonts w:ascii="Palatino Linotype" w:eastAsia="Palatino Linotype" w:hAnsi="Palatino Linotype" w:cs="Palatino Linotype"/>
          <w:color w:val="222222"/>
        </w:rPr>
        <w:t xml:space="preserve">vigente, dé cumplimiento a lo ordenado dentro del plazo de diez días hábiles, </w:t>
      </w:r>
      <w:r w:rsidRPr="00681C2A">
        <w:rPr>
          <w:rFonts w:ascii="Palatino Linotype" w:eastAsia="Palatino Linotype" w:hAnsi="Palatino Linotype" w:cs="Palatino Linotype"/>
          <w:color w:val="222222"/>
        </w:rPr>
        <w:t>debiendo rendir a este Instituto el informe de cumplimiento de la resolución en un plazo de tres días hábiles posteriores.</w:t>
      </w:r>
    </w:p>
    <w:p w:rsidR="00C22335" w:rsidRPr="00681C2A" w:rsidRDefault="00492294">
      <w:pPr>
        <w:shd w:val="clear" w:color="auto" w:fill="FFFFFF"/>
        <w:tabs>
          <w:tab w:val="left" w:pos="4020"/>
        </w:tabs>
        <w:spacing w:line="360" w:lineRule="auto"/>
        <w:ind w:right="48"/>
        <w:jc w:val="both"/>
        <w:rPr>
          <w:rFonts w:ascii="Palatino Linotype" w:eastAsia="Palatino Linotype" w:hAnsi="Palatino Linotype" w:cs="Palatino Linotype"/>
          <w:b/>
        </w:rPr>
      </w:pPr>
      <w:bookmarkStart w:id="25" w:name="_heading=h.3whwml4" w:colFirst="0" w:colLast="0"/>
      <w:bookmarkEnd w:id="25"/>
      <w:r w:rsidRPr="00681C2A">
        <w:rPr>
          <w:rFonts w:ascii="Palatino Linotype" w:eastAsia="Palatino Linotype" w:hAnsi="Palatino Linotype" w:cs="Palatino Linotype"/>
          <w:b/>
        </w:rPr>
        <w:tab/>
      </w:r>
    </w:p>
    <w:p w:rsidR="00C22335" w:rsidRPr="00681C2A" w:rsidRDefault="00492294">
      <w:pPr>
        <w:shd w:val="clear" w:color="auto" w:fill="FFFFFF"/>
        <w:spacing w:line="360" w:lineRule="auto"/>
        <w:ind w:right="48"/>
        <w:jc w:val="both"/>
        <w:rPr>
          <w:rFonts w:ascii="Palatino Linotype" w:eastAsia="Palatino Linotype" w:hAnsi="Palatino Linotype" w:cs="Palatino Linotype"/>
        </w:rPr>
      </w:pPr>
      <w:r w:rsidRPr="00681C2A">
        <w:rPr>
          <w:rFonts w:ascii="Palatino Linotype" w:eastAsia="Palatino Linotype" w:hAnsi="Palatino Linotype" w:cs="Palatino Linotype"/>
          <w:b/>
        </w:rPr>
        <w:t>CUARTO. Notifíquese al RECURRENTE</w:t>
      </w:r>
      <w:r w:rsidRPr="00681C2A">
        <w:rPr>
          <w:rFonts w:ascii="Palatino Linotype" w:eastAsia="Palatino Linotype" w:hAnsi="Palatino Linotype" w:cs="Palatino Linotype"/>
        </w:rPr>
        <w:t xml:space="preserve"> la presente resolución vía SAIMEX.</w:t>
      </w:r>
    </w:p>
    <w:p w:rsidR="00C22335" w:rsidRPr="00681C2A" w:rsidRDefault="00C22335">
      <w:pPr>
        <w:shd w:val="clear" w:color="auto" w:fill="FFFFFF"/>
        <w:spacing w:line="360" w:lineRule="auto"/>
        <w:ind w:right="48"/>
        <w:jc w:val="both"/>
        <w:rPr>
          <w:rFonts w:ascii="Palatino Linotype" w:eastAsia="Palatino Linotype" w:hAnsi="Palatino Linotype" w:cs="Palatino Linotype"/>
          <w:b/>
          <w:color w:val="FF0000"/>
        </w:rPr>
      </w:pPr>
    </w:p>
    <w:p w:rsidR="00C22335" w:rsidRPr="00681C2A" w:rsidRDefault="00492294">
      <w:pPr>
        <w:spacing w:line="360" w:lineRule="auto"/>
        <w:ind w:right="48"/>
        <w:jc w:val="both"/>
        <w:rPr>
          <w:rFonts w:ascii="Palatino Linotype" w:eastAsia="Palatino Linotype" w:hAnsi="Palatino Linotype" w:cs="Palatino Linotype"/>
        </w:rPr>
      </w:pPr>
      <w:r w:rsidRPr="00681C2A">
        <w:rPr>
          <w:rFonts w:ascii="Palatino Linotype" w:eastAsia="Palatino Linotype" w:hAnsi="Palatino Linotype" w:cs="Palatino Linotype"/>
          <w:b/>
        </w:rPr>
        <w:t>QUINTO.</w:t>
      </w:r>
      <w:r w:rsidRPr="00681C2A">
        <w:rPr>
          <w:rFonts w:ascii="Palatino Linotype" w:eastAsia="Palatino Linotype" w:hAnsi="Palatino Linotype" w:cs="Palatino Linotype"/>
        </w:rPr>
        <w:t xml:space="preserve"> Se hace del conocimiento del </w:t>
      </w:r>
      <w:r w:rsidRPr="00681C2A">
        <w:rPr>
          <w:rFonts w:ascii="Palatino Linotype" w:eastAsia="Palatino Linotype" w:hAnsi="Palatino Linotype" w:cs="Palatino Linotype"/>
          <w:b/>
        </w:rPr>
        <w:t>RECURRENTE</w:t>
      </w:r>
      <w:r w:rsidRPr="00681C2A">
        <w:rPr>
          <w:rFonts w:ascii="Palatino Linotype" w:eastAsia="Palatino Linotype" w:hAnsi="Palatino Linotype" w:cs="Palatino Linotype"/>
        </w:rPr>
        <w:t xml:space="preserve"> que de confor</w:t>
      </w:r>
      <w:r w:rsidRPr="00681C2A">
        <w:rPr>
          <w:rFonts w:ascii="Palatino Linotype" w:eastAsia="Palatino Linotype" w:hAnsi="Palatino Linotype" w:cs="Palatino Linotype"/>
        </w:rPr>
        <w:t>midad con lo establecido en el artículo 196 de la Ley de Transparencia y Acceso a la Información Pública del Estado de México y Municipios, en caso de que considere que la resolución le cause algún perjuicio podrá impugnarla vía juicio de amparo en los tér</w:t>
      </w:r>
      <w:r w:rsidRPr="00681C2A">
        <w:rPr>
          <w:rFonts w:ascii="Palatino Linotype" w:eastAsia="Palatino Linotype" w:hAnsi="Palatino Linotype" w:cs="Palatino Linotype"/>
        </w:rPr>
        <w:t>minos de las leyes aplicables.</w:t>
      </w:r>
    </w:p>
    <w:p w:rsidR="00C22335" w:rsidRPr="00681C2A" w:rsidRDefault="00C22335">
      <w:pPr>
        <w:spacing w:line="360" w:lineRule="auto"/>
        <w:ind w:right="48"/>
        <w:jc w:val="both"/>
        <w:rPr>
          <w:rFonts w:ascii="Palatino Linotype" w:eastAsia="Palatino Linotype" w:hAnsi="Palatino Linotype" w:cs="Palatino Linotype"/>
          <w:color w:val="000000"/>
        </w:rPr>
      </w:pPr>
    </w:p>
    <w:p w:rsidR="00C22335" w:rsidRPr="00681C2A" w:rsidRDefault="00492294">
      <w:pPr>
        <w:spacing w:line="360" w:lineRule="auto"/>
        <w:ind w:right="48"/>
        <w:jc w:val="both"/>
        <w:rPr>
          <w:rFonts w:ascii="Palatino Linotype" w:eastAsia="Palatino Linotype" w:hAnsi="Palatino Linotype" w:cs="Palatino Linotype"/>
        </w:rPr>
      </w:pPr>
      <w:r w:rsidRPr="00681C2A">
        <w:rPr>
          <w:rFonts w:ascii="Palatino Linotype" w:eastAsia="Palatino Linotype" w:hAnsi="Palatino Linotype" w:cs="Palatino Linotype"/>
          <w:b/>
          <w:color w:val="000000"/>
        </w:rPr>
        <w:lastRenderedPageBreak/>
        <w:t xml:space="preserve">SEXTO. </w:t>
      </w:r>
      <w:r w:rsidRPr="00681C2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w:t>
      </w:r>
      <w:r w:rsidRPr="00681C2A">
        <w:rPr>
          <w:rFonts w:ascii="Palatino Linotype" w:eastAsia="Palatino Linotype" w:hAnsi="Palatino Linotype" w:cs="Palatino Linotype"/>
        </w:rPr>
        <w:t>icitar una ampliación de plazo para el cumplimiento de la presente resolución.</w:t>
      </w:r>
    </w:p>
    <w:p w:rsidR="00C22335" w:rsidRPr="00681C2A" w:rsidRDefault="00C22335">
      <w:pPr>
        <w:spacing w:line="360" w:lineRule="auto"/>
        <w:ind w:right="48"/>
        <w:jc w:val="both"/>
        <w:rPr>
          <w:rFonts w:ascii="Palatino Linotype" w:eastAsia="Palatino Linotype" w:hAnsi="Palatino Linotype" w:cs="Palatino Linotype"/>
        </w:rPr>
      </w:pPr>
    </w:p>
    <w:p w:rsidR="00C22335" w:rsidRDefault="00492294">
      <w:pPr>
        <w:spacing w:line="360" w:lineRule="auto"/>
        <w:ind w:right="-93"/>
        <w:jc w:val="both"/>
        <w:rPr>
          <w:rFonts w:ascii="Palatino Linotype" w:eastAsia="Palatino Linotype" w:hAnsi="Palatino Linotype" w:cs="Palatino Linotype"/>
        </w:rPr>
      </w:pPr>
      <w:r w:rsidRPr="00681C2A">
        <w:rPr>
          <w:rFonts w:ascii="Palatino Linotype" w:eastAsia="Palatino Linotype" w:hAnsi="Palatino Linotype" w:cs="Palatino Linotype"/>
        </w:rPr>
        <w:t xml:space="preserve">ASÍ LO RESUELVEN POR </w:t>
      </w:r>
      <w:r w:rsidRPr="00681C2A">
        <w:rPr>
          <w:rFonts w:ascii="Palatino Linotype" w:eastAsia="Palatino Linotype" w:hAnsi="Palatino Linotype" w:cs="Palatino Linotype"/>
          <w:b/>
        </w:rPr>
        <w:t>UNANIMIDAD</w:t>
      </w:r>
      <w:r w:rsidRPr="00681C2A">
        <w:rPr>
          <w:rFonts w:ascii="Palatino Linotype" w:eastAsia="Palatino Linotype" w:hAnsi="Palatino Linotype" w:cs="Palatino Linotype"/>
        </w:rPr>
        <w:t xml:space="preserve"> DE VOTOS DE LOS PRESENTES EL PLENO DEL INSTITUTO DE TRANSPARENCIA, ACCESO A LA INFORMACIÓN PÚBLICA Y PROTECCIÓN DE DATOS PERSONALES DEL ESTADO D</w:t>
      </w:r>
      <w:r w:rsidRPr="00681C2A">
        <w:rPr>
          <w:rFonts w:ascii="Palatino Linotype" w:eastAsia="Palatino Linotype" w:hAnsi="Palatino Linotype" w:cs="Palatino Linotype"/>
        </w:rPr>
        <w:t>E MÉXICO Y MUNICIPIOS, CONFORMADO POR LOS COMISIONADOS JOSÉ MARTÍNEZ VILCHIS, MARÍA DEL ROSARIO MEJÍA AYALA, SHARON CRISTINA MORALES MARTÍNEZ, LUIS GUSTAVO PARRA NORIEGA Y GUADALUPE RAMÍREZ PEÑA, EN LA CUADRÁGESIMA TERCERA SESIÓN ORDINARIA CELEBRADA EL DÍA</w:t>
      </w:r>
      <w:r w:rsidRPr="00681C2A">
        <w:rPr>
          <w:rFonts w:ascii="Palatino Linotype" w:eastAsia="Palatino Linotype" w:hAnsi="Palatino Linotype" w:cs="Palatino Linotype"/>
        </w:rPr>
        <w:t xml:space="preserve"> UNO DE DICIEMBRE   DE DOS MIL VEINTIUNO, ANTE EL SECRETARIO TÉCNICO DEL PLENO, ALEXIS TAPIA RAMÍREZ.</w:t>
      </w:r>
    </w:p>
    <w:p w:rsidR="00C22335" w:rsidRDefault="00C22335">
      <w:pPr>
        <w:spacing w:line="360" w:lineRule="auto"/>
        <w:jc w:val="both"/>
        <w:rPr>
          <w:rFonts w:ascii="Palatino Linotype" w:eastAsia="Palatino Linotype" w:hAnsi="Palatino Linotype" w:cs="Palatino Linotype"/>
        </w:rPr>
      </w:pPr>
    </w:p>
    <w:p w:rsidR="00C22335" w:rsidRDefault="00C22335">
      <w:pPr>
        <w:spacing w:line="360" w:lineRule="auto"/>
        <w:jc w:val="both"/>
        <w:rPr>
          <w:rFonts w:ascii="Palatino Linotype" w:eastAsia="Palatino Linotype" w:hAnsi="Palatino Linotype" w:cs="Palatino Linotype"/>
        </w:rPr>
      </w:pPr>
    </w:p>
    <w:p w:rsidR="00C22335" w:rsidRDefault="00C22335">
      <w:pPr>
        <w:spacing w:line="360" w:lineRule="auto"/>
        <w:rPr>
          <w:rFonts w:ascii="Palatino Linotype" w:eastAsia="Palatino Linotype" w:hAnsi="Palatino Linotype" w:cs="Palatino Linotype"/>
        </w:rPr>
      </w:pPr>
    </w:p>
    <w:p w:rsidR="00C22335" w:rsidRDefault="00C22335">
      <w:pPr>
        <w:spacing w:line="360" w:lineRule="auto"/>
        <w:rPr>
          <w:rFonts w:ascii="Palatino Linotype" w:eastAsia="Palatino Linotype" w:hAnsi="Palatino Linotype" w:cs="Palatino Linotype"/>
        </w:rPr>
      </w:pPr>
    </w:p>
    <w:p w:rsidR="00C22335" w:rsidRDefault="00C22335">
      <w:pPr>
        <w:spacing w:line="360" w:lineRule="auto"/>
        <w:rPr>
          <w:rFonts w:ascii="Palatino Linotype" w:eastAsia="Palatino Linotype" w:hAnsi="Palatino Linotype" w:cs="Palatino Linotype"/>
        </w:rPr>
      </w:pPr>
    </w:p>
    <w:p w:rsidR="00C22335" w:rsidRDefault="00C22335">
      <w:pPr>
        <w:spacing w:line="360" w:lineRule="auto"/>
        <w:rPr>
          <w:rFonts w:ascii="Palatino Linotype" w:eastAsia="Palatino Linotype" w:hAnsi="Palatino Linotype" w:cs="Palatino Linotype"/>
        </w:rPr>
      </w:pPr>
    </w:p>
    <w:p w:rsidR="00C22335" w:rsidRDefault="00C22335">
      <w:pPr>
        <w:spacing w:line="360" w:lineRule="auto"/>
        <w:rPr>
          <w:rFonts w:ascii="Palatino Linotype" w:eastAsia="Palatino Linotype" w:hAnsi="Palatino Linotype" w:cs="Palatino Linotype"/>
        </w:rPr>
      </w:pPr>
    </w:p>
    <w:sectPr w:rsidR="00C22335">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294" w:rsidRDefault="00492294">
      <w:r>
        <w:separator/>
      </w:r>
    </w:p>
  </w:endnote>
  <w:endnote w:type="continuationSeparator" w:id="0">
    <w:p w:rsidR="00492294" w:rsidRDefault="0049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35" w:rsidRDefault="0049229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sidR="00681C2A">
      <w:rPr>
        <w:b/>
        <w:color w:val="000000"/>
      </w:rPr>
      <w:fldChar w:fldCharType="separate"/>
    </w:r>
    <w:r w:rsidR="00681C2A">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sidR="00681C2A">
      <w:rPr>
        <w:b/>
        <w:color w:val="000000"/>
      </w:rPr>
      <w:fldChar w:fldCharType="separate"/>
    </w:r>
    <w:r w:rsidR="00681C2A">
      <w:rPr>
        <w:b/>
        <w:noProof/>
        <w:color w:val="000000"/>
      </w:rPr>
      <w:t>40</w:t>
    </w:r>
    <w:r>
      <w:rPr>
        <w:b/>
        <w:color w:val="000000"/>
      </w:rPr>
      <w:fldChar w:fldCharType="end"/>
    </w:r>
  </w:p>
  <w:p w:rsidR="00C22335" w:rsidRDefault="00C2233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35" w:rsidRDefault="0049229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sidR="00681C2A">
      <w:rPr>
        <w:b/>
        <w:color w:val="000000"/>
      </w:rPr>
      <w:fldChar w:fldCharType="separate"/>
    </w:r>
    <w:r w:rsidR="00681C2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sidR="00681C2A">
      <w:rPr>
        <w:b/>
        <w:color w:val="000000"/>
      </w:rPr>
      <w:fldChar w:fldCharType="separate"/>
    </w:r>
    <w:r w:rsidR="00681C2A">
      <w:rPr>
        <w:b/>
        <w:noProof/>
        <w:color w:val="000000"/>
      </w:rPr>
      <w:t>40</w:t>
    </w:r>
    <w:r>
      <w:rPr>
        <w:b/>
        <w:color w:val="000000"/>
      </w:rPr>
      <w:fldChar w:fldCharType="end"/>
    </w:r>
  </w:p>
  <w:p w:rsidR="00C22335" w:rsidRDefault="00C2233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294" w:rsidRDefault="00492294">
      <w:r>
        <w:separator/>
      </w:r>
    </w:p>
  </w:footnote>
  <w:footnote w:type="continuationSeparator" w:id="0">
    <w:p w:rsidR="00492294" w:rsidRDefault="00492294">
      <w:r>
        <w:continuationSeparator/>
      </w:r>
    </w:p>
  </w:footnote>
  <w:footnote w:id="1">
    <w:p w:rsidR="00C22335" w:rsidRDefault="0049229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C22335" w:rsidRDefault="0049229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C22335" w:rsidRDefault="0049229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C22335" w:rsidRDefault="0049229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w:t>
      </w:r>
      <w:proofErr w:type="spellStart"/>
      <w:r>
        <w:rPr>
          <w:rFonts w:ascii="Calibri" w:eastAsia="Calibri" w:hAnsi="Calibri" w:cs="Calibri"/>
          <w:color w:val="000000"/>
          <w:sz w:val="20"/>
          <w:szCs w:val="20"/>
        </w:rPr>
        <w:t>Parr</w:t>
      </w:r>
      <w:proofErr w:type="spellEnd"/>
      <w:r>
        <w:rPr>
          <w:rFonts w:ascii="Calibri" w:eastAsia="Calibri" w:hAnsi="Calibri" w:cs="Calibri"/>
          <w:color w:val="000000"/>
          <w:sz w:val="20"/>
          <w:szCs w:val="20"/>
        </w:rPr>
        <w:t>. 87.</w:t>
      </w:r>
    </w:p>
  </w:footnote>
  <w:footnote w:id="5">
    <w:p w:rsidR="00C22335" w:rsidRDefault="00492294">
      <w:pPr>
        <w:spacing w:line="276" w:lineRule="auto"/>
        <w:jc w:val="both"/>
        <w:rPr>
          <w:sz w:val="20"/>
          <w:szCs w:val="20"/>
        </w:rPr>
      </w:pPr>
      <w:r>
        <w:rPr>
          <w:vertAlign w:val="superscript"/>
        </w:rPr>
        <w:footnoteRef/>
      </w:r>
      <w:r>
        <w:t xml:space="preserve"> </w:t>
      </w:r>
      <w:r>
        <w:rPr>
          <w:b/>
          <w:sz w:val="20"/>
          <w:szCs w:val="20"/>
        </w:rPr>
        <w:t xml:space="preserve">Artículo 122. </w:t>
      </w:r>
      <w:r>
        <w:rPr>
          <w:sz w:val="20"/>
          <w:szCs w:val="20"/>
        </w:rPr>
        <w:t>La clasificación es el proceso mediante el cual el sujeto obligado determ</w:t>
      </w:r>
      <w:r>
        <w:rPr>
          <w:sz w:val="20"/>
          <w:szCs w:val="20"/>
        </w:rPr>
        <w:t xml:space="preserve">ina que la información en su poder </w:t>
      </w:r>
      <w:proofErr w:type="spellStart"/>
      <w:r>
        <w:rPr>
          <w:sz w:val="20"/>
          <w:szCs w:val="20"/>
        </w:rPr>
        <w:t>actualiza</w:t>
      </w:r>
      <w:proofErr w:type="spellEnd"/>
      <w:r>
        <w:rPr>
          <w:sz w:val="20"/>
          <w:szCs w:val="20"/>
        </w:rPr>
        <w:t xml:space="preserve"> alguno de los supuestos de reserva o confidencialidad, de conformidad con lo dispuesto en el presente título.</w:t>
      </w:r>
    </w:p>
    <w:p w:rsidR="00C22335" w:rsidRDefault="00492294">
      <w:pPr>
        <w:spacing w:line="276" w:lineRule="auto"/>
        <w:jc w:val="both"/>
        <w:rPr>
          <w:sz w:val="20"/>
          <w:szCs w:val="20"/>
        </w:rPr>
      </w:pPr>
      <w:r>
        <w:rPr>
          <w:sz w:val="20"/>
          <w:szCs w:val="20"/>
        </w:rPr>
        <w:t>Los supuestos de reserva o confidencialidad previstos en las leyes deberán ser acordes con las bases,</w:t>
      </w:r>
      <w:r>
        <w:rPr>
          <w:sz w:val="20"/>
          <w:szCs w:val="20"/>
        </w:rPr>
        <w:t xml:space="preserve"> principios y disposiciones establecidos en la Ley General y, en ningún caso, podrán contravenirla.</w:t>
      </w:r>
    </w:p>
    <w:p w:rsidR="00C22335" w:rsidRDefault="00492294">
      <w:pPr>
        <w:spacing w:line="276" w:lineRule="auto"/>
        <w:jc w:val="both"/>
        <w:rPr>
          <w:sz w:val="20"/>
          <w:szCs w:val="20"/>
        </w:rPr>
      </w:pPr>
      <w:r>
        <w:rPr>
          <w:sz w:val="20"/>
          <w:szCs w:val="20"/>
        </w:rPr>
        <w:t>Los titulares de las áreas de los sujetos obligados serán los responsables de clasificar la información, de conformidad con lo dispuesto en la presente Ley y demás disposiciones jurídicas aplicables.</w:t>
      </w:r>
    </w:p>
  </w:footnote>
  <w:footnote w:id="6">
    <w:p w:rsidR="00C22335" w:rsidRDefault="00492294">
      <w:pPr>
        <w:spacing w:line="276" w:lineRule="auto"/>
        <w:jc w:val="both"/>
        <w:rPr>
          <w:sz w:val="20"/>
          <w:szCs w:val="20"/>
        </w:rPr>
      </w:pPr>
      <w:r>
        <w:rPr>
          <w:vertAlign w:val="superscript"/>
        </w:rPr>
        <w:footnoteRef/>
      </w:r>
      <w:r>
        <w:rPr>
          <w:sz w:val="20"/>
          <w:szCs w:val="20"/>
        </w:rPr>
        <w:t xml:space="preserve"> </w:t>
      </w:r>
      <w:r>
        <w:rPr>
          <w:b/>
          <w:sz w:val="20"/>
          <w:szCs w:val="20"/>
        </w:rPr>
        <w:t>Artículo 135.</w:t>
      </w:r>
      <w:r>
        <w:rPr>
          <w:sz w:val="20"/>
          <w:szCs w:val="20"/>
        </w:rPr>
        <w:t xml:space="preserve"> Los lineamientos generales que se emitan</w:t>
      </w:r>
      <w:r>
        <w:rPr>
          <w:sz w:val="20"/>
          <w:szCs w:val="20"/>
        </w:rPr>
        <w:t xml:space="preserve"> al respecto en materia de clasificación de la información reservada y confidencial y, para la elaboración de versiones públicas, serán de observancia obligatoria para los sujetos obligados.</w:t>
      </w:r>
    </w:p>
  </w:footnote>
  <w:footnote w:id="7">
    <w:p w:rsidR="00C22335" w:rsidRDefault="00492294">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b/>
          <w:color w:val="000000"/>
          <w:sz w:val="20"/>
          <w:szCs w:val="20"/>
        </w:rPr>
        <w:t>RESTRICCIONES A LOS DERECHOS FUNDAMENTALES. ELEMENTOS QUE EL JU</w:t>
      </w:r>
      <w:r>
        <w:rPr>
          <w:rFonts w:ascii="Calibri" w:eastAsia="Calibri" w:hAnsi="Calibri" w:cs="Calibri"/>
          <w:b/>
          <w:color w:val="000000"/>
          <w:sz w:val="20"/>
          <w:szCs w:val="20"/>
        </w:rPr>
        <w:t>EZ CONSTITUCIONAL DEBE TOMAR EN CUENTA PARA CONSIDERARLAS VÁLIDAS.</w:t>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Ningún</w:t>
      </w:r>
      <w:proofErr w:type="spellEnd"/>
      <w:r>
        <w:rPr>
          <w:rFonts w:ascii="Calibri" w:eastAsia="Calibri" w:hAnsi="Calibri" w:cs="Calibri"/>
          <w:color w:val="000000"/>
          <w:sz w:val="20"/>
          <w:szCs w:val="20"/>
        </w:rPr>
        <w:t xml:space="preserve"> derecho fundamental es absoluto y en esa medida todos admiten restricciones. Sin embargo, la </w:t>
      </w:r>
      <w:proofErr w:type="spellStart"/>
      <w:r>
        <w:rPr>
          <w:rFonts w:ascii="Calibri" w:eastAsia="Calibri" w:hAnsi="Calibri" w:cs="Calibri"/>
          <w:color w:val="000000"/>
          <w:sz w:val="20"/>
          <w:szCs w:val="20"/>
        </w:rPr>
        <w:t>regulación</w:t>
      </w:r>
      <w:proofErr w:type="spellEnd"/>
      <w:r>
        <w:rPr>
          <w:rFonts w:ascii="Calibri" w:eastAsia="Calibri" w:hAnsi="Calibri" w:cs="Calibri"/>
          <w:color w:val="000000"/>
          <w:sz w:val="20"/>
          <w:szCs w:val="20"/>
        </w:rPr>
        <w:t xml:space="preserve"> de dichas restricciones no puede ser arbitraria. Para que las medidas emiti</w:t>
      </w:r>
      <w:r>
        <w:rPr>
          <w:rFonts w:ascii="Calibri" w:eastAsia="Calibri" w:hAnsi="Calibri" w:cs="Calibri"/>
          <w:color w:val="000000"/>
          <w:sz w:val="20"/>
          <w:szCs w:val="20"/>
        </w:rPr>
        <w:t xml:space="preserve">das por el legislador ordinario con el </w:t>
      </w:r>
      <w:proofErr w:type="spellStart"/>
      <w:r>
        <w:rPr>
          <w:rFonts w:ascii="Calibri" w:eastAsia="Calibri" w:hAnsi="Calibri" w:cs="Calibri"/>
          <w:color w:val="000000"/>
          <w:sz w:val="20"/>
          <w:szCs w:val="20"/>
        </w:rPr>
        <w:t>propósito</w:t>
      </w:r>
      <w:proofErr w:type="spellEnd"/>
      <w:r>
        <w:rPr>
          <w:rFonts w:ascii="Calibri" w:eastAsia="Calibri" w:hAnsi="Calibri" w:cs="Calibri"/>
          <w:color w:val="000000"/>
          <w:sz w:val="20"/>
          <w:szCs w:val="20"/>
        </w:rPr>
        <w:t xml:space="preserve"> de restringir los derechos fundamentales sean </w:t>
      </w:r>
      <w:proofErr w:type="spellStart"/>
      <w:r>
        <w:rPr>
          <w:rFonts w:ascii="Calibri" w:eastAsia="Calibri" w:hAnsi="Calibri" w:cs="Calibri"/>
          <w:color w:val="000000"/>
          <w:sz w:val="20"/>
          <w:szCs w:val="20"/>
        </w:rPr>
        <w:t>válidas</w:t>
      </w:r>
      <w:proofErr w:type="spellEnd"/>
      <w:r>
        <w:rPr>
          <w:rFonts w:ascii="Calibri" w:eastAsia="Calibri" w:hAnsi="Calibri" w:cs="Calibri"/>
          <w:color w:val="000000"/>
          <w:sz w:val="20"/>
          <w:szCs w:val="20"/>
        </w:rPr>
        <w:t xml:space="preserve">, deben satisfacer al menos los siguientes requisitos: a) ser admisibles dentro del </w:t>
      </w:r>
      <w:proofErr w:type="spellStart"/>
      <w:r>
        <w:rPr>
          <w:rFonts w:ascii="Calibri" w:eastAsia="Calibri" w:hAnsi="Calibri" w:cs="Calibri"/>
          <w:color w:val="000000"/>
          <w:sz w:val="20"/>
          <w:szCs w:val="20"/>
        </w:rPr>
        <w:t>ámbito</w:t>
      </w:r>
      <w:proofErr w:type="spellEnd"/>
      <w:r>
        <w:rPr>
          <w:rFonts w:ascii="Calibri" w:eastAsia="Calibri" w:hAnsi="Calibri" w:cs="Calibri"/>
          <w:color w:val="000000"/>
          <w:sz w:val="20"/>
          <w:szCs w:val="20"/>
        </w:rPr>
        <w:t xml:space="preserve"> constitucional, esto es, el legislador ordinario </w:t>
      </w:r>
      <w:proofErr w:type="spellStart"/>
      <w:r>
        <w:rPr>
          <w:rFonts w:ascii="Calibri" w:eastAsia="Calibri" w:hAnsi="Calibri" w:cs="Calibri"/>
          <w:color w:val="000000"/>
          <w:sz w:val="20"/>
          <w:szCs w:val="20"/>
        </w:rPr>
        <w:t>sólo</w:t>
      </w:r>
      <w:proofErr w:type="spellEnd"/>
      <w:r>
        <w:rPr>
          <w:rFonts w:ascii="Calibri" w:eastAsia="Calibri" w:hAnsi="Calibri" w:cs="Calibri"/>
          <w:color w:val="000000"/>
          <w:sz w:val="20"/>
          <w:szCs w:val="20"/>
        </w:rPr>
        <w:t xml:space="preserve"> puede</w:t>
      </w:r>
      <w:r>
        <w:rPr>
          <w:rFonts w:ascii="Calibri" w:eastAsia="Calibri" w:hAnsi="Calibri" w:cs="Calibri"/>
          <w:color w:val="000000"/>
          <w:sz w:val="20"/>
          <w:szCs w:val="20"/>
        </w:rPr>
        <w:t xml:space="preserve"> restringir o suspender el ejercicio de las </w:t>
      </w:r>
      <w:proofErr w:type="spellStart"/>
      <w:r>
        <w:rPr>
          <w:rFonts w:ascii="Calibri" w:eastAsia="Calibri" w:hAnsi="Calibri" w:cs="Calibri"/>
          <w:color w:val="000000"/>
          <w:sz w:val="20"/>
          <w:szCs w:val="20"/>
        </w:rPr>
        <w:t>garantías</w:t>
      </w:r>
      <w:proofErr w:type="spellEnd"/>
      <w:r>
        <w:rPr>
          <w:rFonts w:ascii="Calibri" w:eastAsia="Calibri" w:hAnsi="Calibri" w:cs="Calibri"/>
          <w:color w:val="000000"/>
          <w:sz w:val="20"/>
          <w:szCs w:val="20"/>
        </w:rPr>
        <w:t xml:space="preserve"> individuales con objetivos que puedan enmarcarse dentro de las previsiones de la Carta Magna; b) ser necesarias para asegurar la </w:t>
      </w:r>
      <w:proofErr w:type="spellStart"/>
      <w:r>
        <w:rPr>
          <w:rFonts w:ascii="Calibri" w:eastAsia="Calibri" w:hAnsi="Calibri" w:cs="Calibri"/>
          <w:color w:val="000000"/>
          <w:sz w:val="20"/>
          <w:szCs w:val="20"/>
        </w:rPr>
        <w:t>obtención</w:t>
      </w:r>
      <w:proofErr w:type="spellEnd"/>
      <w:r>
        <w:rPr>
          <w:rFonts w:ascii="Calibri" w:eastAsia="Calibri" w:hAnsi="Calibri" w:cs="Calibri"/>
          <w:color w:val="000000"/>
          <w:sz w:val="20"/>
          <w:szCs w:val="20"/>
        </w:rPr>
        <w:t xml:space="preserve"> de los fines que fundamentan la </w:t>
      </w:r>
      <w:proofErr w:type="spellStart"/>
      <w:r>
        <w:rPr>
          <w:rFonts w:ascii="Calibri" w:eastAsia="Calibri" w:hAnsi="Calibri" w:cs="Calibri"/>
          <w:color w:val="000000"/>
          <w:sz w:val="20"/>
          <w:szCs w:val="20"/>
        </w:rPr>
        <w:t>restricción</w:t>
      </w:r>
      <w:proofErr w:type="spellEnd"/>
      <w:r>
        <w:rPr>
          <w:rFonts w:ascii="Calibri" w:eastAsia="Calibri" w:hAnsi="Calibri" w:cs="Calibri"/>
          <w:color w:val="000000"/>
          <w:sz w:val="20"/>
          <w:szCs w:val="20"/>
        </w:rPr>
        <w:t xml:space="preserve"> constitucional, </w:t>
      </w:r>
      <w:r>
        <w:rPr>
          <w:rFonts w:ascii="Calibri" w:eastAsia="Calibri" w:hAnsi="Calibri" w:cs="Calibri"/>
          <w:color w:val="000000"/>
          <w:sz w:val="20"/>
          <w:szCs w:val="20"/>
        </w:rPr>
        <w:t xml:space="preserve">es decir, no basta que la </w:t>
      </w:r>
      <w:proofErr w:type="spellStart"/>
      <w:r>
        <w:rPr>
          <w:rFonts w:ascii="Calibri" w:eastAsia="Calibri" w:hAnsi="Calibri" w:cs="Calibri"/>
          <w:color w:val="000000"/>
          <w:sz w:val="20"/>
          <w:szCs w:val="20"/>
        </w:rPr>
        <w:t>restricción</w:t>
      </w:r>
      <w:proofErr w:type="spellEnd"/>
      <w:r>
        <w:rPr>
          <w:rFonts w:ascii="Calibri" w:eastAsia="Calibri" w:hAnsi="Calibri" w:cs="Calibri"/>
          <w:color w:val="000000"/>
          <w:sz w:val="20"/>
          <w:szCs w:val="20"/>
        </w:rPr>
        <w:t xml:space="preserve"> sea en </w:t>
      </w:r>
      <w:proofErr w:type="spellStart"/>
      <w:r>
        <w:rPr>
          <w:rFonts w:ascii="Calibri" w:eastAsia="Calibri" w:hAnsi="Calibri" w:cs="Calibri"/>
          <w:color w:val="000000"/>
          <w:sz w:val="20"/>
          <w:szCs w:val="20"/>
        </w:rPr>
        <w:t>términos</w:t>
      </w:r>
      <w:proofErr w:type="spellEnd"/>
      <w:r>
        <w:rPr>
          <w:rFonts w:ascii="Calibri" w:eastAsia="Calibri" w:hAnsi="Calibri" w:cs="Calibri"/>
          <w:color w:val="000000"/>
          <w:sz w:val="20"/>
          <w:szCs w:val="20"/>
        </w:rPr>
        <w:t xml:space="preserve"> amplios </w:t>
      </w:r>
      <w:proofErr w:type="spellStart"/>
      <w:r>
        <w:rPr>
          <w:rFonts w:ascii="Calibri" w:eastAsia="Calibri" w:hAnsi="Calibri" w:cs="Calibri"/>
          <w:color w:val="000000"/>
          <w:sz w:val="20"/>
          <w:szCs w:val="20"/>
        </w:rPr>
        <w:t>útil</w:t>
      </w:r>
      <w:proofErr w:type="spellEnd"/>
      <w:r>
        <w:rPr>
          <w:rFonts w:ascii="Calibri" w:eastAsia="Calibri" w:hAnsi="Calibri" w:cs="Calibri"/>
          <w:color w:val="000000"/>
          <w:sz w:val="20"/>
          <w:szCs w:val="20"/>
        </w:rPr>
        <w:t xml:space="preserve"> para la </w:t>
      </w:r>
      <w:proofErr w:type="spellStart"/>
      <w:r>
        <w:rPr>
          <w:rFonts w:ascii="Calibri" w:eastAsia="Calibri" w:hAnsi="Calibri" w:cs="Calibri"/>
          <w:color w:val="000000"/>
          <w:sz w:val="20"/>
          <w:szCs w:val="20"/>
        </w:rPr>
        <w:t>obtención</w:t>
      </w:r>
      <w:proofErr w:type="spellEnd"/>
      <w:r>
        <w:rPr>
          <w:rFonts w:ascii="Calibri" w:eastAsia="Calibri" w:hAnsi="Calibri" w:cs="Calibri"/>
          <w:color w:val="000000"/>
          <w:sz w:val="20"/>
          <w:szCs w:val="20"/>
        </w:rPr>
        <w:t xml:space="preserve"> de esos objetivos, sino que debe ser la </w:t>
      </w:r>
      <w:proofErr w:type="spellStart"/>
      <w:r>
        <w:rPr>
          <w:rFonts w:ascii="Calibri" w:eastAsia="Calibri" w:hAnsi="Calibri" w:cs="Calibri"/>
          <w:color w:val="000000"/>
          <w:sz w:val="20"/>
          <w:szCs w:val="20"/>
        </w:rPr>
        <w:t>idónea</w:t>
      </w:r>
      <w:proofErr w:type="spellEnd"/>
      <w:r>
        <w:rPr>
          <w:rFonts w:ascii="Calibri" w:eastAsia="Calibri" w:hAnsi="Calibri" w:cs="Calibri"/>
          <w:color w:val="000000"/>
          <w:sz w:val="20"/>
          <w:szCs w:val="20"/>
        </w:rPr>
        <w:t xml:space="preserve"> para su </w:t>
      </w:r>
      <w:proofErr w:type="spellStart"/>
      <w:r>
        <w:rPr>
          <w:rFonts w:ascii="Calibri" w:eastAsia="Calibri" w:hAnsi="Calibri" w:cs="Calibri"/>
          <w:color w:val="000000"/>
          <w:sz w:val="20"/>
          <w:szCs w:val="20"/>
        </w:rPr>
        <w:t>realización</w:t>
      </w:r>
      <w:proofErr w:type="spellEnd"/>
      <w:r>
        <w:rPr>
          <w:rFonts w:ascii="Calibri" w:eastAsia="Calibri" w:hAnsi="Calibri" w:cs="Calibri"/>
          <w:color w:val="000000"/>
          <w:sz w:val="20"/>
          <w:szCs w:val="20"/>
        </w:rPr>
        <w:t>, lo que significa que el fin buscado por el legislador no se pueda alcanzar razonablemente por otr</w:t>
      </w:r>
      <w:r>
        <w:rPr>
          <w:rFonts w:ascii="Calibri" w:eastAsia="Calibri" w:hAnsi="Calibri" w:cs="Calibri"/>
          <w:color w:val="000000"/>
          <w:sz w:val="20"/>
          <w:szCs w:val="20"/>
        </w:rPr>
        <w:t>os medios menos restrictivos de derechos fundamentales; y, c) ser proporcional, esto es, la medida legislativa debe respetar una correspondencia entre la importancia del fin buscado por la ley, y los efectos perjudiciales que produce en otros derechos e in</w:t>
      </w:r>
      <w:r>
        <w:rPr>
          <w:rFonts w:ascii="Calibri" w:eastAsia="Calibri" w:hAnsi="Calibri" w:cs="Calibri"/>
          <w:color w:val="000000"/>
          <w:sz w:val="20"/>
          <w:szCs w:val="20"/>
        </w:rPr>
        <w:t xml:space="preserve">tereses constitucionales, en el entendido de que la </w:t>
      </w:r>
      <w:proofErr w:type="spellStart"/>
      <w:r>
        <w:rPr>
          <w:rFonts w:ascii="Calibri" w:eastAsia="Calibri" w:hAnsi="Calibri" w:cs="Calibri"/>
          <w:color w:val="000000"/>
          <w:sz w:val="20"/>
          <w:szCs w:val="20"/>
        </w:rPr>
        <w:t>persecución</w:t>
      </w:r>
      <w:proofErr w:type="spellEnd"/>
      <w:r>
        <w:rPr>
          <w:rFonts w:ascii="Calibri" w:eastAsia="Calibri" w:hAnsi="Calibri" w:cs="Calibri"/>
          <w:color w:val="000000"/>
          <w:sz w:val="20"/>
          <w:szCs w:val="20"/>
        </w:rPr>
        <w:t xml:space="preserve"> de un objetivo constitucional no puede hacerse a costa de una </w:t>
      </w:r>
      <w:proofErr w:type="spellStart"/>
      <w:r>
        <w:rPr>
          <w:rFonts w:ascii="Calibri" w:eastAsia="Calibri" w:hAnsi="Calibri" w:cs="Calibri"/>
          <w:color w:val="000000"/>
          <w:sz w:val="20"/>
          <w:szCs w:val="20"/>
        </w:rPr>
        <w:t>afectación</w:t>
      </w:r>
      <w:proofErr w:type="spellEnd"/>
      <w:r>
        <w:rPr>
          <w:rFonts w:ascii="Calibri" w:eastAsia="Calibri" w:hAnsi="Calibri" w:cs="Calibri"/>
          <w:color w:val="000000"/>
          <w:sz w:val="20"/>
          <w:szCs w:val="20"/>
        </w:rPr>
        <w:t xml:space="preserve"> innecesaria o desmedida a otros bienes y derechos constitucionalmente protegidos. </w:t>
      </w:r>
      <w:proofErr w:type="spellStart"/>
      <w:r>
        <w:rPr>
          <w:rFonts w:ascii="Calibri" w:eastAsia="Calibri" w:hAnsi="Calibri" w:cs="Calibri"/>
          <w:color w:val="000000"/>
          <w:sz w:val="20"/>
          <w:szCs w:val="20"/>
        </w:rPr>
        <w:t>Asi</w:t>
      </w:r>
      <w:proofErr w:type="spellEnd"/>
      <w:r>
        <w:rPr>
          <w:rFonts w:ascii="Calibri" w:eastAsia="Calibri" w:hAnsi="Calibri" w:cs="Calibri"/>
          <w:color w:val="000000"/>
          <w:sz w:val="20"/>
          <w:szCs w:val="20"/>
        </w:rPr>
        <w:t>́, el juzgador debe determinar e</w:t>
      </w:r>
      <w:r>
        <w:rPr>
          <w:rFonts w:ascii="Calibri" w:eastAsia="Calibri" w:hAnsi="Calibri" w:cs="Calibri"/>
          <w:color w:val="000000"/>
          <w:sz w:val="20"/>
          <w:szCs w:val="20"/>
        </w:rPr>
        <w:t xml:space="preserve">n cada caso si la </w:t>
      </w:r>
      <w:proofErr w:type="spellStart"/>
      <w:r>
        <w:rPr>
          <w:rFonts w:ascii="Calibri" w:eastAsia="Calibri" w:hAnsi="Calibri" w:cs="Calibri"/>
          <w:color w:val="000000"/>
          <w:sz w:val="20"/>
          <w:szCs w:val="20"/>
        </w:rPr>
        <w:t>restricción</w:t>
      </w:r>
      <w:proofErr w:type="spellEnd"/>
      <w:r>
        <w:rPr>
          <w:rFonts w:ascii="Calibri" w:eastAsia="Calibri" w:hAnsi="Calibri" w:cs="Calibri"/>
          <w:color w:val="000000"/>
          <w:sz w:val="20"/>
          <w:szCs w:val="20"/>
        </w:rPr>
        <w:t xml:space="preserve"> legislativa a un derecho fundamental es, en primer lugar, admisible dadas las previsiones constitucionales, en segundo lugar, si es el medio necesario para proteger esos fines o intereses constitucionalmente amparados, al no </w:t>
      </w:r>
      <w:r>
        <w:rPr>
          <w:rFonts w:ascii="Calibri" w:eastAsia="Calibri" w:hAnsi="Calibri" w:cs="Calibri"/>
          <w:color w:val="000000"/>
          <w:sz w:val="20"/>
          <w:szCs w:val="20"/>
        </w:rPr>
        <w:t xml:space="preserve">existir opciones menos restrictivas que permitan alcanzarlos; y en tercer lugar, si la </w:t>
      </w:r>
      <w:proofErr w:type="spellStart"/>
      <w:r>
        <w:rPr>
          <w:rFonts w:ascii="Calibri" w:eastAsia="Calibri" w:hAnsi="Calibri" w:cs="Calibri"/>
          <w:color w:val="000000"/>
          <w:sz w:val="20"/>
          <w:szCs w:val="20"/>
        </w:rPr>
        <w:t>distinción</w:t>
      </w:r>
      <w:proofErr w:type="spellEnd"/>
      <w:r>
        <w:rPr>
          <w:rFonts w:ascii="Calibri" w:eastAsia="Calibri" w:hAnsi="Calibri" w:cs="Calibri"/>
          <w:color w:val="000000"/>
          <w:sz w:val="20"/>
          <w:szCs w:val="20"/>
        </w:rPr>
        <w:t xml:space="preserve"> legislativa se encuentra dentro de las opciones de tratamiento que pueden considerarse proporcionales. De igual manera, las restricciones </w:t>
      </w:r>
      <w:proofErr w:type="spellStart"/>
      <w:r>
        <w:rPr>
          <w:rFonts w:ascii="Calibri" w:eastAsia="Calibri" w:hAnsi="Calibri" w:cs="Calibri"/>
          <w:color w:val="000000"/>
          <w:sz w:val="20"/>
          <w:szCs w:val="20"/>
        </w:rPr>
        <w:t>deberán</w:t>
      </w:r>
      <w:proofErr w:type="spellEnd"/>
      <w:r>
        <w:rPr>
          <w:rFonts w:ascii="Calibri" w:eastAsia="Calibri" w:hAnsi="Calibri" w:cs="Calibri"/>
          <w:color w:val="000000"/>
          <w:sz w:val="20"/>
          <w:szCs w:val="20"/>
        </w:rPr>
        <w:t xml:space="preserve"> estar en c</w:t>
      </w:r>
      <w:r>
        <w:rPr>
          <w:rFonts w:ascii="Calibri" w:eastAsia="Calibri" w:hAnsi="Calibri" w:cs="Calibri"/>
          <w:color w:val="000000"/>
          <w:sz w:val="20"/>
          <w:szCs w:val="20"/>
        </w:rPr>
        <w:t xml:space="preserve">onsonancia con la ley, incluidas las normas internacionales de derechos humanos, y ser compatibles con la naturaleza de los derechos amparados por la </w:t>
      </w:r>
      <w:proofErr w:type="spellStart"/>
      <w:r>
        <w:rPr>
          <w:rFonts w:ascii="Calibri" w:eastAsia="Calibri" w:hAnsi="Calibri" w:cs="Calibri"/>
          <w:color w:val="000000"/>
          <w:sz w:val="20"/>
          <w:szCs w:val="20"/>
        </w:rPr>
        <w:t>Constitución</w:t>
      </w:r>
      <w:proofErr w:type="spellEnd"/>
      <w:r>
        <w:rPr>
          <w:rFonts w:ascii="Calibri" w:eastAsia="Calibri" w:hAnsi="Calibri" w:cs="Calibri"/>
          <w:color w:val="000000"/>
          <w:sz w:val="20"/>
          <w:szCs w:val="20"/>
        </w:rPr>
        <w:t xml:space="preserve">, en aras de la </w:t>
      </w:r>
      <w:proofErr w:type="spellStart"/>
      <w:r>
        <w:rPr>
          <w:rFonts w:ascii="Calibri" w:eastAsia="Calibri" w:hAnsi="Calibri" w:cs="Calibri"/>
          <w:color w:val="000000"/>
          <w:sz w:val="20"/>
          <w:szCs w:val="20"/>
        </w:rPr>
        <w:t>consecución</w:t>
      </w:r>
      <w:proofErr w:type="spellEnd"/>
      <w:r>
        <w:rPr>
          <w:rFonts w:ascii="Calibri" w:eastAsia="Calibri" w:hAnsi="Calibri" w:cs="Calibri"/>
          <w:color w:val="000000"/>
          <w:sz w:val="20"/>
          <w:szCs w:val="20"/>
        </w:rPr>
        <w:t xml:space="preserve"> de los objetivos </w:t>
      </w:r>
      <w:proofErr w:type="spellStart"/>
      <w:r>
        <w:rPr>
          <w:rFonts w:ascii="Calibri" w:eastAsia="Calibri" w:hAnsi="Calibri" w:cs="Calibri"/>
          <w:color w:val="000000"/>
          <w:sz w:val="20"/>
          <w:szCs w:val="20"/>
        </w:rPr>
        <w:t>legítimos</w:t>
      </w:r>
      <w:proofErr w:type="spellEnd"/>
      <w:r>
        <w:rPr>
          <w:rFonts w:ascii="Calibri" w:eastAsia="Calibri" w:hAnsi="Calibri" w:cs="Calibri"/>
          <w:color w:val="000000"/>
          <w:sz w:val="20"/>
          <w:szCs w:val="20"/>
        </w:rPr>
        <w:t xml:space="preserve"> perseguidos, y ser estrictamente nec</w:t>
      </w:r>
      <w:r>
        <w:rPr>
          <w:rFonts w:ascii="Calibri" w:eastAsia="Calibri" w:hAnsi="Calibri" w:cs="Calibri"/>
          <w:color w:val="000000"/>
          <w:sz w:val="20"/>
          <w:szCs w:val="20"/>
        </w:rPr>
        <w:t xml:space="preserve">esarias para promover el bienestar general en una sociedad </w:t>
      </w:r>
      <w:proofErr w:type="spellStart"/>
      <w:r>
        <w:rPr>
          <w:rFonts w:ascii="Calibri" w:eastAsia="Calibri" w:hAnsi="Calibri" w:cs="Calibri"/>
          <w:color w:val="000000"/>
          <w:sz w:val="20"/>
          <w:szCs w:val="20"/>
        </w:rPr>
        <w:t>democrática</w:t>
      </w:r>
      <w:proofErr w:type="spellEnd"/>
      <w:r>
        <w:rPr>
          <w:rFonts w:ascii="Calibri" w:eastAsia="Calibri" w:hAnsi="Calibri" w:cs="Calibri"/>
          <w:color w:val="000000"/>
          <w:sz w:val="20"/>
          <w:szCs w:val="20"/>
        </w:rPr>
        <w:t xml:space="preserve">. </w:t>
      </w:r>
    </w:p>
    <w:p w:rsidR="00C22335" w:rsidRDefault="00492294">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1a</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xml:space="preserve">J. 2/2012 (9a.). Primera Sala. </w:t>
      </w:r>
      <w:proofErr w:type="spellStart"/>
      <w:r>
        <w:rPr>
          <w:rFonts w:ascii="Calibri" w:eastAsia="Calibri" w:hAnsi="Calibri" w:cs="Calibri"/>
          <w:color w:val="000000"/>
          <w:sz w:val="20"/>
          <w:szCs w:val="20"/>
        </w:rPr>
        <w:t>Décima</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Época</w:t>
      </w:r>
      <w:proofErr w:type="spellEnd"/>
      <w:r>
        <w:rPr>
          <w:rFonts w:ascii="Calibri" w:eastAsia="Calibri" w:hAnsi="Calibri" w:cs="Calibri"/>
          <w:color w:val="000000"/>
          <w:sz w:val="20"/>
          <w:szCs w:val="20"/>
        </w:rPr>
        <w:t xml:space="preserve">. Semanario Judicial de la </w:t>
      </w:r>
      <w:proofErr w:type="spellStart"/>
      <w:r>
        <w:rPr>
          <w:rFonts w:ascii="Calibri" w:eastAsia="Calibri" w:hAnsi="Calibri" w:cs="Calibri"/>
          <w:color w:val="000000"/>
          <w:sz w:val="20"/>
          <w:szCs w:val="20"/>
        </w:rPr>
        <w:t>Federación</w:t>
      </w:r>
      <w:proofErr w:type="spellEnd"/>
      <w:r>
        <w:rPr>
          <w:rFonts w:ascii="Calibri" w:eastAsia="Calibri" w:hAnsi="Calibri" w:cs="Calibri"/>
          <w:color w:val="000000"/>
          <w:sz w:val="20"/>
          <w:szCs w:val="20"/>
        </w:rPr>
        <w:t xml:space="preserve"> y su Gaceta. Libro V, Febrero de 2012, </w:t>
      </w:r>
      <w:proofErr w:type="spellStart"/>
      <w:r>
        <w:rPr>
          <w:rFonts w:ascii="Calibri" w:eastAsia="Calibri" w:hAnsi="Calibri" w:cs="Calibri"/>
          <w:color w:val="000000"/>
          <w:sz w:val="20"/>
          <w:szCs w:val="20"/>
        </w:rPr>
        <w:t>Pág</w:t>
      </w:r>
      <w:proofErr w:type="spellEnd"/>
      <w:r>
        <w:rPr>
          <w:rFonts w:ascii="Calibri" w:eastAsia="Calibri" w:hAnsi="Calibri" w:cs="Calibri"/>
          <w:color w:val="000000"/>
          <w:sz w:val="20"/>
          <w:szCs w:val="20"/>
        </w:rPr>
        <w:t xml:space="preserve">. 533.  </w:t>
      </w:r>
    </w:p>
  </w:footnote>
  <w:footnote w:id="8">
    <w:p w:rsidR="00C22335" w:rsidRDefault="00492294">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“67. Según se ha interpretado por la jur</w:t>
      </w:r>
      <w:r>
        <w:rPr>
          <w:rFonts w:ascii="Calibri" w:eastAsia="Calibri" w:hAnsi="Calibri" w:cs="Calibri"/>
          <w:color w:val="000000"/>
          <w:sz w:val="20"/>
          <w:szCs w:val="20"/>
        </w:rPr>
        <w:t>isprudencia interamericana, el artículo 13.2 de la Convención Americana exige el cumplimiento de las siguientes tres condiciones básicas para que una limitación al derecho a la libertad de expresión sea admisible: (1) la limitación debe haber sido definida</w:t>
      </w:r>
      <w:r>
        <w:rPr>
          <w:rFonts w:ascii="Calibri" w:eastAsia="Calibri" w:hAnsi="Calibri" w:cs="Calibri"/>
          <w:color w:val="000000"/>
          <w:sz w:val="20"/>
          <w:szCs w:val="20"/>
        </w:rPr>
        <w:t xml:space="preserve"> en forma precisa y clara a través de una ley formal y material, (2) la limitación debe estar orientada al logro de objetivos imperiosos autorizados por la Convención Americana, y (3) la limitación debe ser necesaria en una sociedad democrática para el log</w:t>
      </w:r>
      <w:r>
        <w:rPr>
          <w:rFonts w:ascii="Calibri" w:eastAsia="Calibri" w:hAnsi="Calibri" w:cs="Calibri"/>
          <w:color w:val="000000"/>
          <w:sz w:val="20"/>
          <w:szCs w:val="20"/>
        </w:rPr>
        <w:t>ro de los fines imperiosos que se buscan; estrictamente proporcionada a la finalidad perseguida; e idónea para lograr el objetivo imperioso que pretende lograr”. Relatoría Especial para la Libertad de Expresión, Comisión Interamericana de Derechos Humanos.</w:t>
      </w:r>
      <w:r>
        <w:rPr>
          <w:rFonts w:ascii="Calibri" w:eastAsia="Calibri" w:hAnsi="Calibri" w:cs="Calibri"/>
          <w:color w:val="000000"/>
          <w:sz w:val="20"/>
          <w:szCs w:val="20"/>
        </w:rPr>
        <w:t xml:space="preserve"> </w:t>
      </w:r>
      <w:r>
        <w:rPr>
          <w:rFonts w:ascii="Calibri" w:eastAsia="Calibri" w:hAnsi="Calibri" w:cs="Calibri"/>
          <w:i/>
          <w:color w:val="000000"/>
          <w:sz w:val="20"/>
          <w:szCs w:val="20"/>
        </w:rPr>
        <w:t>Marco jurídico interamericano sobre el derecho a la libertad de expresión</w:t>
      </w:r>
      <w:r>
        <w:rPr>
          <w:rFonts w:ascii="Calibri" w:eastAsia="Calibri" w:hAnsi="Calibri" w:cs="Calibri"/>
          <w:color w:val="000000"/>
          <w:sz w:val="20"/>
          <w:szCs w:val="20"/>
        </w:rPr>
        <w:t xml:space="preserve">. Párr. 67. </w:t>
      </w:r>
    </w:p>
  </w:footnote>
  <w:footnote w:id="9">
    <w:p w:rsidR="00C22335" w:rsidRDefault="00492294">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“De continuo hacemos un tipo de juicios que podemos llamar de encaje, y que dan lugar a enunciados del tipo ‘x es un Y’. Si sabemos o asumimos que todos los objetos o </w:t>
      </w:r>
      <w:r>
        <w:rPr>
          <w:rFonts w:ascii="Calibri" w:eastAsia="Calibri" w:hAnsi="Calibri" w:cs="Calibri"/>
          <w:color w:val="000000"/>
          <w:sz w:val="20"/>
          <w:szCs w:val="20"/>
        </w:rPr>
        <w:t>seres que reúnen las propiedades a, b y c pertenecen al conjunto de los J, cada vez que encontramos uno que tiene esas tres propiedades decimos que es un J. Y también incorporamos excepciones, como cuando asumimos que no pertenece a la categoría de los J e</w:t>
      </w:r>
      <w:r>
        <w:rPr>
          <w:rFonts w:ascii="Calibri" w:eastAsia="Calibri" w:hAnsi="Calibri" w:cs="Calibri"/>
          <w:color w:val="000000"/>
          <w:sz w:val="20"/>
          <w:szCs w:val="20"/>
        </w:rPr>
        <w:t>l ser que tiene la propiedad d, aunque tenga cualesquiera otras. Entonces, de un x que tenga las propiedades  a, b, c y d diremos que no es un J. Todo esto, en verdad, son obviedades, casi perogrulladas, pero veremos que conviene aquí explicitarlas e ir pa</w:t>
      </w:r>
      <w:r>
        <w:rPr>
          <w:rFonts w:ascii="Calibri" w:eastAsia="Calibri" w:hAnsi="Calibri" w:cs="Calibri"/>
          <w:color w:val="000000"/>
          <w:sz w:val="20"/>
          <w:szCs w:val="20"/>
        </w:rPr>
        <w:t>so a paso.</w:t>
      </w:r>
    </w:p>
    <w:p w:rsidR="00C22335" w:rsidRDefault="00492294">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“También en el campo general de lo normativo realizamos, todo el rato, juicios de encaje, sea respecto de acciones, de estados de cosas o de sujetos. Si en el sistema normativo de referencia asumimos que el homicidio es una acción consistente en matar a ot</w:t>
      </w:r>
      <w:r>
        <w:rPr>
          <w:rFonts w:ascii="Calibri" w:eastAsia="Calibri" w:hAnsi="Calibri" w:cs="Calibri"/>
          <w:color w:val="000000"/>
          <w:sz w:val="20"/>
          <w:szCs w:val="20"/>
        </w:rPr>
        <w:t>ro de modo intencional o imprudente, calificaremos como homicidio la acción por la que A mató a B intencional o imprudentemente…</w:t>
      </w:r>
    </w:p>
    <w:p w:rsidR="00C22335" w:rsidRDefault="00492294">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 “En la teoría jurídica más tradicional, a esos que he llamado juicios de encaje se les llama subsunciones o juicios de subsunc</w:t>
      </w:r>
      <w:r>
        <w:rPr>
          <w:rFonts w:ascii="Calibri" w:eastAsia="Calibri" w:hAnsi="Calibri" w:cs="Calibri"/>
          <w:color w:val="000000"/>
          <w:sz w:val="20"/>
          <w:szCs w:val="20"/>
        </w:rPr>
        <w:t>ión. Subsunciones o juicios de encaje de ese tipo, positivos o negativos, los hacemos sin parar en todo el ámbito de lo normativo, no sólo en el del derecho” GARCÍA AMADO, Juan Antonio. “¿Qué es ponderar? Sobre implicaciones y riesgos de la ponderación” en</w:t>
      </w:r>
      <w:r>
        <w:rPr>
          <w:rFonts w:ascii="Calibri" w:eastAsia="Calibri" w:hAnsi="Calibri" w:cs="Calibri"/>
          <w:color w:val="000000"/>
          <w:sz w:val="20"/>
          <w:szCs w:val="20"/>
        </w:rPr>
        <w:t xml:space="preserve"> Revista Iberoamericana de Argumentación, No. 13, 2016. </w:t>
      </w:r>
      <w:proofErr w:type="spellStart"/>
      <w:r>
        <w:rPr>
          <w:rFonts w:ascii="Calibri" w:eastAsia="Calibri" w:hAnsi="Calibri" w:cs="Calibri"/>
          <w:color w:val="000000"/>
          <w:sz w:val="20"/>
          <w:szCs w:val="20"/>
        </w:rPr>
        <w:t>Pp</w:t>
      </w:r>
      <w:proofErr w:type="spellEnd"/>
      <w:r>
        <w:rPr>
          <w:rFonts w:ascii="Calibri" w:eastAsia="Calibri" w:hAnsi="Calibri" w:cs="Calibri"/>
          <w:color w:val="000000"/>
          <w:sz w:val="20"/>
          <w:szCs w:val="20"/>
        </w:rPr>
        <w:t xml:space="preserve"> 1-19. </w:t>
      </w:r>
    </w:p>
  </w:footnote>
  <w:footnote w:id="10">
    <w:p w:rsidR="00C22335" w:rsidRDefault="0049229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highlight w:val="white"/>
        </w:rPr>
        <w:t>OVALLE FAVELA, José, “</w:t>
      </w:r>
      <w:r>
        <w:rPr>
          <w:rFonts w:ascii="Calibri" w:eastAsia="Calibri" w:hAnsi="Calibri" w:cs="Calibri"/>
          <w:i/>
          <w:color w:val="000000"/>
          <w:sz w:val="20"/>
          <w:szCs w:val="20"/>
          <w:highlight w:val="white"/>
        </w:rPr>
        <w:t>Garantías constitucionales del proceso”</w:t>
      </w:r>
      <w:r>
        <w:rPr>
          <w:rFonts w:ascii="Calibri" w:eastAsia="Calibri" w:hAnsi="Calibri" w:cs="Calibri"/>
          <w:color w:val="000000"/>
          <w:sz w:val="20"/>
          <w:szCs w:val="20"/>
          <w:highlight w:val="white"/>
        </w:rPr>
        <w:t xml:space="preserve">, 2a. ed., México, Oxford </w:t>
      </w:r>
      <w:proofErr w:type="spellStart"/>
      <w:r>
        <w:rPr>
          <w:rFonts w:ascii="Calibri" w:eastAsia="Calibri" w:hAnsi="Calibri" w:cs="Calibri"/>
          <w:color w:val="000000"/>
          <w:sz w:val="20"/>
          <w:szCs w:val="20"/>
          <w:highlight w:val="white"/>
        </w:rPr>
        <w:t>University</w:t>
      </w:r>
      <w:proofErr w:type="spellEnd"/>
      <w:r>
        <w:rPr>
          <w:rFonts w:ascii="Calibri" w:eastAsia="Calibri" w:hAnsi="Calibri" w:cs="Calibri"/>
          <w:color w:val="000000"/>
          <w:sz w:val="20"/>
          <w:szCs w:val="20"/>
          <w:highlight w:val="white"/>
        </w:rPr>
        <w:t xml:space="preserve"> </w:t>
      </w:r>
      <w:proofErr w:type="spellStart"/>
      <w:r>
        <w:rPr>
          <w:rFonts w:ascii="Calibri" w:eastAsia="Calibri" w:hAnsi="Calibri" w:cs="Calibri"/>
          <w:color w:val="000000"/>
          <w:sz w:val="20"/>
          <w:szCs w:val="20"/>
          <w:highlight w:val="white"/>
        </w:rPr>
        <w:t>Press</w:t>
      </w:r>
      <w:proofErr w:type="spellEnd"/>
      <w:r>
        <w:rPr>
          <w:rFonts w:ascii="Calibri" w:eastAsia="Calibri" w:hAnsi="Calibri" w:cs="Calibri"/>
          <w:color w:val="000000"/>
          <w:sz w:val="20"/>
          <w:szCs w:val="20"/>
          <w:highlight w:val="white"/>
        </w:rPr>
        <w:t>, 2002, 474 pp.</w:t>
      </w:r>
    </w:p>
  </w:footnote>
  <w:footnote w:id="11">
    <w:p w:rsidR="00C22335" w:rsidRDefault="00492294">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Tribunales Colegiados de Circuito. Novena Época. Semanario Judicial</w:t>
      </w:r>
      <w:r>
        <w:rPr>
          <w:rFonts w:ascii="Calibri" w:eastAsia="Calibri" w:hAnsi="Calibri" w:cs="Calibri"/>
          <w:color w:val="000000"/>
          <w:sz w:val="20"/>
          <w:szCs w:val="20"/>
        </w:rPr>
        <w:t xml:space="preserve"> de la Federación y su Gaceta. Tomo III, marzo de 1996. </w:t>
      </w:r>
      <w:proofErr w:type="spellStart"/>
      <w:r>
        <w:rPr>
          <w:rFonts w:ascii="Calibri" w:eastAsia="Calibri" w:hAnsi="Calibri" w:cs="Calibri"/>
          <w:color w:val="000000"/>
          <w:sz w:val="20"/>
          <w:szCs w:val="20"/>
        </w:rPr>
        <w:t>Pág</w:t>
      </w:r>
      <w:proofErr w:type="spellEnd"/>
      <w:r>
        <w:rPr>
          <w:rFonts w:ascii="Calibri" w:eastAsia="Calibri" w:hAnsi="Calibri" w:cs="Calibri"/>
          <w:color w:val="000000"/>
          <w:sz w:val="20"/>
          <w:szCs w:val="20"/>
        </w:rPr>
        <w:t xml:space="preserve"> 769. Consultado en http://sjf.scjn.gob.mx/sjfsist/Documentos/Tesis/203/203143.pdf  el viernes 16 de junio de 2017.</w:t>
      </w:r>
    </w:p>
    <w:p w:rsidR="00C22335" w:rsidRDefault="00C22335">
      <w:pPr>
        <w:pBdr>
          <w:top w:val="nil"/>
          <w:left w:val="nil"/>
          <w:bottom w:val="nil"/>
          <w:right w:val="nil"/>
          <w:between w:val="nil"/>
        </w:pBdr>
        <w:rPr>
          <w:rFonts w:ascii="Calibri" w:eastAsia="Calibri" w:hAnsi="Calibri" w:cs="Calibri"/>
          <w:color w:val="000000"/>
          <w:sz w:val="20"/>
          <w:szCs w:val="20"/>
        </w:rPr>
      </w:pPr>
    </w:p>
  </w:footnote>
  <w:footnote w:id="12">
    <w:p w:rsidR="00C22335" w:rsidRDefault="00492294">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3. Para los efectos de la presente Ley se entenderá por:</w:t>
      </w:r>
    </w:p>
    <w:p w:rsidR="00C22335" w:rsidRDefault="00492294">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p>
    <w:p w:rsidR="00C22335" w:rsidRDefault="00492294">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IX. Dat</w:t>
      </w:r>
      <w:r>
        <w:rPr>
          <w:rFonts w:ascii="Calibri" w:eastAsia="Calibri" w:hAnsi="Calibri" w:cs="Calibri"/>
          <w:color w:val="000000"/>
          <w:sz w:val="20"/>
          <w:szCs w:val="20"/>
        </w:rPr>
        <w: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35" w:rsidRDefault="0049229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35" w:rsidRDefault="00C22335">
    <w:pPr>
      <w:widowControl w:val="0"/>
      <w:pBdr>
        <w:top w:val="nil"/>
        <w:left w:val="nil"/>
        <w:bottom w:val="nil"/>
        <w:right w:val="nil"/>
        <w:between w:val="nil"/>
      </w:pBdr>
      <w:spacing w:line="276" w:lineRule="auto"/>
      <w:rPr>
        <w:rFonts w:ascii="Calibri" w:eastAsia="Calibri" w:hAnsi="Calibri" w:cs="Calibri"/>
        <w:color w:val="000000"/>
        <w:sz w:val="20"/>
        <w:szCs w:val="20"/>
      </w:rPr>
    </w:pPr>
  </w:p>
  <w:tbl>
    <w:tblPr>
      <w:tblStyle w:val="a1"/>
      <w:tblW w:w="9214" w:type="dxa"/>
      <w:tblInd w:w="0" w:type="dxa"/>
      <w:tblLayout w:type="fixed"/>
      <w:tblLook w:val="0400" w:firstRow="0" w:lastRow="0" w:firstColumn="0" w:lastColumn="0" w:noHBand="0" w:noVBand="1"/>
    </w:tblPr>
    <w:tblGrid>
      <w:gridCol w:w="2268"/>
      <w:gridCol w:w="6946"/>
    </w:tblGrid>
    <w:tr w:rsidR="00C22335">
      <w:trPr>
        <w:trHeight w:val="1435"/>
      </w:trPr>
      <w:tc>
        <w:tcPr>
          <w:tcW w:w="2268" w:type="dxa"/>
          <w:shd w:val="clear" w:color="auto" w:fill="auto"/>
        </w:tcPr>
        <w:p w:rsidR="00C22335" w:rsidRDefault="00C22335">
          <w:pPr>
            <w:tabs>
              <w:tab w:val="right" w:pos="4273"/>
            </w:tabs>
            <w:rPr>
              <w:rFonts w:ascii="Garamond" w:eastAsia="Garamond" w:hAnsi="Garamond" w:cs="Garamond"/>
              <w:sz w:val="16"/>
              <w:szCs w:val="16"/>
            </w:rPr>
          </w:pPr>
        </w:p>
      </w:tc>
      <w:tc>
        <w:tcPr>
          <w:tcW w:w="6946" w:type="dxa"/>
          <w:shd w:val="clear" w:color="auto" w:fill="auto"/>
        </w:tcPr>
        <w:p w:rsidR="00C22335" w:rsidRDefault="00C22335"/>
        <w:tbl>
          <w:tblPr>
            <w:tblStyle w:val="a2"/>
            <w:tblW w:w="6662" w:type="dxa"/>
            <w:tblInd w:w="40" w:type="dxa"/>
            <w:tblLayout w:type="fixed"/>
            <w:tblLook w:val="0400" w:firstRow="0" w:lastRow="0" w:firstColumn="0" w:lastColumn="0" w:noHBand="0" w:noVBand="1"/>
          </w:tblPr>
          <w:tblGrid>
            <w:gridCol w:w="2551"/>
            <w:gridCol w:w="4111"/>
          </w:tblGrid>
          <w:tr w:rsidR="00C22335">
            <w:trPr>
              <w:trHeight w:val="150"/>
            </w:trPr>
            <w:tc>
              <w:tcPr>
                <w:tcW w:w="2551" w:type="dxa"/>
                <w:shd w:val="clear" w:color="auto" w:fill="auto"/>
              </w:tcPr>
              <w:p w:rsidR="00C22335" w:rsidRDefault="00492294">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tcPr>
              <w:p w:rsidR="00C22335" w:rsidRDefault="00492294">
                <w:pPr>
                  <w:tabs>
                    <w:tab w:val="right" w:pos="8838"/>
                  </w:tabs>
                  <w:ind w:left="-108" w:right="-1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04883/INFOEM/IP/RR/2021</w:t>
                </w:r>
                <w:r>
                  <w:rPr>
                    <w:rFonts w:ascii="Palatino Linotype" w:eastAsia="Palatino Linotype" w:hAnsi="Palatino Linotype" w:cs="Palatino Linotype"/>
                    <w:b/>
                    <w:sz w:val="22"/>
                    <w:szCs w:val="22"/>
                  </w:rPr>
                  <w:t xml:space="preserve"> </w:t>
                </w:r>
              </w:p>
            </w:tc>
          </w:tr>
          <w:tr w:rsidR="00C22335">
            <w:trPr>
              <w:trHeight w:val="295"/>
            </w:trPr>
            <w:tc>
              <w:tcPr>
                <w:tcW w:w="2551" w:type="dxa"/>
                <w:shd w:val="clear" w:color="auto" w:fill="auto"/>
              </w:tcPr>
              <w:p w:rsidR="00C22335" w:rsidRDefault="00492294">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tcPr>
              <w:p w:rsidR="00C22335" w:rsidRDefault="00492294">
                <w:pPr>
                  <w:tabs>
                    <w:tab w:val="left" w:pos="2834"/>
                    <w:tab w:val="right" w:pos="8838"/>
                  </w:tabs>
                  <w:ind w:left="-108" w:right="-102"/>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Ayuntamiento de </w:t>
                </w:r>
                <w:proofErr w:type="spellStart"/>
                <w:r>
                  <w:rPr>
                    <w:rFonts w:ascii="Palatino Linotype" w:eastAsia="Palatino Linotype" w:hAnsi="Palatino Linotype" w:cs="Palatino Linotype"/>
                    <w:sz w:val="22"/>
                    <w:szCs w:val="22"/>
                  </w:rPr>
                  <w:t>Capulhuac</w:t>
                </w:r>
                <w:proofErr w:type="spellEnd"/>
              </w:p>
            </w:tc>
          </w:tr>
          <w:tr w:rsidR="00C22335">
            <w:trPr>
              <w:trHeight w:val="295"/>
            </w:trPr>
            <w:tc>
              <w:tcPr>
                <w:tcW w:w="2551" w:type="dxa"/>
                <w:shd w:val="clear" w:color="auto" w:fill="auto"/>
              </w:tcPr>
              <w:p w:rsidR="00C22335" w:rsidRDefault="00492294">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tcPr>
              <w:p w:rsidR="00C22335" w:rsidRDefault="00492294">
                <w:pPr>
                  <w:tabs>
                    <w:tab w:val="right" w:pos="8838"/>
                  </w:tabs>
                  <w:ind w:left="-108"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C22335" w:rsidRDefault="00C22335">
                <w:pPr>
                  <w:tabs>
                    <w:tab w:val="right" w:pos="8838"/>
                  </w:tabs>
                  <w:ind w:left="-108" w:right="171"/>
                  <w:jc w:val="both"/>
                  <w:rPr>
                    <w:rFonts w:ascii="Palatino Linotype" w:eastAsia="Palatino Linotype" w:hAnsi="Palatino Linotype" w:cs="Palatino Linotype"/>
                    <w:b/>
                    <w:sz w:val="22"/>
                    <w:szCs w:val="22"/>
                  </w:rPr>
                </w:pPr>
              </w:p>
            </w:tc>
          </w:tr>
        </w:tbl>
        <w:p w:rsidR="00C22335" w:rsidRDefault="00C22335">
          <w:pPr>
            <w:tabs>
              <w:tab w:val="right" w:pos="8838"/>
            </w:tabs>
            <w:ind w:left="-28"/>
            <w:jc w:val="both"/>
            <w:rPr>
              <w:rFonts w:ascii="Arial" w:eastAsia="Arial" w:hAnsi="Arial" w:cs="Arial"/>
              <w:b/>
              <w:sz w:val="22"/>
              <w:szCs w:val="22"/>
            </w:rPr>
          </w:pPr>
        </w:p>
      </w:tc>
    </w:tr>
  </w:tbl>
  <w:p w:rsidR="00C22335" w:rsidRDefault="00492294">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35" w:rsidRDefault="00C22335">
    <w:pPr>
      <w:widowControl w:val="0"/>
      <w:pBdr>
        <w:top w:val="nil"/>
        <w:left w:val="nil"/>
        <w:bottom w:val="nil"/>
        <w:right w:val="nil"/>
        <w:between w:val="nil"/>
      </w:pBdr>
      <w:spacing w:line="276" w:lineRule="auto"/>
      <w:rPr>
        <w:color w:val="000000"/>
      </w:rPr>
    </w:pPr>
  </w:p>
  <w:tbl>
    <w:tblPr>
      <w:tblStyle w:val="a3"/>
      <w:tblW w:w="9072" w:type="dxa"/>
      <w:tblInd w:w="0" w:type="dxa"/>
      <w:tblLayout w:type="fixed"/>
      <w:tblLook w:val="0400" w:firstRow="0" w:lastRow="0" w:firstColumn="0" w:lastColumn="0" w:noHBand="0" w:noVBand="1"/>
    </w:tblPr>
    <w:tblGrid>
      <w:gridCol w:w="2268"/>
      <w:gridCol w:w="6804"/>
    </w:tblGrid>
    <w:tr w:rsidR="00C22335">
      <w:trPr>
        <w:trHeight w:val="1435"/>
      </w:trPr>
      <w:tc>
        <w:tcPr>
          <w:tcW w:w="2268" w:type="dxa"/>
          <w:shd w:val="clear" w:color="auto" w:fill="auto"/>
        </w:tcPr>
        <w:p w:rsidR="00C22335" w:rsidRDefault="00C22335">
          <w:pPr>
            <w:tabs>
              <w:tab w:val="right" w:pos="4273"/>
            </w:tabs>
            <w:rPr>
              <w:rFonts w:ascii="Garamond" w:eastAsia="Garamond" w:hAnsi="Garamond" w:cs="Garamond"/>
              <w:sz w:val="22"/>
              <w:szCs w:val="22"/>
            </w:rPr>
          </w:pPr>
        </w:p>
      </w:tc>
      <w:tc>
        <w:tcPr>
          <w:tcW w:w="6804" w:type="dxa"/>
          <w:shd w:val="clear" w:color="auto" w:fill="auto"/>
        </w:tcPr>
        <w:p w:rsidR="00C22335" w:rsidRDefault="00C22335">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4"/>
            <w:tblW w:w="6662" w:type="dxa"/>
            <w:tblInd w:w="40" w:type="dxa"/>
            <w:tblLayout w:type="fixed"/>
            <w:tblLook w:val="0400" w:firstRow="0" w:lastRow="0" w:firstColumn="0" w:lastColumn="0" w:noHBand="0" w:noVBand="1"/>
          </w:tblPr>
          <w:tblGrid>
            <w:gridCol w:w="2444"/>
            <w:gridCol w:w="4218"/>
          </w:tblGrid>
          <w:tr w:rsidR="00C22335">
            <w:trPr>
              <w:trHeight w:val="144"/>
            </w:trPr>
            <w:tc>
              <w:tcPr>
                <w:tcW w:w="2444" w:type="dxa"/>
                <w:shd w:val="clear" w:color="auto" w:fill="auto"/>
              </w:tcPr>
              <w:p w:rsidR="00C22335" w:rsidRDefault="00492294">
                <w:pPr>
                  <w:tabs>
                    <w:tab w:val="right" w:pos="8838"/>
                  </w:tabs>
                  <w:ind w:left="-264" w:right="-105" w:firstLine="19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18" w:type="dxa"/>
                <w:shd w:val="clear" w:color="auto" w:fill="auto"/>
              </w:tcPr>
              <w:p w:rsidR="00C22335" w:rsidRDefault="00492294">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04883/INFOEM/IP/RR/2021</w:t>
                </w:r>
                <w:r>
                  <w:rPr>
                    <w:rFonts w:ascii="Palatino Linotype" w:eastAsia="Palatino Linotype" w:hAnsi="Palatino Linotype" w:cs="Palatino Linotype"/>
                    <w:b/>
                    <w:sz w:val="22"/>
                    <w:szCs w:val="22"/>
                  </w:rPr>
                  <w:t xml:space="preserve"> </w:t>
                </w:r>
              </w:p>
            </w:tc>
          </w:tr>
          <w:tr w:rsidR="00C22335">
            <w:trPr>
              <w:trHeight w:val="127"/>
            </w:trPr>
            <w:tc>
              <w:tcPr>
                <w:tcW w:w="2444" w:type="dxa"/>
                <w:shd w:val="clear" w:color="auto" w:fill="auto"/>
              </w:tcPr>
              <w:p w:rsidR="00C22335" w:rsidRDefault="00492294">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218" w:type="dxa"/>
                <w:shd w:val="clear" w:color="auto" w:fill="auto"/>
              </w:tcPr>
              <w:p w:rsidR="00C22335" w:rsidRDefault="00681C2A">
                <w:pPr>
                  <w:tabs>
                    <w:tab w:val="left" w:pos="3122"/>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XXXXXXXXXXXXXXXXXX</w:t>
                </w:r>
              </w:p>
            </w:tc>
          </w:tr>
          <w:tr w:rsidR="00C22335">
            <w:trPr>
              <w:trHeight w:val="283"/>
            </w:trPr>
            <w:tc>
              <w:tcPr>
                <w:tcW w:w="2444" w:type="dxa"/>
                <w:shd w:val="clear" w:color="auto" w:fill="auto"/>
              </w:tcPr>
              <w:p w:rsidR="00C22335" w:rsidRDefault="00492294">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18" w:type="dxa"/>
                <w:shd w:val="clear" w:color="auto" w:fill="auto"/>
              </w:tcPr>
              <w:p w:rsidR="00C22335" w:rsidRDefault="00492294">
                <w:pPr>
                  <w:tabs>
                    <w:tab w:val="left" w:pos="2834"/>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w:t>
                </w:r>
                <w:proofErr w:type="spellStart"/>
                <w:r>
                  <w:rPr>
                    <w:rFonts w:ascii="Palatino Linotype" w:eastAsia="Palatino Linotype" w:hAnsi="Palatino Linotype" w:cs="Palatino Linotype"/>
                    <w:sz w:val="22"/>
                    <w:szCs w:val="22"/>
                  </w:rPr>
                  <w:t>Capulhuac</w:t>
                </w:r>
                <w:proofErr w:type="spellEnd"/>
              </w:p>
              <w:p w:rsidR="00C22335" w:rsidRDefault="00C22335">
                <w:pPr>
                  <w:tabs>
                    <w:tab w:val="left" w:pos="2834"/>
                    <w:tab w:val="right" w:pos="8838"/>
                  </w:tabs>
                  <w:ind w:left="-74" w:right="-105"/>
                  <w:jc w:val="both"/>
                  <w:rPr>
                    <w:rFonts w:ascii="Palatino Linotype" w:eastAsia="Palatino Linotype" w:hAnsi="Palatino Linotype" w:cs="Palatino Linotype"/>
                    <w:sz w:val="22"/>
                    <w:szCs w:val="22"/>
                  </w:rPr>
                </w:pPr>
              </w:p>
            </w:tc>
          </w:tr>
          <w:tr w:rsidR="00C22335">
            <w:trPr>
              <w:trHeight w:val="283"/>
            </w:trPr>
            <w:tc>
              <w:tcPr>
                <w:tcW w:w="2444" w:type="dxa"/>
                <w:shd w:val="clear" w:color="auto" w:fill="auto"/>
              </w:tcPr>
              <w:p w:rsidR="00C22335" w:rsidRDefault="00492294">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18" w:type="dxa"/>
                <w:shd w:val="clear" w:color="auto" w:fill="auto"/>
              </w:tcPr>
              <w:p w:rsidR="00C22335" w:rsidRDefault="00492294">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C22335" w:rsidRDefault="00C22335">
                <w:pPr>
                  <w:tabs>
                    <w:tab w:val="right" w:pos="8838"/>
                  </w:tabs>
                  <w:ind w:left="-74" w:right="-105"/>
                  <w:jc w:val="both"/>
                  <w:rPr>
                    <w:rFonts w:ascii="Palatino Linotype" w:eastAsia="Palatino Linotype" w:hAnsi="Palatino Linotype" w:cs="Palatino Linotype"/>
                    <w:b/>
                    <w:sz w:val="22"/>
                    <w:szCs w:val="22"/>
                  </w:rPr>
                </w:pPr>
              </w:p>
            </w:tc>
          </w:tr>
        </w:tbl>
        <w:p w:rsidR="00C22335" w:rsidRDefault="00C22335">
          <w:pPr>
            <w:tabs>
              <w:tab w:val="right" w:pos="8838"/>
            </w:tabs>
            <w:ind w:left="-28"/>
            <w:jc w:val="both"/>
            <w:rPr>
              <w:rFonts w:ascii="Arial" w:eastAsia="Arial" w:hAnsi="Arial" w:cs="Arial"/>
              <w:b/>
              <w:sz w:val="22"/>
              <w:szCs w:val="22"/>
            </w:rPr>
          </w:pPr>
        </w:p>
      </w:tc>
    </w:tr>
  </w:tbl>
  <w:p w:rsidR="00C22335" w:rsidRDefault="00492294">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4E24"/>
    <w:multiLevelType w:val="multilevel"/>
    <w:tmpl w:val="F496B1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6A21B9F"/>
    <w:multiLevelType w:val="multilevel"/>
    <w:tmpl w:val="99D621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A6B0444"/>
    <w:multiLevelType w:val="multilevel"/>
    <w:tmpl w:val="8E92087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B642C3"/>
    <w:multiLevelType w:val="multilevel"/>
    <w:tmpl w:val="EC621A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335"/>
    <w:rsid w:val="00492294"/>
    <w:rsid w:val="00681C2A"/>
    <w:rsid w:val="00C22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C49BA66-0485-4A40-B939-515A4B4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4FD"/>
    <w:rPr>
      <w:lang w:val="es-MX" w:eastAsia="es-MX"/>
    </w:rPr>
  </w:style>
  <w:style w:type="paragraph" w:styleId="Ttulo1">
    <w:name w:val="heading 1"/>
    <w:basedOn w:val="Normal"/>
    <w:next w:val="Normal"/>
    <w:link w:val="Ttulo1Car"/>
    <w:uiPriority w:val="9"/>
    <w:qFormat/>
    <w:rsid w:val="00F514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F514FD"/>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F514FD"/>
    <w:pPr>
      <w:tabs>
        <w:tab w:val="center" w:pos="4419"/>
        <w:tab w:val="right" w:pos="8838"/>
      </w:tabs>
    </w:pPr>
  </w:style>
  <w:style w:type="character" w:customStyle="1" w:styleId="EncabezadoCar">
    <w:name w:val="Encabezado Car"/>
    <w:basedOn w:val="Fuentedeprrafopredeter"/>
    <w:link w:val="Encabezado"/>
    <w:uiPriority w:val="99"/>
    <w:rsid w:val="00F514F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F514FD"/>
    <w:pPr>
      <w:tabs>
        <w:tab w:val="center" w:pos="4419"/>
        <w:tab w:val="right" w:pos="8838"/>
      </w:tabs>
    </w:pPr>
  </w:style>
  <w:style w:type="character" w:customStyle="1" w:styleId="PiedepginaCar">
    <w:name w:val="Pie de página Car"/>
    <w:basedOn w:val="Fuentedeprrafopredeter"/>
    <w:link w:val="Piedepgina"/>
    <w:uiPriority w:val="99"/>
    <w:rsid w:val="00F514F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514F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514F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F514FD"/>
    <w:rPr>
      <w:color w:val="0563C1"/>
      <w:u w:val="single"/>
    </w:rPr>
  </w:style>
  <w:style w:type="paragraph" w:styleId="TDC1">
    <w:name w:val="toc 1"/>
    <w:basedOn w:val="Normal"/>
    <w:next w:val="Normal"/>
    <w:autoRedefine/>
    <w:uiPriority w:val="39"/>
    <w:unhideWhenUsed/>
    <w:rsid w:val="00F514FD"/>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F514FD"/>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514F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F514F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514F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F514FD"/>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F514FD"/>
    <w:pPr>
      <w:outlineLvl w:val="9"/>
    </w:pPr>
  </w:style>
  <w:style w:type="character" w:customStyle="1" w:styleId="apple-converted-space">
    <w:name w:val="apple-converted-space"/>
    <w:basedOn w:val="Fuentedeprrafopredeter"/>
    <w:qFormat/>
    <w:rsid w:val="00F514FD"/>
  </w:style>
  <w:style w:type="table" w:styleId="Tablaconcuadrcula">
    <w:name w:val="Table Grid"/>
    <w:basedOn w:val="Tablanormal"/>
    <w:uiPriority w:val="39"/>
    <w:rsid w:val="00F5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DMuikyvZlwYkuglcQ3zXV84Dg==">AMUW2mXUnhdlQpphckYOEU7kka9Q1OLJmjbsAm+HqMyPFF3fIFuv6FO8D5dpDacBzT8Bv5wHO/E6Aqvlte8A19adHXfQP9L1SLmGTrDHm7JjwSM9F3DpIAqDfx14iHV0gvky34+Z6KmBiB3HDo4TT32x07kT/5JbO5O4Qn5gyMfhgY5uLsv66ol4TMtsOsLBBZOaaHlWhPp1M2D31i/n0dFBv2FjspVEvuZirBhzMC4IXXCBCptelhpYtzT1xtOxYDIakHIWTOLqHMYIdphGxsO3n7fk7gRwp/tkSvPAPoBx8Wpw10zKBjQZot9djplKughk4Oq6FPKdrsdQQ6mNlvVh4Vjwc+vkBsz9SqFUijHNmxS52nYl3uMvogvfGEEGne8t/M2teMM8/gQAPbNOeSg08IKzIpT2XC1zJFXhq9z7R0gRoHgy3NpQyRsiwrQZ/wXp9P1VK771AL4VOKKxz4HBI2bJYQT3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7818</Words>
  <Characters>43002</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2021-12-22T19:49:00Z</dcterms:created>
  <dcterms:modified xsi:type="dcterms:W3CDTF">2021-12-22T19:49:00Z</dcterms:modified>
</cp:coreProperties>
</file>