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primero de septiembre del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03634/INFOEM/IP/RR/2021</w:t>
      </w:r>
      <w:r w:rsidDel="00000000" w:rsidR="00000000" w:rsidRPr="00000000">
        <w:rPr>
          <w:rFonts w:ascii="Palatino Linotype" w:cs="Palatino Linotype" w:eastAsia="Palatino Linotype" w:hAnsi="Palatino Linotype"/>
          <w:rtl w:val="0"/>
        </w:rPr>
        <w:t xml:space="preserve">, interpuesto por XXXXXXXXXXXXXX, a quien en lo sucesivo se le denominará el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en contra de la respuesta a su solicitud de información con número de folio </w:t>
      </w:r>
      <w:r w:rsidDel="00000000" w:rsidR="00000000" w:rsidRPr="00000000">
        <w:rPr>
          <w:rFonts w:ascii="Palatino Linotype" w:cs="Palatino Linotype" w:eastAsia="Palatino Linotype" w:hAnsi="Palatino Linotype"/>
          <w:b w:val="1"/>
          <w:sz w:val="22"/>
          <w:szCs w:val="22"/>
          <w:rtl w:val="0"/>
        </w:rPr>
        <w:t xml:space="preserve">00138/SESEA/IP/2021</w:t>
      </w:r>
      <w:r w:rsidDel="00000000" w:rsidR="00000000" w:rsidRPr="00000000">
        <w:rPr>
          <w:rFonts w:ascii="Palatino Linotype" w:cs="Palatino Linotype" w:eastAsia="Palatino Linotype" w:hAnsi="Palatino Linotype"/>
          <w:rtl w:val="0"/>
        </w:rPr>
        <w:t xml:space="preserve">, emitida por la </w:t>
      </w:r>
      <w:r w:rsidDel="00000000" w:rsidR="00000000" w:rsidRPr="00000000">
        <w:rPr>
          <w:rFonts w:ascii="Palatino Linotype" w:cs="Palatino Linotype" w:eastAsia="Palatino Linotype" w:hAnsi="Palatino Linotype"/>
          <w:b w:val="1"/>
          <w:rtl w:val="0"/>
        </w:rPr>
        <w:t xml:space="preserve">Secretaría Ejecutiva del Sistema Estatal Anticorrupción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3">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1. Solicitud de acceso a la información.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 fecha diez de julio de dos mil veintiuno, el ahora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la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SAIMEX lo siguiente:</w:t>
      </w:r>
      <w:r w:rsidDel="00000000" w:rsidR="00000000" w:rsidRPr="00000000">
        <w:rPr>
          <w:rtl w:val="0"/>
        </w:rPr>
      </w:r>
    </w:p>
    <w:p w:rsidR="00000000" w:rsidDel="00000000" w:rsidP="00000000" w:rsidRDefault="00000000" w:rsidRPr="00000000" w14:paraId="00000005">
      <w:pPr>
        <w:spacing w:after="240" w:before="240" w:line="360" w:lineRule="auto"/>
        <w:ind w:left="851"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Informe de actividades de 2017 a 2018 emitido por la Secretaría Técnica, ya que en su página de IPOMEX, NO EXISTE INFORMACIÓN DE LA SECRETARÍA DEL AÑO 2017.</w:t>
      </w:r>
      <w:r w:rsidDel="00000000" w:rsidR="00000000" w:rsidRPr="00000000">
        <w:rPr>
          <w:rFonts w:ascii="Palatino Linotype" w:cs="Palatino Linotype" w:eastAsia="Palatino Linotype" w:hAnsi="Palatino Linotype"/>
          <w:i w:val="1"/>
          <w:rtl w:val="0"/>
        </w:rPr>
        <w:t xml:space="preserve">” (sic)</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solicitante indicó como modalidad de entrega por correo electrónico</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2.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 fecha primero de julio del año dos mil veintiuno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SAIMEX, notificó la siguiente respuesta al particular:</w:t>
      </w:r>
    </w:p>
    <w:p w:rsidR="00000000" w:rsidDel="00000000" w:rsidP="00000000" w:rsidRDefault="00000000" w:rsidRPr="00000000" w14:paraId="00000008">
      <w:pPr>
        <w:spacing w:after="240" w:before="240" w:line="360" w:lineRule="auto"/>
        <w:ind w:left="851" w:right="900" w:firstLine="0"/>
        <w:jc w:val="both"/>
        <w:rPr>
          <w:rFonts w:ascii="Palatino Linotype" w:cs="Palatino Linotype" w:eastAsia="Palatino Linotype" w:hAnsi="Palatino Linotype"/>
          <w:sz w:val="16"/>
          <w:szCs w:val="16"/>
        </w:rPr>
      </w:pPr>
      <w:r w:rsidDel="00000000" w:rsidR="00000000" w:rsidRPr="00000000">
        <w:rPr>
          <w:rFonts w:ascii="Verdana" w:cs="Verdana" w:eastAsia="Verdana" w:hAnsi="Verdana"/>
          <w:sz w:val="18"/>
          <w:szCs w:val="18"/>
          <w:rtl w:val="0"/>
        </w:rPr>
        <w:t xml:space="preserv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Toluca, Estado de México; a 01 de julio del 2021 Ciudadano (a) solicitante de información pública con folio 00138/SESEA/IP/2021 Presente. Con fundamento en los artículos 50, 51, 52, 53 fracciones II, IV, V, VI y XIV, 156, 160, 161, 163, 164, 166 y 168 de la Ley de Transparencia y Acceso a la Información Pública del Estado de México y Municipios, se otorga respuesta a la solicitud de información pública 00138/SESEA/IP/2021. Atentamente M. en H.P. Jesús Díaz Monteyano Jefe de la Unidad de Planeación y Transparencia de la Secretaría Ejecutiva del Sistema Estatal Anticorrupción.</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sz w:val="16"/>
          <w:szCs w:val="16"/>
          <w:rtl w:val="0"/>
        </w:rPr>
        <w:t xml:space="preserve"> (Sic)</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rtl w:val="0"/>
        </w:rPr>
        <w:t xml:space="preserve">Asimismo, adjuntó el archivo denominado </w:t>
      </w:r>
      <w:r w:rsidDel="00000000" w:rsidR="00000000" w:rsidRPr="00000000">
        <w:rPr>
          <w:rtl w:val="0"/>
        </w:rPr>
        <w:t xml:space="preserve">0. OF_RPTA00138_2021.pdf</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no se inserta por economía procesal, al ser del conocimiento de las partes, y toda vez que será materia de análisis de la presente resolución, pero que en la parte nodal refiere que la Secretaria Técnica fue nombrada hasta el 2018, se hace de su conocimiento que en relación a la información solicitada del ejercicio 2017 al 2018, no se generó el informe de actividades por parte de esta Secretaría, toda vez que se encontraba en proceso de creación; por lo que esta Unidad da por atendida su solicitud de información.</w:t>
      </w: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3. Recurso de revisión.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recurso de revisión se interpuso a través del SAIMEX con fecha cinco de julio de dos mil veintiuno, por parte del solicitante de información, quien expresó las siguientes manifestaciones:</w:t>
      </w:r>
    </w:p>
    <w:p w:rsidR="00000000" w:rsidDel="00000000" w:rsidP="00000000" w:rsidRDefault="00000000" w:rsidRPr="00000000" w14:paraId="0000000B">
      <w:pPr>
        <w:spacing w:after="240" w:before="24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C">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“la respuesta del sujeto obligado </w:t>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0D">
      <w:pPr>
        <w:spacing w:after="240" w:before="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0E">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“El informe que se solicita es el elaborado desde el nombramiento de la primera secretaria técnica hasta que dejo el cargo de conformidad con la ley del sistema anticorrupción del estado de méxico. En lugar de adjuntarla a todas sus respuestas, LEAN. </w:t>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VII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para su análisis, estudio, elaboración del proyecto y presentación ante el Pleno de este Instituto.</w:t>
      </w:r>
    </w:p>
    <w:p w:rsidR="00000000" w:rsidDel="00000000" w:rsidP="00000000" w:rsidRDefault="00000000" w:rsidRPr="00000000" w14:paraId="00000010">
      <w:pPr>
        <w:spacing w:after="240" w:before="240" w:line="360" w:lineRule="auto"/>
        <w:jc w:val="both"/>
        <w:rPr/>
      </w:pPr>
      <w:r w:rsidDel="00000000" w:rsidR="00000000" w:rsidRPr="00000000">
        <w:rPr>
          <w:rFonts w:ascii="Palatino Linotype" w:cs="Palatino Linotype" w:eastAsia="Palatino Linotype" w:hAnsi="Palatino Linotype"/>
          <w:b w:val="1"/>
          <w:sz w:val="28"/>
          <w:szCs w:val="28"/>
          <w:rtl w:val="0"/>
        </w:rPr>
        <w:t xml:space="preserve">5. Admisión. </w:t>
      </w:r>
      <w:r w:rsidDel="00000000" w:rsidR="00000000" w:rsidRPr="00000000">
        <w:rPr>
          <w:rFonts w:ascii="Palatino Linotype" w:cs="Palatino Linotype" w:eastAsia="Palatino Linotype" w:hAnsi="Palatino Linotype"/>
          <w:rtl w:val="0"/>
        </w:rPr>
        <w:t xml:space="preserve">Mediante auto de fecha ocho de julio del año en curso,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6. Manifestaciones.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De las constancias del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observa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en fecha nueve de marzo de dos mil veintiuno, los archivos denominados </w:t>
      </w:r>
      <w:r w:rsidDel="00000000" w:rsidR="00000000" w:rsidRPr="00000000">
        <w:rPr>
          <w:rFonts w:ascii="Palatino Linotype" w:cs="Palatino Linotype" w:eastAsia="Palatino Linotype" w:hAnsi="Palatino Linotype"/>
          <w:b w:val="1"/>
          <w:rtl w:val="0"/>
        </w:rPr>
        <w:t xml:space="preserve">IJ_RR03634_2021.pdf, 2. Estatuto organico de la secretaria Ejecutiva del Sistema Estatal Anticorrupción.pdf, y “3. LSAEMYM.pdf” </w:t>
      </w:r>
      <w:r w:rsidDel="00000000" w:rsidR="00000000" w:rsidRPr="00000000">
        <w:rPr>
          <w:rFonts w:ascii="Palatino Linotype" w:cs="Palatino Linotype" w:eastAsia="Palatino Linotype" w:hAnsi="Palatino Linotype"/>
          <w:rtl w:val="0"/>
        </w:rPr>
        <w:t xml:space="preserve">mismo que no fue hecho del conocimiento del particular por no modificar la respuesta primigenia.</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precisar que el particular hoy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fue omiso en manifestar alegatos u ofrecer pruebas en el momento procesal determinado para ello.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tres de septiembre de dos mil veintiuno se procedió a decretar el cierre de instrucción respectivo.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014">
      <w:pPr>
        <w:pStyle w:val="Heading2"/>
        <w:jc w:val="center"/>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15">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PRIMERO. Competencia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fracción IV y V de la Constitución Política del Estado Libre y Soberano de México; 1, 2, fracción II; 13,  29, 36, fracciones I y II; 176, 178, 179, 181 párrafo 3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SEGUNDO. Oportunidad y Procediblidad del Recurso de Revisión.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 el Sujeto Obligado emitió la respuesta, toda vez que ésta fue pronunciada el día primero de julio de dos mil veintiuno, mientras que la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el cinco del mismo mes y año.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al considerar la fecha en que se formuló la solicitud y la fecha en la que respondió a ésta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en la que se interpuso el recurso de revisión, éste se encuentra dentro de los márgenes temporales previstos en el citado precepto legal.</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Cuestiones de previo y especial pronunciamiento. </w:t>
      </w:r>
      <w:r w:rsidDel="00000000" w:rsidR="00000000" w:rsidRPr="00000000">
        <w:rPr>
          <w:rFonts w:ascii="Palatino Linotype" w:cs="Palatino Linotype" w:eastAsia="Palatino Linotype" w:hAnsi="Palatino Linotype"/>
          <w:rtl w:val="0"/>
        </w:rPr>
        <w:t xml:space="preserve">Como puede apreciarse en el presente medio de impugnación, el C. </w:t>
      </w:r>
      <w:r w:rsidDel="00000000" w:rsidR="00000000" w:rsidRPr="00000000">
        <w:rPr>
          <w:rFonts w:ascii="Palatino Linotype" w:cs="Palatino Linotype" w:eastAsia="Palatino Linotype" w:hAnsi="Palatino Linotype"/>
          <w:b w:val="1"/>
          <w:rtl w:val="0"/>
        </w:rPr>
        <w:t xml:space="preserve">Samano Díaz Juan </w:t>
      </w:r>
      <w:r w:rsidDel="00000000" w:rsidR="00000000" w:rsidRPr="00000000">
        <w:rPr>
          <w:rFonts w:ascii="Palatino Linotype" w:cs="Palatino Linotype" w:eastAsia="Palatino Linotype" w:hAnsi="Palatino Linotype"/>
          <w:rtl w:val="0"/>
        </w:rPr>
        <w:t xml:space="preserve">solicitó información del Sujeto Obligado en supuesta representación de la persona jurídico colectiva Anticorrupción Estado de México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sin que exhiba documento legal que acredite tal representación.</w:t>
      </w:r>
    </w:p>
    <w:p w:rsidR="00000000" w:rsidDel="00000000" w:rsidP="00000000" w:rsidRDefault="00000000" w:rsidRPr="00000000" w14:paraId="0000001F">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tal situación, es de suma importancia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el C.</w:t>
      </w:r>
      <w:r w:rsidDel="00000000" w:rsidR="00000000" w:rsidRPr="00000000">
        <w:rPr>
          <w:rFonts w:ascii="Palatino Linotype" w:cs="Palatino Linotype" w:eastAsia="Palatino Linotype" w:hAnsi="Palatino Linotype"/>
          <w:b w:val="1"/>
          <w:rtl w:val="0"/>
        </w:rPr>
        <w:t xml:space="preserve"> XXXXXXXXX, </w:t>
      </w:r>
      <w:r w:rsidDel="00000000" w:rsidR="00000000" w:rsidRPr="00000000">
        <w:rPr>
          <w:rFonts w:ascii="Palatino Linotype" w:cs="Palatino Linotype" w:eastAsia="Palatino Linotype" w:hAnsi="Palatino Linotype"/>
          <w:rtl w:val="0"/>
        </w:rPr>
        <w:t xml:space="preserve">a fin de determinar el alcance frente a terceros de la presente resolución.</w:t>
      </w:r>
    </w:p>
    <w:p w:rsidR="00000000" w:rsidDel="00000000" w:rsidP="00000000" w:rsidRDefault="00000000" w:rsidRPr="00000000" w14:paraId="00000020">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Nuestra Carta Magna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pública. Tal y como se aprecia en el Artículo 6, apartado A, numeral III de la Constitución Política de los Estados Unidos Mexicanos que a la letra dice:</w:t>
      </w:r>
    </w:p>
    <w:p w:rsidR="00000000" w:rsidDel="00000000" w:rsidP="00000000" w:rsidRDefault="00000000" w:rsidRPr="00000000" w14:paraId="00000021">
      <w:pPr>
        <w:spacing w:after="360" w:before="240" w:lineRule="auto"/>
        <w:ind w:right="-91" w:firstLine="70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p>
    <w:p w:rsidR="00000000" w:rsidDel="00000000" w:rsidP="00000000" w:rsidRDefault="00000000" w:rsidRPr="00000000" w14:paraId="00000022">
      <w:pPr>
        <w:spacing w:after="360" w:before="240" w:lineRule="auto"/>
        <w:ind w:right="-91" w:firstLine="70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3">
      <w:pPr>
        <w:spacing w:after="360" w:before="240" w:lineRule="auto"/>
        <w:ind w:left="709" w:right="-9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4">
      <w:pPr>
        <w:spacing w:after="360" w:before="240" w:lineRule="auto"/>
        <w:ind w:left="1134" w:right="-9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rtl w:val="0"/>
        </w:rPr>
        <w:t xml:space="preserve">Toda persona, sin necesidad de acreditar interés alguno</w:t>
      </w:r>
      <w:r w:rsidDel="00000000" w:rsidR="00000000" w:rsidRPr="00000000">
        <w:rPr>
          <w:rFonts w:ascii="Palatino Linotype" w:cs="Palatino Linotype" w:eastAsia="Palatino Linotype" w:hAnsi="Palatino Linotype"/>
          <w:i w:val="1"/>
          <w:sz w:val="22"/>
          <w:szCs w:val="22"/>
          <w:rtl w:val="0"/>
        </w:rPr>
        <w:t xml:space="preserve"> o justificar su utilización, </w:t>
      </w:r>
      <w:r w:rsidDel="00000000" w:rsidR="00000000" w:rsidRPr="00000000">
        <w:rPr>
          <w:rFonts w:ascii="Palatino Linotype" w:cs="Palatino Linotype" w:eastAsia="Palatino Linotype" w:hAnsi="Palatino Linotype"/>
          <w:b w:val="1"/>
          <w:i w:val="1"/>
          <w:sz w:val="22"/>
          <w:szCs w:val="22"/>
          <w:rtl w:val="0"/>
        </w:rPr>
        <w:t xml:space="preserve">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25">
      <w:pPr>
        <w:spacing w:after="360" w:before="240" w:lineRule="auto"/>
        <w:ind w:left="1134" w:right="-9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26">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rsidR="00000000" w:rsidDel="00000000" w:rsidP="00000000" w:rsidRDefault="00000000" w:rsidRPr="00000000" w14:paraId="00000027">
      <w:pPr>
        <w:spacing w:after="360" w:before="240" w:line="360" w:lineRule="auto"/>
        <w:ind w:right="-91"/>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En virtud de lo anterior, la Ley de Transparencia y Acceso a la Información Pública del Estado de México y Municipios, en su artículo 4, establece que toda persona tiene el derecho de acceso a la información pública, sin necesidad de acreditar su personalidad ni interés jurídico</w:t>
      </w:r>
      <w:r w:rsidDel="00000000" w:rsidR="00000000" w:rsidRPr="00000000">
        <w:rPr>
          <w:rFonts w:ascii="Palatino Linotype" w:cs="Palatino Linotype" w:eastAsia="Palatino Linotype" w:hAnsi="Palatino Linotype"/>
          <w:color w:val="ff0000"/>
          <w:rtl w:val="0"/>
        </w:rPr>
        <w:t xml:space="preserve">.</w:t>
      </w:r>
    </w:p>
    <w:p w:rsidR="00000000" w:rsidDel="00000000" w:rsidP="00000000" w:rsidRDefault="00000000" w:rsidRPr="00000000" w14:paraId="00000028">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ese contexto, este Órgano Garante advierte que toda persona tiene el derecho de acceso a la información pública sin necesidad de acreditar interés alguno, justificar su utilización o bien su personalidad; sin embargo, del análisis armónico entre dichos cuerpos normativos se observa que el artículo 4 de la Ley de Transparencia y Acceso a la Información Pública del Estado de México y Municipios al establecer que en el ejercicio del derecho de acceso a la información no se requiere acreditar la personalidad jurídica; debe entenderse que éste se refiere únicamente cuando el actuante realiza peticiones en su propio derecho, puesto que, como se verá más adelante, las actuaciones en nombre y representación de otras personas pueden afectar la esfera jurídica de terceros, lo cual no puede permearse debido a que el ejercicio de un derecho no debe afectar otros derechos.</w:t>
      </w:r>
    </w:p>
    <w:p w:rsidR="00000000" w:rsidDel="00000000" w:rsidP="00000000" w:rsidRDefault="00000000" w:rsidRPr="00000000" w14:paraId="00000029">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los principios y bases constitucionales establecen que 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rsidR="00000000" w:rsidDel="00000000" w:rsidP="00000000" w:rsidRDefault="00000000" w:rsidRPr="00000000" w14:paraId="0000002A">
      <w:pPr>
        <w:spacing w:after="36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 </w:t>
      </w:r>
    </w:p>
    <w:p w:rsidR="00000000" w:rsidDel="00000000" w:rsidP="00000000" w:rsidRDefault="00000000" w:rsidRPr="00000000" w14:paraId="0000002B">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Primeramente, es importante definirse lo que debe entenderse por interés jurídico, dado que éste diverge de la personalidad, por lo que el Diccionario Jurídico Mexicano del Instituto de Investigaciones Jurídicas de la Universidad Nacional Autónoma de México, señala al interés jurídico de la siguiente manera: </w:t>
      </w:r>
      <w:r w:rsidDel="00000000" w:rsidR="00000000" w:rsidRPr="00000000">
        <w:rPr>
          <w:rFonts w:ascii="Palatino Linotype" w:cs="Palatino Linotype" w:eastAsia="Palatino Linotype" w:hAnsi="Palatino Linotype"/>
          <w:i w:val="1"/>
          <w:rtl w:val="0"/>
        </w:rPr>
        <w:t xml:space="preserve">“locución tiene dos acepciones, que son: a) en términos generales, la pretensión que se encuentra reconocida por las normas de derecho, y b) en materia procesal, la pretensión que intenta tutelar un derecho subjetivo mediante el ejercicio de la acción jurisdiccional.”</w:t>
      </w:r>
      <w:r w:rsidDel="00000000" w:rsidR="00000000" w:rsidRPr="00000000">
        <w:rPr>
          <w:rFonts w:ascii="Palatino Linotype" w:cs="Palatino Linotype" w:eastAsia="Palatino Linotype" w:hAnsi="Palatino Linotype"/>
          <w:i w:val="1"/>
          <w:vertAlign w:val="superscript"/>
        </w:rPr>
        <w:footnoteReference w:customMarkFollows="0" w:id="0"/>
      </w:r>
      <w:r w:rsidDel="00000000" w:rsidR="00000000" w:rsidRPr="00000000">
        <w:rPr>
          <w:rtl w:val="0"/>
        </w:rPr>
      </w:r>
    </w:p>
    <w:p w:rsidR="00000000" w:rsidDel="00000000" w:rsidP="00000000" w:rsidRDefault="00000000" w:rsidRPr="00000000" w14:paraId="0000002C">
      <w:pPr>
        <w:spacing w:after="360" w:before="24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Asimismo, el artículo 61, fracción XII, de la Ley de Amparo, Reglamentaria de los Artículos 103 y 107 de la Constitución Política de los Estados Unidos Mexicanos, dispone que dicho medio de control constitucional es improcedente c</w:t>
      </w:r>
      <w:r w:rsidDel="00000000" w:rsidR="00000000" w:rsidRPr="00000000">
        <w:rPr>
          <w:rtl w:val="0"/>
        </w:rPr>
        <w:t xml:space="preserve">ontra actos que no </w:t>
      </w:r>
      <w:r w:rsidDel="00000000" w:rsidR="00000000" w:rsidRPr="00000000">
        <w:rPr>
          <w:rFonts w:ascii="Palatino Linotype" w:cs="Palatino Linotype" w:eastAsia="Palatino Linotype" w:hAnsi="Palatino Linotype"/>
          <w:rtl w:val="0"/>
        </w:rPr>
        <w:t xml:space="preserve">afecten los intereses jurídicos o legítimos del quejoso, interés que ha sido identificado como un derecho público subjetivo el cual consiste en la facultad de un sujeto (gobernado) para exigir de otro (Estado) una acción u omisión concreta, protegida directamente por el derecho objetivo</w:t>
      </w:r>
      <w:r w:rsidDel="00000000" w:rsidR="00000000" w:rsidRPr="00000000">
        <w:rPr>
          <w:rFonts w:ascii="Palatino Linotype" w:cs="Palatino Linotype" w:eastAsia="Palatino Linotype" w:hAnsi="Palatino Linotype"/>
          <w:color w:val="ff0000"/>
          <w:rtl w:val="0"/>
        </w:rPr>
        <w:t xml:space="preserve">.</w:t>
      </w:r>
    </w:p>
    <w:p w:rsidR="00000000" w:rsidDel="00000000" w:rsidP="00000000" w:rsidRDefault="00000000" w:rsidRPr="00000000" w14:paraId="0000002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rsidR="00000000" w:rsidDel="00000000" w:rsidP="00000000" w:rsidRDefault="00000000" w:rsidRPr="00000000" w14:paraId="0000002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interés jurídico en el amparo se consideraba como la facultad de un 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rsidR="00000000" w:rsidDel="00000000" w:rsidP="00000000" w:rsidRDefault="00000000" w:rsidRPr="00000000" w14:paraId="0000002F">
      <w:pPr>
        <w:spacing w:after="360" w:before="240" w:lineRule="auto"/>
        <w:ind w:left="708" w:right="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“INTERES JURIDICO EN EL AMPARO. SU CONCEPTO. </w:t>
      </w:r>
      <w:r w:rsidDel="00000000" w:rsidR="00000000" w:rsidRPr="00000000">
        <w:rPr>
          <w:rFonts w:ascii="Palatino Linotype" w:cs="Palatino Linotype" w:eastAsia="Palatino Linotype" w:hAnsi="Palatino Linotype"/>
          <w:i w:val="1"/>
          <w:sz w:val="22"/>
          <w:szCs w:val="22"/>
          <w:rtl w:val="0"/>
        </w:rPr>
        <w:t xml:space="preserve">De acuerdo con el artículo 4o. de la Ley de Amparo, el ejercicio de la acción constitucional está reservado únicamente a quien resiente un perjuicio con motivo de un acto de autoridad o por la ley. Por lo tanto, la noción de perjuicio, para que proceda la acción de amparo </w:t>
      </w:r>
      <w:r w:rsidDel="00000000" w:rsidR="00000000" w:rsidRPr="00000000">
        <w:rPr>
          <w:rFonts w:ascii="Palatino Linotype" w:cs="Palatino Linotype" w:eastAsia="Palatino Linotype" w:hAnsi="Palatino Linotype"/>
          <w:b w:val="1"/>
          <w:i w:val="1"/>
          <w:sz w:val="22"/>
          <w:szCs w:val="22"/>
          <w:rtl w:val="0"/>
        </w:rPr>
        <w:t xml:space="preserve">presupone la existencia de un derecho legítimamente tutelado, que cuando se transgrede por la actuación de una autoridad, faculte a su titular para acudir ante el órgano jurisdiccional demandando el cese de esa violación</w:t>
      </w:r>
      <w:r w:rsidDel="00000000" w:rsidR="00000000" w:rsidRPr="00000000">
        <w:rPr>
          <w:rFonts w:ascii="Palatino Linotype" w:cs="Palatino Linotype" w:eastAsia="Palatino Linotype" w:hAnsi="Palatino Linotype"/>
          <w:i w:val="1"/>
          <w:sz w:val="22"/>
          <w:szCs w:val="22"/>
          <w:rtl w:val="0"/>
        </w:rPr>
        <w:t xml:space="preserve">. Ese derecho protegido por el ordenamiento legal objetivo es lo que constituye el interés jurídico, que la Ley de Amparo toma en cuenta, para la procedencia del juicio de garantías.</w:t>
      </w:r>
      <w:r w:rsidDel="00000000" w:rsidR="00000000" w:rsidRPr="00000000">
        <w:rPr>
          <w:rtl w:val="0"/>
        </w:rPr>
      </w:r>
    </w:p>
    <w:p w:rsidR="00000000" w:rsidDel="00000000" w:rsidP="00000000" w:rsidRDefault="00000000" w:rsidRPr="00000000" w14:paraId="00000030">
      <w:pPr>
        <w:spacing w:after="360" w:before="240" w:lineRule="auto"/>
        <w:ind w:right="51" w:firstLine="708"/>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TERCER TRIBUNAL COLEGIADO DEL SEXTO CIRCUITO.</w:t>
      </w:r>
    </w:p>
    <w:p w:rsidR="00000000" w:rsidDel="00000000" w:rsidP="00000000" w:rsidRDefault="00000000" w:rsidRPr="00000000" w14:paraId="00000031">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366/88. José Alvarez Gómez. 18 de octubre de 1988. Unanimidad de votos. Ponente: Jaime Manuel Marroquín Zaleta. Secretaria: María Guadalupe Herrera Calderón.</w:t>
      </w:r>
    </w:p>
    <w:p w:rsidR="00000000" w:rsidDel="00000000" w:rsidP="00000000" w:rsidRDefault="00000000" w:rsidRPr="00000000" w14:paraId="00000032">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24/89. Epifania Tlaseca Jiménez. 14 de febrero de 1989. Unanimidad de votos. Ponente: Jaime Manuel Marroquín Zaleta. Secretario: José de Jesús Echegaray Cabrera.</w:t>
      </w:r>
    </w:p>
    <w:p w:rsidR="00000000" w:rsidDel="00000000" w:rsidP="00000000" w:rsidRDefault="00000000" w:rsidRPr="00000000" w14:paraId="00000033">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96/90. Jesús Olivares Urcid. 2 de mayo de 1990. Unanimidad de votos. Ponente: Juan Manuel Brito Velázquez. Secretario: José Manuel Torres Pérez.</w:t>
      </w:r>
    </w:p>
    <w:p w:rsidR="00000000" w:rsidDel="00000000" w:rsidP="00000000" w:rsidRDefault="00000000" w:rsidRPr="00000000" w14:paraId="00000034">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152/91. Prócoro Bravo Zayas y otro. 13 de junio de 1991. Unanimidad de votos. Ponente: Olivia Heiras de Mancisidor. Secretaria: María de la Paz Flores Berruecos.</w:t>
      </w:r>
    </w:p>
    <w:p w:rsidR="00000000" w:rsidDel="00000000" w:rsidP="00000000" w:rsidRDefault="00000000" w:rsidRPr="00000000" w14:paraId="00000035">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222/91. Inmobiliaria Bárcena Arriola, S. A. 21 de junio de 1991. Unanimidad de votos. Ponente: Ana María Yolanda Ulloa de Rebollo. Secretario: José Manuel Torres Pérez.</w:t>
      </w:r>
    </w:p>
    <w:p w:rsidR="00000000" w:rsidDel="00000000" w:rsidP="00000000" w:rsidRDefault="00000000" w:rsidRPr="00000000" w14:paraId="00000036">
      <w:pPr>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Tesis: VI. 3o. J/26, Octava Época, Registro: 220965, Tribunales Colegiados de Circuito, Jurisprudencia, Semanario Judicial de la Federación, Tomo VIII, Diciembre de 1991, Pag: 117.”</w:t>
      </w:r>
    </w:p>
    <w:p w:rsidR="00000000" w:rsidDel="00000000" w:rsidP="00000000" w:rsidRDefault="00000000" w:rsidRPr="00000000" w14:paraId="00000037">
      <w:pPr>
        <w:tabs>
          <w:tab w:val="left" w:pos="8222"/>
        </w:tabs>
        <w:spacing w:after="360" w:before="240" w:lineRule="auto"/>
        <w:ind w:left="708"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8">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Ahora bien, a fin de esclarecer la diferencia entre el interés jurídico y la representación legal, el Diccionario Jurídico Mexicano del Instituto de Investigaciones Jurídicas de la Universidad Nacional Autónoma de México, señala que la representación se entiende de la siguiente manera: </w:t>
      </w:r>
      <w:r w:rsidDel="00000000" w:rsidR="00000000" w:rsidRPr="00000000">
        <w:rPr>
          <w:rFonts w:ascii="Palatino Linotype" w:cs="Palatino Linotype" w:eastAsia="Palatino Linotype" w:hAnsi="Palatino Linotype"/>
          <w:i w:val="1"/>
          <w:rtl w:val="0"/>
        </w:rPr>
        <w:t xml:space="preserve">“Es el acto de representar o la situación de ser representado. Sustituir a otro o hacer sus veces. La representación, en sentido general, es un fenómeno jurídico que implica la actuación a nombre de otro, en el campo del derecho.”</w:t>
      </w:r>
      <w:r w:rsidDel="00000000" w:rsidR="00000000" w:rsidRPr="00000000">
        <w:rPr>
          <w:rFonts w:ascii="Palatino Linotype" w:cs="Palatino Linotype" w:eastAsia="Palatino Linotype" w:hAnsi="Palatino Linotype"/>
          <w:i w:val="1"/>
          <w:vertAlign w:val="superscript"/>
        </w:rPr>
        <w:footnoteReference w:customMarkFollows="0" w:id="1"/>
      </w:r>
      <w:r w:rsidDel="00000000" w:rsidR="00000000" w:rsidRPr="00000000">
        <w:rPr>
          <w:rtl w:val="0"/>
        </w:rPr>
      </w:r>
    </w:p>
    <w:p w:rsidR="00000000" w:rsidDel="00000000" w:rsidP="00000000" w:rsidRDefault="00000000" w:rsidRPr="00000000" w14:paraId="00000039">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representación supone pues, que una persona ponga su propia actividad, su “querer”, al servicio de intereses ajenos, realizando un acto jurídico a nombre de la persona a quien pertenecen.</w:t>
      </w:r>
    </w:p>
    <w:p w:rsidR="00000000" w:rsidDel="00000000" w:rsidP="00000000" w:rsidRDefault="00000000" w:rsidRPr="00000000" w14:paraId="0000003A">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naturaleza de la representación reside en el ejercicio por el representante, de los derechos del representado. En suma, la representación es meramente declarativa de la voluntad del representado, y sus efectos se producen frente a terceros en relación con los cuales actúa el representante, y declaran la voluntad del representado.</w:t>
      </w:r>
    </w:p>
    <w:p w:rsidR="00000000" w:rsidDel="00000000" w:rsidP="00000000" w:rsidRDefault="00000000" w:rsidRPr="00000000" w14:paraId="0000003B">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primeramente, que el interés jurídico implica el derecho público subjetivo consistente en la facultad de un sujeto para exigir de la autoridad una acción u omisión concreta, protegida directamente por el derecho objetivo; en tanto que la representación implica la actuación a nombre del titular de un derecho.</w:t>
      </w:r>
    </w:p>
    <w:p w:rsidR="00000000" w:rsidDel="00000000" w:rsidP="00000000" w:rsidRDefault="00000000" w:rsidRPr="00000000" w14:paraId="0000003C">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esos supuestos, es importante vislumbrar que la representación funge como el ejercicio permitido de la personalidad de un sujeto, ya sea persona física, o bien, jurídico colectiva; ante tal directriz, debe entenderse que la personalidad se encuentra ligada inseparablemente con la noción de persona, puesto que la personalidad es la aptitud de poder ser sujeto de derechos y deberes; es la posibilidad de actuar en el mundo jurídico. La personalidad es la proyección de la persona en el ámbito jurídico.</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tl w:val="0"/>
        </w:rPr>
      </w:r>
    </w:p>
    <w:p w:rsidR="00000000" w:rsidDel="00000000" w:rsidP="00000000" w:rsidRDefault="00000000" w:rsidRPr="00000000" w14:paraId="0000003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jurista Eduardo de la Parra Trujillo considera que la personalidad se encuentra protegida a través del ejercicio del derecho a la personalidad, el cual tutela la dignidad humana.</w:t>
      </w:r>
    </w:p>
    <w:p w:rsidR="00000000" w:rsidDel="00000000" w:rsidP="00000000" w:rsidRDefault="00000000" w:rsidRPr="00000000" w14:paraId="0000003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Doctor Trinidad García define a dicho derecho como “</w:t>
      </w:r>
      <w:r w:rsidDel="00000000" w:rsidR="00000000" w:rsidRPr="00000000">
        <w:rPr>
          <w:rFonts w:ascii="Palatino Linotype" w:cs="Palatino Linotype" w:eastAsia="Palatino Linotype" w:hAnsi="Palatino Linotype"/>
          <w:i w:val="1"/>
          <w:rtl w:val="0"/>
        </w:rPr>
        <w:t xml:space="preserve">derecho subjetivo que comprende las facultades que el propio Derecho reconoce al miembro de una sociedad y que deben ser respetados en su ejercicio por otros. De lo que se infiere que se trata de derechos que consisten en una permisión que la norma jurídica otorga a su titular”</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F">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antes expuesto, se advierte que la personalidad (entendida como la aptitud de poder ser sujeto de derechos y deberes) atiende de manera inseparable a su titular, 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w:t>
      </w:r>
    </w:p>
    <w:p w:rsidR="00000000" w:rsidDel="00000000" w:rsidP="00000000" w:rsidRDefault="00000000" w:rsidRPr="00000000" w14:paraId="00000040">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en materia de transparencia y de acuerdo con lo expuesto en el presente Considerando, para el ejercicio del derecho de acceso a la información no se requiere la acreditación del interés jurídico, empero no abarca el ejercer derechos de otra persona, o bien, en su nombre y representación; pues se está ante una situación de hecho distinta que implica el consentimiento expreso de dicha persona, ya sea física o jurídico colectiva, de que alguien más ejercite sus derechos.</w:t>
      </w:r>
    </w:p>
    <w:p w:rsidR="00000000" w:rsidDel="00000000" w:rsidP="00000000" w:rsidRDefault="00000000" w:rsidRPr="00000000" w14:paraId="00000041">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 toral que no se confundan ni equiparen los derechos de la personalidad con otras figuras similares, como lo son las entonces garantías individuales, hoy derechos humanos; pues aunque dichas figuras coinciden en que tienen como finalidad la protección de la dignidad humana para el pleno desarrollo de la personalidad de las personas, en realidad son figuras afines, complementarias y coadyuvantes, pero no son lo mismo.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2">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tratándose de la representación legal de una persona titular del derecho público subjetivo, en comento, se requiere de la acreditación de dicha calidad por parte del que dice tenerla, ya que implica una intromisión en su esfera jurídica, por tal motivo debe acreditarse que se actúa en nombre del titular del derecho, en este caso en específico, el de acceso a la información; sin que esto constituya un obstáculo o impedimento para el ejercicio de dicho derecho constitucional.</w:t>
      </w:r>
    </w:p>
    <w:p w:rsidR="00000000" w:rsidDel="00000000" w:rsidP="00000000" w:rsidRDefault="00000000" w:rsidRPr="00000000" w14:paraId="00000043">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 motivo, este Órgano Garante del derecho fundamental de acceso a la información pública estima que, si bien es cierto, tanto el Sujeto Obligado como esta autoridad tienen el deber de garantizar el acceso a la información a toda persona sin necesidad de acreditar interés alguno, también lo es, que se tiene el deber de interpretar la totalidad de normas jurídicas aplicables al caso; en ese tenor, y haciendo una ponderación de derechos se llega a la convicción que el proporcionar la información solicitada a quien dice ser representante de otra persona, ya sea física o jurídico colectiva, sin que se acredite tal carácter, atenta en contra del derecho a la personalidad de ésta, puesto que pudiese materializarse una afectación real y concreta a su esfera jurídica.</w:t>
      </w:r>
    </w:p>
    <w:p w:rsidR="00000000" w:rsidDel="00000000" w:rsidP="00000000" w:rsidRDefault="00000000" w:rsidRPr="00000000" w14:paraId="0000004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pues, aun cuando la Ley Sustantiva establece que no se requiere acreditar personalidad ni interés alguno para solicitar información, debe tomarse en cuenta que cuando el solicitante se ostenta como representante legal de otro debe acreditar tal carácter, por afectar la esfera jurídica de este tercero, persona física o jurídico colectiva.</w:t>
      </w:r>
    </w:p>
    <w:p w:rsidR="00000000" w:rsidDel="00000000" w:rsidP="00000000" w:rsidRDefault="00000000" w:rsidRPr="00000000" w14:paraId="0000004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Empero, este órgano Garante del derecho de acceso a la información pública debe velar por el correcto ejercicio de dicho derecho privilegiando en todo momento el principio constitucional de máxima publicidad  de manera tal que no se vean afectados otros derechos como lo son aquellos inherentes a la personalidad.</w:t>
      </w:r>
    </w:p>
    <w:p w:rsidR="00000000" w:rsidDel="00000000" w:rsidP="00000000" w:rsidRDefault="00000000" w:rsidRPr="00000000" w14:paraId="00000046">
      <w:pPr>
        <w:spacing w:after="36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tenor, este Instituto en aras de privilegiar el principio de máxima publicidad debe resolver el presente medio de impugnación únicamente por cuanto hace a la calidad de persona física del C. </w:t>
      </w:r>
      <w:r w:rsidDel="00000000" w:rsidR="00000000" w:rsidRPr="00000000">
        <w:rPr>
          <w:rFonts w:ascii="Palatino Linotype" w:cs="Palatino Linotype" w:eastAsia="Palatino Linotype" w:hAnsi="Palatino Linotype"/>
          <w:b w:val="1"/>
          <w:rtl w:val="0"/>
        </w:rPr>
        <w:t xml:space="preserve">XXXXXXXXX</w:t>
      </w:r>
      <w:r w:rsidDel="00000000" w:rsidR="00000000" w:rsidRPr="00000000">
        <w:rPr>
          <w:rFonts w:ascii="Palatino Linotype" w:cs="Palatino Linotype" w:eastAsia="Palatino Linotype" w:hAnsi="Palatino Linotype"/>
          <w:rtl w:val="0"/>
        </w:rPr>
        <w:t xml:space="preserve">, por no acreditar fehacientemente su calidad de representante legal de la persona jurídico colectiva </w:t>
      </w:r>
      <w:r w:rsidDel="00000000" w:rsidR="00000000" w:rsidRPr="00000000">
        <w:rPr>
          <w:rFonts w:ascii="Palatino Linotype" w:cs="Palatino Linotype" w:eastAsia="Palatino Linotype" w:hAnsi="Palatino Linotype"/>
          <w:b w:val="1"/>
          <w:rtl w:val="0"/>
        </w:rPr>
        <w:t xml:space="preserve">Anticorrupción Estado de México  </w:t>
      </w:r>
      <w:r w:rsidDel="00000000" w:rsidR="00000000" w:rsidRPr="00000000">
        <w:rPr>
          <w:rFonts w:ascii="Palatino Linotype" w:cs="Palatino Linotype" w:eastAsia="Palatino Linotype" w:hAnsi="Palatino Linotype"/>
          <w:rtl w:val="0"/>
        </w:rPr>
        <w:t xml:space="preserve">mediante documento legal alguno.</w:t>
      </w:r>
      <w:r w:rsidDel="00000000" w:rsidR="00000000" w:rsidRPr="00000000">
        <w:rPr>
          <w:rtl w:val="0"/>
        </w:rPr>
      </w:r>
    </w:p>
    <w:p w:rsidR="00000000" w:rsidDel="00000000" w:rsidP="00000000" w:rsidRDefault="00000000" w:rsidRPr="00000000" w14:paraId="00000047">
      <w:pPr>
        <w:rPr>
          <w:color w:val="ff0000"/>
        </w:rPr>
      </w:pPr>
      <w:r w:rsidDel="00000000" w:rsidR="00000000" w:rsidRPr="00000000">
        <w:rPr>
          <w:rtl w:val="0"/>
        </w:rPr>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000000" w:rsidDel="00000000" w:rsidP="00000000" w:rsidRDefault="00000000" w:rsidRPr="00000000" w14:paraId="0000004A">
      <w:pPr>
        <w:spacing w:after="240" w:before="240" w:line="360" w:lineRule="auto"/>
        <w:jc w:val="both"/>
        <w:rPr>
          <w:rFonts w:ascii="Quattrocento Sans" w:cs="Quattrocento Sans" w:eastAsia="Quattrocento Sans" w:hAnsi="Quattrocento Sans"/>
        </w:rPr>
      </w:pPr>
      <w:r w:rsidDel="00000000" w:rsidR="00000000" w:rsidRPr="00000000">
        <w:rPr>
          <w:rFonts w:ascii="Palatino Linotype" w:cs="Palatino Linotype" w:eastAsia="Palatino Linotype" w:hAnsi="Palatino Linotype"/>
          <w:rtl w:val="0"/>
        </w:rPr>
        <w:t xml:space="preserve">Entonces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fracción IV del ordenamiento legal citado, que establecen los supuestos en que puede interponerse el recurso de revisión:</w:t>
      </w:r>
      <w:r w:rsidDel="00000000" w:rsidR="00000000" w:rsidRPr="00000000">
        <w:rPr>
          <w:rtl w:val="0"/>
        </w:rPr>
      </w:r>
    </w:p>
    <w:p w:rsidR="00000000" w:rsidDel="00000000" w:rsidP="00000000" w:rsidRDefault="00000000" w:rsidRPr="00000000" w14:paraId="0000004B">
      <w:pPr>
        <w:spacing w:after="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 “Artículo 176. </w:t>
      </w:r>
      <w:r w:rsidDel="00000000" w:rsidR="00000000" w:rsidRPr="00000000">
        <w:rPr>
          <w:rFonts w:ascii="Palatino Linotype" w:cs="Palatino Linotype" w:eastAsia="Palatino Linotype" w:hAnsi="Palatino Linotype"/>
          <w:i w:val="1"/>
          <w:sz w:val="20"/>
          <w:szCs w:val="20"/>
          <w:rtl w:val="0"/>
        </w:rPr>
        <w:t xml:space="preserve">El recurso de revisión  es la garantía secundaria mediante la cual se pretende reparar cualquier posible afectación al derecho de acceso a la información pública en términos del presente y siguiente Capítulo.</w:t>
      </w:r>
    </w:p>
    <w:p w:rsidR="00000000" w:rsidDel="00000000" w:rsidP="00000000" w:rsidRDefault="00000000" w:rsidRPr="00000000" w14:paraId="0000004C">
      <w:pPr>
        <w:spacing w:after="12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179</w:t>
      </w: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Bookman Old Style" w:cs="Bookman Old Style" w:eastAsia="Bookman Old Style" w:hAnsi="Bookman Old Style"/>
          <w:sz w:val="18"/>
          <w:szCs w:val="18"/>
          <w:rtl w:val="0"/>
        </w:rPr>
        <w:t xml:space="preserve"> </w:t>
      </w:r>
      <w:r w:rsidDel="00000000" w:rsidR="00000000" w:rsidRPr="00000000">
        <w:rPr>
          <w:rFonts w:ascii="Palatino Linotype" w:cs="Palatino Linotype" w:eastAsia="Palatino Linotype" w:hAnsi="Palatino Linotype"/>
          <w:i w:val="1"/>
          <w:sz w:val="20"/>
          <w:szCs w:val="20"/>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D">
      <w:pPr>
        <w:spacing w:after="120" w:before="120" w:line="360" w:lineRule="auto"/>
        <w:ind w:left="1134" w:right="94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4E">
      <w:pPr>
        <w:spacing w:after="120" w:before="120" w:line="360" w:lineRule="auto"/>
        <w:ind w:left="1134" w:right="9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rtl w:val="0"/>
        </w:rPr>
        <w:t xml:space="preserve">I. La negativa a la información solicitada;</w:t>
        <w:br w:type="textWrapping"/>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Cuarto. Materia de la revisión.</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realizado el análisis de las constancias que integran el expediente en que se actúa, se desprende que la resolución consiste en determinar la legalidad de 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acceso a la información, y en su caso resolver si resulta procedente ordenar lo requerido según la manifestaciones hechas al momento de interponerse el presente medio de impugnación, de conformidad con lo dispuesto en la Ley de Transparencia y Acceso a la Información Pública del Estado de México y Municipios.</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Quinto. Estudio del asunto.</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analizada la totalidad de las constancias que obran en el expediente electrónico, este Órgano señala que los motivos de inconformidad del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rtl w:val="0"/>
        </w:rPr>
        <w:t xml:space="preserve"> no resultan fundados, por las razones que se expondrán en la presente resolución.</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Conforme a lo anterior, resulta necesario recordar que el particular solicitó en el ejercicio de su derecho de acceso a la información, lo siguiente:</w:t>
      </w:r>
    </w:p>
    <w:p w:rsidR="00000000" w:rsidDel="00000000" w:rsidP="00000000" w:rsidRDefault="00000000" w:rsidRPr="00000000" w14:paraId="00000056">
      <w:pPr>
        <w:spacing w:after="240" w:before="240" w:line="360" w:lineRule="auto"/>
        <w:ind w:left="567"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 Informe de actividades de 2017 a 2018 emitido por la Secretaría Técnica.  </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Como respuesta,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manifestó:</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en fecha 27 de mayo del 2017 fue aprobada la Ley del Sistema Anticorrupción del Estado de México y Municipios, siendo publicada el 30 de mayo del 2017 en el Periódico Oficial Gaceta de Gobierno;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el 20 de octubre de 2017, la Comisión Estatal de Selección del Comité de Participación Ciudadana del Sistema Estatal Anticorrupción designó a los cinco integrantes de dicho Comité;</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con fecha 15 de noviembre de 2017, se llevó a cabo la instalación formal del Órgano de Gobierno de la Secretaría Ejecutiva del Sistema Estatal Anticorrupción;</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en fecha 29 de noviembre de 2017, el Comité de Participación Ciudadana del Sistema Estatal Anticorrupción emitió la Convocatoria para la Selección del Secretario Técnico de la Secretaría Ejecutiva del Sistema Estatal Anticorrupción;</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con fecha 9 de enero de 2018, el Presidente del Órgano de Gobierno de la Secretaría Ejecutiva del Sistema Estatal Anticorrupción emite Convocatoria para llevar a cabo la Primera Sesión Extraordinaria del Órgano de Gobierno de la Secretaría Ejecutiva del Sistema estatal Anticorrupción, con objeto de que dicho Órgano designe al Secretario Técnico de la Secretaría Ejecutiva del Sistema Estatal Anticorrupción;</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el 12 de enero de 2018, se realizó el nombramiento de la primera Secretaria Técnica Dra. Josefina Román Vergara; y, </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derivado de lo anterior y de que la Secretaria Técnica fue nombrada hasta el 2018, se hace de su conocimiento que en relación a la información solicitada del ejercicio 2017 al 2018, no se generó el informe de actividades por parte de esta Secretaría, toda vez que se encontraba en proceso de creación; por lo que esta Unidad da por atendida su solicitud de información.</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color w:val="000000"/>
          <w:rtl w:val="0"/>
        </w:rPr>
        <w:t xml:space="preserve">Inconforme, el solicitante presentó recurso de revisión señalando como agravio, que: </w:t>
      </w:r>
      <w:r w:rsidDel="00000000" w:rsidR="00000000" w:rsidRPr="00000000">
        <w:rPr>
          <w:rFonts w:ascii="Palatino Linotype" w:cs="Palatino Linotype" w:eastAsia="Palatino Linotype" w:hAnsi="Palatino Linotype"/>
          <w:i w:val="1"/>
          <w:color w:val="000000"/>
          <w:rtl w:val="0"/>
        </w:rPr>
        <w:t xml:space="preserve">El informe que se solicita es el elaborado desde el nombramiento de la primera secretaria técnica hasta que dejo el cargo de conformidad con la ley del sistema anticorrupción del Estado de México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Sujeto Obligado rindió con oportunidad su Informe Justificado que fue puesto a la vista del Recurrente y mediante el cual reiteró su respuesta original fundamentalmente, señalando que, o tenga por reproducida en sus términos la respuesta señalada, misma que obra en el expediente electrónico del Sistema de Acceso a la Información Mexiquense SAIMEX, a fin de que se advierta su contenido, los fundamentos y motivos insertos en ella, evitando repeticiones innecesarias en el presente informe</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término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6</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en atención a lo dispuesto por los artículos 3, fracción XI y 12 de la Ley de Transparencia y Acceso a la Información Pública del Estado de México y Municipios, los cuales son del tenor literal siguiente: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los efectos de la presente Ley se entenderá por: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cualquier otro registro que documente el ejercicio de las facultades, funciones y competencias de los sujetos obligados, sus servidores públicos e integrantes, sin importar su fuente o fecha de elaboración.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documentos podrán estar en cualquier medio, sea escrito, impreso, sonoro, visual, electrónico, informático u holográfico;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tenor, en virtud de que la solicitud del particular consiste en obtener el Informe de actividades de 2017 a 2018 emitido por la Secretaría Técnica, resulta oportuno remitirnos al contenido del Estatuto Orgánico de la Secretaría Ejecutiva del Sistema Estatal Anticorrupción, que dispone lo siguiente:</w:t>
      </w:r>
    </w:p>
    <w:p w:rsidR="00000000" w:rsidDel="00000000" w:rsidP="00000000" w:rsidRDefault="00000000" w:rsidRPr="00000000" w14:paraId="0000007E">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16.- El Secretario Técnico es el servidor público que tiene a su cargo las funciones de dirección de la Secretaría Ejecutiva, quien ejercerá las atribuciones previstas en la Ley y en el presente Estatuto Orgánico.</w:t>
      </w:r>
    </w:p>
    <w:p w:rsidR="00000000" w:rsidDel="00000000" w:rsidP="00000000" w:rsidRDefault="00000000" w:rsidRPr="00000000" w14:paraId="0000007F">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18.- Para el desahogo de los asuntos de su competencia, además de las previstas por la Ley, el Secretario Técnico contará con las atribuciones siguientes:</w:t>
      </w:r>
    </w:p>
    <w:p w:rsidR="00000000" w:rsidDel="00000000" w:rsidP="00000000" w:rsidRDefault="00000000" w:rsidRPr="00000000" w14:paraId="00000080">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Proponer al Órgano de Gobierno la estructura orgánica de la Secretaría Ejecutiva y sus modificaciones, así como los perfiles profesionales que deberán cubrir los servidores públicos adscritos a la misma ante el Órgano de Gobierno, previa opinión de la Secretaría de Finanzas; </w:t>
      </w:r>
    </w:p>
    <w:p w:rsidR="00000000" w:rsidDel="00000000" w:rsidP="00000000" w:rsidRDefault="00000000" w:rsidRPr="00000000" w14:paraId="00000081">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Nombrar y remover a los servidores públicos de la Secretaría Ejecutiva en los términos previstos por la Ley; </w:t>
      </w:r>
    </w:p>
    <w:p w:rsidR="00000000" w:rsidDel="00000000" w:rsidP="00000000" w:rsidRDefault="00000000" w:rsidRPr="00000000" w14:paraId="00000082">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Expedir y certificar, en su caso, copia de los documentos o constancias relativas a la Secretaría Ejecutiva, de oficio o a petición de autoridad competente;</w:t>
      </w:r>
    </w:p>
    <w:p w:rsidR="00000000" w:rsidDel="00000000" w:rsidP="00000000" w:rsidRDefault="00000000" w:rsidRPr="00000000" w14:paraId="00000083">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Proponer ante el Comité Coordinador, la celebración de convenios de Coordinación, Colaboración y Concertación necesarios para el cumplimiento de los fines del Sistema Estatal y Municipal Anticorrupción;</w:t>
      </w:r>
    </w:p>
    <w:p w:rsidR="00000000" w:rsidDel="00000000" w:rsidP="00000000" w:rsidRDefault="00000000" w:rsidRPr="00000000" w14:paraId="00000084">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 Notificar las convocatorias para las sesiones del Comité Coordinador y del Sistema Estatal Anticorrupción; </w:t>
      </w:r>
    </w:p>
    <w:p w:rsidR="00000000" w:rsidDel="00000000" w:rsidP="00000000" w:rsidRDefault="00000000" w:rsidRPr="00000000" w14:paraId="00000085">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Proporcionar al Comité de Participación Ciudadana a través de los medios de comunicación aprobados, sin ninguna restricción, la información que genere el Sistema Estatal Anticorrupción, así como los insumos técnicos que se requieran para el cumplimiento de sus atribuciones, de conformidad con los mecanismos propuestos por la Secretaría Ejecutiva; </w:t>
      </w:r>
    </w:p>
    <w:p w:rsidR="00000000" w:rsidDel="00000000" w:rsidP="00000000" w:rsidRDefault="00000000" w:rsidRPr="00000000" w14:paraId="00000086">
      <w:pPr>
        <w:spacing w:after="240" w:before="240" w:lineRule="auto"/>
        <w:ind w:left="708"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VII. Solicitar a las y los integrantes del Comité Coordinador, toda la información que estime necesaria para la integración del contenido del informe anual, incluidos los proyectos de recomendaciones</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destaca que, el secretario técnico es el servidor público que tiene a su cargo las funciones de dirección de la Secretaría Ejecutiva, quien ejercerá las atribuciones previstas en la Ley y en el presente Estatuto Orgánico, quien entre otras atribuciones le corresponde solicitar a las y los integrantes del Comité Coordinador, toda la información que estime necesaria para la integración del contenido del informe anual</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Decreto del Titular del Poder Ejecutivo Federal, publicado en el Diario Oficial de la Federación el dieciocho de julio del año dos mil dieciséis, se expidió la Ley General del Sistema Nacional Anticorrupción, que en su Capítulo V del Título Segundo estableció las bases para la integración, atribuciones y funcionamiento de los sistemas anticorrupción de las entidades federativas.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en congruencia con la Ley General, mediante Decreto número 202 de la  “LIX” Legislatura del Estado de México, publicado en el Periódico Oficial “Gaceta del Gobierno” el veinticuatro de abril de dos mil diecisiete, se reformaron y adicionaron diversas disposiciones a la Constitución Política del Estado Libre y Soberano de México, entre las cuales, el artículo 130 Bis estableció que el Sistema Estatal Anticorrupción es la instancia de coordinación entre las autoridades de los órdenes de gobierno competentes en la prevención, detección y sanción de responsabilidades administrativas, actos y hechos de corrupción, así como en la fiscalización y control de recursos públicos. Sistema que para el cumplimiento de su objeto se sujetará a las bases mínimas establecidas conforme a la ley respectiva.</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consecuencia, mediante Decreto número 207 de la  “LIX” Legislatura del Estado de México, publicado en el Periódico Oficial “Gaceta del Gobierno” el treinta de mayo de dos mil diecisiete, se expidió la </w:t>
      </w:r>
      <w:r w:rsidDel="00000000" w:rsidR="00000000" w:rsidRPr="00000000">
        <w:rPr>
          <w:rFonts w:ascii="Palatino Linotype" w:cs="Palatino Linotype" w:eastAsia="Palatino Linotype" w:hAnsi="Palatino Linotype"/>
          <w:b w:val="1"/>
          <w:rtl w:val="0"/>
        </w:rPr>
        <w:t xml:space="preserve">Ley del Sistema Anticorrupción del Estado de México y Municipios, cuyo artículo 24 dispone la creación de un organismo descentralizado, no sectorizado, con personalidad jurídica y patrimonio propios, con autonomía técnica y de gestión, mismo que tendrá su sede en la ciudad de Toluca de Lerdo, denominado Secretaría Ejecutiva del Sistema Estatal Anticorrupción.</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mediante acuerdo  Nº OGSE/001/2018 de fecha 18 de enero de 2018 por el que el órgano de gobierno de la Secretaría Ejecutiva del Sistema Estatal Anticorrupción del Estado de México, otorga el nombramiento de Secretario Técnico de la Secretaría Ejecutiva, con fundamento en los artículos 12, 28, 29, 33 y 34 de la ley del Sistema Anticorrupción del Estado de México y Municipios, fecha en que fue nombrada la Secretaria Técnica de la Secretaría Ejecutiva del Sistema Estatal Anticorrupción.</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29808" cy="7133974"/>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29808" cy="713397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28306" cy="7008166"/>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28306" cy="7008166"/>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80" w:before="280"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y de que la Secretaria Técnica fue nombrada hasta el 2018, tal y como lo señalo el Sujeto Obligado al particular que en relación a la información solicitada del ejercicio 2017 al 2018, no se generó el informe de actividades, toda vez que se encontraba en proceso de creación. </w:t>
      </w:r>
    </w:p>
    <w:p w:rsidR="00000000" w:rsidDel="00000000" w:rsidP="00000000" w:rsidRDefault="00000000" w:rsidRPr="00000000" w14:paraId="0000009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hora bien, de lo manifestado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colige que no ha generado, poseído o administrado la documentación en donde conste el informe de actividades del secretario técnico para el ejercicio 2017-2018. Además, no se debe pasar por desapercibido que la naturaleza del derecho de acceso a la información es de índole documental, y por tanto se delimita a los documentos que los sujetos obligados generen, administren o posean, conforme al precepto 24, de la Ley de la materia que al efecto establece:</w:t>
      </w:r>
    </w:p>
    <w:p w:rsidR="00000000" w:rsidDel="00000000" w:rsidP="00000000" w:rsidRDefault="00000000" w:rsidRPr="00000000" w14:paraId="00000093">
      <w:pPr>
        <w:rPr>
          <w:color w:val="ff0000"/>
        </w:rPr>
      </w:pPr>
      <w:r w:rsidDel="00000000" w:rsidR="00000000" w:rsidRPr="00000000">
        <w:rPr>
          <w:rtl w:val="0"/>
        </w:rPr>
      </w:r>
    </w:p>
    <w:p w:rsidR="00000000" w:rsidDel="00000000" w:rsidP="00000000" w:rsidRDefault="00000000" w:rsidRPr="00000000" w14:paraId="0000009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24.</w:t>
      </w:r>
      <w:r w:rsidDel="00000000" w:rsidR="00000000" w:rsidRPr="00000000">
        <w:rPr>
          <w:rFonts w:ascii="Palatino Linotype" w:cs="Palatino Linotype" w:eastAsia="Palatino Linotype" w:hAnsi="Palatino Linotype"/>
          <w:i w:val="1"/>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095">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6">
      <w:pPr>
        <w:tabs>
          <w:tab w:val="left" w:pos="709"/>
        </w:tabs>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7">
      <w:pPr>
        <w:tabs>
          <w:tab w:val="left" w:pos="709"/>
        </w:tabs>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solo proporcionarán la información pública que generen, administren o posean en el ejercicio de sus atribuciones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98">
      <w:pPr>
        <w:rPr>
          <w:color w:val="ff0000"/>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entiende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no se encuentra en posibilidad de hacer entrega de la información específica que demanda el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lo que </w:t>
      </w:r>
      <w:r w:rsidDel="00000000" w:rsidR="00000000" w:rsidRPr="00000000">
        <w:rPr>
          <w:rFonts w:ascii="Palatino Linotype" w:cs="Palatino Linotype" w:eastAsia="Palatino Linotype" w:hAnsi="Palatino Linotype"/>
          <w:i w:val="1"/>
          <w:rtl w:val="0"/>
        </w:rPr>
        <w:t xml:space="preserve">a contrario sensu</w:t>
      </w:r>
      <w:r w:rsidDel="00000000" w:rsidR="00000000" w:rsidRPr="00000000">
        <w:rPr>
          <w:rFonts w:ascii="Palatino Linotype" w:cs="Palatino Linotype" w:eastAsia="Palatino Linotype" w:hAnsi="Palatino Linotype"/>
          <w:rtl w:val="0"/>
        </w:rPr>
        <w:t xml:space="preserve"> significa que </w:t>
      </w:r>
      <w:r w:rsidDel="00000000" w:rsidR="00000000" w:rsidRPr="00000000">
        <w:rPr>
          <w:rFonts w:ascii="Palatino Linotype" w:cs="Palatino Linotype" w:eastAsia="Palatino Linotype" w:hAnsi="Palatino Linotype"/>
          <w:b w:val="1"/>
          <w:rtl w:val="0"/>
        </w:rPr>
        <w:t xml:space="preserve">no se está obligado a proporcionar lo que no obre en sus archivos</w:t>
      </w:r>
      <w:r w:rsidDel="00000000" w:rsidR="00000000" w:rsidRPr="00000000">
        <w:rPr>
          <w:rFonts w:ascii="Palatino Linotype" w:cs="Palatino Linotype" w:eastAsia="Palatino Linotype" w:hAnsi="Palatino Linotype"/>
          <w:rtl w:val="0"/>
        </w:rPr>
        <w:t xml:space="preserve">, mismo que se transcribe a continuación:</w:t>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D">
      <w:pPr>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9E">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9F">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la respuesta emitida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tiene la presunción legal de ser verídica, considerado que fue emitida por un servidor público en ejercicio de sus funciones, lo que conlleva la presunción de veracidad de todo acto administrativo.</w:t>
      </w:r>
    </w:p>
    <w:p w:rsidR="00000000" w:rsidDel="00000000" w:rsidP="00000000" w:rsidRDefault="00000000" w:rsidRPr="00000000" w14:paraId="000000A2">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presentar la información solicitada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toda vez que no existe, pues esta no ha sido generada, administrada o poseída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u w:val="single"/>
          <w:rtl w:val="0"/>
        </w:rPr>
        <w:t xml:space="preserve">en ejercicio de sus atribuciones</w:t>
      </w:r>
      <w:r w:rsidDel="00000000" w:rsidR="00000000" w:rsidRPr="00000000">
        <w:rPr>
          <w:rFonts w:ascii="Palatino Linotype" w:cs="Palatino Linotype" w:eastAsia="Palatino Linotype" w:hAnsi="Palatino Linotype"/>
          <w:rtl w:val="0"/>
        </w:rPr>
        <w:t xml:space="preserve">. Por lo tanto, resulta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generó, administró o poseyó dicha información en los términos referidos por el hoy Recurrente y que su inexistencia constituye hechos negativos, por tanto, dicha información no puede fácticamente obrar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ya que no puede probarse por ser lógica y materialmente imposible.</w:t>
      </w:r>
    </w:p>
    <w:p w:rsidR="00000000" w:rsidDel="00000000" w:rsidP="00000000" w:rsidRDefault="00000000" w:rsidRPr="00000000" w14:paraId="000000A4">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0A6">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HECHOS NEGATIVOS, NO SON SUSCEPTIBLES DE DEMOSTRACIÓN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AA">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un hecho negativo, el Juez no tiene por qué invocar prueba alguna de la que se desprenda, ya que es bien sabido que esta clase de hechos no son susceptibles de demostración.</w:t>
      </w:r>
    </w:p>
    <w:p w:rsidR="00000000" w:rsidDel="00000000" w:rsidP="00000000" w:rsidRDefault="00000000" w:rsidRPr="00000000" w14:paraId="000000AB">
      <w:pPr>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C">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en revisión 2022/61. José García Florín (Menor). 9 de octubre de 1961. Cinco votos. Ponente: José Rivera Pérez Campos.”</w:t>
      </w:r>
    </w:p>
    <w:p w:rsidR="00000000" w:rsidDel="00000000" w:rsidP="00000000" w:rsidRDefault="00000000" w:rsidRPr="00000000" w14:paraId="000000AD">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Concretando, al no existir el acto generador de la información se encontraría imposibilitado a la entrega de información que no se tiene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en conclusión, la información no podría obrar en los archivos del Sujeto Obligado si esta no fue generada.</w:t>
      </w:r>
    </w:p>
    <w:p w:rsidR="00000000" w:rsidDel="00000000" w:rsidP="00000000" w:rsidRDefault="00000000" w:rsidRPr="00000000" w14:paraId="000000AF">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que establece la Ley de Transparencia y Acceso a la Información Pública del Estado de México y Municipios en sus artículos 3, 4 y 12 citados con anterioridad, de los cuales se desprende que </w:t>
      </w:r>
      <w:r w:rsidDel="00000000" w:rsidR="00000000" w:rsidRPr="00000000">
        <w:rPr>
          <w:rFonts w:ascii="Palatino Linotype" w:cs="Palatino Linotype" w:eastAsia="Palatino Linotype" w:hAnsi="Palatino Linotype"/>
          <w:u w:val="single"/>
          <w:rtl w:val="0"/>
        </w:rPr>
        <w:t xml:space="preserve">la información pública es la contenida en los documentos que los Sujetos Obligados generan en ejercicio de sus atribuciones</w:t>
      </w:r>
      <w:r w:rsidDel="00000000" w:rsidR="00000000" w:rsidRPr="00000000">
        <w:rPr>
          <w:rFonts w:ascii="Palatino Linotype" w:cs="Palatino Linotype" w:eastAsia="Palatino Linotype" w:hAnsi="Palatino Linotype"/>
          <w:rtl w:val="0"/>
        </w:rPr>
        <w:t xml:space="preserve">,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000000" w:rsidDel="00000000" w:rsidP="00000000" w:rsidRDefault="00000000" w:rsidRPr="00000000" w14:paraId="000000B1">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se dispone que 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color w:val="ff0000"/>
          <w:sz w:val="2"/>
          <w:szCs w:val="2"/>
        </w:rPr>
      </w:pPr>
      <w:r w:rsidDel="00000000" w:rsidR="00000000" w:rsidRPr="00000000">
        <w:rPr>
          <w:rtl w:val="0"/>
        </w:rPr>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obligado a generar documento </w:t>
      </w:r>
      <w:r w:rsidDel="00000000" w:rsidR="00000000" w:rsidRPr="00000000">
        <w:rPr>
          <w:rFonts w:ascii="Palatino Linotype" w:cs="Palatino Linotype" w:eastAsia="Palatino Linotype" w:hAnsi="Palatino Linotype"/>
          <w:b w:val="1"/>
          <w:i w:val="1"/>
          <w:rtl w:val="0"/>
        </w:rPr>
        <w:t xml:space="preserve">ad hoc</w:t>
      </w:r>
      <w:r w:rsidDel="00000000" w:rsidR="00000000" w:rsidRPr="00000000">
        <w:rPr>
          <w:rFonts w:ascii="Palatino Linotype" w:cs="Palatino Linotype" w:eastAsia="Palatino Linotype" w:hAnsi="Palatino Linotype"/>
          <w:rtl w:val="0"/>
        </w:rPr>
        <w:t xml:space="preserve"> para para satisfacer el derecho de acceso, situación que no está permitida dentro de la materia de acceso a la información.</w:t>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color w:val="ff0000"/>
          <w:sz w:val="2"/>
          <w:szCs w:val="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Como apoyo a lo anterior, es aplicable el Criterio 03-17, emitido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B7">
      <w:pPr>
        <w:spacing w:line="256" w:lineRule="auto"/>
        <w:ind w:left="851" w:right="850" w:firstLine="0"/>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B8">
      <w:pPr>
        <w:spacing w:line="25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B9">
      <w:pPr>
        <w:spacing w:line="256" w:lineRule="auto"/>
        <w:ind w:left="851" w:right="901" w:firstLine="0"/>
        <w:jc w:val="both"/>
        <w:rPr>
          <w:rFonts w:ascii="Palatino Linotype" w:cs="Palatino Linotype" w:eastAsia="Palatino Linotype" w:hAnsi="Palatino Linotype"/>
          <w:i w:val="1"/>
          <w:sz w:val="2"/>
          <w:szCs w:val="2"/>
        </w:rPr>
      </w:pPr>
      <w:r w:rsidDel="00000000" w:rsidR="00000000" w:rsidRPr="00000000">
        <w:rPr>
          <w:rtl w:val="0"/>
        </w:rPr>
      </w:r>
    </w:p>
    <w:p w:rsidR="00000000" w:rsidDel="00000000" w:rsidP="00000000" w:rsidRDefault="00000000" w:rsidRPr="00000000" w14:paraId="000000BA">
      <w:pPr>
        <w:spacing w:line="256" w:lineRule="auto"/>
        <w:ind w:left="851" w:right="901"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Resoluciones: </w:t>
      </w:r>
    </w:p>
    <w:p w:rsidR="00000000" w:rsidDel="00000000" w:rsidP="00000000" w:rsidRDefault="00000000" w:rsidRPr="00000000" w14:paraId="000000BB">
      <w:pPr>
        <w:spacing w:line="256" w:lineRule="auto"/>
        <w:ind w:left="851" w:right="901" w:firstLine="0"/>
        <w:jc w:val="both"/>
        <w:rPr>
          <w:rFonts w:ascii="Palatino Linotype" w:cs="Palatino Linotype" w:eastAsia="Palatino Linotype" w:hAnsi="Palatino Linotype"/>
          <w:i w:val="1"/>
          <w:sz w:val="20"/>
          <w:szCs w:val="20"/>
        </w:rPr>
      </w:pPr>
      <w:r w:rsidDel="00000000" w:rsidR="00000000" w:rsidRPr="00000000">
        <w:rPr>
          <w:rFonts w:ascii="Symbol" w:cs="Symbol" w:eastAsia="Symbol" w:hAnsi="Symbol"/>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BC">
      <w:pPr>
        <w:spacing w:line="256" w:lineRule="auto"/>
        <w:ind w:left="851" w:right="901" w:firstLine="0"/>
        <w:jc w:val="both"/>
        <w:rPr>
          <w:rFonts w:ascii="Palatino Linotype" w:cs="Palatino Linotype" w:eastAsia="Palatino Linotype" w:hAnsi="Palatino Linotype"/>
          <w:i w:val="1"/>
          <w:sz w:val="20"/>
          <w:szCs w:val="20"/>
        </w:rPr>
      </w:pPr>
      <w:r w:rsidDel="00000000" w:rsidR="00000000" w:rsidRPr="00000000">
        <w:rPr>
          <w:rFonts w:ascii="Symbol" w:cs="Symbol" w:eastAsia="Symbol" w:hAnsi="Symbol"/>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BD">
      <w:pPr>
        <w:spacing w:line="256" w:lineRule="auto"/>
        <w:ind w:left="851" w:right="901" w:firstLine="0"/>
        <w:jc w:val="both"/>
        <w:rPr>
          <w:rFonts w:ascii="Palatino Linotype" w:cs="Palatino Linotype" w:eastAsia="Palatino Linotype" w:hAnsi="Palatino Linotype"/>
          <w:i w:val="1"/>
          <w:sz w:val="20"/>
          <w:szCs w:val="20"/>
        </w:rPr>
      </w:pPr>
      <w:r w:rsidDel="00000000" w:rsidR="00000000" w:rsidRPr="00000000">
        <w:rPr>
          <w:rFonts w:ascii="Symbol" w:cs="Symbol" w:eastAsia="Symbol" w:hAnsi="Symbol"/>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toda vez que existió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000000" w:rsidDel="00000000" w:rsidP="00000000" w:rsidRDefault="00000000" w:rsidRPr="00000000" w14:paraId="000000C2">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De tales circunstancias, se concluye que los </w:t>
      </w:r>
      <w:r w:rsidDel="00000000" w:rsidR="00000000" w:rsidRPr="00000000">
        <w:rPr>
          <w:rFonts w:ascii="Palatino Linotype" w:cs="Palatino Linotype" w:eastAsia="Palatino Linotype" w:hAnsi="Palatino Linotype"/>
          <w:b w:val="1"/>
          <w:rtl w:val="0"/>
        </w:rPr>
        <w:t xml:space="preserve">Sujetos Obligados</w:t>
      </w:r>
      <w:r w:rsidDel="00000000" w:rsidR="00000000" w:rsidRPr="00000000">
        <w:rPr>
          <w:rFonts w:ascii="Palatino Linotype" w:cs="Palatino Linotype" w:eastAsia="Palatino Linotype" w:hAnsi="Palatino Linotype"/>
          <w:rtl w:val="0"/>
        </w:rPr>
        <w:t xml:space="preserve"> únicamente se encuentran constreñidos a proporcionar los documentos que den cuenta de la información solicitada, como obren en sus archivos, sin tener que elaborarlos a las necesidades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color w:val="ff0000"/>
          <w:rtl w:val="0"/>
        </w:rPr>
        <w:t xml:space="preserve">.</w:t>
      </w:r>
    </w:p>
    <w:p w:rsidR="00000000" w:rsidDel="00000000" w:rsidP="00000000" w:rsidRDefault="00000000" w:rsidRPr="00000000" w14:paraId="000000C5">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mérito de lo expuesto en líneas anteriores, resultan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que arguye 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por ello con fundamento en el artículo 186, fracción II,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CONFIRMA</w:t>
      </w:r>
      <w:r w:rsidDel="00000000" w:rsidR="00000000" w:rsidRPr="00000000">
        <w:rPr>
          <w:rFonts w:ascii="Palatino Linotype" w:cs="Palatino Linotype" w:eastAsia="Palatino Linotype" w:hAnsi="Palatino Linotype"/>
          <w:rtl w:val="0"/>
        </w:rPr>
        <w:t xml:space="preserve"> la respuesta a la solicitud de información pública</w:t>
      </w:r>
      <w:r w:rsidDel="00000000" w:rsidR="00000000" w:rsidRPr="00000000">
        <w:rPr>
          <w:rFonts w:ascii="Palatino Linotype" w:cs="Palatino Linotype" w:eastAsia="Palatino Linotype" w:hAnsi="Palatino Linotype"/>
          <w:b w:val="1"/>
          <w:rtl w:val="0"/>
        </w:rPr>
        <w:t xml:space="preserve"> 00138/SESEA/IP/2021</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ha sido materia del presente fallo.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PRIMERO.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CONFIRMA</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emitida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00138/SESEA/IP/2021</w:t>
      </w:r>
      <w:r w:rsidDel="00000000" w:rsidR="00000000" w:rsidRPr="00000000">
        <w:rPr>
          <w:rFonts w:ascii="Palatino Linotype" w:cs="Palatino Linotype" w:eastAsia="Palatino Linotype" w:hAnsi="Palatino Linotype"/>
          <w:rtl w:val="0"/>
        </w:rPr>
        <w:t xml:space="preserve">, por resultar infundadas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w:t>
      </w:r>
      <w:r w:rsidDel="00000000" w:rsidR="00000000" w:rsidRPr="00000000">
        <w:rPr>
          <w:rtl w:val="0"/>
        </w:rPr>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highlight w:val="white"/>
          <w:rtl w:val="0"/>
        </w:rPr>
        <w:t xml:space="preserve">. Remítase </w:t>
      </w:r>
      <w:r w:rsidDel="00000000" w:rsidR="00000000" w:rsidRPr="00000000">
        <w:rPr>
          <w:rFonts w:ascii="Palatino Linotype" w:cs="Palatino Linotype" w:eastAsia="Palatino Linotype" w:hAnsi="Palatino Linotype"/>
          <w:rtl w:val="0"/>
        </w:rPr>
        <w:t xml:space="preserve">vía SAIMEX la presente resolución al Titular de la Unidad de Transparencia del Sujeto Obligado.</w:t>
      </w:r>
    </w:p>
    <w:p w:rsidR="00000000" w:rsidDel="00000000" w:rsidP="00000000" w:rsidRDefault="00000000" w:rsidRPr="00000000" w14:paraId="000000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TERCERO.</w:t>
      </w:r>
      <w:r w:rsidDel="00000000" w:rsidR="00000000" w:rsidRPr="00000000">
        <w:rPr>
          <w:rFonts w:ascii="Palatino Linotype" w:cs="Palatino Linotype" w:eastAsia="Palatino Linotype" w:hAnsi="Palatino Linotype"/>
          <w:b w:val="1"/>
          <w:rtl w:val="0"/>
        </w:rPr>
        <w:t xml:space="preserve"> Hágase del conocimiento</w:t>
      </w:r>
      <w:r w:rsidDel="00000000" w:rsidR="00000000" w:rsidRPr="00000000">
        <w:rPr>
          <w:rFonts w:ascii="Palatino Linotype" w:cs="Palatino Linotype" w:eastAsia="Palatino Linotype" w:hAnsi="Palatino Linotype"/>
          <w:rtl w:val="0"/>
        </w:rPr>
        <w:t xml:space="preserve"> del recurrente,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PRIMERO DE SEPTIEMBRE DE DOS MIL VEINTIUNO, ANTE EL SECRETARIO TÉCNICO DEL PLENO ALEXIS TAPIA RAMÍREZ.</w:t>
      </w:r>
    </w:p>
    <w:p w:rsidR="00000000" w:rsidDel="00000000" w:rsidP="00000000" w:rsidRDefault="00000000" w:rsidRPr="00000000" w14:paraId="000000CD">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CE">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CF">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0">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1">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2">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3">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4">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5">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6">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7">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8">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9">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A">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B">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C">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D">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E">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DF">
      <w:pPr>
        <w:spacing w:after="240" w:before="240" w:lineRule="auto"/>
        <w:jc w:val="both"/>
        <w:rPr>
          <w:rFonts w:ascii="Palatino Linotype" w:cs="Palatino Linotype" w:eastAsia="Palatino Linotype" w:hAnsi="Palatino Linotype"/>
          <w:sz w:val="16"/>
          <w:szCs w:val="16"/>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8" w:top="1418"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Arial"/>
  <w:font w:name="Times New Roman"/>
  <w:font w:name="Courier New"/>
  <w:font w:name="Bookman Old Style"/>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Instituto de Investigaciones Jurídicas de la Universidad Nacional Autónoma de México.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Diccionario Jurídico Mexicano.</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Editorial Porrúa. México, 2009.</w:t>
      </w:r>
    </w:p>
  </w:footnote>
  <w:footnote w:id="1">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Instituto de Investigaciones Jurídicas de la Universidad Nacional Autónoma de México.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Diccionario Jurídico Mexicano.</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Editorial Porrúa. México, 2009.</w:t>
      </w:r>
    </w:p>
  </w:footnote>
  <w:footnote w:id="2">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Galindo Garfias, Ignacio. Derecho Civil. Décima cuarta edición. Porrúa. México, 1995. Pp. 303 y 307</w:t>
      </w:r>
      <w:r w:rsidDel="00000000" w:rsidR="00000000" w:rsidRPr="00000000">
        <w:rPr>
          <w:rtl w:val="0"/>
        </w:rPr>
      </w:r>
    </w:p>
  </w:footnote>
  <w:footnote w:id="3">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De la Parra, Trujillo, Eduardo. Los Derechos de la Personalidad: Teoría General y su distinción con los Derechos Humanos y las Garantías Individuales.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-393699</wp:posOffset>
          </wp:positionV>
          <wp:extent cx="7635875" cy="9943465"/>
          <wp:effectExtent b="0" l="0" r="0" t="0"/>
          <wp:wrapNone/>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1"/>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E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03634/INFOEM/IP/RR/2021</w:t>
          </w:r>
        </w:p>
      </w:tc>
    </w:tr>
    <w:tr>
      <w:trPr>
        <w:cantSplit w:val="0"/>
        <w:tblHeader w:val="0"/>
      </w:trPr>
      <w:tc>
        <w:tcPr>
          <w:vAlign w:val="center"/>
        </w:tcPr>
        <w:p w:rsidR="00000000" w:rsidDel="00000000" w:rsidP="00000000" w:rsidRDefault="00000000" w:rsidRPr="00000000" w14:paraId="000000E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E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rtl w:val="0"/>
            </w:rPr>
            <w:t xml:space="preserve">XXXXXXXXXXXXXX</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E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EA">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Ejecutiva del Sistema Estatal Anticorrupción</w:t>
          </w:r>
        </w:p>
      </w:tc>
    </w:tr>
    <w:tr>
      <w:trPr>
        <w:cantSplit w:val="0"/>
        <w:tblHeader w:val="0"/>
      </w:trPr>
      <w:tc>
        <w:tcPr>
          <w:vAlign w:val="center"/>
        </w:tcPr>
        <w:p w:rsidR="00000000" w:rsidDel="00000000" w:rsidP="00000000" w:rsidRDefault="00000000" w:rsidRPr="00000000" w14:paraId="000000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ED">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F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F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03634/INFOEM/IP/RR/2021</w:t>
          </w:r>
        </w:p>
      </w:tc>
    </w:tr>
    <w:tr>
      <w:trPr>
        <w:cantSplit w:val="0"/>
        <w:trHeight w:val="228" w:hRule="atLeast"/>
        <w:tblHeader w:val="0"/>
      </w:trPr>
      <w:tc>
        <w:tcPr>
          <w:vAlign w:val="center"/>
        </w:tcPr>
        <w:p w:rsidR="00000000" w:rsidDel="00000000" w:rsidP="00000000" w:rsidRDefault="00000000" w:rsidRPr="00000000" w14:paraId="000000F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F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Ejecutiva del Sistema Estatal Anticorrupción</w:t>
          </w:r>
        </w:p>
      </w:tc>
    </w:tr>
    <w:tr>
      <w:trPr>
        <w:cantSplit w:val="0"/>
        <w:tblHeader w:val="0"/>
      </w:trPr>
      <w:tc>
        <w:tcPr>
          <w:vAlign w:val="center"/>
        </w:tcPr>
        <w:p w:rsidR="00000000" w:rsidDel="00000000" w:rsidP="00000000" w:rsidRDefault="00000000" w:rsidRPr="00000000" w14:paraId="000000F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F5">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-1028699</wp:posOffset>
          </wp:positionH>
          <wp:positionV relativeFrom="paragraph">
            <wp:posOffset>-1027429</wp:posOffset>
          </wp:positionV>
          <wp:extent cx="7635875" cy="9943465"/>
          <wp:effectExtent b="0" l="0" r="0" t="0"/>
          <wp:wrapNone/>
          <wp:docPr id="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F6FCD"/>
    <w:rPr>
      <w:rFonts w:ascii="Times New Roman" w:cs="Times New Roman" w:eastAsia="Times New Roman" w:hAnsi="Times New Roman"/>
      <w:lang w:val="es-ES"/>
    </w:rPr>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9D4854"/>
    <w:pPr>
      <w:ind w:left="708"/>
    </w:pPr>
  </w:style>
  <w:style w:type="table" w:styleId="Tablaconcuadrcula">
    <w:name w:val="Table Grid"/>
    <w:basedOn w:val="Tablanormal"/>
    <w:uiPriority w:val="59"/>
    <w:rsid w:val="00AB3F5E"/>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eastAsia="es-MX"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03789"/>
    <w:rPr>
      <w:rFonts w:ascii="Times New Roman" w:cs="Times New Roman" w:eastAsia="Times New Roman" w:hAnsi="Times New Roman"/>
      <w:lang w:val="es-MX"/>
    </w:rPr>
  </w:style>
  <w:style w:type="character" w:styleId="Textoennegrita">
    <w:name w:val="Strong"/>
    <w:uiPriority w:val="22"/>
    <w:qFormat w:val="1"/>
    <w:rsid w:val="00903789"/>
    <w:rPr>
      <w:b w:val="1"/>
      <w:bCs w:val="1"/>
    </w:rPr>
  </w:style>
  <w:style w:type="character" w:styleId="SinespaciadoCar" w:customStyle="1">
    <w:name w:val="Sin espaciado Car"/>
    <w:aliases w:val="Francesa Car,INAI Car"/>
    <w:link w:val="Sinespaciado"/>
    <w:uiPriority w:val="1"/>
    <w:locked w:val="1"/>
    <w:rsid w:val="00903789"/>
    <w:rPr>
      <w:rFonts w:ascii="Times New Roman" w:cs="Times New Roman" w:eastAsia="Times New Roman" w:hAnsi="Times New Roman"/>
      <w:lang w:val="es-MX"/>
    </w:rPr>
  </w:style>
  <w:style w:type="table" w:styleId="Tabladelista1clara-nfasis11" w:customStyle="1">
    <w:name w:val="Tabla de lista 1 clara - Énfasis 11"/>
    <w:basedOn w:val="Tablanormal"/>
    <w:uiPriority w:val="46"/>
    <w:rsid w:val="00903789"/>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cubXiC2ZFi7aSsdCv1NO5nu/Nw==">AMUW2mUWj5WFav3KSVxJK106az9zS2u6ubmZ/yWZnXdYRkwkOJq6I+Ga2Yrg+7VfYz7P4ZdWD5NU2hVWKuvRCdZBO72kFISDcYzglukWmKz2G+UuAzHN/mbwzWSwovHrxm3BD0JdQB3x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2021-09-03T19:04:00Z</dcterms:created>
  <dc:creator>iMac</dc:creator>
</cp:coreProperties>
</file>