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7A1E6" w14:textId="77777777" w:rsidR="004B7E50" w:rsidRPr="002152A6" w:rsidRDefault="004B7E50" w:rsidP="004B7E50">
      <w:pPr>
        <w:spacing w:before="240" w:after="240" w:line="360" w:lineRule="auto"/>
        <w:jc w:val="center"/>
        <w:rPr>
          <w:rFonts w:ascii="Palatino Linotype" w:hAnsi="Palatino Linotype"/>
        </w:rPr>
      </w:pPr>
      <w:r w:rsidRPr="002152A6">
        <w:rPr>
          <w:rFonts w:ascii="Palatino Linotype" w:hAnsi="Palatino Linotype"/>
          <w:b/>
        </w:rPr>
        <w:t>Índice</w:t>
      </w:r>
      <w:r w:rsidRPr="002152A6">
        <w:rPr>
          <w:rFonts w:ascii="Palatino Linotype" w:hAnsi="Palatino Linotype"/>
        </w:rPr>
        <w:t>.</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66BAA568" w14:textId="77777777" w:rsidR="004B7E50" w:rsidRPr="004B7E50" w:rsidRDefault="004B7E50" w:rsidP="004B7E50">
          <w:pPr>
            <w:pStyle w:val="TtulodeTDC"/>
            <w:spacing w:line="480" w:lineRule="auto"/>
            <w:rPr>
              <w:szCs w:val="24"/>
            </w:rPr>
          </w:pPr>
        </w:p>
        <w:p w14:paraId="4900C872" w14:textId="77777777" w:rsidR="005E0A8B" w:rsidRDefault="004B7E50" w:rsidP="005E0A8B">
          <w:pPr>
            <w:pStyle w:val="TDC1"/>
            <w:spacing w:line="360" w:lineRule="auto"/>
            <w:rPr>
              <w:rFonts w:asciiTheme="minorHAnsi" w:hAnsiTheme="minorHAnsi"/>
              <w:b w:val="0"/>
              <w:bCs w:val="0"/>
              <w:sz w:val="22"/>
              <w:szCs w:val="22"/>
              <w:lang w:val="es-MX" w:eastAsia="es-MX"/>
            </w:rPr>
          </w:pPr>
          <w:r w:rsidRPr="004B7E50">
            <w:rPr>
              <w:b w:val="0"/>
              <w:bCs w:val="0"/>
            </w:rPr>
            <w:fldChar w:fldCharType="begin"/>
          </w:r>
          <w:r w:rsidRPr="004B7E50">
            <w:instrText xml:space="preserve"> TOC \o "1-3" \h \z \u </w:instrText>
          </w:r>
          <w:r w:rsidRPr="004B7E50">
            <w:rPr>
              <w:b w:val="0"/>
              <w:bCs w:val="0"/>
            </w:rPr>
            <w:fldChar w:fldCharType="separate"/>
          </w:r>
          <w:hyperlink w:anchor="_Toc86227406" w:history="1">
            <w:r w:rsidR="005E0A8B" w:rsidRPr="000A619E">
              <w:rPr>
                <w:rStyle w:val="Hipervnculo"/>
              </w:rPr>
              <w:t>ANTECEDENTES</w:t>
            </w:r>
            <w:r w:rsidR="005E0A8B">
              <w:rPr>
                <w:webHidden/>
              </w:rPr>
              <w:tab/>
            </w:r>
            <w:r w:rsidR="005E0A8B">
              <w:rPr>
                <w:webHidden/>
              </w:rPr>
              <w:fldChar w:fldCharType="begin"/>
            </w:r>
            <w:r w:rsidR="005E0A8B">
              <w:rPr>
                <w:webHidden/>
              </w:rPr>
              <w:instrText xml:space="preserve"> PAGEREF _Toc86227406 \h </w:instrText>
            </w:r>
            <w:r w:rsidR="005E0A8B">
              <w:rPr>
                <w:webHidden/>
              </w:rPr>
            </w:r>
            <w:r w:rsidR="005E0A8B">
              <w:rPr>
                <w:webHidden/>
              </w:rPr>
              <w:fldChar w:fldCharType="separate"/>
            </w:r>
            <w:r w:rsidR="005E0A8B">
              <w:rPr>
                <w:webHidden/>
              </w:rPr>
              <w:t>2</w:t>
            </w:r>
            <w:r w:rsidR="005E0A8B">
              <w:rPr>
                <w:webHidden/>
              </w:rPr>
              <w:fldChar w:fldCharType="end"/>
            </w:r>
          </w:hyperlink>
        </w:p>
        <w:p w14:paraId="3E16A6B0" w14:textId="77777777" w:rsidR="005E0A8B" w:rsidRDefault="00D96C69" w:rsidP="005E0A8B">
          <w:pPr>
            <w:pStyle w:val="TDC1"/>
            <w:spacing w:line="360" w:lineRule="auto"/>
            <w:rPr>
              <w:rFonts w:asciiTheme="minorHAnsi" w:hAnsiTheme="minorHAnsi"/>
              <w:b w:val="0"/>
              <w:bCs w:val="0"/>
              <w:sz w:val="22"/>
              <w:szCs w:val="22"/>
              <w:lang w:val="es-MX" w:eastAsia="es-MX"/>
            </w:rPr>
          </w:pPr>
          <w:hyperlink w:anchor="_Toc86227407" w:history="1">
            <w:r w:rsidR="005E0A8B" w:rsidRPr="000A619E">
              <w:rPr>
                <w:rStyle w:val="Hipervnculo"/>
              </w:rPr>
              <w:t>CONSIDERANDO</w:t>
            </w:r>
            <w:r w:rsidR="005E0A8B">
              <w:rPr>
                <w:webHidden/>
              </w:rPr>
              <w:tab/>
            </w:r>
            <w:r w:rsidR="005E0A8B">
              <w:rPr>
                <w:webHidden/>
              </w:rPr>
              <w:fldChar w:fldCharType="begin"/>
            </w:r>
            <w:r w:rsidR="005E0A8B">
              <w:rPr>
                <w:webHidden/>
              </w:rPr>
              <w:instrText xml:space="preserve"> PAGEREF _Toc86227407 \h </w:instrText>
            </w:r>
            <w:r w:rsidR="005E0A8B">
              <w:rPr>
                <w:webHidden/>
              </w:rPr>
            </w:r>
            <w:r w:rsidR="005E0A8B">
              <w:rPr>
                <w:webHidden/>
              </w:rPr>
              <w:fldChar w:fldCharType="separate"/>
            </w:r>
            <w:r w:rsidR="005E0A8B">
              <w:rPr>
                <w:webHidden/>
              </w:rPr>
              <w:t>5</w:t>
            </w:r>
            <w:r w:rsidR="005E0A8B">
              <w:rPr>
                <w:webHidden/>
              </w:rPr>
              <w:fldChar w:fldCharType="end"/>
            </w:r>
          </w:hyperlink>
        </w:p>
        <w:p w14:paraId="06058FA6" w14:textId="77777777" w:rsidR="005E0A8B" w:rsidRDefault="00D96C69" w:rsidP="005E0A8B">
          <w:pPr>
            <w:pStyle w:val="TDC2"/>
            <w:spacing w:line="360" w:lineRule="auto"/>
            <w:rPr>
              <w:noProof/>
              <w:sz w:val="22"/>
              <w:szCs w:val="22"/>
              <w:lang w:val="es-MX" w:eastAsia="es-MX"/>
            </w:rPr>
          </w:pPr>
          <w:hyperlink w:anchor="_Toc86227408" w:history="1">
            <w:r w:rsidR="005E0A8B" w:rsidRPr="000A619E">
              <w:rPr>
                <w:rStyle w:val="Hipervnculo"/>
                <w:rFonts w:ascii="Palatino Linotype" w:hAnsi="Palatino Linotype"/>
                <w:b/>
                <w:noProof/>
              </w:rPr>
              <w:t>PRIMERO. De la competencia</w:t>
            </w:r>
            <w:r w:rsidR="005E0A8B">
              <w:rPr>
                <w:noProof/>
                <w:webHidden/>
              </w:rPr>
              <w:tab/>
            </w:r>
            <w:r w:rsidR="005E0A8B">
              <w:rPr>
                <w:noProof/>
                <w:webHidden/>
              </w:rPr>
              <w:fldChar w:fldCharType="begin"/>
            </w:r>
            <w:r w:rsidR="005E0A8B">
              <w:rPr>
                <w:noProof/>
                <w:webHidden/>
              </w:rPr>
              <w:instrText xml:space="preserve"> PAGEREF _Toc86227408 \h </w:instrText>
            </w:r>
            <w:r w:rsidR="005E0A8B">
              <w:rPr>
                <w:noProof/>
                <w:webHidden/>
              </w:rPr>
            </w:r>
            <w:r w:rsidR="005E0A8B">
              <w:rPr>
                <w:noProof/>
                <w:webHidden/>
              </w:rPr>
              <w:fldChar w:fldCharType="separate"/>
            </w:r>
            <w:r w:rsidR="005E0A8B">
              <w:rPr>
                <w:noProof/>
                <w:webHidden/>
              </w:rPr>
              <w:t>5</w:t>
            </w:r>
            <w:r w:rsidR="005E0A8B">
              <w:rPr>
                <w:noProof/>
                <w:webHidden/>
              </w:rPr>
              <w:fldChar w:fldCharType="end"/>
            </w:r>
          </w:hyperlink>
        </w:p>
        <w:p w14:paraId="1E648163" w14:textId="77777777" w:rsidR="005E0A8B" w:rsidRDefault="00D96C69" w:rsidP="005E0A8B">
          <w:pPr>
            <w:pStyle w:val="TDC2"/>
            <w:spacing w:line="360" w:lineRule="auto"/>
            <w:rPr>
              <w:noProof/>
              <w:sz w:val="22"/>
              <w:szCs w:val="22"/>
              <w:lang w:val="es-MX" w:eastAsia="es-MX"/>
            </w:rPr>
          </w:pPr>
          <w:hyperlink w:anchor="_Toc86227409" w:history="1">
            <w:r w:rsidR="005E0A8B" w:rsidRPr="000A619E">
              <w:rPr>
                <w:rStyle w:val="Hipervnculo"/>
                <w:rFonts w:ascii="Palatino Linotype" w:hAnsi="Palatino Linotype"/>
                <w:b/>
                <w:noProof/>
              </w:rPr>
              <w:t>SEGUNDO. De la oportunidad y procedencia.</w:t>
            </w:r>
            <w:r w:rsidR="005E0A8B">
              <w:rPr>
                <w:noProof/>
                <w:webHidden/>
              </w:rPr>
              <w:tab/>
            </w:r>
            <w:r w:rsidR="005E0A8B">
              <w:rPr>
                <w:noProof/>
                <w:webHidden/>
              </w:rPr>
              <w:fldChar w:fldCharType="begin"/>
            </w:r>
            <w:r w:rsidR="005E0A8B">
              <w:rPr>
                <w:noProof/>
                <w:webHidden/>
              </w:rPr>
              <w:instrText xml:space="preserve"> PAGEREF _Toc86227409 \h </w:instrText>
            </w:r>
            <w:r w:rsidR="005E0A8B">
              <w:rPr>
                <w:noProof/>
                <w:webHidden/>
              </w:rPr>
            </w:r>
            <w:r w:rsidR="005E0A8B">
              <w:rPr>
                <w:noProof/>
                <w:webHidden/>
              </w:rPr>
              <w:fldChar w:fldCharType="separate"/>
            </w:r>
            <w:r w:rsidR="005E0A8B">
              <w:rPr>
                <w:noProof/>
                <w:webHidden/>
              </w:rPr>
              <w:t>6</w:t>
            </w:r>
            <w:r w:rsidR="005E0A8B">
              <w:rPr>
                <w:noProof/>
                <w:webHidden/>
              </w:rPr>
              <w:fldChar w:fldCharType="end"/>
            </w:r>
          </w:hyperlink>
        </w:p>
        <w:p w14:paraId="10C481A5" w14:textId="77777777" w:rsidR="005E0A8B" w:rsidRDefault="00D96C69" w:rsidP="005E0A8B">
          <w:pPr>
            <w:pStyle w:val="TDC1"/>
            <w:spacing w:line="360" w:lineRule="auto"/>
            <w:rPr>
              <w:rFonts w:asciiTheme="minorHAnsi" w:hAnsiTheme="minorHAnsi"/>
              <w:b w:val="0"/>
              <w:bCs w:val="0"/>
              <w:sz w:val="22"/>
              <w:szCs w:val="22"/>
              <w:lang w:val="es-MX" w:eastAsia="es-MX"/>
            </w:rPr>
          </w:pPr>
          <w:hyperlink w:anchor="_Toc86227410" w:history="1">
            <w:r w:rsidR="005E0A8B" w:rsidRPr="000A619E">
              <w:rPr>
                <w:rStyle w:val="Hipervnculo"/>
              </w:rPr>
              <w:t>TERCERO. Planteamiento de la Litis.</w:t>
            </w:r>
            <w:r w:rsidR="005E0A8B">
              <w:rPr>
                <w:webHidden/>
              </w:rPr>
              <w:tab/>
            </w:r>
            <w:r w:rsidR="005E0A8B">
              <w:rPr>
                <w:webHidden/>
              </w:rPr>
              <w:fldChar w:fldCharType="begin"/>
            </w:r>
            <w:r w:rsidR="005E0A8B">
              <w:rPr>
                <w:webHidden/>
              </w:rPr>
              <w:instrText xml:space="preserve"> PAGEREF _Toc86227410 \h </w:instrText>
            </w:r>
            <w:r w:rsidR="005E0A8B">
              <w:rPr>
                <w:webHidden/>
              </w:rPr>
            </w:r>
            <w:r w:rsidR="005E0A8B">
              <w:rPr>
                <w:webHidden/>
              </w:rPr>
              <w:fldChar w:fldCharType="separate"/>
            </w:r>
            <w:r w:rsidR="005E0A8B">
              <w:rPr>
                <w:webHidden/>
              </w:rPr>
              <w:t>7</w:t>
            </w:r>
            <w:r w:rsidR="005E0A8B">
              <w:rPr>
                <w:webHidden/>
              </w:rPr>
              <w:fldChar w:fldCharType="end"/>
            </w:r>
          </w:hyperlink>
        </w:p>
        <w:p w14:paraId="5DAE3FC7" w14:textId="77777777" w:rsidR="005E0A8B" w:rsidRDefault="00D96C69" w:rsidP="005E0A8B">
          <w:pPr>
            <w:pStyle w:val="TDC1"/>
            <w:spacing w:line="360" w:lineRule="auto"/>
            <w:rPr>
              <w:rFonts w:asciiTheme="minorHAnsi" w:hAnsiTheme="minorHAnsi"/>
              <w:b w:val="0"/>
              <w:bCs w:val="0"/>
              <w:sz w:val="22"/>
              <w:szCs w:val="22"/>
              <w:lang w:val="es-MX" w:eastAsia="es-MX"/>
            </w:rPr>
          </w:pPr>
          <w:hyperlink w:anchor="_Toc86227411" w:history="1">
            <w:r w:rsidR="005E0A8B" w:rsidRPr="000A619E">
              <w:rPr>
                <w:rStyle w:val="Hipervnculo"/>
              </w:rPr>
              <w:t>CUARTO. Estudio y resolución del asunto</w:t>
            </w:r>
            <w:r w:rsidR="005E0A8B">
              <w:rPr>
                <w:webHidden/>
              </w:rPr>
              <w:tab/>
            </w:r>
            <w:r w:rsidR="005E0A8B">
              <w:rPr>
                <w:webHidden/>
              </w:rPr>
              <w:fldChar w:fldCharType="begin"/>
            </w:r>
            <w:r w:rsidR="005E0A8B">
              <w:rPr>
                <w:webHidden/>
              </w:rPr>
              <w:instrText xml:space="preserve"> PAGEREF _Toc86227411 \h </w:instrText>
            </w:r>
            <w:r w:rsidR="005E0A8B">
              <w:rPr>
                <w:webHidden/>
              </w:rPr>
            </w:r>
            <w:r w:rsidR="005E0A8B">
              <w:rPr>
                <w:webHidden/>
              </w:rPr>
              <w:fldChar w:fldCharType="separate"/>
            </w:r>
            <w:r w:rsidR="005E0A8B">
              <w:rPr>
                <w:webHidden/>
              </w:rPr>
              <w:t>8</w:t>
            </w:r>
            <w:r w:rsidR="005E0A8B">
              <w:rPr>
                <w:webHidden/>
              </w:rPr>
              <w:fldChar w:fldCharType="end"/>
            </w:r>
          </w:hyperlink>
        </w:p>
        <w:p w14:paraId="00D18EE9" w14:textId="77777777" w:rsidR="005E0A8B" w:rsidRDefault="00D96C69" w:rsidP="005E0A8B">
          <w:pPr>
            <w:pStyle w:val="TDC2"/>
            <w:spacing w:line="360" w:lineRule="auto"/>
            <w:rPr>
              <w:noProof/>
              <w:sz w:val="22"/>
              <w:szCs w:val="22"/>
              <w:lang w:val="es-MX" w:eastAsia="es-MX"/>
            </w:rPr>
          </w:pPr>
          <w:hyperlink w:anchor="_Toc86227412" w:history="1">
            <w:r w:rsidR="005E0A8B" w:rsidRPr="000A619E">
              <w:rPr>
                <w:rStyle w:val="Hipervnculo"/>
                <w:rFonts w:ascii="Palatino Linotype" w:hAnsi="Palatino Linotype"/>
                <w:b/>
                <w:noProof/>
              </w:rPr>
              <w:t>A.</w:t>
            </w:r>
            <w:r w:rsidR="005E0A8B">
              <w:rPr>
                <w:noProof/>
                <w:sz w:val="22"/>
                <w:szCs w:val="22"/>
                <w:lang w:val="es-MX" w:eastAsia="es-MX"/>
              </w:rPr>
              <w:tab/>
            </w:r>
            <w:r w:rsidR="005E0A8B" w:rsidRPr="000A619E">
              <w:rPr>
                <w:rStyle w:val="Hipervnculo"/>
                <w:rFonts w:ascii="Palatino Linotype" w:hAnsi="Palatino Linotype"/>
                <w:b/>
                <w:noProof/>
              </w:rPr>
              <w:t>Fuente Obligacional.</w:t>
            </w:r>
            <w:r w:rsidR="005E0A8B">
              <w:rPr>
                <w:noProof/>
                <w:webHidden/>
              </w:rPr>
              <w:tab/>
            </w:r>
            <w:r w:rsidR="005E0A8B">
              <w:rPr>
                <w:noProof/>
                <w:webHidden/>
              </w:rPr>
              <w:fldChar w:fldCharType="begin"/>
            </w:r>
            <w:r w:rsidR="005E0A8B">
              <w:rPr>
                <w:noProof/>
                <w:webHidden/>
              </w:rPr>
              <w:instrText xml:space="preserve"> PAGEREF _Toc86227412 \h </w:instrText>
            </w:r>
            <w:r w:rsidR="005E0A8B">
              <w:rPr>
                <w:noProof/>
                <w:webHidden/>
              </w:rPr>
            </w:r>
            <w:r w:rsidR="005E0A8B">
              <w:rPr>
                <w:noProof/>
                <w:webHidden/>
              </w:rPr>
              <w:fldChar w:fldCharType="separate"/>
            </w:r>
            <w:r w:rsidR="005E0A8B">
              <w:rPr>
                <w:noProof/>
                <w:webHidden/>
              </w:rPr>
              <w:t>8</w:t>
            </w:r>
            <w:r w:rsidR="005E0A8B">
              <w:rPr>
                <w:noProof/>
                <w:webHidden/>
              </w:rPr>
              <w:fldChar w:fldCharType="end"/>
            </w:r>
          </w:hyperlink>
        </w:p>
        <w:p w14:paraId="02643D6A" w14:textId="77777777" w:rsidR="005E0A8B" w:rsidRDefault="00D96C69" w:rsidP="005E0A8B">
          <w:pPr>
            <w:pStyle w:val="TDC3"/>
            <w:spacing w:line="360" w:lineRule="auto"/>
            <w:rPr>
              <w:noProof/>
              <w:sz w:val="22"/>
              <w:szCs w:val="22"/>
              <w:lang w:val="es-MX" w:eastAsia="es-MX"/>
            </w:rPr>
          </w:pPr>
          <w:hyperlink w:anchor="_Toc86227413" w:history="1">
            <w:r w:rsidR="005E0A8B" w:rsidRPr="000A619E">
              <w:rPr>
                <w:rStyle w:val="Hipervnculo"/>
                <w:rFonts w:ascii="Palatino Linotype" w:hAnsi="Palatino Linotype"/>
                <w:b/>
                <w:noProof/>
              </w:rPr>
              <w:t>I.</w:t>
            </w:r>
            <w:r w:rsidR="005E0A8B">
              <w:rPr>
                <w:noProof/>
                <w:sz w:val="22"/>
                <w:szCs w:val="22"/>
                <w:lang w:val="es-MX" w:eastAsia="es-MX"/>
              </w:rPr>
              <w:tab/>
            </w:r>
            <w:r w:rsidR="005E0A8B" w:rsidRPr="000A619E">
              <w:rPr>
                <w:rStyle w:val="Hipervnculo"/>
                <w:rFonts w:ascii="Palatino Linotype" w:hAnsi="Palatino Linotype"/>
                <w:b/>
                <w:noProof/>
              </w:rPr>
              <w:t>De la obligación de transparencia.</w:t>
            </w:r>
            <w:r w:rsidR="005E0A8B">
              <w:rPr>
                <w:noProof/>
                <w:webHidden/>
              </w:rPr>
              <w:tab/>
            </w:r>
            <w:r w:rsidR="005E0A8B">
              <w:rPr>
                <w:noProof/>
                <w:webHidden/>
              </w:rPr>
              <w:fldChar w:fldCharType="begin"/>
            </w:r>
            <w:r w:rsidR="005E0A8B">
              <w:rPr>
                <w:noProof/>
                <w:webHidden/>
              </w:rPr>
              <w:instrText xml:space="preserve"> PAGEREF _Toc86227413 \h </w:instrText>
            </w:r>
            <w:r w:rsidR="005E0A8B">
              <w:rPr>
                <w:noProof/>
                <w:webHidden/>
              </w:rPr>
            </w:r>
            <w:r w:rsidR="005E0A8B">
              <w:rPr>
                <w:noProof/>
                <w:webHidden/>
              </w:rPr>
              <w:fldChar w:fldCharType="separate"/>
            </w:r>
            <w:r w:rsidR="005E0A8B">
              <w:rPr>
                <w:noProof/>
                <w:webHidden/>
              </w:rPr>
              <w:t>8</w:t>
            </w:r>
            <w:r w:rsidR="005E0A8B">
              <w:rPr>
                <w:noProof/>
                <w:webHidden/>
              </w:rPr>
              <w:fldChar w:fldCharType="end"/>
            </w:r>
          </w:hyperlink>
        </w:p>
        <w:p w14:paraId="5A94CAE6" w14:textId="77777777" w:rsidR="005E0A8B" w:rsidRDefault="00D96C69" w:rsidP="005E0A8B">
          <w:pPr>
            <w:pStyle w:val="TDC2"/>
            <w:spacing w:line="360" w:lineRule="auto"/>
            <w:rPr>
              <w:noProof/>
              <w:sz w:val="22"/>
              <w:szCs w:val="22"/>
              <w:lang w:val="es-MX" w:eastAsia="es-MX"/>
            </w:rPr>
          </w:pPr>
          <w:hyperlink w:anchor="_Toc86227414" w:history="1">
            <w:r w:rsidR="005E0A8B" w:rsidRPr="000A619E">
              <w:rPr>
                <w:rStyle w:val="Hipervnculo"/>
                <w:rFonts w:ascii="Palatino Linotype" w:hAnsi="Palatino Linotype"/>
                <w:b/>
                <w:noProof/>
              </w:rPr>
              <w:t>B.</w:t>
            </w:r>
            <w:r w:rsidR="005E0A8B">
              <w:rPr>
                <w:noProof/>
                <w:sz w:val="22"/>
                <w:szCs w:val="22"/>
                <w:lang w:val="es-MX" w:eastAsia="es-MX"/>
              </w:rPr>
              <w:tab/>
            </w:r>
            <w:r w:rsidR="005E0A8B" w:rsidRPr="000A619E">
              <w:rPr>
                <w:rStyle w:val="Hipervnculo"/>
                <w:rFonts w:ascii="Palatino Linotype" w:hAnsi="Palatino Linotype"/>
                <w:b/>
                <w:noProof/>
              </w:rPr>
              <w:t>El derecho de petición y de acceso a la información.</w:t>
            </w:r>
            <w:r w:rsidR="005E0A8B">
              <w:rPr>
                <w:noProof/>
                <w:webHidden/>
              </w:rPr>
              <w:tab/>
            </w:r>
            <w:r w:rsidR="005E0A8B">
              <w:rPr>
                <w:noProof/>
                <w:webHidden/>
              </w:rPr>
              <w:fldChar w:fldCharType="begin"/>
            </w:r>
            <w:r w:rsidR="005E0A8B">
              <w:rPr>
                <w:noProof/>
                <w:webHidden/>
              </w:rPr>
              <w:instrText xml:space="preserve"> PAGEREF _Toc86227414 \h </w:instrText>
            </w:r>
            <w:r w:rsidR="005E0A8B">
              <w:rPr>
                <w:noProof/>
                <w:webHidden/>
              </w:rPr>
            </w:r>
            <w:r w:rsidR="005E0A8B">
              <w:rPr>
                <w:noProof/>
                <w:webHidden/>
              </w:rPr>
              <w:fldChar w:fldCharType="separate"/>
            </w:r>
            <w:r w:rsidR="005E0A8B">
              <w:rPr>
                <w:noProof/>
                <w:webHidden/>
              </w:rPr>
              <w:t>14</w:t>
            </w:r>
            <w:r w:rsidR="005E0A8B">
              <w:rPr>
                <w:noProof/>
                <w:webHidden/>
              </w:rPr>
              <w:fldChar w:fldCharType="end"/>
            </w:r>
          </w:hyperlink>
        </w:p>
        <w:p w14:paraId="1938B228" w14:textId="77777777" w:rsidR="005E0A8B" w:rsidRDefault="00D96C69" w:rsidP="005E0A8B">
          <w:pPr>
            <w:pStyle w:val="TDC2"/>
            <w:spacing w:line="360" w:lineRule="auto"/>
            <w:rPr>
              <w:noProof/>
              <w:sz w:val="22"/>
              <w:szCs w:val="22"/>
              <w:lang w:val="es-MX" w:eastAsia="es-MX"/>
            </w:rPr>
          </w:pPr>
          <w:hyperlink w:anchor="_Toc86227415" w:history="1">
            <w:r w:rsidR="005E0A8B" w:rsidRPr="000A619E">
              <w:rPr>
                <w:rStyle w:val="Hipervnculo"/>
                <w:rFonts w:ascii="Palatino Linotype" w:hAnsi="Palatino Linotype"/>
                <w:b/>
                <w:noProof/>
              </w:rPr>
              <w:t>C.</w:t>
            </w:r>
            <w:r w:rsidR="005E0A8B">
              <w:rPr>
                <w:noProof/>
                <w:sz w:val="22"/>
                <w:szCs w:val="22"/>
                <w:lang w:val="es-MX" w:eastAsia="es-MX"/>
              </w:rPr>
              <w:tab/>
            </w:r>
            <w:r w:rsidR="005E0A8B" w:rsidRPr="000A619E">
              <w:rPr>
                <w:rStyle w:val="Hipervnculo"/>
                <w:rFonts w:ascii="Palatino Linotype" w:hAnsi="Palatino Linotype"/>
                <w:b/>
                <w:noProof/>
              </w:rPr>
              <w:t>De la Búsqueda exhaustiva y razonable</w:t>
            </w:r>
            <w:r w:rsidR="005E0A8B">
              <w:rPr>
                <w:noProof/>
                <w:webHidden/>
              </w:rPr>
              <w:tab/>
            </w:r>
            <w:r w:rsidR="005E0A8B">
              <w:rPr>
                <w:noProof/>
                <w:webHidden/>
              </w:rPr>
              <w:fldChar w:fldCharType="begin"/>
            </w:r>
            <w:r w:rsidR="005E0A8B">
              <w:rPr>
                <w:noProof/>
                <w:webHidden/>
              </w:rPr>
              <w:instrText xml:space="preserve"> PAGEREF _Toc86227415 \h </w:instrText>
            </w:r>
            <w:r w:rsidR="005E0A8B">
              <w:rPr>
                <w:noProof/>
                <w:webHidden/>
              </w:rPr>
            </w:r>
            <w:r w:rsidR="005E0A8B">
              <w:rPr>
                <w:noProof/>
                <w:webHidden/>
              </w:rPr>
              <w:fldChar w:fldCharType="separate"/>
            </w:r>
            <w:r w:rsidR="005E0A8B">
              <w:rPr>
                <w:noProof/>
                <w:webHidden/>
              </w:rPr>
              <w:t>19</w:t>
            </w:r>
            <w:r w:rsidR="005E0A8B">
              <w:rPr>
                <w:noProof/>
                <w:webHidden/>
              </w:rPr>
              <w:fldChar w:fldCharType="end"/>
            </w:r>
          </w:hyperlink>
        </w:p>
        <w:p w14:paraId="2F177688" w14:textId="77777777" w:rsidR="005E0A8B" w:rsidRDefault="00D96C69" w:rsidP="005E0A8B">
          <w:pPr>
            <w:pStyle w:val="TDC2"/>
            <w:spacing w:line="360" w:lineRule="auto"/>
            <w:rPr>
              <w:noProof/>
              <w:sz w:val="22"/>
              <w:szCs w:val="22"/>
              <w:lang w:val="es-MX" w:eastAsia="es-MX"/>
            </w:rPr>
          </w:pPr>
          <w:hyperlink w:anchor="_Toc86227416" w:history="1">
            <w:r w:rsidR="005E0A8B" w:rsidRPr="000A619E">
              <w:rPr>
                <w:rStyle w:val="Hipervnculo"/>
                <w:rFonts w:ascii="Palatino Linotype" w:hAnsi="Palatino Linotype"/>
                <w:b/>
                <w:noProof/>
              </w:rPr>
              <w:t>D.</w:t>
            </w:r>
            <w:r w:rsidR="005E0A8B">
              <w:rPr>
                <w:noProof/>
                <w:sz w:val="22"/>
                <w:szCs w:val="22"/>
                <w:lang w:val="es-MX" w:eastAsia="es-MX"/>
              </w:rPr>
              <w:tab/>
            </w:r>
            <w:r w:rsidR="005E0A8B" w:rsidRPr="000A619E">
              <w:rPr>
                <w:rStyle w:val="Hipervnculo"/>
                <w:rFonts w:ascii="Palatino Linotype" w:hAnsi="Palatino Linotype"/>
                <w:b/>
                <w:noProof/>
              </w:rPr>
              <w:t>Plus petitio.</w:t>
            </w:r>
            <w:r w:rsidR="005E0A8B">
              <w:rPr>
                <w:noProof/>
                <w:webHidden/>
              </w:rPr>
              <w:tab/>
            </w:r>
            <w:r w:rsidR="005E0A8B">
              <w:rPr>
                <w:noProof/>
                <w:webHidden/>
              </w:rPr>
              <w:fldChar w:fldCharType="begin"/>
            </w:r>
            <w:r w:rsidR="005E0A8B">
              <w:rPr>
                <w:noProof/>
                <w:webHidden/>
              </w:rPr>
              <w:instrText xml:space="preserve"> PAGEREF _Toc86227416 \h </w:instrText>
            </w:r>
            <w:r w:rsidR="005E0A8B">
              <w:rPr>
                <w:noProof/>
                <w:webHidden/>
              </w:rPr>
            </w:r>
            <w:r w:rsidR="005E0A8B">
              <w:rPr>
                <w:noProof/>
                <w:webHidden/>
              </w:rPr>
              <w:fldChar w:fldCharType="separate"/>
            </w:r>
            <w:r w:rsidR="005E0A8B">
              <w:rPr>
                <w:noProof/>
                <w:webHidden/>
              </w:rPr>
              <w:t>27</w:t>
            </w:r>
            <w:r w:rsidR="005E0A8B">
              <w:rPr>
                <w:noProof/>
                <w:webHidden/>
              </w:rPr>
              <w:fldChar w:fldCharType="end"/>
            </w:r>
          </w:hyperlink>
        </w:p>
        <w:p w14:paraId="322B1C9E" w14:textId="77777777" w:rsidR="005E0A8B" w:rsidRDefault="00D96C69" w:rsidP="005E0A8B">
          <w:pPr>
            <w:pStyle w:val="TDC1"/>
            <w:spacing w:line="360" w:lineRule="auto"/>
            <w:rPr>
              <w:rFonts w:asciiTheme="minorHAnsi" w:hAnsiTheme="minorHAnsi"/>
              <w:b w:val="0"/>
              <w:bCs w:val="0"/>
              <w:sz w:val="22"/>
              <w:szCs w:val="22"/>
              <w:lang w:val="es-MX" w:eastAsia="es-MX"/>
            </w:rPr>
          </w:pPr>
          <w:hyperlink w:anchor="_Toc86227417" w:history="1">
            <w:r w:rsidR="005E0A8B" w:rsidRPr="000A619E">
              <w:rPr>
                <w:rStyle w:val="Hipervnculo"/>
                <w:rFonts w:eastAsia="Calibri"/>
              </w:rPr>
              <w:t>QUINTO. DECISIÓN.</w:t>
            </w:r>
            <w:r w:rsidR="005E0A8B">
              <w:rPr>
                <w:webHidden/>
              </w:rPr>
              <w:tab/>
            </w:r>
            <w:r w:rsidR="005E0A8B">
              <w:rPr>
                <w:webHidden/>
              </w:rPr>
              <w:fldChar w:fldCharType="begin"/>
            </w:r>
            <w:r w:rsidR="005E0A8B">
              <w:rPr>
                <w:webHidden/>
              </w:rPr>
              <w:instrText xml:space="preserve"> PAGEREF _Toc86227417 \h </w:instrText>
            </w:r>
            <w:r w:rsidR="005E0A8B">
              <w:rPr>
                <w:webHidden/>
              </w:rPr>
            </w:r>
            <w:r w:rsidR="005E0A8B">
              <w:rPr>
                <w:webHidden/>
              </w:rPr>
              <w:fldChar w:fldCharType="separate"/>
            </w:r>
            <w:r w:rsidR="005E0A8B">
              <w:rPr>
                <w:webHidden/>
              </w:rPr>
              <w:t>31</w:t>
            </w:r>
            <w:r w:rsidR="005E0A8B">
              <w:rPr>
                <w:webHidden/>
              </w:rPr>
              <w:fldChar w:fldCharType="end"/>
            </w:r>
          </w:hyperlink>
        </w:p>
        <w:p w14:paraId="3AF5B1BD" w14:textId="77777777" w:rsidR="005E0A8B" w:rsidRDefault="00D96C69" w:rsidP="005E0A8B">
          <w:pPr>
            <w:pStyle w:val="TDC1"/>
            <w:spacing w:line="360" w:lineRule="auto"/>
            <w:rPr>
              <w:rFonts w:asciiTheme="minorHAnsi" w:hAnsiTheme="minorHAnsi"/>
              <w:b w:val="0"/>
              <w:bCs w:val="0"/>
              <w:sz w:val="22"/>
              <w:szCs w:val="22"/>
              <w:lang w:val="es-MX" w:eastAsia="es-MX"/>
            </w:rPr>
          </w:pPr>
          <w:hyperlink w:anchor="_Toc86227418" w:history="1">
            <w:r w:rsidR="005E0A8B" w:rsidRPr="000A619E">
              <w:rPr>
                <w:rStyle w:val="Hipervnculo"/>
                <w:rFonts w:cstheme="majorBidi"/>
              </w:rPr>
              <w:t>R E S O L U T I V O S</w:t>
            </w:r>
            <w:r w:rsidR="005E0A8B">
              <w:rPr>
                <w:webHidden/>
              </w:rPr>
              <w:tab/>
            </w:r>
            <w:r w:rsidR="005E0A8B">
              <w:rPr>
                <w:webHidden/>
              </w:rPr>
              <w:fldChar w:fldCharType="begin"/>
            </w:r>
            <w:r w:rsidR="005E0A8B">
              <w:rPr>
                <w:webHidden/>
              </w:rPr>
              <w:instrText xml:space="preserve"> PAGEREF _Toc86227418 \h </w:instrText>
            </w:r>
            <w:r w:rsidR="005E0A8B">
              <w:rPr>
                <w:webHidden/>
              </w:rPr>
            </w:r>
            <w:r w:rsidR="005E0A8B">
              <w:rPr>
                <w:webHidden/>
              </w:rPr>
              <w:fldChar w:fldCharType="separate"/>
            </w:r>
            <w:r w:rsidR="005E0A8B">
              <w:rPr>
                <w:webHidden/>
              </w:rPr>
              <w:t>32</w:t>
            </w:r>
            <w:r w:rsidR="005E0A8B">
              <w:rPr>
                <w:webHidden/>
              </w:rPr>
              <w:fldChar w:fldCharType="end"/>
            </w:r>
          </w:hyperlink>
        </w:p>
        <w:p w14:paraId="24189950" w14:textId="77777777" w:rsidR="004B7E50" w:rsidRPr="004B7E50" w:rsidRDefault="004B7E50" w:rsidP="004B7E50">
          <w:pPr>
            <w:spacing w:line="480" w:lineRule="auto"/>
            <w:rPr>
              <w:rFonts w:ascii="Palatino Linotype" w:hAnsi="Palatino Linotype"/>
              <w:sz w:val="24"/>
              <w:szCs w:val="24"/>
            </w:rPr>
          </w:pPr>
          <w:r w:rsidRPr="004B7E50">
            <w:rPr>
              <w:rFonts w:ascii="Palatino Linotype" w:hAnsi="Palatino Linotype"/>
              <w:b/>
              <w:bCs/>
              <w:sz w:val="24"/>
              <w:szCs w:val="24"/>
              <w:lang w:val="es-ES"/>
            </w:rPr>
            <w:fldChar w:fldCharType="end"/>
          </w:r>
        </w:p>
      </w:sdtContent>
    </w:sdt>
    <w:p w14:paraId="7EB07F6A" w14:textId="77777777" w:rsidR="005E0A8B" w:rsidRDefault="005E0A8B" w:rsidP="004B7E50">
      <w:pPr>
        <w:spacing w:before="240" w:after="240" w:line="360" w:lineRule="auto"/>
        <w:jc w:val="both"/>
        <w:rPr>
          <w:rFonts w:ascii="Palatino Linotype" w:hAnsi="Palatino Linotype"/>
          <w:sz w:val="24"/>
          <w:szCs w:val="24"/>
        </w:rPr>
      </w:pPr>
    </w:p>
    <w:p w14:paraId="54150AF4" w14:textId="77777777" w:rsidR="005E0A8B" w:rsidRDefault="005E0A8B" w:rsidP="004B7E50">
      <w:pPr>
        <w:spacing w:before="240" w:after="240" w:line="360" w:lineRule="auto"/>
        <w:jc w:val="both"/>
        <w:rPr>
          <w:rFonts w:ascii="Palatino Linotype" w:hAnsi="Palatino Linotype"/>
          <w:sz w:val="24"/>
          <w:szCs w:val="24"/>
        </w:rPr>
      </w:pPr>
    </w:p>
    <w:p w14:paraId="46521FD0" w14:textId="77777777" w:rsidR="005E0A8B" w:rsidRDefault="005E0A8B" w:rsidP="004B7E50">
      <w:pPr>
        <w:spacing w:before="240" w:after="240" w:line="360" w:lineRule="auto"/>
        <w:jc w:val="both"/>
        <w:rPr>
          <w:rFonts w:ascii="Palatino Linotype" w:hAnsi="Palatino Linotype"/>
          <w:sz w:val="24"/>
          <w:szCs w:val="24"/>
        </w:rPr>
      </w:pPr>
    </w:p>
    <w:p w14:paraId="43DE116F" w14:textId="7B71A635" w:rsidR="004B7E50" w:rsidRPr="004B7E50" w:rsidRDefault="004B7E50" w:rsidP="004B7E50">
      <w:pPr>
        <w:spacing w:before="240" w:after="240" w:line="360" w:lineRule="auto"/>
        <w:jc w:val="both"/>
        <w:rPr>
          <w:rFonts w:ascii="Palatino Linotype" w:hAnsi="Palatino Linotype"/>
          <w:sz w:val="24"/>
          <w:szCs w:val="24"/>
        </w:rPr>
      </w:pPr>
      <w:r w:rsidRPr="004B7E50">
        <w:rPr>
          <w:rFonts w:ascii="Palatino Linotype" w:hAnsi="Palatino Linotype"/>
          <w:sz w:val="24"/>
          <w:szCs w:val="24"/>
        </w:rPr>
        <w:lastRenderedPageBreak/>
        <w:t xml:space="preserve">Resolución del Pleno del Instituto de Transparencia, Acceso a la Información Pública y Protección de Datos Personales </w:t>
      </w:r>
      <w:r w:rsidRPr="001A11D8">
        <w:rPr>
          <w:rFonts w:ascii="Palatino Linotype" w:hAnsi="Palatino Linotype"/>
          <w:sz w:val="24"/>
          <w:szCs w:val="24"/>
        </w:rPr>
        <w:t xml:space="preserve">del Estado de México y Municipios, con domicilio en Metepec, </w:t>
      </w:r>
      <w:r w:rsidR="00F87101" w:rsidRPr="001A11D8">
        <w:rPr>
          <w:rFonts w:ascii="Palatino Linotype" w:hAnsi="Palatino Linotype"/>
          <w:sz w:val="24"/>
          <w:szCs w:val="24"/>
        </w:rPr>
        <w:t xml:space="preserve">Estado </w:t>
      </w:r>
      <w:r w:rsidR="00533170" w:rsidRPr="001A11D8">
        <w:rPr>
          <w:rFonts w:ascii="Palatino Linotype" w:hAnsi="Palatino Linotype"/>
          <w:sz w:val="24"/>
          <w:szCs w:val="24"/>
        </w:rPr>
        <w:t xml:space="preserve">de México; de </w:t>
      </w:r>
      <w:r w:rsidR="001A11D8" w:rsidRPr="001A11D8">
        <w:rPr>
          <w:rFonts w:ascii="Palatino Linotype" w:hAnsi="Palatino Linotype"/>
          <w:sz w:val="24"/>
          <w:szCs w:val="24"/>
        </w:rPr>
        <w:t xml:space="preserve">cuatro </w:t>
      </w:r>
      <w:r w:rsidRPr="001A11D8">
        <w:rPr>
          <w:rFonts w:ascii="Palatino Linotype" w:hAnsi="Palatino Linotype"/>
          <w:sz w:val="24"/>
          <w:szCs w:val="24"/>
        </w:rPr>
        <w:t>(</w:t>
      </w:r>
      <w:r w:rsidR="001A11D8" w:rsidRPr="001A11D8">
        <w:rPr>
          <w:rFonts w:ascii="Palatino Linotype" w:hAnsi="Palatino Linotype"/>
          <w:sz w:val="24"/>
          <w:szCs w:val="24"/>
        </w:rPr>
        <w:t>4</w:t>
      </w:r>
      <w:r w:rsidRPr="001A11D8">
        <w:rPr>
          <w:rFonts w:ascii="Palatino Linotype" w:hAnsi="Palatino Linotype"/>
          <w:sz w:val="24"/>
          <w:szCs w:val="24"/>
        </w:rPr>
        <w:t xml:space="preserve">) de </w:t>
      </w:r>
      <w:r w:rsidR="00533170" w:rsidRPr="001A11D8">
        <w:rPr>
          <w:rFonts w:ascii="Palatino Linotype" w:hAnsi="Palatino Linotype"/>
          <w:sz w:val="24"/>
          <w:szCs w:val="24"/>
        </w:rPr>
        <w:t>noviembre</w:t>
      </w:r>
      <w:r w:rsidRPr="001A11D8">
        <w:rPr>
          <w:rFonts w:ascii="Palatino Linotype" w:hAnsi="Palatino Linotype"/>
          <w:sz w:val="24"/>
          <w:szCs w:val="24"/>
        </w:rPr>
        <w:t xml:space="preserve"> de dos mil veintiuno.</w:t>
      </w:r>
    </w:p>
    <w:p w14:paraId="394FAAD0" w14:textId="3980161B" w:rsidR="004B7E50" w:rsidRPr="004B7E50" w:rsidRDefault="004B7E50" w:rsidP="004B7E50">
      <w:pPr>
        <w:pStyle w:val="Encabezado"/>
        <w:spacing w:line="360" w:lineRule="auto"/>
        <w:jc w:val="both"/>
        <w:rPr>
          <w:rFonts w:ascii="Palatino Linotype" w:hAnsi="Palatino Linotype"/>
          <w:sz w:val="24"/>
          <w:szCs w:val="24"/>
        </w:rPr>
      </w:pPr>
      <w:r w:rsidRPr="004B7E50">
        <w:rPr>
          <w:rFonts w:ascii="Palatino Linotype" w:hAnsi="Palatino Linotype"/>
          <w:b/>
          <w:sz w:val="24"/>
          <w:szCs w:val="24"/>
        </w:rPr>
        <w:t>VISTO el</w:t>
      </w:r>
      <w:r w:rsidRPr="004B7E50">
        <w:rPr>
          <w:rFonts w:ascii="Palatino Linotype" w:hAnsi="Palatino Linotype"/>
          <w:sz w:val="24"/>
          <w:szCs w:val="24"/>
        </w:rPr>
        <w:t xml:space="preserve"> expediente electrónico formado con motivo del recurso de revisión </w:t>
      </w:r>
      <w:r w:rsidR="00533170" w:rsidRPr="00533170">
        <w:rPr>
          <w:rFonts w:ascii="Palatino Linotype" w:hAnsi="Palatino Linotype" w:cs="Arial"/>
          <w:b/>
          <w:bCs/>
          <w:sz w:val="24"/>
          <w:szCs w:val="24"/>
          <w:lang w:eastAsia="es-MX"/>
        </w:rPr>
        <w:t>04658/INFOEM/IP/RR/2021</w:t>
      </w:r>
      <w:r w:rsidRPr="004B7E50">
        <w:rPr>
          <w:rFonts w:ascii="Palatino Linotype" w:hAnsi="Palatino Linotype" w:cs="Arial"/>
          <w:b/>
          <w:bCs/>
          <w:sz w:val="24"/>
          <w:szCs w:val="24"/>
        </w:rPr>
        <w:t xml:space="preserve">, </w:t>
      </w:r>
      <w:r w:rsidRPr="004B7E50">
        <w:rPr>
          <w:rFonts w:ascii="Palatino Linotype" w:hAnsi="Palatino Linotype"/>
          <w:sz w:val="24"/>
          <w:szCs w:val="24"/>
        </w:rPr>
        <w:t xml:space="preserve">promovido por </w:t>
      </w:r>
      <w:r w:rsidR="005855D2" w:rsidRPr="005855D2">
        <w:rPr>
          <w:rFonts w:ascii="Palatino Linotype" w:hAnsi="Palatino Linotype"/>
          <w:b/>
          <w:color w:val="222222"/>
          <w:sz w:val="24"/>
          <w:lang w:val="es-ES" w:eastAsia="es-MX"/>
        </w:rPr>
        <w:t>XXXXX</w:t>
      </w:r>
      <w:r w:rsidR="005855D2" w:rsidRPr="005855D2">
        <w:rPr>
          <w:rFonts w:ascii="Palatino Linotype" w:hAnsi="Palatino Linotype"/>
          <w:b/>
          <w:sz w:val="24"/>
          <w:szCs w:val="24"/>
        </w:rPr>
        <w:t xml:space="preserve"> XXXXXX XXXXXX</w:t>
      </w:r>
      <w:r w:rsidRPr="004B7E50">
        <w:rPr>
          <w:rFonts w:ascii="Palatino Linotype" w:hAnsi="Palatino Linotype"/>
          <w:sz w:val="24"/>
          <w:szCs w:val="24"/>
        </w:rPr>
        <w:t xml:space="preserve">, en su calidad de </w:t>
      </w:r>
      <w:r w:rsidRPr="004B7E50">
        <w:rPr>
          <w:rFonts w:ascii="Palatino Linotype" w:hAnsi="Palatino Linotype"/>
          <w:b/>
          <w:sz w:val="24"/>
          <w:szCs w:val="24"/>
        </w:rPr>
        <w:t>RECURRENTE</w:t>
      </w:r>
      <w:r w:rsidRPr="004B7E50">
        <w:rPr>
          <w:rFonts w:ascii="Palatino Linotype" w:hAnsi="Palatino Linotype" w:cs="Arial"/>
          <w:sz w:val="24"/>
          <w:szCs w:val="24"/>
        </w:rPr>
        <w:t>, en contra de la respuesta de</w:t>
      </w:r>
      <w:r w:rsidR="00533170">
        <w:rPr>
          <w:rFonts w:ascii="Palatino Linotype" w:hAnsi="Palatino Linotype" w:cs="Arial"/>
          <w:sz w:val="24"/>
          <w:szCs w:val="24"/>
        </w:rPr>
        <w:t>l</w:t>
      </w:r>
      <w:r w:rsidRPr="004B7E50">
        <w:rPr>
          <w:rFonts w:ascii="Palatino Linotype" w:hAnsi="Palatino Linotype" w:cs="Arial"/>
          <w:sz w:val="24"/>
          <w:szCs w:val="24"/>
        </w:rPr>
        <w:t xml:space="preserve"> </w:t>
      </w:r>
      <w:r w:rsidR="00533170" w:rsidRPr="00533170">
        <w:rPr>
          <w:rFonts w:ascii="Palatino Linotype" w:hAnsi="Palatino Linotype"/>
          <w:b/>
          <w:bCs/>
          <w:sz w:val="24"/>
          <w:szCs w:val="24"/>
        </w:rPr>
        <w:t>Ayuntamiento de el Oro</w:t>
      </w:r>
      <w:r w:rsidRPr="004B7E50">
        <w:rPr>
          <w:rFonts w:ascii="Palatino Linotype" w:hAnsi="Palatino Linotype" w:cs="Arial"/>
          <w:sz w:val="24"/>
          <w:szCs w:val="24"/>
        </w:rPr>
        <w:t>,</w:t>
      </w:r>
      <w:r w:rsidRPr="004B7E50">
        <w:rPr>
          <w:rFonts w:ascii="Palatino Linotype" w:hAnsi="Palatino Linotype"/>
          <w:b/>
          <w:sz w:val="24"/>
          <w:szCs w:val="24"/>
        </w:rPr>
        <w:t xml:space="preserve"> </w:t>
      </w:r>
      <w:r w:rsidRPr="004B7E50">
        <w:rPr>
          <w:rFonts w:ascii="Palatino Linotype" w:hAnsi="Palatino Linotype"/>
          <w:sz w:val="24"/>
          <w:szCs w:val="24"/>
        </w:rPr>
        <w:t>en lo sucesivo el</w:t>
      </w:r>
      <w:r w:rsidRPr="004B7E50">
        <w:rPr>
          <w:rFonts w:ascii="Palatino Linotype" w:hAnsi="Palatino Linotype"/>
          <w:b/>
          <w:sz w:val="24"/>
          <w:szCs w:val="24"/>
        </w:rPr>
        <w:t xml:space="preserve"> SUJETO OBLIGADO, </w:t>
      </w:r>
      <w:r w:rsidRPr="004B7E50">
        <w:rPr>
          <w:rFonts w:ascii="Palatino Linotype" w:hAnsi="Palatino Linotype"/>
          <w:sz w:val="24"/>
          <w:szCs w:val="24"/>
        </w:rPr>
        <w:t>se procede a dictar la presente resolución, con base en los siguientes:</w:t>
      </w:r>
    </w:p>
    <w:p w14:paraId="4058BF16" w14:textId="77777777" w:rsidR="004B7E50" w:rsidRPr="004B7E50" w:rsidRDefault="004B7E50" w:rsidP="004B7E50">
      <w:pPr>
        <w:pStyle w:val="Ttulo1"/>
        <w:jc w:val="center"/>
        <w:rPr>
          <w:rFonts w:ascii="Palatino Linotype" w:hAnsi="Palatino Linotype"/>
          <w:b/>
          <w:color w:val="auto"/>
          <w:sz w:val="24"/>
          <w:szCs w:val="24"/>
        </w:rPr>
      </w:pPr>
      <w:bookmarkStart w:id="0" w:name="_Toc86227406"/>
      <w:r w:rsidRPr="004B7E50">
        <w:rPr>
          <w:rFonts w:ascii="Palatino Linotype" w:hAnsi="Palatino Linotype"/>
          <w:b/>
          <w:color w:val="auto"/>
          <w:sz w:val="24"/>
          <w:szCs w:val="24"/>
        </w:rPr>
        <w:t>ANTECEDENTES</w:t>
      </w:r>
      <w:bookmarkEnd w:id="0"/>
    </w:p>
    <w:p w14:paraId="27A77A72" w14:textId="77777777" w:rsidR="004B7E50" w:rsidRPr="004B7E50" w:rsidRDefault="004B7E50" w:rsidP="004B7E50">
      <w:pPr>
        <w:rPr>
          <w:rFonts w:ascii="Palatino Linotype" w:hAnsi="Palatino Linotype"/>
          <w:sz w:val="24"/>
          <w:szCs w:val="24"/>
          <w:lang w:eastAsia="en-US"/>
        </w:rPr>
      </w:pPr>
    </w:p>
    <w:p w14:paraId="5F113DE1" w14:textId="4EF7A992" w:rsidR="004B7E50" w:rsidRPr="001A11D8" w:rsidRDefault="00533170" w:rsidP="004B7E50">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día treinta</w:t>
      </w:r>
      <w:r w:rsidR="004B7E50" w:rsidRPr="004B7E50">
        <w:rPr>
          <w:rFonts w:ascii="Palatino Linotype" w:eastAsia="Calibri" w:hAnsi="Palatino Linotype" w:cs="Arial"/>
          <w:sz w:val="24"/>
          <w:lang w:val="es-ES"/>
        </w:rPr>
        <w:t xml:space="preserve"> (</w:t>
      </w:r>
      <w:r>
        <w:rPr>
          <w:rFonts w:ascii="Palatino Linotype" w:eastAsia="Calibri" w:hAnsi="Palatino Linotype" w:cs="Arial"/>
          <w:sz w:val="24"/>
          <w:lang w:val="es-ES"/>
        </w:rPr>
        <w:t>30</w:t>
      </w:r>
      <w:r w:rsidR="004B7E50" w:rsidRPr="004B7E50">
        <w:rPr>
          <w:rFonts w:ascii="Palatino Linotype" w:eastAsia="Calibri" w:hAnsi="Palatino Linotype" w:cs="Arial"/>
          <w:sz w:val="24"/>
          <w:lang w:val="es-ES"/>
        </w:rPr>
        <w:t xml:space="preserve">) </w:t>
      </w:r>
      <w:r w:rsidR="004B7E50" w:rsidRPr="004B7E50">
        <w:rPr>
          <w:rFonts w:ascii="Palatino Linotype" w:eastAsia="Calibri" w:hAnsi="Palatino Linotype"/>
          <w:sz w:val="24"/>
          <w:lang w:val="es-ES"/>
        </w:rPr>
        <w:t>de agosto de dos mil veintiuno</w:t>
      </w:r>
      <w:r w:rsidR="004B7E50" w:rsidRPr="004B7E50">
        <w:rPr>
          <w:rFonts w:ascii="Palatino Linotype" w:eastAsia="Calibri" w:hAnsi="Palatino Linotype" w:cs="Arial"/>
          <w:sz w:val="24"/>
          <w:lang w:val="es-ES"/>
        </w:rPr>
        <w:t>,</w:t>
      </w:r>
      <w:r w:rsidR="004B7E50" w:rsidRPr="004B7E50">
        <w:rPr>
          <w:rFonts w:ascii="Palatino Linotype" w:eastAsia="Calibri" w:hAnsi="Palatino Linotype"/>
          <w:sz w:val="24"/>
          <w:lang w:val="es-ES"/>
        </w:rPr>
        <w:t xml:space="preserve"> </w:t>
      </w:r>
      <w:r w:rsidR="004B7E50" w:rsidRPr="004B7E50">
        <w:rPr>
          <w:rFonts w:ascii="Palatino Linotype" w:eastAsia="Calibri" w:hAnsi="Palatino Linotype"/>
          <w:b/>
          <w:sz w:val="24"/>
          <w:lang w:val="es-ES"/>
        </w:rPr>
        <w:t xml:space="preserve">EL RECURRENTE </w:t>
      </w:r>
      <w:r w:rsidR="004B7E50" w:rsidRPr="004B7E50">
        <w:rPr>
          <w:rFonts w:ascii="Palatino Linotype" w:eastAsia="Calibri" w:hAnsi="Palatino Linotype"/>
          <w:bCs/>
          <w:sz w:val="24"/>
          <w:lang w:val="es-ES"/>
        </w:rPr>
        <w:t>presentó</w:t>
      </w:r>
      <w:r w:rsidR="004B7E50" w:rsidRPr="004B7E50">
        <w:rPr>
          <w:rFonts w:ascii="Palatino Linotype" w:hAnsi="Palatino Linotype"/>
          <w:b/>
          <w:sz w:val="24"/>
        </w:rPr>
        <w:t>,</w:t>
      </w:r>
      <w:r w:rsidR="004B7E50" w:rsidRPr="004B7E50">
        <w:rPr>
          <w:rFonts w:ascii="Palatino Linotype" w:eastAsia="Calibri" w:hAnsi="Palatino Linotype" w:cs="Arial"/>
          <w:sz w:val="24"/>
          <w:lang w:val="es-ES"/>
        </w:rPr>
        <w:t xml:space="preserve"> ante el </w:t>
      </w:r>
      <w:r w:rsidR="004B7E50" w:rsidRPr="004B7E50">
        <w:rPr>
          <w:rFonts w:ascii="Palatino Linotype" w:eastAsia="Calibri" w:hAnsi="Palatino Linotype" w:cs="Arial"/>
          <w:b/>
          <w:sz w:val="24"/>
          <w:lang w:val="es-ES"/>
        </w:rPr>
        <w:t>SUJETO OBLIGADO</w:t>
      </w:r>
      <w:r w:rsidR="004B7E50" w:rsidRPr="004B7E50">
        <w:rPr>
          <w:rFonts w:ascii="Palatino Linotype" w:eastAsia="Calibri" w:hAnsi="Palatino Linotype" w:cs="Arial"/>
          <w:sz w:val="24"/>
        </w:rPr>
        <w:t xml:space="preserve"> vía </w:t>
      </w:r>
      <w:r w:rsidR="004B7E50" w:rsidRPr="004B7E50">
        <w:rPr>
          <w:rFonts w:ascii="Palatino Linotype" w:eastAsia="Calibri" w:hAnsi="Palatino Linotype" w:cs="Arial"/>
          <w:sz w:val="24"/>
          <w:lang w:val="es-ES"/>
        </w:rPr>
        <w:t>Sistema de Acceso a la Información Mexiquense (</w:t>
      </w:r>
      <w:r w:rsidR="004B7E50" w:rsidRPr="004B7E50">
        <w:rPr>
          <w:rFonts w:ascii="Palatino Linotype" w:eastAsia="Calibri" w:hAnsi="Palatino Linotype" w:cs="Arial"/>
          <w:b/>
          <w:sz w:val="24"/>
          <w:lang w:val="es-ES"/>
        </w:rPr>
        <w:t>SAIMEX)</w:t>
      </w:r>
      <w:r w:rsidR="004B7E50" w:rsidRPr="004B7E50">
        <w:rPr>
          <w:rFonts w:ascii="Palatino Linotype" w:eastAsia="Calibri" w:hAnsi="Palatino Linotype" w:cs="Arial"/>
          <w:sz w:val="24"/>
          <w:lang w:val="es-ES"/>
        </w:rPr>
        <w:t xml:space="preserve">, la solicitud de información pública registrada con el número </w:t>
      </w:r>
      <w:r w:rsidRPr="004B7E50">
        <w:rPr>
          <w:rFonts w:ascii="Palatino Linotype" w:eastAsia="Calibri" w:hAnsi="Palatino Linotype" w:cs="Arial"/>
          <w:b/>
          <w:sz w:val="24"/>
          <w:lang w:val="es-ES"/>
        </w:rPr>
        <w:t>00</w:t>
      </w:r>
      <w:r>
        <w:rPr>
          <w:rFonts w:ascii="Palatino Linotype" w:eastAsia="Calibri" w:hAnsi="Palatino Linotype" w:cs="Arial"/>
          <w:b/>
          <w:sz w:val="24"/>
          <w:lang w:val="es-ES"/>
        </w:rPr>
        <w:t>057</w:t>
      </w:r>
      <w:r w:rsidRPr="004B7E50">
        <w:rPr>
          <w:rFonts w:ascii="Palatino Linotype" w:eastAsia="Calibri" w:hAnsi="Palatino Linotype" w:cs="Arial"/>
          <w:b/>
          <w:sz w:val="24"/>
          <w:lang w:val="es-ES"/>
        </w:rPr>
        <w:t>/</w:t>
      </w:r>
      <w:r>
        <w:rPr>
          <w:rFonts w:ascii="Palatino Linotype" w:eastAsia="Calibri" w:hAnsi="Palatino Linotype" w:cs="Arial"/>
          <w:b/>
          <w:sz w:val="24"/>
          <w:lang w:val="es-ES"/>
        </w:rPr>
        <w:t>ELORO</w:t>
      </w:r>
      <w:r w:rsidRPr="004B7E50">
        <w:rPr>
          <w:rFonts w:ascii="Palatino Linotype" w:eastAsia="Calibri" w:hAnsi="Palatino Linotype" w:cs="Arial"/>
          <w:b/>
          <w:sz w:val="24"/>
          <w:lang w:val="es-ES"/>
        </w:rPr>
        <w:t>/IP/2021</w:t>
      </w:r>
      <w:r w:rsidR="004B7E50" w:rsidRPr="004B7E50">
        <w:rPr>
          <w:rFonts w:ascii="Palatino Linotype" w:hAnsi="Palatino Linotype"/>
          <w:b/>
          <w:sz w:val="24"/>
        </w:rPr>
        <w:t xml:space="preserve"> </w:t>
      </w:r>
      <w:r w:rsidR="004B7E50" w:rsidRPr="004B7E50">
        <w:rPr>
          <w:rFonts w:ascii="Palatino Linotype" w:eastAsia="Calibri" w:hAnsi="Palatino Linotype" w:cs="Arial"/>
          <w:sz w:val="24"/>
          <w:lang w:val="es-ES"/>
        </w:rPr>
        <w:t>mediante la cual solicitó lo siguiente:</w:t>
      </w:r>
    </w:p>
    <w:p w14:paraId="52022AC6" w14:textId="77777777" w:rsidR="001A11D8" w:rsidRPr="004B7E50" w:rsidRDefault="001A11D8" w:rsidP="001A11D8">
      <w:pPr>
        <w:pStyle w:val="Prrafodelista"/>
        <w:spacing w:line="360" w:lineRule="auto"/>
        <w:ind w:left="0"/>
        <w:jc w:val="both"/>
        <w:rPr>
          <w:rFonts w:ascii="Palatino Linotype" w:hAnsi="Palatino Linotype" w:cs="Arial"/>
          <w:sz w:val="24"/>
          <w:lang w:val="es-ES"/>
        </w:rPr>
      </w:pPr>
    </w:p>
    <w:p w14:paraId="49AC28D4" w14:textId="2FF4F6C7" w:rsidR="004B7E50" w:rsidRDefault="004B7E50" w:rsidP="004B7E50">
      <w:pPr>
        <w:ind w:left="567" w:right="567"/>
        <w:jc w:val="both"/>
        <w:rPr>
          <w:rFonts w:ascii="Palatino Linotype" w:eastAsia="Calibri" w:hAnsi="Palatino Linotype" w:cs="Arial"/>
          <w:i/>
          <w:sz w:val="22"/>
          <w:szCs w:val="24"/>
          <w:lang w:val="es-ES"/>
        </w:rPr>
      </w:pPr>
      <w:r w:rsidRPr="004B7E50">
        <w:rPr>
          <w:rFonts w:ascii="Palatino Linotype" w:eastAsia="Calibri" w:hAnsi="Palatino Linotype" w:cs="Arial"/>
          <w:i/>
          <w:sz w:val="22"/>
          <w:szCs w:val="24"/>
          <w:lang w:val="es-ES"/>
        </w:rPr>
        <w:t>“</w:t>
      </w:r>
      <w:r w:rsidR="00533170" w:rsidRPr="00533170">
        <w:rPr>
          <w:rFonts w:ascii="Palatino Linotype" w:hAnsi="Palatino Linotype"/>
          <w:i/>
          <w:sz w:val="22"/>
          <w:szCs w:val="24"/>
          <w:lang w:eastAsia="es-MX"/>
        </w:rPr>
        <w:t>Con que fundamento legal y bajo qué criterio, el Director o Comisario de Seguridad Pública Municipal, utiliza las patrullas como vehículo particular, en el cual se ha observado que pasea con su familia en Atlacomulco, tanto en días festivos como en fines de semana.</w:t>
      </w:r>
      <w:r w:rsidRPr="004B7E50">
        <w:rPr>
          <w:rFonts w:ascii="Palatino Linotype" w:eastAsia="Calibri" w:hAnsi="Palatino Linotype" w:cs="Arial"/>
          <w:i/>
          <w:sz w:val="22"/>
          <w:szCs w:val="24"/>
          <w:lang w:val="es-ES"/>
        </w:rPr>
        <w:t>” (Sic)</w:t>
      </w:r>
    </w:p>
    <w:p w14:paraId="35AD2C83" w14:textId="77777777" w:rsidR="00F87101" w:rsidRPr="004B7E50" w:rsidRDefault="00F87101" w:rsidP="004B7E50">
      <w:pPr>
        <w:ind w:left="567" w:right="567"/>
        <w:jc w:val="both"/>
        <w:rPr>
          <w:rFonts w:ascii="Palatino Linotype" w:eastAsia="Calibri" w:hAnsi="Palatino Linotype" w:cs="Arial"/>
          <w:i/>
          <w:sz w:val="22"/>
          <w:szCs w:val="24"/>
          <w:lang w:val="es-ES"/>
        </w:rPr>
      </w:pPr>
    </w:p>
    <w:p w14:paraId="2D75578B" w14:textId="55CEFCE8" w:rsidR="004B7E50" w:rsidRPr="004B7E50" w:rsidRDefault="004B7E50" w:rsidP="004B7E50">
      <w:pPr>
        <w:pStyle w:val="Prrafodelista"/>
        <w:numPr>
          <w:ilvl w:val="0"/>
          <w:numId w:val="3"/>
        </w:numPr>
        <w:spacing w:line="360" w:lineRule="auto"/>
        <w:ind w:left="0" w:firstLine="0"/>
        <w:jc w:val="both"/>
        <w:rPr>
          <w:rFonts w:ascii="Palatino Linotype" w:hAnsi="Palatino Linotype" w:cs="Arial"/>
          <w:sz w:val="24"/>
          <w:lang w:val="es-ES"/>
        </w:rPr>
      </w:pPr>
      <w:r w:rsidRPr="004B7E50">
        <w:rPr>
          <w:rFonts w:ascii="Palatino Linotype" w:hAnsi="Palatino Linotype" w:cs="Arial"/>
          <w:sz w:val="24"/>
          <w:lang w:val="es-ES"/>
        </w:rPr>
        <w:t>Señaló como modalidad de entreg</w:t>
      </w:r>
      <w:r w:rsidR="00791625">
        <w:rPr>
          <w:rFonts w:ascii="Palatino Linotype" w:hAnsi="Palatino Linotype" w:cs="Arial"/>
          <w:sz w:val="24"/>
          <w:lang w:val="es-ES"/>
        </w:rPr>
        <w:t>a de la información a través</w:t>
      </w:r>
      <w:r w:rsidR="00533170">
        <w:rPr>
          <w:rFonts w:ascii="Palatino Linotype" w:hAnsi="Palatino Linotype" w:cs="Arial"/>
          <w:sz w:val="24"/>
          <w:lang w:val="es-ES"/>
        </w:rPr>
        <w:t xml:space="preserve"> del </w:t>
      </w:r>
      <w:r w:rsidR="00533170" w:rsidRPr="005E0A8B">
        <w:rPr>
          <w:rFonts w:ascii="Palatino Linotype" w:hAnsi="Palatino Linotype" w:cs="Arial"/>
          <w:b/>
          <w:sz w:val="24"/>
          <w:lang w:val="es-ES"/>
        </w:rPr>
        <w:t>SAIMEX</w:t>
      </w:r>
    </w:p>
    <w:p w14:paraId="09AC3063" w14:textId="77777777" w:rsidR="004B7E50" w:rsidRPr="004B7E50" w:rsidRDefault="004B7E50" w:rsidP="004B7E50">
      <w:pPr>
        <w:pStyle w:val="Prrafodelista"/>
        <w:spacing w:line="360" w:lineRule="auto"/>
        <w:ind w:left="0"/>
        <w:jc w:val="both"/>
        <w:rPr>
          <w:rFonts w:ascii="Palatino Linotype" w:hAnsi="Palatino Linotype" w:cs="Arial"/>
          <w:sz w:val="24"/>
          <w:lang w:val="es-ES"/>
        </w:rPr>
      </w:pPr>
    </w:p>
    <w:p w14:paraId="2DC904FB" w14:textId="31F5C9CF" w:rsidR="004B7E50" w:rsidRPr="004B7E50" w:rsidRDefault="00533170" w:rsidP="004B7E50">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Pr>
          <w:rFonts w:ascii="Palatino Linotype" w:eastAsia="Calibri" w:hAnsi="Palatino Linotype"/>
          <w:sz w:val="24"/>
          <w:lang w:val="es-ES"/>
        </w:rPr>
        <w:t xml:space="preserve">El </w:t>
      </w:r>
      <w:r w:rsidR="004B7E50" w:rsidRPr="004B7E50">
        <w:rPr>
          <w:rFonts w:ascii="Palatino Linotype" w:eastAsia="Calibri" w:hAnsi="Palatino Linotype"/>
          <w:sz w:val="24"/>
          <w:lang w:val="es-ES"/>
        </w:rPr>
        <w:t xml:space="preserve">siete </w:t>
      </w:r>
      <w:r>
        <w:rPr>
          <w:rFonts w:ascii="Palatino Linotype" w:eastAsia="Calibri" w:hAnsi="Palatino Linotype" w:cs="Arial"/>
          <w:sz w:val="24"/>
          <w:lang w:val="es-ES"/>
        </w:rPr>
        <w:t>(</w:t>
      </w:r>
      <w:r w:rsidR="004B7E50" w:rsidRPr="004B7E50">
        <w:rPr>
          <w:rFonts w:ascii="Palatino Linotype" w:eastAsia="Calibri" w:hAnsi="Palatino Linotype" w:cs="Arial"/>
          <w:sz w:val="24"/>
          <w:lang w:val="es-ES"/>
        </w:rPr>
        <w:t xml:space="preserve">7) </w:t>
      </w:r>
      <w:r w:rsidR="004B7E50" w:rsidRPr="004B7E50">
        <w:rPr>
          <w:rFonts w:ascii="Palatino Linotype" w:eastAsia="Calibri" w:hAnsi="Palatino Linotype"/>
          <w:sz w:val="24"/>
          <w:lang w:val="es-ES"/>
        </w:rPr>
        <w:t xml:space="preserve">de </w:t>
      </w:r>
      <w:r>
        <w:rPr>
          <w:rFonts w:ascii="Palatino Linotype" w:eastAsia="Calibri" w:hAnsi="Palatino Linotype"/>
          <w:sz w:val="24"/>
          <w:lang w:val="es-ES"/>
        </w:rPr>
        <w:t>septiembre</w:t>
      </w:r>
      <w:r w:rsidR="004B7E50" w:rsidRPr="004B7E50">
        <w:rPr>
          <w:rFonts w:ascii="Palatino Linotype" w:eastAsia="Calibri" w:hAnsi="Palatino Linotype"/>
          <w:sz w:val="24"/>
          <w:lang w:val="es-ES"/>
        </w:rPr>
        <w:t xml:space="preserve"> de dos mil veintiuno, el </w:t>
      </w:r>
      <w:r w:rsidR="004B7E50" w:rsidRPr="004B7E50">
        <w:rPr>
          <w:rFonts w:ascii="Palatino Linotype" w:eastAsia="Calibri" w:hAnsi="Palatino Linotype" w:cs="Arial"/>
          <w:b/>
          <w:sz w:val="24"/>
          <w:lang w:val="es-AR"/>
        </w:rPr>
        <w:t>SUJETO OBLIGADO</w:t>
      </w:r>
      <w:r w:rsidR="004B7E50" w:rsidRPr="004B7E50">
        <w:rPr>
          <w:rFonts w:ascii="Palatino Linotype" w:eastAsia="Calibri" w:hAnsi="Palatino Linotype" w:cs="Arial"/>
          <w:b/>
          <w:i/>
          <w:sz w:val="24"/>
          <w:lang w:val="es-AR"/>
        </w:rPr>
        <w:t xml:space="preserve"> </w:t>
      </w:r>
      <w:r w:rsidR="004B7E50" w:rsidRPr="004B7E50">
        <w:rPr>
          <w:rFonts w:ascii="Palatino Linotype" w:hAnsi="Palatino Linotype" w:cs="Arial"/>
          <w:sz w:val="24"/>
          <w:lang w:val="es-ES"/>
        </w:rPr>
        <w:t>dio respuesta a la solicitud de información, en los siguientes términos:</w:t>
      </w:r>
    </w:p>
    <w:p w14:paraId="13D0E1CF" w14:textId="77777777" w:rsidR="004B7E50" w:rsidRPr="004B7E50" w:rsidRDefault="004B7E50" w:rsidP="004B7E50">
      <w:pPr>
        <w:pStyle w:val="Prrafodelista"/>
        <w:rPr>
          <w:rFonts w:ascii="Palatino Linotype" w:hAnsi="Palatino Linotype" w:cs="Arial"/>
          <w:sz w:val="24"/>
          <w:lang w:val="es-ES"/>
        </w:rPr>
      </w:pPr>
    </w:p>
    <w:p w14:paraId="0C4C65D3" w14:textId="77777777" w:rsidR="00533170" w:rsidRPr="00533170" w:rsidRDefault="004B7E50" w:rsidP="00533170">
      <w:pPr>
        <w:pStyle w:val="Prrafodelista"/>
        <w:spacing w:before="240" w:after="240" w:line="360" w:lineRule="auto"/>
        <w:ind w:left="567" w:right="567"/>
        <w:jc w:val="both"/>
        <w:rPr>
          <w:rFonts w:ascii="Palatino Linotype" w:hAnsi="Palatino Linotype"/>
          <w:i/>
          <w:color w:val="000000"/>
        </w:rPr>
      </w:pPr>
      <w:r w:rsidRPr="004B7E50">
        <w:rPr>
          <w:rFonts w:ascii="Palatino Linotype" w:eastAsia="Calibri" w:hAnsi="Palatino Linotype"/>
          <w:i/>
          <w:lang w:val="es-ES"/>
        </w:rPr>
        <w:t>“</w:t>
      </w:r>
      <w:r w:rsidR="00533170" w:rsidRPr="00533170">
        <w:rPr>
          <w:rFonts w:ascii="Palatino Linotype" w:hAnsi="Palatino Linotype"/>
          <w:i/>
          <w:color w:val="000000"/>
        </w:rPr>
        <w:t>el Oro, México a 07 de Septiembre de 2021</w:t>
      </w:r>
    </w:p>
    <w:p w14:paraId="69EB078C" w14:textId="101C3FBE" w:rsidR="00533170" w:rsidRPr="00533170" w:rsidRDefault="00533170" w:rsidP="00533170">
      <w:pPr>
        <w:pStyle w:val="Prrafodelista"/>
        <w:spacing w:before="240" w:after="240" w:line="360" w:lineRule="auto"/>
        <w:ind w:left="567" w:right="567"/>
        <w:jc w:val="both"/>
        <w:rPr>
          <w:rFonts w:ascii="Palatino Linotype" w:hAnsi="Palatino Linotype"/>
          <w:i/>
          <w:color w:val="000000"/>
        </w:rPr>
      </w:pPr>
      <w:r w:rsidRPr="00533170">
        <w:rPr>
          <w:rFonts w:ascii="Palatino Linotype" w:hAnsi="Palatino Linotype"/>
          <w:i/>
          <w:color w:val="000000"/>
        </w:rPr>
        <w:lastRenderedPageBreak/>
        <w:t xml:space="preserve">Nombre del solicitante: </w:t>
      </w:r>
      <w:r w:rsidR="005855D2" w:rsidRPr="005855D2">
        <w:rPr>
          <w:rFonts w:ascii="Palatino Linotype" w:hAnsi="Palatino Linotype"/>
          <w:b/>
          <w:color w:val="222222"/>
          <w:sz w:val="24"/>
          <w:lang w:val="es-ES" w:eastAsia="es-MX"/>
        </w:rPr>
        <w:t>XXXXX</w:t>
      </w:r>
      <w:r w:rsidR="005855D2" w:rsidRPr="005855D2">
        <w:rPr>
          <w:rFonts w:ascii="Palatino Linotype" w:hAnsi="Palatino Linotype"/>
          <w:b/>
          <w:sz w:val="24"/>
        </w:rPr>
        <w:t xml:space="preserve"> XXXXXX XXXXXX</w:t>
      </w:r>
      <w:bookmarkStart w:id="1" w:name="_GoBack"/>
      <w:bookmarkEnd w:id="1"/>
    </w:p>
    <w:p w14:paraId="788D7307" w14:textId="77777777" w:rsidR="00533170" w:rsidRPr="00533170" w:rsidRDefault="00533170" w:rsidP="00533170">
      <w:pPr>
        <w:pStyle w:val="Prrafodelista"/>
        <w:spacing w:before="240" w:after="240" w:line="360" w:lineRule="auto"/>
        <w:ind w:left="567" w:right="567"/>
        <w:jc w:val="both"/>
        <w:rPr>
          <w:rFonts w:ascii="Palatino Linotype" w:hAnsi="Palatino Linotype"/>
          <w:i/>
          <w:color w:val="000000"/>
        </w:rPr>
      </w:pPr>
      <w:r w:rsidRPr="00533170">
        <w:rPr>
          <w:rFonts w:ascii="Palatino Linotype" w:hAnsi="Palatino Linotype"/>
          <w:i/>
          <w:color w:val="000000"/>
        </w:rPr>
        <w:t>Folio de la solicitud: 00057/ELORO/IP/2021</w:t>
      </w:r>
    </w:p>
    <w:p w14:paraId="6582C655" w14:textId="77777777" w:rsidR="00533170" w:rsidRPr="00533170" w:rsidRDefault="00533170" w:rsidP="00533170">
      <w:pPr>
        <w:pStyle w:val="Prrafodelista"/>
        <w:spacing w:before="240" w:after="240" w:line="360" w:lineRule="auto"/>
        <w:ind w:left="567" w:right="567"/>
        <w:jc w:val="both"/>
        <w:rPr>
          <w:rFonts w:ascii="Palatino Linotype" w:hAnsi="Palatino Linotype"/>
          <w:i/>
          <w:color w:val="000000"/>
        </w:rPr>
      </w:pPr>
      <w:r w:rsidRPr="00533170">
        <w:rPr>
          <w:rFonts w:ascii="Palatino Linotype" w:hAnsi="Palatino Linotype"/>
          <w:i/>
          <w:color w:val="000000"/>
        </w:rPr>
        <w:t>Dando cumplimiento en tiempo y forma a lo establecido por la legislación vigente y con fundamento en el Art. 12 de la Ley de Transparencia y Acceso a la Información Pública del Estado de México y Municipios se adjunta al presente 1 archivo en formato PDF como respuesta brindada por la Dirección de Seguridad Pública, Protección Civil y Bomberos a su solicitud de información.</w:t>
      </w:r>
    </w:p>
    <w:p w14:paraId="64FF8F35" w14:textId="77777777" w:rsidR="00533170" w:rsidRPr="00533170" w:rsidRDefault="00533170" w:rsidP="00533170">
      <w:pPr>
        <w:pStyle w:val="Prrafodelista"/>
        <w:spacing w:before="240" w:after="240" w:line="360" w:lineRule="auto"/>
        <w:ind w:left="567" w:right="567"/>
        <w:jc w:val="both"/>
        <w:rPr>
          <w:rFonts w:ascii="Palatino Linotype" w:hAnsi="Palatino Linotype"/>
          <w:i/>
          <w:color w:val="000000"/>
        </w:rPr>
      </w:pPr>
      <w:r w:rsidRPr="00533170">
        <w:rPr>
          <w:rFonts w:ascii="Palatino Linotype" w:hAnsi="Palatino Linotype"/>
          <w:i/>
          <w:color w:val="000000"/>
        </w:rPr>
        <w:t>ATENTAMENTE</w:t>
      </w:r>
    </w:p>
    <w:p w14:paraId="5B12395B" w14:textId="3B25C669" w:rsidR="004B7E50" w:rsidRPr="004B7E50" w:rsidRDefault="00533170" w:rsidP="00533170">
      <w:pPr>
        <w:pStyle w:val="Prrafodelista"/>
        <w:spacing w:before="240" w:after="240" w:line="360" w:lineRule="auto"/>
        <w:ind w:left="567" w:right="567"/>
        <w:jc w:val="both"/>
        <w:rPr>
          <w:rFonts w:ascii="Palatino Linotype" w:hAnsi="Palatino Linotype"/>
          <w:i/>
          <w:color w:val="000000"/>
        </w:rPr>
      </w:pPr>
      <w:r w:rsidRPr="00533170">
        <w:rPr>
          <w:rFonts w:ascii="Palatino Linotype" w:hAnsi="Palatino Linotype"/>
          <w:i/>
          <w:color w:val="000000"/>
        </w:rPr>
        <w:t>ING. JOSE DANIEL POSADAS MEJIA</w:t>
      </w:r>
      <w:r w:rsidR="004B7E50" w:rsidRPr="004B7E50">
        <w:rPr>
          <w:rFonts w:ascii="Palatino Linotype" w:hAnsi="Palatino Linotype"/>
          <w:i/>
          <w:color w:val="000000"/>
        </w:rPr>
        <w:t>” (sic)</w:t>
      </w:r>
    </w:p>
    <w:p w14:paraId="652F3A10" w14:textId="77777777" w:rsidR="004B7E50" w:rsidRPr="004B7E50" w:rsidRDefault="004B7E50" w:rsidP="004B7E50">
      <w:pPr>
        <w:pStyle w:val="Prrafodelista"/>
        <w:spacing w:before="240" w:after="240" w:line="360" w:lineRule="auto"/>
        <w:ind w:left="567" w:right="567"/>
        <w:jc w:val="both"/>
        <w:rPr>
          <w:rFonts w:ascii="Palatino Linotype" w:hAnsi="Palatino Linotype"/>
          <w:i/>
          <w:color w:val="000000"/>
          <w:sz w:val="24"/>
        </w:rPr>
      </w:pPr>
    </w:p>
    <w:p w14:paraId="79E795E9" w14:textId="757332E8" w:rsidR="00533170" w:rsidRPr="00533170" w:rsidRDefault="00533170" w:rsidP="004B7E50">
      <w:pPr>
        <w:pStyle w:val="Prrafodelista"/>
        <w:numPr>
          <w:ilvl w:val="0"/>
          <w:numId w:val="18"/>
        </w:numPr>
        <w:spacing w:before="240" w:after="240" w:line="360" w:lineRule="auto"/>
        <w:ind w:left="709" w:right="567"/>
        <w:jc w:val="both"/>
        <w:rPr>
          <w:rFonts w:ascii="Palatino Linotype" w:hAnsi="Palatino Linotype"/>
          <w:b/>
          <w:bCs/>
          <w:iCs/>
          <w:color w:val="000000"/>
          <w:sz w:val="24"/>
        </w:rPr>
      </w:pPr>
      <w:r>
        <w:rPr>
          <w:rFonts w:ascii="Palatino Linotype" w:hAnsi="Palatino Linotype"/>
          <w:b/>
          <w:bCs/>
          <w:iCs/>
          <w:color w:val="000000"/>
          <w:sz w:val="24"/>
        </w:rPr>
        <w:t>00057</w:t>
      </w:r>
      <w:r w:rsidR="001032BC">
        <w:rPr>
          <w:rFonts w:ascii="Palatino Linotype" w:hAnsi="Palatino Linotype"/>
          <w:b/>
          <w:bCs/>
          <w:iCs/>
          <w:color w:val="000000"/>
          <w:sz w:val="24"/>
        </w:rPr>
        <w:t>:</w:t>
      </w:r>
      <w:r w:rsidR="004B7E50" w:rsidRPr="004B7E50">
        <w:rPr>
          <w:rFonts w:ascii="Palatino Linotype" w:hAnsi="Palatino Linotype"/>
          <w:b/>
          <w:bCs/>
          <w:iCs/>
          <w:color w:val="000000"/>
          <w:sz w:val="24"/>
        </w:rPr>
        <w:t xml:space="preserve"> </w:t>
      </w:r>
      <w:r w:rsidR="004B7E50" w:rsidRPr="004B7E50">
        <w:rPr>
          <w:rFonts w:ascii="Palatino Linotype" w:hAnsi="Palatino Linotype"/>
          <w:bCs/>
          <w:iCs/>
          <w:color w:val="000000"/>
          <w:sz w:val="24"/>
        </w:rPr>
        <w:t>Oficio</w:t>
      </w:r>
      <w:r>
        <w:rPr>
          <w:rFonts w:ascii="Palatino Linotype" w:hAnsi="Palatino Linotype"/>
          <w:bCs/>
          <w:iCs/>
          <w:color w:val="000000"/>
          <w:sz w:val="24"/>
        </w:rPr>
        <w:t xml:space="preserve"> </w:t>
      </w:r>
      <w:r w:rsidRPr="00533170">
        <w:rPr>
          <w:rFonts w:ascii="Palatino Linotype" w:hAnsi="Palatino Linotype"/>
          <w:b/>
          <w:bCs/>
          <w:iCs/>
          <w:color w:val="000000"/>
          <w:sz w:val="24"/>
        </w:rPr>
        <w:t>SEG.PUB/335/2021</w:t>
      </w:r>
      <w:r w:rsidR="004B7E50" w:rsidRPr="004B7E50">
        <w:rPr>
          <w:rFonts w:ascii="Palatino Linotype" w:hAnsi="Palatino Linotype"/>
          <w:bCs/>
          <w:iCs/>
          <w:color w:val="000000"/>
          <w:sz w:val="24"/>
        </w:rPr>
        <w:t xml:space="preserve"> suscrito por el </w:t>
      </w:r>
      <w:r>
        <w:rPr>
          <w:rFonts w:ascii="Palatino Linotype" w:hAnsi="Palatino Linotype"/>
          <w:bCs/>
          <w:iCs/>
          <w:color w:val="000000"/>
          <w:sz w:val="24"/>
        </w:rPr>
        <w:t>Director de Seguridad Pública, Protección Civil y Bomberos, mediante el cual refiere que, se ha observado a personal civil a bordo de unidades oficiales (patrullas) debido a que se realizan puestas a disposición en la Fiscalía General de Justicia del Municipio de Atlacomulco; asimismo, se realiza apoyo de traslado a los ciudadanos para realizar la entrega de documentación en las oficinas de Derechos Humanos ubicadas en el Municipio de Atlacomulco, con fundamento en el artículo 21 de la Constitución Política del Estado de México y el artículo 249 fracción X y XIV del Bando Municipal.</w:t>
      </w:r>
    </w:p>
    <w:p w14:paraId="5F74E5DD" w14:textId="77777777" w:rsidR="00533170" w:rsidRPr="00533170" w:rsidRDefault="00533170" w:rsidP="00533170">
      <w:pPr>
        <w:pStyle w:val="Prrafodelista"/>
        <w:spacing w:before="240" w:after="240" w:line="360" w:lineRule="auto"/>
        <w:ind w:left="709" w:right="567"/>
        <w:jc w:val="both"/>
        <w:rPr>
          <w:rFonts w:ascii="Palatino Linotype" w:hAnsi="Palatino Linotype"/>
          <w:b/>
          <w:bCs/>
          <w:iCs/>
          <w:color w:val="000000"/>
          <w:sz w:val="24"/>
        </w:rPr>
      </w:pPr>
    </w:p>
    <w:p w14:paraId="75E1DFE3" w14:textId="357DE913"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cs="Arial"/>
          <w:i/>
          <w:sz w:val="24"/>
        </w:rPr>
      </w:pPr>
      <w:r w:rsidRPr="004B7E50">
        <w:rPr>
          <w:rFonts w:ascii="Palatino Linotype" w:eastAsia="Calibri" w:hAnsi="Palatino Linotype" w:cs="Arial"/>
          <w:sz w:val="24"/>
          <w:lang w:val="es-AR"/>
        </w:rPr>
        <w:t xml:space="preserve">El </w:t>
      </w:r>
      <w:r w:rsidR="001032BC">
        <w:rPr>
          <w:rFonts w:ascii="Palatino Linotype" w:eastAsia="Calibri" w:hAnsi="Palatino Linotype" w:cs="Arial"/>
          <w:sz w:val="24"/>
          <w:lang w:val="es-AR"/>
        </w:rPr>
        <w:t>tre</w:t>
      </w:r>
      <w:r w:rsidR="00533170">
        <w:rPr>
          <w:rFonts w:ascii="Palatino Linotype" w:eastAsia="Calibri" w:hAnsi="Palatino Linotype" w:cs="Arial"/>
          <w:sz w:val="24"/>
          <w:lang w:val="es-AR"/>
        </w:rPr>
        <w:t>ce</w:t>
      </w:r>
      <w:r w:rsidRPr="004B7E50">
        <w:rPr>
          <w:rFonts w:ascii="Palatino Linotype" w:eastAsia="Calibri" w:hAnsi="Palatino Linotype" w:cs="Arial"/>
          <w:sz w:val="24"/>
          <w:lang w:val="es-AR"/>
        </w:rPr>
        <w:t xml:space="preserve"> (</w:t>
      </w:r>
      <w:r w:rsidR="00533170">
        <w:rPr>
          <w:rFonts w:ascii="Palatino Linotype" w:eastAsia="Calibri" w:hAnsi="Palatino Linotype" w:cs="Arial"/>
          <w:sz w:val="24"/>
          <w:lang w:val="es-AR"/>
        </w:rPr>
        <w:t>13</w:t>
      </w:r>
      <w:r w:rsidRPr="004B7E50">
        <w:rPr>
          <w:rFonts w:ascii="Palatino Linotype" w:eastAsia="Calibri" w:hAnsi="Palatino Linotype" w:cs="Arial"/>
          <w:sz w:val="24"/>
          <w:lang w:val="es-AR"/>
        </w:rPr>
        <w:t xml:space="preserve">) de </w:t>
      </w:r>
      <w:r w:rsidR="00533170">
        <w:rPr>
          <w:rFonts w:ascii="Palatino Linotype" w:eastAsia="Calibri" w:hAnsi="Palatino Linotype" w:cs="Arial"/>
          <w:sz w:val="24"/>
          <w:lang w:val="es-AR"/>
        </w:rPr>
        <w:t>septiembre</w:t>
      </w:r>
      <w:r w:rsidRPr="004B7E50">
        <w:rPr>
          <w:rFonts w:ascii="Palatino Linotype" w:eastAsia="Calibri" w:hAnsi="Palatino Linotype" w:cs="Arial"/>
          <w:sz w:val="24"/>
          <w:lang w:val="es-AR"/>
        </w:rPr>
        <w:t xml:space="preserve"> de</w:t>
      </w:r>
      <w:r w:rsidRPr="004B7E50">
        <w:rPr>
          <w:rFonts w:ascii="Palatino Linotype" w:hAnsi="Palatino Linotype" w:cs="Arial"/>
          <w:sz w:val="24"/>
          <w:lang w:val="es-ES"/>
        </w:rPr>
        <w:t xml:space="preserve"> dos mil veintiuno, </w:t>
      </w:r>
      <w:r w:rsidRPr="004B7E50">
        <w:rPr>
          <w:rFonts w:ascii="Palatino Linotype" w:hAnsi="Palatino Linotype"/>
          <w:b/>
          <w:sz w:val="24"/>
        </w:rPr>
        <w:t>EL RECURRENTE</w:t>
      </w:r>
      <w:r w:rsidRPr="004B7E50">
        <w:rPr>
          <w:rFonts w:ascii="Palatino Linotype" w:hAnsi="Palatino Linotype" w:cs="Arial"/>
          <w:sz w:val="24"/>
          <w:lang w:val="es-ES"/>
        </w:rPr>
        <w:t xml:space="preserve"> interpuso el recurso de revisión, en contra de la respuesta y, señaló como:</w:t>
      </w:r>
      <w:bookmarkStart w:id="2" w:name="_Toc472500652"/>
      <w:bookmarkStart w:id="3" w:name="_Toc472427085"/>
      <w:bookmarkStart w:id="4" w:name="_Toc462307683"/>
    </w:p>
    <w:p w14:paraId="75570E09" w14:textId="77777777" w:rsidR="004B7E50" w:rsidRPr="004B7E50" w:rsidRDefault="004B7E50" w:rsidP="004B7E50">
      <w:pPr>
        <w:pStyle w:val="Prrafodelista"/>
        <w:rPr>
          <w:rFonts w:ascii="Palatino Linotype" w:hAnsi="Palatino Linotype" w:cs="Arial"/>
          <w:i/>
          <w:sz w:val="24"/>
        </w:rPr>
      </w:pPr>
    </w:p>
    <w:p w14:paraId="27C268E1" w14:textId="4BE50B9C" w:rsidR="004B7E50" w:rsidRPr="004B7E50" w:rsidRDefault="004B7E50" w:rsidP="004B7E50">
      <w:pPr>
        <w:pStyle w:val="Prrafodelista"/>
        <w:spacing w:line="360" w:lineRule="auto"/>
        <w:jc w:val="both"/>
        <w:rPr>
          <w:rFonts w:ascii="Palatino Linotype" w:hAnsi="Palatino Linotype"/>
          <w:bCs/>
          <w:i/>
          <w:iCs/>
          <w:sz w:val="24"/>
        </w:rPr>
      </w:pPr>
      <w:r w:rsidRPr="004B7E50">
        <w:rPr>
          <w:rFonts w:ascii="Palatino Linotype" w:hAnsi="Palatino Linotype"/>
          <w:b/>
          <w:sz w:val="24"/>
        </w:rPr>
        <w:t xml:space="preserve">Acto impugnado: </w:t>
      </w:r>
      <w:r w:rsidRPr="004B7E50">
        <w:rPr>
          <w:rFonts w:ascii="Palatino Linotype" w:hAnsi="Palatino Linotype"/>
          <w:bCs/>
          <w:i/>
          <w:iCs/>
          <w:sz w:val="24"/>
        </w:rPr>
        <w:t>“</w:t>
      </w:r>
      <w:r w:rsidR="00533170" w:rsidRPr="00533170">
        <w:rPr>
          <w:rFonts w:ascii="Palatino Linotype" w:hAnsi="Palatino Linotype"/>
          <w:bCs/>
          <w:i/>
          <w:iCs/>
        </w:rPr>
        <w:t>Respuesta atraves del oficio SEG.PUB./335/2021 de</w:t>
      </w:r>
      <w:r w:rsidR="005E0A8B">
        <w:rPr>
          <w:rFonts w:ascii="Palatino Linotype" w:hAnsi="Palatino Linotype"/>
          <w:bCs/>
          <w:i/>
          <w:iCs/>
        </w:rPr>
        <w:t xml:space="preserve"> fecha 03 de septiembre de 2021</w:t>
      </w:r>
      <w:r w:rsidRPr="004B7E50">
        <w:rPr>
          <w:rFonts w:ascii="Palatino Linotype" w:hAnsi="Palatino Linotype"/>
          <w:bCs/>
          <w:i/>
          <w:iCs/>
          <w:sz w:val="24"/>
        </w:rPr>
        <w:t>” (sic) y,</w:t>
      </w:r>
    </w:p>
    <w:p w14:paraId="683E5215" w14:textId="77777777" w:rsidR="004B7E50" w:rsidRPr="004B7E50" w:rsidRDefault="004B7E50" w:rsidP="004B7E50">
      <w:pPr>
        <w:pStyle w:val="Prrafodelista"/>
        <w:spacing w:line="360" w:lineRule="auto"/>
        <w:jc w:val="both"/>
        <w:rPr>
          <w:rFonts w:ascii="Palatino Linotype" w:hAnsi="Palatino Linotype"/>
          <w:b/>
          <w:sz w:val="24"/>
        </w:rPr>
      </w:pPr>
    </w:p>
    <w:p w14:paraId="6A18721A" w14:textId="07A5D952" w:rsidR="00533170" w:rsidRPr="00533170" w:rsidRDefault="004B7E50" w:rsidP="00533170">
      <w:pPr>
        <w:pStyle w:val="Prrafodelista"/>
        <w:spacing w:line="360" w:lineRule="auto"/>
        <w:jc w:val="both"/>
        <w:rPr>
          <w:rFonts w:ascii="Palatino Linotype" w:hAnsi="Palatino Linotype"/>
          <w:i/>
        </w:rPr>
      </w:pPr>
      <w:r w:rsidRPr="004B7E50">
        <w:rPr>
          <w:rFonts w:ascii="Palatino Linotype" w:hAnsi="Palatino Linotype"/>
          <w:b/>
          <w:sz w:val="24"/>
        </w:rPr>
        <w:t>Razones o Motivos de Inconformidad:</w:t>
      </w:r>
      <w:r w:rsidRPr="004B7E50">
        <w:rPr>
          <w:rStyle w:val="Ttulo2Car"/>
          <w:rFonts w:ascii="Palatino Linotype" w:hAnsi="Palatino Linotype"/>
          <w:b/>
          <w:i/>
          <w:sz w:val="24"/>
          <w:szCs w:val="24"/>
          <w:lang w:val="es-ES"/>
        </w:rPr>
        <w:t xml:space="preserve"> </w:t>
      </w:r>
      <w:r w:rsidRPr="004B7E50">
        <w:rPr>
          <w:rFonts w:ascii="Palatino Linotype" w:hAnsi="Palatino Linotype"/>
          <w:sz w:val="24"/>
        </w:rPr>
        <w:t>“</w:t>
      </w:r>
      <w:r w:rsidR="00533170" w:rsidRPr="00533170">
        <w:rPr>
          <w:rFonts w:ascii="Palatino Linotype" w:hAnsi="Palatino Linotype"/>
          <w:i/>
        </w:rPr>
        <w:t>Quien constantemente tripula las diferentes patrullas del Seguridad Pública del Muicipio de El Oro, es Pedro Agu</w:t>
      </w:r>
      <w:r w:rsidR="00337E79">
        <w:rPr>
          <w:rFonts w:ascii="Palatino Linotype" w:hAnsi="Palatino Linotype"/>
          <w:i/>
        </w:rPr>
        <w:t xml:space="preserve">irre acompañado de su familia o </w:t>
      </w:r>
      <w:r w:rsidR="00533170" w:rsidRPr="00337E79">
        <w:rPr>
          <w:rFonts w:ascii="Palatino Linotype" w:hAnsi="Palatino Linotype"/>
          <w:i/>
        </w:rPr>
        <w:t>amante y se le ha observado PASEANDO en las calles de Atlacomulco, en tal virtud no es posible el supuesto de que se encunetre realizando una</w:t>
      </w:r>
      <w:r w:rsidR="00337E79">
        <w:rPr>
          <w:rFonts w:ascii="Palatino Linotype" w:hAnsi="Palatino Linotype"/>
          <w:i/>
        </w:rPr>
        <w:t xml:space="preserve"> </w:t>
      </w:r>
      <w:r w:rsidR="00533170" w:rsidRPr="00533170">
        <w:rPr>
          <w:rFonts w:ascii="Palatino Linotype" w:hAnsi="Palatino Linotype"/>
          <w:i/>
        </w:rPr>
        <w:t>presentaciones ante el Ministerio Público, ya que porta vestuario civil (NO UNIFORMADO).</w:t>
      </w:r>
    </w:p>
    <w:p w14:paraId="586ED2D0" w14:textId="02E5E3B7" w:rsidR="00533170" w:rsidRPr="00533170" w:rsidRDefault="00533170" w:rsidP="00533170">
      <w:pPr>
        <w:pStyle w:val="Prrafodelista"/>
        <w:spacing w:line="360" w:lineRule="auto"/>
        <w:jc w:val="both"/>
        <w:rPr>
          <w:rFonts w:ascii="Palatino Linotype" w:hAnsi="Palatino Linotype"/>
          <w:i/>
        </w:rPr>
      </w:pPr>
      <w:r w:rsidRPr="00533170">
        <w:rPr>
          <w:rFonts w:ascii="Palatino Linotype" w:hAnsi="Palatino Linotype"/>
          <w:i/>
        </w:rPr>
        <w:t>Siendo que la incidencia reportada por el propio Director de Seguridad Pública (presentaciones ante el M.P) no coincide con la cantidad de ocaciones</w:t>
      </w:r>
      <w:r w:rsidR="00337E79">
        <w:rPr>
          <w:rFonts w:ascii="Palatino Linotype" w:hAnsi="Palatino Linotype"/>
          <w:i/>
        </w:rPr>
        <w:t xml:space="preserve"> </w:t>
      </w:r>
      <w:r w:rsidRPr="00533170">
        <w:rPr>
          <w:rFonts w:ascii="Palatino Linotype" w:hAnsi="Palatino Linotype"/>
          <w:i/>
        </w:rPr>
        <w:t>que se le ha observado en Atlacomulco.</w:t>
      </w:r>
    </w:p>
    <w:p w14:paraId="39DFE15F" w14:textId="73AAF425" w:rsidR="004B7E50" w:rsidRDefault="00533170" w:rsidP="00533170">
      <w:pPr>
        <w:pStyle w:val="Prrafodelista"/>
        <w:spacing w:line="360" w:lineRule="auto"/>
        <w:jc w:val="both"/>
        <w:rPr>
          <w:rFonts w:ascii="Palatino Linotype" w:eastAsia="Calibri" w:hAnsi="Palatino Linotype" w:cs="Arial"/>
          <w:sz w:val="24"/>
          <w:lang w:val="es-ES"/>
        </w:rPr>
      </w:pPr>
      <w:r w:rsidRPr="00533170">
        <w:rPr>
          <w:rFonts w:ascii="Palatino Linotype" w:hAnsi="Palatino Linotype"/>
          <w:i/>
        </w:rPr>
        <w:t>Con ese tipo de acciones el ayuntamiento tiene la obligación de investigar y sancionar al servidor público en referencia.</w:t>
      </w:r>
      <w:r w:rsidR="004B7E50" w:rsidRPr="004B7E50">
        <w:rPr>
          <w:rFonts w:ascii="Palatino Linotype" w:hAnsi="Palatino Linotype"/>
        </w:rPr>
        <w:t>"</w:t>
      </w:r>
      <w:r w:rsidR="004B7E50" w:rsidRPr="004B7E50">
        <w:rPr>
          <w:rFonts w:ascii="Palatino Linotype" w:eastAsia="Calibri" w:hAnsi="Palatino Linotype" w:cs="Arial"/>
          <w:lang w:val="es-ES"/>
        </w:rPr>
        <w:t xml:space="preserve"> </w:t>
      </w:r>
      <w:r w:rsidR="004B7E50" w:rsidRPr="004B7E50">
        <w:rPr>
          <w:rFonts w:ascii="Palatino Linotype" w:eastAsia="Calibri" w:hAnsi="Palatino Linotype" w:cs="Arial"/>
          <w:sz w:val="24"/>
          <w:lang w:val="es-ES"/>
        </w:rPr>
        <w:t>(Sic)</w:t>
      </w:r>
    </w:p>
    <w:p w14:paraId="7D1C0953" w14:textId="77777777" w:rsidR="001032BC" w:rsidRDefault="001032BC" w:rsidP="001032BC">
      <w:pPr>
        <w:spacing w:line="360" w:lineRule="auto"/>
        <w:jc w:val="both"/>
        <w:rPr>
          <w:rFonts w:ascii="Palatino Linotype" w:eastAsia="Calibri" w:hAnsi="Palatino Linotype" w:cs="Arial"/>
          <w:sz w:val="24"/>
          <w:lang w:val="es-ES"/>
        </w:rPr>
      </w:pPr>
    </w:p>
    <w:bookmarkEnd w:id="2"/>
    <w:bookmarkEnd w:id="3"/>
    <w:bookmarkEnd w:id="4"/>
    <w:p w14:paraId="108D4738" w14:textId="77777777" w:rsidR="004B7E50" w:rsidRPr="005E0A8B" w:rsidRDefault="004B7E50" w:rsidP="004B7E5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B7E50">
        <w:rPr>
          <w:rFonts w:ascii="Palatino Linotype" w:hAnsi="Palatino Linotype" w:cs="Arial"/>
          <w:sz w:val="24"/>
          <w:lang w:val="es-ES"/>
        </w:rPr>
        <w:t xml:space="preserve">Se registró el recurso de revisión bajo el número de expediente </w:t>
      </w:r>
      <w:r w:rsidRPr="004B7E50">
        <w:rPr>
          <w:rFonts w:ascii="Palatino Linotype" w:hAnsi="Palatino Linotype" w:cs="Arial"/>
          <w:bCs/>
          <w:sz w:val="24"/>
        </w:rPr>
        <w:t xml:space="preserve">al rubro indicado, asimismo con fundamento en lo dispuesto por el </w:t>
      </w:r>
      <w:r w:rsidRPr="004B7E50">
        <w:rPr>
          <w:rFonts w:ascii="Palatino Linotype" w:eastAsia="Calibri" w:hAnsi="Palatino Linotype" w:cs="Arial"/>
          <w:sz w:val="24"/>
          <w:lang w:val="es-ES"/>
        </w:rPr>
        <w:t xml:space="preserve">artículo 185 fracción I de la </w:t>
      </w:r>
      <w:r w:rsidRPr="004B7E50">
        <w:rPr>
          <w:rFonts w:ascii="Palatino Linotype" w:eastAsia="Calibri" w:hAnsi="Palatino Linotype" w:cs="Arial"/>
          <w:b/>
          <w:sz w:val="24"/>
          <w:lang w:val="es-ES"/>
        </w:rPr>
        <w:t xml:space="preserve">Ley de Transparencia y Acceso a la Información Pública del Estado de México y Municipios </w:t>
      </w:r>
      <w:r w:rsidRPr="004B7E50">
        <w:rPr>
          <w:rFonts w:ascii="Palatino Linotype" w:hAnsi="Palatino Linotype" w:cs="Arial"/>
          <w:sz w:val="24"/>
          <w:lang w:val="es-ES"/>
        </w:rPr>
        <w:t xml:space="preserve">se turnó a la </w:t>
      </w:r>
      <w:r w:rsidRPr="004B7E50">
        <w:rPr>
          <w:rFonts w:ascii="Palatino Linotype" w:hAnsi="Palatino Linotype" w:cs="Arial"/>
          <w:b/>
          <w:sz w:val="24"/>
          <w:lang w:val="es-ES"/>
        </w:rPr>
        <w:t xml:space="preserve">Comisionada María del Rosario Mejía Ayala, </w:t>
      </w:r>
      <w:r w:rsidRPr="004B7E50">
        <w:rPr>
          <w:rFonts w:ascii="Palatino Linotype" w:hAnsi="Palatino Linotype" w:cs="Arial"/>
          <w:sz w:val="24"/>
          <w:lang w:val="es-ES"/>
        </w:rPr>
        <w:t xml:space="preserve">con el objeto de </w:t>
      </w:r>
      <w:r w:rsidRPr="004B7E50">
        <w:rPr>
          <w:rFonts w:ascii="Palatino Linotype" w:hAnsi="Palatino Linotype" w:cs="Arial"/>
          <w:sz w:val="24"/>
        </w:rPr>
        <w:t>su análisis.</w:t>
      </w:r>
    </w:p>
    <w:p w14:paraId="20B78B2E" w14:textId="77777777" w:rsidR="005E0A8B" w:rsidRPr="004B7E50" w:rsidRDefault="005E0A8B" w:rsidP="005E0A8B">
      <w:pPr>
        <w:pStyle w:val="Prrafodelista"/>
        <w:spacing w:before="240" w:after="240" w:line="360" w:lineRule="auto"/>
        <w:ind w:left="0"/>
        <w:jc w:val="both"/>
        <w:rPr>
          <w:rFonts w:ascii="Palatino Linotype" w:eastAsia="Calibri" w:hAnsi="Palatino Linotype" w:cs="Arial"/>
          <w:sz w:val="24"/>
          <w:lang w:val="es-AR"/>
        </w:rPr>
      </w:pPr>
    </w:p>
    <w:p w14:paraId="57837060" w14:textId="58157990" w:rsidR="004B7E50" w:rsidRPr="004B7E50" w:rsidRDefault="00DB5A51" w:rsidP="004B7E50">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eastAsia="Calibri" w:hAnsi="Palatino Linotype" w:cs="Arial"/>
          <w:sz w:val="24"/>
          <w:lang w:val="es-ES"/>
        </w:rPr>
        <w:t>La Comisionada</w:t>
      </w:r>
      <w:r w:rsidR="004B7E50" w:rsidRPr="004B7E50">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37E79">
        <w:rPr>
          <w:rFonts w:ascii="Palatino Linotype" w:eastAsia="Calibri" w:hAnsi="Palatino Linotype" w:cs="Arial"/>
          <w:sz w:val="24"/>
          <w:lang w:val="es-ES"/>
        </w:rPr>
        <w:t>diecisiete</w:t>
      </w:r>
      <w:r w:rsidR="004B7E50" w:rsidRPr="004B7E50">
        <w:rPr>
          <w:rFonts w:ascii="Palatino Linotype" w:eastAsia="Calibri" w:hAnsi="Palatino Linotype" w:cs="Arial"/>
          <w:sz w:val="24"/>
          <w:lang w:val="es-ES"/>
        </w:rPr>
        <w:t xml:space="preserve"> (</w:t>
      </w:r>
      <w:r w:rsidR="00337E79">
        <w:rPr>
          <w:rFonts w:ascii="Palatino Linotype" w:eastAsia="Calibri" w:hAnsi="Palatino Linotype" w:cs="Arial"/>
          <w:sz w:val="24"/>
          <w:lang w:val="es-ES"/>
        </w:rPr>
        <w:t>17</w:t>
      </w:r>
      <w:r w:rsidR="004B7E50" w:rsidRPr="004B7E50">
        <w:rPr>
          <w:rFonts w:ascii="Palatino Linotype" w:eastAsia="Calibri" w:hAnsi="Palatino Linotype" w:cs="Arial"/>
          <w:sz w:val="24"/>
          <w:lang w:val="es-ES"/>
        </w:rPr>
        <w:t xml:space="preserve">) de </w:t>
      </w:r>
      <w:r w:rsidR="001032BC">
        <w:rPr>
          <w:rFonts w:ascii="Palatino Linotype" w:eastAsia="Calibri" w:hAnsi="Palatino Linotype" w:cs="Arial"/>
          <w:sz w:val="24"/>
          <w:lang w:val="es-ES"/>
        </w:rPr>
        <w:t>septiembre</w:t>
      </w:r>
      <w:r w:rsidR="004B7E50" w:rsidRPr="004B7E50">
        <w:rPr>
          <w:rFonts w:ascii="Palatino Linotype" w:eastAsia="Calibri" w:hAnsi="Palatino Linotype" w:cs="Arial"/>
          <w:sz w:val="24"/>
          <w:lang w:val="es-ES"/>
        </w:rPr>
        <w:t xml:space="preserve"> de dos mil veintiuno, puso a disposición de las partes el expediente electrónico </w:t>
      </w:r>
      <w:r w:rsidR="004B7E50" w:rsidRPr="004B7E50">
        <w:rPr>
          <w:rFonts w:ascii="Palatino Linotype" w:eastAsia="Calibri" w:hAnsi="Palatino Linotype" w:cs="Arial"/>
          <w:sz w:val="24"/>
        </w:rPr>
        <w:t xml:space="preserve">vía </w:t>
      </w:r>
      <w:r w:rsidR="004B7E50" w:rsidRPr="004B7E50">
        <w:rPr>
          <w:rFonts w:ascii="Palatino Linotype" w:eastAsia="Calibri" w:hAnsi="Palatino Linotype" w:cs="Arial"/>
          <w:b/>
          <w:sz w:val="24"/>
          <w:lang w:val="es-ES"/>
        </w:rPr>
        <w:t xml:space="preserve">SAIMEX </w:t>
      </w:r>
      <w:r w:rsidR="004B7E50" w:rsidRPr="004B7E5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4B7E50" w:rsidRPr="004B7E50">
        <w:rPr>
          <w:rFonts w:ascii="Palatino Linotype" w:eastAsia="Calibri" w:hAnsi="Palatino Linotype" w:cs="Arial"/>
          <w:b/>
          <w:sz w:val="24"/>
          <w:lang w:val="es-ES"/>
        </w:rPr>
        <w:t>SUJETO OBLIGADO</w:t>
      </w:r>
      <w:r w:rsidR="004B7E50" w:rsidRPr="004B7E50">
        <w:rPr>
          <w:rFonts w:ascii="Palatino Linotype" w:eastAsia="Calibri" w:hAnsi="Palatino Linotype" w:cs="Arial"/>
          <w:sz w:val="24"/>
          <w:lang w:val="es-ES"/>
        </w:rPr>
        <w:t xml:space="preserve"> presentara el informe justificado procedente.</w:t>
      </w:r>
    </w:p>
    <w:p w14:paraId="687AF840" w14:textId="77777777" w:rsidR="004B7E50" w:rsidRPr="004B7E50" w:rsidRDefault="004B7E50" w:rsidP="004B7E50">
      <w:pPr>
        <w:pStyle w:val="Prrafodelista"/>
        <w:rPr>
          <w:rFonts w:ascii="Palatino Linotype" w:hAnsi="Palatino Linotype"/>
          <w:i/>
          <w:color w:val="000000"/>
          <w:sz w:val="24"/>
        </w:rPr>
      </w:pPr>
    </w:p>
    <w:p w14:paraId="5092A63C" w14:textId="6A87D443" w:rsidR="004B7E50" w:rsidRPr="001032BC" w:rsidRDefault="004B7E50" w:rsidP="001032BC">
      <w:pPr>
        <w:pStyle w:val="Prrafodelista"/>
        <w:numPr>
          <w:ilvl w:val="0"/>
          <w:numId w:val="3"/>
        </w:numPr>
        <w:spacing w:before="240" w:after="240" w:line="360" w:lineRule="auto"/>
        <w:ind w:left="0" w:firstLine="0"/>
        <w:jc w:val="both"/>
        <w:rPr>
          <w:rFonts w:ascii="Palatino Linotype" w:hAnsi="Palatino Linotype"/>
          <w:b/>
          <w:i/>
          <w:color w:val="000000"/>
          <w:sz w:val="24"/>
        </w:rPr>
      </w:pPr>
      <w:r w:rsidRPr="004B7E50">
        <w:rPr>
          <w:rFonts w:ascii="Palatino Linotype" w:hAnsi="Palatino Linotype"/>
          <w:iCs/>
          <w:color w:val="000000"/>
          <w:sz w:val="24"/>
        </w:rPr>
        <w:t xml:space="preserve">De las constancias que obran en el expediente electrónico del SAIMEX se aprecia que el Sujeto Obligado en fecha </w:t>
      </w:r>
      <w:r w:rsidR="00337E79">
        <w:rPr>
          <w:rFonts w:ascii="Palatino Linotype" w:hAnsi="Palatino Linotype"/>
          <w:iCs/>
          <w:color w:val="000000"/>
          <w:sz w:val="24"/>
        </w:rPr>
        <w:t>veintitrés</w:t>
      </w:r>
      <w:r w:rsidRPr="004B7E50">
        <w:rPr>
          <w:rFonts w:ascii="Palatino Linotype" w:hAnsi="Palatino Linotype"/>
          <w:iCs/>
          <w:color w:val="000000"/>
          <w:sz w:val="24"/>
        </w:rPr>
        <w:t xml:space="preserve"> (</w:t>
      </w:r>
      <w:r w:rsidR="00337E79">
        <w:rPr>
          <w:rFonts w:ascii="Palatino Linotype" w:hAnsi="Palatino Linotype"/>
          <w:iCs/>
          <w:color w:val="000000"/>
          <w:sz w:val="24"/>
        </w:rPr>
        <w:t>23</w:t>
      </w:r>
      <w:r w:rsidRPr="004B7E50">
        <w:rPr>
          <w:rFonts w:ascii="Palatino Linotype" w:hAnsi="Palatino Linotype"/>
          <w:iCs/>
          <w:color w:val="000000"/>
          <w:sz w:val="24"/>
        </w:rPr>
        <w:t xml:space="preserve">) de septiembre de dos mil veintiuno, remitió </w:t>
      </w:r>
      <w:r w:rsidR="00337E79">
        <w:rPr>
          <w:rFonts w:ascii="Palatino Linotype" w:hAnsi="Palatino Linotype"/>
          <w:iCs/>
          <w:color w:val="000000"/>
          <w:sz w:val="24"/>
        </w:rPr>
        <w:t>el documento</w:t>
      </w:r>
      <w:r w:rsidRPr="004B7E50">
        <w:rPr>
          <w:rFonts w:ascii="Palatino Linotype" w:hAnsi="Palatino Linotype"/>
          <w:iCs/>
          <w:color w:val="000000"/>
          <w:sz w:val="24"/>
        </w:rPr>
        <w:t xml:space="preserve"> </w:t>
      </w:r>
      <w:r w:rsidR="00337E79">
        <w:rPr>
          <w:rFonts w:ascii="Palatino Linotype" w:hAnsi="Palatino Linotype"/>
          <w:iCs/>
          <w:color w:val="000000"/>
          <w:sz w:val="24"/>
        </w:rPr>
        <w:t xml:space="preserve">electrónico </w:t>
      </w:r>
      <w:r w:rsidRPr="004B7E50">
        <w:rPr>
          <w:rFonts w:ascii="Palatino Linotype" w:hAnsi="Palatino Linotype"/>
          <w:iCs/>
          <w:color w:val="000000"/>
          <w:sz w:val="24"/>
        </w:rPr>
        <w:t xml:space="preserve">denominados </w:t>
      </w:r>
      <w:r w:rsidR="00337E79" w:rsidRPr="00337E79">
        <w:rPr>
          <w:rFonts w:ascii="Palatino Linotype" w:hAnsi="Palatino Linotype"/>
          <w:b/>
          <w:i/>
          <w:iCs/>
          <w:color w:val="000000"/>
          <w:sz w:val="24"/>
        </w:rPr>
        <w:t>SEGPUB_358_2021.PDF</w:t>
      </w:r>
      <w:r w:rsidR="001032BC">
        <w:rPr>
          <w:rFonts w:ascii="Palatino Linotype" w:hAnsi="Palatino Linotype"/>
          <w:b/>
          <w:i/>
          <w:color w:val="000000"/>
          <w:sz w:val="24"/>
        </w:rPr>
        <w:t xml:space="preserve">, </w:t>
      </w:r>
      <w:r w:rsidR="00337E79">
        <w:rPr>
          <w:rFonts w:ascii="Palatino Linotype" w:hAnsi="Palatino Linotype"/>
          <w:color w:val="000000"/>
          <w:sz w:val="24"/>
        </w:rPr>
        <w:t>el cual se</w:t>
      </w:r>
      <w:r w:rsidRPr="001032BC">
        <w:rPr>
          <w:rFonts w:ascii="Palatino Linotype" w:hAnsi="Palatino Linotype"/>
          <w:iCs/>
          <w:color w:val="000000"/>
          <w:sz w:val="24"/>
        </w:rPr>
        <w:t xml:space="preserve"> pus</w:t>
      </w:r>
      <w:r w:rsidR="00337E79">
        <w:rPr>
          <w:rFonts w:ascii="Palatino Linotype" w:hAnsi="Palatino Linotype"/>
          <w:iCs/>
          <w:color w:val="000000"/>
          <w:sz w:val="24"/>
        </w:rPr>
        <w:t>o</w:t>
      </w:r>
      <w:r w:rsidRPr="001032BC">
        <w:rPr>
          <w:rFonts w:ascii="Palatino Linotype" w:hAnsi="Palatino Linotype"/>
          <w:iCs/>
          <w:color w:val="000000"/>
          <w:sz w:val="24"/>
        </w:rPr>
        <w:t xml:space="preserve"> a la vista del Recurrente el </w:t>
      </w:r>
      <w:r w:rsidR="00337E79">
        <w:rPr>
          <w:rFonts w:ascii="Palatino Linotype" w:hAnsi="Palatino Linotype"/>
          <w:iCs/>
          <w:color w:val="000000"/>
          <w:sz w:val="24"/>
        </w:rPr>
        <w:t>veintiocho</w:t>
      </w:r>
      <w:r w:rsidRPr="001032BC">
        <w:rPr>
          <w:rFonts w:ascii="Palatino Linotype" w:hAnsi="Palatino Linotype"/>
          <w:iCs/>
          <w:color w:val="000000"/>
          <w:sz w:val="24"/>
        </w:rPr>
        <w:t xml:space="preserve"> (</w:t>
      </w:r>
      <w:r w:rsidR="00337E79">
        <w:rPr>
          <w:rFonts w:ascii="Palatino Linotype" w:hAnsi="Palatino Linotype"/>
          <w:iCs/>
          <w:color w:val="000000"/>
          <w:sz w:val="24"/>
        </w:rPr>
        <w:t>28</w:t>
      </w:r>
      <w:r w:rsidRPr="001032BC">
        <w:rPr>
          <w:rFonts w:ascii="Palatino Linotype" w:hAnsi="Palatino Linotype"/>
          <w:iCs/>
          <w:color w:val="000000"/>
          <w:sz w:val="24"/>
        </w:rPr>
        <w:t xml:space="preserve">) de </w:t>
      </w:r>
      <w:r w:rsidR="00337E79">
        <w:rPr>
          <w:rFonts w:ascii="Palatino Linotype" w:hAnsi="Palatino Linotype"/>
          <w:iCs/>
          <w:color w:val="000000"/>
          <w:sz w:val="24"/>
        </w:rPr>
        <w:t>septiembre</w:t>
      </w:r>
      <w:r w:rsidRPr="001032BC">
        <w:rPr>
          <w:rFonts w:ascii="Palatino Linotype" w:hAnsi="Palatino Linotype"/>
          <w:iCs/>
          <w:color w:val="000000"/>
          <w:sz w:val="24"/>
        </w:rPr>
        <w:t xml:space="preserve"> de dos mil veintiuno; sin embargo su contenido medular es el siguiente:</w:t>
      </w:r>
    </w:p>
    <w:p w14:paraId="250036B9" w14:textId="77777777" w:rsidR="004B7E50" w:rsidRPr="004B7E50" w:rsidRDefault="004B7E50" w:rsidP="004B7E50">
      <w:pPr>
        <w:pStyle w:val="Prrafodelista"/>
        <w:rPr>
          <w:rFonts w:ascii="Palatino Linotype" w:hAnsi="Palatino Linotype"/>
          <w:i/>
          <w:color w:val="000000"/>
          <w:sz w:val="24"/>
        </w:rPr>
      </w:pPr>
    </w:p>
    <w:p w14:paraId="240D3D46" w14:textId="1E9D2A92" w:rsidR="00337E79" w:rsidRPr="00337E79" w:rsidRDefault="00337E79" w:rsidP="00337E79">
      <w:pPr>
        <w:pStyle w:val="Prrafodelista"/>
        <w:numPr>
          <w:ilvl w:val="0"/>
          <w:numId w:val="18"/>
        </w:numPr>
        <w:spacing w:line="360" w:lineRule="auto"/>
        <w:ind w:left="709"/>
        <w:jc w:val="both"/>
        <w:rPr>
          <w:rFonts w:ascii="Palatino Linotype" w:hAnsi="Palatino Linotype" w:cs="Arial"/>
          <w:color w:val="222222"/>
          <w:sz w:val="24"/>
        </w:rPr>
      </w:pPr>
      <w:r w:rsidRPr="00337E79">
        <w:rPr>
          <w:rFonts w:ascii="Palatino Linotype" w:hAnsi="Palatino Linotype"/>
          <w:b/>
          <w:i/>
          <w:iCs/>
          <w:color w:val="000000"/>
          <w:sz w:val="24"/>
        </w:rPr>
        <w:t>SEGPUB_358_2021.PDF</w:t>
      </w:r>
      <w:r>
        <w:rPr>
          <w:rFonts w:ascii="Palatino Linotype" w:hAnsi="Palatino Linotype"/>
          <w:b/>
          <w:iCs/>
          <w:color w:val="000000"/>
          <w:sz w:val="24"/>
        </w:rPr>
        <w:t xml:space="preserve">: </w:t>
      </w:r>
      <w:r w:rsidRPr="00337E79">
        <w:rPr>
          <w:rFonts w:ascii="Palatino Linotype" w:hAnsi="Palatino Linotype"/>
          <w:bCs/>
          <w:iCs/>
          <w:color w:val="000000"/>
          <w:sz w:val="24"/>
        </w:rPr>
        <w:t xml:space="preserve">Oficio </w:t>
      </w:r>
      <w:r w:rsidRPr="00337E79">
        <w:rPr>
          <w:rFonts w:ascii="Palatino Linotype" w:hAnsi="Palatino Linotype"/>
          <w:b/>
          <w:bCs/>
          <w:iCs/>
          <w:color w:val="000000"/>
          <w:sz w:val="24"/>
        </w:rPr>
        <w:t>SEG.PUB/335/2021</w:t>
      </w:r>
      <w:r w:rsidRPr="00337E79">
        <w:rPr>
          <w:rFonts w:ascii="Palatino Linotype" w:hAnsi="Palatino Linotype"/>
          <w:bCs/>
          <w:iCs/>
          <w:color w:val="000000"/>
          <w:sz w:val="24"/>
        </w:rPr>
        <w:t xml:space="preserve"> suscrito por el Director de Seguridad Pública, Protección Civi</w:t>
      </w:r>
      <w:r>
        <w:rPr>
          <w:rFonts w:ascii="Palatino Linotype" w:hAnsi="Palatino Linotype"/>
          <w:bCs/>
          <w:iCs/>
          <w:color w:val="000000"/>
          <w:sz w:val="24"/>
        </w:rPr>
        <w:t>l y Bomberos, mediante el cual ratifica la respuesta consistente en que</w:t>
      </w:r>
      <w:r w:rsidRPr="00337E79">
        <w:rPr>
          <w:rFonts w:ascii="Palatino Linotype" w:hAnsi="Palatino Linotype"/>
          <w:bCs/>
          <w:iCs/>
          <w:color w:val="000000"/>
          <w:sz w:val="24"/>
        </w:rPr>
        <w:t>, se ha observado a personal civil a bordo de unidades oficiales (patrullas) debido a que se realizan puestas a disposición en la Fiscalía General de Justicia del Municipio de Atlacomulco; asimismo, se realiza apoyo de traslado a los ciudadanos para realizar la entrega de documentación en las oficinas de Derechos Humanos ubicadas en el Municipio de Atlacomulco, con fundamento en el artículo 21 de la Constitución Política del Estado de México y el artículo 249 fracción X y XIV del Bando Municipal.</w:t>
      </w:r>
    </w:p>
    <w:p w14:paraId="248AA1D8" w14:textId="77777777" w:rsidR="00337E79" w:rsidRPr="00337E79" w:rsidRDefault="00337E79" w:rsidP="00337E79">
      <w:pPr>
        <w:pStyle w:val="Prrafodelista"/>
        <w:spacing w:line="360" w:lineRule="auto"/>
        <w:ind w:left="709"/>
        <w:jc w:val="both"/>
        <w:rPr>
          <w:rFonts w:ascii="Palatino Linotype" w:hAnsi="Palatino Linotype" w:cs="Arial"/>
          <w:color w:val="222222"/>
          <w:sz w:val="24"/>
        </w:rPr>
      </w:pPr>
    </w:p>
    <w:p w14:paraId="3506933F" w14:textId="2CE2DF95" w:rsidR="004B7E50" w:rsidRPr="00337E79" w:rsidRDefault="001F1126" w:rsidP="004B7E50">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w:t>
      </w:r>
      <w:r w:rsidR="00337E79">
        <w:rPr>
          <w:rFonts w:ascii="Palatino Linotype" w:eastAsia="Calibri" w:hAnsi="Palatino Linotype" w:cs="Arial"/>
          <w:sz w:val="24"/>
          <w:lang w:val="es-ES"/>
        </w:rPr>
        <w:t>veinticinco</w:t>
      </w:r>
      <w:r>
        <w:rPr>
          <w:rFonts w:ascii="Palatino Linotype" w:eastAsia="Calibri" w:hAnsi="Palatino Linotype" w:cs="Arial"/>
          <w:sz w:val="24"/>
          <w:lang w:val="es-ES"/>
        </w:rPr>
        <w:t xml:space="preserve"> (</w:t>
      </w:r>
      <w:r w:rsidR="00337E79">
        <w:rPr>
          <w:rFonts w:ascii="Palatino Linotype" w:eastAsia="Calibri" w:hAnsi="Palatino Linotype" w:cs="Arial"/>
          <w:sz w:val="24"/>
          <w:lang w:val="es-ES"/>
        </w:rPr>
        <w:t>25</w:t>
      </w:r>
      <w:r>
        <w:rPr>
          <w:rFonts w:ascii="Palatino Linotype" w:eastAsia="Calibri" w:hAnsi="Palatino Linotype" w:cs="Arial"/>
          <w:sz w:val="24"/>
          <w:lang w:val="es-ES"/>
        </w:rPr>
        <w:t xml:space="preserve">) de octubre de dos mil veintiuno, se notificó el acuerdo mediante el cual se amplió por un periodo de quince (15) días el plazo para emitir resolución. </w:t>
      </w:r>
      <w:r w:rsidR="00337E79">
        <w:rPr>
          <w:rFonts w:ascii="Palatino Linotype" w:eastAsia="Calibri" w:hAnsi="Palatino Linotype" w:cs="Arial"/>
          <w:sz w:val="24"/>
          <w:lang w:val="es-ES"/>
        </w:rPr>
        <w:t xml:space="preserve">Asimismo, </w:t>
      </w:r>
      <w:r w:rsidR="00DB5A51">
        <w:rPr>
          <w:rFonts w:ascii="Palatino Linotype" w:eastAsia="Calibri" w:hAnsi="Palatino Linotype" w:cs="Arial"/>
          <w:sz w:val="24"/>
          <w:lang w:val="es-ES"/>
        </w:rPr>
        <w:t>la</w:t>
      </w:r>
      <w:r w:rsidR="00DB5A51">
        <w:rPr>
          <w:rFonts w:ascii="Palatino Linotype" w:hAnsi="Palatino Linotype"/>
          <w:sz w:val="24"/>
        </w:rPr>
        <w:t xml:space="preserve"> Comisionada</w:t>
      </w:r>
      <w:r w:rsidR="004B7E50" w:rsidRPr="004B7E50">
        <w:rPr>
          <w:rFonts w:ascii="Palatino Linotype" w:hAnsi="Palatino Linotype"/>
          <w:sz w:val="24"/>
        </w:rPr>
        <w:t xml:space="preserve"> Ponente decretó el cierre de instrucción</w:t>
      </w:r>
      <w:r w:rsidR="004B7E50" w:rsidRPr="004B7E50">
        <w:rPr>
          <w:rFonts w:ascii="Palatino Linotype" w:hAnsi="Palatino Linotype" w:cs="Arial"/>
          <w:sz w:val="24"/>
        </w:rPr>
        <w:t xml:space="preserve"> para emitir su resolución, </w:t>
      </w:r>
      <w:r w:rsidR="004B7E50" w:rsidRPr="004B7E50">
        <w:rPr>
          <w:rFonts w:ascii="Palatino Linotype" w:hAnsi="Palatino Linotype" w:cs="Arial"/>
          <w:color w:val="000000" w:themeColor="text1"/>
          <w:sz w:val="24"/>
        </w:rPr>
        <w:t xml:space="preserve">y - - - - - - - - - - - </w:t>
      </w:r>
      <w:r w:rsidR="004B7E50" w:rsidRPr="004B7E50">
        <w:rPr>
          <w:rFonts w:ascii="Palatino Linotype" w:hAnsi="Palatino Linotype" w:cs="Arial"/>
          <w:sz w:val="24"/>
        </w:rPr>
        <w:t>- - - - - - - - - - - - - - - - - - -</w:t>
      </w:r>
      <w:r w:rsidR="004B7E50" w:rsidRPr="004B7E50">
        <w:rPr>
          <w:rFonts w:ascii="Palatino Linotype" w:hAnsi="Palatino Linotype" w:cs="Tahoma"/>
          <w:sz w:val="24"/>
        </w:rPr>
        <w:t xml:space="preserve"> </w:t>
      </w:r>
      <w:r w:rsidR="004B7E50" w:rsidRPr="004B7E50">
        <w:rPr>
          <w:rFonts w:ascii="Palatino Linotype" w:hAnsi="Palatino Linotype" w:cs="Arial"/>
          <w:sz w:val="24"/>
        </w:rPr>
        <w:t xml:space="preserve">- - - - - -- - - - - -- - - - - - - - - - - - - - - - - - - - - - - - - - - - - - - - - - </w:t>
      </w:r>
      <w:r w:rsidR="00FB5453">
        <w:rPr>
          <w:rFonts w:ascii="Palatino Linotype" w:hAnsi="Palatino Linotype" w:cs="Arial"/>
          <w:sz w:val="24"/>
        </w:rPr>
        <w:t xml:space="preserve"> - - - - - - - - - </w:t>
      </w:r>
      <w:r>
        <w:rPr>
          <w:rFonts w:ascii="Palatino Linotype" w:hAnsi="Palatino Linotype" w:cs="Arial"/>
          <w:sz w:val="24"/>
        </w:rPr>
        <w:t xml:space="preserve">- - - - - - - - </w:t>
      </w:r>
      <w:r w:rsidR="00337E79">
        <w:rPr>
          <w:rFonts w:ascii="Palatino Linotype" w:hAnsi="Palatino Linotype" w:cs="Arial"/>
          <w:sz w:val="24"/>
        </w:rPr>
        <w:t xml:space="preserve">- - - - - - - - - - - - - - - - - - - </w:t>
      </w:r>
    </w:p>
    <w:p w14:paraId="2A37AB1D" w14:textId="77777777" w:rsidR="00337E79" w:rsidRDefault="00337E79" w:rsidP="00337E79">
      <w:pPr>
        <w:spacing w:line="360" w:lineRule="auto"/>
        <w:jc w:val="both"/>
        <w:rPr>
          <w:rFonts w:ascii="Palatino Linotype" w:hAnsi="Palatino Linotype" w:cs="Tahoma"/>
          <w:sz w:val="24"/>
        </w:rPr>
      </w:pPr>
    </w:p>
    <w:p w14:paraId="2C3ED1FF" w14:textId="77777777" w:rsidR="00337E79" w:rsidRPr="00337E79" w:rsidRDefault="00337E79" w:rsidP="00337E79">
      <w:pPr>
        <w:spacing w:line="360" w:lineRule="auto"/>
        <w:jc w:val="both"/>
        <w:rPr>
          <w:rFonts w:ascii="Palatino Linotype" w:hAnsi="Palatino Linotype" w:cs="Tahoma"/>
          <w:sz w:val="24"/>
        </w:rPr>
      </w:pPr>
    </w:p>
    <w:p w14:paraId="688C99A8" w14:textId="77777777" w:rsidR="004B7E50" w:rsidRPr="004B7E50" w:rsidRDefault="004B7E50" w:rsidP="004B7E50">
      <w:pPr>
        <w:pStyle w:val="Ttulo1"/>
        <w:jc w:val="center"/>
        <w:rPr>
          <w:rFonts w:ascii="Palatino Linotype" w:hAnsi="Palatino Linotype"/>
          <w:b/>
          <w:color w:val="auto"/>
          <w:sz w:val="24"/>
          <w:szCs w:val="24"/>
        </w:rPr>
      </w:pPr>
      <w:bookmarkStart w:id="5" w:name="_Toc86227407"/>
      <w:r w:rsidRPr="004B7E50">
        <w:rPr>
          <w:rFonts w:ascii="Palatino Linotype" w:hAnsi="Palatino Linotype"/>
          <w:b/>
          <w:color w:val="auto"/>
          <w:sz w:val="24"/>
          <w:szCs w:val="24"/>
        </w:rPr>
        <w:lastRenderedPageBreak/>
        <w:t>CONSIDERANDO</w:t>
      </w:r>
      <w:bookmarkEnd w:id="5"/>
      <w:r w:rsidRPr="004B7E50">
        <w:rPr>
          <w:rFonts w:ascii="Palatino Linotype" w:hAnsi="Palatino Linotype"/>
          <w:b/>
          <w:color w:val="auto"/>
          <w:sz w:val="24"/>
          <w:szCs w:val="24"/>
        </w:rPr>
        <w:t xml:space="preserve"> </w:t>
      </w:r>
    </w:p>
    <w:p w14:paraId="74EFB917" w14:textId="77777777" w:rsidR="004B7E50" w:rsidRPr="004B7E50" w:rsidRDefault="004B7E50" w:rsidP="004B7E50">
      <w:pPr>
        <w:rPr>
          <w:rFonts w:ascii="Palatino Linotype" w:hAnsi="Palatino Linotype"/>
          <w:sz w:val="24"/>
          <w:szCs w:val="24"/>
          <w:lang w:eastAsia="en-US"/>
        </w:rPr>
      </w:pPr>
    </w:p>
    <w:p w14:paraId="2B9C993F" w14:textId="77777777" w:rsidR="004B7E50" w:rsidRPr="004B7E50" w:rsidRDefault="004B7E50" w:rsidP="004B7E50">
      <w:pPr>
        <w:pStyle w:val="Ttulo2"/>
        <w:rPr>
          <w:rFonts w:ascii="Palatino Linotype" w:hAnsi="Palatino Linotype"/>
          <w:b/>
          <w:bCs/>
          <w:color w:val="auto"/>
          <w:spacing w:val="60"/>
          <w:sz w:val="24"/>
          <w:szCs w:val="24"/>
        </w:rPr>
      </w:pPr>
      <w:bookmarkStart w:id="6" w:name="_Toc86227408"/>
      <w:r w:rsidRPr="004B7E50">
        <w:rPr>
          <w:rFonts w:ascii="Palatino Linotype" w:hAnsi="Palatino Linotype"/>
          <w:b/>
          <w:color w:val="auto"/>
          <w:sz w:val="24"/>
          <w:szCs w:val="24"/>
        </w:rPr>
        <w:t>PRIMERO. De la competencia</w:t>
      </w:r>
      <w:bookmarkEnd w:id="6"/>
    </w:p>
    <w:p w14:paraId="31AFE353" w14:textId="196E601A"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7E50">
        <w:rPr>
          <w:rFonts w:ascii="Palatino Linotype" w:eastAsia="Calibri" w:hAnsi="Palatino Linotype"/>
          <w:b/>
          <w:sz w:val="24"/>
          <w:lang w:val="es-ES"/>
        </w:rPr>
        <w:t>Constitución Política de los Estados Unidos Mexicanos</w:t>
      </w:r>
      <w:r w:rsidR="001F1126">
        <w:rPr>
          <w:rFonts w:ascii="Palatino Linotype" w:eastAsia="Calibri" w:hAnsi="Palatino Linotype"/>
          <w:sz w:val="24"/>
          <w:lang w:val="es-ES"/>
        </w:rPr>
        <w:t>; 5, párrafos</w:t>
      </w:r>
      <w:r w:rsidRPr="004B7E50">
        <w:rPr>
          <w:rFonts w:ascii="Palatino Linotype" w:hAnsi="Palatino Linotype" w:cs="Arial"/>
          <w:bCs/>
          <w:color w:val="222222"/>
          <w:sz w:val="24"/>
          <w:lang w:val="es-ES"/>
        </w:rPr>
        <w:t>, trigésimo y trigésimo primero fracciones</w:t>
      </w:r>
      <w:r w:rsidRPr="004B7E50">
        <w:rPr>
          <w:rFonts w:ascii="Palatino Linotype" w:eastAsia="Calibri" w:hAnsi="Palatino Linotype"/>
          <w:sz w:val="24"/>
          <w:lang w:val="es-ES"/>
        </w:rPr>
        <w:t xml:space="preserve"> IV y V de la </w:t>
      </w:r>
      <w:r w:rsidRPr="004B7E50">
        <w:rPr>
          <w:rFonts w:ascii="Palatino Linotype" w:eastAsia="Calibri" w:hAnsi="Palatino Linotype"/>
          <w:b/>
          <w:sz w:val="24"/>
          <w:lang w:val="es-ES"/>
        </w:rPr>
        <w:t>Constitución Política del Estado Libre y Soberano de México</w:t>
      </w:r>
      <w:r w:rsidRPr="004B7E50">
        <w:rPr>
          <w:rFonts w:ascii="Palatino Linotype" w:eastAsia="Calibri" w:hAnsi="Palatino Linotype"/>
          <w:sz w:val="24"/>
          <w:lang w:val="es-ES"/>
        </w:rPr>
        <w:t xml:space="preserve">; artículos 1, 2 fracción II, 13, 29, 36 fracciones I y II, 176, 178, 179, 181 párrafo tercero y 185 </w:t>
      </w:r>
      <w:r w:rsidRPr="004B7E50">
        <w:rPr>
          <w:rFonts w:ascii="Palatino Linotype" w:eastAsia="Calibri" w:hAnsi="Palatino Linotype" w:cs="Arial"/>
          <w:sz w:val="24"/>
          <w:lang w:val="es-ES"/>
        </w:rPr>
        <w:t xml:space="preserve">de la </w:t>
      </w:r>
      <w:r w:rsidRPr="004B7E50">
        <w:rPr>
          <w:rFonts w:ascii="Palatino Linotype" w:eastAsia="Calibri" w:hAnsi="Palatino Linotype" w:cs="Arial"/>
          <w:b/>
          <w:sz w:val="24"/>
          <w:lang w:val="es-ES"/>
        </w:rPr>
        <w:t>Ley de Transparencia y Acceso a la Información Pública del Estado de México y Municipios</w:t>
      </w:r>
      <w:r w:rsidRPr="004B7E50">
        <w:rPr>
          <w:rFonts w:ascii="Palatino Linotype" w:eastAsia="Calibri" w:hAnsi="Palatino Linotype" w:cs="Arial"/>
          <w:sz w:val="24"/>
          <w:lang w:val="es-ES"/>
        </w:rPr>
        <w:t xml:space="preserve">; y 7, 9 fracciones I y XXIV, y 11 del </w:t>
      </w:r>
      <w:r w:rsidRPr="004B7E5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B7E50">
        <w:rPr>
          <w:rFonts w:ascii="Palatino Linotype" w:hAnsi="Palatino Linotype"/>
          <w:sz w:val="24"/>
        </w:rPr>
        <w:t>.</w:t>
      </w:r>
    </w:p>
    <w:p w14:paraId="43B0AE09" w14:textId="77777777" w:rsidR="004B7E50" w:rsidRPr="004B7E50" w:rsidRDefault="004B7E50" w:rsidP="004B7E50">
      <w:pPr>
        <w:pStyle w:val="Prrafodelista"/>
        <w:spacing w:before="240" w:after="240" w:line="360" w:lineRule="auto"/>
        <w:ind w:left="0"/>
        <w:jc w:val="both"/>
        <w:rPr>
          <w:rFonts w:ascii="Palatino Linotype" w:hAnsi="Palatino Linotype"/>
          <w:sz w:val="24"/>
        </w:rPr>
      </w:pPr>
    </w:p>
    <w:p w14:paraId="6C1162AA" w14:textId="77777777"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02F3F7" w14:textId="77777777" w:rsidR="004B7E50" w:rsidRPr="004B7E50" w:rsidRDefault="004B7E50" w:rsidP="004B7E50">
      <w:pPr>
        <w:pStyle w:val="Ttulo2"/>
        <w:rPr>
          <w:rFonts w:ascii="Palatino Linotype" w:hAnsi="Palatino Linotype"/>
          <w:b/>
          <w:color w:val="auto"/>
          <w:sz w:val="24"/>
          <w:szCs w:val="24"/>
        </w:rPr>
      </w:pPr>
      <w:bookmarkStart w:id="7" w:name="_Toc86227409"/>
      <w:r w:rsidRPr="004B7E50">
        <w:rPr>
          <w:rFonts w:ascii="Palatino Linotype" w:hAnsi="Palatino Linotype"/>
          <w:b/>
          <w:color w:val="auto"/>
          <w:sz w:val="24"/>
          <w:szCs w:val="24"/>
        </w:rPr>
        <w:lastRenderedPageBreak/>
        <w:t>SEGUNDO. De la oportunidad y procedencia.</w:t>
      </w:r>
      <w:bookmarkEnd w:id="7"/>
    </w:p>
    <w:p w14:paraId="76562D42" w14:textId="06CCE052"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 xml:space="preserve">El medio de impugnación fue presentado a través del </w:t>
      </w:r>
      <w:r w:rsidRPr="004B7E50">
        <w:rPr>
          <w:rFonts w:ascii="Palatino Linotype" w:eastAsia="Calibri" w:hAnsi="Palatino Linotype" w:cs="Arial"/>
          <w:b/>
          <w:sz w:val="24"/>
        </w:rPr>
        <w:t>SAIMEX,</w:t>
      </w:r>
      <w:r w:rsidRPr="004B7E50">
        <w:rPr>
          <w:rFonts w:ascii="Palatino Linotype" w:eastAsia="Calibri" w:hAnsi="Palatino Linotype" w:cs="Arial"/>
          <w:sz w:val="24"/>
        </w:rPr>
        <w:t xml:space="preserve"> en el formato previamente aprobado para tal efecto y dentro del plazo legal de quince días hábiles otorgados; siendo así que el </w:t>
      </w:r>
      <w:r w:rsidRPr="004B7E50">
        <w:rPr>
          <w:rFonts w:ascii="Palatino Linotype" w:eastAsia="Calibri" w:hAnsi="Palatino Linotype" w:cs="Arial"/>
          <w:b/>
          <w:sz w:val="24"/>
        </w:rPr>
        <w:t>SUJETO OBLIGADO</w:t>
      </w:r>
      <w:r w:rsidRPr="004B7E50">
        <w:rPr>
          <w:rFonts w:ascii="Palatino Linotype" w:eastAsia="Calibri" w:hAnsi="Palatino Linotype" w:cs="Arial"/>
          <w:sz w:val="24"/>
        </w:rPr>
        <w:t xml:space="preserve"> entregó respuesta a la solicitud el </w:t>
      </w:r>
      <w:r w:rsidR="000C7FF6">
        <w:rPr>
          <w:rFonts w:ascii="Palatino Linotype" w:eastAsia="Calibri" w:hAnsi="Palatino Linotype" w:cs="Arial"/>
          <w:sz w:val="24"/>
        </w:rPr>
        <w:t>siete</w:t>
      </w:r>
      <w:r w:rsidRPr="004B7E50">
        <w:rPr>
          <w:rFonts w:ascii="Palatino Linotype" w:eastAsia="Calibri" w:hAnsi="Palatino Linotype" w:cs="Arial"/>
          <w:sz w:val="24"/>
        </w:rPr>
        <w:t xml:space="preserve"> (7) de </w:t>
      </w:r>
      <w:r w:rsidR="00337E79">
        <w:rPr>
          <w:rFonts w:ascii="Palatino Linotype" w:eastAsia="Calibri" w:hAnsi="Palatino Linotype" w:cs="Arial"/>
          <w:sz w:val="24"/>
        </w:rPr>
        <w:t>septiembre</w:t>
      </w:r>
      <w:r w:rsidRPr="004B7E50">
        <w:rPr>
          <w:rFonts w:ascii="Palatino Linotype" w:eastAsia="Calibri" w:hAnsi="Palatino Linotype" w:cs="Arial"/>
          <w:sz w:val="24"/>
        </w:rPr>
        <w:t xml:space="preserve"> de dos mil veintiuno, </w:t>
      </w:r>
      <w:r w:rsidRPr="004B7E50">
        <w:rPr>
          <w:rFonts w:ascii="Palatino Linotype" w:hAnsi="Palatino Linotype" w:cs="Arial"/>
          <w:sz w:val="24"/>
        </w:rPr>
        <w:t xml:space="preserve">de tal forma que el plazo para interponer el recurso de revisión transcurrió del </w:t>
      </w:r>
      <w:r w:rsidR="00337E79">
        <w:rPr>
          <w:rFonts w:ascii="Palatino Linotype" w:hAnsi="Palatino Linotype" w:cs="Arial"/>
          <w:sz w:val="24"/>
        </w:rPr>
        <w:t>ocho</w:t>
      </w:r>
      <w:r w:rsidRPr="004B7E50">
        <w:rPr>
          <w:rFonts w:ascii="Palatino Linotype" w:hAnsi="Palatino Linotype" w:cs="Arial"/>
          <w:sz w:val="24"/>
        </w:rPr>
        <w:t xml:space="preserve"> (</w:t>
      </w:r>
      <w:r w:rsidR="00337E79">
        <w:rPr>
          <w:rFonts w:ascii="Palatino Linotype" w:hAnsi="Palatino Linotype" w:cs="Arial"/>
          <w:sz w:val="24"/>
        </w:rPr>
        <w:t>8</w:t>
      </w:r>
      <w:r w:rsidRPr="004B7E50">
        <w:rPr>
          <w:rFonts w:ascii="Palatino Linotype" w:hAnsi="Palatino Linotype" w:cs="Arial"/>
          <w:sz w:val="24"/>
        </w:rPr>
        <w:t xml:space="preserve">) </w:t>
      </w:r>
      <w:r w:rsidR="00337E79">
        <w:rPr>
          <w:rFonts w:ascii="Palatino Linotype" w:hAnsi="Palatino Linotype" w:cs="Arial"/>
          <w:sz w:val="24"/>
        </w:rPr>
        <w:t>al veintinueve</w:t>
      </w:r>
      <w:r w:rsidRPr="004B7E50">
        <w:rPr>
          <w:rFonts w:ascii="Palatino Linotype" w:hAnsi="Palatino Linotype" w:cs="Arial"/>
          <w:sz w:val="24"/>
        </w:rPr>
        <w:t xml:space="preserve"> (</w:t>
      </w:r>
      <w:r w:rsidR="000C7FF6">
        <w:rPr>
          <w:rFonts w:ascii="Palatino Linotype" w:hAnsi="Palatino Linotype" w:cs="Arial"/>
          <w:sz w:val="24"/>
        </w:rPr>
        <w:t>2</w:t>
      </w:r>
      <w:r w:rsidR="00337E79">
        <w:rPr>
          <w:rFonts w:ascii="Palatino Linotype" w:hAnsi="Palatino Linotype" w:cs="Arial"/>
          <w:sz w:val="24"/>
        </w:rPr>
        <w:t>9</w:t>
      </w:r>
      <w:r w:rsidRPr="004B7E50">
        <w:rPr>
          <w:rFonts w:ascii="Palatino Linotype" w:hAnsi="Palatino Linotype" w:cs="Arial"/>
          <w:sz w:val="24"/>
        </w:rPr>
        <w:t xml:space="preserve">) de septiembre de dos mil veintiuno; en consecuencia, presentó su inconformidad el día </w:t>
      </w:r>
      <w:r w:rsidR="00D46F02">
        <w:rPr>
          <w:rFonts w:ascii="Palatino Linotype" w:hAnsi="Palatino Linotype" w:cs="Arial"/>
          <w:sz w:val="24"/>
        </w:rPr>
        <w:t>once</w:t>
      </w:r>
      <w:r w:rsidRPr="004B7E50">
        <w:rPr>
          <w:rFonts w:ascii="Palatino Linotype" w:hAnsi="Palatino Linotype" w:cs="Arial"/>
          <w:sz w:val="24"/>
        </w:rPr>
        <w:t xml:space="preserve"> </w:t>
      </w:r>
      <w:r w:rsidRPr="004B7E50">
        <w:rPr>
          <w:rFonts w:ascii="Palatino Linotype" w:eastAsia="Calibri" w:hAnsi="Palatino Linotype" w:cs="Arial"/>
          <w:sz w:val="24"/>
        </w:rPr>
        <w:t>(</w:t>
      </w:r>
      <w:r w:rsidR="00D46F02">
        <w:rPr>
          <w:rFonts w:ascii="Palatino Linotype" w:eastAsia="Calibri" w:hAnsi="Palatino Linotype" w:cs="Arial"/>
          <w:sz w:val="24"/>
        </w:rPr>
        <w:t>11</w:t>
      </w:r>
      <w:r w:rsidRPr="004B7E50">
        <w:rPr>
          <w:rFonts w:ascii="Palatino Linotype" w:eastAsia="Calibri" w:hAnsi="Palatino Linotype" w:cs="Arial"/>
          <w:sz w:val="24"/>
        </w:rPr>
        <w:t xml:space="preserve">) de </w:t>
      </w:r>
      <w:r w:rsidR="00D46F02">
        <w:rPr>
          <w:rFonts w:ascii="Palatino Linotype" w:eastAsia="Calibri" w:hAnsi="Palatino Linotype" w:cs="Arial"/>
          <w:sz w:val="24"/>
        </w:rPr>
        <w:t>septiembre</w:t>
      </w:r>
      <w:r w:rsidRPr="004B7E50">
        <w:rPr>
          <w:rFonts w:ascii="Palatino Linotype" w:eastAsia="Calibri" w:hAnsi="Palatino Linotype" w:cs="Arial"/>
          <w:sz w:val="24"/>
        </w:rPr>
        <w:t xml:space="preserve"> de dos mil veintiuno</w:t>
      </w:r>
      <w:r w:rsidRPr="004B7E50">
        <w:rPr>
          <w:rFonts w:ascii="Palatino Linotype" w:hAnsi="Palatino Linotype" w:cs="Arial"/>
          <w:sz w:val="24"/>
        </w:rPr>
        <w:t xml:space="preserve">, por lo que se encuentra dentro de los márgenes temporales previstos en el artículo 178 de la </w:t>
      </w:r>
      <w:r w:rsidRPr="004B7E50">
        <w:rPr>
          <w:rFonts w:ascii="Palatino Linotype" w:hAnsi="Palatino Linotype" w:cs="Arial"/>
          <w:b/>
          <w:sz w:val="24"/>
        </w:rPr>
        <w:t>Ley de Transparencia y Acceso a la Información Pública del Estado de México y Municipios vigente.</w:t>
      </w:r>
    </w:p>
    <w:p w14:paraId="631337C8" w14:textId="77777777" w:rsidR="004B7E50" w:rsidRPr="004B7E50" w:rsidRDefault="004B7E50" w:rsidP="004B7E50">
      <w:pPr>
        <w:pStyle w:val="Prrafodelista"/>
        <w:spacing w:before="240" w:after="240" w:line="360" w:lineRule="auto"/>
        <w:ind w:left="0" w:right="49"/>
        <w:jc w:val="both"/>
        <w:rPr>
          <w:rFonts w:ascii="Palatino Linotype" w:hAnsi="Palatino Linotype"/>
          <w:sz w:val="24"/>
        </w:rPr>
      </w:pPr>
    </w:p>
    <w:p w14:paraId="734FE8C4" w14:textId="77777777"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A1A3BC" w14:textId="77777777" w:rsidR="004B7E50" w:rsidRPr="004B7E50" w:rsidRDefault="004B7E50" w:rsidP="004B7E50">
      <w:pPr>
        <w:pStyle w:val="Ttulo1"/>
        <w:rPr>
          <w:rFonts w:ascii="Palatino Linotype" w:eastAsia="MS Mincho" w:hAnsi="Palatino Linotype" w:cs="Times New Roman"/>
          <w:b/>
          <w:sz w:val="24"/>
          <w:szCs w:val="24"/>
        </w:rPr>
      </w:pPr>
      <w:bookmarkStart w:id="8" w:name="_Toc86227410"/>
      <w:r w:rsidRPr="004B7E50">
        <w:rPr>
          <w:rFonts w:ascii="Palatino Linotype" w:hAnsi="Palatino Linotype"/>
          <w:b/>
          <w:color w:val="auto"/>
          <w:sz w:val="24"/>
          <w:szCs w:val="24"/>
        </w:rPr>
        <w:t>TERCERO. Planteamiento de la Litis.</w:t>
      </w:r>
      <w:bookmarkEnd w:id="8"/>
      <w:r w:rsidRPr="004B7E50">
        <w:rPr>
          <w:rFonts w:ascii="Palatino Linotype" w:hAnsi="Palatino Linotype"/>
          <w:b/>
          <w:color w:val="auto"/>
          <w:sz w:val="24"/>
          <w:szCs w:val="24"/>
        </w:rPr>
        <w:t xml:space="preserve"> </w:t>
      </w:r>
    </w:p>
    <w:p w14:paraId="631338F0" w14:textId="4512A3AE" w:rsidR="004B7E50" w:rsidRPr="000C7FF6" w:rsidRDefault="004B7E50" w:rsidP="000C7FF6">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B7E50">
        <w:rPr>
          <w:rFonts w:ascii="Palatino Linotype" w:hAnsi="Palatino Linotype"/>
          <w:bCs/>
          <w:sz w:val="24"/>
        </w:rPr>
        <w:t>El recurrente solicitó</w:t>
      </w:r>
      <w:r w:rsidR="000C7FF6" w:rsidRPr="000C7FF6">
        <w:rPr>
          <w:rFonts w:ascii="Palatino Linotype" w:hAnsi="Palatino Linotype" w:cs="Arial"/>
          <w:sz w:val="24"/>
        </w:rPr>
        <w:t xml:space="preserve"> </w:t>
      </w:r>
      <w:r w:rsidRPr="000C7FF6">
        <w:rPr>
          <w:rFonts w:ascii="Palatino Linotype" w:hAnsi="Palatino Linotype"/>
          <w:bCs/>
          <w:sz w:val="24"/>
        </w:rPr>
        <w:t>lo siguiente:</w:t>
      </w:r>
    </w:p>
    <w:p w14:paraId="737C40A0" w14:textId="77777777" w:rsidR="004B7E50" w:rsidRPr="004B7E50" w:rsidRDefault="004B7E50" w:rsidP="004B7E50">
      <w:pPr>
        <w:pStyle w:val="Prrafodelista"/>
        <w:spacing w:before="240" w:after="240" w:line="360" w:lineRule="auto"/>
        <w:ind w:left="0" w:right="49"/>
        <w:jc w:val="both"/>
        <w:rPr>
          <w:rFonts w:ascii="Palatino Linotype" w:hAnsi="Palatino Linotype"/>
          <w:i/>
          <w:sz w:val="24"/>
          <w:lang w:eastAsia="es-MX"/>
        </w:rPr>
      </w:pPr>
    </w:p>
    <w:p w14:paraId="68CAB635" w14:textId="3FE20245" w:rsidR="00D46F02" w:rsidRDefault="00D46F02" w:rsidP="00D46F02">
      <w:pPr>
        <w:pStyle w:val="Prrafodelista"/>
        <w:spacing w:before="100" w:beforeAutospacing="1" w:after="100" w:afterAutospacing="1" w:line="360" w:lineRule="auto"/>
        <w:ind w:left="567" w:right="822"/>
        <w:jc w:val="both"/>
        <w:rPr>
          <w:rFonts w:ascii="Palatino Linotype" w:hAnsi="Palatino Linotype" w:cs="Arial"/>
          <w:sz w:val="24"/>
        </w:rPr>
      </w:pPr>
      <w:r>
        <w:rPr>
          <w:rFonts w:ascii="Palatino Linotype" w:hAnsi="Palatino Linotype"/>
          <w:i/>
          <w:lang w:eastAsia="es-MX"/>
        </w:rPr>
        <w:t>“</w:t>
      </w:r>
      <w:r w:rsidRPr="00533170">
        <w:rPr>
          <w:rFonts w:ascii="Palatino Linotype" w:hAnsi="Palatino Linotype"/>
          <w:i/>
          <w:lang w:eastAsia="es-MX"/>
        </w:rPr>
        <w:t>Con que fundamento legal y bajo qué criterio, el Director o Comisario de Seguridad Pública Municipal, utiliza las patrullas como vehículo particular, en el cual se ha observado que pasea con su familia en Atlacomulco, tanto en días festivos como en fines de semana.</w:t>
      </w:r>
      <w:r>
        <w:rPr>
          <w:rFonts w:ascii="Palatino Linotype" w:hAnsi="Palatino Linotype"/>
          <w:i/>
          <w:lang w:eastAsia="es-MX"/>
        </w:rPr>
        <w:t>”</w:t>
      </w:r>
    </w:p>
    <w:p w14:paraId="3FC3150A" w14:textId="77777777" w:rsidR="004B7E50" w:rsidRPr="004B7E50" w:rsidRDefault="004B7E50" w:rsidP="004B7E50">
      <w:pPr>
        <w:pStyle w:val="Prrafodelista"/>
        <w:spacing w:before="100" w:beforeAutospacing="1" w:after="100" w:afterAutospacing="1" w:line="360" w:lineRule="auto"/>
        <w:jc w:val="both"/>
        <w:rPr>
          <w:rFonts w:ascii="Palatino Linotype" w:hAnsi="Palatino Linotype" w:cs="Arial"/>
          <w:sz w:val="24"/>
        </w:rPr>
      </w:pPr>
    </w:p>
    <w:p w14:paraId="3A0AF467" w14:textId="71FE2CB4"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lastRenderedPageBreak/>
        <w:t xml:space="preserve">El </w:t>
      </w:r>
      <w:r w:rsidR="000C7FF6">
        <w:rPr>
          <w:rFonts w:ascii="Palatino Linotype" w:hAnsi="Palatino Linotype"/>
          <w:bCs/>
          <w:sz w:val="24"/>
        </w:rPr>
        <w:t>Sujeto Obligado manifestó que</w:t>
      </w:r>
      <w:r w:rsidR="00D46F02">
        <w:rPr>
          <w:rFonts w:ascii="Palatino Linotype" w:hAnsi="Palatino Linotype"/>
          <w:bCs/>
          <w:sz w:val="24"/>
        </w:rPr>
        <w:t xml:space="preserve"> los vehículos oficiales acuden al Municipio de Atlacomulco para presentar civiles a la Fiscalía General de Justicia y a las oficinas de Derechos Humanos, ambos ubicados en dicho municipio con fundamento en la Constitución Política del Estado Libre y Soberano de México artículo 21 y Bando Municipal artículo 249 fracciones X y XIV.</w:t>
      </w:r>
    </w:p>
    <w:p w14:paraId="514EF01B" w14:textId="77777777" w:rsidR="004B7E50" w:rsidRPr="004B7E50" w:rsidRDefault="004B7E50" w:rsidP="004B7E50">
      <w:pPr>
        <w:pStyle w:val="Prrafodelista"/>
        <w:spacing w:before="240" w:after="240" w:line="360" w:lineRule="auto"/>
        <w:ind w:left="0" w:right="49"/>
        <w:jc w:val="both"/>
        <w:rPr>
          <w:rFonts w:ascii="Palatino Linotype" w:hAnsi="Palatino Linotype"/>
          <w:bCs/>
          <w:sz w:val="24"/>
        </w:rPr>
      </w:pPr>
    </w:p>
    <w:p w14:paraId="5C5E09BC" w14:textId="0C7AE05B"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t xml:space="preserve">El recurrente se inconformó </w:t>
      </w:r>
      <w:r w:rsidR="00D46F02">
        <w:rPr>
          <w:rFonts w:ascii="Palatino Linotype" w:hAnsi="Palatino Linotype"/>
          <w:bCs/>
          <w:sz w:val="24"/>
        </w:rPr>
        <w:t>porque es el propio Director de Seguridad Pública quien se ha visto paseando a su familia en el Municipio de Atlacomulco y, son acciones que debe investigar y sancionar el Ayuntamiento.</w:t>
      </w:r>
    </w:p>
    <w:p w14:paraId="1EA8478B" w14:textId="77777777" w:rsidR="004B7E50" w:rsidRPr="004B7E50" w:rsidRDefault="004B7E50" w:rsidP="004B7E50">
      <w:pPr>
        <w:pStyle w:val="Prrafodelista"/>
        <w:rPr>
          <w:rFonts w:ascii="Palatino Linotype" w:hAnsi="Palatino Linotype"/>
          <w:bCs/>
          <w:sz w:val="24"/>
        </w:rPr>
      </w:pPr>
    </w:p>
    <w:p w14:paraId="38CD5598" w14:textId="2A7DCDCD" w:rsid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hAnsi="Palatino Linotype"/>
          <w:sz w:val="24"/>
        </w:rPr>
        <w:t>Por lo anterior, en este recurso de revisión se analizará si se actualiza la causal de p</w:t>
      </w:r>
      <w:r w:rsidR="00D46F02">
        <w:rPr>
          <w:rFonts w:ascii="Palatino Linotype" w:hAnsi="Palatino Linotype"/>
          <w:sz w:val="24"/>
        </w:rPr>
        <w:t xml:space="preserve">rocedencia de las fracciones I </w:t>
      </w:r>
      <w:r w:rsidRPr="004B7E50">
        <w:rPr>
          <w:rFonts w:ascii="Palatino Linotype" w:hAnsi="Palatino Linotype"/>
          <w:sz w:val="24"/>
        </w:rPr>
        <w:t xml:space="preserve">del artículo 179 de la Ley de Transparencia y Acceso a la Información Pública del Estado de México y Municipios, relativos a la negativa </w:t>
      </w:r>
      <w:bookmarkStart w:id="9" w:name="_Toc486525253"/>
      <w:r w:rsidR="00D46F02">
        <w:rPr>
          <w:rFonts w:ascii="Palatino Linotype" w:hAnsi="Palatino Linotype"/>
          <w:sz w:val="24"/>
        </w:rPr>
        <w:t>de la información.</w:t>
      </w:r>
    </w:p>
    <w:p w14:paraId="351B8271" w14:textId="77777777" w:rsidR="009918B6" w:rsidRPr="009918B6" w:rsidRDefault="009918B6" w:rsidP="009918B6">
      <w:pPr>
        <w:pStyle w:val="Prrafodelista"/>
        <w:rPr>
          <w:rFonts w:ascii="Palatino Linotype" w:hAnsi="Palatino Linotype"/>
          <w:sz w:val="24"/>
        </w:rPr>
      </w:pPr>
    </w:p>
    <w:p w14:paraId="5DB4018D" w14:textId="77777777" w:rsidR="004B7E50" w:rsidRPr="004B7E50" w:rsidRDefault="004B7E50" w:rsidP="004B7E50">
      <w:pPr>
        <w:pStyle w:val="Ttulo1"/>
        <w:spacing w:before="0" w:line="360" w:lineRule="auto"/>
        <w:rPr>
          <w:rFonts w:ascii="Palatino Linotype" w:hAnsi="Palatino Linotype"/>
          <w:b/>
          <w:color w:val="auto"/>
          <w:sz w:val="24"/>
          <w:szCs w:val="24"/>
        </w:rPr>
      </w:pPr>
      <w:bookmarkStart w:id="10" w:name="_Toc499201873"/>
      <w:bookmarkStart w:id="11" w:name="_Toc3372324"/>
      <w:bookmarkStart w:id="12" w:name="_Toc4061675"/>
      <w:bookmarkStart w:id="13" w:name="_Toc86227411"/>
      <w:bookmarkEnd w:id="9"/>
      <w:r w:rsidRPr="004B7E50">
        <w:rPr>
          <w:rFonts w:ascii="Palatino Linotype" w:hAnsi="Palatino Linotype"/>
          <w:b/>
          <w:color w:val="auto"/>
          <w:sz w:val="24"/>
          <w:szCs w:val="24"/>
        </w:rPr>
        <w:t>CUARTO. Estudio y resolución del asunto</w:t>
      </w:r>
      <w:bookmarkEnd w:id="10"/>
      <w:bookmarkEnd w:id="11"/>
      <w:bookmarkEnd w:id="12"/>
      <w:bookmarkEnd w:id="13"/>
    </w:p>
    <w:p w14:paraId="5DAC598F" w14:textId="77777777" w:rsidR="004B7E50" w:rsidRPr="004B7E50" w:rsidRDefault="004B7E50" w:rsidP="004B7E50">
      <w:pPr>
        <w:rPr>
          <w:rFonts w:ascii="Palatino Linotype" w:hAnsi="Palatino Linotype"/>
          <w:sz w:val="24"/>
          <w:szCs w:val="24"/>
          <w:lang w:eastAsia="en-US"/>
        </w:rPr>
      </w:pPr>
    </w:p>
    <w:p w14:paraId="3798A2DE" w14:textId="77777777" w:rsidR="005E0B56" w:rsidRPr="00380BDB" w:rsidRDefault="005E0B56" w:rsidP="005E0B56">
      <w:pPr>
        <w:pStyle w:val="Ttulo2"/>
        <w:numPr>
          <w:ilvl w:val="0"/>
          <w:numId w:val="32"/>
        </w:numPr>
        <w:spacing w:line="360" w:lineRule="auto"/>
        <w:rPr>
          <w:rFonts w:ascii="Palatino Linotype" w:hAnsi="Palatino Linotype"/>
          <w:b/>
          <w:color w:val="auto"/>
          <w:sz w:val="24"/>
        </w:rPr>
      </w:pPr>
      <w:bookmarkStart w:id="14" w:name="_Toc23418068"/>
      <w:bookmarkStart w:id="15" w:name="_Toc25251825"/>
      <w:bookmarkStart w:id="16" w:name="_Toc29923834"/>
      <w:bookmarkStart w:id="17" w:name="_Toc34936175"/>
      <w:bookmarkStart w:id="18" w:name="_Toc86077847"/>
      <w:bookmarkStart w:id="19" w:name="_Toc86227412"/>
      <w:bookmarkStart w:id="20" w:name="_Toc34911390"/>
      <w:r w:rsidRPr="00380BDB">
        <w:rPr>
          <w:rFonts w:ascii="Palatino Linotype" w:hAnsi="Palatino Linotype"/>
          <w:b/>
          <w:color w:val="auto"/>
          <w:sz w:val="24"/>
        </w:rPr>
        <w:t>Fuente Obligacional.</w:t>
      </w:r>
      <w:bookmarkEnd w:id="14"/>
      <w:bookmarkEnd w:id="15"/>
      <w:bookmarkEnd w:id="16"/>
      <w:bookmarkEnd w:id="17"/>
      <w:bookmarkEnd w:id="18"/>
      <w:bookmarkEnd w:id="19"/>
      <w:r w:rsidRPr="00380BDB">
        <w:rPr>
          <w:rFonts w:ascii="Palatino Linotype" w:hAnsi="Palatino Linotype"/>
          <w:b/>
          <w:color w:val="auto"/>
          <w:sz w:val="24"/>
        </w:rPr>
        <w:t xml:space="preserve"> </w:t>
      </w:r>
    </w:p>
    <w:p w14:paraId="75ACDE42" w14:textId="77777777" w:rsidR="005E0B56" w:rsidRPr="00380BDB" w:rsidRDefault="005E0B56" w:rsidP="005E0B56">
      <w:pPr>
        <w:rPr>
          <w:lang w:eastAsia="en-US"/>
        </w:rPr>
      </w:pPr>
    </w:p>
    <w:p w14:paraId="03D7925A" w14:textId="77777777" w:rsidR="005E0B56" w:rsidRPr="00380BDB" w:rsidRDefault="005E0B56" w:rsidP="005E0B56">
      <w:pPr>
        <w:pStyle w:val="Ttulo3"/>
        <w:numPr>
          <w:ilvl w:val="1"/>
          <w:numId w:val="2"/>
        </w:numPr>
        <w:rPr>
          <w:rFonts w:ascii="Palatino Linotype" w:hAnsi="Palatino Linotype"/>
          <w:b/>
          <w:color w:val="auto"/>
        </w:rPr>
      </w:pPr>
      <w:bookmarkStart w:id="21" w:name="_Toc23418069"/>
      <w:bookmarkStart w:id="22" w:name="_Toc25251826"/>
      <w:bookmarkStart w:id="23" w:name="_Toc29923835"/>
      <w:bookmarkStart w:id="24" w:name="_Toc34936176"/>
      <w:bookmarkStart w:id="25" w:name="_Toc86077848"/>
      <w:bookmarkStart w:id="26" w:name="_Toc86227413"/>
      <w:r w:rsidRPr="00380BDB">
        <w:rPr>
          <w:rFonts w:ascii="Palatino Linotype" w:hAnsi="Palatino Linotype"/>
          <w:b/>
          <w:color w:val="auto"/>
        </w:rPr>
        <w:t>De la obligación de transparencia.</w:t>
      </w:r>
      <w:bookmarkEnd w:id="21"/>
      <w:bookmarkEnd w:id="22"/>
      <w:bookmarkEnd w:id="23"/>
      <w:bookmarkEnd w:id="24"/>
      <w:bookmarkEnd w:id="25"/>
      <w:bookmarkEnd w:id="26"/>
    </w:p>
    <w:p w14:paraId="00162A4A" w14:textId="77777777" w:rsidR="005E0B56" w:rsidRPr="00671495" w:rsidRDefault="005E0B56" w:rsidP="005E0B56">
      <w:pPr>
        <w:rPr>
          <w:sz w:val="22"/>
        </w:rPr>
      </w:pPr>
    </w:p>
    <w:p w14:paraId="6D611712" w14:textId="77777777" w:rsidR="005E0B56" w:rsidRPr="00671495" w:rsidRDefault="005E0B56" w:rsidP="005E0B56">
      <w:pPr>
        <w:rPr>
          <w:sz w:val="22"/>
        </w:rPr>
      </w:pPr>
    </w:p>
    <w:p w14:paraId="40BF049A" w14:textId="77777777" w:rsidR="005E0B56" w:rsidRPr="00671495" w:rsidRDefault="005E0B56" w:rsidP="005E0B56">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B20612E" w14:textId="77777777" w:rsidR="005E0B56" w:rsidRPr="00671495" w:rsidRDefault="005E0B56" w:rsidP="005E0B56">
      <w:pPr>
        <w:spacing w:line="360" w:lineRule="auto"/>
        <w:jc w:val="both"/>
        <w:rPr>
          <w:rFonts w:ascii="Palatino Linotype" w:hAnsi="Palatino Linotype" w:cs="Arial"/>
          <w:sz w:val="22"/>
        </w:rPr>
      </w:pPr>
    </w:p>
    <w:p w14:paraId="243D2EBA"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lastRenderedPageBreak/>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5A3669B7" w14:textId="77777777" w:rsidR="005E0B56" w:rsidRPr="00671495" w:rsidRDefault="005E0B56" w:rsidP="005E0B56">
      <w:pPr>
        <w:spacing w:line="360" w:lineRule="auto"/>
        <w:ind w:left="567" w:right="567"/>
        <w:jc w:val="both"/>
        <w:rPr>
          <w:rFonts w:ascii="Palatino Linotype" w:hAnsi="Palatino Linotype" w:cs="Arial"/>
          <w:i/>
          <w:sz w:val="22"/>
        </w:rPr>
      </w:pPr>
    </w:p>
    <w:p w14:paraId="74826AA4"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4A421BA0" w14:textId="77777777" w:rsidR="005E0B56" w:rsidRPr="00671495" w:rsidRDefault="005E0B56" w:rsidP="005E0B56">
      <w:pPr>
        <w:spacing w:line="360" w:lineRule="auto"/>
        <w:ind w:left="567" w:right="567"/>
        <w:jc w:val="both"/>
        <w:rPr>
          <w:rFonts w:ascii="Palatino Linotype" w:hAnsi="Palatino Linotype" w:cs="Arial"/>
          <w:i/>
          <w:sz w:val="22"/>
        </w:rPr>
      </w:pPr>
    </w:p>
    <w:p w14:paraId="652AA150"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2F7B7240" w14:textId="77777777" w:rsidR="005E0B56" w:rsidRPr="00671495" w:rsidRDefault="005E0B56" w:rsidP="005E0B56">
      <w:pPr>
        <w:spacing w:line="360" w:lineRule="auto"/>
        <w:ind w:left="567" w:right="567"/>
        <w:jc w:val="both"/>
        <w:rPr>
          <w:rFonts w:ascii="Palatino Linotype" w:hAnsi="Palatino Linotype" w:cs="Arial"/>
          <w:i/>
          <w:sz w:val="22"/>
        </w:rPr>
      </w:pPr>
    </w:p>
    <w:p w14:paraId="2DDAC237"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C597DF7" w14:textId="77777777" w:rsidR="005E0B56" w:rsidRPr="00671495" w:rsidRDefault="005E0B56" w:rsidP="005E0B56">
      <w:pPr>
        <w:spacing w:line="360" w:lineRule="auto"/>
        <w:ind w:left="567" w:right="567"/>
        <w:jc w:val="both"/>
        <w:rPr>
          <w:rFonts w:ascii="Palatino Linotype" w:hAnsi="Palatino Linotype" w:cs="Arial"/>
          <w:b/>
          <w:i/>
          <w:sz w:val="22"/>
        </w:rPr>
      </w:pPr>
    </w:p>
    <w:p w14:paraId="5042393B"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Los 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179A77BC" w14:textId="77777777" w:rsidR="005E0B56" w:rsidRPr="00671495" w:rsidRDefault="005E0B56" w:rsidP="005E0B56">
      <w:pPr>
        <w:spacing w:line="360" w:lineRule="auto"/>
        <w:ind w:left="567" w:right="567"/>
        <w:jc w:val="both"/>
        <w:rPr>
          <w:rFonts w:ascii="Palatino Linotype" w:hAnsi="Palatino Linotype" w:cs="Arial"/>
          <w:i/>
          <w:sz w:val="22"/>
        </w:rPr>
      </w:pPr>
    </w:p>
    <w:p w14:paraId="1BF01EF9"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65E0E85B" w14:textId="77777777" w:rsidR="005E0B56" w:rsidRPr="00671495" w:rsidRDefault="005E0B56" w:rsidP="005E0B56">
      <w:pPr>
        <w:spacing w:line="360" w:lineRule="auto"/>
        <w:ind w:left="567" w:right="567"/>
        <w:jc w:val="both"/>
        <w:rPr>
          <w:rFonts w:ascii="Palatino Linotype" w:hAnsi="Palatino Linotype" w:cs="Arial"/>
          <w:i/>
          <w:sz w:val="22"/>
        </w:rPr>
      </w:pPr>
    </w:p>
    <w:p w14:paraId="003EEA37"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08ABFCD3" w14:textId="77777777" w:rsidR="005E0B56" w:rsidRPr="00671495" w:rsidRDefault="005E0B56" w:rsidP="005E0B56">
      <w:pPr>
        <w:spacing w:line="360" w:lineRule="auto"/>
        <w:ind w:left="567" w:right="567"/>
        <w:jc w:val="both"/>
        <w:rPr>
          <w:rFonts w:ascii="Palatino Linotype" w:hAnsi="Palatino Linotype" w:cs="Arial"/>
          <w:i/>
          <w:sz w:val="22"/>
        </w:rPr>
      </w:pPr>
    </w:p>
    <w:p w14:paraId="490EF103"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D40D772" w14:textId="77777777" w:rsidR="005E0B56" w:rsidRPr="00671495" w:rsidRDefault="005E0B56" w:rsidP="005E0B56">
      <w:pPr>
        <w:spacing w:line="360" w:lineRule="auto"/>
        <w:ind w:left="567" w:right="567"/>
        <w:jc w:val="both"/>
        <w:rPr>
          <w:rFonts w:ascii="Palatino Linotype" w:hAnsi="Palatino Linotype" w:cs="Arial"/>
          <w:b/>
          <w:i/>
          <w:sz w:val="22"/>
        </w:rPr>
      </w:pPr>
    </w:p>
    <w:p w14:paraId="1B961964"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858D729" w14:textId="77777777" w:rsidR="005E0B56" w:rsidRPr="00671495" w:rsidRDefault="005E0B56" w:rsidP="005E0B56">
      <w:pPr>
        <w:spacing w:line="360" w:lineRule="auto"/>
        <w:ind w:left="567" w:right="567"/>
        <w:jc w:val="both"/>
        <w:rPr>
          <w:rFonts w:ascii="Palatino Linotype" w:hAnsi="Palatino Linotype" w:cs="Arial"/>
          <w:i/>
          <w:sz w:val="22"/>
        </w:rPr>
      </w:pPr>
    </w:p>
    <w:p w14:paraId="334324D3"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1E87FD4" w14:textId="77777777" w:rsidR="005E0B56" w:rsidRPr="00671495" w:rsidRDefault="005E0B56" w:rsidP="005E0B56">
      <w:pPr>
        <w:spacing w:line="360" w:lineRule="auto"/>
        <w:ind w:left="567" w:right="567"/>
        <w:jc w:val="both"/>
        <w:rPr>
          <w:rFonts w:ascii="Palatino Linotype" w:hAnsi="Palatino Linotype" w:cs="Arial"/>
          <w:i/>
          <w:sz w:val="22"/>
        </w:rPr>
      </w:pPr>
    </w:p>
    <w:p w14:paraId="3F7CC54D"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30A9FA48" w14:textId="77777777" w:rsidR="005E0B56" w:rsidRPr="00671495" w:rsidRDefault="005E0B56" w:rsidP="005E0B56">
      <w:pPr>
        <w:spacing w:line="360" w:lineRule="auto"/>
        <w:ind w:left="567" w:right="567"/>
        <w:jc w:val="both"/>
        <w:rPr>
          <w:rFonts w:ascii="Palatino Linotype" w:hAnsi="Palatino Linotype" w:cs="Arial"/>
          <w:i/>
          <w:sz w:val="22"/>
        </w:rPr>
      </w:pPr>
    </w:p>
    <w:p w14:paraId="03F377CC"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w:t>
      </w:r>
      <w:r w:rsidRPr="00671495">
        <w:rPr>
          <w:rFonts w:ascii="Palatino Linotype" w:hAnsi="Palatino Linotype" w:cs="Arial"/>
          <w:i/>
          <w:sz w:val="22"/>
        </w:rPr>
        <w:lastRenderedPageBreak/>
        <w:t>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E478635"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8F46278"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2724673" w14:textId="77777777" w:rsidR="005E0B56" w:rsidRPr="00671495" w:rsidRDefault="005E0B56" w:rsidP="005E0B56">
      <w:pPr>
        <w:spacing w:line="360" w:lineRule="auto"/>
        <w:ind w:left="567" w:right="567"/>
        <w:jc w:val="both"/>
        <w:rPr>
          <w:rFonts w:ascii="Palatino Linotype" w:hAnsi="Palatino Linotype"/>
          <w:i/>
          <w:sz w:val="22"/>
        </w:rPr>
      </w:pPr>
    </w:p>
    <w:p w14:paraId="15056DBE"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0C4FBBD6" w14:textId="77777777" w:rsidR="005E0B56" w:rsidRPr="00671495" w:rsidRDefault="005E0B56" w:rsidP="005E0B56">
      <w:pPr>
        <w:spacing w:line="360" w:lineRule="auto"/>
        <w:ind w:left="709" w:right="757"/>
        <w:jc w:val="both"/>
        <w:rPr>
          <w:rFonts w:ascii="Palatino Linotype" w:hAnsi="Palatino Linotype"/>
          <w:sz w:val="22"/>
        </w:rPr>
      </w:pPr>
    </w:p>
    <w:p w14:paraId="69E5C1DA" w14:textId="77777777" w:rsidR="005E0B56" w:rsidRPr="00671495"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2E4AC27B" w14:textId="77777777" w:rsidR="005E0B56" w:rsidRPr="00671495" w:rsidRDefault="005E0B56" w:rsidP="005E0B56">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0513ACF2"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5EDE8599"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B81594" w14:textId="77777777" w:rsidR="005E0B56" w:rsidRPr="00671495" w:rsidRDefault="005E0B56" w:rsidP="005E0B56">
      <w:pPr>
        <w:spacing w:line="360" w:lineRule="auto"/>
        <w:ind w:left="567" w:right="567"/>
        <w:jc w:val="both"/>
        <w:rPr>
          <w:rFonts w:ascii="Palatino Linotype" w:hAnsi="Palatino Linotype"/>
          <w:i/>
          <w:sz w:val="22"/>
        </w:rPr>
      </w:pPr>
    </w:p>
    <w:p w14:paraId="46207DD2"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787BDD3" w14:textId="77777777" w:rsidR="005E0B56" w:rsidRPr="00671495" w:rsidRDefault="005E0B56" w:rsidP="005E0B56">
      <w:pPr>
        <w:spacing w:line="360" w:lineRule="auto"/>
        <w:ind w:left="567" w:right="567"/>
        <w:jc w:val="both"/>
        <w:rPr>
          <w:rFonts w:ascii="Palatino Linotype" w:hAnsi="Palatino Linotype"/>
          <w:b/>
          <w:i/>
          <w:sz w:val="22"/>
        </w:rPr>
      </w:pPr>
    </w:p>
    <w:p w14:paraId="5D8A2E01"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w:t>
      </w:r>
      <w:r w:rsidRPr="00671495">
        <w:rPr>
          <w:rFonts w:ascii="Palatino Linotype" w:hAnsi="Palatino Linotype"/>
          <w:i/>
          <w:sz w:val="22"/>
        </w:rPr>
        <w:lastRenderedPageBreak/>
        <w:t xml:space="preserve">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13BADA" w14:textId="77777777" w:rsidR="005E0B56" w:rsidRPr="00671495" w:rsidRDefault="005E0B56" w:rsidP="005E0B56">
      <w:pPr>
        <w:spacing w:line="360" w:lineRule="auto"/>
        <w:ind w:left="567" w:right="567"/>
        <w:jc w:val="both"/>
        <w:rPr>
          <w:rFonts w:ascii="Palatino Linotype" w:hAnsi="Palatino Linotype"/>
          <w:i/>
          <w:sz w:val="22"/>
        </w:rPr>
      </w:pPr>
    </w:p>
    <w:p w14:paraId="24F3F28C"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DACA4EC" w14:textId="77777777" w:rsidR="005E0B56" w:rsidRPr="00671495" w:rsidRDefault="005E0B56" w:rsidP="005E0B56">
      <w:pPr>
        <w:spacing w:line="360" w:lineRule="auto"/>
        <w:ind w:left="567" w:right="567"/>
        <w:jc w:val="both"/>
        <w:rPr>
          <w:rFonts w:ascii="Palatino Linotype" w:hAnsi="Palatino Linotype"/>
          <w:i/>
          <w:sz w:val="22"/>
        </w:rPr>
      </w:pPr>
    </w:p>
    <w:p w14:paraId="233FD730"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32F2407" w14:textId="77777777" w:rsidR="005E0B56" w:rsidRPr="00671495" w:rsidRDefault="005E0B56" w:rsidP="005E0B56">
      <w:pPr>
        <w:spacing w:line="360" w:lineRule="auto"/>
        <w:ind w:left="567" w:right="567"/>
        <w:jc w:val="both"/>
        <w:rPr>
          <w:rFonts w:ascii="Palatino Linotype" w:hAnsi="Palatino Linotype"/>
          <w:i/>
          <w:sz w:val="22"/>
        </w:rPr>
      </w:pPr>
    </w:p>
    <w:p w14:paraId="22860759"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0AD49CE7" w14:textId="77777777" w:rsidR="005E0B56" w:rsidRPr="00671495" w:rsidRDefault="005E0B56" w:rsidP="005E0B56">
      <w:pPr>
        <w:spacing w:line="360" w:lineRule="auto"/>
        <w:ind w:left="567" w:right="567"/>
        <w:jc w:val="both"/>
        <w:rPr>
          <w:rFonts w:ascii="Palatino Linotype" w:hAnsi="Palatino Linotype"/>
          <w:i/>
          <w:sz w:val="22"/>
        </w:rPr>
      </w:pPr>
    </w:p>
    <w:p w14:paraId="19940CE8"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BFE297" w14:textId="77777777" w:rsidR="005E0B56" w:rsidRPr="00671495" w:rsidRDefault="005E0B56" w:rsidP="005E0B56">
      <w:pPr>
        <w:spacing w:line="360" w:lineRule="auto"/>
        <w:ind w:left="567" w:right="567"/>
        <w:jc w:val="both"/>
        <w:rPr>
          <w:rFonts w:ascii="Palatino Linotype" w:hAnsi="Palatino Linotype"/>
          <w:b/>
          <w:i/>
          <w:sz w:val="22"/>
        </w:rPr>
      </w:pPr>
    </w:p>
    <w:p w14:paraId="5F64B18A"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34FBF08C" w14:textId="77777777" w:rsidR="005E0B56" w:rsidRPr="00671495" w:rsidRDefault="005E0B56" w:rsidP="005E0B56">
      <w:pPr>
        <w:spacing w:line="360" w:lineRule="auto"/>
        <w:ind w:left="567" w:right="567"/>
        <w:jc w:val="both"/>
        <w:rPr>
          <w:rFonts w:ascii="Palatino Linotype" w:hAnsi="Palatino Linotype"/>
          <w:i/>
          <w:sz w:val="22"/>
        </w:rPr>
      </w:pPr>
    </w:p>
    <w:p w14:paraId="4047F68A"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23C9D125" w14:textId="77777777" w:rsidR="005E0B56" w:rsidRPr="00671495" w:rsidRDefault="005E0B56" w:rsidP="005E0B56">
      <w:pPr>
        <w:spacing w:line="360" w:lineRule="auto"/>
        <w:ind w:left="567" w:right="567"/>
        <w:jc w:val="both"/>
        <w:rPr>
          <w:rFonts w:ascii="Palatino Linotype" w:hAnsi="Palatino Linotype"/>
          <w:sz w:val="22"/>
        </w:rPr>
      </w:pPr>
    </w:p>
    <w:p w14:paraId="10693716" w14:textId="77777777" w:rsidR="005E0B56" w:rsidRPr="00671495" w:rsidRDefault="005E0B56" w:rsidP="005E0B56">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2F72F4C6" w14:textId="77777777" w:rsidR="005E0B56" w:rsidRPr="00671495" w:rsidRDefault="005E0B56" w:rsidP="005E0B56">
      <w:pPr>
        <w:spacing w:line="360" w:lineRule="auto"/>
        <w:ind w:left="567" w:right="567"/>
        <w:jc w:val="both"/>
        <w:rPr>
          <w:rFonts w:ascii="Palatino Linotype" w:hAnsi="Palatino Linotype"/>
          <w:sz w:val="24"/>
        </w:rPr>
      </w:pPr>
    </w:p>
    <w:p w14:paraId="68252918" w14:textId="77777777" w:rsidR="005E0B56" w:rsidRPr="00671495"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74A65D66" w14:textId="77777777" w:rsidR="005E0B56" w:rsidRPr="00671495" w:rsidRDefault="005E0B56" w:rsidP="005E0B56">
      <w:pPr>
        <w:spacing w:line="360" w:lineRule="auto"/>
        <w:jc w:val="both"/>
        <w:rPr>
          <w:rFonts w:ascii="Palatino Linotype" w:hAnsi="Palatino Linotype" w:cs="Arial"/>
        </w:rPr>
      </w:pPr>
    </w:p>
    <w:p w14:paraId="2D5A1089"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7339229F"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71F21935" w14:textId="77777777" w:rsidR="005E0B56" w:rsidRPr="00671495" w:rsidRDefault="005E0B56" w:rsidP="005E0B56">
      <w:pPr>
        <w:spacing w:line="360" w:lineRule="auto"/>
        <w:ind w:left="567" w:right="567"/>
        <w:jc w:val="both"/>
        <w:rPr>
          <w:rFonts w:ascii="Palatino Linotype" w:hAnsi="Palatino Linotype" w:cs="Arial"/>
          <w:i/>
          <w:sz w:val="22"/>
        </w:rPr>
      </w:pPr>
    </w:p>
    <w:p w14:paraId="6FBDF25F" w14:textId="77777777" w:rsidR="005E0B56" w:rsidRPr="00671495" w:rsidRDefault="005E0B56" w:rsidP="005E0B56">
      <w:pPr>
        <w:spacing w:line="360" w:lineRule="auto"/>
        <w:ind w:left="567" w:right="567"/>
        <w:jc w:val="both"/>
        <w:rPr>
          <w:rFonts w:ascii="Palatino Linotype" w:hAnsi="Palatino Linotype" w:cs="Arial"/>
          <w:b/>
          <w:i/>
          <w:sz w:val="22"/>
          <w:szCs w:val="22"/>
        </w:rPr>
      </w:pPr>
      <w:r w:rsidRPr="00671495">
        <w:rPr>
          <w:rFonts w:ascii="Palatino Linotype" w:hAnsi="Palatino Linotype" w:cs="Arial"/>
          <w:b/>
          <w:i/>
          <w:sz w:val="22"/>
          <w:szCs w:val="22"/>
        </w:rPr>
        <w:t xml:space="preserve">IV. </w:t>
      </w:r>
      <w:r w:rsidRPr="0067149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65082AE8"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56304FD"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2C3174E" w14:textId="77777777" w:rsidR="005E0B56" w:rsidRPr="00671495" w:rsidRDefault="005E0B56" w:rsidP="005E0B56">
      <w:pPr>
        <w:spacing w:line="360" w:lineRule="auto"/>
        <w:ind w:left="567" w:right="567"/>
        <w:jc w:val="both"/>
        <w:rPr>
          <w:rFonts w:ascii="Palatino Linotype" w:hAnsi="Palatino Linotype" w:cs="Arial"/>
          <w:b/>
          <w:i/>
          <w:sz w:val="22"/>
        </w:rPr>
      </w:pPr>
    </w:p>
    <w:p w14:paraId="5161EA6B"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346AF7F8" w14:textId="77777777" w:rsidR="005E0B56" w:rsidRPr="00671495" w:rsidRDefault="005E0B56" w:rsidP="005E0B56">
      <w:pPr>
        <w:spacing w:line="360" w:lineRule="auto"/>
        <w:ind w:left="567" w:right="567"/>
        <w:jc w:val="both"/>
        <w:rPr>
          <w:rFonts w:ascii="Palatino Linotype" w:hAnsi="Palatino Linotype" w:cs="Arial"/>
          <w:sz w:val="22"/>
        </w:rPr>
      </w:pPr>
    </w:p>
    <w:p w14:paraId="06B7AA8E" w14:textId="77777777" w:rsidR="005E0B56" w:rsidRPr="00671495" w:rsidRDefault="005E0B56" w:rsidP="005E0B56">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4F16CBAC" w14:textId="77777777" w:rsidR="005E0B56" w:rsidRPr="00671495" w:rsidRDefault="005E0B56" w:rsidP="005E0B56">
      <w:pPr>
        <w:spacing w:line="360" w:lineRule="auto"/>
        <w:jc w:val="both"/>
        <w:rPr>
          <w:rFonts w:ascii="Palatino Linotype" w:hAnsi="Palatino Linotype" w:cs="Arial"/>
        </w:rPr>
      </w:pPr>
    </w:p>
    <w:p w14:paraId="38906744" w14:textId="77777777" w:rsidR="005E0B56" w:rsidRPr="00671495"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D6771E" w14:textId="77777777" w:rsidR="005E0B56" w:rsidRPr="00671495" w:rsidRDefault="005E0B56" w:rsidP="005E0B56">
      <w:pPr>
        <w:pStyle w:val="Prrafodelista"/>
        <w:spacing w:line="360" w:lineRule="auto"/>
        <w:ind w:left="0"/>
        <w:jc w:val="both"/>
        <w:rPr>
          <w:rFonts w:ascii="Palatino Linotype" w:hAnsi="Palatino Linotype" w:cs="Arial"/>
          <w:sz w:val="24"/>
        </w:rPr>
      </w:pPr>
    </w:p>
    <w:p w14:paraId="4E156D16" w14:textId="3071D4D8" w:rsidR="005E0B56"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Pr="00671495">
        <w:rPr>
          <w:rFonts w:ascii="Palatino Linotype" w:hAnsi="Palatino Linotype" w:cs="Arial"/>
          <w:b/>
          <w:sz w:val="24"/>
        </w:rPr>
        <w:t xml:space="preserve"> el </w:t>
      </w:r>
      <w:r w:rsidRPr="00BE6E79">
        <w:rPr>
          <w:rFonts w:ascii="Palatino Linotype" w:eastAsia="Calibri" w:hAnsi="Palatino Linotype" w:cs="Tahoma"/>
          <w:b/>
          <w:sz w:val="24"/>
          <w:szCs w:val="22"/>
          <w:lang w:eastAsia="en-US"/>
        </w:rPr>
        <w:t xml:space="preserve">Ayuntamiento de </w:t>
      </w:r>
      <w:r>
        <w:rPr>
          <w:rFonts w:ascii="Palatino Linotype" w:eastAsia="Calibri" w:hAnsi="Palatino Linotype" w:cs="Tahoma"/>
          <w:b/>
          <w:sz w:val="24"/>
          <w:szCs w:val="22"/>
          <w:lang w:eastAsia="en-US"/>
        </w:rPr>
        <w:t>el Oro</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364A13A2" w14:textId="77777777" w:rsidR="005E0B56" w:rsidRPr="005E0B56" w:rsidRDefault="005E0B56" w:rsidP="005E0B56">
      <w:pPr>
        <w:pStyle w:val="Prrafodelista"/>
        <w:rPr>
          <w:rFonts w:ascii="Palatino Linotype" w:hAnsi="Palatino Linotype" w:cs="Arial"/>
          <w:sz w:val="24"/>
        </w:rPr>
      </w:pPr>
    </w:p>
    <w:p w14:paraId="6E236E0D" w14:textId="74B0DFFF" w:rsidR="005E0B56" w:rsidRPr="005E0B56" w:rsidRDefault="005E0B56" w:rsidP="005E0B56">
      <w:pPr>
        <w:pStyle w:val="Ttulo2"/>
        <w:numPr>
          <w:ilvl w:val="0"/>
          <w:numId w:val="32"/>
        </w:numPr>
        <w:rPr>
          <w:rFonts w:ascii="Palatino Linotype" w:hAnsi="Palatino Linotype"/>
          <w:b/>
        </w:rPr>
      </w:pPr>
      <w:bookmarkStart w:id="27" w:name="_Toc85722942"/>
      <w:bookmarkStart w:id="28" w:name="_Toc86227414"/>
      <w:r w:rsidRPr="005E0B56">
        <w:rPr>
          <w:rStyle w:val="Ttulo2Car"/>
          <w:rFonts w:ascii="Palatino Linotype" w:hAnsi="Palatino Linotype"/>
          <w:b/>
          <w:color w:val="auto"/>
          <w:sz w:val="24"/>
        </w:rPr>
        <w:t>El derecho de petición y de acceso a la información</w:t>
      </w:r>
      <w:r w:rsidRPr="005E0B56">
        <w:rPr>
          <w:rFonts w:ascii="Palatino Linotype" w:hAnsi="Palatino Linotype"/>
          <w:b/>
          <w:color w:val="auto"/>
          <w:sz w:val="24"/>
        </w:rPr>
        <w:t>.</w:t>
      </w:r>
      <w:bookmarkEnd w:id="27"/>
      <w:bookmarkEnd w:id="28"/>
      <w:r w:rsidRPr="005E0B56">
        <w:rPr>
          <w:rFonts w:ascii="Palatino Linotype" w:hAnsi="Palatino Linotype"/>
          <w:b/>
          <w:i/>
          <w:color w:val="auto"/>
          <w:sz w:val="24"/>
        </w:rPr>
        <w:t xml:space="preserve"> </w:t>
      </w:r>
    </w:p>
    <w:p w14:paraId="6041CE2D" w14:textId="77777777" w:rsidR="005E0B56" w:rsidRDefault="005E0B56" w:rsidP="005E0B56">
      <w:pPr>
        <w:spacing w:line="360" w:lineRule="auto"/>
        <w:ind w:right="49"/>
        <w:contextualSpacing/>
        <w:jc w:val="both"/>
        <w:rPr>
          <w:rFonts w:ascii="Palatino Linotype" w:eastAsia="MS Mincho" w:hAnsi="Palatino Linotype" w:cstheme="majorBidi"/>
          <w:sz w:val="24"/>
          <w:szCs w:val="24"/>
        </w:rPr>
      </w:pPr>
    </w:p>
    <w:p w14:paraId="2009F8D3" w14:textId="77777777" w:rsidR="00E915CF" w:rsidRDefault="00E915CF"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No debe pasar desapercibido la forma en la que el Recurrente realizó la solicitud, a efecto de verificar si se trata de un derecho de acceso a la información pública, o bien, de un derecho diverso, como lo es un derecho de petición.</w:t>
      </w:r>
    </w:p>
    <w:p w14:paraId="0FE7EBA0"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lastRenderedPageBreak/>
        <w:t xml:space="preserve">Por lo que respecta a la definición de derecho de petición, el Maestro Ignacio Burgoa Orihuela refiere: </w:t>
      </w:r>
      <w:r w:rsidRPr="001E3212">
        <w:rPr>
          <w:rFonts w:ascii="Palatino Linotype" w:eastAsia="MS Mincho" w:hAnsi="Palatino Linotype" w:cstheme="majorBidi"/>
          <w:sz w:val="22"/>
          <w:szCs w:val="24"/>
        </w:rPr>
        <w:t>“…</w:t>
      </w:r>
      <w:r w:rsidRPr="001E3212">
        <w:rPr>
          <w:rFonts w:ascii="Palatino Linotype" w:eastAsia="MS Mincho" w:hAnsi="Palatino Linotype" w:cstheme="majorBidi"/>
          <w:i/>
          <w:sz w:val="22"/>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E3212">
        <w:rPr>
          <w:rStyle w:val="Refdenotaalpie"/>
          <w:rFonts w:ascii="Palatino Linotype" w:eastAsia="MS Mincho" w:hAnsi="Palatino Linotype" w:cstheme="majorBidi"/>
          <w:i/>
          <w:sz w:val="22"/>
          <w:szCs w:val="24"/>
        </w:rPr>
        <w:footnoteReference w:id="1"/>
      </w:r>
      <w:r w:rsidRPr="001E3212">
        <w:rPr>
          <w:rFonts w:ascii="Palatino Linotype" w:eastAsia="MS Mincho" w:hAnsi="Palatino Linotype" w:cstheme="majorBidi"/>
          <w:i/>
          <w:sz w:val="22"/>
          <w:szCs w:val="24"/>
        </w:rPr>
        <w:t xml:space="preserve">  “(Sic)</w:t>
      </w:r>
    </w:p>
    <w:p w14:paraId="4F471CDC" w14:textId="77777777" w:rsidR="005E0B56" w:rsidRPr="00A40364" w:rsidRDefault="005E0B56" w:rsidP="005E0B56">
      <w:pPr>
        <w:pStyle w:val="Prrafodelista"/>
        <w:rPr>
          <w:rFonts w:ascii="Palatino Linotype" w:eastAsia="MS Mincho" w:hAnsi="Palatino Linotype" w:cstheme="majorBidi"/>
          <w:sz w:val="24"/>
        </w:rPr>
      </w:pPr>
    </w:p>
    <w:p w14:paraId="762B058D"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Por su parte, David Cienfuegos Salgado, concibe al derecho de petición como </w:t>
      </w:r>
      <w:r w:rsidRPr="001E3212">
        <w:rPr>
          <w:rFonts w:ascii="Palatino Linotype" w:eastAsia="MS Mincho" w:hAnsi="Palatino Linotype" w:cstheme="majorBidi"/>
          <w:i/>
          <w:sz w:val="22"/>
          <w:szCs w:val="24"/>
        </w:rPr>
        <w:t xml:space="preserve">“el derecho de toda persona a ser escuchado por quienes ejercen el poder público. </w:t>
      </w:r>
      <w:r w:rsidRPr="001E3212">
        <w:rPr>
          <w:rStyle w:val="Refdenotaalpie"/>
          <w:rFonts w:ascii="Palatino Linotype" w:eastAsia="MS Mincho" w:hAnsi="Palatino Linotype" w:cstheme="majorBidi"/>
          <w:i/>
          <w:sz w:val="22"/>
          <w:szCs w:val="24"/>
        </w:rPr>
        <w:footnoteReference w:id="2"/>
      </w:r>
      <w:r w:rsidRPr="001E3212">
        <w:rPr>
          <w:rFonts w:ascii="Palatino Linotype" w:eastAsia="MS Mincho" w:hAnsi="Palatino Linotype" w:cstheme="majorBidi"/>
          <w:i/>
          <w:sz w:val="22"/>
          <w:szCs w:val="24"/>
        </w:rPr>
        <w:t>” (Sic)</w:t>
      </w:r>
      <w:r w:rsidRPr="001E3212">
        <w:rPr>
          <w:rFonts w:ascii="Palatino Linotype" w:eastAsia="MS Mincho" w:hAnsi="Palatino Linotype" w:cstheme="majorBidi"/>
          <w:sz w:val="22"/>
          <w:szCs w:val="24"/>
        </w:rPr>
        <w:t xml:space="preserve"> </w:t>
      </w:r>
    </w:p>
    <w:p w14:paraId="6B80E60F" w14:textId="77777777" w:rsidR="005E0B56" w:rsidRPr="00A40364" w:rsidRDefault="005E0B56" w:rsidP="005E0B56">
      <w:pPr>
        <w:pStyle w:val="Prrafodelista"/>
        <w:rPr>
          <w:rFonts w:ascii="Palatino Linotype" w:eastAsia="MS Mincho" w:hAnsi="Palatino Linotype" w:cstheme="majorBidi"/>
          <w:sz w:val="24"/>
        </w:rPr>
      </w:pPr>
    </w:p>
    <w:p w14:paraId="4B06C6C2" w14:textId="77777777" w:rsidR="005E0B56" w:rsidRPr="001E3212"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2"/>
          <w:szCs w:val="24"/>
        </w:rPr>
      </w:pPr>
      <w:r w:rsidRPr="00A40364">
        <w:rPr>
          <w:rFonts w:ascii="Palatino Linotype" w:eastAsia="MS Mincho" w:hAnsi="Palatino Linotype" w:cstheme="majorBidi"/>
          <w:sz w:val="24"/>
          <w:szCs w:val="24"/>
        </w:rPr>
        <w:t xml:space="preserve">Luego entonces, para diferenciar el derecho de petición al derecho de acceso a la información, resulta conducente señalar que José Guadalupe Robles, conceptualiza el derecho a la información como </w:t>
      </w:r>
      <w:r w:rsidRPr="001E3212">
        <w:rPr>
          <w:rFonts w:ascii="Palatino Linotype" w:eastAsia="MS Mincho" w:hAnsi="Palatino Linotype" w:cstheme="majorBidi"/>
          <w:i/>
          <w:sz w:val="22"/>
          <w:szCs w:val="24"/>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1E3212">
        <w:rPr>
          <w:rStyle w:val="Refdenotaalpie"/>
          <w:rFonts w:ascii="Palatino Linotype" w:eastAsia="MS Mincho" w:hAnsi="Palatino Linotype" w:cstheme="majorBidi"/>
          <w:i/>
          <w:sz w:val="22"/>
          <w:szCs w:val="24"/>
        </w:rPr>
        <w:footnoteReference w:id="3"/>
      </w:r>
      <w:r w:rsidRPr="001E3212">
        <w:rPr>
          <w:rFonts w:ascii="Palatino Linotype" w:eastAsia="MS Mincho" w:hAnsi="Palatino Linotype" w:cstheme="majorBidi"/>
          <w:i/>
          <w:sz w:val="22"/>
          <w:szCs w:val="24"/>
        </w:rPr>
        <w:t>“(Sic)</w:t>
      </w:r>
    </w:p>
    <w:p w14:paraId="5E03DD50" w14:textId="77777777" w:rsidR="005E0B56" w:rsidRPr="00A40364" w:rsidRDefault="005E0B56" w:rsidP="005E0B56">
      <w:pPr>
        <w:pStyle w:val="Prrafodelista"/>
        <w:rPr>
          <w:rFonts w:ascii="Palatino Linotype" w:eastAsia="MS Mincho" w:hAnsi="Palatino Linotype" w:cstheme="majorBidi"/>
          <w:sz w:val="24"/>
        </w:rPr>
      </w:pPr>
    </w:p>
    <w:p w14:paraId="554E21EC"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1E3212">
        <w:rPr>
          <w:rFonts w:ascii="Palatino Linotype" w:eastAsia="MS Mincho" w:hAnsi="Palatino Linotype" w:cstheme="majorBidi"/>
          <w:i/>
          <w:sz w:val="22"/>
          <w:szCs w:val="24"/>
        </w:rPr>
        <w:t xml:space="preserve">“la prerrogativa de la persona para acceder a datos, registros y todo tipo de informaciones en poder de entidades públicas y empresas </w:t>
      </w:r>
      <w:r w:rsidRPr="001E3212">
        <w:rPr>
          <w:rFonts w:ascii="Palatino Linotype" w:eastAsia="MS Mincho" w:hAnsi="Palatino Linotype" w:cstheme="majorBidi"/>
          <w:i/>
          <w:sz w:val="22"/>
          <w:szCs w:val="24"/>
        </w:rPr>
        <w:lastRenderedPageBreak/>
        <w:t>privadas que ejercen gasto público o cumplen funciones de autoridad, con las excepciones taxativas que establezca la ley en una sociedad democrática.</w:t>
      </w:r>
      <w:r w:rsidRPr="001E3212">
        <w:rPr>
          <w:rStyle w:val="Refdenotaalpie"/>
          <w:rFonts w:ascii="Palatino Linotype" w:eastAsia="MS Mincho" w:hAnsi="Palatino Linotype" w:cstheme="majorBidi"/>
          <w:i/>
          <w:sz w:val="22"/>
          <w:szCs w:val="24"/>
        </w:rPr>
        <w:footnoteReference w:id="4"/>
      </w:r>
      <w:r w:rsidRPr="001E3212">
        <w:rPr>
          <w:rFonts w:ascii="Palatino Linotype" w:eastAsia="MS Mincho" w:hAnsi="Palatino Linotype" w:cstheme="majorBidi"/>
          <w:i/>
          <w:sz w:val="22"/>
          <w:szCs w:val="24"/>
        </w:rPr>
        <w:t xml:space="preserve">” (Sic)  </w:t>
      </w:r>
    </w:p>
    <w:p w14:paraId="31784F19" w14:textId="77777777" w:rsidR="005E0B56" w:rsidRPr="00A40364" w:rsidRDefault="005E0B56" w:rsidP="005E0B56">
      <w:pPr>
        <w:spacing w:line="360" w:lineRule="auto"/>
        <w:ind w:left="360" w:right="49"/>
        <w:contextualSpacing/>
        <w:jc w:val="both"/>
        <w:rPr>
          <w:rFonts w:ascii="Palatino Linotype" w:eastAsia="MS Mincho" w:hAnsi="Palatino Linotype" w:cstheme="majorBidi"/>
          <w:sz w:val="24"/>
          <w:szCs w:val="24"/>
        </w:rPr>
      </w:pPr>
    </w:p>
    <w:p w14:paraId="6F7F4F4A"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De lo anterior, se puede concluir que la distinción entre el derecho de petición y el derecho de acceso a la información estriba, principalmente, en que en el primero de ellos la pretensión del peticionario consiste generalmente </w:t>
      </w:r>
      <w:r w:rsidRPr="00A40364">
        <w:rPr>
          <w:rFonts w:ascii="Palatino Linotype" w:eastAsia="MS Mincho" w:hAnsi="Palatino Linotype" w:cstheme="majorBidi"/>
          <w:b/>
          <w:sz w:val="24"/>
          <w:szCs w:val="24"/>
        </w:rPr>
        <w:t>en obligar a la autoridad responsable a que actúe en el sentido de contestar lo solicitado;</w:t>
      </w:r>
      <w:r w:rsidRPr="00A40364">
        <w:rPr>
          <w:rFonts w:ascii="Palatino Linotype" w:eastAsia="MS Mincho" w:hAnsi="Palatino Linotype" w:cstheme="majorBidi"/>
          <w:sz w:val="24"/>
          <w:szCs w:val="24"/>
        </w:rPr>
        <w:t xml:space="preserve"> mientras que en el segundo supuesto, la petición se encamina primordialmente a permitir el acceso a datos, registros y todo tipo de información pública que conste en documentos, sea generada o se encuentre en posesión de la autoridad.</w:t>
      </w:r>
    </w:p>
    <w:p w14:paraId="0211C897" w14:textId="77777777" w:rsidR="005E0B56" w:rsidRPr="00A40364" w:rsidRDefault="005E0B56" w:rsidP="005E0B56">
      <w:pPr>
        <w:spacing w:line="360" w:lineRule="auto"/>
        <w:ind w:right="49"/>
        <w:contextualSpacing/>
        <w:jc w:val="both"/>
        <w:rPr>
          <w:rFonts w:ascii="Palatino Linotype" w:eastAsia="MS Mincho" w:hAnsi="Palatino Linotype" w:cstheme="majorBidi"/>
          <w:sz w:val="24"/>
          <w:szCs w:val="24"/>
        </w:rPr>
      </w:pPr>
    </w:p>
    <w:p w14:paraId="7F490252" w14:textId="77777777" w:rsidR="005E0B56" w:rsidRPr="00A40364" w:rsidRDefault="005E0B56" w:rsidP="005E0B56">
      <w:pPr>
        <w:pStyle w:val="Prrafodelista"/>
        <w:numPr>
          <w:ilvl w:val="0"/>
          <w:numId w:val="2"/>
        </w:numPr>
        <w:spacing w:line="360" w:lineRule="auto"/>
        <w:ind w:left="0" w:firstLine="0"/>
        <w:jc w:val="both"/>
        <w:rPr>
          <w:rFonts w:ascii="Palatino Linotype" w:hAnsi="Palatino Linotype"/>
          <w:sz w:val="24"/>
          <w:lang w:val="es-ES"/>
        </w:rPr>
      </w:pPr>
      <w:r w:rsidRPr="00A40364">
        <w:rPr>
          <w:rFonts w:ascii="Palatino Linotype" w:hAnsi="Palatino Linotype"/>
          <w:sz w:val="24"/>
          <w:lang w:val="es-ES"/>
        </w:rPr>
        <w:t xml:space="preserve">De la simple lectura a la solicitud, se advierte que los requerimientos del particular pudieran encuadrar en un ejercicio del Derecho de Petición, dado que, para atender literalmente la solicitud, es necesario dar una contestación al cuestionamiento. Por tal motivo es necesario precisar que, de acuerdo a los artículos 4 y 12 de la Ley de Transparencia y Acceso a la Información Pública del Estado de México y Municipios, los Sujetos Obligados se encuentran constreñidos a proporcionar la información que obre en sus archivos y en el estado en el que se encuentran, </w:t>
      </w:r>
      <w:r w:rsidRPr="00A40364">
        <w:rPr>
          <w:rFonts w:ascii="Palatino Linotype" w:hAnsi="Palatino Linotype"/>
          <w:b/>
          <w:sz w:val="24"/>
          <w:lang w:val="es-ES"/>
        </w:rPr>
        <w:t>no tienen la obligación de procesarla, resumirla o efectuar cálculos a fin de dar atención a las solicitudes que formulen los particulares.</w:t>
      </w:r>
    </w:p>
    <w:p w14:paraId="2EEB1035" w14:textId="77777777" w:rsidR="005E0B56" w:rsidRPr="00A40364" w:rsidRDefault="005E0B56" w:rsidP="005E0B56">
      <w:pPr>
        <w:pStyle w:val="Prrafodelista"/>
        <w:spacing w:line="360" w:lineRule="auto"/>
        <w:ind w:left="0"/>
        <w:jc w:val="both"/>
        <w:rPr>
          <w:rFonts w:ascii="Palatino Linotype" w:hAnsi="Palatino Linotype"/>
          <w:sz w:val="24"/>
          <w:lang w:val="es-ES"/>
        </w:rPr>
      </w:pPr>
    </w:p>
    <w:p w14:paraId="0AD99AF2" w14:textId="77777777" w:rsidR="005E0B56" w:rsidRPr="00A40364" w:rsidRDefault="005E0B56" w:rsidP="005E0B5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0364">
        <w:rPr>
          <w:rFonts w:ascii="Palatino Linotype" w:hAnsi="Palatino Linotype"/>
          <w:color w:val="000000"/>
          <w:sz w:val="24"/>
        </w:rPr>
        <w:lastRenderedPageBreak/>
        <w:t xml:space="preserve">Robustece lo anterior </w:t>
      </w:r>
      <w:r w:rsidRPr="00A40364">
        <w:rPr>
          <w:rFonts w:ascii="Palatino Linotype" w:hAnsi="Palatino Linotype" w:cs="Arial"/>
          <w:sz w:val="24"/>
        </w:rPr>
        <w:t>el criterio 13/17 de la Segunda Época emitido por el Instituto Nacional de Transparencia, Acceso a la Información y Protección de Datos personales:</w:t>
      </w:r>
    </w:p>
    <w:p w14:paraId="548B36EF" w14:textId="77777777" w:rsidR="005E0B56" w:rsidRPr="001E3212" w:rsidRDefault="005E0B56" w:rsidP="005E0B56">
      <w:pPr>
        <w:pStyle w:val="Prrafodelista"/>
        <w:tabs>
          <w:tab w:val="left" w:pos="2430"/>
        </w:tabs>
        <w:spacing w:line="276" w:lineRule="auto"/>
        <w:ind w:right="567"/>
        <w:jc w:val="both"/>
        <w:rPr>
          <w:rFonts w:ascii="Palatino Linotype" w:hAnsi="Palatino Linotype" w:cs="Arial"/>
          <w:i/>
        </w:rPr>
      </w:pPr>
      <w:r w:rsidRPr="001E3212">
        <w:rPr>
          <w:rFonts w:ascii="Palatino Linotype" w:hAnsi="Palatino Linotype" w:cs="Arial"/>
          <w:b/>
          <w:bCs/>
          <w:i/>
        </w:rPr>
        <w:t>No existe obligación de elaborar documentos ad hoc para atender las solicitudes de acceso a la información</w:t>
      </w:r>
      <w:r w:rsidRPr="001E3212">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BC762A9" w14:textId="77777777" w:rsidR="005E0B56" w:rsidRPr="001E3212" w:rsidRDefault="005E0B56" w:rsidP="005E0B56">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Resoluciones:</w:t>
      </w:r>
    </w:p>
    <w:p w14:paraId="2B20E68E" w14:textId="77777777" w:rsidR="005E0B56" w:rsidRPr="001E3212" w:rsidRDefault="005E0B56" w:rsidP="005E0B56">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0050/16. Instituto Nacional para la Evaluación de la Educación. 13 julio de 2016. Por unanimidad. Comisionado Ponente: Francisco Javier Acuña Llamas.</w:t>
      </w:r>
    </w:p>
    <w:p w14:paraId="2839A47D" w14:textId="77777777" w:rsidR="005E0B56" w:rsidRPr="001E3212" w:rsidRDefault="005E0B56" w:rsidP="005E0B56">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0310/16. Instituto Nacional de Transparencia, Acceso a la Información y Protección de Datos Personales. 10 de agosto de 2016. Por unanimidad. Comisionada Ponente. Areli Cano Guadiana.</w:t>
      </w:r>
    </w:p>
    <w:p w14:paraId="46680D27" w14:textId="77777777" w:rsidR="005E0B56" w:rsidRDefault="005E0B56" w:rsidP="005E0B56">
      <w:pPr>
        <w:spacing w:line="276" w:lineRule="auto"/>
        <w:ind w:left="1416" w:right="567" w:hanging="696"/>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1889/16. Secretaría de Hacienda y Crédito Público. 05 de octubre de 2016. Por unanimidad. Comisionada Ponente. Ximena Puente de la Mora.</w:t>
      </w:r>
    </w:p>
    <w:p w14:paraId="20CD5E6C" w14:textId="77777777" w:rsidR="005E0B56" w:rsidRPr="001E3212" w:rsidRDefault="005E0B56" w:rsidP="005E0B56">
      <w:pPr>
        <w:spacing w:line="276" w:lineRule="auto"/>
        <w:ind w:left="1416" w:right="567" w:hanging="696"/>
        <w:jc w:val="both"/>
        <w:rPr>
          <w:rFonts w:ascii="Palatino Linotype" w:hAnsi="Palatino Linotype" w:cs="Arial"/>
          <w:i/>
          <w:sz w:val="22"/>
          <w:szCs w:val="24"/>
        </w:rPr>
      </w:pPr>
    </w:p>
    <w:p w14:paraId="01AC1321" w14:textId="77777777" w:rsidR="005E0B56" w:rsidRPr="001129E4" w:rsidRDefault="005E0B56" w:rsidP="005E0B5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129E4">
        <w:rPr>
          <w:rFonts w:ascii="Palatino Linotype" w:eastAsia="MS Mincho" w:hAnsi="Palatino Linotype" w:cs="Arial"/>
          <w:color w:val="000000" w:themeColor="text1"/>
          <w:sz w:val="24"/>
        </w:rPr>
        <w:t xml:space="preserve">Ahora bien, el Recurrente en su solicitud no precisó un documento específico al que desee acceder. En repetidas ocasiones este Órgano Garante ha dejado en claro que </w:t>
      </w:r>
      <w:r w:rsidRPr="001129E4">
        <w:rPr>
          <w:rFonts w:ascii="Palatino Linotype" w:hAnsi="Palatino Linotype" w:cs="Arial"/>
          <w:bCs/>
          <w:iCs/>
          <w:color w:val="000000" w:themeColor="text1"/>
          <w:sz w:val="24"/>
        </w:rPr>
        <w:t xml:space="preserve">cuando en una solicitud de información no se identifique un documento en específico, </w:t>
      </w:r>
      <w:r w:rsidRPr="001129E4">
        <w:rPr>
          <w:rFonts w:ascii="Palatino Linotype" w:hAnsi="Palatino Linotype" w:cs="Arial"/>
          <w:b/>
          <w:bCs/>
          <w:iCs/>
          <w:color w:val="000000" w:themeColor="text1"/>
          <w:sz w:val="24"/>
          <w:u w:val="single"/>
        </w:rPr>
        <w:t>si ésta tiene una expresión documental</w:t>
      </w:r>
      <w:r w:rsidRPr="001129E4">
        <w:rPr>
          <w:rFonts w:ascii="Palatino Linotype" w:hAnsi="Palatino Linotype" w:cs="Arial"/>
          <w:bCs/>
          <w:iCs/>
          <w:color w:val="000000" w:themeColor="text1"/>
          <w:sz w:val="24"/>
        </w:rPr>
        <w:t>, el sujeto obligado deberá entregar al particular el documento mediante el cual se pueda colmar aquella.</w:t>
      </w:r>
    </w:p>
    <w:p w14:paraId="41668DD0" w14:textId="77777777" w:rsidR="005E0B56" w:rsidRPr="00A40364" w:rsidRDefault="005E0B56" w:rsidP="005E0B56">
      <w:pPr>
        <w:pStyle w:val="Prrafodelista"/>
        <w:rPr>
          <w:rFonts w:ascii="Palatino Linotype" w:hAnsi="Palatino Linotype"/>
          <w:lang w:val="es-ES"/>
        </w:rPr>
      </w:pPr>
    </w:p>
    <w:p w14:paraId="165B4094" w14:textId="77777777" w:rsidR="005E0B56" w:rsidRPr="001129E4" w:rsidRDefault="005E0B56" w:rsidP="005E0B5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129E4">
        <w:rPr>
          <w:rFonts w:ascii="Palatino Linotype" w:eastAsia="MS Mincho" w:hAnsi="Palatino Linotype" w:cs="Arial"/>
          <w:sz w:val="24"/>
        </w:rPr>
        <w:lastRenderedPageBreak/>
        <w:t xml:space="preserve">En ese sentido el </w:t>
      </w:r>
      <w:r w:rsidRPr="001129E4">
        <w:rPr>
          <w:rFonts w:ascii="Palatino Linotype" w:eastAsia="MS Mincho" w:hAnsi="Palatino Linotype"/>
          <w:sz w:val="24"/>
        </w:rPr>
        <w:t>Criterio</w:t>
      </w:r>
      <w:r w:rsidRPr="001129E4">
        <w:rPr>
          <w:rFonts w:ascii="Palatino Linotype" w:eastAsia="MS Mincho" w:hAnsi="Palatino Linotype" w:cs="Arial"/>
          <w:sz w:val="24"/>
        </w:rPr>
        <w:t xml:space="preserve"> </w:t>
      </w:r>
      <w:r w:rsidRPr="001129E4">
        <w:rPr>
          <w:rFonts w:ascii="Palatino Linotype" w:eastAsia="MS Mincho" w:hAnsi="Palatino Linotype"/>
          <w:sz w:val="24"/>
        </w:rPr>
        <w:t>028</w:t>
      </w:r>
      <w:r w:rsidRPr="001129E4">
        <w:rPr>
          <w:rFonts w:ascii="Palatino Linotype" w:eastAsia="MS Mincho" w:hAnsi="Palatino Linotype" w:cs="Arial"/>
          <w:sz w:val="24"/>
        </w:rPr>
        <w:t>-</w:t>
      </w:r>
      <w:r w:rsidRPr="001129E4">
        <w:rPr>
          <w:rFonts w:ascii="Palatino Linotype" w:eastAsia="MS Mincho" w:hAnsi="Palatino Linotype"/>
          <w:sz w:val="24"/>
        </w:rPr>
        <w:t>10</w:t>
      </w:r>
      <w:r w:rsidRPr="001129E4">
        <w:rPr>
          <w:rFonts w:ascii="Palatino Linotype" w:eastAsia="MS Mincho" w:hAnsi="Palatino Linotype" w:cs="Arial"/>
          <w:sz w:val="24"/>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45C93A58" w14:textId="77777777" w:rsidR="005E0B56" w:rsidRDefault="005E0B56" w:rsidP="005E0B56">
      <w:pPr>
        <w:pStyle w:val="m5907675151158779931gmail-msolistparagraph"/>
        <w:shd w:val="clear" w:color="auto" w:fill="FFFFFF"/>
        <w:spacing w:before="240" w:beforeAutospacing="0" w:after="360" w:afterAutospacing="0" w:line="276" w:lineRule="auto"/>
        <w:ind w:left="567" w:right="616"/>
        <w:jc w:val="both"/>
        <w:rPr>
          <w:rFonts w:ascii="Palatino Linotype" w:hAnsi="Palatino Linotype" w:cs="Arial"/>
          <w:i/>
          <w:iCs/>
          <w:color w:val="222222"/>
          <w:sz w:val="22"/>
          <w:lang w:val="es-ES_tradnl"/>
        </w:rPr>
      </w:pPr>
      <w:r w:rsidRPr="001E3212">
        <w:rPr>
          <w:rFonts w:ascii="Palatino Linotype" w:hAnsi="Palatino Linotype" w:cs="Arial"/>
          <w:b/>
          <w:bCs/>
          <w:i/>
          <w:iCs/>
          <w:color w:val="222222"/>
          <w:sz w:val="22"/>
          <w:lang w:val="es-ES_tradnl"/>
        </w:rPr>
        <w:t>“Cuando en una solicitud de información no se identifique un documento en específico, si ésta tiene una expresión documental, el sujeto obligado deberá entregar al particular el documento en específico.</w:t>
      </w:r>
      <w:r w:rsidRPr="001E3212">
        <w:rPr>
          <w:rFonts w:ascii="Palatino Linotype" w:hAnsi="Palatino Linotype" w:cs="Arial"/>
          <w:i/>
          <w:iCs/>
          <w:color w:val="222222"/>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3D00DDF" w14:textId="77777777" w:rsidR="005E0B56" w:rsidRPr="001129E4" w:rsidRDefault="005E0B56" w:rsidP="005E0B56">
      <w:pPr>
        <w:pStyle w:val="Prrafodelista"/>
        <w:numPr>
          <w:ilvl w:val="0"/>
          <w:numId w:val="2"/>
        </w:numPr>
        <w:spacing w:before="240" w:after="240" w:line="360" w:lineRule="auto"/>
        <w:ind w:left="0" w:right="49" w:firstLine="0"/>
        <w:jc w:val="both"/>
        <w:rPr>
          <w:rFonts w:ascii="Palatino Linotype" w:eastAsia="MS Mincho" w:hAnsi="Palatino Linotype" w:cs="Arial"/>
          <w:sz w:val="24"/>
        </w:rPr>
      </w:pPr>
      <w:r w:rsidRPr="001129E4">
        <w:rPr>
          <w:rFonts w:ascii="Palatino Linotype" w:eastAsia="MS Mincho" w:hAnsi="Palatino Linotype" w:cs="Arial"/>
          <w:sz w:val="24"/>
          <w:lang w:val="es-ES"/>
        </w:rPr>
        <w:lastRenderedPageBreak/>
        <w:t xml:space="preserve">Robustece lo anterior </w:t>
      </w:r>
      <w:r w:rsidRPr="001129E4">
        <w:rPr>
          <w:rFonts w:ascii="Palatino Linotype" w:eastAsia="MS Mincho" w:hAnsi="Palatino Linotype" w:cs="Arial"/>
          <w:sz w:val="24"/>
        </w:rPr>
        <w:t>el criterio orientador 16/17 emitido de igual forma por el Instituto Nacional de Transparencia, Acceso a la Información y Protección de Datos Personales que a la literalidad prevé:</w:t>
      </w:r>
    </w:p>
    <w:p w14:paraId="6FB0FDEC" w14:textId="77777777" w:rsidR="005E0B56" w:rsidRPr="001E3212" w:rsidRDefault="005E0B56" w:rsidP="005E0B56">
      <w:pPr>
        <w:spacing w:before="240" w:after="240" w:line="276" w:lineRule="auto"/>
        <w:ind w:left="567" w:right="616"/>
        <w:jc w:val="both"/>
        <w:rPr>
          <w:rFonts w:ascii="Palatino Linotype" w:eastAsia="MS Mincho" w:hAnsi="Palatino Linotype" w:cs="Arial"/>
          <w:i/>
          <w:sz w:val="22"/>
        </w:rPr>
      </w:pPr>
      <w:r w:rsidRPr="001E3212">
        <w:rPr>
          <w:rFonts w:ascii="Palatino Linotype" w:eastAsia="MS Mincho" w:hAnsi="Palatino Linotype" w:cs="Arial"/>
          <w:b/>
          <w:i/>
          <w:sz w:val="22"/>
        </w:rPr>
        <w:t>“Expresión documental</w:t>
      </w:r>
      <w:r w:rsidRPr="001E3212">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40A45BC"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t>Resoluciones:</w:t>
      </w:r>
    </w:p>
    <w:p w14:paraId="49223901"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t>•</w:t>
      </w:r>
      <w:r w:rsidRPr="001E3212">
        <w:rPr>
          <w:rFonts w:ascii="Palatino Linotype" w:eastAsia="MS Mincho" w:hAnsi="Palatino Linotype" w:cs="Arial"/>
          <w:i/>
          <w:sz w:val="22"/>
        </w:rPr>
        <w:tab/>
        <w:t>RRA 0774/16. Secretaría de Salud. 31 de agosto de 2016. Por unanimidad. Comisionada Ponente María Patricia Kurczyn Villalobos.</w:t>
      </w:r>
    </w:p>
    <w:p w14:paraId="40F1B102"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t>•</w:t>
      </w:r>
      <w:r w:rsidRPr="001E3212">
        <w:rPr>
          <w:rFonts w:ascii="Palatino Linotype" w:eastAsia="MS Mincho" w:hAnsi="Palatino Linotype" w:cs="Arial"/>
          <w:i/>
          <w:sz w:val="22"/>
        </w:rPr>
        <w:tab/>
        <w:t xml:space="preserve">RRA 0143/17. Universidad Autónoma Agraria Antonio Narro. 22 de febrero de 2017. Por unanimidad. Comisionado Ponente Oscar Mauricio Guerra Ford. </w:t>
      </w:r>
    </w:p>
    <w:p w14:paraId="132064CF"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t>•</w:t>
      </w:r>
      <w:r w:rsidRPr="001E3212">
        <w:rPr>
          <w:rFonts w:ascii="Palatino Linotype" w:eastAsia="MS Mincho" w:hAnsi="Palatino Linotype" w:cs="Arial"/>
          <w:i/>
          <w:sz w:val="22"/>
        </w:rPr>
        <w:tab/>
        <w:t>RRA 0540/17. Secretaría de Economía. 08 de marzo del 2017. Por unanimidad. Comisionado Ponente Francisco Javier Acuña Llamas”</w:t>
      </w:r>
    </w:p>
    <w:p w14:paraId="5CC80CD3" w14:textId="57105FD6" w:rsidR="005E0B56" w:rsidRPr="005E0B56"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A85DC0">
        <w:rPr>
          <w:rFonts w:ascii="Palatino Linotype" w:hAnsi="Palatino Linotype" w:cs="Arial"/>
          <w:color w:val="000000" w:themeColor="text1"/>
          <w:sz w:val="24"/>
          <w:lang w:val="es-ES"/>
        </w:rPr>
        <w:t>En esa tesitura si bien es cierto en la solicitud no se identifica un documento específico, también lo es que, se debe realizar una expresión documental y, en su caso, entregar el soporte documental en donde obre la informació</w:t>
      </w:r>
      <w:r w:rsidR="00E915CF">
        <w:rPr>
          <w:rFonts w:ascii="Palatino Linotype" w:hAnsi="Palatino Linotype" w:cs="Arial"/>
          <w:color w:val="000000" w:themeColor="text1"/>
          <w:sz w:val="24"/>
          <w:lang w:val="es-ES"/>
        </w:rPr>
        <w:t xml:space="preserve">n requerida por el particular, </w:t>
      </w:r>
      <w:r w:rsidRPr="00A85DC0">
        <w:rPr>
          <w:rFonts w:ascii="Palatino Linotype" w:hAnsi="Palatino Linotype" w:cs="Arial"/>
          <w:color w:val="000000" w:themeColor="text1"/>
          <w:sz w:val="24"/>
          <w:lang w:val="es-ES"/>
        </w:rPr>
        <w:t>solo en aquellos requerimientos en los que sea posible derivado de su naturaleza.</w:t>
      </w:r>
    </w:p>
    <w:p w14:paraId="1803ACBF" w14:textId="77777777" w:rsidR="005E0B56" w:rsidRDefault="005E0B56" w:rsidP="005E0B56">
      <w:pPr>
        <w:spacing w:line="360" w:lineRule="auto"/>
        <w:jc w:val="both"/>
        <w:rPr>
          <w:rFonts w:ascii="Palatino Linotype" w:hAnsi="Palatino Linotype" w:cs="Arial"/>
          <w:sz w:val="24"/>
        </w:rPr>
      </w:pPr>
    </w:p>
    <w:p w14:paraId="67999629" w14:textId="77777777" w:rsidR="005E0B56" w:rsidRDefault="005E0B56" w:rsidP="005E0B56">
      <w:pPr>
        <w:spacing w:line="360" w:lineRule="auto"/>
        <w:jc w:val="both"/>
        <w:rPr>
          <w:rFonts w:ascii="Palatino Linotype" w:hAnsi="Palatino Linotype" w:cs="Arial"/>
          <w:sz w:val="24"/>
        </w:rPr>
      </w:pPr>
    </w:p>
    <w:p w14:paraId="0A2284D4" w14:textId="77777777" w:rsidR="005E0B56" w:rsidRDefault="005E0B56" w:rsidP="005E0B56">
      <w:pPr>
        <w:spacing w:line="360" w:lineRule="auto"/>
        <w:jc w:val="both"/>
        <w:rPr>
          <w:rFonts w:ascii="Palatino Linotype" w:hAnsi="Palatino Linotype" w:cs="Arial"/>
          <w:sz w:val="24"/>
        </w:rPr>
      </w:pPr>
    </w:p>
    <w:p w14:paraId="694E7C00" w14:textId="77777777" w:rsidR="005E0B56" w:rsidRDefault="005E0B56" w:rsidP="005E0B56">
      <w:pPr>
        <w:spacing w:line="360" w:lineRule="auto"/>
        <w:jc w:val="both"/>
        <w:rPr>
          <w:rFonts w:ascii="Palatino Linotype" w:hAnsi="Palatino Linotype" w:cs="Arial"/>
          <w:sz w:val="24"/>
        </w:rPr>
      </w:pPr>
    </w:p>
    <w:p w14:paraId="440AF713" w14:textId="76E5AF4D" w:rsidR="005E0B56" w:rsidRPr="005E0B56" w:rsidRDefault="005E0B56" w:rsidP="005E0B56">
      <w:pPr>
        <w:pStyle w:val="Ttulo2"/>
        <w:numPr>
          <w:ilvl w:val="0"/>
          <w:numId w:val="32"/>
        </w:numPr>
        <w:rPr>
          <w:rFonts w:ascii="Palatino Linotype" w:hAnsi="Palatino Linotype"/>
          <w:b/>
          <w:color w:val="auto"/>
          <w:sz w:val="24"/>
        </w:rPr>
      </w:pPr>
      <w:bookmarkStart w:id="29" w:name="_Toc86227415"/>
      <w:r w:rsidRPr="005E0B56">
        <w:rPr>
          <w:rFonts w:ascii="Palatino Linotype" w:hAnsi="Palatino Linotype"/>
          <w:b/>
          <w:color w:val="auto"/>
          <w:sz w:val="24"/>
        </w:rPr>
        <w:lastRenderedPageBreak/>
        <w:t>De la Búsqueda exhaustiva y razonable</w:t>
      </w:r>
      <w:bookmarkEnd w:id="29"/>
    </w:p>
    <w:p w14:paraId="04BFDA2B" w14:textId="77777777" w:rsidR="009918B6" w:rsidRPr="009918B6" w:rsidRDefault="009918B6" w:rsidP="009918B6">
      <w:pPr>
        <w:rPr>
          <w:rFonts w:eastAsiaTheme="minorEastAsia"/>
        </w:rPr>
      </w:pPr>
    </w:p>
    <w:p w14:paraId="2A397A1F" w14:textId="3D944CD2" w:rsidR="00E915CF" w:rsidRDefault="00E915CF" w:rsidP="004B7E50">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La solicitud de acceso a la información es tendiente a acceder a información del Director o Comisario de Seguridad Pública y el uso de vehículos oficiales tipo patrulla.</w:t>
      </w:r>
    </w:p>
    <w:p w14:paraId="3278CCC9" w14:textId="77777777" w:rsidR="00E915CF" w:rsidRPr="00E915CF" w:rsidRDefault="00E915CF" w:rsidP="00E915CF">
      <w:pPr>
        <w:pStyle w:val="Prrafodelista"/>
        <w:spacing w:line="360" w:lineRule="auto"/>
        <w:ind w:left="0"/>
        <w:jc w:val="both"/>
        <w:rPr>
          <w:rFonts w:ascii="Palatino Linotype" w:eastAsia="Calibri" w:hAnsi="Palatino Linotype" w:cs="Arial"/>
          <w:sz w:val="24"/>
        </w:rPr>
      </w:pPr>
    </w:p>
    <w:p w14:paraId="667DB7F7" w14:textId="7E123FCF" w:rsidR="004B7E50" w:rsidRPr="004B7E50" w:rsidRDefault="00E915CF" w:rsidP="004B7E50">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hAnsi="Palatino Linotype"/>
          <w:sz w:val="24"/>
        </w:rPr>
        <w:t>Es importante mencionar que, l</w:t>
      </w:r>
      <w:r w:rsidR="004B7E50" w:rsidRPr="004B7E50">
        <w:rPr>
          <w:rFonts w:ascii="Palatino Linotype" w:hAnsi="Palatino Linotype"/>
          <w:sz w:val="24"/>
        </w:rPr>
        <w:t xml:space="preserve">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004B7E50" w:rsidRPr="004B7E50">
        <w:rPr>
          <w:rFonts w:ascii="Palatino Linotype" w:hAnsi="Palatino Linotype"/>
          <w:i/>
          <w:sz w:val="24"/>
        </w:rPr>
        <w:t>realizar, con efectividad, los trámites internos necesarios para la atención de las solicitudes de información</w:t>
      </w:r>
      <w:r w:rsidR="004B7E50" w:rsidRPr="004B7E50">
        <w:rPr>
          <w:rStyle w:val="Refdenotaalpie"/>
          <w:rFonts w:ascii="Palatino Linotype" w:hAnsi="Palatino Linotype"/>
          <w:sz w:val="24"/>
        </w:rPr>
        <w:footnoteReference w:id="5"/>
      </w:r>
      <w:r w:rsidR="004B7E50" w:rsidRPr="004B7E50">
        <w:rPr>
          <w:rFonts w:ascii="Palatino Linotype" w:hAnsi="Palatino Linotype"/>
          <w:sz w:val="24"/>
        </w:rPr>
        <w:t>, es decir, deben otorgar respuestas concisas, contundentes y certeras, además de estar en estricto apego a lo que la normatividad en la materia establece.</w:t>
      </w:r>
    </w:p>
    <w:p w14:paraId="00077725" w14:textId="77777777" w:rsidR="004B7E50" w:rsidRPr="004B7E50" w:rsidRDefault="004B7E50" w:rsidP="004B7E50">
      <w:pPr>
        <w:pStyle w:val="Prrafodelista"/>
        <w:rPr>
          <w:rFonts w:ascii="Palatino Linotype" w:eastAsia="Calibri" w:hAnsi="Palatino Linotype" w:cs="Arial"/>
          <w:sz w:val="24"/>
        </w:rPr>
      </w:pPr>
    </w:p>
    <w:p w14:paraId="28043AD0" w14:textId="11704106" w:rsidR="00E915CF" w:rsidRPr="004B7E50" w:rsidRDefault="00E915CF" w:rsidP="00E915CF">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 xml:space="preserve">El artículo </w:t>
      </w:r>
      <w:r w:rsidRPr="004B7E50">
        <w:rPr>
          <w:rFonts w:ascii="Palatino Linotype" w:hAnsi="Palatino Linotype"/>
          <w:sz w:val="24"/>
        </w:rPr>
        <w:t>162</w:t>
      </w:r>
      <w:r w:rsidRPr="00E915CF">
        <w:rPr>
          <w:rFonts w:ascii="Palatino Linotype" w:hAnsi="Palatino Linotype"/>
          <w:sz w:val="24"/>
        </w:rPr>
        <w:t xml:space="preserve"> </w:t>
      </w:r>
      <w:r w:rsidRPr="004B7E50">
        <w:rPr>
          <w:rFonts w:ascii="Palatino Linotype" w:hAnsi="Palatino Linotype"/>
          <w:sz w:val="24"/>
        </w:rPr>
        <w:t>de la Ley de Transparencia y Acceso a la Información Pública del Estado de México y Municipios</w:t>
      </w:r>
      <w:r>
        <w:rPr>
          <w:rFonts w:ascii="Palatino Linotype" w:hAnsi="Palatino Linotype"/>
          <w:sz w:val="24"/>
        </w:rPr>
        <w:t xml:space="preserve"> establece lo siguiente:</w:t>
      </w:r>
    </w:p>
    <w:p w14:paraId="577FD5D6" w14:textId="77777777" w:rsidR="004B7E50" w:rsidRPr="004B7E50" w:rsidRDefault="004B7E50" w:rsidP="004B7E50">
      <w:pPr>
        <w:autoSpaceDE w:val="0"/>
        <w:autoSpaceDN w:val="0"/>
        <w:adjustRightInd w:val="0"/>
        <w:ind w:left="567" w:right="567"/>
        <w:jc w:val="both"/>
        <w:rPr>
          <w:rFonts w:ascii="Palatino Linotype" w:hAnsi="Palatino Linotype"/>
          <w:i/>
          <w:sz w:val="22"/>
          <w:szCs w:val="24"/>
        </w:rPr>
      </w:pPr>
      <w:r w:rsidRPr="004B7E50">
        <w:rPr>
          <w:rFonts w:ascii="Palatino Linotype" w:hAnsi="Palatino Linotype" w:cs="Bookman Old Style,Bold"/>
          <w:b/>
          <w:bCs/>
          <w:i/>
          <w:sz w:val="22"/>
          <w:szCs w:val="24"/>
        </w:rPr>
        <w:t xml:space="preserve">Artículo 162. </w:t>
      </w:r>
      <w:r w:rsidRPr="004B7E50">
        <w:rPr>
          <w:rFonts w:ascii="Palatino Linotype" w:hAnsi="Palatino Linotype" w:cs="Bookman Old Style"/>
          <w:i/>
          <w:sz w:val="22"/>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E3B6635" w14:textId="77777777" w:rsidR="004B7E50" w:rsidRPr="004B7E50" w:rsidRDefault="004B7E50" w:rsidP="004B7E50">
      <w:pPr>
        <w:pStyle w:val="Prrafodelista"/>
        <w:spacing w:line="360" w:lineRule="auto"/>
        <w:ind w:left="0"/>
        <w:jc w:val="both"/>
        <w:rPr>
          <w:rFonts w:ascii="Palatino Linotype" w:hAnsi="Palatino Linotype"/>
          <w:sz w:val="24"/>
        </w:rPr>
      </w:pPr>
      <w:r w:rsidRPr="004B7E50">
        <w:rPr>
          <w:rFonts w:ascii="Palatino Linotype" w:hAnsi="Palatino Linotype"/>
          <w:sz w:val="24"/>
        </w:rPr>
        <w:t xml:space="preserve"> </w:t>
      </w:r>
    </w:p>
    <w:p w14:paraId="27CCD593" w14:textId="77777777" w:rsidR="004B7E50" w:rsidRPr="004B7E50"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782A2577" w14:textId="77777777" w:rsidR="004B7E50" w:rsidRPr="004B7E50" w:rsidRDefault="004B7E50" w:rsidP="004B7E50">
      <w:pPr>
        <w:pStyle w:val="Prrafodelista"/>
        <w:spacing w:line="360" w:lineRule="auto"/>
        <w:ind w:left="0"/>
        <w:jc w:val="both"/>
        <w:rPr>
          <w:rFonts w:ascii="Palatino Linotype" w:hAnsi="Palatino Linotype"/>
          <w:sz w:val="24"/>
        </w:rPr>
      </w:pPr>
    </w:p>
    <w:p w14:paraId="03EC47DC" w14:textId="77777777" w:rsidR="004B7E50" w:rsidRPr="004B7E50"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lastRenderedPageBreak/>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1A8D7FB1" w14:textId="77777777" w:rsidR="004B7E50" w:rsidRPr="004B7E50" w:rsidRDefault="004B7E50" w:rsidP="004B7E50">
      <w:pPr>
        <w:pStyle w:val="Prrafodelista"/>
        <w:spacing w:line="360" w:lineRule="auto"/>
        <w:rPr>
          <w:rFonts w:ascii="Palatino Linotype" w:hAnsi="Palatino Linotype"/>
          <w:sz w:val="24"/>
        </w:rPr>
      </w:pPr>
    </w:p>
    <w:p w14:paraId="416868B1" w14:textId="77777777" w:rsidR="004B7E50" w:rsidRPr="004B7E50"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5D851B67" w14:textId="77777777" w:rsidR="004B7E50" w:rsidRPr="004B7E50" w:rsidRDefault="004B7E50" w:rsidP="004B7E50">
      <w:pPr>
        <w:pStyle w:val="Prrafodelista"/>
        <w:rPr>
          <w:rFonts w:ascii="Palatino Linotype" w:hAnsi="Palatino Linotype"/>
          <w:sz w:val="24"/>
        </w:rPr>
      </w:pPr>
    </w:p>
    <w:p w14:paraId="0D20C0CF" w14:textId="6A2E7A18" w:rsidR="00E915CF" w:rsidRPr="00E915CF" w:rsidRDefault="004B7E50" w:rsidP="00E915CF">
      <w:pPr>
        <w:pStyle w:val="Prrafodelista"/>
        <w:numPr>
          <w:ilvl w:val="0"/>
          <w:numId w:val="2"/>
        </w:numPr>
        <w:spacing w:line="360" w:lineRule="auto"/>
        <w:ind w:left="0" w:firstLine="0"/>
        <w:jc w:val="both"/>
        <w:rPr>
          <w:rFonts w:ascii="Palatino Linotype" w:eastAsia="Calibri" w:hAnsi="Palatino Linotype" w:cs="Arial"/>
          <w:sz w:val="24"/>
        </w:rPr>
      </w:pPr>
      <w:r w:rsidRPr="004B7E50">
        <w:rPr>
          <w:rFonts w:ascii="Palatino Linotype" w:hAnsi="Palatino Linotype"/>
          <w:sz w:val="24"/>
        </w:rPr>
        <w:t xml:space="preserve">En el presente asunto en particular, el Titular de la Unidad </w:t>
      </w:r>
      <w:r w:rsidRPr="007F555B">
        <w:rPr>
          <w:rFonts w:ascii="Palatino Linotype" w:hAnsi="Palatino Linotype"/>
          <w:sz w:val="24"/>
        </w:rPr>
        <w:t xml:space="preserve">de Transparencia turnó la solicitud a la </w:t>
      </w:r>
      <w:r w:rsidR="00E915CF">
        <w:rPr>
          <w:rFonts w:ascii="Palatino Linotype" w:hAnsi="Palatino Linotype" w:cs="Arial"/>
          <w:sz w:val="24"/>
        </w:rPr>
        <w:t>Dirección de Seguridad Pública, Protección Civil y Bomberos, misma que de acuerdo al Bando Municipal</w:t>
      </w:r>
      <w:r w:rsidR="00E915CF">
        <w:rPr>
          <w:rStyle w:val="Refdenotaalpie"/>
          <w:rFonts w:ascii="Palatino Linotype" w:hAnsi="Palatino Linotype" w:cs="Arial"/>
          <w:sz w:val="24"/>
        </w:rPr>
        <w:footnoteReference w:id="6"/>
      </w:r>
      <w:r w:rsidR="00E915CF">
        <w:rPr>
          <w:rFonts w:ascii="Palatino Linotype" w:hAnsi="Palatino Linotype" w:cs="Arial"/>
          <w:sz w:val="24"/>
        </w:rPr>
        <w:t xml:space="preserve"> cuenta con las siguientes atribuciones:</w:t>
      </w:r>
    </w:p>
    <w:p w14:paraId="19A18200" w14:textId="77777777" w:rsidR="00E915CF" w:rsidRPr="00E915CF" w:rsidRDefault="00E915CF" w:rsidP="00E915CF">
      <w:pPr>
        <w:pStyle w:val="Prrafodelista"/>
        <w:rPr>
          <w:rFonts w:ascii="Palatino Linotype" w:eastAsia="Calibri" w:hAnsi="Palatino Linotype" w:cs="Arial"/>
          <w:sz w:val="24"/>
        </w:rPr>
      </w:pPr>
    </w:p>
    <w:p w14:paraId="19DA177D" w14:textId="40227B69" w:rsidR="00E915CF" w:rsidRPr="0017114D" w:rsidRDefault="00E915CF" w:rsidP="0017114D">
      <w:pPr>
        <w:pStyle w:val="Prrafodelista"/>
        <w:ind w:left="567" w:right="822"/>
        <w:jc w:val="center"/>
        <w:rPr>
          <w:rFonts w:ascii="Palatino Linotype" w:hAnsi="Palatino Linotype"/>
          <w:b/>
          <w:i/>
        </w:rPr>
      </w:pPr>
      <w:r w:rsidRPr="0017114D">
        <w:rPr>
          <w:rFonts w:ascii="Palatino Linotype" w:hAnsi="Palatino Linotype"/>
          <w:b/>
          <w:i/>
        </w:rPr>
        <w:t>TÍTULO DÉCIMO TERCERO</w:t>
      </w:r>
    </w:p>
    <w:p w14:paraId="072E3734" w14:textId="5EC3CEC1" w:rsidR="00E915CF" w:rsidRPr="0017114D" w:rsidRDefault="00E915CF" w:rsidP="0017114D">
      <w:pPr>
        <w:pStyle w:val="Prrafodelista"/>
        <w:ind w:left="567" w:right="822"/>
        <w:jc w:val="center"/>
        <w:rPr>
          <w:rFonts w:ascii="Palatino Linotype" w:hAnsi="Palatino Linotype"/>
          <w:b/>
          <w:i/>
        </w:rPr>
      </w:pPr>
      <w:r w:rsidRPr="0017114D">
        <w:rPr>
          <w:rFonts w:ascii="Palatino Linotype" w:hAnsi="Palatino Linotype"/>
          <w:b/>
          <w:i/>
        </w:rPr>
        <w:t>DE LA SEGURIDAD PÚBLICAMUNICIPAL</w:t>
      </w:r>
    </w:p>
    <w:p w14:paraId="18DFB2BC" w14:textId="77777777" w:rsidR="00E915CF" w:rsidRPr="00E915CF" w:rsidRDefault="00E915CF" w:rsidP="00E915CF">
      <w:pPr>
        <w:pStyle w:val="Prrafodelista"/>
        <w:ind w:left="567" w:right="822"/>
        <w:jc w:val="both"/>
        <w:rPr>
          <w:rFonts w:ascii="Palatino Linotype" w:hAnsi="Palatino Linotype"/>
          <w:i/>
        </w:rPr>
      </w:pPr>
    </w:p>
    <w:p w14:paraId="58D889FF" w14:textId="70669B6A"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Artículo 246.- El Ayuntamiento por conducto de la Dirección de Seguridad Pública, será responsable de garantizar el orden público y la paz social, así como la prevención de la comisión de cualquier delito, inhibir la manifestación de conductas antisociales, siempre con estricto respeto de los Derechos Humanos y apegado al marco legal de carácter Federal, Estatal y Municipal.</w:t>
      </w:r>
    </w:p>
    <w:p w14:paraId="2B652B58" w14:textId="77777777" w:rsidR="00E915CF" w:rsidRPr="00E915CF" w:rsidRDefault="00E915CF" w:rsidP="00E915CF">
      <w:pPr>
        <w:pStyle w:val="Prrafodelista"/>
        <w:ind w:left="567" w:right="822"/>
        <w:jc w:val="both"/>
        <w:rPr>
          <w:rFonts w:ascii="Palatino Linotype" w:hAnsi="Palatino Linotype"/>
          <w:i/>
        </w:rPr>
      </w:pPr>
    </w:p>
    <w:p w14:paraId="633C8FEE" w14:textId="2A9EA15A"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lastRenderedPageBreak/>
        <w:t>Artículo 247.- El Presidente Municipal, asumirá el mandato del Cuerpo de Policía Preventiva Municipal, por lo tanto, es el Jefe inmediato en los términos que señalan los artículos 115, fracción VII, de la Constitución Política de los Estados Unidos Mexicanos, 128, fracción X, de la Constitución Política del Estado Libre y Soberano de México y 142, de la Ley Orgánica Municipal del Estado de México, el cual se conducirá en el desempeño de sus funciones y responsabilidades, conforme a los principios de legalidad, eficacia y transparencia, de acuerdo con las normas de conducta y disciplina que al efecto dicte el Ayuntamiento en el Reglamento respectivo.</w:t>
      </w:r>
    </w:p>
    <w:p w14:paraId="22A0BFFB" w14:textId="11B1A05B"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w:t>
      </w:r>
    </w:p>
    <w:p w14:paraId="66618D3C" w14:textId="77777777" w:rsidR="00E915CF" w:rsidRPr="00E915CF" w:rsidRDefault="00E915CF" w:rsidP="00E915CF">
      <w:pPr>
        <w:pStyle w:val="Prrafodelista"/>
        <w:ind w:left="567" w:right="822"/>
        <w:jc w:val="both"/>
        <w:rPr>
          <w:rFonts w:ascii="Palatino Linotype" w:hAnsi="Palatino Linotype"/>
          <w:i/>
        </w:rPr>
      </w:pPr>
    </w:p>
    <w:p w14:paraId="47743041" w14:textId="4F25F39B"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Artículo 249.- Son atribuciones de la Dirección de Seguridad Pública, además de las obligaciones que le impongan otros ordenamientos, las siguientes:</w:t>
      </w:r>
    </w:p>
    <w:p w14:paraId="38858B2B" w14:textId="77777777" w:rsidR="00E915CF" w:rsidRPr="00E915CF" w:rsidRDefault="00E915CF" w:rsidP="00E915CF">
      <w:pPr>
        <w:pStyle w:val="Prrafodelista"/>
        <w:ind w:left="567" w:right="822"/>
        <w:jc w:val="both"/>
        <w:rPr>
          <w:rFonts w:ascii="Palatino Linotype" w:hAnsi="Palatino Linotype"/>
          <w:i/>
        </w:rPr>
      </w:pPr>
    </w:p>
    <w:p w14:paraId="7DFF73CC" w14:textId="7638B2EE"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I.- Actuar respetando en todo momento la Constitución Federal, la Particular del Estado de México, la Ley de Seguridad Pública Preventiva del Estado de México, el presente Bando Municipal, los Reglamentos y Ordenamientos aplicables de observancia general.</w:t>
      </w:r>
    </w:p>
    <w:p w14:paraId="78354B25" w14:textId="345678EA"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II.- Preservar la Seguridad de las personas, su tranquilidad y sus bienes.</w:t>
      </w:r>
    </w:p>
    <w:p w14:paraId="09615DE4"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III.- Prevenir toda clase de conductas antisociales. </w:t>
      </w:r>
    </w:p>
    <w:p w14:paraId="105C81F6"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IV.- Salvaguardar los Derechos Humanos de la población. </w:t>
      </w:r>
    </w:p>
    <w:p w14:paraId="3CABAF47"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V.- Vigilar que los particulares cumplan las disposiciones del presente Bando Municipal, de los Reglamentos y disposiciones de observancia general que apruebe el Ayuntamiento. </w:t>
      </w:r>
    </w:p>
    <w:p w14:paraId="7469835E" w14:textId="216FFD9A"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VI.- Prevenir y evitar escándalos, faltas a la moral en la vía pública, en centros de espectáculos y diversiones abiertos al público, ya sea por riñas entre particulares, o por el uso de altavoces o de aparatos musicales que alteren la tranquilidad de los vecinos.</w:t>
      </w:r>
    </w:p>
    <w:p w14:paraId="6060C95F" w14:textId="58186C79" w:rsidR="00E915CF" w:rsidRPr="00E915CF" w:rsidRDefault="00E915CF" w:rsidP="00E915CF">
      <w:pPr>
        <w:pStyle w:val="Prrafodelista"/>
        <w:ind w:left="567" w:right="822"/>
        <w:jc w:val="both"/>
        <w:rPr>
          <w:rFonts w:ascii="Palatino Linotype" w:hAnsi="Palatino Linotype"/>
          <w:i/>
          <w:sz w:val="24"/>
        </w:rPr>
      </w:pPr>
      <w:r w:rsidRPr="00E915CF">
        <w:rPr>
          <w:rFonts w:ascii="Palatino Linotype" w:hAnsi="Palatino Linotype"/>
          <w:i/>
        </w:rPr>
        <w:t>VII.- En coordinación con la Dirección de Gobernación y Tesorería, vigilar que los establecimientos al público, cumplan con los horarios de funcionamiento autorizado, particularmente de aquellos establecimientos con licencia o autorización para vender bebidas que contienen alcohol o que ejercen la actividad de espectáculos públicos y de diversión nocturna.</w:t>
      </w:r>
    </w:p>
    <w:p w14:paraId="62380FFA"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VIII.- Proporcionar un trato amable a todas las personas, particularmente a quienes solicitan información y orientación turística. </w:t>
      </w:r>
    </w:p>
    <w:p w14:paraId="265B5C75"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IX.- Realizar operativos las 24 horas del día en el Municipio. </w:t>
      </w:r>
    </w:p>
    <w:p w14:paraId="2860254B" w14:textId="4F816BBE"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X.- Poner a disposición de las autoridades competentes, a las personas aseguradas por presunta comisión de delitos del fuero común, en los casos de flagrancia. </w:t>
      </w:r>
    </w:p>
    <w:p w14:paraId="330F334A"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XI.- Rendir diariamente al Presidente Municipal, como jefe inmediato superior, el parte de novedades de la Dirección de Seguridad Pública Municipal. </w:t>
      </w:r>
    </w:p>
    <w:p w14:paraId="58AFB851"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XII.- Convocar, seleccionar, capacitar, supervisar y evaluar permanentemente al personal que integra a la Dirección de Seguridad Pública. </w:t>
      </w:r>
    </w:p>
    <w:p w14:paraId="4CDBEB22"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lastRenderedPageBreak/>
        <w:t xml:space="preserve">XIII.- Es responsabilidad de la Policía Municipal, la integridad de las personas aseguradas por infracciones al Bando Municipal, a efecto de que se respeten sus Derechos Humanos. </w:t>
      </w:r>
    </w:p>
    <w:p w14:paraId="66F2AB9E" w14:textId="2BD861D4"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XIV.- Atender el llamado del Consejo Municipal de Protección Civil y las demás Instituciones y Corporaciones de Seguridad Pública Estatal y Federal, en casos de emergencia a la población.</w:t>
      </w:r>
    </w:p>
    <w:p w14:paraId="1A3F1E3B"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XV.- Establecer vínculos permanentes con organizaciones sociales y en general con os habitantes del Municipio, para detectar los problemas y fenómenos sociales que los aquejan en materia de Seguridad Pública. </w:t>
      </w:r>
    </w:p>
    <w:p w14:paraId="530B0162"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XVI.- Asegurar y remitir a los infractores de disposiciones administrativas, cuidando que en el caso que el infractor sea mujer, la función sea realizada por elementos femeninos. </w:t>
      </w:r>
    </w:p>
    <w:p w14:paraId="3B530AE5" w14:textId="6840F56D"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XVII.- Vigilar el cumplimiento del Reglamento de Seguridad Pública. </w:t>
      </w:r>
    </w:p>
    <w:p w14:paraId="6C5E8CE7" w14:textId="77777777" w:rsidR="00E915CF" w:rsidRPr="00E915CF" w:rsidRDefault="00E915CF" w:rsidP="00E915CF">
      <w:pPr>
        <w:pStyle w:val="Prrafodelista"/>
        <w:ind w:left="567" w:right="822"/>
        <w:jc w:val="both"/>
        <w:rPr>
          <w:rFonts w:ascii="Palatino Linotype" w:hAnsi="Palatino Linotype"/>
          <w:i/>
        </w:rPr>
      </w:pPr>
      <w:r w:rsidRPr="00E915CF">
        <w:rPr>
          <w:rFonts w:ascii="Palatino Linotype" w:hAnsi="Palatino Linotype"/>
          <w:i/>
        </w:rPr>
        <w:t xml:space="preserve">XVIII.- Ejecutar los operativos al comercio irregular, actuando de manera directa, llevando a cabo el resguardo e inmediata puesta a disposición ante el Oficial Mediador Conciliador y Calificador de las mercancías y estructuras con el debido cuidado a fin de resguardar su integridad y procurando el orden social. </w:t>
      </w:r>
    </w:p>
    <w:p w14:paraId="272DB9C4" w14:textId="0250782D" w:rsidR="00E915CF" w:rsidRPr="00E915CF" w:rsidRDefault="00E915CF" w:rsidP="00E915CF">
      <w:pPr>
        <w:pStyle w:val="Prrafodelista"/>
        <w:ind w:left="567" w:right="822"/>
        <w:jc w:val="both"/>
        <w:rPr>
          <w:rFonts w:ascii="Palatino Linotype" w:hAnsi="Palatino Linotype"/>
          <w:i/>
          <w:sz w:val="24"/>
        </w:rPr>
      </w:pPr>
      <w:r w:rsidRPr="00E915CF">
        <w:rPr>
          <w:rFonts w:ascii="Palatino Linotype" w:hAnsi="Palatino Linotype"/>
          <w:i/>
        </w:rPr>
        <w:t>XIX.- Brindar el servicio de Policía Turística, teniendo como obligación el acompañamiento a los grupos numerosos de turistas para salvaguardar su seguridad, además de contar con el respaldo de protección civil en caso de ser necesario.</w:t>
      </w:r>
    </w:p>
    <w:p w14:paraId="463367AF" w14:textId="77777777" w:rsidR="00E915CF" w:rsidRPr="00E915CF" w:rsidRDefault="00E915CF" w:rsidP="00E915CF">
      <w:pPr>
        <w:pStyle w:val="Prrafodelista"/>
        <w:rPr>
          <w:rFonts w:ascii="Palatino Linotype" w:hAnsi="Palatino Linotype"/>
          <w:iCs/>
          <w:color w:val="000000"/>
          <w:sz w:val="24"/>
        </w:rPr>
      </w:pPr>
    </w:p>
    <w:p w14:paraId="27FA4D05" w14:textId="3EA02475" w:rsidR="0092747F" w:rsidRPr="0092747F" w:rsidRDefault="0092747F" w:rsidP="0092747F">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 xml:space="preserve">La Dirección de Seguridad Pública, Protección Civil y Bomberos </w:t>
      </w:r>
      <w:r w:rsidRPr="0092747F">
        <w:rPr>
          <w:rFonts w:ascii="Palatino Linotype" w:hAnsi="Palatino Linotype"/>
          <w:sz w:val="24"/>
        </w:rPr>
        <w:t>será responsable de garantizar el orden público y la paz social, así como la prevención de la comisión de cualquier delito, inhibir la manifestación de conductas antisociales, siempre con estricto respeto de los Derechos Hu</w:t>
      </w:r>
      <w:r>
        <w:rPr>
          <w:rFonts w:ascii="Palatino Linotype" w:hAnsi="Palatino Linotype"/>
          <w:sz w:val="24"/>
        </w:rPr>
        <w:t>manos, por lo que resulta ser el área idónea para dar atención a la solicitud, toda vez que el tema de la misma es relativo a al Director y al uso de vehículos oficiales tipo patrulla.</w:t>
      </w:r>
    </w:p>
    <w:p w14:paraId="3F2D6549" w14:textId="77777777" w:rsidR="00E915CF" w:rsidRDefault="00E915CF" w:rsidP="0092747F">
      <w:pPr>
        <w:pStyle w:val="Prrafodelista"/>
        <w:spacing w:line="360" w:lineRule="auto"/>
        <w:ind w:left="0"/>
        <w:jc w:val="both"/>
        <w:rPr>
          <w:rFonts w:ascii="Palatino Linotype" w:hAnsi="Palatino Linotype"/>
          <w:sz w:val="24"/>
        </w:rPr>
      </w:pPr>
    </w:p>
    <w:p w14:paraId="3A2AFDB4" w14:textId="77777777" w:rsidR="0092747F" w:rsidRDefault="0092747F"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El Sujeto Obligado en respuesta a la solicitud señaló lo siguiente:</w:t>
      </w:r>
    </w:p>
    <w:p w14:paraId="09D3FE5D" w14:textId="77777777" w:rsidR="0092747F" w:rsidRPr="0092747F" w:rsidRDefault="0092747F" w:rsidP="0092747F">
      <w:pPr>
        <w:pStyle w:val="Prrafodelista"/>
        <w:rPr>
          <w:rFonts w:ascii="Palatino Linotype" w:hAnsi="Palatino Linotype"/>
          <w:sz w:val="24"/>
        </w:rPr>
      </w:pPr>
    </w:p>
    <w:p w14:paraId="35DF38A6" w14:textId="2E062293" w:rsidR="0092747F" w:rsidRDefault="0092747F" w:rsidP="0092747F">
      <w:pPr>
        <w:pStyle w:val="Prrafodelista"/>
        <w:numPr>
          <w:ilvl w:val="0"/>
          <w:numId w:val="18"/>
        </w:numPr>
        <w:spacing w:line="360" w:lineRule="auto"/>
        <w:jc w:val="both"/>
        <w:rPr>
          <w:rFonts w:ascii="Palatino Linotype" w:hAnsi="Palatino Linotype"/>
          <w:sz w:val="24"/>
        </w:rPr>
      </w:pPr>
      <w:r>
        <w:rPr>
          <w:rFonts w:ascii="Palatino Linotype" w:hAnsi="Palatino Linotype"/>
          <w:sz w:val="24"/>
        </w:rPr>
        <w:t xml:space="preserve">Se ha observado personal civil a bordo de las unidades oficiales (patrullas) porque se realizan puestas a disposición ante el ministerio público que se </w:t>
      </w:r>
      <w:r>
        <w:rPr>
          <w:rFonts w:ascii="Palatino Linotype" w:hAnsi="Palatino Linotype"/>
          <w:sz w:val="24"/>
        </w:rPr>
        <w:lastRenderedPageBreak/>
        <w:t>encuentra en las instalaciones de la Fiscalía General de Justicia en el Municipio de Atlacomulco.</w:t>
      </w:r>
    </w:p>
    <w:p w14:paraId="178A41AC" w14:textId="2BBC4F14" w:rsidR="0092747F" w:rsidRDefault="0092747F" w:rsidP="0092747F">
      <w:pPr>
        <w:pStyle w:val="Prrafodelista"/>
        <w:numPr>
          <w:ilvl w:val="0"/>
          <w:numId w:val="18"/>
        </w:numPr>
        <w:spacing w:line="360" w:lineRule="auto"/>
        <w:jc w:val="both"/>
        <w:rPr>
          <w:rFonts w:ascii="Palatino Linotype" w:hAnsi="Palatino Linotype"/>
          <w:sz w:val="24"/>
        </w:rPr>
      </w:pPr>
      <w:r>
        <w:rPr>
          <w:rFonts w:ascii="Palatino Linotype" w:hAnsi="Palatino Linotype"/>
          <w:sz w:val="24"/>
        </w:rPr>
        <w:t>Se realiza apoyo con el traslado a los ciudadanos para realizar la entrega de documentación en las oficinas de Derechos Humanos ubicadas en el Municipio de Atlacomulco.</w:t>
      </w:r>
    </w:p>
    <w:p w14:paraId="4F8CFDEA" w14:textId="77777777" w:rsidR="0092747F" w:rsidRPr="0092747F" w:rsidRDefault="0092747F" w:rsidP="0092747F">
      <w:pPr>
        <w:pStyle w:val="Prrafodelista"/>
        <w:rPr>
          <w:rFonts w:ascii="Palatino Linotype" w:hAnsi="Palatino Linotype"/>
          <w:sz w:val="24"/>
        </w:rPr>
      </w:pPr>
    </w:p>
    <w:p w14:paraId="2BFA845C" w14:textId="174E97E7" w:rsidR="0092747F" w:rsidRDefault="0092747F"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Por lo que corresponde al personal civil a bordo de las patrullas, aún y cuando se trata de una manifestación subjetiva o un derecho de petición, el Sujeto Obligado, en aras de no vulnerar el derecho accionado por el particular, le hizo de conocimiento los motivos por los cuales se aprecia personal civil a bordo de vehículos oficiales tipo patrullas, ya sea porque ponen a disposición del ministerio público a personas aseguradas por la presunta comisión de delitos, así como para la realización de trámites en las oficinas de Derechos Humanos, ambas dependencias se encuentran ubicadas en el Municipio de Atlacomulco.</w:t>
      </w:r>
    </w:p>
    <w:p w14:paraId="0FA686A5" w14:textId="77777777" w:rsidR="0092747F" w:rsidRDefault="0092747F" w:rsidP="0092747F">
      <w:pPr>
        <w:pStyle w:val="Prrafodelista"/>
        <w:spacing w:line="360" w:lineRule="auto"/>
        <w:ind w:left="0"/>
        <w:jc w:val="both"/>
        <w:rPr>
          <w:rFonts w:ascii="Palatino Linotype" w:hAnsi="Palatino Linotype"/>
          <w:sz w:val="24"/>
        </w:rPr>
      </w:pPr>
    </w:p>
    <w:p w14:paraId="00C35F5A" w14:textId="5AB5B035" w:rsidR="0092747F" w:rsidRDefault="0092747F"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Por lo que corresponde al fundamento legal, el Sujeto Obligado refirió que, se encuentra en apego al artículo 21 de la Constitución Política de</w:t>
      </w:r>
      <w:r w:rsidR="00EE7F5D">
        <w:rPr>
          <w:rFonts w:ascii="Palatino Linotype" w:hAnsi="Palatino Linotype"/>
          <w:sz w:val="24"/>
        </w:rPr>
        <w:t xml:space="preserve"> </w:t>
      </w:r>
      <w:r>
        <w:rPr>
          <w:rFonts w:ascii="Palatino Linotype" w:hAnsi="Palatino Linotype"/>
          <w:sz w:val="24"/>
        </w:rPr>
        <w:t>l</w:t>
      </w:r>
      <w:r w:rsidR="00EE7F5D">
        <w:rPr>
          <w:rFonts w:ascii="Palatino Linotype" w:hAnsi="Palatino Linotype"/>
          <w:sz w:val="24"/>
        </w:rPr>
        <w:t>os</w:t>
      </w:r>
      <w:r>
        <w:rPr>
          <w:rFonts w:ascii="Palatino Linotype" w:hAnsi="Palatino Linotype"/>
          <w:sz w:val="24"/>
        </w:rPr>
        <w:t xml:space="preserve"> Estado</w:t>
      </w:r>
      <w:r w:rsidR="00EE7F5D">
        <w:rPr>
          <w:rFonts w:ascii="Palatino Linotype" w:hAnsi="Palatino Linotype"/>
          <w:sz w:val="24"/>
        </w:rPr>
        <w:t xml:space="preserve">s Unidos de México, así </w:t>
      </w:r>
      <w:r>
        <w:rPr>
          <w:rFonts w:ascii="Palatino Linotype" w:hAnsi="Palatino Linotype"/>
          <w:sz w:val="24"/>
        </w:rPr>
        <w:t>como al artículo 249 fracción X y XIV del Bando Municipal, los cuales disponen lo siguiente:</w:t>
      </w:r>
    </w:p>
    <w:p w14:paraId="366DD5D4" w14:textId="77777777" w:rsidR="00EE7F5D" w:rsidRPr="00EE7F5D" w:rsidRDefault="00EE7F5D" w:rsidP="00EE7F5D">
      <w:pPr>
        <w:pStyle w:val="Prrafodelista"/>
        <w:rPr>
          <w:rFonts w:ascii="Palatino Linotype" w:hAnsi="Palatino Linotype"/>
          <w:sz w:val="24"/>
        </w:rPr>
      </w:pPr>
    </w:p>
    <w:p w14:paraId="0735CFB4" w14:textId="77777777" w:rsidR="00EE7F5D" w:rsidRDefault="00EE7F5D" w:rsidP="00EE7F5D">
      <w:pPr>
        <w:pStyle w:val="Prrafodelista"/>
        <w:spacing w:line="360" w:lineRule="auto"/>
        <w:ind w:left="0"/>
        <w:jc w:val="both"/>
        <w:rPr>
          <w:rFonts w:ascii="Palatino Linotype" w:hAnsi="Palatino Linotype"/>
          <w:sz w:val="24"/>
        </w:rPr>
      </w:pPr>
    </w:p>
    <w:p w14:paraId="021B469E" w14:textId="77777777" w:rsidR="00EE7F5D" w:rsidRPr="0017114D" w:rsidRDefault="00EE7F5D" w:rsidP="0017114D">
      <w:pPr>
        <w:pStyle w:val="Prrafodelista"/>
        <w:spacing w:line="360" w:lineRule="auto"/>
        <w:ind w:left="567" w:right="822"/>
        <w:jc w:val="both"/>
        <w:rPr>
          <w:rFonts w:ascii="Palatino Linotype" w:hAnsi="Palatino Linotype"/>
          <w:i/>
        </w:rPr>
      </w:pPr>
      <w:r w:rsidRPr="0017114D">
        <w:rPr>
          <w:rFonts w:ascii="Palatino Linotype" w:hAnsi="Palatino Linotype"/>
          <w:i/>
        </w:rPr>
        <w:t xml:space="preserve">Artículo 21. La investigación de los delitos corresponde al Ministerio Público y a las policías, las cuales actuarán bajo la conducción y mando de aquél en el ejercicio de esta función. </w:t>
      </w:r>
    </w:p>
    <w:p w14:paraId="64079EAA" w14:textId="77777777" w:rsidR="00EE7F5D" w:rsidRPr="0017114D" w:rsidRDefault="00EE7F5D" w:rsidP="0017114D">
      <w:pPr>
        <w:pStyle w:val="Prrafodelista"/>
        <w:spacing w:line="360" w:lineRule="auto"/>
        <w:ind w:left="567" w:right="822"/>
        <w:jc w:val="both"/>
        <w:rPr>
          <w:rFonts w:ascii="Palatino Linotype" w:hAnsi="Palatino Linotype"/>
          <w:i/>
        </w:rPr>
      </w:pPr>
      <w:r w:rsidRPr="0017114D">
        <w:rPr>
          <w:rFonts w:ascii="Palatino Linotype" w:hAnsi="Palatino Linotype"/>
          <w:i/>
        </w:rPr>
        <w:lastRenderedPageBreak/>
        <w:t xml:space="preserve">El ejercicio de la acción penal ante los tribunales corresponde al Ministerio Público. La ley determinará los casos en que los particulares podrán ejercer la acción penal ante la autoridad judicial. </w:t>
      </w:r>
    </w:p>
    <w:p w14:paraId="225E4F23" w14:textId="176128A2" w:rsidR="00EE7F5D" w:rsidRPr="0017114D" w:rsidRDefault="0017114D" w:rsidP="0017114D">
      <w:pPr>
        <w:pStyle w:val="Prrafodelista"/>
        <w:spacing w:line="360" w:lineRule="auto"/>
        <w:ind w:left="567" w:right="822"/>
        <w:jc w:val="both"/>
        <w:rPr>
          <w:rFonts w:ascii="Palatino Linotype" w:hAnsi="Palatino Linotype"/>
          <w:i/>
        </w:rPr>
      </w:pPr>
      <w:r>
        <w:rPr>
          <w:rFonts w:ascii="Palatino Linotype" w:hAnsi="Palatino Linotype"/>
          <w:i/>
        </w:rPr>
        <w:t>…</w:t>
      </w:r>
    </w:p>
    <w:p w14:paraId="2BD22D36" w14:textId="77777777" w:rsidR="00EE7F5D" w:rsidRPr="0017114D" w:rsidRDefault="00EE7F5D" w:rsidP="0017114D">
      <w:pPr>
        <w:pStyle w:val="Prrafodelista"/>
        <w:spacing w:line="360" w:lineRule="auto"/>
        <w:ind w:left="567" w:right="822"/>
        <w:jc w:val="both"/>
        <w:rPr>
          <w:rFonts w:ascii="Palatino Linotype" w:hAnsi="Palatino Linotype"/>
          <w:i/>
        </w:rPr>
      </w:pPr>
      <w:r w:rsidRPr="0017114D">
        <w:rPr>
          <w:rFonts w:ascii="Palatino Linotype" w:hAnsi="Palatino Linotype"/>
          <w:b/>
          <w:i/>
        </w:rPr>
        <w:t xml:space="preserve">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w:t>
      </w:r>
      <w:r w:rsidRPr="0017114D">
        <w:rPr>
          <w:rFonts w:ascii="Palatino Linotype" w:hAnsi="Palatino Linotype"/>
          <w:i/>
        </w:rPr>
        <w:t xml:space="preserve">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w:t>
      </w:r>
      <w:r w:rsidRPr="0017114D">
        <w:rPr>
          <w:rFonts w:ascii="Palatino Linotype" w:hAnsi="Palatino Linotype"/>
          <w:b/>
          <w:i/>
        </w:rPr>
        <w:t>La actuación de las instituciones de seguridad pública se regirá por los principios de legalidad, objetividad, eficiencia, profesionalismo, honradez y respeto a los derechos humanos reconocidos en esta Constitución.</w:t>
      </w:r>
      <w:r w:rsidRPr="0017114D">
        <w:rPr>
          <w:rFonts w:ascii="Palatino Linotype" w:hAnsi="Palatino Linotype"/>
          <w:i/>
        </w:rPr>
        <w:t xml:space="preserve"> </w:t>
      </w:r>
    </w:p>
    <w:p w14:paraId="303D6487" w14:textId="77777777" w:rsidR="00EE7F5D" w:rsidRPr="0017114D" w:rsidRDefault="00EE7F5D" w:rsidP="0017114D">
      <w:pPr>
        <w:pStyle w:val="Prrafodelista"/>
        <w:spacing w:line="360" w:lineRule="auto"/>
        <w:ind w:left="567" w:right="822"/>
        <w:jc w:val="both"/>
        <w:rPr>
          <w:rFonts w:ascii="Palatino Linotype" w:hAnsi="Palatino Linotype"/>
          <w:i/>
        </w:rPr>
      </w:pPr>
    </w:p>
    <w:p w14:paraId="2B5858A0" w14:textId="77777777" w:rsidR="00EE7F5D" w:rsidRPr="0017114D" w:rsidRDefault="00EE7F5D" w:rsidP="0017114D">
      <w:pPr>
        <w:pStyle w:val="Prrafodelista"/>
        <w:spacing w:line="360" w:lineRule="auto"/>
        <w:ind w:left="567" w:right="822"/>
        <w:jc w:val="both"/>
        <w:rPr>
          <w:rFonts w:ascii="Palatino Linotype" w:hAnsi="Palatino Linotype"/>
          <w:i/>
        </w:rPr>
      </w:pPr>
      <w:r w:rsidRPr="0017114D">
        <w:rPr>
          <w:rFonts w:ascii="Palatino Linotype" w:hAnsi="Palatino Linotype"/>
          <w:i/>
        </w:rPr>
        <w:t xml:space="preserve">Las instituciones de seguridad pública, incluyendo la Guardia Nacional, serán de carácter civil, disciplinado y profesional. </w:t>
      </w:r>
      <w:r w:rsidRPr="0017114D">
        <w:rPr>
          <w:rFonts w:ascii="Palatino Linotype" w:hAnsi="Palatino Linotype"/>
          <w:b/>
          <w:i/>
        </w:rPr>
        <w:t>El Ministerio Público y las instituciones policiales de los tres órdenes de gobierno deberán coordinarse entre sí para cumplir los fines de la seguridad pública</w:t>
      </w:r>
      <w:r w:rsidRPr="0017114D">
        <w:rPr>
          <w:rFonts w:ascii="Palatino Linotype" w:hAnsi="Palatino Linotype"/>
          <w:i/>
        </w:rPr>
        <w:t xml:space="preserve"> y conformarán el Sistema Nacional de Seguridad Pública, que estará sujeto a las siguientes bases mínimas: </w:t>
      </w:r>
    </w:p>
    <w:p w14:paraId="540C4483" w14:textId="62676BC5" w:rsidR="00EE7F5D" w:rsidRPr="0017114D" w:rsidRDefault="0017114D" w:rsidP="0017114D">
      <w:pPr>
        <w:pStyle w:val="Prrafodelista"/>
        <w:spacing w:line="360" w:lineRule="auto"/>
        <w:ind w:left="567" w:right="822"/>
        <w:jc w:val="both"/>
        <w:rPr>
          <w:rFonts w:ascii="Palatino Linotype" w:hAnsi="Palatino Linotype"/>
          <w:i/>
        </w:rPr>
      </w:pPr>
      <w:r>
        <w:rPr>
          <w:rFonts w:ascii="Palatino Linotype" w:hAnsi="Palatino Linotype"/>
          <w:i/>
        </w:rPr>
        <w:t>…</w:t>
      </w:r>
    </w:p>
    <w:p w14:paraId="41E56241" w14:textId="77777777" w:rsidR="0092747F" w:rsidRDefault="0092747F" w:rsidP="0017114D">
      <w:pPr>
        <w:rPr>
          <w:rFonts w:ascii="Palatino Linotype" w:hAnsi="Palatino Linotype"/>
          <w:sz w:val="24"/>
        </w:rPr>
      </w:pPr>
    </w:p>
    <w:p w14:paraId="04288940" w14:textId="3735184E" w:rsidR="0017114D" w:rsidRDefault="0017114D" w:rsidP="006977BA">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 xml:space="preserve">El precepto constitucional establece que, las policías tienen como fin, </w:t>
      </w:r>
      <w:r w:rsidRPr="0017114D">
        <w:rPr>
          <w:rFonts w:ascii="Palatino Linotype" w:hAnsi="Palatino Linotype"/>
          <w:b/>
          <w:i/>
        </w:rPr>
        <w:t>salvaguardar la vida, las libertades, la integridad y el patrimonio de las personas, así como contribuir a la generación y preservación del orden público y la paz social</w:t>
      </w:r>
      <w:r w:rsidR="006977BA">
        <w:rPr>
          <w:rFonts w:ascii="Palatino Linotype" w:hAnsi="Palatino Linotype"/>
          <w:b/>
          <w:i/>
        </w:rPr>
        <w:t>,</w:t>
      </w:r>
      <w:r w:rsidR="006977BA" w:rsidRPr="006977BA">
        <w:rPr>
          <w:rFonts w:ascii="Palatino Linotype" w:hAnsi="Palatino Linotype"/>
          <w:i/>
        </w:rPr>
        <w:t xml:space="preserve"> </w:t>
      </w:r>
      <w:r w:rsidR="006977BA" w:rsidRPr="006977BA">
        <w:rPr>
          <w:rFonts w:ascii="Palatino Linotype" w:hAnsi="Palatino Linotype"/>
        </w:rPr>
        <w:t xml:space="preserve">para alcanzar </w:t>
      </w:r>
      <w:r w:rsidR="006977BA" w:rsidRPr="006977BA">
        <w:rPr>
          <w:rFonts w:ascii="Palatino Linotype" w:hAnsi="Palatino Linotype"/>
        </w:rPr>
        <w:lastRenderedPageBreak/>
        <w:t xml:space="preserve">dichos fines, es necesario que, </w:t>
      </w:r>
      <w:r w:rsidR="006977BA">
        <w:rPr>
          <w:rFonts w:ascii="Palatino Linotype" w:hAnsi="Palatino Linotype"/>
          <w:sz w:val="24"/>
        </w:rPr>
        <w:t>el ministerio público se encuentre perfectamente coordinado con las policías de los tres niveles, federal, estatal y municipal</w:t>
      </w:r>
      <w:r w:rsidRPr="006977BA">
        <w:rPr>
          <w:rFonts w:ascii="Palatino Linotype" w:hAnsi="Palatino Linotype"/>
          <w:sz w:val="24"/>
        </w:rPr>
        <w:t xml:space="preserve"> para cumplir con los fines en materia de seguridad p</w:t>
      </w:r>
      <w:r w:rsidR="006977BA">
        <w:rPr>
          <w:rFonts w:ascii="Palatino Linotype" w:hAnsi="Palatino Linotype"/>
          <w:sz w:val="24"/>
        </w:rPr>
        <w:t>ública.</w:t>
      </w:r>
    </w:p>
    <w:p w14:paraId="0AF22927" w14:textId="77777777" w:rsidR="006977BA" w:rsidRPr="006977BA" w:rsidRDefault="006977BA" w:rsidP="006977BA">
      <w:pPr>
        <w:pStyle w:val="Prrafodelista"/>
        <w:spacing w:line="360" w:lineRule="auto"/>
        <w:ind w:left="0"/>
        <w:jc w:val="both"/>
        <w:rPr>
          <w:rFonts w:ascii="Palatino Linotype" w:hAnsi="Palatino Linotype"/>
          <w:sz w:val="24"/>
        </w:rPr>
      </w:pPr>
    </w:p>
    <w:p w14:paraId="3FDCCDAC" w14:textId="776935BB" w:rsidR="0017114D" w:rsidRPr="006977BA" w:rsidRDefault="006977BA" w:rsidP="005E0A8B">
      <w:pPr>
        <w:pStyle w:val="Prrafodelista"/>
        <w:numPr>
          <w:ilvl w:val="0"/>
          <w:numId w:val="2"/>
        </w:numPr>
        <w:spacing w:line="360" w:lineRule="auto"/>
        <w:ind w:left="0" w:firstLine="0"/>
        <w:jc w:val="both"/>
        <w:rPr>
          <w:rFonts w:ascii="Palatino Linotype" w:hAnsi="Palatino Linotype"/>
          <w:sz w:val="24"/>
        </w:rPr>
      </w:pPr>
      <w:r w:rsidRPr="006977BA">
        <w:rPr>
          <w:rFonts w:ascii="Palatino Linotype" w:hAnsi="Palatino Linotype"/>
          <w:sz w:val="24"/>
        </w:rPr>
        <w:t xml:space="preserve">Por su parte, el Bando Municipal en el artículo 249 </w:t>
      </w:r>
      <w:r>
        <w:rPr>
          <w:rFonts w:ascii="Palatino Linotype" w:hAnsi="Palatino Linotype"/>
          <w:sz w:val="24"/>
        </w:rPr>
        <w:t xml:space="preserve">en las fracciones X y XIV </w:t>
      </w:r>
      <w:r w:rsidRPr="006977BA">
        <w:rPr>
          <w:rFonts w:ascii="Palatino Linotype" w:hAnsi="Palatino Linotype"/>
          <w:sz w:val="24"/>
        </w:rPr>
        <w:t>establece lo siguiente:</w:t>
      </w:r>
    </w:p>
    <w:p w14:paraId="4D3C7D19" w14:textId="77777777" w:rsidR="0017114D" w:rsidRDefault="0017114D" w:rsidP="0017114D">
      <w:pPr>
        <w:pStyle w:val="Prrafodelista"/>
        <w:spacing w:line="360" w:lineRule="auto"/>
        <w:ind w:left="0"/>
        <w:jc w:val="both"/>
        <w:rPr>
          <w:rFonts w:ascii="Palatino Linotype" w:hAnsi="Palatino Linotype"/>
          <w:sz w:val="24"/>
        </w:rPr>
      </w:pPr>
    </w:p>
    <w:p w14:paraId="74BCE15B" w14:textId="77777777" w:rsidR="0017114D" w:rsidRPr="0092747F" w:rsidRDefault="0017114D" w:rsidP="0017114D">
      <w:pPr>
        <w:pStyle w:val="Prrafodelista"/>
        <w:ind w:left="567" w:right="822"/>
        <w:jc w:val="both"/>
        <w:rPr>
          <w:rFonts w:ascii="Palatino Linotype" w:hAnsi="Palatino Linotype"/>
          <w:i/>
          <w:szCs w:val="22"/>
        </w:rPr>
      </w:pPr>
      <w:r w:rsidRPr="0092747F">
        <w:rPr>
          <w:rFonts w:ascii="Palatino Linotype" w:hAnsi="Palatino Linotype"/>
          <w:i/>
          <w:szCs w:val="22"/>
        </w:rPr>
        <w:t>Artículo 249.- Son atribuciones de la Dirección de Seguridad Pública, además de las obligaciones que le impongan otros ordenamientos, las siguientes:</w:t>
      </w:r>
    </w:p>
    <w:p w14:paraId="0D1E48E3" w14:textId="77777777" w:rsidR="0017114D" w:rsidRPr="0092747F" w:rsidRDefault="0017114D" w:rsidP="0017114D">
      <w:pPr>
        <w:pStyle w:val="Prrafodelista"/>
        <w:ind w:left="567" w:right="822"/>
        <w:jc w:val="both"/>
        <w:rPr>
          <w:rFonts w:ascii="Palatino Linotype" w:hAnsi="Palatino Linotype"/>
          <w:i/>
          <w:szCs w:val="22"/>
        </w:rPr>
      </w:pPr>
    </w:p>
    <w:p w14:paraId="5DDEE46F" w14:textId="77777777" w:rsidR="0017114D" w:rsidRPr="0092747F" w:rsidRDefault="0017114D" w:rsidP="0017114D">
      <w:pPr>
        <w:pStyle w:val="Prrafodelista"/>
        <w:spacing w:line="360" w:lineRule="auto"/>
        <w:ind w:left="567"/>
        <w:jc w:val="both"/>
        <w:rPr>
          <w:rFonts w:ascii="Palatino Linotype" w:hAnsi="Palatino Linotype"/>
          <w:szCs w:val="22"/>
        </w:rPr>
      </w:pPr>
      <w:r w:rsidRPr="0092747F">
        <w:rPr>
          <w:rFonts w:ascii="Palatino Linotype" w:hAnsi="Palatino Linotype"/>
          <w:szCs w:val="22"/>
        </w:rPr>
        <w:t>…</w:t>
      </w:r>
    </w:p>
    <w:p w14:paraId="4AEE6A76" w14:textId="77777777" w:rsidR="0017114D" w:rsidRPr="0092747F" w:rsidRDefault="0017114D" w:rsidP="0017114D">
      <w:pPr>
        <w:pStyle w:val="Prrafodelista"/>
        <w:ind w:left="567" w:right="822"/>
        <w:jc w:val="both"/>
        <w:rPr>
          <w:rFonts w:ascii="Palatino Linotype" w:hAnsi="Palatino Linotype"/>
          <w:i/>
          <w:szCs w:val="22"/>
        </w:rPr>
      </w:pPr>
      <w:r w:rsidRPr="0092747F">
        <w:rPr>
          <w:rFonts w:ascii="Palatino Linotype" w:hAnsi="Palatino Linotype"/>
          <w:i/>
          <w:szCs w:val="22"/>
        </w:rPr>
        <w:t xml:space="preserve">X.- Poner a disposición de las autoridades competentes, a las personas aseguradas por presunta comisión de delitos del fuero común, en los casos de flagrancia. </w:t>
      </w:r>
    </w:p>
    <w:p w14:paraId="37771F8A" w14:textId="77777777" w:rsidR="0017114D" w:rsidRPr="0092747F" w:rsidRDefault="0017114D" w:rsidP="0017114D">
      <w:pPr>
        <w:pStyle w:val="Prrafodelista"/>
        <w:ind w:left="567" w:right="822"/>
        <w:jc w:val="both"/>
        <w:rPr>
          <w:rFonts w:ascii="Palatino Linotype" w:hAnsi="Palatino Linotype"/>
          <w:i/>
          <w:szCs w:val="22"/>
        </w:rPr>
      </w:pPr>
      <w:r w:rsidRPr="0092747F">
        <w:rPr>
          <w:rFonts w:ascii="Palatino Linotype" w:hAnsi="Palatino Linotype"/>
          <w:i/>
          <w:szCs w:val="22"/>
        </w:rPr>
        <w:t>…</w:t>
      </w:r>
    </w:p>
    <w:p w14:paraId="7001AF78" w14:textId="77777777" w:rsidR="0017114D" w:rsidRPr="0092747F" w:rsidRDefault="0017114D" w:rsidP="0017114D">
      <w:pPr>
        <w:pStyle w:val="Prrafodelista"/>
        <w:ind w:left="567" w:right="822"/>
        <w:jc w:val="both"/>
        <w:rPr>
          <w:rFonts w:ascii="Palatino Linotype" w:hAnsi="Palatino Linotype"/>
          <w:i/>
          <w:szCs w:val="22"/>
        </w:rPr>
      </w:pPr>
      <w:r w:rsidRPr="0092747F">
        <w:rPr>
          <w:rFonts w:ascii="Palatino Linotype" w:hAnsi="Palatino Linotype"/>
          <w:i/>
          <w:szCs w:val="22"/>
        </w:rPr>
        <w:t>XIV.- Atender el llamado del Consejo Municipal de Protección Civil y las demás Instituciones y Corporaciones de Seguridad Pública Estatal y Federal, en casos de emergencia a la población.</w:t>
      </w:r>
    </w:p>
    <w:p w14:paraId="2497F5C9" w14:textId="77777777" w:rsidR="0017114D" w:rsidRDefault="0017114D" w:rsidP="0017114D">
      <w:pPr>
        <w:pStyle w:val="Prrafodelista"/>
        <w:spacing w:line="360" w:lineRule="auto"/>
        <w:ind w:left="0"/>
        <w:jc w:val="both"/>
        <w:rPr>
          <w:rFonts w:ascii="Palatino Linotype" w:hAnsi="Palatino Linotype"/>
          <w:sz w:val="24"/>
        </w:rPr>
      </w:pPr>
    </w:p>
    <w:p w14:paraId="6214AAF5" w14:textId="77777777" w:rsidR="0092747F" w:rsidRPr="0092747F" w:rsidRDefault="0092747F" w:rsidP="0092747F">
      <w:pPr>
        <w:pStyle w:val="Prrafodelista"/>
        <w:rPr>
          <w:rFonts w:ascii="Palatino Linotype" w:hAnsi="Palatino Linotype"/>
          <w:sz w:val="24"/>
        </w:rPr>
      </w:pPr>
    </w:p>
    <w:p w14:paraId="1AF762E7" w14:textId="4AE9A668" w:rsidR="0092747F" w:rsidRDefault="006977BA"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 xml:space="preserve">Por un lado, la Constitución Federal establece que debe existir una coordinación entre las policías municipales y el ministerio público para alcanzar los fines en materia de seguridad y, robusteciendo, el bando municipal faculta a la Dirección de Seguridad Pública para poner a disposición de las autoridades competentes, a las personas aseguradas por presunta comisión de delitos del fuero común, en los casos de flagrancia, es así que, en aquellos casos en que la policía municipal sean los primeros respondientes en atender comisiones de delitos en flagrancia, están facultados para presentar a los presuntos responsables ante el ministerio público para que este inicie la investigación correspondiente. Dichas presentaciones ante el ministerio público </w:t>
      </w:r>
      <w:r>
        <w:rPr>
          <w:rFonts w:ascii="Palatino Linotype" w:hAnsi="Palatino Linotype"/>
          <w:sz w:val="24"/>
        </w:rPr>
        <w:lastRenderedPageBreak/>
        <w:t>deben realizarse mediante los vehículos institucionales tipo patrulla por parte de los policías del Ayuntamiento.</w:t>
      </w:r>
    </w:p>
    <w:p w14:paraId="1F9A010D" w14:textId="77777777" w:rsidR="0092747F" w:rsidRDefault="0092747F" w:rsidP="006977BA">
      <w:pPr>
        <w:pStyle w:val="Prrafodelista"/>
        <w:spacing w:line="360" w:lineRule="auto"/>
        <w:ind w:left="0"/>
        <w:jc w:val="both"/>
        <w:rPr>
          <w:rFonts w:ascii="Palatino Linotype" w:hAnsi="Palatino Linotype"/>
          <w:sz w:val="24"/>
        </w:rPr>
      </w:pPr>
    </w:p>
    <w:p w14:paraId="7EC67303" w14:textId="1EBCFD24" w:rsidR="006977BA" w:rsidRDefault="006977BA"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 xml:space="preserve">Es así que, la manifestación vertida por el Sujeto Obligado a través de su respuesta, aún y cuando se trata de manifestaciones subjetivas que no constituyen el ejercicio del derecho de acceso a la información, satisface los requerimientos del particular, en el sentido de que se le indica en qué casos circulan vehículos institucionales tipo patrulla en el Municipio de Atlacomulco con personas civiles a bordo, asimismo, indicó el fundamento legal que corresponde con la manifestación vertida. </w:t>
      </w:r>
    </w:p>
    <w:p w14:paraId="469EEE2F" w14:textId="77777777" w:rsidR="006977BA" w:rsidRPr="006977BA" w:rsidRDefault="006977BA" w:rsidP="006977BA">
      <w:pPr>
        <w:pStyle w:val="Prrafodelista"/>
        <w:rPr>
          <w:rFonts w:ascii="Palatino Linotype" w:hAnsi="Palatino Linotype"/>
          <w:sz w:val="24"/>
        </w:rPr>
      </w:pPr>
    </w:p>
    <w:p w14:paraId="1CCB52DF" w14:textId="68E9F5CE" w:rsidR="004B7E50" w:rsidRPr="00BB52AE" w:rsidRDefault="00BB52AE" w:rsidP="00BB52AE">
      <w:pPr>
        <w:pStyle w:val="Prrafodelista"/>
        <w:numPr>
          <w:ilvl w:val="0"/>
          <w:numId w:val="3"/>
        </w:numPr>
        <w:spacing w:before="100" w:beforeAutospacing="1" w:after="100" w:afterAutospacing="1" w:line="360" w:lineRule="auto"/>
        <w:ind w:left="0" w:right="49" w:firstLine="0"/>
        <w:jc w:val="both"/>
        <w:rPr>
          <w:rFonts w:ascii="Palatino Linotype" w:hAnsi="Palatino Linotype" w:cs="Arial"/>
          <w:sz w:val="24"/>
        </w:rPr>
      </w:pPr>
      <w:r>
        <w:rPr>
          <w:rFonts w:ascii="Palatino Linotype" w:hAnsi="Palatino Linotype"/>
          <w:sz w:val="24"/>
        </w:rPr>
        <w:t xml:space="preserve">En ese sentido, este Instituto no puede dudar de la veracidad de la información que proporcionen los Sujetos Obligados; </w:t>
      </w:r>
      <w:r w:rsidR="004B7E50" w:rsidRPr="00BB52AE">
        <w:rPr>
          <w:rFonts w:ascii="Palatino Linotype" w:hAnsi="Palatino Linotype"/>
          <w:sz w:val="24"/>
        </w:rPr>
        <w:t>Sirve de apoyo a lo anterior por analogía el criterio 31-10 emitido por el entonces Instituto Federal de Acceso a la Información y Protección de Datos, que a la letra dice:</w:t>
      </w:r>
    </w:p>
    <w:p w14:paraId="3F36E677" w14:textId="77777777" w:rsidR="004B7E50" w:rsidRPr="004B7E50" w:rsidRDefault="004B7E50" w:rsidP="004B7E50">
      <w:pPr>
        <w:pStyle w:val="Prrafodelista"/>
        <w:rPr>
          <w:rFonts w:ascii="Palatino Linotype" w:hAnsi="Palatino Linotype"/>
          <w:sz w:val="24"/>
        </w:rPr>
      </w:pPr>
    </w:p>
    <w:p w14:paraId="38344413" w14:textId="77777777" w:rsidR="004B7E50" w:rsidRPr="004B7E50" w:rsidRDefault="004B7E50" w:rsidP="004B7E50">
      <w:pPr>
        <w:autoSpaceDE w:val="0"/>
        <w:autoSpaceDN w:val="0"/>
        <w:adjustRightInd w:val="0"/>
        <w:spacing w:line="360" w:lineRule="auto"/>
        <w:ind w:left="567" w:right="567"/>
        <w:jc w:val="both"/>
        <w:rPr>
          <w:rFonts w:ascii="Palatino Linotype" w:hAnsi="Palatino Linotype"/>
          <w:i/>
          <w:iCs/>
          <w:sz w:val="22"/>
          <w:szCs w:val="24"/>
        </w:rPr>
      </w:pPr>
      <w:r w:rsidRPr="004B7E50">
        <w:rPr>
          <w:rFonts w:ascii="Palatino Linotype" w:hAnsi="Palatino Linotype"/>
          <w:b/>
          <w:i/>
          <w:iCs/>
          <w:sz w:val="22"/>
          <w:szCs w:val="24"/>
        </w:rPr>
        <w:t>El Instituto Federal de Acceso a la Información y Protección de Datos </w:t>
      </w:r>
      <w:r w:rsidRPr="004B7E50">
        <w:rPr>
          <w:rFonts w:ascii="Palatino Linotype" w:hAnsi="Palatino Linotype"/>
          <w:b/>
          <w:bCs/>
          <w:i/>
          <w:iCs/>
          <w:sz w:val="22"/>
          <w:szCs w:val="24"/>
        </w:rPr>
        <w:t>no cuenta con facultades para pronunciarse respecto de la veracidad de los documentos proporcionados por los sujetos obligados.</w:t>
      </w:r>
      <w:r w:rsidRPr="004B7E50">
        <w:rPr>
          <w:rFonts w:ascii="Palatino Linotype" w:hAnsi="Palatino Linotype"/>
          <w:i/>
          <w:iCs/>
          <w:sz w:val="22"/>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4B7E50">
        <w:rPr>
          <w:rFonts w:ascii="Palatino Linotype" w:hAnsi="Palatino Linotype"/>
          <w:i/>
          <w:iCs/>
          <w:sz w:val="22"/>
          <w:szCs w:val="24"/>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247128" w14:textId="77777777" w:rsidR="004B7E50" w:rsidRPr="004B7E50" w:rsidRDefault="004B7E50" w:rsidP="004B7E50">
      <w:pPr>
        <w:autoSpaceDE w:val="0"/>
        <w:autoSpaceDN w:val="0"/>
        <w:adjustRightInd w:val="0"/>
        <w:spacing w:line="360" w:lineRule="auto"/>
        <w:ind w:left="567" w:right="567"/>
        <w:jc w:val="both"/>
        <w:rPr>
          <w:rFonts w:ascii="Palatino Linotype" w:hAnsi="Palatino Linotype"/>
          <w:i/>
          <w:iCs/>
          <w:sz w:val="24"/>
          <w:szCs w:val="24"/>
        </w:rPr>
      </w:pPr>
    </w:p>
    <w:p w14:paraId="3915E6B8" w14:textId="159A7DA8" w:rsidR="004B7E50" w:rsidRPr="005E0B56" w:rsidRDefault="004B7E50" w:rsidP="00483826">
      <w:pPr>
        <w:pStyle w:val="Prrafodelista"/>
        <w:numPr>
          <w:ilvl w:val="0"/>
          <w:numId w:val="3"/>
        </w:numPr>
        <w:autoSpaceDE w:val="0"/>
        <w:autoSpaceDN w:val="0"/>
        <w:adjustRightInd w:val="0"/>
        <w:spacing w:line="360" w:lineRule="auto"/>
        <w:ind w:left="0" w:right="113" w:firstLine="0"/>
        <w:jc w:val="both"/>
        <w:rPr>
          <w:rFonts w:ascii="Palatino Linotype" w:hAnsi="Palatino Linotype"/>
          <w:i/>
          <w:iCs/>
          <w:sz w:val="24"/>
        </w:rPr>
      </w:pPr>
      <w:r w:rsidRPr="004B7E50">
        <w:rPr>
          <w:rFonts w:ascii="Palatino Linotype" w:hAnsi="Palatino Linotype"/>
          <w:iCs/>
          <w:sz w:val="24"/>
        </w:rPr>
        <w:t>Es así que, con la respuesta que emitió el Sujeto Obligado es suficiente para satisfacer los</w:t>
      </w:r>
      <w:r w:rsidR="003F5D55">
        <w:rPr>
          <w:rFonts w:ascii="Palatino Linotype" w:hAnsi="Palatino Linotype"/>
          <w:iCs/>
          <w:sz w:val="24"/>
        </w:rPr>
        <w:t xml:space="preserve"> requerimientos del particular.</w:t>
      </w:r>
    </w:p>
    <w:p w14:paraId="5AE19496" w14:textId="77777777" w:rsidR="005E0B56" w:rsidRDefault="005E0B56" w:rsidP="005E0B56">
      <w:pPr>
        <w:pStyle w:val="Prrafodelista"/>
        <w:autoSpaceDE w:val="0"/>
        <w:autoSpaceDN w:val="0"/>
        <w:adjustRightInd w:val="0"/>
        <w:spacing w:line="360" w:lineRule="auto"/>
        <w:ind w:left="0" w:right="113"/>
        <w:jc w:val="both"/>
        <w:rPr>
          <w:rFonts w:ascii="Palatino Linotype" w:hAnsi="Palatino Linotype"/>
          <w:i/>
          <w:iCs/>
          <w:sz w:val="24"/>
        </w:rPr>
      </w:pPr>
    </w:p>
    <w:p w14:paraId="2E16EE2A" w14:textId="493EBBBC" w:rsidR="005E0B56" w:rsidRDefault="005E0B56" w:rsidP="005E0B56">
      <w:pPr>
        <w:pStyle w:val="Ttulo2"/>
        <w:numPr>
          <w:ilvl w:val="0"/>
          <w:numId w:val="32"/>
        </w:numPr>
        <w:tabs>
          <w:tab w:val="left" w:pos="2830"/>
        </w:tabs>
        <w:spacing w:line="259" w:lineRule="auto"/>
        <w:rPr>
          <w:rFonts w:ascii="Palatino Linotype" w:hAnsi="Palatino Linotype"/>
          <w:b/>
          <w:color w:val="auto"/>
          <w:sz w:val="24"/>
        </w:rPr>
      </w:pPr>
      <w:bookmarkStart w:id="30" w:name="_Toc23250734"/>
      <w:bookmarkStart w:id="31" w:name="_Toc49945792"/>
      <w:bookmarkStart w:id="32" w:name="_Toc50655144"/>
      <w:bookmarkStart w:id="33" w:name="_Toc83917167"/>
      <w:bookmarkStart w:id="34" w:name="_Toc84332938"/>
      <w:bookmarkStart w:id="35" w:name="_Toc86227416"/>
      <w:r w:rsidRPr="00B9068E">
        <w:rPr>
          <w:rFonts w:ascii="Palatino Linotype" w:hAnsi="Palatino Linotype"/>
          <w:b/>
          <w:color w:val="auto"/>
          <w:sz w:val="24"/>
        </w:rPr>
        <w:t>Plus petitio.</w:t>
      </w:r>
      <w:bookmarkEnd w:id="30"/>
      <w:bookmarkEnd w:id="31"/>
      <w:bookmarkEnd w:id="32"/>
      <w:bookmarkEnd w:id="33"/>
      <w:bookmarkEnd w:id="34"/>
      <w:bookmarkEnd w:id="35"/>
      <w:r>
        <w:rPr>
          <w:rFonts w:ascii="Palatino Linotype" w:hAnsi="Palatino Linotype"/>
          <w:b/>
          <w:color w:val="auto"/>
          <w:sz w:val="24"/>
        </w:rPr>
        <w:tab/>
      </w:r>
    </w:p>
    <w:p w14:paraId="40BB9E65" w14:textId="77777777" w:rsidR="005E0B56" w:rsidRPr="00682B21" w:rsidRDefault="005E0B56" w:rsidP="005E0B56">
      <w:pPr>
        <w:pStyle w:val="Prrafodelista"/>
        <w:rPr>
          <w:lang w:eastAsia="en-US"/>
        </w:rPr>
      </w:pPr>
    </w:p>
    <w:p w14:paraId="78B85A0F" w14:textId="77777777" w:rsidR="005E0B56" w:rsidRPr="00B9068E" w:rsidRDefault="005E0B56" w:rsidP="005E0B56">
      <w:pPr>
        <w:pStyle w:val="Prrafodelista"/>
        <w:numPr>
          <w:ilvl w:val="0"/>
          <w:numId w:val="3"/>
        </w:numPr>
        <w:spacing w:line="360" w:lineRule="auto"/>
        <w:ind w:left="0" w:right="-93" w:firstLine="0"/>
        <w:jc w:val="both"/>
        <w:rPr>
          <w:rFonts w:ascii="Palatino Linotype" w:eastAsia="Calibri" w:hAnsi="Palatino Linotype" w:cs="Tahoma"/>
          <w:bCs/>
          <w:lang w:eastAsia="en-US"/>
        </w:rPr>
      </w:pPr>
      <w:r>
        <w:rPr>
          <w:rFonts w:ascii="Palatino Linotype" w:eastAsia="Calibri" w:hAnsi="Palatino Linotype" w:cs="Tahoma"/>
          <w:bCs/>
          <w:lang w:eastAsia="en-US"/>
        </w:rPr>
        <w:t xml:space="preserve">Por último y no menos importante, no pasa desapercibido de </w:t>
      </w:r>
      <w:r w:rsidRPr="00B9068E">
        <w:rPr>
          <w:rFonts w:ascii="Palatino Linotype" w:eastAsia="Calibri" w:hAnsi="Palatino Linotype" w:cs="Tahoma"/>
          <w:bCs/>
          <w:lang w:eastAsia="en-US"/>
        </w:rPr>
        <w:t xml:space="preserve">este Órgano Garante que el recurrente en el apartado de acto impugnado </w:t>
      </w:r>
      <w:r>
        <w:rPr>
          <w:rFonts w:ascii="Palatino Linotype" w:eastAsia="Calibri" w:hAnsi="Palatino Linotype" w:cs="Tahoma"/>
          <w:bCs/>
          <w:lang w:eastAsia="en-US"/>
        </w:rPr>
        <w:t xml:space="preserve">o razones o motivos de inconformidad </w:t>
      </w:r>
      <w:r w:rsidRPr="00B9068E">
        <w:rPr>
          <w:rFonts w:ascii="Palatino Linotype" w:eastAsia="Calibri" w:hAnsi="Palatino Linotype" w:cs="Tahoma"/>
          <w:bCs/>
          <w:lang w:eastAsia="en-US"/>
        </w:rPr>
        <w:t>manifestó:</w:t>
      </w:r>
    </w:p>
    <w:p w14:paraId="5363FBB1" w14:textId="6AE962C5" w:rsidR="005E0B56" w:rsidRDefault="005E0B56" w:rsidP="005E0B56">
      <w:pPr>
        <w:pStyle w:val="Prrafodelista"/>
        <w:spacing w:line="360" w:lineRule="auto"/>
        <w:ind w:left="567" w:right="567"/>
        <w:jc w:val="both"/>
        <w:rPr>
          <w:rFonts w:ascii="Palatino Linotype" w:hAnsi="Palatino Linotype"/>
          <w:i/>
        </w:rPr>
      </w:pPr>
      <w:r w:rsidRPr="00B9068E">
        <w:rPr>
          <w:rFonts w:ascii="Palatino Linotype" w:eastAsia="Calibri" w:hAnsi="Palatino Linotype" w:cs="Tahoma"/>
          <w:bCs/>
          <w:i/>
          <w:lang w:eastAsia="en-US"/>
        </w:rPr>
        <w:t>“</w:t>
      </w:r>
      <w:r w:rsidR="003F5D55" w:rsidRPr="003F5D55">
        <w:rPr>
          <w:rFonts w:ascii="Palatino Linotype" w:hAnsi="Palatino Linotype"/>
          <w:i/>
          <w:szCs w:val="14"/>
          <w:lang w:eastAsia="es-MX"/>
        </w:rPr>
        <w:t xml:space="preserve">Quien constantemente tripula las diferentes patrullas del Seguridad Pública del Muicipio de El Oro, es Pedro Aguirre </w:t>
      </w:r>
      <w:r w:rsidR="003F5D55" w:rsidRPr="003F5D55">
        <w:rPr>
          <w:rFonts w:ascii="Palatino Linotype" w:hAnsi="Palatino Linotype"/>
          <w:b/>
          <w:i/>
          <w:szCs w:val="14"/>
          <w:lang w:eastAsia="es-MX"/>
        </w:rPr>
        <w:t>acompañado de su familia o amante</w:t>
      </w:r>
      <w:r w:rsidR="003F5D55" w:rsidRPr="003F5D55">
        <w:rPr>
          <w:rFonts w:ascii="Palatino Linotype" w:hAnsi="Palatino Linotype"/>
          <w:i/>
          <w:szCs w:val="14"/>
          <w:lang w:eastAsia="es-MX"/>
        </w:rPr>
        <w:t xml:space="preserve"> y se le ha observado PASEANDO en las calles de Atlacomulco, en tal virtud no es posible el supuesto de que se encunetre realizando una presentaciones ante el Ministerio Público, ya que porta vestuario civil (NO UNIFORMADO). Siendo que la incidencia reportada por el propio Director de Seguridad Pública (presentaciones ante el M.P) no coincide con la cantidad de ocaciones que se le ha observado en Atlacomulco. </w:t>
      </w:r>
      <w:r w:rsidR="003F5D55" w:rsidRPr="003F5D55">
        <w:rPr>
          <w:rFonts w:ascii="Palatino Linotype" w:hAnsi="Palatino Linotype"/>
          <w:b/>
          <w:i/>
          <w:szCs w:val="14"/>
          <w:lang w:eastAsia="es-MX"/>
        </w:rPr>
        <w:t>Con ese tipo de acciones el ayuntamiento tiene la obligación de investigar y sancionar al servidor público en referencia</w:t>
      </w:r>
      <w:r w:rsidR="003F5D55" w:rsidRPr="003F5D55">
        <w:rPr>
          <w:rFonts w:ascii="Palatino Linotype" w:hAnsi="Palatino Linotype"/>
          <w:i/>
          <w:szCs w:val="14"/>
          <w:lang w:eastAsia="es-MX"/>
        </w:rPr>
        <w:t>.</w:t>
      </w:r>
      <w:r w:rsidRPr="00B9068E">
        <w:rPr>
          <w:rFonts w:ascii="Palatino Linotype" w:hAnsi="Palatino Linotype"/>
          <w:i/>
        </w:rPr>
        <w:t>” (sic)</w:t>
      </w:r>
    </w:p>
    <w:p w14:paraId="3DBB9416" w14:textId="77777777" w:rsidR="005E0B56" w:rsidRPr="00B9068E" w:rsidRDefault="005E0B56" w:rsidP="005E0B56">
      <w:pPr>
        <w:pStyle w:val="Prrafodelista"/>
        <w:spacing w:line="360" w:lineRule="auto"/>
        <w:ind w:left="567" w:right="567"/>
        <w:jc w:val="both"/>
        <w:rPr>
          <w:rFonts w:ascii="Palatino Linotype" w:hAnsi="Palatino Linotype"/>
          <w:i/>
        </w:rPr>
      </w:pPr>
    </w:p>
    <w:p w14:paraId="602CE136" w14:textId="0B22AD4E" w:rsidR="005E0B56" w:rsidRDefault="005E0B56" w:rsidP="005E0B56">
      <w:pPr>
        <w:pStyle w:val="Prrafodelista"/>
        <w:numPr>
          <w:ilvl w:val="0"/>
          <w:numId w:val="3"/>
        </w:numPr>
        <w:spacing w:line="360" w:lineRule="auto"/>
        <w:ind w:left="0" w:right="-93" w:firstLine="0"/>
        <w:jc w:val="both"/>
        <w:rPr>
          <w:rFonts w:ascii="Palatino Linotype" w:eastAsia="Calibri" w:hAnsi="Palatino Linotype" w:cs="Tahoma"/>
          <w:bCs/>
          <w:lang w:eastAsia="en-US"/>
        </w:rPr>
      </w:pPr>
      <w:r w:rsidRPr="00B9068E">
        <w:rPr>
          <w:rFonts w:ascii="Palatino Linotype" w:eastAsia="Calibri" w:hAnsi="Palatino Linotype" w:cs="Tahoma"/>
          <w:bCs/>
          <w:lang w:eastAsia="en-US"/>
        </w:rPr>
        <w:t>De la</w:t>
      </w:r>
      <w:r w:rsidR="003F5D55">
        <w:rPr>
          <w:rFonts w:ascii="Palatino Linotype" w:eastAsia="Calibri" w:hAnsi="Palatino Linotype" w:cs="Tahoma"/>
          <w:bCs/>
          <w:lang w:eastAsia="en-US"/>
        </w:rPr>
        <w:t xml:space="preserve"> simple lectura de los motivos o razones de inconformidad, se aprecian dos elementos que destacan, el primero de ellos consistente en manifestaciones subjetivas que </w:t>
      </w:r>
      <w:r w:rsidR="003F5D55">
        <w:rPr>
          <w:rFonts w:ascii="Palatino Linotype" w:eastAsia="Calibri" w:hAnsi="Palatino Linotype" w:cs="Tahoma"/>
          <w:bCs/>
          <w:lang w:eastAsia="en-US"/>
        </w:rPr>
        <w:lastRenderedPageBreak/>
        <w:t xml:space="preserve">encuadran con el argumento antes señalado y, el segundo corresponde a </w:t>
      </w:r>
      <w:r>
        <w:rPr>
          <w:rFonts w:ascii="Palatino Linotype" w:eastAsia="Calibri" w:hAnsi="Palatino Linotype" w:cs="Tahoma"/>
          <w:bCs/>
          <w:lang w:eastAsia="en-US"/>
        </w:rPr>
        <w:t>información adicional a lo requerido en la solicitud de acceso a la información.</w:t>
      </w:r>
    </w:p>
    <w:p w14:paraId="34C8D0ED" w14:textId="77777777" w:rsidR="005E0B56" w:rsidRDefault="005E0B56" w:rsidP="005E0B56">
      <w:pPr>
        <w:pStyle w:val="Prrafodelista"/>
        <w:spacing w:line="360" w:lineRule="auto"/>
        <w:ind w:left="0" w:right="-93"/>
        <w:jc w:val="both"/>
        <w:rPr>
          <w:rFonts w:ascii="Palatino Linotype" w:eastAsia="Calibri" w:hAnsi="Palatino Linotype" w:cs="Tahoma"/>
          <w:bCs/>
          <w:lang w:eastAsia="en-US"/>
        </w:rPr>
      </w:pPr>
    </w:p>
    <w:p w14:paraId="1703D4B0" w14:textId="77777777" w:rsidR="005E0B56" w:rsidRPr="0066375F" w:rsidRDefault="005E0B56" w:rsidP="005E0B56">
      <w:pPr>
        <w:pStyle w:val="Prrafodelista"/>
        <w:numPr>
          <w:ilvl w:val="0"/>
          <w:numId w:val="3"/>
        </w:numPr>
        <w:spacing w:line="360" w:lineRule="auto"/>
        <w:ind w:left="0" w:firstLine="0"/>
        <w:jc w:val="both"/>
        <w:rPr>
          <w:rFonts w:ascii="Palatino Linotype" w:eastAsia="Calibri" w:hAnsi="Palatino Linotype" w:cs="Arial"/>
        </w:rPr>
      </w:pPr>
      <w:r w:rsidRPr="00B9068E">
        <w:rPr>
          <w:rFonts w:ascii="Palatino Linotype" w:hAnsi="Palatino Linotype"/>
          <w:lang w:val="es-ES"/>
        </w:rPr>
        <w:t xml:space="preserve">Ante dicha situación, es necesario señalar que </w:t>
      </w:r>
      <w:r w:rsidRPr="00B9068E">
        <w:rPr>
          <w:rFonts w:ascii="Palatino Linotype" w:hAnsi="Palatino Linotype"/>
          <w:color w:val="222222"/>
          <w:lang w:val="es-ES" w:eastAsia="es-MX"/>
        </w:rPr>
        <w:t>el sistema de medios de impugnación en nuestro país se centra en el análisis de </w:t>
      </w:r>
      <w:r w:rsidRPr="00B9068E">
        <w:rPr>
          <w:rFonts w:ascii="Palatino Linotype" w:hAnsi="Palatino Linotype"/>
          <w:color w:val="222222"/>
          <w:u w:val="single"/>
          <w:lang w:val="es-ES" w:eastAsia="es-MX"/>
        </w:rPr>
        <w:t>los agravios o motivos de inconformidad</w:t>
      </w:r>
      <w:r w:rsidRPr="00B9068E">
        <w:rPr>
          <w:rFonts w:ascii="Palatino Linotype" w:hAnsi="Palatino Linotype"/>
          <w:color w:val="222222"/>
          <w:lang w:val="es-ES" w:eastAsia="es-MX"/>
        </w:rPr>
        <w:t>, los que </w:t>
      </w:r>
      <w:r w:rsidRPr="00B9068E">
        <w:rPr>
          <w:rFonts w:ascii="Palatino Linotype" w:hAnsi="Palatino Linotype"/>
          <w:color w:val="222222"/>
          <w:u w:val="single"/>
          <w:lang w:val="es-ES" w:eastAsia="es-MX"/>
        </w:rPr>
        <w:t>deben tener relación directa con el acto de autoridad que lo motiva</w:t>
      </w:r>
      <w:r w:rsidRPr="00B9068E">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B9068E">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09032D72" w14:textId="77777777" w:rsidR="005E0B56" w:rsidRPr="0066375F" w:rsidRDefault="005E0B56" w:rsidP="005E0B56">
      <w:pPr>
        <w:pStyle w:val="Prrafodelista"/>
        <w:spacing w:line="360" w:lineRule="auto"/>
        <w:ind w:left="0"/>
        <w:jc w:val="both"/>
        <w:rPr>
          <w:rFonts w:ascii="Palatino Linotype" w:eastAsia="Calibri" w:hAnsi="Palatino Linotype" w:cs="Arial"/>
        </w:rPr>
      </w:pPr>
    </w:p>
    <w:p w14:paraId="59F32928" w14:textId="77777777" w:rsidR="005E0B56" w:rsidRPr="0066375F" w:rsidRDefault="005E0B56" w:rsidP="005E0B56">
      <w:pPr>
        <w:pStyle w:val="Prrafodelista"/>
        <w:numPr>
          <w:ilvl w:val="0"/>
          <w:numId w:val="3"/>
        </w:numPr>
        <w:spacing w:line="360" w:lineRule="auto"/>
        <w:ind w:left="0" w:firstLine="0"/>
        <w:jc w:val="both"/>
        <w:rPr>
          <w:rFonts w:ascii="Palatino Linotype" w:eastAsia="Calibri" w:hAnsi="Palatino Linotype" w:cs="Arial"/>
        </w:rPr>
      </w:pPr>
      <w:r w:rsidRPr="0066375F">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607ECCF4" w14:textId="77777777" w:rsidR="005E0B56" w:rsidRPr="00B9068E" w:rsidRDefault="005E0B56" w:rsidP="005E0B56">
      <w:pPr>
        <w:pStyle w:val="Prrafodelista"/>
        <w:rPr>
          <w:rFonts w:ascii="Palatino Linotype" w:hAnsi="Palatino Linotype"/>
          <w:lang w:val="es-ES"/>
        </w:rPr>
      </w:pPr>
    </w:p>
    <w:p w14:paraId="7B899C48" w14:textId="77777777" w:rsidR="005E0B56" w:rsidRPr="00B9068E" w:rsidRDefault="005E0B56" w:rsidP="005E0B56">
      <w:pPr>
        <w:pStyle w:val="Prrafodelista"/>
        <w:tabs>
          <w:tab w:val="left" w:pos="851"/>
        </w:tabs>
        <w:spacing w:line="360" w:lineRule="auto"/>
        <w:ind w:left="567" w:right="567"/>
        <w:jc w:val="both"/>
        <w:rPr>
          <w:rFonts w:ascii="Palatino Linotype" w:hAnsi="Palatino Linotype" w:cs="Bookman Old Style"/>
          <w:i/>
          <w:szCs w:val="20"/>
        </w:rPr>
      </w:pPr>
      <w:r w:rsidRPr="00B9068E">
        <w:rPr>
          <w:rFonts w:ascii="Palatino Linotype" w:hAnsi="Palatino Linotype" w:cs="Bookman Old Style,Bold"/>
          <w:b/>
          <w:bCs/>
          <w:i/>
          <w:szCs w:val="20"/>
        </w:rPr>
        <w:t xml:space="preserve">Artículo 191. </w:t>
      </w:r>
      <w:r w:rsidRPr="00B9068E">
        <w:rPr>
          <w:rFonts w:ascii="Palatino Linotype" w:hAnsi="Palatino Linotype" w:cs="Bookman Old Style"/>
          <w:i/>
          <w:szCs w:val="20"/>
        </w:rPr>
        <w:t>El recurso será desechado por improcedente cuando:</w:t>
      </w:r>
    </w:p>
    <w:p w14:paraId="693D68B8" w14:textId="77777777" w:rsidR="005E0B56" w:rsidRPr="00B9068E" w:rsidRDefault="005E0B56" w:rsidP="005E0B56">
      <w:pPr>
        <w:pStyle w:val="Prrafodelista"/>
        <w:tabs>
          <w:tab w:val="left" w:pos="851"/>
        </w:tabs>
        <w:spacing w:line="360" w:lineRule="auto"/>
        <w:ind w:left="567" w:right="567"/>
        <w:jc w:val="both"/>
        <w:rPr>
          <w:rFonts w:ascii="Palatino Linotype" w:hAnsi="Palatino Linotype" w:cs="Bookman Old Style"/>
          <w:i/>
          <w:szCs w:val="20"/>
        </w:rPr>
      </w:pPr>
      <w:r w:rsidRPr="00B9068E">
        <w:rPr>
          <w:rFonts w:ascii="Palatino Linotype" w:hAnsi="Palatino Linotype" w:cs="Bookman Old Style"/>
          <w:i/>
          <w:szCs w:val="20"/>
        </w:rPr>
        <w:t>…</w:t>
      </w:r>
    </w:p>
    <w:p w14:paraId="73E750B4" w14:textId="77777777" w:rsidR="005E0B56" w:rsidRPr="00B9068E" w:rsidRDefault="005E0B56" w:rsidP="005E0B56">
      <w:pPr>
        <w:autoSpaceDE w:val="0"/>
        <w:autoSpaceDN w:val="0"/>
        <w:adjustRightInd w:val="0"/>
        <w:ind w:left="567" w:right="567"/>
        <w:rPr>
          <w:rFonts w:ascii="Palatino Linotype" w:hAnsi="Palatino Linotype"/>
          <w:i/>
          <w:sz w:val="28"/>
          <w:lang w:val="es-ES"/>
        </w:rPr>
      </w:pPr>
      <w:r w:rsidRPr="00B9068E">
        <w:rPr>
          <w:rFonts w:ascii="Palatino Linotype" w:hAnsi="Palatino Linotype" w:cs="Bookman Old Style,Bold"/>
          <w:b/>
          <w:bCs/>
          <w:i/>
          <w:sz w:val="22"/>
        </w:rPr>
        <w:t xml:space="preserve">VII. </w:t>
      </w:r>
      <w:r w:rsidRPr="00B9068E">
        <w:rPr>
          <w:rFonts w:ascii="Palatino Linotype" w:hAnsi="Palatino Linotype" w:cs="Bookman Old Style"/>
          <w:i/>
          <w:sz w:val="22"/>
        </w:rPr>
        <w:t>El recurrente amplíe su solicitud en el recurso de revisión, únicamente respecto de los nuevos contenidos.</w:t>
      </w:r>
    </w:p>
    <w:p w14:paraId="0C0FFEE2" w14:textId="77777777" w:rsidR="005E0B56" w:rsidRPr="00B9068E" w:rsidRDefault="005E0B56" w:rsidP="005E0B56">
      <w:pPr>
        <w:pStyle w:val="Prrafodelista"/>
        <w:tabs>
          <w:tab w:val="left" w:pos="851"/>
        </w:tabs>
        <w:spacing w:line="360" w:lineRule="auto"/>
        <w:ind w:left="0" w:right="49"/>
        <w:jc w:val="both"/>
        <w:rPr>
          <w:rFonts w:ascii="Palatino Linotype" w:hAnsi="Palatino Linotype"/>
          <w:lang w:val="es-ES"/>
        </w:rPr>
      </w:pPr>
    </w:p>
    <w:p w14:paraId="5CB1D062" w14:textId="77777777" w:rsidR="005E0B56" w:rsidRPr="00682B21" w:rsidRDefault="005E0B56" w:rsidP="005E0B56">
      <w:pPr>
        <w:pStyle w:val="Prrafodelista"/>
        <w:numPr>
          <w:ilvl w:val="0"/>
          <w:numId w:val="3"/>
        </w:numPr>
        <w:tabs>
          <w:tab w:val="left" w:pos="851"/>
        </w:tabs>
        <w:spacing w:line="360" w:lineRule="auto"/>
        <w:ind w:left="0" w:right="49" w:firstLine="0"/>
        <w:jc w:val="both"/>
        <w:rPr>
          <w:rFonts w:ascii="Palatino Linotype" w:hAnsi="Palatino Linotype"/>
          <w:lang w:val="es-ES"/>
        </w:rPr>
      </w:pPr>
      <w:r w:rsidRPr="00B9068E">
        <w:rPr>
          <w:rFonts w:ascii="Palatino Linotype" w:hAnsi="Palatino Linotype"/>
          <w:color w:val="222222"/>
          <w:lang w:val="es-ES" w:eastAsia="es-MX"/>
        </w:rPr>
        <w:t>Por lo anterior, resulta improcedente el referido acto impugnado, toda vez que</w:t>
      </w:r>
      <w:r w:rsidRPr="00B9068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B9068E">
        <w:rPr>
          <w:rFonts w:ascii="Palatino Linotype" w:hAnsi="Palatino Linotype"/>
          <w:b/>
          <w:bCs/>
          <w:color w:val="000000"/>
          <w:lang w:eastAsia="es-MX"/>
        </w:rPr>
        <w:t>plus petitio</w:t>
      </w:r>
      <w:r w:rsidRPr="00B9068E">
        <w:rPr>
          <w:rFonts w:ascii="Palatino Linotype" w:hAnsi="Palatino Linotype"/>
          <w:color w:val="000000"/>
          <w:lang w:eastAsia="es-MX"/>
        </w:rPr>
        <w:t>.</w:t>
      </w:r>
    </w:p>
    <w:p w14:paraId="2C9426DB" w14:textId="77777777" w:rsidR="005E0B56" w:rsidRPr="0066375F" w:rsidRDefault="005E0B56" w:rsidP="005E0B56">
      <w:pPr>
        <w:pStyle w:val="Prrafodelista"/>
        <w:tabs>
          <w:tab w:val="left" w:pos="851"/>
        </w:tabs>
        <w:spacing w:line="360" w:lineRule="auto"/>
        <w:ind w:left="0" w:right="49"/>
        <w:jc w:val="both"/>
        <w:rPr>
          <w:rFonts w:ascii="Palatino Linotype" w:hAnsi="Palatino Linotype"/>
          <w:lang w:val="es-ES"/>
        </w:rPr>
      </w:pPr>
    </w:p>
    <w:p w14:paraId="4AA35E93" w14:textId="77777777" w:rsidR="005E0B56" w:rsidRPr="0066375F" w:rsidRDefault="005E0B56" w:rsidP="005E0B56">
      <w:pPr>
        <w:pStyle w:val="Prrafodelista"/>
        <w:numPr>
          <w:ilvl w:val="0"/>
          <w:numId w:val="3"/>
        </w:numPr>
        <w:tabs>
          <w:tab w:val="left" w:pos="851"/>
        </w:tabs>
        <w:spacing w:line="360" w:lineRule="auto"/>
        <w:ind w:left="0" w:right="49" w:firstLine="0"/>
        <w:jc w:val="both"/>
        <w:rPr>
          <w:rFonts w:ascii="Palatino Linotype" w:hAnsi="Palatino Linotype"/>
          <w:lang w:val="es-ES"/>
        </w:rPr>
      </w:pPr>
      <w:r w:rsidRPr="0066375F">
        <w:rPr>
          <w:rFonts w:ascii="Palatino Linotype" w:hAnsi="Palatino Linotype"/>
          <w:color w:val="222222"/>
          <w:lang w:val="es-ES" w:eastAsia="es-MX"/>
        </w:rPr>
        <w:t>Sirve de sustento el </w:t>
      </w:r>
      <w:r w:rsidRPr="0066375F">
        <w:rPr>
          <w:rFonts w:ascii="Palatino Linotype" w:hAnsi="Palatino Linotype"/>
          <w:b/>
          <w:bCs/>
          <w:color w:val="222222"/>
          <w:lang w:val="es-ES" w:eastAsia="es-MX"/>
        </w:rPr>
        <w:t>criterio 01/17</w:t>
      </w:r>
      <w:r w:rsidRPr="0066375F">
        <w:rPr>
          <w:rFonts w:ascii="Palatino Linotype" w:hAnsi="Palatino Linotype"/>
          <w:color w:val="222222"/>
          <w:lang w:val="es-ES" w:eastAsia="es-MX"/>
        </w:rPr>
        <w:t> emitido por el Instituto Nacional de Transparencia, Acceso a la Información y Protección de Datos Personales que establece lo siguiente:</w:t>
      </w:r>
    </w:p>
    <w:p w14:paraId="786FFE06" w14:textId="77777777" w:rsidR="005E0B56" w:rsidRPr="00B9068E" w:rsidRDefault="005E0B56" w:rsidP="005E0B56">
      <w:pPr>
        <w:shd w:val="clear" w:color="auto" w:fill="FFFFFF"/>
        <w:spacing w:before="240" w:after="240"/>
        <w:ind w:left="567" w:right="567"/>
        <w:jc w:val="both"/>
        <w:rPr>
          <w:rFonts w:ascii="Cambria" w:hAnsi="Cambria"/>
          <w:color w:val="222222"/>
        </w:rPr>
      </w:pPr>
      <w:r w:rsidRPr="00B9068E">
        <w:rPr>
          <w:rFonts w:ascii="Palatino Linotype" w:hAnsi="Palatino Linotype"/>
          <w:color w:val="222222"/>
          <w:lang w:val="es-ES"/>
        </w:rPr>
        <w:t> </w:t>
      </w:r>
      <w:r w:rsidRPr="00B9068E">
        <w:rPr>
          <w:rFonts w:ascii="Palatino Linotype" w:hAnsi="Palatino Linotype"/>
          <w:b/>
          <w:bCs/>
          <w:i/>
          <w:iCs/>
          <w:color w:val="222222"/>
          <w:sz w:val="22"/>
          <w:szCs w:val="22"/>
        </w:rPr>
        <w:t>Es improcedente ampliar las solicitudes de acceso a información, a través de la interposición del recurso de revisión.</w:t>
      </w:r>
      <w:r w:rsidRPr="00B9068E">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7B711719" w14:textId="77777777" w:rsidR="005E0B56" w:rsidRPr="00B9068E" w:rsidRDefault="005E0B56" w:rsidP="005E0B56">
      <w:pPr>
        <w:shd w:val="clear" w:color="auto" w:fill="FFFFFF"/>
        <w:spacing w:before="240" w:after="240"/>
        <w:ind w:left="567" w:right="567"/>
        <w:jc w:val="both"/>
        <w:rPr>
          <w:rFonts w:ascii="Cambria" w:hAnsi="Cambria"/>
          <w:color w:val="222222"/>
        </w:rPr>
      </w:pPr>
      <w:r w:rsidRPr="00B9068E">
        <w:rPr>
          <w:rFonts w:ascii="Palatino Linotype" w:hAnsi="Palatino Linotype"/>
          <w:i/>
          <w:iCs/>
          <w:color w:val="222222"/>
          <w:sz w:val="22"/>
          <w:szCs w:val="22"/>
        </w:rPr>
        <w:t> </w:t>
      </w:r>
      <w:r w:rsidRPr="00B9068E">
        <w:rPr>
          <w:rFonts w:ascii="Palatino Linotype" w:hAnsi="Palatino Linotype"/>
          <w:i/>
          <w:iCs/>
          <w:color w:val="222222"/>
          <w:sz w:val="22"/>
          <w:szCs w:val="22"/>
          <w:lang w:val="es-ES"/>
        </w:rPr>
        <w:t>Resoluciones:</w:t>
      </w:r>
    </w:p>
    <w:p w14:paraId="3C902214" w14:textId="77777777" w:rsidR="005E0B56" w:rsidRPr="00B9068E" w:rsidRDefault="005E0B56" w:rsidP="005E0B56">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0196/16. Secretaría de Agricultura, Ganadería, Desarrollo Rural, Pesca y</w:t>
      </w:r>
    </w:p>
    <w:p w14:paraId="007826D2" w14:textId="77777777" w:rsidR="005E0B56" w:rsidRPr="00B9068E" w:rsidRDefault="005E0B56" w:rsidP="005E0B56">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t>Alimentación. 13 de julio de 2016. Por unanimidad. Comisionado Ponente Joel</w:t>
      </w:r>
    </w:p>
    <w:p w14:paraId="1C75F9B1" w14:textId="77777777" w:rsidR="005E0B56" w:rsidRPr="00B9068E" w:rsidRDefault="005E0B56" w:rsidP="005E0B56">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t>Salas Suárez.</w:t>
      </w:r>
    </w:p>
    <w:p w14:paraId="74F8C601" w14:textId="77777777" w:rsidR="005E0B56" w:rsidRPr="00B9068E" w:rsidRDefault="005E0B56" w:rsidP="005E0B56">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06D0FD61" w14:textId="77777777" w:rsidR="005E0B56" w:rsidRPr="00B9068E" w:rsidRDefault="005E0B56" w:rsidP="005E0B56">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0342/16. Colegio de Bachilleres. 24 de agosto de 2016. Por unanimidad.</w:t>
      </w:r>
    </w:p>
    <w:p w14:paraId="1A95286A" w14:textId="77777777" w:rsidR="005E0B56" w:rsidRDefault="005E0B56" w:rsidP="005E0B56">
      <w:pPr>
        <w:shd w:val="clear" w:color="auto" w:fill="FFFFFF"/>
        <w:spacing w:before="240" w:after="240"/>
        <w:ind w:left="567" w:right="567"/>
        <w:rPr>
          <w:rFonts w:ascii="Palatino Linotype" w:hAnsi="Palatino Linotype"/>
          <w:i/>
          <w:iCs/>
          <w:color w:val="222222"/>
          <w:sz w:val="22"/>
          <w:szCs w:val="22"/>
          <w:lang w:val="es-ES"/>
        </w:rPr>
      </w:pPr>
      <w:r w:rsidRPr="00B9068E">
        <w:rPr>
          <w:rFonts w:ascii="Palatino Linotype" w:hAnsi="Palatino Linotype"/>
          <w:i/>
          <w:iCs/>
          <w:color w:val="222222"/>
          <w:sz w:val="22"/>
          <w:szCs w:val="22"/>
          <w:lang w:val="es-ES"/>
        </w:rPr>
        <w:t>Comisionada Ponente Ximena Puente de la Mora.</w:t>
      </w:r>
    </w:p>
    <w:p w14:paraId="673C2A7F" w14:textId="77777777" w:rsidR="005E0B56" w:rsidRPr="00B9068E" w:rsidRDefault="005E0B56" w:rsidP="005E0B56">
      <w:pPr>
        <w:pStyle w:val="Prrafodelista"/>
        <w:numPr>
          <w:ilvl w:val="0"/>
          <w:numId w:val="3"/>
        </w:numPr>
        <w:shd w:val="clear" w:color="auto" w:fill="FFFFFF"/>
        <w:spacing w:before="240" w:after="240" w:line="360" w:lineRule="auto"/>
        <w:ind w:left="0" w:firstLine="0"/>
        <w:jc w:val="both"/>
        <w:rPr>
          <w:rFonts w:ascii="Cambria" w:hAnsi="Cambria"/>
          <w:color w:val="222222"/>
          <w:lang w:eastAsia="es-MX"/>
        </w:rPr>
      </w:pPr>
      <w:r w:rsidRPr="00B9068E">
        <w:rPr>
          <w:rFonts w:ascii="Palatino Linotype" w:hAnsi="Palatino Linotype"/>
          <w:color w:val="222222"/>
          <w:lang w:val="es-ES" w:eastAsia="es-MX"/>
        </w:rPr>
        <w:t xml:space="preserve">Robustece lo anterior, </w:t>
      </w:r>
      <w:r w:rsidRPr="00B9068E">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0A3728A0" w14:textId="77777777" w:rsidR="005E0B56" w:rsidRDefault="005E0B56" w:rsidP="005E0B56">
      <w:pPr>
        <w:shd w:val="clear" w:color="auto" w:fill="FFFFFF"/>
        <w:spacing w:before="240" w:after="240" w:line="360" w:lineRule="atLeast"/>
        <w:ind w:left="567"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w:t>
      </w:r>
      <w:r w:rsidRPr="00B9068E">
        <w:rPr>
          <w:rFonts w:ascii="Palatino Linotype" w:hAnsi="Palatino Linotype"/>
          <w:i/>
          <w:iCs/>
          <w:color w:val="000000"/>
          <w:sz w:val="22"/>
          <w:szCs w:val="22"/>
        </w:rPr>
        <w:lastRenderedPageBreak/>
        <w:t xml:space="preserve">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011E377A" w14:textId="77777777" w:rsidR="005E0B56" w:rsidRDefault="005E0B56" w:rsidP="005E0B56">
      <w:pPr>
        <w:pStyle w:val="Prrafodelista"/>
        <w:numPr>
          <w:ilvl w:val="0"/>
          <w:numId w:val="3"/>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la información adicional plasmada en el escrito de recurso de revisión.</w:t>
      </w:r>
    </w:p>
    <w:p w14:paraId="54940EF9" w14:textId="15771AA8" w:rsidR="004B7E50" w:rsidRPr="004B7E50" w:rsidRDefault="004B7E50" w:rsidP="00C9250D">
      <w:pPr>
        <w:pStyle w:val="Ttulo1"/>
        <w:ind w:firstLine="142"/>
        <w:rPr>
          <w:rFonts w:ascii="Palatino Linotype" w:eastAsia="Calibri" w:hAnsi="Palatino Linotype"/>
          <w:b/>
          <w:color w:val="auto"/>
          <w:sz w:val="24"/>
          <w:szCs w:val="24"/>
        </w:rPr>
      </w:pPr>
      <w:bookmarkStart w:id="36" w:name="_Toc86227417"/>
      <w:r>
        <w:rPr>
          <w:rFonts w:ascii="Palatino Linotype" w:eastAsia="Calibri" w:hAnsi="Palatino Linotype"/>
          <w:b/>
          <w:color w:val="auto"/>
          <w:sz w:val="24"/>
          <w:szCs w:val="24"/>
        </w:rPr>
        <w:t>QUINTO</w:t>
      </w:r>
      <w:r w:rsidRPr="004B7E50">
        <w:rPr>
          <w:rFonts w:ascii="Palatino Linotype" w:eastAsia="Calibri" w:hAnsi="Palatino Linotype"/>
          <w:b/>
          <w:color w:val="auto"/>
          <w:sz w:val="24"/>
          <w:szCs w:val="24"/>
        </w:rPr>
        <w:t>. DECISIÓN.</w:t>
      </w:r>
      <w:bookmarkEnd w:id="36"/>
      <w:r w:rsidRPr="004B7E50">
        <w:rPr>
          <w:rFonts w:ascii="Palatino Linotype" w:eastAsia="Calibri" w:hAnsi="Palatino Linotype"/>
          <w:b/>
          <w:color w:val="auto"/>
          <w:sz w:val="24"/>
          <w:szCs w:val="24"/>
        </w:rPr>
        <w:t xml:space="preserve"> </w:t>
      </w:r>
    </w:p>
    <w:p w14:paraId="4F0F482A" w14:textId="77777777" w:rsidR="004B7E50" w:rsidRPr="004B7E50" w:rsidRDefault="004B7E50" w:rsidP="004B7E50">
      <w:pPr>
        <w:pStyle w:val="Prrafodelista"/>
        <w:rPr>
          <w:rFonts w:ascii="Palatino Linotype" w:eastAsia="Calibri" w:hAnsi="Palatino Linotype" w:cs="Arial"/>
          <w:sz w:val="24"/>
        </w:rPr>
      </w:pPr>
    </w:p>
    <w:p w14:paraId="74B8BF75" w14:textId="2A490584" w:rsidR="001C26A6" w:rsidRDefault="001C26A6"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La solicitud que presentó va encaminada a ejercer el derecho de petición; sin embargo, en aras de no vulnerar su derecho, el Sujeto Obligado dio respuesta expresando una manifestación tratando de atender los requerimientos.</w:t>
      </w:r>
    </w:p>
    <w:p w14:paraId="6A1B0984" w14:textId="77777777" w:rsidR="001C26A6" w:rsidRDefault="001C26A6" w:rsidP="001C26A6">
      <w:pPr>
        <w:pStyle w:val="Prrafodelista"/>
        <w:tabs>
          <w:tab w:val="left" w:pos="567"/>
        </w:tabs>
        <w:spacing w:line="360" w:lineRule="auto"/>
        <w:ind w:left="0"/>
        <w:jc w:val="both"/>
        <w:rPr>
          <w:rFonts w:ascii="Palatino Linotype" w:eastAsia="Calibri" w:hAnsi="Palatino Linotype" w:cs="Arial"/>
          <w:sz w:val="24"/>
        </w:rPr>
      </w:pPr>
    </w:p>
    <w:p w14:paraId="462969D7" w14:textId="2AECABB6" w:rsidR="003F5D55"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eastAsia="Calibri" w:hAnsi="Palatino Linotype" w:cs="Arial"/>
          <w:sz w:val="24"/>
        </w:rPr>
        <w:t xml:space="preserve">La respuesta que emitió el Sujeto Obligado es suficiente para satisfacer el derecho accionado por el recurrente, en el sentido de que, </w:t>
      </w:r>
      <w:r w:rsidR="003F5D55">
        <w:rPr>
          <w:rFonts w:ascii="Palatino Linotype" w:eastAsia="Calibri" w:hAnsi="Palatino Linotype" w:cs="Arial"/>
          <w:sz w:val="24"/>
        </w:rPr>
        <w:t>indicó el motivo por el cual se pueden ver circulando vehículos oficiales tipo patrulla del Ayuntamiento de el Oro en la delimitación territorial del Ayuntamiento de Atlacomulco con personas civiles a bordo, esto es porque se realizan presentaciones ante el ministerio público en las instalaciones de la Fiscalía General de Justicia de presuntos responsables por comisiones de delitos, así como, realizar el traslado a los ciudadanos para realizar la entrega de documentación en las oficinas de Derechos Humanos, ambas dependencias ubicadas en el Municipio de Atlacomulco. Asimismo, indicó el fundamento legal para realizar dichas acciones ante las dependencias mencionadas.</w:t>
      </w:r>
    </w:p>
    <w:p w14:paraId="2938E972" w14:textId="77777777" w:rsidR="003F5D55" w:rsidRDefault="003F5D55" w:rsidP="003F5D55">
      <w:pPr>
        <w:pStyle w:val="Prrafodelista"/>
        <w:tabs>
          <w:tab w:val="left" w:pos="567"/>
        </w:tabs>
        <w:spacing w:line="360" w:lineRule="auto"/>
        <w:ind w:left="0"/>
        <w:jc w:val="both"/>
        <w:rPr>
          <w:rFonts w:ascii="Palatino Linotype" w:eastAsia="Calibri" w:hAnsi="Palatino Linotype" w:cs="Arial"/>
          <w:sz w:val="24"/>
        </w:rPr>
      </w:pPr>
    </w:p>
    <w:p w14:paraId="734BBC8A" w14:textId="2F877528" w:rsidR="004B7E50" w:rsidRDefault="001C26A6"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Los agravios manifestados en sus motivos o razones de inconformidad corresponden a manifestaciones subjetivas que no pueden ser atendidas mediante el derecho de acceso a la información pública, asimismo, se contiene información adicional que no fue requerida mediante la solicitud primigenia, por lo que debe ser desechado por improcedente únicamente los nuevos requerimientos, conforme al artículo 191 fracción VII de la Ley de Transparencia y Acceso a la Información Pública del Estado de México y Municipios.</w:t>
      </w:r>
    </w:p>
    <w:p w14:paraId="7AA65146" w14:textId="77777777" w:rsidR="001C26A6" w:rsidRPr="001C26A6" w:rsidRDefault="001C26A6" w:rsidP="001C26A6">
      <w:pPr>
        <w:pStyle w:val="Prrafodelista"/>
        <w:rPr>
          <w:rFonts w:ascii="Palatino Linotype" w:eastAsia="Calibri" w:hAnsi="Palatino Linotype" w:cs="Arial"/>
          <w:sz w:val="24"/>
        </w:rPr>
      </w:pPr>
    </w:p>
    <w:p w14:paraId="59C68274" w14:textId="3B553DFF" w:rsidR="001C26A6" w:rsidRDefault="001C26A6"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consecuencia, resultan infundados los motivos o razones de inconformidad hechos valer por el Recurrente y lo conducente fue CONFIRMAR la respuesta del Sujeto Obligado.</w:t>
      </w:r>
    </w:p>
    <w:p w14:paraId="50384623" w14:textId="77777777" w:rsidR="001C26A6" w:rsidRPr="001C26A6" w:rsidRDefault="001C26A6" w:rsidP="001C26A6">
      <w:pPr>
        <w:pStyle w:val="Prrafodelista"/>
        <w:rPr>
          <w:rFonts w:ascii="Palatino Linotype" w:eastAsia="Calibri" w:hAnsi="Palatino Linotype" w:cs="Arial"/>
          <w:sz w:val="24"/>
        </w:rPr>
      </w:pPr>
    </w:p>
    <w:p w14:paraId="127205CD" w14:textId="69C6C182" w:rsidR="001C26A6" w:rsidRPr="004B7E50" w:rsidRDefault="001C26A6"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Asimismo, se dejan a salvo los derechos del Recurrente para que, si así lo desea, presente una nueva solicitud requiriendo la información adicional presentada en el recurso de revisión.</w:t>
      </w:r>
    </w:p>
    <w:p w14:paraId="3B8CDFE3" w14:textId="77777777" w:rsidR="004B7E50" w:rsidRPr="004B7E50" w:rsidRDefault="004B7E50" w:rsidP="004B7E50">
      <w:pPr>
        <w:pStyle w:val="Prrafodelista"/>
        <w:tabs>
          <w:tab w:val="left" w:pos="567"/>
        </w:tabs>
        <w:spacing w:line="360" w:lineRule="auto"/>
        <w:ind w:left="0"/>
        <w:jc w:val="both"/>
        <w:rPr>
          <w:rFonts w:ascii="Palatino Linotype" w:eastAsia="Calibri" w:hAnsi="Palatino Linotype" w:cs="Arial"/>
          <w:sz w:val="24"/>
        </w:rPr>
      </w:pPr>
    </w:p>
    <w:bookmarkEnd w:id="20"/>
    <w:p w14:paraId="2675D4B8" w14:textId="77777777" w:rsidR="004B7E50" w:rsidRPr="001C26A6"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hAnsi="Palatino Linotype" w:cs="Arial"/>
          <w:color w:val="222222"/>
          <w:sz w:val="24"/>
          <w:lang w:eastAsia="es-MX"/>
        </w:rPr>
        <w:t xml:space="preserve">Por lo anteriormente expuesto y fundado, este </w:t>
      </w:r>
      <w:r w:rsidRPr="004B7E50">
        <w:rPr>
          <w:rFonts w:ascii="Palatino Linotype" w:hAnsi="Palatino Linotype" w:cs="Arial"/>
          <w:b/>
          <w:bCs/>
          <w:color w:val="222222"/>
          <w:sz w:val="24"/>
          <w:lang w:eastAsia="es-MX"/>
        </w:rPr>
        <w:t>ÓRGANO GARANTE</w:t>
      </w:r>
      <w:r w:rsidRPr="004B7E50">
        <w:rPr>
          <w:rFonts w:ascii="Palatino Linotype" w:hAnsi="Palatino Linotype" w:cs="Arial"/>
          <w:color w:val="222222"/>
          <w:sz w:val="24"/>
          <w:lang w:eastAsia="es-MX"/>
        </w:rPr>
        <w:t xml:space="preserve"> emite los siguientes:</w:t>
      </w:r>
    </w:p>
    <w:p w14:paraId="0BA8FFD5" w14:textId="77777777" w:rsidR="001C26A6" w:rsidRPr="001C26A6" w:rsidRDefault="001C26A6" w:rsidP="001C26A6">
      <w:pPr>
        <w:pStyle w:val="Prrafodelista"/>
        <w:rPr>
          <w:rFonts w:ascii="Palatino Linotype" w:eastAsia="Calibri" w:hAnsi="Palatino Linotype" w:cs="Arial"/>
          <w:sz w:val="24"/>
        </w:rPr>
      </w:pPr>
    </w:p>
    <w:p w14:paraId="08FA76B7" w14:textId="77777777" w:rsidR="001C26A6" w:rsidRPr="001C26A6" w:rsidRDefault="001C26A6" w:rsidP="001C26A6">
      <w:pPr>
        <w:tabs>
          <w:tab w:val="left" w:pos="567"/>
        </w:tabs>
        <w:spacing w:line="360" w:lineRule="auto"/>
        <w:jc w:val="both"/>
        <w:rPr>
          <w:rFonts w:ascii="Palatino Linotype" w:eastAsia="Calibri" w:hAnsi="Palatino Linotype" w:cs="Arial"/>
          <w:sz w:val="24"/>
        </w:rPr>
      </w:pPr>
    </w:p>
    <w:p w14:paraId="3B6A4B63" w14:textId="77777777" w:rsidR="004B7E50" w:rsidRPr="004B7E50" w:rsidRDefault="004B7E50" w:rsidP="004B7E50">
      <w:pPr>
        <w:keepNext/>
        <w:keepLines/>
        <w:spacing w:line="360" w:lineRule="auto"/>
        <w:jc w:val="center"/>
        <w:outlineLvl w:val="0"/>
        <w:rPr>
          <w:rFonts w:ascii="Palatino Linotype" w:hAnsi="Palatino Linotype" w:cstheme="majorBidi"/>
          <w:b/>
          <w:bCs/>
          <w:sz w:val="24"/>
        </w:rPr>
      </w:pPr>
      <w:bookmarkStart w:id="37" w:name="_Toc447699324"/>
      <w:bookmarkStart w:id="38" w:name="_Toc445745148"/>
      <w:bookmarkStart w:id="39" w:name="_Toc486525261"/>
      <w:bookmarkStart w:id="40" w:name="_Toc4061692"/>
      <w:bookmarkStart w:id="41" w:name="_Toc86227418"/>
      <w:r w:rsidRPr="004B7E50">
        <w:rPr>
          <w:rFonts w:ascii="Palatino Linotype" w:hAnsi="Palatino Linotype" w:cstheme="majorBidi"/>
          <w:b/>
          <w:bCs/>
          <w:sz w:val="24"/>
        </w:rPr>
        <w:lastRenderedPageBreak/>
        <w:t>R E S O L U T I V O S</w:t>
      </w:r>
      <w:bookmarkEnd w:id="37"/>
      <w:bookmarkEnd w:id="38"/>
      <w:bookmarkEnd w:id="39"/>
      <w:bookmarkEnd w:id="40"/>
      <w:bookmarkEnd w:id="41"/>
    </w:p>
    <w:p w14:paraId="77DAE9EE" w14:textId="77777777" w:rsidR="004B7E50" w:rsidRPr="004B7E50" w:rsidRDefault="004B7E50" w:rsidP="004B7E50">
      <w:pPr>
        <w:keepNext/>
        <w:keepLines/>
        <w:spacing w:line="360" w:lineRule="auto"/>
        <w:jc w:val="center"/>
        <w:outlineLvl w:val="0"/>
        <w:rPr>
          <w:rFonts w:ascii="Palatino Linotype" w:hAnsi="Palatino Linotype" w:cstheme="majorBidi"/>
          <w:b/>
          <w:bCs/>
          <w:sz w:val="24"/>
        </w:rPr>
      </w:pPr>
    </w:p>
    <w:p w14:paraId="244D4EEA" w14:textId="78EBCD1E" w:rsidR="004B7E50" w:rsidRPr="004B7E50" w:rsidRDefault="004B7E50" w:rsidP="004B7E50">
      <w:pPr>
        <w:spacing w:line="360" w:lineRule="auto"/>
        <w:jc w:val="both"/>
        <w:rPr>
          <w:rFonts w:ascii="Palatino Linotype" w:hAnsi="Palatino Linotype"/>
          <w:sz w:val="24"/>
        </w:rPr>
      </w:pPr>
      <w:r w:rsidRPr="004B7E50">
        <w:rPr>
          <w:rFonts w:ascii="Palatino Linotype" w:hAnsi="Palatino Linotype" w:cs="Arial"/>
          <w:b/>
          <w:sz w:val="24"/>
        </w:rPr>
        <w:t xml:space="preserve">PRIMERO. </w:t>
      </w:r>
      <w:r w:rsidRPr="004B7E50">
        <w:rPr>
          <w:rFonts w:ascii="Palatino Linotype" w:hAnsi="Palatino Linotype" w:cs="Arial"/>
          <w:sz w:val="24"/>
        </w:rPr>
        <w:t>Resultan infundadas las</w:t>
      </w:r>
      <w:r w:rsidRPr="004B7E50">
        <w:rPr>
          <w:rFonts w:ascii="Palatino Linotype" w:hAnsi="Palatino Linotype" w:cs="Arial"/>
          <w:b/>
          <w:sz w:val="24"/>
        </w:rPr>
        <w:t xml:space="preserve"> </w:t>
      </w:r>
      <w:r w:rsidRPr="004B7E50">
        <w:rPr>
          <w:rFonts w:ascii="Palatino Linotype" w:hAnsi="Palatino Linotype" w:cs="Arial"/>
          <w:sz w:val="24"/>
          <w:lang w:val="es-ES"/>
        </w:rPr>
        <w:t xml:space="preserve">razones o motivos de inconformidad hechos valer </w:t>
      </w:r>
      <w:r w:rsidRPr="004B7E50">
        <w:rPr>
          <w:rFonts w:ascii="Palatino Linotype" w:eastAsia="Calibri" w:hAnsi="Palatino Linotype" w:cs="Arial"/>
          <w:sz w:val="24"/>
          <w:lang w:val="es-ES"/>
        </w:rPr>
        <w:t xml:space="preserve">en el recurso de revisión </w:t>
      </w:r>
      <w:r w:rsidR="00533170" w:rsidRPr="00533170">
        <w:rPr>
          <w:rFonts w:ascii="Palatino Linotype" w:hAnsi="Palatino Linotype" w:cs="Arial"/>
          <w:b/>
          <w:bCs/>
          <w:sz w:val="24"/>
          <w:szCs w:val="24"/>
          <w:lang w:eastAsia="es-MX"/>
        </w:rPr>
        <w:t>04658/INFOEM/IP/RR/2021</w:t>
      </w:r>
      <w:r w:rsidRPr="004B7E50">
        <w:rPr>
          <w:rFonts w:ascii="Palatino Linotype" w:hAnsi="Palatino Linotype" w:cs="Arial"/>
          <w:b/>
          <w:bCs/>
          <w:sz w:val="36"/>
          <w:lang w:eastAsia="es-MX"/>
        </w:rPr>
        <w:t xml:space="preserve"> </w:t>
      </w:r>
      <w:r w:rsidRPr="004B7E50">
        <w:rPr>
          <w:rFonts w:ascii="Palatino Linotype" w:hAnsi="Palatino Linotype" w:cs="Arial"/>
          <w:bCs/>
          <w:sz w:val="24"/>
        </w:rPr>
        <w:t xml:space="preserve">en términos del considerando </w:t>
      </w:r>
      <w:r w:rsidRPr="004B7E50">
        <w:rPr>
          <w:rFonts w:ascii="Palatino Linotype" w:hAnsi="Palatino Linotype" w:cs="Arial"/>
          <w:b/>
          <w:sz w:val="24"/>
        </w:rPr>
        <w:t>CUARTO</w:t>
      </w:r>
      <w:r w:rsidRPr="004B7E50">
        <w:rPr>
          <w:rFonts w:ascii="Palatino Linotype" w:hAnsi="Palatino Linotype" w:cs="Arial"/>
          <w:b/>
          <w:bCs/>
          <w:sz w:val="24"/>
        </w:rPr>
        <w:t xml:space="preserve"> </w:t>
      </w:r>
      <w:r w:rsidRPr="004B7E50">
        <w:rPr>
          <w:rFonts w:ascii="Palatino Linotype" w:hAnsi="Palatino Linotype" w:cs="Arial"/>
          <w:bCs/>
          <w:sz w:val="24"/>
        </w:rPr>
        <w:t xml:space="preserve">de la presente resolución. </w:t>
      </w:r>
    </w:p>
    <w:p w14:paraId="44D93FCC" w14:textId="4AAB9AC4" w:rsidR="004B7E50" w:rsidRPr="004B7E50" w:rsidRDefault="004B7E50" w:rsidP="004B7E50">
      <w:pPr>
        <w:spacing w:before="240" w:after="240" w:line="360" w:lineRule="auto"/>
        <w:jc w:val="both"/>
        <w:rPr>
          <w:rFonts w:ascii="Palatino Linotype" w:hAnsi="Palatino Linotype" w:cs="Arial"/>
          <w:sz w:val="24"/>
          <w:lang w:val="es-ES"/>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4B7E50">
        <w:rPr>
          <w:rFonts w:ascii="Palatino Linotype" w:hAnsi="Palatino Linotype"/>
          <w:b/>
          <w:sz w:val="24"/>
        </w:rPr>
        <w:t>SEGUNDO.</w:t>
      </w:r>
      <w:r w:rsidRPr="004B7E50">
        <w:rPr>
          <w:rStyle w:val="Ttulo2Car"/>
          <w:rFonts w:ascii="Palatino Linotype" w:hAnsi="Palatino Linotype"/>
          <w:b/>
          <w:sz w:val="32"/>
          <w:szCs w:val="24"/>
        </w:rPr>
        <w:t xml:space="preserve"> </w:t>
      </w:r>
      <w:bookmarkEnd w:id="42"/>
      <w:bookmarkEnd w:id="43"/>
      <w:bookmarkEnd w:id="44"/>
      <w:bookmarkEnd w:id="45"/>
      <w:bookmarkEnd w:id="46"/>
      <w:bookmarkEnd w:id="47"/>
      <w:bookmarkEnd w:id="48"/>
      <w:r w:rsidRPr="004B7E50">
        <w:rPr>
          <w:rFonts w:ascii="Palatino Linotype" w:eastAsia="Calibri" w:hAnsi="Palatino Linotype" w:cs="Arial"/>
          <w:sz w:val="24"/>
          <w:lang w:val="es-ES"/>
        </w:rPr>
        <w:t>Se</w:t>
      </w:r>
      <w:r w:rsidRPr="004B7E50">
        <w:rPr>
          <w:rFonts w:ascii="Palatino Linotype" w:eastAsia="Calibri" w:hAnsi="Palatino Linotype" w:cs="Arial"/>
          <w:b/>
          <w:sz w:val="24"/>
          <w:lang w:val="es-ES"/>
        </w:rPr>
        <w:t xml:space="preserve"> CONFIRMA </w:t>
      </w:r>
      <w:r w:rsidRPr="004B7E50">
        <w:rPr>
          <w:rFonts w:ascii="Palatino Linotype" w:eastAsia="Calibri" w:hAnsi="Palatino Linotype" w:cs="Arial"/>
          <w:sz w:val="24"/>
          <w:lang w:val="es-ES"/>
        </w:rPr>
        <w:t xml:space="preserve">la respuesta emitida </w:t>
      </w:r>
      <w:r w:rsidR="00533170">
        <w:rPr>
          <w:rFonts w:ascii="Palatino Linotype" w:eastAsia="Calibri" w:hAnsi="Palatino Linotype" w:cs="Arial"/>
          <w:sz w:val="24"/>
          <w:lang w:val="es-ES"/>
        </w:rPr>
        <w:t>el</w:t>
      </w:r>
      <w:r w:rsidRPr="004B7E50">
        <w:rPr>
          <w:rFonts w:ascii="Palatino Linotype" w:eastAsia="Calibri" w:hAnsi="Palatino Linotype" w:cs="Arial"/>
          <w:sz w:val="24"/>
          <w:lang w:val="es-ES"/>
        </w:rPr>
        <w:t xml:space="preserve"> </w:t>
      </w:r>
      <w:r w:rsidR="00533170" w:rsidRPr="00533170">
        <w:rPr>
          <w:rFonts w:ascii="Palatino Linotype" w:hAnsi="Palatino Linotype"/>
          <w:b/>
          <w:bCs/>
          <w:sz w:val="24"/>
          <w:szCs w:val="24"/>
        </w:rPr>
        <w:t>Ayuntamiento de el Oro</w:t>
      </w:r>
      <w:r w:rsidRPr="004B7E50">
        <w:rPr>
          <w:rFonts w:ascii="Palatino Linotype" w:hAnsi="Palatino Linotype" w:cs="Arial"/>
          <w:sz w:val="40"/>
          <w:szCs w:val="28"/>
          <w:lang w:val="es-ES"/>
        </w:rPr>
        <w:t xml:space="preserve"> </w:t>
      </w:r>
      <w:r w:rsidRPr="004B7E50">
        <w:rPr>
          <w:rFonts w:ascii="Palatino Linotype" w:hAnsi="Palatino Linotype" w:cs="Arial"/>
          <w:sz w:val="24"/>
          <w:lang w:val="es-ES"/>
        </w:rPr>
        <w:t xml:space="preserve">a la solicitud </w:t>
      </w:r>
      <w:r w:rsidRPr="004B7E50">
        <w:rPr>
          <w:rFonts w:ascii="Palatino Linotype" w:eastAsia="Calibri" w:hAnsi="Palatino Linotype" w:cs="Arial"/>
          <w:b/>
          <w:sz w:val="24"/>
          <w:lang w:val="es-ES"/>
        </w:rPr>
        <w:t>00</w:t>
      </w:r>
      <w:r w:rsidR="00533170">
        <w:rPr>
          <w:rFonts w:ascii="Palatino Linotype" w:eastAsia="Calibri" w:hAnsi="Palatino Linotype" w:cs="Arial"/>
          <w:b/>
          <w:sz w:val="24"/>
          <w:lang w:val="es-ES"/>
        </w:rPr>
        <w:t>057</w:t>
      </w:r>
      <w:r w:rsidRPr="004B7E50">
        <w:rPr>
          <w:rFonts w:ascii="Palatino Linotype" w:eastAsia="Calibri" w:hAnsi="Palatino Linotype" w:cs="Arial"/>
          <w:b/>
          <w:sz w:val="24"/>
          <w:lang w:val="es-ES"/>
        </w:rPr>
        <w:t>/</w:t>
      </w:r>
      <w:r w:rsidR="00533170">
        <w:rPr>
          <w:rFonts w:ascii="Palatino Linotype" w:eastAsia="Calibri" w:hAnsi="Palatino Linotype" w:cs="Arial"/>
          <w:b/>
          <w:sz w:val="24"/>
          <w:lang w:val="es-ES"/>
        </w:rPr>
        <w:t>ELORO</w:t>
      </w:r>
      <w:r w:rsidRPr="004B7E50">
        <w:rPr>
          <w:rFonts w:ascii="Palatino Linotype" w:eastAsia="Calibri" w:hAnsi="Palatino Linotype" w:cs="Arial"/>
          <w:b/>
          <w:sz w:val="24"/>
          <w:lang w:val="es-ES"/>
        </w:rPr>
        <w:t>/IP/2021</w:t>
      </w:r>
      <w:r w:rsidR="00C9250D">
        <w:rPr>
          <w:rFonts w:ascii="Palatino Linotype" w:hAnsi="Palatino Linotype" w:cs="Arial"/>
          <w:b/>
          <w:sz w:val="24"/>
          <w:lang w:val="es-ES"/>
        </w:rPr>
        <w:t>.</w:t>
      </w:r>
    </w:p>
    <w:p w14:paraId="5D715850" w14:textId="77777777" w:rsidR="004B7E50" w:rsidRPr="004B7E50" w:rsidRDefault="004B7E50" w:rsidP="004B7E50">
      <w:pPr>
        <w:tabs>
          <w:tab w:val="left" w:pos="8080"/>
        </w:tabs>
        <w:spacing w:line="360" w:lineRule="auto"/>
        <w:ind w:right="49"/>
        <w:contextualSpacing/>
        <w:jc w:val="both"/>
        <w:rPr>
          <w:rFonts w:ascii="Palatino Linotype" w:eastAsia="Palatino Linotype" w:hAnsi="Palatino Linotype" w:cs="Palatino Linotype"/>
          <w:b/>
          <w:sz w:val="24"/>
        </w:rPr>
      </w:pPr>
      <w:r w:rsidRPr="004B7E50">
        <w:rPr>
          <w:rFonts w:ascii="Palatino Linotype" w:eastAsia="Palatino Linotype" w:hAnsi="Palatino Linotype" w:cs="Palatino Linotype"/>
          <w:b/>
          <w:sz w:val="24"/>
        </w:rPr>
        <w:t xml:space="preserve">TERCERO. REMÍTASE, </w:t>
      </w:r>
      <w:r w:rsidRPr="004B7E50">
        <w:rPr>
          <w:rFonts w:ascii="Palatino Linotype" w:eastAsia="Palatino Linotype" w:hAnsi="Palatino Linotype" w:cs="Palatino Linotype"/>
          <w:sz w:val="24"/>
        </w:rPr>
        <w:t xml:space="preserve">vía Sistema de Acceso a la Información Mexiquense </w:t>
      </w:r>
      <w:r w:rsidRPr="004B7E50">
        <w:rPr>
          <w:rFonts w:ascii="Palatino Linotype" w:eastAsia="Palatino Linotype" w:hAnsi="Palatino Linotype" w:cs="Palatino Linotype"/>
          <w:b/>
          <w:sz w:val="24"/>
        </w:rPr>
        <w:t>(SAIMEX)</w:t>
      </w:r>
      <w:r w:rsidRPr="004B7E50">
        <w:rPr>
          <w:rFonts w:ascii="Palatino Linotype" w:eastAsia="Palatino Linotype" w:hAnsi="Palatino Linotype" w:cs="Palatino Linotype"/>
          <w:sz w:val="24"/>
        </w:rPr>
        <w:t xml:space="preserve">, la presente resolución al Titular de la Unidad de Transparencia del </w:t>
      </w:r>
      <w:r w:rsidRPr="004B7E50">
        <w:rPr>
          <w:rFonts w:ascii="Palatino Linotype" w:eastAsia="Palatino Linotype" w:hAnsi="Palatino Linotype" w:cs="Palatino Linotype"/>
          <w:b/>
          <w:sz w:val="24"/>
        </w:rPr>
        <w:t>SUJETO OBLIGADO.</w:t>
      </w:r>
    </w:p>
    <w:p w14:paraId="6055E1C8" w14:textId="77777777" w:rsidR="004B7E50" w:rsidRPr="004B7E50" w:rsidRDefault="004B7E50" w:rsidP="004B7E50">
      <w:pPr>
        <w:tabs>
          <w:tab w:val="left" w:pos="8080"/>
        </w:tabs>
        <w:spacing w:line="360" w:lineRule="auto"/>
        <w:ind w:right="49"/>
        <w:contextualSpacing/>
        <w:jc w:val="both"/>
        <w:rPr>
          <w:rFonts w:ascii="Palatino Linotype" w:eastAsia="Palatino Linotype" w:hAnsi="Palatino Linotype" w:cs="Palatino Linotype"/>
          <w:b/>
          <w:sz w:val="24"/>
        </w:rPr>
      </w:pPr>
    </w:p>
    <w:p w14:paraId="59C3A500" w14:textId="21F90F7E" w:rsidR="004B7E50" w:rsidRPr="004B7E50" w:rsidRDefault="004B7E50" w:rsidP="004B7E50">
      <w:pPr>
        <w:shd w:val="clear" w:color="auto" w:fill="FFFFFF"/>
        <w:spacing w:line="360" w:lineRule="auto"/>
        <w:jc w:val="both"/>
        <w:rPr>
          <w:rFonts w:ascii="Palatino Linotype" w:hAnsi="Palatino Linotype"/>
          <w:color w:val="222222"/>
          <w:sz w:val="24"/>
          <w:lang w:val="es-ES" w:eastAsia="es-MX"/>
        </w:rPr>
      </w:pPr>
      <w:bookmarkStart w:id="49" w:name="_Toc462307694"/>
      <w:bookmarkStart w:id="50" w:name="_Toc473806819"/>
      <w:bookmarkStart w:id="51" w:name="_Toc477345211"/>
      <w:bookmarkStart w:id="52" w:name="_Toc480987181"/>
      <w:bookmarkStart w:id="53" w:name="_Toc480996314"/>
      <w:bookmarkStart w:id="54" w:name="_Toc485145214"/>
      <w:bookmarkStart w:id="55" w:name="_Toc490679149"/>
      <w:r w:rsidRPr="004B7E50">
        <w:rPr>
          <w:rFonts w:ascii="Palatino Linotype" w:hAnsi="Palatino Linotype"/>
          <w:b/>
          <w:sz w:val="24"/>
        </w:rPr>
        <w:t>CUARTO.</w:t>
      </w:r>
      <w:r w:rsidRPr="004B7E50">
        <w:rPr>
          <w:rStyle w:val="Ttulo2Car"/>
          <w:rFonts w:ascii="Palatino Linotype" w:hAnsi="Palatino Linotype"/>
          <w:b/>
          <w:sz w:val="32"/>
        </w:rPr>
        <w:t xml:space="preserve"> </w:t>
      </w:r>
      <w:r w:rsidRPr="004B7E50">
        <w:rPr>
          <w:rFonts w:ascii="Palatino Linotype" w:hAnsi="Palatino Linotype"/>
          <w:b/>
          <w:sz w:val="24"/>
        </w:rPr>
        <w:t>Notifíquese</w:t>
      </w:r>
      <w:r w:rsidRPr="004B7E50">
        <w:rPr>
          <w:rStyle w:val="Ttulo2Car"/>
          <w:rFonts w:ascii="Palatino Linotype" w:hAnsi="Palatino Linotype"/>
          <w:sz w:val="32"/>
        </w:rPr>
        <w:t xml:space="preserve"> </w:t>
      </w:r>
      <w:bookmarkEnd w:id="49"/>
      <w:bookmarkEnd w:id="50"/>
      <w:bookmarkEnd w:id="51"/>
      <w:bookmarkEnd w:id="52"/>
      <w:bookmarkEnd w:id="53"/>
      <w:bookmarkEnd w:id="54"/>
      <w:bookmarkEnd w:id="55"/>
      <w:r w:rsidRPr="004B7E50">
        <w:rPr>
          <w:rFonts w:ascii="Palatino Linotype" w:hAnsi="Palatino Linotype"/>
          <w:sz w:val="24"/>
        </w:rPr>
        <w:t xml:space="preserve">a </w:t>
      </w:r>
      <w:r w:rsidR="005855D2" w:rsidRPr="005855D2">
        <w:rPr>
          <w:rFonts w:ascii="Palatino Linotype" w:hAnsi="Palatino Linotype"/>
          <w:b/>
          <w:color w:val="222222"/>
          <w:sz w:val="24"/>
          <w:lang w:val="es-ES" w:eastAsia="es-MX"/>
        </w:rPr>
        <w:t>XXXXX</w:t>
      </w:r>
      <w:r w:rsidR="005855D2" w:rsidRPr="005855D2">
        <w:rPr>
          <w:rFonts w:ascii="Palatino Linotype" w:hAnsi="Palatino Linotype"/>
          <w:b/>
          <w:sz w:val="24"/>
          <w:szCs w:val="24"/>
        </w:rPr>
        <w:t xml:space="preserve"> XXXXXX </w:t>
      </w:r>
      <w:r w:rsidR="005855D2">
        <w:rPr>
          <w:rFonts w:ascii="Palatino Linotype" w:hAnsi="Palatino Linotype"/>
          <w:b/>
          <w:sz w:val="24"/>
          <w:szCs w:val="24"/>
        </w:rPr>
        <w:t>XXXXX</w:t>
      </w:r>
      <w:r w:rsidRPr="004B7E50">
        <w:rPr>
          <w:rFonts w:ascii="Palatino Linotype" w:hAnsi="Palatino Linotype"/>
          <w:b/>
          <w:sz w:val="24"/>
        </w:rPr>
        <w:t>,</w:t>
      </w:r>
      <w:r w:rsidRPr="004B7E50">
        <w:rPr>
          <w:rFonts w:ascii="Palatino Linotype" w:hAnsi="Palatino Linotype"/>
          <w:sz w:val="24"/>
        </w:rPr>
        <w:t xml:space="preserve"> la presente</w:t>
      </w:r>
      <w:r w:rsidRPr="004B7E50">
        <w:rPr>
          <w:rFonts w:ascii="Palatino Linotype" w:hAnsi="Palatino Linotype"/>
          <w:color w:val="222222"/>
          <w:sz w:val="24"/>
          <w:lang w:val="es-ES" w:eastAsia="es-MX"/>
        </w:rPr>
        <w:t xml:space="preserve"> resolución</w:t>
      </w:r>
      <w:r w:rsidR="008C1614">
        <w:rPr>
          <w:rFonts w:ascii="Palatino Linotype" w:hAnsi="Palatino Linotype"/>
          <w:color w:val="222222"/>
          <w:sz w:val="24"/>
          <w:lang w:val="es-ES" w:eastAsia="es-MX"/>
        </w:rPr>
        <w:t xml:space="preserve"> </w:t>
      </w:r>
      <w:r w:rsidR="00AB1838">
        <w:rPr>
          <w:rFonts w:ascii="Palatino Linotype" w:hAnsi="Palatino Linotype"/>
          <w:color w:val="222222"/>
          <w:sz w:val="24"/>
          <w:lang w:val="es-ES" w:eastAsia="es-MX"/>
        </w:rPr>
        <w:t>vía</w:t>
      </w:r>
      <w:r w:rsidR="008C1614">
        <w:rPr>
          <w:rFonts w:ascii="Palatino Linotype" w:hAnsi="Palatino Linotype"/>
          <w:color w:val="222222"/>
          <w:sz w:val="24"/>
          <w:lang w:val="es-ES" w:eastAsia="es-MX"/>
        </w:rPr>
        <w:t xml:space="preserve"> Sistema de Acceso a la Información Mexiquense </w:t>
      </w:r>
      <w:r w:rsidR="008C1614" w:rsidRPr="008C1614">
        <w:rPr>
          <w:rFonts w:ascii="Palatino Linotype" w:hAnsi="Palatino Linotype"/>
          <w:b/>
          <w:color w:val="222222"/>
          <w:sz w:val="24"/>
          <w:lang w:val="es-ES" w:eastAsia="es-MX"/>
        </w:rPr>
        <w:t>(SAIMEX)</w:t>
      </w:r>
      <w:r w:rsidRPr="008C1614">
        <w:rPr>
          <w:rFonts w:ascii="Palatino Linotype" w:hAnsi="Palatino Linotype"/>
          <w:b/>
          <w:color w:val="222222"/>
          <w:sz w:val="24"/>
          <w:lang w:val="es-ES" w:eastAsia="es-MX"/>
        </w:rPr>
        <w:t>.</w:t>
      </w:r>
    </w:p>
    <w:p w14:paraId="419DC7B1" w14:textId="514464C6" w:rsidR="004B7E50" w:rsidRPr="004B7E50" w:rsidRDefault="004B7E50" w:rsidP="004B7E50">
      <w:pPr>
        <w:spacing w:before="240" w:after="240" w:line="360" w:lineRule="auto"/>
        <w:ind w:firstLine="1"/>
        <w:jc w:val="both"/>
        <w:rPr>
          <w:rFonts w:ascii="Palatino Linotype" w:hAnsi="Palatino Linotype"/>
          <w:sz w:val="24"/>
        </w:rPr>
      </w:pPr>
      <w:r w:rsidRPr="004B7E50">
        <w:rPr>
          <w:rFonts w:ascii="Palatino Linotype" w:hAnsi="Palatino Linotype"/>
          <w:b/>
          <w:color w:val="222222"/>
          <w:sz w:val="24"/>
          <w:lang w:val="es-ES" w:eastAsia="es-MX"/>
        </w:rPr>
        <w:t xml:space="preserve">QUINTO. </w:t>
      </w:r>
      <w:r w:rsidRPr="004B7E50">
        <w:rPr>
          <w:rFonts w:ascii="Palatino Linotype" w:hAnsi="Palatino Linotype"/>
          <w:color w:val="222222"/>
          <w:sz w:val="24"/>
          <w:lang w:val="es-ES" w:eastAsia="es-MX"/>
        </w:rPr>
        <w:t xml:space="preserve">Se hace del conocimiento del </w:t>
      </w:r>
      <w:r w:rsidR="005855D2" w:rsidRPr="005855D2">
        <w:rPr>
          <w:rFonts w:ascii="Palatino Linotype" w:hAnsi="Palatino Linotype"/>
          <w:b/>
          <w:color w:val="222222"/>
          <w:sz w:val="24"/>
          <w:lang w:val="es-ES" w:eastAsia="es-MX"/>
        </w:rPr>
        <w:t>XXXXX</w:t>
      </w:r>
      <w:r w:rsidR="00533170" w:rsidRPr="005855D2">
        <w:rPr>
          <w:rFonts w:ascii="Palatino Linotype" w:hAnsi="Palatino Linotype"/>
          <w:b/>
          <w:sz w:val="24"/>
          <w:szCs w:val="24"/>
        </w:rPr>
        <w:t xml:space="preserve"> </w:t>
      </w:r>
      <w:r w:rsidR="005855D2" w:rsidRPr="005855D2">
        <w:rPr>
          <w:rFonts w:ascii="Palatino Linotype" w:hAnsi="Palatino Linotype"/>
          <w:b/>
          <w:sz w:val="24"/>
          <w:szCs w:val="24"/>
        </w:rPr>
        <w:t>XXXXXX</w:t>
      </w:r>
      <w:r w:rsidR="00533170" w:rsidRPr="005855D2">
        <w:rPr>
          <w:rFonts w:ascii="Palatino Linotype" w:hAnsi="Palatino Linotype"/>
          <w:b/>
          <w:sz w:val="24"/>
          <w:szCs w:val="24"/>
        </w:rPr>
        <w:t xml:space="preserve"> </w:t>
      </w:r>
      <w:r w:rsidR="005855D2" w:rsidRPr="005855D2">
        <w:rPr>
          <w:rFonts w:ascii="Palatino Linotype" w:hAnsi="Palatino Linotype"/>
          <w:b/>
          <w:sz w:val="24"/>
          <w:szCs w:val="24"/>
        </w:rPr>
        <w:t>XXXXXX</w:t>
      </w:r>
      <w:r w:rsidRPr="004B7E50">
        <w:rPr>
          <w:rFonts w:ascii="Palatino Linotype" w:hAnsi="Palatino Linotype"/>
          <w:b/>
          <w:sz w:val="24"/>
          <w:szCs w:val="22"/>
        </w:rPr>
        <w:t xml:space="preserve"> </w:t>
      </w:r>
      <w:r w:rsidRPr="004B7E50">
        <w:rPr>
          <w:rFonts w:ascii="Palatino Linotype" w:hAnsi="Palatino Linotype"/>
          <w:color w:val="222222"/>
          <w:sz w:val="24"/>
          <w:lang w:val="es-ES" w:eastAsia="es-MX"/>
        </w:rPr>
        <w:t>que, de conformidad con lo establecido en el artículo 196 de la Ley de Transparencia y Acceso a la Información Pública del Estado de México y Municipios,</w:t>
      </w:r>
      <w:r w:rsidRPr="004B7E50">
        <w:rPr>
          <w:rFonts w:ascii="Palatino Linotype" w:hAnsi="Palatino Linotype"/>
          <w:color w:val="000000"/>
          <w:sz w:val="24"/>
          <w:shd w:val="clear" w:color="auto" w:fill="FFFFFF"/>
        </w:rPr>
        <w:t xml:space="preserve"> en caso de que considere que la resolución le cause algún perjuicio podrá impugnarla vía </w:t>
      </w:r>
      <w:r w:rsidRPr="004B7E50">
        <w:rPr>
          <w:rFonts w:ascii="Palatino Linotype" w:hAnsi="Palatino Linotype"/>
          <w:color w:val="222222"/>
          <w:sz w:val="24"/>
          <w:shd w:val="clear" w:color="auto" w:fill="FFFFFF"/>
          <w:lang w:val="es-ES"/>
        </w:rPr>
        <w:t>juicio de amparo en los términos de las leyes aplicables.</w:t>
      </w:r>
      <w:r w:rsidRPr="004B7E50">
        <w:rPr>
          <w:rFonts w:ascii="Palatino Linotype" w:hAnsi="Palatino Linotype"/>
          <w:sz w:val="24"/>
        </w:rPr>
        <w:t xml:space="preserve"> </w:t>
      </w:r>
    </w:p>
    <w:p w14:paraId="5D02B135" w14:textId="16DABB9F" w:rsidR="004B7E50" w:rsidRPr="004B7E50" w:rsidRDefault="004B7E50" w:rsidP="004B7E50">
      <w:pPr>
        <w:spacing w:before="240" w:after="240" w:line="360" w:lineRule="auto"/>
        <w:ind w:firstLine="1"/>
        <w:jc w:val="both"/>
        <w:rPr>
          <w:rFonts w:ascii="Palatino Linotype" w:hAnsi="Palatino Linotype"/>
          <w:sz w:val="24"/>
        </w:rPr>
      </w:pPr>
      <w:r w:rsidRPr="004B7E50">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4B7E50">
        <w:rPr>
          <w:rFonts w:ascii="Palatino Linotype" w:hAnsi="Palatino Linotype"/>
          <w:sz w:val="24"/>
        </w:rPr>
        <w:lastRenderedPageBreak/>
        <w:t>DEL ROSARIO MEJÍA AYALA; SHARON CRISTINA MORALES MARTÍNEZ; LUIS GUSTAVO PARRA NORIEGA; Y GUADALUPE RAMÍREZ PEÑA EN LA TRIGÉSIM</w:t>
      </w:r>
      <w:r w:rsidR="001A11D8">
        <w:rPr>
          <w:rFonts w:ascii="Palatino Linotype" w:hAnsi="Palatino Linotype"/>
          <w:sz w:val="24"/>
        </w:rPr>
        <w:t>O</w:t>
      </w:r>
      <w:r w:rsidRPr="004B7E50">
        <w:rPr>
          <w:rFonts w:ascii="Palatino Linotype" w:hAnsi="Palatino Linotype"/>
          <w:sz w:val="24"/>
        </w:rPr>
        <w:t xml:space="preserve"> </w:t>
      </w:r>
      <w:r w:rsidR="001A11D8">
        <w:rPr>
          <w:rFonts w:ascii="Palatino Linotype" w:hAnsi="Palatino Linotype"/>
          <w:sz w:val="24"/>
        </w:rPr>
        <w:t>NOVENA</w:t>
      </w:r>
      <w:r w:rsidRPr="004B7E50">
        <w:rPr>
          <w:rFonts w:ascii="Palatino Linotype" w:hAnsi="Palatino Linotype"/>
          <w:sz w:val="24"/>
        </w:rPr>
        <w:t xml:space="preserve"> SESIÓN ORDINARIA CELEBRADA EL </w:t>
      </w:r>
      <w:r w:rsidR="001A11D8">
        <w:rPr>
          <w:rFonts w:ascii="Palatino Linotype" w:hAnsi="Palatino Linotype"/>
          <w:sz w:val="24"/>
        </w:rPr>
        <w:t xml:space="preserve">CUATRO DE NOVIEMBRE </w:t>
      </w:r>
      <w:r w:rsidRPr="004B7E50">
        <w:rPr>
          <w:rFonts w:ascii="Palatino Linotype" w:hAnsi="Palatino Linotype"/>
          <w:sz w:val="24"/>
        </w:rPr>
        <w:t xml:space="preserve">DE DOS MIL VEINTIUNO, ANTE EL SECRETARIO TÉCNICO DEL PLENO ALEXIS TAPIA RAMÍREZ </w:t>
      </w:r>
    </w:p>
    <w:p w14:paraId="4B552B46" w14:textId="77777777" w:rsidR="004B7E50" w:rsidRDefault="004B7E50" w:rsidP="004B7E50">
      <w:pPr>
        <w:spacing w:before="240" w:after="240" w:line="360" w:lineRule="auto"/>
        <w:ind w:firstLine="1"/>
        <w:jc w:val="both"/>
        <w:rPr>
          <w:rFonts w:ascii="Palatino Linotype" w:hAnsi="Palatino Linotype"/>
        </w:rPr>
      </w:pPr>
    </w:p>
    <w:p w14:paraId="1D6A0149" w14:textId="77777777" w:rsidR="004B7E50" w:rsidRDefault="004B7E50" w:rsidP="004B7E50">
      <w:pPr>
        <w:spacing w:before="240" w:after="240" w:line="360" w:lineRule="auto"/>
        <w:ind w:firstLine="1"/>
        <w:jc w:val="both"/>
        <w:rPr>
          <w:rFonts w:ascii="Palatino Linotype" w:hAnsi="Palatino Linotype"/>
        </w:rPr>
      </w:pPr>
    </w:p>
    <w:p w14:paraId="06C013BB" w14:textId="77777777" w:rsidR="004B7E50" w:rsidRDefault="004B7E50" w:rsidP="004B7E50">
      <w:pPr>
        <w:spacing w:before="240" w:after="240" w:line="360" w:lineRule="auto"/>
        <w:ind w:firstLine="1"/>
        <w:jc w:val="both"/>
        <w:rPr>
          <w:rFonts w:ascii="Palatino Linotype" w:hAnsi="Palatino Linotype"/>
        </w:rPr>
      </w:pPr>
    </w:p>
    <w:p w14:paraId="11C1A7FB" w14:textId="77777777" w:rsidR="004B7E50" w:rsidRDefault="004B7E50" w:rsidP="004B7E50">
      <w:pPr>
        <w:spacing w:before="240" w:after="240" w:line="360" w:lineRule="auto"/>
        <w:ind w:firstLine="1"/>
        <w:jc w:val="both"/>
        <w:rPr>
          <w:rFonts w:ascii="Palatino Linotype" w:hAnsi="Palatino Linotype"/>
        </w:rPr>
      </w:pPr>
    </w:p>
    <w:p w14:paraId="4D5600C1" w14:textId="77777777" w:rsidR="004B7E50" w:rsidRDefault="004B7E50" w:rsidP="004B7E50">
      <w:pPr>
        <w:spacing w:before="240" w:after="240" w:line="360" w:lineRule="auto"/>
        <w:ind w:firstLine="1"/>
        <w:jc w:val="both"/>
        <w:rPr>
          <w:rFonts w:ascii="Palatino Linotype" w:hAnsi="Palatino Linotype"/>
        </w:rPr>
      </w:pPr>
    </w:p>
    <w:p w14:paraId="7767CB45" w14:textId="77777777" w:rsidR="004B7E50" w:rsidRDefault="004B7E50" w:rsidP="004B7E50">
      <w:pPr>
        <w:spacing w:before="240" w:after="240" w:line="360" w:lineRule="auto"/>
        <w:ind w:firstLine="1"/>
        <w:jc w:val="both"/>
        <w:rPr>
          <w:rFonts w:ascii="Palatino Linotype" w:hAnsi="Palatino Linotype"/>
        </w:rPr>
      </w:pPr>
    </w:p>
    <w:p w14:paraId="63EE0A21" w14:textId="77777777" w:rsidR="004B7E50" w:rsidRDefault="004B7E50" w:rsidP="004B7E50">
      <w:pPr>
        <w:spacing w:before="240" w:after="240" w:line="360" w:lineRule="auto"/>
        <w:ind w:firstLine="1"/>
        <w:jc w:val="both"/>
        <w:rPr>
          <w:rFonts w:ascii="Palatino Linotype" w:hAnsi="Palatino Linotype"/>
        </w:rPr>
      </w:pPr>
    </w:p>
    <w:p w14:paraId="3E077BC4" w14:textId="77777777" w:rsidR="004B7E50" w:rsidRDefault="004B7E50" w:rsidP="004B7E50">
      <w:pPr>
        <w:spacing w:before="240" w:after="240" w:line="360" w:lineRule="auto"/>
        <w:ind w:firstLine="1"/>
        <w:jc w:val="both"/>
        <w:rPr>
          <w:rFonts w:ascii="Palatino Linotype" w:hAnsi="Palatino Linotype"/>
        </w:rPr>
      </w:pPr>
    </w:p>
    <w:p w14:paraId="4023D7A2" w14:textId="77777777" w:rsidR="004B7E50" w:rsidRDefault="004B7E50" w:rsidP="004B7E50">
      <w:pPr>
        <w:spacing w:before="240" w:after="240" w:line="360" w:lineRule="auto"/>
        <w:ind w:firstLine="1"/>
        <w:jc w:val="both"/>
        <w:rPr>
          <w:rFonts w:ascii="Palatino Linotype" w:hAnsi="Palatino Linotype"/>
        </w:rPr>
      </w:pPr>
    </w:p>
    <w:p w14:paraId="3A143BFE" w14:textId="77777777" w:rsidR="004B7E50" w:rsidRDefault="004B7E50" w:rsidP="004B7E50">
      <w:pPr>
        <w:spacing w:before="240" w:after="240" w:line="360" w:lineRule="auto"/>
        <w:ind w:firstLine="1"/>
        <w:jc w:val="both"/>
        <w:rPr>
          <w:rFonts w:ascii="Palatino Linotype" w:hAnsi="Palatino Linotype"/>
        </w:rPr>
      </w:pPr>
    </w:p>
    <w:p w14:paraId="354E4675" w14:textId="77777777" w:rsidR="004B7E50" w:rsidRDefault="004B7E50" w:rsidP="004B7E50">
      <w:pPr>
        <w:spacing w:before="240" w:after="240" w:line="360" w:lineRule="auto"/>
        <w:ind w:firstLine="1"/>
        <w:jc w:val="both"/>
        <w:rPr>
          <w:rFonts w:ascii="Palatino Linotype" w:hAnsi="Palatino Linotype"/>
        </w:rPr>
      </w:pPr>
    </w:p>
    <w:p w14:paraId="16F1BF69" w14:textId="77777777" w:rsidR="004B7E50" w:rsidRDefault="004B7E50" w:rsidP="004B7E50">
      <w:pPr>
        <w:spacing w:before="240" w:after="240" w:line="360" w:lineRule="auto"/>
        <w:ind w:firstLine="1"/>
        <w:jc w:val="both"/>
        <w:rPr>
          <w:rFonts w:ascii="Palatino Linotype" w:hAnsi="Palatino Linotype"/>
        </w:rPr>
      </w:pPr>
    </w:p>
    <w:p w14:paraId="5348EEDE" w14:textId="77777777" w:rsidR="004B7E50" w:rsidRDefault="004B7E50" w:rsidP="004B7E50">
      <w:pPr>
        <w:spacing w:before="240" w:after="240" w:line="360" w:lineRule="auto"/>
        <w:ind w:firstLine="1"/>
        <w:jc w:val="both"/>
        <w:rPr>
          <w:rFonts w:ascii="Palatino Linotype" w:hAnsi="Palatino Linotype"/>
        </w:rPr>
      </w:pPr>
    </w:p>
    <w:p w14:paraId="30009EAE" w14:textId="77777777" w:rsidR="004B7E50" w:rsidRDefault="004B7E50" w:rsidP="004B7E50">
      <w:pPr>
        <w:spacing w:before="240" w:after="240" w:line="360" w:lineRule="auto"/>
        <w:ind w:firstLine="1"/>
        <w:jc w:val="both"/>
        <w:rPr>
          <w:rFonts w:ascii="Palatino Linotype" w:hAnsi="Palatino Linotype"/>
        </w:rPr>
      </w:pPr>
    </w:p>
    <w:p w14:paraId="22D43F7F" w14:textId="77777777" w:rsidR="004B7E50" w:rsidRDefault="004B7E50" w:rsidP="004B7E50">
      <w:pPr>
        <w:spacing w:before="240" w:after="240" w:line="360" w:lineRule="auto"/>
        <w:ind w:firstLine="1"/>
        <w:jc w:val="both"/>
        <w:rPr>
          <w:rFonts w:ascii="Palatino Linotype" w:hAnsi="Palatino Linotype"/>
        </w:rPr>
      </w:pPr>
    </w:p>
    <w:p w14:paraId="4394AD26" w14:textId="77777777" w:rsidR="004B7E50" w:rsidRDefault="004B7E50" w:rsidP="004B7E50">
      <w:pPr>
        <w:spacing w:before="240" w:after="240" w:line="360" w:lineRule="auto"/>
        <w:ind w:firstLine="1"/>
        <w:jc w:val="both"/>
        <w:rPr>
          <w:rFonts w:ascii="Palatino Linotype" w:hAnsi="Palatino Linotype"/>
        </w:rPr>
      </w:pPr>
    </w:p>
    <w:p w14:paraId="39C3659E" w14:textId="77777777" w:rsidR="004B7E50" w:rsidRDefault="004B7E50" w:rsidP="004B7E50">
      <w:pPr>
        <w:spacing w:before="240" w:after="360" w:line="360" w:lineRule="auto"/>
        <w:jc w:val="both"/>
        <w:rPr>
          <w:rFonts w:ascii="Palatino Linotype" w:hAnsi="Palatino Linotype"/>
          <w:color w:val="222222"/>
          <w:lang w:val="es-ES" w:eastAsia="es-MX"/>
        </w:rPr>
      </w:pPr>
    </w:p>
    <w:p w14:paraId="56249395" w14:textId="77777777" w:rsidR="00871738" w:rsidRPr="004B7E50" w:rsidRDefault="00871738" w:rsidP="004B7E50">
      <w:pPr>
        <w:rPr>
          <w:rFonts w:eastAsia="Calibri"/>
        </w:rPr>
      </w:pPr>
    </w:p>
    <w:sectPr w:rsidR="00871738" w:rsidRPr="004B7E50">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365D" w14:textId="77777777" w:rsidR="00D96C69" w:rsidRDefault="00D96C69">
      <w:r>
        <w:separator/>
      </w:r>
    </w:p>
  </w:endnote>
  <w:endnote w:type="continuationSeparator" w:id="0">
    <w:p w14:paraId="5370D65A" w14:textId="77777777" w:rsidR="00D96C69" w:rsidRDefault="00D9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E0A8B" w:rsidRDefault="005E0A8B">
            <w:pPr>
              <w:pStyle w:val="Piedepgina"/>
              <w:jc w:val="right"/>
            </w:pPr>
          </w:p>
          <w:p w14:paraId="1F7A191C" w14:textId="2A69F491" w:rsidR="005E0A8B" w:rsidRDefault="005E0A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55D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55D2">
              <w:rPr>
                <w:b/>
                <w:bCs/>
                <w:noProof/>
              </w:rPr>
              <w:t>35</w:t>
            </w:r>
            <w:r>
              <w:rPr>
                <w:b/>
                <w:bCs/>
                <w:sz w:val="24"/>
                <w:szCs w:val="24"/>
              </w:rPr>
              <w:fldChar w:fldCharType="end"/>
            </w:r>
          </w:p>
        </w:sdtContent>
      </w:sdt>
    </w:sdtContent>
  </w:sdt>
  <w:p w14:paraId="2A221972" w14:textId="77777777" w:rsidR="005E0A8B" w:rsidRDefault="005E0A8B">
    <w:pPr>
      <w:pStyle w:val="Piedepgina"/>
    </w:pPr>
  </w:p>
  <w:p w14:paraId="1D6FF208" w14:textId="77777777" w:rsidR="005E0A8B" w:rsidRDefault="005E0A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E0A8B" w:rsidRDefault="005E0A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55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55D2">
              <w:rPr>
                <w:b/>
                <w:bCs/>
                <w:noProof/>
              </w:rPr>
              <w:t>35</w:t>
            </w:r>
            <w:r>
              <w:rPr>
                <w:b/>
                <w:bCs/>
                <w:sz w:val="24"/>
                <w:szCs w:val="24"/>
              </w:rPr>
              <w:fldChar w:fldCharType="end"/>
            </w:r>
          </w:p>
        </w:sdtContent>
      </w:sdt>
    </w:sdtContent>
  </w:sdt>
  <w:p w14:paraId="2D12AEB2" w14:textId="77777777" w:rsidR="005E0A8B" w:rsidRDefault="005E0A8B">
    <w:pPr>
      <w:pStyle w:val="Piedepgina"/>
    </w:pPr>
  </w:p>
  <w:p w14:paraId="54227169" w14:textId="77777777" w:rsidR="005E0A8B" w:rsidRDefault="005E0A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43FAF" w14:textId="77777777" w:rsidR="00D96C69" w:rsidRDefault="00D96C69">
      <w:r>
        <w:separator/>
      </w:r>
    </w:p>
  </w:footnote>
  <w:footnote w:type="continuationSeparator" w:id="0">
    <w:p w14:paraId="316829FA" w14:textId="77777777" w:rsidR="00D96C69" w:rsidRDefault="00D96C69">
      <w:r>
        <w:continuationSeparator/>
      </w:r>
    </w:p>
  </w:footnote>
  <w:footnote w:id="1">
    <w:p w14:paraId="01A0DA44"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12E20D7E"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052C4364"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0E21FD2E"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 w:id="5">
    <w:p w14:paraId="181E3DEF" w14:textId="77777777" w:rsidR="005E0A8B" w:rsidRDefault="005E0A8B" w:rsidP="004B7E50">
      <w:pPr>
        <w:pStyle w:val="Textonotapie"/>
      </w:pPr>
      <w:r>
        <w:rPr>
          <w:rStyle w:val="Refdenotaalpie"/>
        </w:rPr>
        <w:footnoteRef/>
      </w:r>
      <w:r>
        <w:t xml:space="preserve"> Fracción IV. Artículo 53. Ibídem.</w:t>
      </w:r>
    </w:p>
  </w:footnote>
  <w:footnote w:id="6">
    <w:p w14:paraId="698CB42E" w14:textId="66B5C926" w:rsidR="005E0A8B" w:rsidRDefault="005E0A8B">
      <w:pPr>
        <w:pStyle w:val="Textonotapie"/>
      </w:pPr>
      <w:r>
        <w:rPr>
          <w:rStyle w:val="Refdenotaalpie"/>
        </w:rPr>
        <w:footnoteRef/>
      </w:r>
      <w:r>
        <w:t xml:space="preserve"> </w:t>
      </w:r>
      <w:hyperlink r:id="rId1" w:history="1">
        <w:r w:rsidRPr="00E86E0E">
          <w:rPr>
            <w:rStyle w:val="Hipervnculo"/>
          </w:rPr>
          <w:t>http://www.eloromexico.gob.mx/GACETAS/2020/Gaceta105ModBando.pdf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E0A8B" w:rsidRDefault="00D96C6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E0A8B" w:rsidRDefault="005E0A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E0A8B" w14:paraId="6255E3A4" w14:textId="77777777" w:rsidTr="00814079">
      <w:trPr>
        <w:trHeight w:val="1435"/>
      </w:trPr>
      <w:tc>
        <w:tcPr>
          <w:tcW w:w="1843" w:type="dxa"/>
          <w:shd w:val="clear" w:color="auto" w:fill="auto"/>
        </w:tcPr>
        <w:p w14:paraId="3E05202F" w14:textId="4A7C9DF8" w:rsidR="005E0A8B" w:rsidRDefault="005E0A8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E0A8B" w:rsidRDefault="005E0A8B"/>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E0A8B" w14:paraId="727F90BF" w14:textId="77777777" w:rsidTr="00483482">
            <w:trPr>
              <w:trHeight w:val="338"/>
            </w:trPr>
            <w:tc>
              <w:tcPr>
                <w:tcW w:w="2551" w:type="dxa"/>
              </w:tcPr>
              <w:p w14:paraId="23087CD5" w14:textId="77777777" w:rsidR="005E0A8B" w:rsidRDefault="005E0A8B">
                <w:pPr>
                  <w:tabs>
                    <w:tab w:val="right" w:pos="8838"/>
                  </w:tabs>
                  <w:ind w:right="-105"/>
                  <w:rPr>
                    <w:rFonts w:ascii="Palatino Linotype" w:eastAsia="Calibri" w:hAnsi="Palatino Linotype" w:cs="Tahoma"/>
                    <w:b/>
                    <w:sz w:val="22"/>
                    <w:szCs w:val="22"/>
                    <w:lang w:eastAsia="en-US"/>
                  </w:rPr>
                </w:pPr>
              </w:p>
              <w:p w14:paraId="410A3741" w14:textId="535C9D39" w:rsidR="005E0A8B" w:rsidRDefault="005E0A8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E0A8B" w:rsidRDefault="005E0A8B" w:rsidP="00427B6E">
                <w:pPr>
                  <w:tabs>
                    <w:tab w:val="right" w:pos="8838"/>
                  </w:tabs>
                  <w:ind w:right="-105" w:hanging="101"/>
                  <w:jc w:val="both"/>
                  <w:rPr>
                    <w:rFonts w:ascii="Palatino Linotype" w:eastAsia="Calibri" w:hAnsi="Palatino Linotype" w:cs="Tahoma"/>
                    <w:bCs/>
                    <w:sz w:val="22"/>
                    <w:szCs w:val="22"/>
                    <w:lang w:eastAsia="en-US"/>
                  </w:rPr>
                </w:pPr>
              </w:p>
              <w:p w14:paraId="3FF69A05" w14:textId="45000689" w:rsidR="005E0A8B" w:rsidRPr="00045238" w:rsidRDefault="005E0A8B" w:rsidP="00F87101">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04658</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5E0A8B" w14:paraId="1389436A" w14:textId="4EB800AC" w:rsidTr="00483482">
            <w:trPr>
              <w:trHeight w:val="283"/>
            </w:trPr>
            <w:tc>
              <w:tcPr>
                <w:tcW w:w="2551" w:type="dxa"/>
              </w:tcPr>
              <w:p w14:paraId="22E0F4E9" w14:textId="77777777" w:rsidR="005E0A8B" w:rsidRDefault="005E0A8B">
                <w:pPr>
                  <w:tabs>
                    <w:tab w:val="right" w:pos="8838"/>
                  </w:tabs>
                  <w:ind w:right="-105"/>
                  <w:rPr>
                    <w:rFonts w:ascii="Palatino Linotype" w:eastAsia="Calibri" w:hAnsi="Palatino Linotype" w:cs="Tahoma"/>
                    <w:b/>
                    <w:sz w:val="22"/>
                    <w:szCs w:val="22"/>
                    <w:lang w:eastAsia="en-US"/>
                  </w:rPr>
                </w:pPr>
                <w:bookmarkStart w:id="56" w:name="_Hlk33010189"/>
                <w:r>
                  <w:rPr>
                    <w:rFonts w:ascii="Palatino Linotype" w:eastAsia="Calibri" w:hAnsi="Palatino Linotype" w:cs="Tahoma"/>
                    <w:b/>
                    <w:sz w:val="22"/>
                    <w:szCs w:val="22"/>
                    <w:lang w:eastAsia="en-US"/>
                  </w:rPr>
                  <w:t>Sujeto Obligado:</w:t>
                </w:r>
              </w:p>
            </w:tc>
            <w:tc>
              <w:tcPr>
                <w:tcW w:w="4544" w:type="dxa"/>
              </w:tcPr>
              <w:p w14:paraId="2B205C7F" w14:textId="321EA8EC" w:rsidR="005E0A8B" w:rsidRPr="00A8015B" w:rsidRDefault="005E0A8B"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hAnsi="Palatino Linotype"/>
                    <w:bCs/>
                    <w:sz w:val="22"/>
                    <w:szCs w:val="24"/>
                  </w:rPr>
                  <w:t>Ayuntamiento de el Oro</w:t>
                </w:r>
              </w:p>
            </w:tc>
          </w:tr>
          <w:bookmarkEnd w:id="56"/>
          <w:tr w:rsidR="005E0A8B" w14:paraId="28CCE4E5" w14:textId="77777777" w:rsidTr="00483482">
            <w:trPr>
              <w:trHeight w:val="283"/>
            </w:trPr>
            <w:tc>
              <w:tcPr>
                <w:tcW w:w="2551" w:type="dxa"/>
              </w:tcPr>
              <w:p w14:paraId="13EBF3BB" w14:textId="4B7183CC" w:rsidR="005E0A8B" w:rsidRDefault="005E0A8B" w:rsidP="00DB5A5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w:t>
                </w:r>
                <w:r w:rsidR="00DB5A51">
                  <w:rPr>
                    <w:rFonts w:ascii="Palatino Linotype" w:eastAsia="Calibri" w:hAnsi="Palatino Linotype" w:cs="Tahoma"/>
                    <w:b/>
                    <w:sz w:val="22"/>
                    <w:szCs w:val="22"/>
                    <w:lang w:eastAsia="en-US"/>
                  </w:rPr>
                  <w:t>a</w:t>
                </w:r>
                <w:r>
                  <w:rPr>
                    <w:rFonts w:ascii="Palatino Linotype" w:eastAsia="Calibri" w:hAnsi="Palatino Linotype" w:cs="Tahoma"/>
                    <w:b/>
                    <w:sz w:val="22"/>
                    <w:szCs w:val="22"/>
                    <w:lang w:eastAsia="en-US"/>
                  </w:rPr>
                  <w:t xml:space="preserve"> Ponente:</w:t>
                </w:r>
              </w:p>
            </w:tc>
            <w:tc>
              <w:tcPr>
                <w:tcW w:w="4544" w:type="dxa"/>
              </w:tcPr>
              <w:p w14:paraId="5DF20594" w14:textId="1A6CDEA4" w:rsidR="005E0A8B" w:rsidRDefault="005E0A8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E0A8B" w:rsidRDefault="005E0A8B">
          <w:pPr>
            <w:tabs>
              <w:tab w:val="right" w:pos="8838"/>
            </w:tabs>
            <w:ind w:left="-28"/>
            <w:jc w:val="both"/>
            <w:rPr>
              <w:rFonts w:ascii="Arial" w:eastAsia="Calibri" w:hAnsi="Arial" w:cs="Arial"/>
              <w:b/>
              <w:sz w:val="22"/>
              <w:szCs w:val="22"/>
              <w:lang w:eastAsia="en-US"/>
            </w:rPr>
          </w:pPr>
        </w:p>
      </w:tc>
    </w:tr>
  </w:tbl>
  <w:p w14:paraId="07EF2D29" w14:textId="1620A8B4" w:rsidR="005E0A8B" w:rsidRDefault="00D96C6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E0A8B" w:rsidRDefault="005E0A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E0A8B" w14:paraId="61517A1D" w14:textId="77777777" w:rsidTr="003A6126">
      <w:trPr>
        <w:trHeight w:val="1435"/>
      </w:trPr>
      <w:tc>
        <w:tcPr>
          <w:tcW w:w="1560" w:type="dxa"/>
          <w:shd w:val="clear" w:color="auto" w:fill="auto"/>
        </w:tcPr>
        <w:p w14:paraId="4B74E846" w14:textId="1E0D62B9" w:rsidR="005E0A8B" w:rsidRDefault="005E0A8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E0A8B" w14:paraId="7F59E1EF" w14:textId="77777777" w:rsidTr="00483482">
            <w:trPr>
              <w:trHeight w:val="144"/>
            </w:trPr>
            <w:tc>
              <w:tcPr>
                <w:tcW w:w="2444" w:type="dxa"/>
              </w:tcPr>
              <w:p w14:paraId="5EFF942E" w14:textId="77777777" w:rsidR="005E0A8B" w:rsidRDefault="005E0A8B" w:rsidP="000D485D">
                <w:pPr>
                  <w:tabs>
                    <w:tab w:val="right" w:pos="8838"/>
                  </w:tabs>
                  <w:ind w:left="-74" w:right="-105"/>
                  <w:rPr>
                    <w:rFonts w:ascii="Palatino Linotype" w:eastAsia="Calibri" w:hAnsi="Palatino Linotype" w:cs="Tahoma"/>
                    <w:b/>
                    <w:sz w:val="22"/>
                    <w:szCs w:val="22"/>
                    <w:lang w:eastAsia="en-US"/>
                  </w:rPr>
                </w:pPr>
                <w:bookmarkStart w:id="57" w:name="_Hlk12526980"/>
                <w:r>
                  <w:rPr>
                    <w:rFonts w:ascii="Palatino Linotype" w:eastAsia="Calibri" w:hAnsi="Palatino Linotype" w:cs="Tahoma"/>
                    <w:b/>
                    <w:sz w:val="22"/>
                    <w:szCs w:val="22"/>
                    <w:lang w:eastAsia="en-US"/>
                  </w:rPr>
                  <w:t>Recurso de Revisión:</w:t>
                </w:r>
              </w:p>
            </w:tc>
            <w:tc>
              <w:tcPr>
                <w:tcW w:w="4646" w:type="dxa"/>
              </w:tcPr>
              <w:p w14:paraId="0DE47EE2" w14:textId="45DC53E9" w:rsidR="005E0A8B" w:rsidRDefault="005E0A8B" w:rsidP="00533170">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04658</w:t>
                </w:r>
                <w:r w:rsidRPr="00045238">
                  <w:rPr>
                    <w:rFonts w:ascii="Palatino Linotype" w:hAnsi="Palatino Linotype" w:cs="Arial"/>
                    <w:bCs/>
                    <w:sz w:val="22"/>
                    <w:szCs w:val="24"/>
                    <w:lang w:eastAsia="es-MX"/>
                  </w:rPr>
                  <w:t>/INFOEM/IP/RR/2021</w:t>
                </w:r>
              </w:p>
            </w:tc>
            <w:tc>
              <w:tcPr>
                <w:tcW w:w="3402" w:type="dxa"/>
              </w:tcPr>
              <w:p w14:paraId="11E4533C" w14:textId="3B21362A" w:rsidR="005E0A8B" w:rsidRDefault="005E0A8B">
                <w:pPr>
                  <w:tabs>
                    <w:tab w:val="right" w:pos="8838"/>
                  </w:tabs>
                  <w:ind w:left="-74" w:right="-105"/>
                  <w:jc w:val="both"/>
                  <w:rPr>
                    <w:rFonts w:ascii="Palatino Linotype" w:eastAsia="Calibri" w:hAnsi="Palatino Linotype" w:cs="Tahoma"/>
                    <w:bCs/>
                    <w:sz w:val="22"/>
                    <w:szCs w:val="22"/>
                    <w:lang w:eastAsia="en-US"/>
                  </w:rPr>
                </w:pPr>
              </w:p>
            </w:tc>
          </w:tr>
          <w:tr w:rsidR="005E0A8B" w14:paraId="3FC4FA7D" w14:textId="77777777" w:rsidTr="00483482">
            <w:trPr>
              <w:trHeight w:val="144"/>
            </w:trPr>
            <w:tc>
              <w:tcPr>
                <w:tcW w:w="2444" w:type="dxa"/>
              </w:tcPr>
              <w:p w14:paraId="363D966B" w14:textId="77777777" w:rsidR="005E0A8B" w:rsidRDefault="005E0A8B" w:rsidP="000D485D">
                <w:pPr>
                  <w:tabs>
                    <w:tab w:val="right" w:pos="8838"/>
                  </w:tabs>
                  <w:ind w:left="-74" w:right="-105"/>
                  <w:rPr>
                    <w:rFonts w:ascii="Palatino Linotype" w:eastAsia="Calibri" w:hAnsi="Palatino Linotype" w:cs="Tahoma"/>
                    <w:b/>
                    <w:sz w:val="22"/>
                    <w:szCs w:val="22"/>
                    <w:lang w:eastAsia="en-US"/>
                  </w:rPr>
                </w:pPr>
                <w:bookmarkStart w:id="58" w:name="_Hlk10641523"/>
                <w:bookmarkEnd w:id="57"/>
                <w:r>
                  <w:rPr>
                    <w:rFonts w:ascii="Palatino Linotype" w:eastAsia="Calibri" w:hAnsi="Palatino Linotype" w:cs="Tahoma"/>
                    <w:b/>
                    <w:sz w:val="22"/>
                    <w:szCs w:val="22"/>
                    <w:lang w:eastAsia="en-US"/>
                  </w:rPr>
                  <w:t>Recurrente:</w:t>
                </w:r>
              </w:p>
            </w:tc>
            <w:tc>
              <w:tcPr>
                <w:tcW w:w="4646" w:type="dxa"/>
              </w:tcPr>
              <w:p w14:paraId="73C065CD" w14:textId="330F50F2" w:rsidR="005E0A8B" w:rsidRPr="004B7E50" w:rsidRDefault="005855D2" w:rsidP="00A36BE2">
                <w:pPr>
                  <w:tabs>
                    <w:tab w:val="left" w:pos="3122"/>
                    <w:tab w:val="right" w:pos="8838"/>
                  </w:tabs>
                  <w:ind w:right="1457"/>
                  <w:jc w:val="both"/>
                  <w:rPr>
                    <w:rFonts w:ascii="Palatino Linotype" w:eastAsia="Calibri" w:hAnsi="Palatino Linotype" w:cs="Tahoma"/>
                    <w:sz w:val="22"/>
                    <w:szCs w:val="22"/>
                    <w:lang w:eastAsia="en-US"/>
                  </w:rPr>
                </w:pPr>
                <w:r w:rsidRPr="005855D2">
                  <w:rPr>
                    <w:rFonts w:ascii="Palatino Linotype" w:hAnsi="Palatino Linotype"/>
                    <w:b/>
                    <w:color w:val="222222"/>
                    <w:sz w:val="24"/>
                    <w:lang w:eastAsia="es-MX"/>
                  </w:rPr>
                  <w:t>XXXXX</w:t>
                </w:r>
                <w:r w:rsidRPr="005855D2">
                  <w:rPr>
                    <w:rFonts w:ascii="Palatino Linotype" w:hAnsi="Palatino Linotype"/>
                    <w:b/>
                    <w:sz w:val="24"/>
                    <w:szCs w:val="24"/>
                  </w:rPr>
                  <w:t xml:space="preserve"> XXXXXX XXXXXX</w:t>
                </w:r>
              </w:p>
            </w:tc>
            <w:tc>
              <w:tcPr>
                <w:tcW w:w="3402" w:type="dxa"/>
              </w:tcPr>
              <w:p w14:paraId="370E6EFF" w14:textId="3B7EABB6" w:rsidR="005E0A8B" w:rsidRDefault="005E0A8B" w:rsidP="003037E1">
                <w:pPr>
                  <w:tabs>
                    <w:tab w:val="left" w:pos="3122"/>
                    <w:tab w:val="right" w:pos="8838"/>
                  </w:tabs>
                  <w:ind w:right="-105"/>
                  <w:jc w:val="both"/>
                  <w:rPr>
                    <w:rFonts w:ascii="Palatino Linotype" w:eastAsia="Calibri" w:hAnsi="Palatino Linotype" w:cs="Tahoma"/>
                    <w:sz w:val="22"/>
                    <w:szCs w:val="22"/>
                    <w:lang w:eastAsia="en-US"/>
                  </w:rPr>
                </w:pPr>
              </w:p>
            </w:tc>
          </w:tr>
          <w:bookmarkEnd w:id="58"/>
          <w:tr w:rsidR="005E0A8B" w14:paraId="4D832A43" w14:textId="77777777" w:rsidTr="00483482">
            <w:trPr>
              <w:trHeight w:val="283"/>
            </w:trPr>
            <w:tc>
              <w:tcPr>
                <w:tcW w:w="2444" w:type="dxa"/>
              </w:tcPr>
              <w:p w14:paraId="02CA5CB0" w14:textId="77777777" w:rsidR="005E0A8B" w:rsidRDefault="005E0A8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6B2DD8A" w:rsidR="005E0A8B" w:rsidRPr="004B7E50" w:rsidRDefault="005E0A8B" w:rsidP="00DB2180">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hAnsi="Palatino Linotype"/>
                    <w:bCs/>
                    <w:sz w:val="22"/>
                    <w:szCs w:val="24"/>
                  </w:rPr>
                  <w:t>Ayuntamiento de el Oro</w:t>
                </w:r>
              </w:p>
            </w:tc>
            <w:tc>
              <w:tcPr>
                <w:tcW w:w="3402" w:type="dxa"/>
              </w:tcPr>
              <w:p w14:paraId="00F18B8C" w14:textId="77777777" w:rsidR="005E0A8B" w:rsidRDefault="005E0A8B">
                <w:pPr>
                  <w:tabs>
                    <w:tab w:val="left" w:pos="2834"/>
                    <w:tab w:val="right" w:pos="8838"/>
                  </w:tabs>
                  <w:ind w:left="-74" w:right="-105"/>
                  <w:jc w:val="both"/>
                  <w:rPr>
                    <w:rFonts w:ascii="Palatino Linotype" w:eastAsia="Calibri" w:hAnsi="Palatino Linotype" w:cs="Tahoma"/>
                    <w:sz w:val="22"/>
                    <w:szCs w:val="22"/>
                    <w:lang w:eastAsia="en-US"/>
                  </w:rPr>
                </w:pPr>
              </w:p>
            </w:tc>
          </w:tr>
          <w:tr w:rsidR="005E0A8B" w14:paraId="7BC74D7A" w14:textId="77777777" w:rsidTr="00483482">
            <w:trPr>
              <w:trHeight w:val="283"/>
            </w:trPr>
            <w:tc>
              <w:tcPr>
                <w:tcW w:w="2444" w:type="dxa"/>
              </w:tcPr>
              <w:p w14:paraId="3BF93338" w14:textId="37FA94DC" w:rsidR="005E0A8B" w:rsidRDefault="00DB5A5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5E0A8B">
                  <w:rPr>
                    <w:rFonts w:ascii="Palatino Linotype" w:eastAsia="Calibri" w:hAnsi="Palatino Linotype" w:cs="Tahoma"/>
                    <w:b/>
                    <w:sz w:val="22"/>
                    <w:szCs w:val="22"/>
                    <w:lang w:eastAsia="en-US"/>
                  </w:rPr>
                  <w:t xml:space="preserve"> Ponente:</w:t>
                </w:r>
              </w:p>
            </w:tc>
            <w:tc>
              <w:tcPr>
                <w:tcW w:w="4646" w:type="dxa"/>
              </w:tcPr>
              <w:p w14:paraId="3589422E" w14:textId="64278750" w:rsidR="005E0A8B" w:rsidRPr="003037E1" w:rsidRDefault="005E0A8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E0A8B" w:rsidRDefault="005E0A8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E0A8B" w:rsidRDefault="005E0A8B">
          <w:pPr>
            <w:tabs>
              <w:tab w:val="right" w:pos="8838"/>
            </w:tabs>
            <w:ind w:left="-28"/>
            <w:jc w:val="both"/>
            <w:rPr>
              <w:rFonts w:ascii="Arial" w:eastAsia="Calibri" w:hAnsi="Arial" w:cs="Arial"/>
              <w:b/>
              <w:sz w:val="22"/>
              <w:szCs w:val="22"/>
              <w:lang w:eastAsia="en-US"/>
            </w:rPr>
          </w:pPr>
        </w:p>
      </w:tc>
    </w:tr>
  </w:tbl>
  <w:p w14:paraId="5F654A99" w14:textId="6CB7D4AE" w:rsidR="005E0A8B" w:rsidRDefault="00D96C6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B7237C"/>
    <w:multiLevelType w:val="hybridMultilevel"/>
    <w:tmpl w:val="6F66FCAC"/>
    <w:lvl w:ilvl="0" w:tplc="FA92670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BC0A0B"/>
    <w:multiLevelType w:val="hybridMultilevel"/>
    <w:tmpl w:val="1DF6C5EC"/>
    <w:lvl w:ilvl="0" w:tplc="675A5FCC">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3E53D4"/>
    <w:multiLevelType w:val="hybridMultilevel"/>
    <w:tmpl w:val="2B0AACC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7">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F901918"/>
    <w:multiLevelType w:val="hybridMultilevel"/>
    <w:tmpl w:val="BFC0C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7"/>
  </w:num>
  <w:num w:numId="7">
    <w:abstractNumId w:val="1"/>
  </w:num>
  <w:num w:numId="8">
    <w:abstractNumId w:val="8"/>
  </w:num>
  <w:num w:numId="9">
    <w:abstractNumId w:val="20"/>
  </w:num>
  <w:num w:numId="10">
    <w:abstractNumId w:val="31"/>
  </w:num>
  <w:num w:numId="11">
    <w:abstractNumId w:val="29"/>
  </w:num>
  <w:num w:numId="12">
    <w:abstractNumId w:val="22"/>
  </w:num>
  <w:num w:numId="13">
    <w:abstractNumId w:val="10"/>
  </w:num>
  <w:num w:numId="14">
    <w:abstractNumId w:val="4"/>
  </w:num>
  <w:num w:numId="15">
    <w:abstractNumId w:val="18"/>
  </w:num>
  <w:num w:numId="16">
    <w:abstractNumId w:val="17"/>
  </w:num>
  <w:num w:numId="17">
    <w:abstractNumId w:val="5"/>
  </w:num>
  <w:num w:numId="18">
    <w:abstractNumId w:val="16"/>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6"/>
  </w:num>
  <w:num w:numId="23">
    <w:abstractNumId w:val="30"/>
  </w:num>
  <w:num w:numId="24">
    <w:abstractNumId w:val="15"/>
  </w:num>
  <w:num w:numId="25">
    <w:abstractNumId w:val="6"/>
  </w:num>
  <w:num w:numId="26">
    <w:abstractNumId w:val="2"/>
  </w:num>
  <w:num w:numId="27">
    <w:abstractNumId w:val="25"/>
  </w:num>
  <w:num w:numId="28">
    <w:abstractNumId w:val="27"/>
  </w:num>
  <w:num w:numId="29">
    <w:abstractNumId w:val="23"/>
  </w:num>
  <w:num w:numId="30">
    <w:abstractNumId w:val="24"/>
  </w:num>
  <w:num w:numId="31">
    <w:abstractNumId w:val="19"/>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957"/>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C7FF6"/>
    <w:rsid w:val="000D0B08"/>
    <w:rsid w:val="000D1A29"/>
    <w:rsid w:val="000D1DDF"/>
    <w:rsid w:val="000D2A27"/>
    <w:rsid w:val="000D4027"/>
    <w:rsid w:val="000D485D"/>
    <w:rsid w:val="000D5156"/>
    <w:rsid w:val="000D5383"/>
    <w:rsid w:val="000D60B0"/>
    <w:rsid w:val="000D6157"/>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2BC"/>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14D"/>
    <w:rsid w:val="00171ADD"/>
    <w:rsid w:val="00172155"/>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1D8"/>
    <w:rsid w:val="001A1B94"/>
    <w:rsid w:val="001A22F5"/>
    <w:rsid w:val="001A31A2"/>
    <w:rsid w:val="001A32CB"/>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6A6"/>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3C5B"/>
    <w:rsid w:val="001E53C2"/>
    <w:rsid w:val="001E57C1"/>
    <w:rsid w:val="001E6927"/>
    <w:rsid w:val="001E6FC5"/>
    <w:rsid w:val="001F0E9C"/>
    <w:rsid w:val="001F0EB8"/>
    <w:rsid w:val="001F1126"/>
    <w:rsid w:val="001F1540"/>
    <w:rsid w:val="001F176D"/>
    <w:rsid w:val="001F2768"/>
    <w:rsid w:val="001F2DB2"/>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2C3"/>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56D"/>
    <w:rsid w:val="002F3BD0"/>
    <w:rsid w:val="002F3DBF"/>
    <w:rsid w:val="002F58D8"/>
    <w:rsid w:val="002F5FCB"/>
    <w:rsid w:val="002F69C1"/>
    <w:rsid w:val="002F6F44"/>
    <w:rsid w:val="002F77DA"/>
    <w:rsid w:val="0030032A"/>
    <w:rsid w:val="00300A0B"/>
    <w:rsid w:val="003014A1"/>
    <w:rsid w:val="00301F46"/>
    <w:rsid w:val="003026E8"/>
    <w:rsid w:val="003037E1"/>
    <w:rsid w:val="00303B09"/>
    <w:rsid w:val="00303CAD"/>
    <w:rsid w:val="00303CD6"/>
    <w:rsid w:val="00303E71"/>
    <w:rsid w:val="00304E7C"/>
    <w:rsid w:val="00306418"/>
    <w:rsid w:val="003074B3"/>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37E79"/>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3AF"/>
    <w:rsid w:val="00355DC6"/>
    <w:rsid w:val="00357700"/>
    <w:rsid w:val="003604D7"/>
    <w:rsid w:val="00360D94"/>
    <w:rsid w:val="00361176"/>
    <w:rsid w:val="0036164E"/>
    <w:rsid w:val="0036194F"/>
    <w:rsid w:val="003627C6"/>
    <w:rsid w:val="0036351E"/>
    <w:rsid w:val="00363615"/>
    <w:rsid w:val="00364521"/>
    <w:rsid w:val="00365026"/>
    <w:rsid w:val="0036506C"/>
    <w:rsid w:val="0036589F"/>
    <w:rsid w:val="00366353"/>
    <w:rsid w:val="00367F82"/>
    <w:rsid w:val="00370CB0"/>
    <w:rsid w:val="00372798"/>
    <w:rsid w:val="00372803"/>
    <w:rsid w:val="00373387"/>
    <w:rsid w:val="003749EC"/>
    <w:rsid w:val="00374EF1"/>
    <w:rsid w:val="003756AF"/>
    <w:rsid w:val="00375815"/>
    <w:rsid w:val="003758FD"/>
    <w:rsid w:val="00375E9B"/>
    <w:rsid w:val="00377383"/>
    <w:rsid w:val="0037757D"/>
    <w:rsid w:val="003778BD"/>
    <w:rsid w:val="00380441"/>
    <w:rsid w:val="003811BA"/>
    <w:rsid w:val="00381447"/>
    <w:rsid w:val="00382696"/>
    <w:rsid w:val="00382E61"/>
    <w:rsid w:val="0038358D"/>
    <w:rsid w:val="00383639"/>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1D0A"/>
    <w:rsid w:val="003D5FF4"/>
    <w:rsid w:val="003D624F"/>
    <w:rsid w:val="003D75E8"/>
    <w:rsid w:val="003D778F"/>
    <w:rsid w:val="003E1166"/>
    <w:rsid w:val="003E31E5"/>
    <w:rsid w:val="003E32ED"/>
    <w:rsid w:val="003E3A39"/>
    <w:rsid w:val="003E58C9"/>
    <w:rsid w:val="003E5AD4"/>
    <w:rsid w:val="003E61DD"/>
    <w:rsid w:val="003E655E"/>
    <w:rsid w:val="003E68B5"/>
    <w:rsid w:val="003F0DFC"/>
    <w:rsid w:val="003F164F"/>
    <w:rsid w:val="003F1A16"/>
    <w:rsid w:val="003F5558"/>
    <w:rsid w:val="003F5B65"/>
    <w:rsid w:val="003F5D5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2D8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826"/>
    <w:rsid w:val="00483936"/>
    <w:rsid w:val="00483AAE"/>
    <w:rsid w:val="0048519E"/>
    <w:rsid w:val="004851D5"/>
    <w:rsid w:val="00485B03"/>
    <w:rsid w:val="00485C4A"/>
    <w:rsid w:val="00485E3E"/>
    <w:rsid w:val="00485EC7"/>
    <w:rsid w:val="004860BD"/>
    <w:rsid w:val="00487430"/>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7542"/>
    <w:rsid w:val="004B769A"/>
    <w:rsid w:val="004B7DB2"/>
    <w:rsid w:val="004B7E50"/>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6A3B"/>
    <w:rsid w:val="004E7DB7"/>
    <w:rsid w:val="004F1A6A"/>
    <w:rsid w:val="004F2D88"/>
    <w:rsid w:val="004F3D21"/>
    <w:rsid w:val="004F583D"/>
    <w:rsid w:val="004F60EF"/>
    <w:rsid w:val="004F66B6"/>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170"/>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5D9E"/>
    <w:rsid w:val="00577102"/>
    <w:rsid w:val="005774D1"/>
    <w:rsid w:val="005802BD"/>
    <w:rsid w:val="00580BBC"/>
    <w:rsid w:val="00581A10"/>
    <w:rsid w:val="00581ABD"/>
    <w:rsid w:val="00583D42"/>
    <w:rsid w:val="005855D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30B0"/>
    <w:rsid w:val="005D457F"/>
    <w:rsid w:val="005D49C8"/>
    <w:rsid w:val="005D5607"/>
    <w:rsid w:val="005D5A8D"/>
    <w:rsid w:val="005D5DA0"/>
    <w:rsid w:val="005D602C"/>
    <w:rsid w:val="005D63F4"/>
    <w:rsid w:val="005D6A2B"/>
    <w:rsid w:val="005D6AD9"/>
    <w:rsid w:val="005D72F9"/>
    <w:rsid w:val="005D7A98"/>
    <w:rsid w:val="005E0A8B"/>
    <w:rsid w:val="005E0B56"/>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7BA"/>
    <w:rsid w:val="00697FF1"/>
    <w:rsid w:val="006A026A"/>
    <w:rsid w:val="006A0425"/>
    <w:rsid w:val="006A1D62"/>
    <w:rsid w:val="006A2CD8"/>
    <w:rsid w:val="006A4B87"/>
    <w:rsid w:val="006A4EAE"/>
    <w:rsid w:val="006A56C3"/>
    <w:rsid w:val="006A59BC"/>
    <w:rsid w:val="006A5A3A"/>
    <w:rsid w:val="006A6B88"/>
    <w:rsid w:val="006A6D7F"/>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642"/>
    <w:rsid w:val="007856ED"/>
    <w:rsid w:val="00785985"/>
    <w:rsid w:val="00786FF3"/>
    <w:rsid w:val="007876CF"/>
    <w:rsid w:val="00787B77"/>
    <w:rsid w:val="0079162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55B"/>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42A"/>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9FC"/>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22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4D47"/>
    <w:rsid w:val="008B5AB3"/>
    <w:rsid w:val="008B5CCB"/>
    <w:rsid w:val="008B666C"/>
    <w:rsid w:val="008B6765"/>
    <w:rsid w:val="008B6848"/>
    <w:rsid w:val="008C1614"/>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6F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6E1A"/>
    <w:rsid w:val="0092747F"/>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218E"/>
    <w:rsid w:val="00943BCE"/>
    <w:rsid w:val="00945DBE"/>
    <w:rsid w:val="009467E5"/>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8B6"/>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F87"/>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00F7"/>
    <w:rsid w:val="00A719AA"/>
    <w:rsid w:val="00A73DE3"/>
    <w:rsid w:val="00A74C2D"/>
    <w:rsid w:val="00A74D33"/>
    <w:rsid w:val="00A7564A"/>
    <w:rsid w:val="00A76B34"/>
    <w:rsid w:val="00A8015B"/>
    <w:rsid w:val="00A83487"/>
    <w:rsid w:val="00A84A8E"/>
    <w:rsid w:val="00A84F0F"/>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1838"/>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7AE"/>
    <w:rsid w:val="00B06882"/>
    <w:rsid w:val="00B077ED"/>
    <w:rsid w:val="00B07F12"/>
    <w:rsid w:val="00B07FE3"/>
    <w:rsid w:val="00B103D7"/>
    <w:rsid w:val="00B10BAE"/>
    <w:rsid w:val="00B113A4"/>
    <w:rsid w:val="00B116CC"/>
    <w:rsid w:val="00B12CC8"/>
    <w:rsid w:val="00B1369F"/>
    <w:rsid w:val="00B14154"/>
    <w:rsid w:val="00B1415B"/>
    <w:rsid w:val="00B15278"/>
    <w:rsid w:val="00B160E2"/>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18B8"/>
    <w:rsid w:val="00BB1B3C"/>
    <w:rsid w:val="00BB375D"/>
    <w:rsid w:val="00BB391B"/>
    <w:rsid w:val="00BB3D85"/>
    <w:rsid w:val="00BB49A0"/>
    <w:rsid w:val="00BB515F"/>
    <w:rsid w:val="00BB52AE"/>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0D"/>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763"/>
    <w:rsid w:val="00CE76FF"/>
    <w:rsid w:val="00CF0BBF"/>
    <w:rsid w:val="00CF1CF7"/>
    <w:rsid w:val="00CF2530"/>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6F02"/>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C69"/>
    <w:rsid w:val="00D96FC3"/>
    <w:rsid w:val="00DA0839"/>
    <w:rsid w:val="00DA12C3"/>
    <w:rsid w:val="00DA1FA5"/>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A51"/>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99C"/>
    <w:rsid w:val="00E60E5A"/>
    <w:rsid w:val="00E617BD"/>
    <w:rsid w:val="00E61CA8"/>
    <w:rsid w:val="00E61E05"/>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5CF"/>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1ECB"/>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E7F5D"/>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01"/>
    <w:rsid w:val="00F871D7"/>
    <w:rsid w:val="00F9173A"/>
    <w:rsid w:val="00F91800"/>
    <w:rsid w:val="00F93469"/>
    <w:rsid w:val="00F93AF9"/>
    <w:rsid w:val="00F94E99"/>
    <w:rsid w:val="00F9540C"/>
    <w:rsid w:val="00F959F3"/>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453"/>
    <w:rsid w:val="00FB55F4"/>
    <w:rsid w:val="00FB58D8"/>
    <w:rsid w:val="00FB5C1A"/>
    <w:rsid w:val="00FB5E6F"/>
    <w:rsid w:val="00FB677F"/>
    <w:rsid w:val="00FB7115"/>
    <w:rsid w:val="00FB7140"/>
    <w:rsid w:val="00FC0B63"/>
    <w:rsid w:val="00FC12ED"/>
    <w:rsid w:val="00FC1748"/>
    <w:rsid w:val="00FC1EEB"/>
    <w:rsid w:val="00FC2209"/>
    <w:rsid w:val="00FC2584"/>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4525726">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25219955">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4223982">
      <w:bodyDiv w:val="1"/>
      <w:marLeft w:val="0"/>
      <w:marRight w:val="0"/>
      <w:marTop w:val="0"/>
      <w:marBottom w:val="0"/>
      <w:divBdr>
        <w:top w:val="none" w:sz="0" w:space="0" w:color="auto"/>
        <w:left w:val="none" w:sz="0" w:space="0" w:color="auto"/>
        <w:bottom w:val="none" w:sz="0" w:space="0" w:color="auto"/>
        <w:right w:val="none" w:sz="0" w:space="0" w:color="auto"/>
      </w:divBdr>
    </w:div>
    <w:div w:id="95494929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68326119">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5260671">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14005441">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5964">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8792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loromexico.gob.mx/GACETAS/2020/Gaceta105ModBan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2C329-0E78-4227-8DD3-4F8B09C4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35</Pages>
  <Words>8011</Words>
  <Characters>44064</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11</cp:revision>
  <cp:lastPrinted>2021-08-18T17:12:00Z</cp:lastPrinted>
  <dcterms:created xsi:type="dcterms:W3CDTF">2021-10-26T18:51:00Z</dcterms:created>
  <dcterms:modified xsi:type="dcterms:W3CDTF">2021-11-10T18:11:00Z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