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75A37296"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17EDC">
        <w:rPr>
          <w:rFonts w:ascii="Palatino Linotype" w:eastAsia="Times New Roman" w:hAnsi="Palatino Linotype" w:cs="Arial"/>
          <w:color w:val="000000"/>
          <w:sz w:val="24"/>
          <w:szCs w:val="24"/>
          <w:lang w:eastAsia="es-MX"/>
        </w:rPr>
        <w:t>diez</w:t>
      </w:r>
      <w:r w:rsidR="00817A08">
        <w:rPr>
          <w:rFonts w:ascii="Palatino Linotype" w:eastAsia="Times New Roman" w:hAnsi="Palatino Linotype" w:cs="Arial"/>
          <w:color w:val="000000"/>
          <w:sz w:val="24"/>
          <w:szCs w:val="24"/>
          <w:lang w:eastAsia="es-MX"/>
        </w:rPr>
        <w:t xml:space="preserve"> de noviembre de dos mil veintiuno. </w:t>
      </w:r>
    </w:p>
    <w:p w14:paraId="1A92854E" w14:textId="2C8A2E95" w:rsidR="00817A08" w:rsidRPr="00817A08"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F4623D">
        <w:rPr>
          <w:rFonts w:ascii="Palatino Linotype" w:hAnsi="Palatino Linotype" w:cs="Arial"/>
          <w:b/>
          <w:bCs/>
          <w:sz w:val="24"/>
          <w:lang w:eastAsia="es-MX"/>
        </w:rPr>
        <w:t>4</w:t>
      </w:r>
      <w:r w:rsidR="00817A08">
        <w:rPr>
          <w:rFonts w:ascii="Palatino Linotype" w:hAnsi="Palatino Linotype" w:cs="Arial"/>
          <w:b/>
          <w:bCs/>
          <w:sz w:val="24"/>
          <w:lang w:eastAsia="es-MX"/>
        </w:rPr>
        <w:t>785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EC3C36">
        <w:rPr>
          <w:rFonts w:ascii="Palatino Linotype" w:hAnsi="Palatino Linotype" w:cs="Arial"/>
          <w:b/>
          <w:bCs/>
          <w:sz w:val="24"/>
          <w:lang w:eastAsia="es-MX"/>
        </w:rPr>
        <w:t>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817A08">
        <w:rPr>
          <w:rFonts w:ascii="Palatino Linotype" w:hAnsi="Palatino Linotype" w:cs="Arial"/>
          <w:sz w:val="24"/>
          <w:szCs w:val="24"/>
        </w:rPr>
        <w:t xml:space="preserve">la </w:t>
      </w:r>
      <w:r w:rsidR="00817A08">
        <w:rPr>
          <w:rFonts w:ascii="Palatino Linotype" w:hAnsi="Palatino Linotype" w:cs="Arial"/>
          <w:b/>
          <w:bCs/>
          <w:sz w:val="24"/>
          <w:szCs w:val="24"/>
        </w:rPr>
        <w:t xml:space="preserve">C. </w:t>
      </w:r>
      <w:r w:rsidR="006D5427">
        <w:rPr>
          <w:rFonts w:ascii="Palatino Linotype" w:hAnsi="Palatino Linotype" w:cs="Arial"/>
          <w:b/>
          <w:bCs/>
          <w:sz w:val="24"/>
          <w:szCs w:val="24"/>
        </w:rPr>
        <w:t>xxxxxxxxxxxxxxxxx</w:t>
      </w:r>
      <w:bookmarkStart w:id="0" w:name="_GoBack"/>
      <w:bookmarkEnd w:id="0"/>
      <w:r w:rsidR="00817A08">
        <w:rPr>
          <w:rFonts w:ascii="Palatino Linotype" w:hAnsi="Palatino Linotype" w:cs="Arial"/>
          <w:b/>
          <w:bCs/>
          <w:sz w:val="24"/>
          <w:szCs w:val="24"/>
        </w:rPr>
        <w:t xml:space="preserve">, </w:t>
      </w:r>
      <w:r w:rsidR="00703614">
        <w:rPr>
          <w:rFonts w:ascii="Palatino Linotype" w:hAnsi="Palatino Linotype" w:cs="Arial"/>
          <w:sz w:val="24"/>
        </w:rPr>
        <w:t xml:space="preserve">en lo sucesivo </w:t>
      </w:r>
      <w:r w:rsidR="00703614">
        <w:rPr>
          <w:rFonts w:ascii="Palatino Linotype" w:hAnsi="Palatino Linotype" w:cs="Arial"/>
          <w:b/>
          <w:sz w:val="24"/>
        </w:rPr>
        <w:t>La Recurrente,</w:t>
      </w:r>
      <w:r w:rsidR="00703614">
        <w:rPr>
          <w:rFonts w:ascii="Palatino Linotype" w:hAnsi="Palatino Linotype" w:cs="Arial"/>
          <w:sz w:val="24"/>
          <w:szCs w:val="24"/>
        </w:rPr>
        <w:t xml:space="preserve"> </w:t>
      </w:r>
      <w:r w:rsidR="00817A08">
        <w:rPr>
          <w:rFonts w:ascii="Palatino Linotype" w:hAnsi="Palatino Linotype" w:cs="Arial"/>
          <w:sz w:val="24"/>
          <w:szCs w:val="24"/>
        </w:rPr>
        <w:t xml:space="preserve">en contra de la respuesta de la </w:t>
      </w:r>
      <w:r w:rsidR="00817A08">
        <w:rPr>
          <w:rFonts w:ascii="Palatino Linotype" w:hAnsi="Palatino Linotype" w:cs="Arial"/>
          <w:b/>
          <w:bCs/>
          <w:sz w:val="24"/>
          <w:szCs w:val="24"/>
        </w:rPr>
        <w:t xml:space="preserve">Comisión del Agua del Estado de México, </w:t>
      </w:r>
      <w:r w:rsidR="00817A08">
        <w:rPr>
          <w:rFonts w:ascii="Palatino Linotype" w:hAnsi="Palatino Linotype" w:cs="Arial"/>
          <w:sz w:val="24"/>
          <w:szCs w:val="24"/>
        </w:rPr>
        <w:t xml:space="preserve">en lo subsecuente </w:t>
      </w:r>
      <w:r w:rsidR="00817A08">
        <w:rPr>
          <w:rFonts w:ascii="Palatino Linotype" w:hAnsi="Palatino Linotype" w:cs="Arial"/>
          <w:b/>
          <w:bCs/>
          <w:sz w:val="24"/>
          <w:szCs w:val="24"/>
        </w:rPr>
        <w:t xml:space="preserve">El Sujeto Obligado, </w:t>
      </w:r>
      <w:r w:rsidR="00817A08">
        <w:rPr>
          <w:rFonts w:ascii="Palatino Linotype" w:hAnsi="Palatino Linotype" w:cs="Arial"/>
          <w:sz w:val="24"/>
          <w:szCs w:val="24"/>
        </w:rPr>
        <w:t xml:space="preserve">se procede a dictar la presente resolución. </w:t>
      </w: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EDABC2D" w14:textId="092A866D" w:rsidR="00817A08"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F4623D">
        <w:rPr>
          <w:rFonts w:ascii="Palatino Linotype" w:hAnsi="Palatino Linotype" w:cs="Arial"/>
          <w:sz w:val="24"/>
        </w:rPr>
        <w:t xml:space="preserve"> </w:t>
      </w:r>
      <w:r w:rsidR="00817A08">
        <w:rPr>
          <w:rFonts w:ascii="Palatino Linotype" w:hAnsi="Palatino Linotype" w:cs="Arial"/>
          <w:sz w:val="24"/>
        </w:rPr>
        <w:t xml:space="preserve">dos de septiembre de dos mil veintiuno, </w:t>
      </w:r>
      <w:r w:rsidR="00817A08">
        <w:rPr>
          <w:rFonts w:ascii="Palatino Linotype" w:hAnsi="Palatino Linotype" w:cs="Arial"/>
          <w:b/>
          <w:bCs/>
          <w:sz w:val="24"/>
        </w:rPr>
        <w:t xml:space="preserve">La Recurrente, </w:t>
      </w:r>
      <w:r w:rsidR="00817A08">
        <w:rPr>
          <w:rFonts w:ascii="Palatino Linotype" w:hAnsi="Palatino Linotype" w:cs="Arial"/>
          <w:sz w:val="24"/>
        </w:rPr>
        <w:t>presentó a través del Sistema de Acceso a la Información Mexiquense (</w:t>
      </w:r>
      <w:r w:rsidR="00817A08">
        <w:rPr>
          <w:rFonts w:ascii="Palatino Linotype" w:hAnsi="Palatino Linotype" w:cs="Arial"/>
          <w:b/>
          <w:sz w:val="24"/>
        </w:rPr>
        <w:t>SAIMEX)</w:t>
      </w:r>
      <w:r w:rsidR="00817A08">
        <w:rPr>
          <w:rFonts w:ascii="Palatino Linotype" w:hAnsi="Palatino Linotype" w:cs="Arial"/>
          <w:sz w:val="24"/>
        </w:rPr>
        <w:t xml:space="preserve"> ante </w:t>
      </w:r>
      <w:r w:rsidR="00817A08">
        <w:rPr>
          <w:rFonts w:ascii="Palatino Linotype" w:hAnsi="Palatino Linotype" w:cs="Arial"/>
          <w:b/>
          <w:sz w:val="24"/>
        </w:rPr>
        <w:t>El Sujeto Obligado</w:t>
      </w:r>
      <w:r w:rsidR="00817A08">
        <w:rPr>
          <w:rFonts w:ascii="Palatino Linotype" w:hAnsi="Palatino Linotype" w:cs="Arial"/>
          <w:sz w:val="24"/>
        </w:rPr>
        <w:t xml:space="preserve">, solicitud de acceso a la información pública, registrada bajo el número de expediente </w:t>
      </w:r>
      <w:r w:rsidR="0054773D">
        <w:rPr>
          <w:rFonts w:ascii="Palatino Linotype" w:hAnsi="Palatino Linotype" w:cs="Arial"/>
          <w:b/>
          <w:bCs/>
          <w:sz w:val="24"/>
        </w:rPr>
        <w:t>00177/CAEM/IP/2021</w:t>
      </w:r>
      <w:r w:rsidR="00817A08">
        <w:rPr>
          <w:rFonts w:ascii="Palatino Linotype" w:hAnsi="Palatino Linotype" w:cs="Arial"/>
          <w:b/>
          <w:bCs/>
          <w:sz w:val="24"/>
        </w:rPr>
        <w:t xml:space="preserve">, </w:t>
      </w:r>
      <w:r w:rsidR="00817A08">
        <w:rPr>
          <w:rFonts w:ascii="Palatino Linotype" w:hAnsi="Palatino Linotype" w:cs="Arial"/>
          <w:sz w:val="24"/>
        </w:rPr>
        <w:t xml:space="preserve">mediante la cual solicitó información en el tenor siguiente: </w:t>
      </w:r>
    </w:p>
    <w:p w14:paraId="5E649726" w14:textId="5B1C37E5" w:rsidR="00817A08" w:rsidRPr="00817A08" w:rsidRDefault="00817A08" w:rsidP="00817A08">
      <w:pPr>
        <w:pStyle w:val="Citas"/>
        <w:rPr>
          <w:b/>
          <w:bCs/>
          <w:sz w:val="24"/>
        </w:rPr>
      </w:pPr>
      <w:r>
        <w:t xml:space="preserve">“Cantidad que adeuda el ayuntamiento de naucalpan de Juárez a la CAEM en los </w:t>
      </w:r>
      <w:proofErr w:type="gramStart"/>
      <w:r>
        <w:t>últimos</w:t>
      </w:r>
      <w:proofErr w:type="gramEnd"/>
      <w:r>
        <w:t xml:space="preserve"> 5 años hasta el 01 de septiembre de 2021 y documento que compruebe los pagos que el ayuntamiento de naucalpan ha realizado a dicha deuda” </w:t>
      </w:r>
      <w:r>
        <w:rPr>
          <w:b/>
          <w:bCs/>
        </w:rPr>
        <w:t xml:space="preserve">[Sic] </w:t>
      </w:r>
    </w:p>
    <w:p w14:paraId="73DDF68A" w14:textId="5E7DB1EA" w:rsidR="00F4623D"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18726A">
        <w:rPr>
          <w:rFonts w:ascii="Palatino Linotype" w:eastAsia="Times New Roman" w:hAnsi="Palatino Linotype" w:cs="Times New Roman"/>
          <w:sz w:val="24"/>
          <w:szCs w:val="24"/>
          <w:lang w:val="es-ES_tradnl" w:eastAsia="es-ES"/>
        </w:rPr>
        <w:t xml:space="preserve">A </w:t>
      </w:r>
      <w:r w:rsidR="00F4623D">
        <w:rPr>
          <w:rFonts w:ascii="Palatino Linotype" w:eastAsia="Times New Roman" w:hAnsi="Palatino Linotype" w:cs="Times New Roman"/>
          <w:sz w:val="24"/>
          <w:szCs w:val="24"/>
          <w:lang w:val="es-ES_tradnl" w:eastAsia="es-ES"/>
        </w:rPr>
        <w:t xml:space="preserve">través del SAIMEX. </w:t>
      </w:r>
    </w:p>
    <w:p w14:paraId="1B7C3267" w14:textId="37E99483" w:rsidR="006168E4" w:rsidRDefault="006323CA"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63EFE015" w14:textId="47305EBC" w:rsidR="00817A08"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817A08">
        <w:rPr>
          <w:rFonts w:ascii="Palatino Linotype" w:hAnsi="Palatino Linotype" w:cs="Arial"/>
          <w:sz w:val="24"/>
          <w:szCs w:val="24"/>
        </w:rPr>
        <w:t xml:space="preserve">veintidós de septiembre de dos mil veintiuno, </w:t>
      </w:r>
      <w:r w:rsidR="00817A08">
        <w:rPr>
          <w:rFonts w:ascii="Palatino Linotype" w:hAnsi="Palatino Linotype" w:cs="Arial"/>
          <w:b/>
          <w:bCs/>
          <w:sz w:val="24"/>
          <w:szCs w:val="24"/>
        </w:rPr>
        <w:t xml:space="preserve">El Sujeto Obligado </w:t>
      </w:r>
      <w:r w:rsidR="00817A08">
        <w:rPr>
          <w:rFonts w:ascii="Palatino Linotype" w:hAnsi="Palatino Linotype" w:cs="Arial"/>
          <w:sz w:val="24"/>
          <w:szCs w:val="24"/>
        </w:rPr>
        <w:t xml:space="preserve">dio respuesta a la solicitud de información </w:t>
      </w:r>
      <w:r w:rsidR="00817A08">
        <w:rPr>
          <w:rFonts w:ascii="Palatino Linotype" w:hAnsi="Palatino Linotype" w:cs="Arial"/>
          <w:b/>
          <w:bCs/>
          <w:sz w:val="24"/>
          <w:szCs w:val="24"/>
        </w:rPr>
        <w:t xml:space="preserve">00177/CAEM/IP/2021, </w:t>
      </w:r>
      <w:r w:rsidR="00817A08">
        <w:rPr>
          <w:rFonts w:ascii="Palatino Linotype" w:hAnsi="Palatino Linotype" w:cs="Arial"/>
          <w:sz w:val="24"/>
          <w:szCs w:val="24"/>
        </w:rPr>
        <w:t xml:space="preserve">resulta de nuestro interés lo siguiente: </w:t>
      </w:r>
    </w:p>
    <w:p w14:paraId="031A06C2" w14:textId="63CBC527" w:rsidR="00817A08" w:rsidRPr="00817A08" w:rsidRDefault="00817A08" w:rsidP="00817A08">
      <w:pPr>
        <w:pStyle w:val="Citas"/>
        <w:rPr>
          <w:b/>
          <w:bCs/>
          <w:sz w:val="24"/>
          <w:szCs w:val="24"/>
        </w:rPr>
      </w:pPr>
      <w:r>
        <w:t xml:space="preserve">“Oficio No. 219C0110000301S/00284/2021 Naucalpan de Juárez, Estado de México 22 de septiembre de 2021 Estimado Peticionário FOLIO DE LA SOLICITUD: 00177/CAEM/IP/2021 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2, fracciones III, VII; 4; 15; 24 fracciones XI y XXIV de la Ley de Transparencia y Acceso a la Información Pública del Estado de México y Municipios, y en cumplimiento a lo establecido en el artículo 53 fracción I, II, III y V y 58, su petición formulada en la Unidad de Transparencia de la Comisión del Agua del Estado de México vía electrónica se ha registrado con el número de folio 00177/CAEM/IP/2021, misma que a la letra dice: “Cantidad que adeuda el ayuntamiento de naucalpan de Juárez a la CAEM en los últimos 5 años hasta el 01 de septiembre de 2021 y documento que compruebe los pagos que el ayuntamiento de naucalpan ha realizado a dicha deuda.sic) Atendiendo lo indicado en los artículos 12, 53, Fracción II, V, VI,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w:t>
      </w:r>
      <w:r>
        <w:lastRenderedPageBreak/>
        <w:t xml:space="preserve">investigaciones.” COMINFORM-075-21092021-06 Con fundamento en lo dispuesto por los artículos 47, 49, fracciones II, VIII y XVII y 53, fracción X, de la Ley de Transparencia y Acceso a la Información Pública del Estado de México y Municipios y de conformidad con lo estipulado en el Manual de Integración y Operación del Comité de Transparencia de la Comisión del Agua del Estado de México, respecto a las funciones de los integrantes del Comité de Transparencia, en el que se establece que los Servidores Públicos Habilitados deberán integrar y presentar al responsable de la Unidad de Transparencia la propuesta de clasificación de la información, la cual contendrá los fundamentos y argumentos en que se basa su propuesta; al respecto, se tiene por presentado al Titular de la Unidad de Transparencia ante el Comité de Transparencia, con el proyecto de clasificación de información reservada, correspondiente a la solicitud de información pública número 0177/CAEM/IP/2021. Asimismo, conforme a lo dispuesto en los artículos 136 y 140, fracciones IV, VII y X, en su segundo párrafo de la Ley de Transparencia y Acceso a la Información Pública de Estado de México y Municipios, y de acuerdo con la Ley de Aguas Nacionales, son aplicables al caso que nos ocupa los siguientes artículo No. 7 fracción I, artículo No. 14 BIS 5 fracción I. de los principios que sustentan la política hídrica nacional son: el agua es un bien de dominio público federal, vital, vulnerable y finito, con valor social, económico y ambiental, cuya preservación en cantidad y calidad y sustentabilidad es tarea fundamental del Estado y la Sociedad, así como prioridad y asunto de seguridad nacional, por lo que el Comité de Transparencia confirma por unanimidad de votos la clasificación como información reservada “Cantidad que adeuda el ayuntamiento de naucalpan de Juárez a la CAEM en los últimos 5 años hasta el 01 de septiembre de 2021 y documento que compruebe los pagos que el ayuntamiento de naucalpan ha realizado a dicha deuda.”, hasta por un periodo de cinco años (artículo 125). Sin más por el momento, reciba un cordial </w:t>
      </w:r>
      <w:r>
        <w:lastRenderedPageBreak/>
        <w:t xml:space="preserve">saludo. ATENTAMENTE ALEJANDRO PINEDA OCAMPO JEFE DE LA UNIDAD DE INFORMACIÓN, PLANEACIÓN, PROGRAMACIÓN Y EVALUACIÓN Y TITULAR DE LA UNIDAD DE TRANSPARENCIA DE LA COMISIÓN DEL AGUA DEL ESTADO DE MÉXICO” </w:t>
      </w:r>
      <w:r>
        <w:rPr>
          <w:b/>
          <w:bCs/>
        </w:rPr>
        <w:t xml:space="preserve">[Sic] </w:t>
      </w:r>
    </w:p>
    <w:p w14:paraId="4992324C" w14:textId="5F349A7E" w:rsidR="00817A08" w:rsidRPr="00817A08" w:rsidRDefault="00817A08" w:rsidP="00F462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adjunto los documentos electrónicos </w:t>
      </w:r>
      <w:r>
        <w:rPr>
          <w:rFonts w:ascii="Palatino Linotype" w:hAnsi="Palatino Linotype" w:cs="Arial"/>
          <w:b/>
          <w:bCs/>
          <w:sz w:val="24"/>
          <w:szCs w:val="24"/>
        </w:rPr>
        <w:t xml:space="preserve">“00177 res.docx” </w:t>
      </w:r>
      <w:r>
        <w:rPr>
          <w:rFonts w:ascii="Palatino Linotype" w:hAnsi="Palatino Linotype" w:cs="Arial"/>
          <w:sz w:val="24"/>
          <w:szCs w:val="24"/>
        </w:rPr>
        <w:t xml:space="preserve">y </w:t>
      </w:r>
      <w:r>
        <w:rPr>
          <w:rFonts w:ascii="Palatino Linotype" w:hAnsi="Palatino Linotype" w:cs="Arial"/>
          <w:b/>
          <w:bCs/>
          <w:sz w:val="24"/>
          <w:szCs w:val="24"/>
        </w:rPr>
        <w:t xml:space="preserve">“Anexo IV 13-09-2021-143725.pdf”, </w:t>
      </w:r>
      <w:r>
        <w:rPr>
          <w:rFonts w:ascii="Palatino Linotype" w:hAnsi="Palatino Linotype" w:cs="Arial"/>
          <w:sz w:val="24"/>
          <w:szCs w:val="24"/>
        </w:rPr>
        <w:t xml:space="preserve">cuyo contenido se tiene por reproducido como si a la letra se insertase en virtud de que será materia de análisis en el considerando respectivo. </w:t>
      </w:r>
    </w:p>
    <w:p w14:paraId="796D7B1A" w14:textId="77777777" w:rsidR="00AA207C" w:rsidRPr="003869DF" w:rsidRDefault="00AA207C" w:rsidP="003869DF">
      <w:pPr>
        <w:pStyle w:val="Citas"/>
        <w:ind w:left="0" w:right="0"/>
        <w:rPr>
          <w:i w:val="0"/>
          <w:sz w:val="24"/>
          <w:szCs w:val="24"/>
          <w:lang w:eastAsia="es-MX"/>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271035D9" w14:textId="2EE7FD2F" w:rsidR="00817A08" w:rsidRPr="00817A08" w:rsidRDefault="006168E4" w:rsidP="00844569">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817A08">
        <w:rPr>
          <w:rFonts w:ascii="Palatino Linotype" w:hAnsi="Palatino Linotype" w:cs="Arial"/>
          <w:b/>
          <w:sz w:val="24"/>
          <w:szCs w:val="24"/>
        </w:rPr>
        <w:t xml:space="preserve">La Recurrente </w:t>
      </w:r>
      <w:r w:rsidR="00817A08">
        <w:rPr>
          <w:rFonts w:ascii="Palatino Linotype" w:hAnsi="Palatino Linotype" w:cs="Arial"/>
          <w:bCs/>
          <w:sz w:val="24"/>
          <w:szCs w:val="24"/>
        </w:rPr>
        <w:t xml:space="preserve">interpuso el recurso de revisión, en fecha veintidós de septiembre de dos mil veintiuno, el cual fue registrado en el sistema electrónico con el expediente número </w:t>
      </w:r>
      <w:r w:rsidR="00817A08">
        <w:rPr>
          <w:rFonts w:ascii="Palatino Linotype" w:hAnsi="Palatino Linotype" w:cs="Arial"/>
          <w:b/>
          <w:sz w:val="24"/>
          <w:szCs w:val="24"/>
        </w:rPr>
        <w:t xml:space="preserve">04785/INFOEM/IP/RR/2021, </w:t>
      </w:r>
      <w:r w:rsidR="00817A08">
        <w:rPr>
          <w:rFonts w:ascii="Palatino Linotype" w:hAnsi="Palatino Linotype" w:cs="Arial"/>
          <w:bCs/>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6A8AF1" w14:textId="3309852B" w:rsidR="006168E4" w:rsidRPr="00AA207C" w:rsidRDefault="006168E4" w:rsidP="00AA207C">
      <w:pPr>
        <w:pStyle w:val="Citas"/>
        <w:rPr>
          <w:b/>
        </w:rPr>
      </w:pPr>
      <w:r w:rsidRPr="008B02FB">
        <w:t>“</w:t>
      </w:r>
      <w:r w:rsidR="008B02FB" w:rsidRPr="008B02FB">
        <w:t>Reserva de la información</w:t>
      </w:r>
      <w:r w:rsidRPr="008B02FB">
        <w:t>”</w:t>
      </w:r>
      <w:r w:rsidR="00454CE6" w:rsidRPr="00AA207C">
        <w:t xml:space="preserve"> </w:t>
      </w:r>
      <w:r w:rsidR="00AA207C">
        <w:rPr>
          <w:b/>
        </w:rPr>
        <w:t>[Sic]</w:t>
      </w:r>
    </w:p>
    <w:p w14:paraId="01878A36" w14:textId="77777777" w:rsidR="00DC168A" w:rsidRPr="000B426F" w:rsidRDefault="00DC168A" w:rsidP="00DC168A">
      <w:pPr>
        <w:jc w:val="both"/>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E1F550" w14:textId="44F8BBEA" w:rsidR="00DB5E40" w:rsidRDefault="00EE2C8C" w:rsidP="00AA207C">
      <w:pPr>
        <w:pStyle w:val="Citas"/>
        <w:rPr>
          <w:b/>
        </w:rPr>
      </w:pPr>
      <w:r w:rsidRPr="008B02FB">
        <w:t>“</w:t>
      </w:r>
      <w:r w:rsidR="008B02FB" w:rsidRPr="008B02FB">
        <w:t xml:space="preserve">No presentan acta de comité de transparencia La clasificación de información y la emisión de respuestas es caso por caso y no en conjunto con otras solicitudes La </w:t>
      </w:r>
      <w:r w:rsidR="008B02FB" w:rsidRPr="008B02FB">
        <w:lastRenderedPageBreak/>
        <w:t>prueba de daño carece de los elementos que establece la ley y los lineamientos de la materia No informan el motivo de la reserva</w:t>
      </w:r>
      <w:r w:rsidR="00AA207C" w:rsidRPr="008B02FB">
        <w:t>”</w:t>
      </w:r>
      <w:r w:rsidR="00AA207C">
        <w:t xml:space="preserve"> </w:t>
      </w:r>
      <w:r w:rsidR="00AA207C">
        <w:rPr>
          <w:b/>
        </w:rPr>
        <w:t>[Sic]</w:t>
      </w:r>
    </w:p>
    <w:p w14:paraId="60FF8009" w14:textId="77777777" w:rsidR="00AA207C" w:rsidRPr="00AA207C" w:rsidRDefault="00AA207C" w:rsidP="00AA207C">
      <w:pPr>
        <w:pStyle w:val="Citas"/>
        <w:rPr>
          <w:b/>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3225E8BF"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8726A">
        <w:rPr>
          <w:rFonts w:ascii="Palatino Linotype" w:hAnsi="Palatino Linotype" w:cs="Arial"/>
          <w:sz w:val="24"/>
          <w:szCs w:val="24"/>
        </w:rPr>
        <w:t>al Comisionado</w:t>
      </w:r>
      <w:r>
        <w:rPr>
          <w:rFonts w:ascii="Palatino Linotype" w:hAnsi="Palatino Linotype" w:cs="Arial"/>
          <w:sz w:val="24"/>
          <w:szCs w:val="24"/>
        </w:rPr>
        <w:t xml:space="preserve"> </w:t>
      </w:r>
      <w:r w:rsidR="000E5F05">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Pr>
          <w:rFonts w:ascii="Palatino Linotype" w:hAnsi="Palatino Linotype" w:cs="Arial"/>
          <w:sz w:val="24"/>
          <w:szCs w:val="24"/>
        </w:rPr>
        <w:t xml:space="preserve"> </w:t>
      </w:r>
      <w:r w:rsidR="008B02FB">
        <w:rPr>
          <w:rFonts w:ascii="Palatino Linotype" w:hAnsi="Palatino Linotype" w:cs="Arial"/>
          <w:sz w:val="24"/>
          <w:szCs w:val="24"/>
        </w:rPr>
        <w:t xml:space="preserve">veintiocho de septiembre de dos mil 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Default="005E46D0" w:rsidP="00844569">
      <w:pPr>
        <w:spacing w:before="240" w:line="360" w:lineRule="auto"/>
        <w:jc w:val="both"/>
        <w:rPr>
          <w:rFonts w:ascii="Palatino Linotype" w:hAnsi="Palatino Linotype" w:cs="Arial"/>
          <w:sz w:val="24"/>
          <w:szCs w:val="24"/>
        </w:rPr>
      </w:pPr>
    </w:p>
    <w:p w14:paraId="4BCFD455" w14:textId="249654CB" w:rsidR="006168E4" w:rsidRPr="00B07D6D"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33931519" w14:textId="1F62F224" w:rsidR="005E46D0" w:rsidRDefault="005E46D0" w:rsidP="005E46D0">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8B02FB">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fue omisa en presentar alegatos, pruebas o manifestación alguna.  </w:t>
      </w:r>
    </w:p>
    <w:p w14:paraId="62D38638" w14:textId="4279B0D6" w:rsidR="006168E4" w:rsidRDefault="005E46D0" w:rsidP="005E46D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8B02FB">
        <w:rPr>
          <w:rFonts w:ascii="Palatino Linotype" w:hAnsi="Palatino Linotype" w:cs="Arial"/>
          <w:b/>
          <w:bCs/>
          <w:sz w:val="24"/>
          <w:szCs w:val="24"/>
        </w:rPr>
        <w:t xml:space="preserve">ocho de octubre de dos mil veintiuno,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61B7392" w14:textId="77777777" w:rsidR="000E5F05" w:rsidRDefault="000E5F05" w:rsidP="000E5F05">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A0E9978" w14:textId="77777777" w:rsidR="000E5F05" w:rsidRDefault="000E5F05" w:rsidP="00BF01A7">
      <w:pPr>
        <w:spacing w:after="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940D13A" w14:textId="77777777" w:rsidR="005E46D0"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4802B99"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4154EAB" w14:textId="77777777" w:rsidR="007B0046" w:rsidRPr="00C07D77" w:rsidRDefault="007B0046" w:rsidP="007B0046">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077D7E8" w14:textId="77777777" w:rsidR="007B0046" w:rsidRDefault="007B0046" w:rsidP="007B004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Pr>
          <w:rFonts w:ascii="Palatino Linotype" w:hAnsi="Palatino Linotype" w:cs="Arial"/>
        </w:rPr>
        <w:lastRenderedPageBreak/>
        <w:t>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0A29455"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48214B6F" w14:textId="77777777" w:rsidR="007B0046" w:rsidRPr="00514E66" w:rsidRDefault="007B0046" w:rsidP="007B0046">
      <w:pPr>
        <w:pStyle w:val="Prrafodelista"/>
        <w:autoSpaceDE w:val="0"/>
        <w:autoSpaceDN w:val="0"/>
        <w:adjustRightInd w:val="0"/>
        <w:spacing w:line="360" w:lineRule="auto"/>
        <w:ind w:left="0"/>
        <w:jc w:val="both"/>
        <w:rPr>
          <w:rFonts w:ascii="Palatino Linotype" w:hAnsi="Palatino Linotype" w:cs="Arial"/>
        </w:rPr>
      </w:pPr>
    </w:p>
    <w:p w14:paraId="4057BC66" w14:textId="77777777" w:rsidR="007B0046" w:rsidRPr="009A0D0A" w:rsidRDefault="007B0046" w:rsidP="007B004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00E379C3"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505517">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31C2E61D" w14:textId="77777777" w:rsidR="007B0046" w:rsidRPr="002869E1" w:rsidRDefault="007B0046" w:rsidP="007B0046">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8543637" w14:textId="77777777" w:rsidR="007B0046" w:rsidRPr="006010FE"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1B0A33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0732B0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EDAE62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6E4CCA"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DC40FC5" w14:textId="77777777" w:rsidR="007B0046"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6010FE" w:rsidRDefault="007B0046" w:rsidP="007B004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0C086EC" w14:textId="77777777" w:rsidR="007B0046" w:rsidRDefault="007B0046" w:rsidP="007B004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A3ED66A" w14:textId="77777777" w:rsidR="00367CC7" w:rsidRPr="006E4CCA" w:rsidRDefault="00367CC7" w:rsidP="007B0046">
      <w:pPr>
        <w:spacing w:before="240" w:line="360" w:lineRule="auto"/>
        <w:ind w:left="851" w:right="851"/>
        <w:jc w:val="both"/>
        <w:rPr>
          <w:rFonts w:ascii="Palatino Linotype" w:eastAsia="Times New Roman" w:hAnsi="Palatino Linotype" w:cs="Arial"/>
          <w:i/>
          <w:lang w:eastAsia="es-ES"/>
        </w:rPr>
      </w:pPr>
    </w:p>
    <w:p w14:paraId="5E9556D6" w14:textId="1FD7B80E" w:rsidR="008B02FB" w:rsidRDefault="000E5F05" w:rsidP="000E5F0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a la solicitud de información </w:t>
      </w:r>
      <w:r w:rsidR="008B02FB">
        <w:rPr>
          <w:rFonts w:ascii="Palatino Linotype" w:hAnsi="Palatino Linotype" w:cs="Arial"/>
          <w:b/>
          <w:bCs/>
          <w:sz w:val="24"/>
          <w:szCs w:val="24"/>
        </w:rPr>
        <w:t xml:space="preserve">00177/CAEM/IP/2021, </w:t>
      </w:r>
      <w:r w:rsidR="008B02FB">
        <w:rPr>
          <w:rFonts w:ascii="Palatino Linotype" w:hAnsi="Palatino Linotype" w:cs="Arial"/>
          <w:sz w:val="24"/>
          <w:szCs w:val="24"/>
        </w:rPr>
        <w:t>es procedente mencionar que fue</w:t>
      </w:r>
      <w:r w:rsidR="00CC3508">
        <w:rPr>
          <w:rFonts w:ascii="Palatino Linotype" w:hAnsi="Palatino Linotype" w:cs="Arial"/>
          <w:sz w:val="24"/>
          <w:szCs w:val="24"/>
        </w:rPr>
        <w:t>ron</w:t>
      </w:r>
      <w:r w:rsidR="008B02FB">
        <w:rPr>
          <w:rFonts w:ascii="Palatino Linotype" w:hAnsi="Palatino Linotype" w:cs="Arial"/>
          <w:sz w:val="24"/>
          <w:szCs w:val="24"/>
        </w:rPr>
        <w:t xml:space="preserve"> formulado</w:t>
      </w:r>
      <w:r w:rsidR="00CC3508">
        <w:rPr>
          <w:rFonts w:ascii="Palatino Linotype" w:hAnsi="Palatino Linotype" w:cs="Arial"/>
          <w:sz w:val="24"/>
          <w:szCs w:val="24"/>
        </w:rPr>
        <w:t>s</w:t>
      </w:r>
      <w:r w:rsidR="008B02FB">
        <w:rPr>
          <w:rFonts w:ascii="Palatino Linotype" w:hAnsi="Palatino Linotype" w:cs="Arial"/>
          <w:sz w:val="24"/>
          <w:szCs w:val="24"/>
        </w:rPr>
        <w:t xml:space="preserve"> </w:t>
      </w:r>
      <w:r w:rsidR="00CC3508">
        <w:rPr>
          <w:rFonts w:ascii="Palatino Linotype" w:hAnsi="Palatino Linotype" w:cs="Arial"/>
          <w:b/>
          <w:bCs/>
          <w:sz w:val="24"/>
          <w:szCs w:val="24"/>
        </w:rPr>
        <w:t>2</w:t>
      </w:r>
      <w:r w:rsidR="008B02FB">
        <w:rPr>
          <w:rFonts w:ascii="Palatino Linotype" w:hAnsi="Palatino Linotype" w:cs="Arial"/>
          <w:b/>
          <w:bCs/>
          <w:sz w:val="24"/>
          <w:szCs w:val="24"/>
        </w:rPr>
        <w:t xml:space="preserve"> -</w:t>
      </w:r>
      <w:r w:rsidR="00CC3508">
        <w:rPr>
          <w:rFonts w:ascii="Palatino Linotype" w:hAnsi="Palatino Linotype" w:cs="Arial"/>
          <w:b/>
          <w:bCs/>
          <w:sz w:val="24"/>
          <w:szCs w:val="24"/>
        </w:rPr>
        <w:t>dos</w:t>
      </w:r>
      <w:r w:rsidR="008B02FB">
        <w:rPr>
          <w:rFonts w:ascii="Palatino Linotype" w:hAnsi="Palatino Linotype" w:cs="Arial"/>
          <w:b/>
          <w:bCs/>
          <w:sz w:val="24"/>
          <w:szCs w:val="24"/>
        </w:rPr>
        <w:t xml:space="preserve">- </w:t>
      </w:r>
      <w:r w:rsidR="008B02FB">
        <w:rPr>
          <w:rFonts w:ascii="Palatino Linotype" w:hAnsi="Palatino Linotype" w:cs="Arial"/>
          <w:sz w:val="24"/>
          <w:szCs w:val="24"/>
        </w:rPr>
        <w:t>requerimiento</w:t>
      </w:r>
      <w:r w:rsidR="00CC3508">
        <w:rPr>
          <w:rFonts w:ascii="Palatino Linotype" w:hAnsi="Palatino Linotype" w:cs="Arial"/>
          <w:sz w:val="24"/>
          <w:szCs w:val="24"/>
        </w:rPr>
        <w:t>s</w:t>
      </w:r>
      <w:r w:rsidR="008B02FB">
        <w:rPr>
          <w:rFonts w:ascii="Palatino Linotype" w:hAnsi="Palatino Linotype" w:cs="Arial"/>
          <w:sz w:val="24"/>
          <w:szCs w:val="24"/>
        </w:rPr>
        <w:t xml:space="preserve">, </w:t>
      </w:r>
      <w:r w:rsidR="00CC3508">
        <w:rPr>
          <w:rFonts w:ascii="Palatino Linotype" w:hAnsi="Palatino Linotype" w:cs="Arial"/>
          <w:sz w:val="24"/>
          <w:szCs w:val="24"/>
        </w:rPr>
        <w:t>precisando</w:t>
      </w:r>
      <w:r w:rsidR="008B02FB">
        <w:rPr>
          <w:rFonts w:ascii="Palatino Linotype" w:hAnsi="Palatino Linotype" w:cs="Arial"/>
          <w:sz w:val="24"/>
          <w:szCs w:val="24"/>
        </w:rPr>
        <w:t xml:space="preserve"> como elemento temporal </w:t>
      </w:r>
      <w:r w:rsidR="00CC3508">
        <w:rPr>
          <w:rFonts w:ascii="Palatino Linotype" w:hAnsi="Palatino Linotype" w:cs="Arial"/>
          <w:sz w:val="24"/>
          <w:szCs w:val="24"/>
        </w:rPr>
        <w:t xml:space="preserve">para el primer de ellos </w:t>
      </w:r>
      <w:r w:rsidR="008B02FB">
        <w:rPr>
          <w:rFonts w:ascii="Palatino Linotype" w:hAnsi="Palatino Linotype" w:cs="Arial"/>
          <w:i/>
          <w:iCs/>
          <w:sz w:val="24"/>
          <w:szCs w:val="24"/>
        </w:rPr>
        <w:t xml:space="preserve">“en los últimos 5 años, hasta el 01 de septiembre de 2021”. </w:t>
      </w:r>
      <w:r w:rsidR="008B02FB">
        <w:rPr>
          <w:rFonts w:ascii="Palatino Linotype" w:hAnsi="Palatino Linotype" w:cs="Arial"/>
          <w:sz w:val="24"/>
          <w:szCs w:val="24"/>
        </w:rPr>
        <w:t>Luego entonces el elemento temporal debe de ser concebido del uno de enero de dos mil dieciséis al uno de septiembre de dos mil veintiuno</w:t>
      </w:r>
      <w:r w:rsidR="00CC3508">
        <w:rPr>
          <w:rFonts w:ascii="Palatino Linotype" w:hAnsi="Palatino Linotype" w:cs="Arial"/>
          <w:sz w:val="24"/>
          <w:szCs w:val="24"/>
        </w:rPr>
        <w:t>.</w:t>
      </w:r>
    </w:p>
    <w:p w14:paraId="56878319" w14:textId="1AFCCF48" w:rsidR="008B02FB" w:rsidRDefault="00CC3508" w:rsidP="000E5F0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Ahora bien, con relación al segundo requerimiento, la particular fue omisa en delimitar el elemento temporal, debiendo de ser concebido a la fecha de la soli</w:t>
      </w:r>
      <w:r w:rsidR="00D20AC2">
        <w:rPr>
          <w:rFonts w:ascii="Palatino Linotype" w:hAnsi="Palatino Linotype" w:cs="Arial"/>
          <w:sz w:val="24"/>
          <w:szCs w:val="24"/>
        </w:rPr>
        <w:t xml:space="preserve">citud, es decir, al </w:t>
      </w:r>
      <w:r w:rsidR="009923E0">
        <w:rPr>
          <w:rFonts w:ascii="Palatino Linotype" w:hAnsi="Palatino Linotype" w:cs="Arial"/>
          <w:sz w:val="24"/>
          <w:szCs w:val="24"/>
        </w:rPr>
        <w:t xml:space="preserve">dos de septiembre de dos mil veintiuno. </w:t>
      </w:r>
    </w:p>
    <w:p w14:paraId="21B2779C" w14:textId="3567915A" w:rsidR="00015D83" w:rsidRPr="00653D2A" w:rsidRDefault="00015D83" w:rsidP="00015D83">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Dicha</w:t>
      </w:r>
      <w:r w:rsidR="003349F3">
        <w:rPr>
          <w:rFonts w:ascii="Palatino Linotype" w:hAnsi="Palatino Linotype"/>
        </w:rPr>
        <w:t>s precisiones</w:t>
      </w:r>
      <w:r>
        <w:rPr>
          <w:rFonts w:ascii="Palatino Linotype" w:hAnsi="Palatino Linotype"/>
        </w:rPr>
        <w:t xml:space="preserve">, con fundamento en los artículos </w:t>
      </w:r>
      <w:r w:rsidRPr="00653D2A">
        <w:rPr>
          <w:rFonts w:ascii="Palatino Linotype" w:hAnsi="Palatino Linotype"/>
        </w:rPr>
        <w:t xml:space="preserve">13 y 181 cuarto párrafo de la Ley en materia, los cuales a la letra rezan: </w:t>
      </w:r>
    </w:p>
    <w:p w14:paraId="56A35DAF" w14:textId="77777777" w:rsidR="00015D83" w:rsidRPr="009878C2" w:rsidRDefault="00015D83" w:rsidP="00015D83">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544DDD63" w14:textId="77777777" w:rsidR="00015D83" w:rsidRPr="009878C2" w:rsidRDefault="00015D83" w:rsidP="00015D8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4A32FE80" w14:textId="77777777" w:rsidR="00015D83" w:rsidRPr="009878C2" w:rsidRDefault="00015D83" w:rsidP="00015D8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215A3EAE" w14:textId="77777777" w:rsidR="00015D83" w:rsidRDefault="00015D83" w:rsidP="00015D83">
      <w:pPr>
        <w:pStyle w:val="Sinespaciado"/>
        <w:spacing w:line="360" w:lineRule="auto"/>
        <w:jc w:val="both"/>
        <w:rPr>
          <w:rFonts w:ascii="Palatino Linotype" w:hAnsi="Palatino Linotype"/>
        </w:rPr>
      </w:pPr>
    </w:p>
    <w:p w14:paraId="1E236C4F" w14:textId="5779E96C" w:rsidR="00015D83" w:rsidRDefault="00015D83" w:rsidP="00015D83">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w:t>
      </w:r>
      <w:r w:rsidR="00964DA7">
        <w:rPr>
          <w:rFonts w:ascii="Palatino Linotype" w:hAnsi="Palatino Linotype"/>
        </w:rPr>
        <w:t>los</w:t>
      </w:r>
      <w:r>
        <w:rPr>
          <w:rFonts w:ascii="Palatino Linotype" w:hAnsi="Palatino Linotype"/>
        </w:rPr>
        <w:t xml:space="preserve"> requerimiento</w:t>
      </w:r>
      <w:r w:rsidR="00964DA7">
        <w:rPr>
          <w:rFonts w:ascii="Palatino Linotype" w:hAnsi="Palatino Linotype"/>
        </w:rPr>
        <w:t>s</w:t>
      </w:r>
      <w:r>
        <w:rPr>
          <w:rFonts w:ascii="Palatino Linotype" w:hAnsi="Palatino Linotype"/>
        </w:rPr>
        <w:t xml:space="preserve"> formulado</w:t>
      </w:r>
      <w:r w:rsidR="00964DA7">
        <w:rPr>
          <w:rFonts w:ascii="Palatino Linotype" w:hAnsi="Palatino Linotype"/>
        </w:rPr>
        <w:t>s</w:t>
      </w:r>
      <w:r>
        <w:rPr>
          <w:rFonts w:ascii="Palatino Linotype" w:hAnsi="Palatino Linotype"/>
        </w:rPr>
        <w:t xml:space="preserve"> por la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00D41207" w14:textId="77777777" w:rsidR="00CC3508" w:rsidRDefault="00CC3508" w:rsidP="00E65AC5">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El o los documentos en donde conste la cantidad adeudada por el Ayuntamiento de Naucalpan de Juárez a la Comisión del Agua del Estado de México, durante el periodo comprendido del uno de enero de dos mil dieciséis al uno de septiembre de dos mil veintiuno</w:t>
      </w:r>
    </w:p>
    <w:p w14:paraId="07404F53" w14:textId="7796F6ED" w:rsidR="00A00E96" w:rsidRDefault="00CC3508" w:rsidP="00E65AC5">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consten los pagos que el Ayuntamiento de Naucalpan de Juárez ha realizado a la deuda referida en el numeral 1, </w:t>
      </w:r>
      <w:r w:rsidR="009923E0">
        <w:rPr>
          <w:rFonts w:ascii="Palatino Linotype" w:hAnsi="Palatino Linotype" w:cs="Arial"/>
        </w:rPr>
        <w:t xml:space="preserve">al dos de septiembre de dos mil veintiuno. </w:t>
      </w:r>
    </w:p>
    <w:p w14:paraId="50CD795F" w14:textId="77777777" w:rsidR="00B85EF3" w:rsidRPr="00015D83" w:rsidRDefault="00B85EF3" w:rsidP="00B85EF3">
      <w:pPr>
        <w:pStyle w:val="Prrafodelista"/>
        <w:autoSpaceDE w:val="0"/>
        <w:autoSpaceDN w:val="0"/>
        <w:adjustRightInd w:val="0"/>
        <w:spacing w:line="360" w:lineRule="auto"/>
        <w:ind w:left="720"/>
        <w:jc w:val="both"/>
        <w:rPr>
          <w:rFonts w:ascii="Palatino Linotype" w:hAnsi="Palatino Linotype" w:cs="Arial"/>
        </w:rPr>
      </w:pPr>
    </w:p>
    <w:p w14:paraId="0556ED3E" w14:textId="6C06C4AF" w:rsidR="00A457D1" w:rsidRDefault="009923E0" w:rsidP="000E5F0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alusión a los requerimientos formulados por el particular, resulta oportuno traer a colación el organigrama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soporte documental susceptible de ser consultado en la siguiente dirección electrónica: </w:t>
      </w:r>
    </w:p>
    <w:p w14:paraId="5AB46981" w14:textId="19512AE8" w:rsidR="009923E0" w:rsidRDefault="006D5427" w:rsidP="000E5F05">
      <w:pPr>
        <w:autoSpaceDE w:val="0"/>
        <w:autoSpaceDN w:val="0"/>
        <w:adjustRightInd w:val="0"/>
        <w:spacing w:line="360" w:lineRule="auto"/>
        <w:jc w:val="both"/>
        <w:rPr>
          <w:rFonts w:ascii="Palatino Linotype" w:hAnsi="Palatino Linotype" w:cs="Arial"/>
          <w:sz w:val="24"/>
          <w:szCs w:val="24"/>
        </w:rPr>
      </w:pPr>
      <w:hyperlink r:id="rId8" w:history="1">
        <w:r w:rsidR="0056134C" w:rsidRPr="000A3B62">
          <w:rPr>
            <w:rStyle w:val="Hipervnculo"/>
            <w:rFonts w:ascii="Palatino Linotype" w:hAnsi="Palatino Linotype" w:cs="Arial"/>
            <w:sz w:val="24"/>
            <w:szCs w:val="24"/>
          </w:rPr>
          <w:t>https://www.ipomex.org.mx/ipo3/lgt/indice/CAEM/art_92_ii_b/3.web</w:t>
        </w:r>
      </w:hyperlink>
      <w:r w:rsidR="0056134C">
        <w:rPr>
          <w:rFonts w:ascii="Palatino Linotype" w:hAnsi="Palatino Linotype" w:cs="Arial"/>
          <w:sz w:val="24"/>
          <w:szCs w:val="24"/>
        </w:rPr>
        <w:t xml:space="preserve"> </w:t>
      </w:r>
    </w:p>
    <w:p w14:paraId="59E7B782" w14:textId="1B072BF4" w:rsidR="0056134C" w:rsidRDefault="0056134C" w:rsidP="000E5F05">
      <w:pPr>
        <w:autoSpaceDE w:val="0"/>
        <w:autoSpaceDN w:val="0"/>
        <w:adjustRightInd w:val="0"/>
        <w:spacing w:line="360" w:lineRule="auto"/>
        <w:jc w:val="both"/>
        <w:rPr>
          <w:rFonts w:ascii="Palatino Linotype" w:hAnsi="Palatino Linotype" w:cs="Arial"/>
          <w:sz w:val="24"/>
          <w:szCs w:val="24"/>
        </w:rPr>
      </w:pPr>
    </w:p>
    <w:p w14:paraId="76673779" w14:textId="2F966585" w:rsidR="0056134C" w:rsidRDefault="0056134C" w:rsidP="000E5F0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Sirven de sustento las siguientes imágenes ilustrativas:</w:t>
      </w:r>
    </w:p>
    <w:p w14:paraId="323235B7" w14:textId="113CB952" w:rsidR="0056134C" w:rsidRDefault="00403A1E" w:rsidP="000E5F0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51414" behindDoc="0" locked="0" layoutInCell="1" allowOverlap="1" wp14:anchorId="73AFC150" wp14:editId="619E3BEE">
            <wp:simplePos x="0" y="0"/>
            <wp:positionH relativeFrom="page">
              <wp:align>center</wp:align>
            </wp:positionH>
            <wp:positionV relativeFrom="paragraph">
              <wp:posOffset>19050</wp:posOffset>
            </wp:positionV>
            <wp:extent cx="5747385" cy="3500120"/>
            <wp:effectExtent l="19050" t="19050" r="24765" b="24130"/>
            <wp:wrapThrough wrapText="bothSides">
              <wp:wrapPolygon edited="0">
                <wp:start x="-72" y="-118"/>
                <wp:lineTo x="-72" y="21631"/>
                <wp:lineTo x="21621" y="21631"/>
                <wp:lineTo x="21621" y="-118"/>
                <wp:lineTo x="-72" y="-118"/>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8855" cy="350122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C5799">
        <w:rPr>
          <w:rFonts w:ascii="Palatino Linotype" w:hAnsi="Palatino Linotype" w:cs="Arial"/>
          <w:noProof/>
          <w:sz w:val="24"/>
          <w:szCs w:val="24"/>
          <w:lang w:eastAsia="es-MX"/>
        </w:rPr>
        <w:drawing>
          <wp:anchor distT="0" distB="0" distL="114300" distR="114300" simplePos="0" relativeHeight="251752438" behindDoc="0" locked="0" layoutInCell="1" allowOverlap="1" wp14:anchorId="2034AED9" wp14:editId="02AF0DD2">
            <wp:simplePos x="0" y="0"/>
            <wp:positionH relativeFrom="page">
              <wp:align>center</wp:align>
            </wp:positionH>
            <wp:positionV relativeFrom="paragraph">
              <wp:posOffset>3790950</wp:posOffset>
            </wp:positionV>
            <wp:extent cx="2050144" cy="1294410"/>
            <wp:effectExtent l="19050" t="19050" r="26670" b="20320"/>
            <wp:wrapThrough wrapText="bothSides">
              <wp:wrapPolygon edited="0">
                <wp:start x="-201" y="-318"/>
                <wp:lineTo x="-201" y="21621"/>
                <wp:lineTo x="21680" y="21621"/>
                <wp:lineTo x="21680" y="-318"/>
                <wp:lineTo x="-201" y="-318"/>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0144" cy="12944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6134C">
        <w:rPr>
          <w:rFonts w:ascii="Palatino Linotype" w:hAnsi="Palatino Linotype" w:cs="Arial"/>
          <w:noProof/>
          <w:sz w:val="24"/>
          <w:szCs w:val="24"/>
        </w:rPr>
        <w:t xml:space="preserve"> </w:t>
      </w:r>
    </w:p>
    <w:p w14:paraId="74B4741C" w14:textId="2A205D93" w:rsidR="0056134C" w:rsidRPr="009923E0" w:rsidRDefault="0056134C" w:rsidP="000E5F05">
      <w:pPr>
        <w:autoSpaceDE w:val="0"/>
        <w:autoSpaceDN w:val="0"/>
        <w:adjustRightInd w:val="0"/>
        <w:spacing w:line="360" w:lineRule="auto"/>
        <w:jc w:val="both"/>
        <w:rPr>
          <w:rFonts w:ascii="Palatino Linotype" w:hAnsi="Palatino Linotype" w:cs="Arial"/>
          <w:sz w:val="24"/>
          <w:szCs w:val="24"/>
        </w:rPr>
      </w:pPr>
    </w:p>
    <w:p w14:paraId="3636A0E5" w14:textId="13BE716B" w:rsidR="009923E0" w:rsidRDefault="009923E0" w:rsidP="000E5F05">
      <w:pPr>
        <w:autoSpaceDE w:val="0"/>
        <w:autoSpaceDN w:val="0"/>
        <w:adjustRightInd w:val="0"/>
        <w:spacing w:line="360" w:lineRule="auto"/>
        <w:jc w:val="both"/>
        <w:rPr>
          <w:rFonts w:ascii="Palatino Linotype" w:hAnsi="Palatino Linotype" w:cs="Arial"/>
          <w:sz w:val="24"/>
          <w:szCs w:val="24"/>
        </w:rPr>
      </w:pPr>
    </w:p>
    <w:p w14:paraId="3E969A99" w14:textId="305A0DB3" w:rsidR="009923E0" w:rsidRDefault="009923E0" w:rsidP="000E5F05">
      <w:pPr>
        <w:autoSpaceDE w:val="0"/>
        <w:autoSpaceDN w:val="0"/>
        <w:adjustRightInd w:val="0"/>
        <w:spacing w:line="360" w:lineRule="auto"/>
        <w:jc w:val="both"/>
        <w:rPr>
          <w:rFonts w:ascii="Palatino Linotype" w:hAnsi="Palatino Linotype" w:cs="Arial"/>
          <w:sz w:val="24"/>
          <w:szCs w:val="24"/>
        </w:rPr>
      </w:pPr>
    </w:p>
    <w:p w14:paraId="01382EAB" w14:textId="6363088C" w:rsidR="009923E0" w:rsidRDefault="009923E0" w:rsidP="000E5F05">
      <w:pPr>
        <w:autoSpaceDE w:val="0"/>
        <w:autoSpaceDN w:val="0"/>
        <w:adjustRightInd w:val="0"/>
        <w:spacing w:line="360" w:lineRule="auto"/>
        <w:jc w:val="both"/>
        <w:rPr>
          <w:rFonts w:ascii="Palatino Linotype" w:hAnsi="Palatino Linotype" w:cs="Arial"/>
          <w:sz w:val="24"/>
          <w:szCs w:val="24"/>
        </w:rPr>
      </w:pPr>
    </w:p>
    <w:p w14:paraId="7A57F890" w14:textId="77777777" w:rsidR="009C5799" w:rsidRDefault="009C5799" w:rsidP="00E8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Coordinaciones, Direcciones y Departamentos para cumplir con sus fines y objetivos, resultando de nuestro interés la Dirección General de Administración y Finanzas. </w:t>
      </w:r>
    </w:p>
    <w:p w14:paraId="0E5CB352" w14:textId="2EF1DBD6" w:rsidR="007B3414" w:rsidRDefault="009C5799" w:rsidP="009C5799">
      <w:pPr>
        <w:autoSpaceDE w:val="0"/>
        <w:autoSpaceDN w:val="0"/>
        <w:adjustRightInd w:val="0"/>
        <w:spacing w:before="240" w:line="360" w:lineRule="auto"/>
        <w:jc w:val="both"/>
        <w:rPr>
          <w:rFonts w:ascii="Palatino Linotype" w:hAnsi="Palatino Linotype" w:cs="Arial"/>
          <w:sz w:val="24"/>
          <w:szCs w:val="24"/>
        </w:rPr>
      </w:pPr>
      <w:r w:rsidRPr="002D4C5A">
        <w:rPr>
          <w:rFonts w:ascii="Palatino Linotype" w:hAnsi="Palatino Linotype" w:cs="Arial"/>
          <w:sz w:val="24"/>
          <w:szCs w:val="24"/>
        </w:rPr>
        <w:lastRenderedPageBreak/>
        <w:t xml:space="preserve">En este tenor, resultan aplicables los artículos </w:t>
      </w:r>
      <w:r w:rsidR="0015319B" w:rsidRPr="002D4C5A">
        <w:rPr>
          <w:rFonts w:ascii="Palatino Linotype" w:hAnsi="Palatino Linotype" w:cs="Arial"/>
          <w:sz w:val="24"/>
          <w:szCs w:val="24"/>
        </w:rPr>
        <w:t xml:space="preserve">17, 18 fracciones XIII, XVI, XVII, 23 de la Ley del Agua para el Estado de México y Municipios, el numeral 22 del Reglamento Interior de la Comisión del Agua del Estado de México, </w:t>
      </w:r>
      <w:r w:rsidR="007B3414" w:rsidRPr="002D4C5A">
        <w:rPr>
          <w:rFonts w:ascii="Palatino Linotype" w:hAnsi="Palatino Linotype" w:cs="Arial"/>
          <w:sz w:val="24"/>
          <w:szCs w:val="24"/>
        </w:rPr>
        <w:t>así como los artículos 342, 343, 344 y 345 del Código Financiero del Estado de México y Municipios, porciones normativas que disponen a la literalidad lo siguiente:</w:t>
      </w:r>
      <w:r w:rsidR="007B3414">
        <w:rPr>
          <w:rFonts w:ascii="Palatino Linotype" w:hAnsi="Palatino Linotype" w:cs="Arial"/>
          <w:sz w:val="24"/>
          <w:szCs w:val="24"/>
        </w:rPr>
        <w:t xml:space="preserve"> </w:t>
      </w:r>
    </w:p>
    <w:p w14:paraId="0B9EE768" w14:textId="75A2B0D7" w:rsidR="0015319B" w:rsidRPr="0015319B" w:rsidRDefault="0015319B" w:rsidP="0015319B">
      <w:pPr>
        <w:pStyle w:val="Citas"/>
        <w:jc w:val="center"/>
        <w:rPr>
          <w:rStyle w:val="markedcontent"/>
          <w:b/>
          <w:bCs/>
        </w:rPr>
      </w:pPr>
      <w:r>
        <w:rPr>
          <w:rStyle w:val="markedcontent"/>
          <w:b/>
          <w:bCs/>
        </w:rPr>
        <w:t>Ley del Agua para el Estado de México y Municipios</w:t>
      </w:r>
    </w:p>
    <w:p w14:paraId="2AB38246" w14:textId="4BFD84DC" w:rsidR="00B72D1B" w:rsidRDefault="0015319B" w:rsidP="00B72D1B">
      <w:pPr>
        <w:pStyle w:val="Citas"/>
        <w:rPr>
          <w:rStyle w:val="markedcontent"/>
        </w:rPr>
      </w:pPr>
      <w:r>
        <w:rPr>
          <w:rStyle w:val="markedcontent"/>
        </w:rPr>
        <w:t>“</w:t>
      </w:r>
      <w:r w:rsidR="00B72D1B" w:rsidRPr="00B72D1B">
        <w:rPr>
          <w:rStyle w:val="markedcontent"/>
        </w:rPr>
        <w:t xml:space="preserve">Artículo 17.- La Comisión es un organismo público descentralizado, con personalidad jurídica y patrimonio propios, sectorizado a la Secretaría, con carácter de autoridad fiscal. </w:t>
      </w:r>
    </w:p>
    <w:p w14:paraId="403590F2" w14:textId="10D139FE" w:rsidR="00B72D1B" w:rsidRDefault="00B72D1B" w:rsidP="00B72D1B">
      <w:pPr>
        <w:pStyle w:val="Citas"/>
        <w:rPr>
          <w:rStyle w:val="markedcontent"/>
        </w:rPr>
      </w:pPr>
      <w:r w:rsidRPr="00B72D1B">
        <w:rPr>
          <w:rStyle w:val="markedcontent"/>
        </w:rPr>
        <w:t>La Comisión tiene por objeto planear, programar, presupuestar, diseñar, construir,</w:t>
      </w:r>
      <w:r>
        <w:rPr>
          <w:rStyle w:val="markedcontent"/>
        </w:rPr>
        <w:t xml:space="preserve"> c</w:t>
      </w:r>
      <w:r w:rsidRPr="00B72D1B">
        <w:rPr>
          <w:rStyle w:val="markedcontent"/>
        </w:rPr>
        <w:t>onservar, mantener,</w:t>
      </w:r>
      <w:r>
        <w:rPr>
          <w:rStyle w:val="markedcontent"/>
        </w:rPr>
        <w:t xml:space="preserve"> </w:t>
      </w:r>
      <w:r w:rsidRPr="00B72D1B">
        <w:rPr>
          <w:rStyle w:val="markedcontent"/>
        </w:rPr>
        <w:t>operar y administrar sistemas de suministro de agua potable, desinfección, drenaje, alcantarillado,</w:t>
      </w:r>
      <w:r>
        <w:rPr>
          <w:rStyle w:val="markedcontent"/>
        </w:rPr>
        <w:t xml:space="preserve"> </w:t>
      </w:r>
      <w:r w:rsidRPr="00B72D1B">
        <w:rPr>
          <w:rStyle w:val="markedcontent"/>
        </w:rPr>
        <w:t>saneamiento, tratamiento y reuso de aguas tratadas, así como la disposición final de sus productos</w:t>
      </w:r>
      <w:r>
        <w:rPr>
          <w:rStyle w:val="markedcontent"/>
        </w:rPr>
        <w:t xml:space="preserve"> resultantes, e imponer las sanciones que correspondan en caso de incumplimiento de la normatividad en la materia. </w:t>
      </w:r>
    </w:p>
    <w:p w14:paraId="45AA7C0C" w14:textId="6CAE2E1A" w:rsidR="00B72D1B" w:rsidRDefault="00B72D1B" w:rsidP="00B72D1B">
      <w:pPr>
        <w:pStyle w:val="Citas"/>
        <w:rPr>
          <w:rStyle w:val="markedcontent"/>
        </w:rPr>
      </w:pPr>
      <w:r w:rsidRPr="00B72D1B">
        <w:rPr>
          <w:rStyle w:val="markedcontent"/>
        </w:rPr>
        <w:t>Artículo 18.- Para el cumplimiento de su objeto, la Comisión gozará de autonomía de gestión,</w:t>
      </w:r>
      <w:r>
        <w:rPr>
          <w:rStyle w:val="markedcontent"/>
        </w:rPr>
        <w:t xml:space="preserve"> </w:t>
      </w:r>
      <w:r w:rsidRPr="00B72D1B">
        <w:rPr>
          <w:rStyle w:val="markedcontent"/>
        </w:rPr>
        <w:t>financiera y operativa, y tendrá las siguientes atribuciones:</w:t>
      </w:r>
    </w:p>
    <w:p w14:paraId="712B7C07" w14:textId="02CE07A2" w:rsidR="00B72D1B" w:rsidRDefault="00B72D1B" w:rsidP="00B72D1B">
      <w:pPr>
        <w:pStyle w:val="Citas"/>
        <w:rPr>
          <w:rStyle w:val="markedcontent"/>
        </w:rPr>
      </w:pPr>
      <w:r>
        <w:rPr>
          <w:rStyle w:val="markedcontent"/>
        </w:rPr>
        <w:t>(…)</w:t>
      </w:r>
    </w:p>
    <w:p w14:paraId="35077226" w14:textId="6CCF4B79" w:rsidR="00B72D1B" w:rsidRPr="0015319B" w:rsidRDefault="0015319B" w:rsidP="0015319B">
      <w:pPr>
        <w:pStyle w:val="Citas"/>
        <w:rPr>
          <w:rStyle w:val="markedcontent"/>
          <w:b/>
          <w:bCs/>
          <w:u w:val="single"/>
        </w:rPr>
      </w:pPr>
      <w:r w:rsidRPr="0015319B">
        <w:rPr>
          <w:rStyle w:val="markedcontent"/>
          <w:b/>
          <w:bCs/>
          <w:u w:val="single"/>
        </w:rPr>
        <w:t>XIII. Recaudar los ingresos por los servicios que preste;</w:t>
      </w:r>
    </w:p>
    <w:p w14:paraId="678F5AA3" w14:textId="76011641" w:rsidR="0015319B" w:rsidRDefault="0015319B" w:rsidP="0015319B">
      <w:pPr>
        <w:pStyle w:val="Citas"/>
        <w:rPr>
          <w:rStyle w:val="markedcontent"/>
        </w:rPr>
      </w:pPr>
      <w:r>
        <w:rPr>
          <w:rStyle w:val="markedcontent"/>
        </w:rPr>
        <w:t>(…)</w:t>
      </w:r>
    </w:p>
    <w:p w14:paraId="391BEF44" w14:textId="77777777" w:rsidR="0015319B" w:rsidRDefault="0015319B" w:rsidP="0015319B">
      <w:pPr>
        <w:pStyle w:val="Citas"/>
        <w:rPr>
          <w:rStyle w:val="markedcontent"/>
        </w:rPr>
      </w:pPr>
      <w:r w:rsidRPr="0015319B">
        <w:rPr>
          <w:rStyle w:val="markedcontent"/>
        </w:rPr>
        <w:lastRenderedPageBreak/>
        <w:t xml:space="preserve">XVI. Determinar la liquidación de créditos fiscales, recargos, multas y demás accesorios legales en términos de la legislación aplicable; </w:t>
      </w:r>
    </w:p>
    <w:p w14:paraId="22BFB406" w14:textId="7FB6E2A2" w:rsidR="0015319B" w:rsidRDefault="0015319B" w:rsidP="0015319B">
      <w:pPr>
        <w:pStyle w:val="Citas"/>
        <w:rPr>
          <w:rStyle w:val="markedcontent"/>
          <w:b/>
          <w:bCs/>
          <w:u w:val="single"/>
        </w:rPr>
      </w:pPr>
      <w:r w:rsidRPr="0015319B">
        <w:rPr>
          <w:rStyle w:val="markedcontent"/>
          <w:b/>
          <w:bCs/>
          <w:u w:val="single"/>
        </w:rPr>
        <w:t>XVII. Aplicar el procedimiento administrativo de ejecución para el cobro de los créditos fiscales a su favor;</w:t>
      </w:r>
    </w:p>
    <w:p w14:paraId="26216660" w14:textId="5AADB3B8" w:rsidR="0015319B" w:rsidRDefault="0015319B" w:rsidP="0015319B">
      <w:pPr>
        <w:pStyle w:val="Citas"/>
        <w:rPr>
          <w:rStyle w:val="markedcontent"/>
        </w:rPr>
      </w:pPr>
      <w:r>
        <w:rPr>
          <w:rStyle w:val="markedcontent"/>
        </w:rPr>
        <w:t>(…)</w:t>
      </w:r>
    </w:p>
    <w:p w14:paraId="26A35B6B" w14:textId="77777777" w:rsidR="0015319B" w:rsidRDefault="0015319B" w:rsidP="0015319B">
      <w:pPr>
        <w:pStyle w:val="Citas"/>
        <w:rPr>
          <w:rStyle w:val="markedcontent"/>
        </w:rPr>
      </w:pPr>
      <w:r w:rsidRPr="0015319B">
        <w:rPr>
          <w:rStyle w:val="markedcontent"/>
        </w:rPr>
        <w:t xml:space="preserve">Artículo 23.- El patrimonio de la Comisión se integrará con: </w:t>
      </w:r>
      <w:r w:rsidRPr="0015319B">
        <w:br/>
      </w:r>
      <w:r w:rsidRPr="0015319B">
        <w:br/>
      </w:r>
      <w:r w:rsidRPr="0015319B">
        <w:rPr>
          <w:rStyle w:val="markedcontent"/>
          <w:b/>
          <w:bCs/>
          <w:u w:val="single"/>
        </w:rPr>
        <w:t xml:space="preserve">I. Los ingresos que obtenga derivados del ejercicio de las facultades que le otorga la presente Ley y que estén previstos en el Código Financiero; </w:t>
      </w:r>
    </w:p>
    <w:p w14:paraId="3EB1998E" w14:textId="77777777" w:rsidR="0015319B" w:rsidRDefault="0015319B" w:rsidP="0015319B">
      <w:pPr>
        <w:pStyle w:val="Citas"/>
        <w:rPr>
          <w:rStyle w:val="markedcontent"/>
        </w:rPr>
      </w:pPr>
      <w:r w:rsidRPr="0015319B">
        <w:rPr>
          <w:rStyle w:val="markedcontent"/>
        </w:rPr>
        <w:t xml:space="preserve">II. Los subsidios, donaciones y aportaciones que le hagan los gobiernos </w:t>
      </w:r>
      <w:proofErr w:type="gramStart"/>
      <w:r w:rsidRPr="0015319B">
        <w:rPr>
          <w:rStyle w:val="markedcontent"/>
        </w:rPr>
        <w:t>federal, estatal</w:t>
      </w:r>
      <w:proofErr w:type="gramEnd"/>
      <w:r w:rsidRPr="0015319B">
        <w:rPr>
          <w:rStyle w:val="markedcontent"/>
        </w:rPr>
        <w:t xml:space="preserve"> y municipales, así como las personas físicas o jurídicas colectivas; </w:t>
      </w:r>
    </w:p>
    <w:p w14:paraId="39B0EC50" w14:textId="77777777" w:rsidR="0015319B" w:rsidRDefault="0015319B" w:rsidP="0015319B">
      <w:pPr>
        <w:pStyle w:val="Citas"/>
        <w:rPr>
          <w:rStyle w:val="markedcontent"/>
        </w:rPr>
      </w:pPr>
      <w:r w:rsidRPr="0015319B">
        <w:rPr>
          <w:rStyle w:val="markedcontent"/>
        </w:rPr>
        <w:t xml:space="preserve">III. Los remanentes o frutos que obtenga de su patrimonio y los rendimientos </w:t>
      </w:r>
      <w:r>
        <w:rPr>
          <w:rStyle w:val="markedcontent"/>
        </w:rPr>
        <w:t>p</w:t>
      </w:r>
      <w:r w:rsidRPr="0015319B">
        <w:rPr>
          <w:rStyle w:val="markedcontent"/>
        </w:rPr>
        <w:t>rovenientes de sus</w:t>
      </w:r>
      <w:r>
        <w:rPr>
          <w:rStyle w:val="markedcontent"/>
        </w:rPr>
        <w:t xml:space="preserve"> </w:t>
      </w:r>
      <w:r w:rsidRPr="0015319B">
        <w:rPr>
          <w:rStyle w:val="markedcontent"/>
        </w:rPr>
        <w:t xml:space="preserve">obras y actividades, así como de los intereses que obtenga de sus inversiones; </w:t>
      </w:r>
      <w:r w:rsidRPr="0015319B">
        <w:br/>
      </w:r>
      <w:r w:rsidRPr="0015319B">
        <w:rPr>
          <w:rStyle w:val="markedcontent"/>
        </w:rPr>
        <w:t xml:space="preserve">IV. Las herencias y adjudicaciones que se realicen en su favor; y </w:t>
      </w:r>
    </w:p>
    <w:p w14:paraId="7B8DA215" w14:textId="0616F490" w:rsidR="0015319B" w:rsidRDefault="0015319B" w:rsidP="0015319B">
      <w:pPr>
        <w:pStyle w:val="Citas"/>
        <w:rPr>
          <w:rStyle w:val="markedcontent"/>
        </w:rPr>
      </w:pPr>
      <w:r w:rsidRPr="0015319B">
        <w:rPr>
          <w:rStyle w:val="markedcontent"/>
        </w:rPr>
        <w:t xml:space="preserve">V. Los demás bienes y derechos que formen parte de su patrimonio por cualquier título legal. </w:t>
      </w:r>
    </w:p>
    <w:p w14:paraId="54D489DC" w14:textId="3887DCE8" w:rsidR="0015319B" w:rsidRPr="0015319B" w:rsidRDefault="0015319B" w:rsidP="0015319B">
      <w:pPr>
        <w:pStyle w:val="Citas"/>
        <w:rPr>
          <w:b/>
          <w:bCs/>
        </w:rPr>
      </w:pPr>
      <w:r w:rsidRPr="0015319B">
        <w:rPr>
          <w:rStyle w:val="markedcontent"/>
        </w:rPr>
        <w:t>Los ingresos que recaude la Comisión formarán parte de su patrimonio y serán aplicados a las actividades relacionadas con el ejercicio de las facultades que le otorga la Ley y su Reglamento, en la</w:t>
      </w:r>
      <w:r>
        <w:rPr>
          <w:rStyle w:val="markedcontent"/>
        </w:rPr>
        <w:t xml:space="preserve"> </w:t>
      </w:r>
      <w:r w:rsidRPr="0015319B">
        <w:rPr>
          <w:rStyle w:val="markedcontent"/>
        </w:rPr>
        <w:t>medida que determine la normatividad aplicable</w:t>
      </w:r>
      <w:r>
        <w:rPr>
          <w:rStyle w:val="markedcontent"/>
        </w:rPr>
        <w:t xml:space="preserve">” </w:t>
      </w:r>
      <w:r>
        <w:rPr>
          <w:rStyle w:val="markedcontent"/>
          <w:b/>
          <w:bCs/>
        </w:rPr>
        <w:t xml:space="preserve">[Sic] </w:t>
      </w:r>
    </w:p>
    <w:p w14:paraId="29491255" w14:textId="6A895EBE" w:rsidR="00B72D1B" w:rsidRDefault="00B72D1B" w:rsidP="009C5799">
      <w:pPr>
        <w:autoSpaceDE w:val="0"/>
        <w:autoSpaceDN w:val="0"/>
        <w:adjustRightInd w:val="0"/>
        <w:spacing w:before="240" w:line="360" w:lineRule="auto"/>
        <w:jc w:val="both"/>
        <w:rPr>
          <w:rFonts w:ascii="Palatino Linotype" w:hAnsi="Palatino Linotype" w:cs="Arial"/>
          <w:sz w:val="24"/>
          <w:szCs w:val="24"/>
        </w:rPr>
      </w:pPr>
    </w:p>
    <w:p w14:paraId="621D2B18" w14:textId="30F28771" w:rsidR="0015319B" w:rsidRPr="0015319B" w:rsidRDefault="0015319B" w:rsidP="0015319B">
      <w:pPr>
        <w:pStyle w:val="Citas"/>
        <w:jc w:val="center"/>
        <w:rPr>
          <w:rStyle w:val="markedcontent"/>
          <w:b/>
          <w:bCs/>
        </w:rPr>
      </w:pPr>
      <w:bookmarkStart w:id="1" w:name="_Hlk85625863"/>
      <w:r>
        <w:rPr>
          <w:rStyle w:val="markedcontent"/>
          <w:b/>
          <w:bCs/>
        </w:rPr>
        <w:lastRenderedPageBreak/>
        <w:t>Reglamento Interior de la Comisión del Agua del Estado de México</w:t>
      </w:r>
    </w:p>
    <w:p w14:paraId="7A758AD5" w14:textId="224389D7" w:rsidR="000F2554" w:rsidRPr="00B72D1B" w:rsidRDefault="002D4C5A" w:rsidP="00B72D1B">
      <w:pPr>
        <w:pStyle w:val="Citas"/>
        <w:rPr>
          <w:rStyle w:val="markedcontent"/>
        </w:rPr>
      </w:pPr>
      <w:r>
        <w:rPr>
          <w:rStyle w:val="markedcontent"/>
        </w:rPr>
        <w:t>“</w:t>
      </w:r>
      <w:r w:rsidR="000F2554" w:rsidRPr="00B72D1B">
        <w:rPr>
          <w:rStyle w:val="markedcontent"/>
        </w:rPr>
        <w:t xml:space="preserve">Artículo 22. Corresponden a la Dirección General de </w:t>
      </w:r>
      <w:r w:rsidR="000F2554" w:rsidRPr="00B72D1B">
        <w:rPr>
          <w:rStyle w:val="highlight"/>
        </w:rPr>
        <w:t>Administración y Finanzas</w:t>
      </w:r>
      <w:r w:rsidR="000F2554" w:rsidRPr="00B72D1B">
        <w:rPr>
          <w:rStyle w:val="markedcontent"/>
        </w:rPr>
        <w:t xml:space="preserve"> las atribuciones siguientes:  </w:t>
      </w:r>
    </w:p>
    <w:p w14:paraId="18D93E97" w14:textId="77777777" w:rsidR="000F2554" w:rsidRPr="00B72D1B" w:rsidRDefault="000F2554" w:rsidP="00B72D1B">
      <w:pPr>
        <w:pStyle w:val="Citas"/>
        <w:numPr>
          <w:ilvl w:val="0"/>
          <w:numId w:val="13"/>
        </w:numPr>
        <w:rPr>
          <w:rStyle w:val="markedcontent"/>
        </w:rPr>
      </w:pPr>
      <w:r w:rsidRPr="00B72D1B">
        <w:rPr>
          <w:rStyle w:val="markedcontent"/>
        </w:rPr>
        <w:t xml:space="preserve">Administrar los recursos humanos, financieros y materiales de la Comisión, de acuerdo con las disposiciones aplicables; </w:t>
      </w:r>
    </w:p>
    <w:p w14:paraId="01543039" w14:textId="77777777" w:rsidR="000F2554" w:rsidRPr="00B72D1B" w:rsidRDefault="000F2554" w:rsidP="00B72D1B">
      <w:pPr>
        <w:pStyle w:val="Citas"/>
        <w:numPr>
          <w:ilvl w:val="0"/>
          <w:numId w:val="13"/>
        </w:numPr>
        <w:rPr>
          <w:rStyle w:val="markedcontent"/>
          <w:b/>
          <w:bCs/>
          <w:u w:val="single"/>
        </w:rPr>
      </w:pPr>
      <w:r w:rsidRPr="00B72D1B">
        <w:rPr>
          <w:rStyle w:val="markedcontent"/>
          <w:b/>
          <w:bCs/>
          <w:u w:val="single"/>
        </w:rPr>
        <w:t xml:space="preserve">Recaudar los ingresos por los servicios que presta la Comisión; </w:t>
      </w:r>
    </w:p>
    <w:p w14:paraId="45481540" w14:textId="77777777" w:rsidR="000F2554" w:rsidRPr="00B72D1B" w:rsidRDefault="000F2554" w:rsidP="00B72D1B">
      <w:pPr>
        <w:pStyle w:val="Citas"/>
        <w:numPr>
          <w:ilvl w:val="0"/>
          <w:numId w:val="13"/>
        </w:numPr>
        <w:rPr>
          <w:rStyle w:val="markedcontent"/>
        </w:rPr>
      </w:pPr>
      <w:r w:rsidRPr="00B72D1B">
        <w:rPr>
          <w:rStyle w:val="markedcontent"/>
        </w:rPr>
        <w:t xml:space="preserve">Establecer las políticas y procedimientos que permitan la eficaz administración de los recursos financieros, humanos y materiales de la Comisión; </w:t>
      </w:r>
    </w:p>
    <w:p w14:paraId="717C678D" w14:textId="4ED9D4B1" w:rsidR="000F2554" w:rsidRPr="00B72D1B" w:rsidRDefault="000F2554" w:rsidP="00B72D1B">
      <w:pPr>
        <w:pStyle w:val="Citas"/>
        <w:numPr>
          <w:ilvl w:val="0"/>
          <w:numId w:val="13"/>
        </w:numPr>
        <w:rPr>
          <w:rStyle w:val="markedcontent"/>
        </w:rPr>
      </w:pPr>
      <w:r w:rsidRPr="00B72D1B">
        <w:rPr>
          <w:rStyle w:val="markedcontent"/>
        </w:rPr>
        <w:t xml:space="preserve">Dirigir las acciones necesarias en la administración de los recursos y operaciones financieras de la Comisión, para el eficiente y eficaz desarrollo de sus atribuciones; </w:t>
      </w:r>
    </w:p>
    <w:p w14:paraId="6A7D1D4C" w14:textId="444BED12" w:rsidR="000F2554" w:rsidRPr="00B72D1B" w:rsidRDefault="000F2554" w:rsidP="00B72D1B">
      <w:pPr>
        <w:pStyle w:val="Citas"/>
        <w:numPr>
          <w:ilvl w:val="0"/>
          <w:numId w:val="13"/>
        </w:numPr>
        <w:rPr>
          <w:rStyle w:val="markedcontent"/>
        </w:rPr>
      </w:pPr>
      <w:r w:rsidRPr="00B72D1B">
        <w:rPr>
          <w:rStyle w:val="markedcontent"/>
        </w:rPr>
        <w:t xml:space="preserve">Dirigir las acciones necesarias en la elaboración, integración y aplicación de los presupuestos de ingresos y de egresos; así como en la elaboración, análisis y consolidación de los estados financieros de la Comisión, de conformidad con la legislación aplicable; </w:t>
      </w:r>
    </w:p>
    <w:p w14:paraId="1554D23E" w14:textId="77777777" w:rsidR="000F2554" w:rsidRPr="00B72D1B" w:rsidRDefault="000F2554" w:rsidP="00B72D1B">
      <w:pPr>
        <w:pStyle w:val="Citas"/>
        <w:numPr>
          <w:ilvl w:val="0"/>
          <w:numId w:val="13"/>
        </w:numPr>
        <w:rPr>
          <w:rStyle w:val="markedcontent"/>
        </w:rPr>
      </w:pPr>
      <w:r w:rsidRPr="00B72D1B">
        <w:rPr>
          <w:rStyle w:val="markedcontent"/>
        </w:rPr>
        <w:t xml:space="preserve">Dirigir las acciones necesarias para proporcionar con oportunidad, los recursos financieros y materiales requeridos por las unidades administrativas de la Comisión; </w:t>
      </w:r>
    </w:p>
    <w:p w14:paraId="41A04F12" w14:textId="77777777" w:rsidR="000F2554" w:rsidRPr="00B72D1B" w:rsidRDefault="000F2554" w:rsidP="00B72D1B">
      <w:pPr>
        <w:pStyle w:val="Citas"/>
        <w:numPr>
          <w:ilvl w:val="0"/>
          <w:numId w:val="13"/>
        </w:numPr>
        <w:rPr>
          <w:rStyle w:val="markedcontent"/>
        </w:rPr>
      </w:pPr>
      <w:r w:rsidRPr="00B72D1B">
        <w:rPr>
          <w:rStyle w:val="markedcontent"/>
        </w:rPr>
        <w:t xml:space="preserve">Instruir las acciones necesarias para llevar a cabo los procedimientos adquisitivos de bienes, arrendamientos y servicios para el cumplimiento del </w:t>
      </w:r>
      <w:r w:rsidRPr="00B72D1B">
        <w:rPr>
          <w:rStyle w:val="markedcontent"/>
        </w:rPr>
        <w:lastRenderedPageBreak/>
        <w:t xml:space="preserve">objeto de la Comisión, con base en la normatividad aplicable; así como suscribir  los contratos y convenios derivados de los mismos; </w:t>
      </w:r>
    </w:p>
    <w:p w14:paraId="6ED493F0" w14:textId="77777777" w:rsidR="000F2554" w:rsidRPr="00B72D1B" w:rsidRDefault="000F2554" w:rsidP="00B72D1B">
      <w:pPr>
        <w:pStyle w:val="Citas"/>
        <w:numPr>
          <w:ilvl w:val="0"/>
          <w:numId w:val="13"/>
        </w:numPr>
        <w:rPr>
          <w:rStyle w:val="markedcontent"/>
        </w:rPr>
      </w:pPr>
      <w:r w:rsidRPr="00B72D1B">
        <w:rPr>
          <w:rStyle w:val="markedcontent"/>
        </w:rPr>
        <w:t xml:space="preserve">Instruir las acciones relativas al registro, asignación, utilización, mantenimiento, conservación y aseguramiento de los valores y bienes muebles e inmuebles propiedad de la Comisión, con base en la normatividad aplicable; </w:t>
      </w:r>
    </w:p>
    <w:p w14:paraId="53CCB42B" w14:textId="6C3C6129" w:rsidR="000F2554" w:rsidRPr="00B72D1B" w:rsidRDefault="000F2554" w:rsidP="00B72D1B">
      <w:pPr>
        <w:pStyle w:val="Citas"/>
        <w:numPr>
          <w:ilvl w:val="0"/>
          <w:numId w:val="13"/>
        </w:numPr>
        <w:rPr>
          <w:rStyle w:val="markedcontent"/>
          <w:b/>
          <w:bCs/>
          <w:u w:val="single"/>
        </w:rPr>
      </w:pPr>
      <w:r w:rsidRPr="00B72D1B">
        <w:rPr>
          <w:rStyle w:val="markedcontent"/>
          <w:b/>
          <w:bCs/>
          <w:u w:val="single"/>
        </w:rPr>
        <w:t xml:space="preserve">Ejercer la atribución de autoridad fiscal en términos del presente Reglamento, para hacer efectivos los créditos fiscales a favor de la Comisión, cuando así le sea delegada por el Vocal Ejecutivo; </w:t>
      </w:r>
    </w:p>
    <w:p w14:paraId="138FAAEE" w14:textId="77777777" w:rsidR="000F2554" w:rsidRPr="00B72D1B" w:rsidRDefault="000F2554" w:rsidP="00B72D1B">
      <w:pPr>
        <w:pStyle w:val="Citas"/>
        <w:numPr>
          <w:ilvl w:val="0"/>
          <w:numId w:val="13"/>
        </w:numPr>
        <w:rPr>
          <w:rStyle w:val="markedcontent"/>
          <w:b/>
          <w:bCs/>
          <w:u w:val="single"/>
        </w:rPr>
      </w:pPr>
      <w:r w:rsidRPr="00B72D1B">
        <w:rPr>
          <w:rStyle w:val="markedcontent"/>
          <w:b/>
          <w:bCs/>
          <w:u w:val="single"/>
        </w:rPr>
        <w:t xml:space="preserve">Determinar la existencia de créditos fiscales, llevar su control y registro, fijando las bases para su liquidación, en términos de la legislación en la materia, así como verificar el cumplimiento del pago de los mismos; </w:t>
      </w:r>
    </w:p>
    <w:p w14:paraId="1FCE9B80" w14:textId="33B3CB6C" w:rsidR="000F2554" w:rsidRPr="00B72D1B" w:rsidRDefault="000F2554" w:rsidP="00B72D1B">
      <w:pPr>
        <w:pStyle w:val="Citas"/>
        <w:numPr>
          <w:ilvl w:val="0"/>
          <w:numId w:val="13"/>
        </w:numPr>
        <w:rPr>
          <w:rStyle w:val="markedcontent"/>
          <w:b/>
          <w:bCs/>
          <w:u w:val="single"/>
        </w:rPr>
      </w:pPr>
      <w:r w:rsidRPr="00B72D1B">
        <w:rPr>
          <w:rStyle w:val="markedcontent"/>
          <w:b/>
          <w:bCs/>
          <w:u w:val="single"/>
        </w:rPr>
        <w:t xml:space="preserve">Iniciar y substanciar hasta su resolución, los procedimientos administrativos de ejecución, determinando créditos fiscales, recargos, multas y demás accesorios, en términos de la legislación aplicable; </w:t>
      </w:r>
    </w:p>
    <w:p w14:paraId="1DAD36C5" w14:textId="77777777" w:rsidR="000F2554" w:rsidRPr="00B72D1B" w:rsidRDefault="000F2554" w:rsidP="00B72D1B">
      <w:pPr>
        <w:pStyle w:val="Citas"/>
        <w:numPr>
          <w:ilvl w:val="0"/>
          <w:numId w:val="13"/>
        </w:numPr>
        <w:rPr>
          <w:rStyle w:val="markedcontent"/>
        </w:rPr>
      </w:pPr>
      <w:r w:rsidRPr="00B72D1B">
        <w:rPr>
          <w:rStyle w:val="markedcontent"/>
        </w:rPr>
        <w:t xml:space="preserve">Declarar la prescripción o caducidad del crédito fiscal, previo ejercicio de las acciones legales que correspondan; </w:t>
      </w:r>
    </w:p>
    <w:p w14:paraId="30655A62" w14:textId="77777777" w:rsidR="0015319B" w:rsidRPr="0015319B" w:rsidRDefault="000F2554" w:rsidP="002B0E29">
      <w:pPr>
        <w:pStyle w:val="Citas"/>
        <w:numPr>
          <w:ilvl w:val="0"/>
          <w:numId w:val="13"/>
        </w:numPr>
        <w:rPr>
          <w:rStyle w:val="markedcontent"/>
          <w:b/>
          <w:bCs/>
          <w:u w:val="single"/>
        </w:rPr>
      </w:pPr>
      <w:r w:rsidRPr="00B72D1B">
        <w:rPr>
          <w:rStyle w:val="markedcontent"/>
        </w:rPr>
        <w:t xml:space="preserve">Establecer y mantener actualizado el padrón de usuarios de los servicios de conducción, suministro y distribución de agua en bloque, cloración y tratamiento de aguas residuales; </w:t>
      </w:r>
    </w:p>
    <w:p w14:paraId="56D86E7C" w14:textId="301BAA69" w:rsidR="000F2554" w:rsidRPr="0015319B" w:rsidRDefault="000F2554" w:rsidP="002B0E29">
      <w:pPr>
        <w:pStyle w:val="Citas"/>
        <w:numPr>
          <w:ilvl w:val="0"/>
          <w:numId w:val="13"/>
        </w:numPr>
        <w:rPr>
          <w:rStyle w:val="markedcontent"/>
          <w:b/>
          <w:bCs/>
          <w:u w:val="single"/>
        </w:rPr>
      </w:pPr>
      <w:r w:rsidRPr="0015319B">
        <w:rPr>
          <w:rStyle w:val="markedcontent"/>
          <w:b/>
          <w:bCs/>
          <w:u w:val="single"/>
        </w:rPr>
        <w:lastRenderedPageBreak/>
        <w:t xml:space="preserve">Instruir acciones tendientes a la cobranza por los servicios prestados por la Comisión, estableciendo medidas para el aseguramiento del cobro de los créditos fiscales a favor del Organismo; </w:t>
      </w:r>
    </w:p>
    <w:p w14:paraId="7064E481" w14:textId="77777777" w:rsidR="000F2554" w:rsidRPr="00B72D1B" w:rsidRDefault="000F2554" w:rsidP="00B72D1B">
      <w:pPr>
        <w:pStyle w:val="Citas"/>
        <w:numPr>
          <w:ilvl w:val="0"/>
          <w:numId w:val="13"/>
        </w:numPr>
        <w:rPr>
          <w:rStyle w:val="markedcontent"/>
        </w:rPr>
      </w:pPr>
      <w:r w:rsidRPr="00B72D1B">
        <w:rPr>
          <w:rStyle w:val="markedcontent"/>
        </w:rPr>
        <w:t xml:space="preserve">Coordinar el proceso de Mejora Regulatoria de la Comisión y supervisar su cumplimiento; </w:t>
      </w:r>
    </w:p>
    <w:p w14:paraId="7108CD79" w14:textId="77777777" w:rsidR="000F2554" w:rsidRPr="00B72D1B" w:rsidRDefault="000F2554" w:rsidP="00B72D1B">
      <w:pPr>
        <w:pStyle w:val="Citas"/>
        <w:numPr>
          <w:ilvl w:val="0"/>
          <w:numId w:val="13"/>
        </w:numPr>
        <w:rPr>
          <w:rStyle w:val="markedcontent"/>
        </w:rPr>
      </w:pPr>
      <w:r w:rsidRPr="00B72D1B">
        <w:rPr>
          <w:rStyle w:val="markedcontent"/>
        </w:rPr>
        <w:t>Presidir los comités de Adquisiciones y de Servicios; y de Arrendamientos, Adquisiciones de Inmuebles y Enajenaciones de la Comisión, de conformidad con las disposiciones jurídicas aplicables, y</w:t>
      </w:r>
    </w:p>
    <w:p w14:paraId="1664A2F2" w14:textId="491A815C" w:rsidR="000F2554" w:rsidRPr="00B72D1B" w:rsidRDefault="000F2554" w:rsidP="00B72D1B">
      <w:pPr>
        <w:pStyle w:val="Citas"/>
        <w:numPr>
          <w:ilvl w:val="0"/>
          <w:numId w:val="13"/>
        </w:numPr>
      </w:pPr>
      <w:r w:rsidRPr="00B72D1B">
        <w:rPr>
          <w:rStyle w:val="markedcontent"/>
        </w:rPr>
        <w:t>Las demás que le confieran otras disposiciones jurídicas aplicables y aquellas que le encomiende el Vocal Ejecutivo.</w:t>
      </w:r>
      <w:bookmarkEnd w:id="1"/>
      <w:r w:rsidR="00B72D1B">
        <w:rPr>
          <w:rStyle w:val="markedcontent"/>
        </w:rPr>
        <w:t xml:space="preserve">” </w:t>
      </w:r>
      <w:r w:rsidR="00B72D1B">
        <w:rPr>
          <w:rStyle w:val="markedcontent"/>
          <w:b/>
          <w:bCs/>
        </w:rPr>
        <w:t xml:space="preserve">[Sic] </w:t>
      </w:r>
    </w:p>
    <w:p w14:paraId="0C2CAB14" w14:textId="0FC87D7E" w:rsidR="000F2554" w:rsidRDefault="000F2554" w:rsidP="009C5799">
      <w:pPr>
        <w:autoSpaceDE w:val="0"/>
        <w:autoSpaceDN w:val="0"/>
        <w:adjustRightInd w:val="0"/>
        <w:spacing w:before="240" w:line="360" w:lineRule="auto"/>
        <w:jc w:val="both"/>
        <w:rPr>
          <w:rFonts w:ascii="Palatino Linotype" w:hAnsi="Palatino Linotype" w:cs="Arial"/>
          <w:sz w:val="24"/>
          <w:szCs w:val="24"/>
        </w:rPr>
      </w:pPr>
    </w:p>
    <w:p w14:paraId="66A908B8" w14:textId="73E6AF32" w:rsidR="002D4C5A" w:rsidRPr="002D4C5A" w:rsidRDefault="002D4C5A" w:rsidP="002D4C5A">
      <w:pPr>
        <w:pStyle w:val="infoem0"/>
        <w:jc w:val="center"/>
        <w:rPr>
          <w:b/>
        </w:rPr>
      </w:pPr>
      <w:r w:rsidRPr="002D4C5A">
        <w:rPr>
          <w:b/>
          <w:sz w:val="24"/>
        </w:rPr>
        <w:t>Código Financiero del Estado de México y Municipios</w:t>
      </w:r>
    </w:p>
    <w:p w14:paraId="66844CF5" w14:textId="423D23A4" w:rsidR="002D4C5A" w:rsidRDefault="002D4C5A" w:rsidP="002D4C5A">
      <w:pPr>
        <w:pStyle w:val="Citas"/>
      </w:pPr>
      <w:r>
        <w:t xml:space="preserve">“Artículo 342.-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298FAEF9" w14:textId="7C894365" w:rsidR="002D4C5A" w:rsidRDefault="002D4C5A" w:rsidP="002D4C5A">
      <w:pPr>
        <w:pStyle w:val="Citas"/>
      </w:pPr>
      <w: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2E9B2089" w14:textId="77777777" w:rsidR="002D4C5A" w:rsidRDefault="002D4C5A" w:rsidP="002D4C5A">
      <w:pPr>
        <w:pStyle w:val="Citas"/>
      </w:pPr>
      <w:r>
        <w:lastRenderedPageBreak/>
        <w:t xml:space="preserve">Artículo 343.-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FBA8C0F" w14:textId="103BF074" w:rsidR="002D4C5A" w:rsidRDefault="002D4C5A" w:rsidP="002D4C5A">
      <w:pPr>
        <w:pStyle w:val="Citas"/>
      </w:pPr>
      <w:r>
        <w:t xml:space="preserve">El sistema de contabilidad sobre base acumulativa total se sustentará en los postulados básicos y el marco conceptual de la contabilidad gubernamental. </w:t>
      </w:r>
    </w:p>
    <w:p w14:paraId="404C5499" w14:textId="77777777" w:rsidR="002D4C5A" w:rsidRDefault="002D4C5A" w:rsidP="002D4C5A">
      <w:pPr>
        <w:pStyle w:val="Citas"/>
      </w:pPr>
      <w:r>
        <w:t>Artículo 344.-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p>
    <w:p w14:paraId="495E96FC" w14:textId="77777777" w:rsidR="002D4C5A" w:rsidRDefault="002D4C5A" w:rsidP="002D4C5A">
      <w:pPr>
        <w:pStyle w:val="Citas"/>
      </w:pPr>
      <w:r>
        <w:t xml:space="preserve"> Derogado.</w:t>
      </w:r>
    </w:p>
    <w:p w14:paraId="575EB2B3" w14:textId="77777777" w:rsidR="002D4C5A" w:rsidRDefault="002D4C5A" w:rsidP="002D4C5A">
      <w:pPr>
        <w:pStyle w:val="Citas"/>
      </w:pPr>
      <w:r>
        <w:t xml:space="preserve"> 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7135AA6E" w14:textId="66FA6254" w:rsidR="002D4C5A" w:rsidRDefault="002D4C5A" w:rsidP="002D4C5A">
      <w:pPr>
        <w:pStyle w:val="Citas"/>
      </w:pPr>
      <w:r>
        <w:t xml:space="preserve">Tratándose de documentos de carácter histórico, se estará a lo dispuesto por la legislación de la materia. </w:t>
      </w:r>
    </w:p>
    <w:p w14:paraId="2DA1B9E6" w14:textId="77777777" w:rsidR="002D4C5A" w:rsidRDefault="002D4C5A" w:rsidP="002D4C5A">
      <w:pPr>
        <w:pStyle w:val="Citas"/>
      </w:pPr>
      <w:r>
        <w:lastRenderedPageBreak/>
        <w:t xml:space="preserve">Artículo 345.-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590D1D6F" w14:textId="4ABADAAC" w:rsidR="002D4C5A" w:rsidRPr="002D4C5A" w:rsidRDefault="002D4C5A" w:rsidP="002D4C5A">
      <w:pPr>
        <w:pStyle w:val="Citas"/>
        <w:rPr>
          <w:b/>
          <w:sz w:val="24"/>
          <w:szCs w:val="24"/>
        </w:rPr>
      </w:pPr>
      <w:r>
        <w:t xml:space="preserve">El plazo señalado en el párrafo anterior, empezará a contar a partir de la publicación en el Periódico Oficial, del decreto correspondiente” </w:t>
      </w:r>
      <w:r>
        <w:rPr>
          <w:b/>
        </w:rPr>
        <w:t xml:space="preserve">[Sic] </w:t>
      </w:r>
    </w:p>
    <w:p w14:paraId="10E624E8" w14:textId="77777777" w:rsidR="002D4C5A" w:rsidRDefault="002D4C5A" w:rsidP="009C5799">
      <w:pPr>
        <w:autoSpaceDE w:val="0"/>
        <w:autoSpaceDN w:val="0"/>
        <w:adjustRightInd w:val="0"/>
        <w:spacing w:before="240" w:line="360" w:lineRule="auto"/>
        <w:jc w:val="both"/>
        <w:rPr>
          <w:rFonts w:ascii="Palatino Linotype" w:hAnsi="Palatino Linotype" w:cs="Arial"/>
          <w:sz w:val="24"/>
          <w:szCs w:val="24"/>
        </w:rPr>
      </w:pPr>
    </w:p>
    <w:p w14:paraId="1982F290" w14:textId="2E8B589B" w:rsidR="000F2554" w:rsidRDefault="00DB2772" w:rsidP="009C579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a toda luz se desprende que la Dirección de Administración y Finanzas regula todas las aristas vinculadas con ingresos, cobranza, créditos fiscales, recargos y multas, entre otros. </w:t>
      </w:r>
    </w:p>
    <w:p w14:paraId="32D3107F" w14:textId="33BCD6DD" w:rsidR="00DB2772" w:rsidRDefault="00DB2772" w:rsidP="009C5799">
      <w:pPr>
        <w:autoSpaceDE w:val="0"/>
        <w:autoSpaceDN w:val="0"/>
        <w:adjustRightInd w:val="0"/>
        <w:spacing w:before="240" w:line="360" w:lineRule="auto"/>
        <w:jc w:val="both"/>
        <w:rPr>
          <w:rFonts w:ascii="Palatino Linotype" w:hAnsi="Palatino Linotype"/>
          <w:sz w:val="24"/>
          <w:szCs w:val="24"/>
        </w:rPr>
      </w:pPr>
      <w:r w:rsidRPr="00DB2772">
        <w:rPr>
          <w:rFonts w:ascii="Palatino Linotype" w:hAnsi="Palatino Linotype" w:cs="Arial"/>
          <w:sz w:val="24"/>
          <w:szCs w:val="24"/>
        </w:rPr>
        <w:t xml:space="preserve">De forma complementaria, resulta de nuestro más amplio interés traer a colación los </w:t>
      </w:r>
      <w:r w:rsidRPr="00DB2772">
        <w:rPr>
          <w:rFonts w:ascii="Palatino Linotype" w:hAnsi="Palatino Linotype"/>
          <w:sz w:val="24"/>
          <w:szCs w:val="24"/>
        </w:rPr>
        <w:t>artículos 24, fracción XII y 92, fracción</w:t>
      </w:r>
      <w:r>
        <w:rPr>
          <w:rFonts w:ascii="Palatino Linotype" w:hAnsi="Palatino Linotype"/>
          <w:sz w:val="24"/>
          <w:szCs w:val="24"/>
        </w:rPr>
        <w:t xml:space="preserve"> </w:t>
      </w:r>
      <w:r w:rsidR="002F700B">
        <w:rPr>
          <w:rFonts w:ascii="Palatino Linotype" w:hAnsi="Palatino Linotype"/>
          <w:sz w:val="24"/>
          <w:szCs w:val="24"/>
        </w:rPr>
        <w:t xml:space="preserve">XLVII de la Ley de Transparencia y Acceso a la Información Pública del Estado de México y Municipios, porciones normativas que disponen a la literalidad lo siguiente: </w:t>
      </w:r>
    </w:p>
    <w:p w14:paraId="3A6418BA" w14:textId="214239F7" w:rsidR="00BE0F79" w:rsidRPr="00BE0F79" w:rsidRDefault="00BE0F79" w:rsidP="00BE0F79">
      <w:pPr>
        <w:pStyle w:val="Citas"/>
      </w:pPr>
      <w:r w:rsidRPr="00BE0F79">
        <w:t>“Artículo 24. Para el cumplimiento de los objetivos de esta Ley, los sujetos obligados deberán cumplir con las siguientes obligaciones, según corresponda, de acuerdo a su naturaleza:</w:t>
      </w:r>
    </w:p>
    <w:p w14:paraId="2D15602D" w14:textId="77777777" w:rsidR="00BE0F79" w:rsidRPr="00BE0F79" w:rsidRDefault="00BE0F79" w:rsidP="00BE0F79">
      <w:pPr>
        <w:pStyle w:val="Citas"/>
      </w:pPr>
      <w:r w:rsidRPr="00BE0F79">
        <w:t>(…)</w:t>
      </w:r>
    </w:p>
    <w:p w14:paraId="28177890" w14:textId="77777777" w:rsidR="00BE0F79" w:rsidRPr="00BE0F79" w:rsidRDefault="00BE0F79" w:rsidP="00BE0F79">
      <w:pPr>
        <w:pStyle w:val="Citas"/>
      </w:pPr>
      <w:r w:rsidRPr="00BE0F79">
        <w:lastRenderedPageBreak/>
        <w:t>XII. Publicar y mantener actualizada la información relativa a las obligaciones generales de transparencia previstas en la presente Ley o determinadas así por el Instituto, y en general aquella que sea de interés público;</w:t>
      </w:r>
    </w:p>
    <w:p w14:paraId="2778FA77" w14:textId="77777777" w:rsidR="00BE0F79" w:rsidRPr="00BE0F79" w:rsidRDefault="00BE0F79" w:rsidP="00BE0F79">
      <w:pPr>
        <w:pStyle w:val="Citas"/>
      </w:pPr>
      <w:r w:rsidRPr="00BE0F79">
        <w:t>(…)</w:t>
      </w:r>
    </w:p>
    <w:p w14:paraId="672D6C03" w14:textId="77777777" w:rsidR="00BE0F79" w:rsidRPr="00BE0F79" w:rsidRDefault="00BE0F79" w:rsidP="00BE0F79">
      <w:pPr>
        <w:pStyle w:val="Citas"/>
      </w:pPr>
      <w:r w:rsidRPr="00BE0F79">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495A58D" w14:textId="04B66E9C" w:rsidR="00BE0F79" w:rsidRDefault="00BE0F79" w:rsidP="00BE0F79">
      <w:pPr>
        <w:pStyle w:val="Citas"/>
      </w:pPr>
      <w:r w:rsidRPr="00BE0F79">
        <w:t>(…)</w:t>
      </w:r>
    </w:p>
    <w:p w14:paraId="65BDFAC9" w14:textId="7D0F32C5" w:rsidR="00BE0F79" w:rsidRDefault="00BE0F79" w:rsidP="00BE0F79">
      <w:pPr>
        <w:pStyle w:val="Citas"/>
        <w:rPr>
          <w:b/>
          <w:bCs/>
          <w:u w:val="single"/>
        </w:rPr>
      </w:pPr>
      <w:r w:rsidRPr="00BE0F79">
        <w:rPr>
          <w:b/>
          <w:bCs/>
          <w:u w:val="single"/>
        </w:rPr>
        <w:t>XLVII. Los ingresos recibidos por cualquier concepto señalando el nombre de los responsables de recibirlos, administrarlos y ejercerlos, indicando el destino de cada uno de ellos;</w:t>
      </w:r>
    </w:p>
    <w:p w14:paraId="4B1BB876" w14:textId="5100C506" w:rsidR="00BE0F79" w:rsidRDefault="00BE0F79" w:rsidP="00BE0F79">
      <w:pPr>
        <w:pStyle w:val="Citas"/>
        <w:rPr>
          <w:b/>
          <w:bCs/>
        </w:rPr>
      </w:pPr>
      <w:r w:rsidRPr="00BE0F79">
        <w:t>(…)”</w:t>
      </w:r>
      <w:r>
        <w:t xml:space="preserve"> </w:t>
      </w:r>
      <w:r>
        <w:rPr>
          <w:b/>
          <w:bCs/>
        </w:rPr>
        <w:t xml:space="preserve">[Sic] </w:t>
      </w:r>
    </w:p>
    <w:p w14:paraId="259352BE" w14:textId="1FDA1B84" w:rsidR="00BE0F79" w:rsidRDefault="00BE0F79" w:rsidP="00BE0F79">
      <w:pPr>
        <w:pStyle w:val="Citas"/>
        <w:ind w:left="0"/>
      </w:pPr>
    </w:p>
    <w:p w14:paraId="2B860507" w14:textId="77777777" w:rsidR="00BE0F79" w:rsidRPr="00303BAD" w:rsidRDefault="00BE0F79" w:rsidP="00BE0F79">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4F7BBAD4" w14:textId="77777777" w:rsidR="00BE0F79" w:rsidRPr="00303BAD" w:rsidRDefault="006D5427" w:rsidP="00BE0F79">
      <w:pPr>
        <w:pStyle w:val="Prrafodelista"/>
        <w:autoSpaceDE w:val="0"/>
        <w:autoSpaceDN w:val="0"/>
        <w:adjustRightInd w:val="0"/>
        <w:spacing w:before="240" w:after="160" w:line="360" w:lineRule="auto"/>
        <w:ind w:left="0"/>
        <w:jc w:val="both"/>
        <w:rPr>
          <w:rFonts w:ascii="Palatino Linotype" w:hAnsi="Palatino Linotype"/>
          <w:bCs/>
        </w:rPr>
      </w:pPr>
      <w:hyperlink r:id="rId11" w:history="1">
        <w:r w:rsidR="00BE0F79" w:rsidRPr="00303BAD">
          <w:rPr>
            <w:rStyle w:val="Hipervnculo"/>
            <w:rFonts w:ascii="Palatino Linotype" w:hAnsi="Palatino Linotype"/>
            <w:bCs/>
          </w:rPr>
          <w:t>https://www.infoem.org.mx/es/contenido/transparencia/directorio-de-sujetos-obligados</w:t>
        </w:r>
      </w:hyperlink>
      <w:r w:rsidR="00BE0F79" w:rsidRPr="00303BAD">
        <w:rPr>
          <w:rFonts w:ascii="Palatino Linotype" w:hAnsi="Palatino Linotype"/>
          <w:bCs/>
        </w:rPr>
        <w:t xml:space="preserve"> </w:t>
      </w:r>
    </w:p>
    <w:p w14:paraId="662176C8" w14:textId="10FD2599" w:rsidR="002F700B" w:rsidRDefault="00964DA7" w:rsidP="00964DA7">
      <w:pPr>
        <w:pStyle w:val="Citas"/>
        <w:ind w:left="0"/>
        <w:rPr>
          <w:sz w:val="24"/>
          <w:szCs w:val="24"/>
        </w:rPr>
      </w:pPr>
      <w:r>
        <w:rPr>
          <w:noProof/>
          <w:sz w:val="24"/>
          <w:szCs w:val="24"/>
          <w:lang w:eastAsia="es-MX"/>
        </w:rPr>
        <w:lastRenderedPageBreak/>
        <w:drawing>
          <wp:anchor distT="0" distB="0" distL="114300" distR="114300" simplePos="0" relativeHeight="251749364" behindDoc="0" locked="0" layoutInCell="1" allowOverlap="1" wp14:anchorId="233CD9C0" wp14:editId="2F51C5C1">
            <wp:simplePos x="0" y="0"/>
            <wp:positionH relativeFrom="column">
              <wp:posOffset>-52130</wp:posOffset>
            </wp:positionH>
            <wp:positionV relativeFrom="paragraph">
              <wp:posOffset>3723005</wp:posOffset>
            </wp:positionV>
            <wp:extent cx="5758815" cy="3553460"/>
            <wp:effectExtent l="19050" t="19050" r="13335" b="27940"/>
            <wp:wrapThrough wrapText="bothSides">
              <wp:wrapPolygon edited="0">
                <wp:start x="-71" y="-116"/>
                <wp:lineTo x="-71" y="21654"/>
                <wp:lineTo x="21579" y="21654"/>
                <wp:lineTo x="21579" y="-116"/>
                <wp:lineTo x="-71" y="-116"/>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815" cy="35534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47A9B">
        <w:rPr>
          <w:i w:val="0"/>
          <w:iCs/>
          <w:noProof/>
          <w:sz w:val="24"/>
          <w:szCs w:val="24"/>
          <w:lang w:eastAsia="es-MX"/>
        </w:rPr>
        <w:drawing>
          <wp:anchor distT="0" distB="0" distL="114300" distR="114300" simplePos="0" relativeHeight="251750389" behindDoc="0" locked="0" layoutInCell="1" allowOverlap="1" wp14:anchorId="3BC76FB8" wp14:editId="7E7E5A4D">
            <wp:simplePos x="0" y="0"/>
            <wp:positionH relativeFrom="column">
              <wp:posOffset>-49530</wp:posOffset>
            </wp:positionH>
            <wp:positionV relativeFrom="paragraph">
              <wp:posOffset>19206</wp:posOffset>
            </wp:positionV>
            <wp:extent cx="5708015" cy="3531870"/>
            <wp:effectExtent l="19050" t="19050" r="26035" b="11430"/>
            <wp:wrapThrough wrapText="bothSides">
              <wp:wrapPolygon edited="0">
                <wp:start x="-72" y="-117"/>
                <wp:lineTo x="-72" y="21553"/>
                <wp:lineTo x="21626" y="21553"/>
                <wp:lineTo x="21626" y="-117"/>
                <wp:lineTo x="-72" y="-117"/>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8015" cy="35318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8696BF0" w14:textId="58E0B4E6" w:rsidR="00403A1E" w:rsidRPr="00CD783C" w:rsidRDefault="00CD783C" w:rsidP="009C579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Con base en lo anteriormente expuesto, se desprende que la esfera competencial del </w:t>
      </w:r>
      <w:r>
        <w:rPr>
          <w:rFonts w:ascii="Palatino Linotype" w:hAnsi="Palatino Linotype"/>
          <w:b/>
          <w:bCs/>
          <w:sz w:val="24"/>
          <w:szCs w:val="24"/>
        </w:rPr>
        <w:t xml:space="preserve">Sujeto Obligado </w:t>
      </w:r>
      <w:r>
        <w:rPr>
          <w:rFonts w:ascii="Palatino Linotype" w:hAnsi="Palatino Linotype"/>
          <w:sz w:val="24"/>
          <w:szCs w:val="24"/>
        </w:rPr>
        <w:t xml:space="preserve">le constriñe a generar, poseer y administrar la información requerida. Asimismo, es de destacar que la información requerida estriba de forma parcial dentro de las obligaciones de transparencia común previstas en el numeral 92 de la Ley de Transparencia Local. </w:t>
      </w:r>
    </w:p>
    <w:p w14:paraId="44AAD962" w14:textId="1A4BF80D" w:rsidR="002F700B" w:rsidRDefault="00CD783C" w:rsidP="009C579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Ahora bien, como se mencionó en el antecedente segundo, </w:t>
      </w:r>
      <w:r>
        <w:rPr>
          <w:rFonts w:ascii="Palatino Linotype" w:hAnsi="Palatino Linotype"/>
          <w:b/>
          <w:bCs/>
          <w:sz w:val="24"/>
          <w:szCs w:val="24"/>
        </w:rPr>
        <w:t xml:space="preserve">El Sujeto Obligado </w:t>
      </w:r>
      <w:r>
        <w:rPr>
          <w:rFonts w:ascii="Palatino Linotype" w:hAnsi="Palatino Linotype"/>
          <w:sz w:val="24"/>
          <w:szCs w:val="24"/>
        </w:rPr>
        <w:t xml:space="preserve">en fecha veintidós de septiembre de dos mil veintiuno, rindió su respuesta a la solicitud de información formulada por el particular, adjuntando para tal efecto lo siguiente: </w:t>
      </w:r>
    </w:p>
    <w:p w14:paraId="1A785876" w14:textId="19BED0F3" w:rsidR="004512DF" w:rsidRPr="008A0A23" w:rsidRDefault="00CD783C" w:rsidP="00C9700F">
      <w:pPr>
        <w:pStyle w:val="Prrafodelista"/>
        <w:numPr>
          <w:ilvl w:val="0"/>
          <w:numId w:val="15"/>
        </w:numPr>
        <w:autoSpaceDE w:val="0"/>
        <w:autoSpaceDN w:val="0"/>
        <w:adjustRightInd w:val="0"/>
        <w:spacing w:before="240" w:line="360" w:lineRule="auto"/>
        <w:jc w:val="both"/>
        <w:rPr>
          <w:rFonts w:ascii="Palatino Linotype" w:hAnsi="Palatino Linotype"/>
          <w:b/>
          <w:bCs/>
        </w:rPr>
      </w:pPr>
      <w:r>
        <w:rPr>
          <w:rFonts w:ascii="Palatino Linotype" w:hAnsi="Palatino Linotype"/>
          <w:b/>
          <w:bCs/>
        </w:rPr>
        <w:t>“</w:t>
      </w:r>
      <w:r w:rsidR="005305C0">
        <w:rPr>
          <w:rFonts w:ascii="Palatino Linotype" w:hAnsi="Palatino Linotype"/>
          <w:b/>
          <w:bCs/>
        </w:rPr>
        <w:t xml:space="preserve">Anexo IV 13-09-2021-143725.pdf”: </w:t>
      </w:r>
      <w:r w:rsidR="005305C0">
        <w:rPr>
          <w:rFonts w:ascii="Palatino Linotype" w:hAnsi="Palatino Linotype"/>
        </w:rPr>
        <w:t xml:space="preserve">Oficio número </w:t>
      </w:r>
      <w:r w:rsidR="005305C0">
        <w:rPr>
          <w:rFonts w:ascii="Palatino Linotype" w:hAnsi="Palatino Linotype"/>
          <w:b/>
          <w:bCs/>
        </w:rPr>
        <w:t xml:space="preserve">219C0117L/1422/2021 </w:t>
      </w:r>
      <w:r w:rsidR="005305C0">
        <w:rPr>
          <w:rFonts w:ascii="Palatino Linotype" w:hAnsi="Palatino Linotype"/>
        </w:rPr>
        <w:t xml:space="preserve">signado por el Director General de Administración y Finanzas y dirigido al Jefe de la Unidad de Información, Planeación, Programación y Evaluación y Titular de la Unidad de Transparencia, </w:t>
      </w:r>
      <w:r w:rsidR="002E1E52">
        <w:rPr>
          <w:rFonts w:ascii="Palatino Linotype" w:hAnsi="Palatino Linotype"/>
        </w:rPr>
        <w:t xml:space="preserve">de fecha </w:t>
      </w:r>
      <w:r w:rsidR="00C9700F">
        <w:rPr>
          <w:rFonts w:ascii="Palatino Linotype" w:hAnsi="Palatino Linotype"/>
        </w:rPr>
        <w:t xml:space="preserve">seis de septiembre de dos mil veintiuno, </w:t>
      </w:r>
      <w:r w:rsidR="005305C0">
        <w:rPr>
          <w:rFonts w:ascii="Palatino Linotype" w:hAnsi="Palatino Linotype"/>
        </w:rPr>
        <w:t xml:space="preserve">en lo medular señala </w:t>
      </w:r>
      <w:r w:rsidR="00C9700F">
        <w:rPr>
          <w:rFonts w:ascii="Palatino Linotype" w:hAnsi="Palatino Linotype"/>
        </w:rPr>
        <w:t xml:space="preserve">que la información requerida es susceptible de actualizar la causal de reserva inmersa en el numeral 140, fracción V de la Ley de Transparencia local </w:t>
      </w:r>
      <w:r w:rsidR="00C9700F">
        <w:rPr>
          <w:rFonts w:ascii="Palatino Linotype" w:hAnsi="Palatino Linotype"/>
          <w:b/>
          <w:bCs/>
        </w:rPr>
        <w:t xml:space="preserve">-perjuicio a las actividades de fiscalización, verificación, inspección, comprobación y auditoria; así como la que obstruya la recaudación de contribuciones-, </w:t>
      </w:r>
      <w:r w:rsidR="00C9700F">
        <w:rPr>
          <w:rFonts w:ascii="Palatino Linotype" w:hAnsi="Palatino Linotype"/>
        </w:rPr>
        <w:t xml:space="preserve">proponiendo la clasificación de la información por un periodo de 5 -cinco- años.  </w:t>
      </w:r>
    </w:p>
    <w:p w14:paraId="71EE5CF2" w14:textId="283F9652" w:rsidR="002E1E52" w:rsidRPr="002E1E52" w:rsidRDefault="002E1E52" w:rsidP="002C2241">
      <w:pPr>
        <w:pStyle w:val="Prrafodelista"/>
        <w:numPr>
          <w:ilvl w:val="0"/>
          <w:numId w:val="15"/>
        </w:numPr>
        <w:shd w:val="clear" w:color="auto" w:fill="FFFFFF"/>
        <w:autoSpaceDE w:val="0"/>
        <w:autoSpaceDN w:val="0"/>
        <w:adjustRightInd w:val="0"/>
        <w:spacing w:before="240" w:line="360" w:lineRule="auto"/>
        <w:jc w:val="both"/>
        <w:rPr>
          <w:rFonts w:ascii="HelveticaNeueLT Std" w:hAnsi="HelveticaNeueLT Std" w:cs="Arial"/>
          <w:color w:val="222222"/>
          <w:sz w:val="20"/>
          <w:szCs w:val="20"/>
          <w:lang w:val="es-MX"/>
        </w:rPr>
      </w:pPr>
      <w:r w:rsidRPr="002E1E52">
        <w:rPr>
          <w:rFonts w:ascii="Palatino Linotype" w:hAnsi="Palatino Linotype"/>
          <w:b/>
          <w:bCs/>
          <w:lang w:val="es-MX"/>
        </w:rPr>
        <w:t xml:space="preserve">“00177 res.docx”: </w:t>
      </w:r>
      <w:r w:rsidRPr="002E1E52">
        <w:rPr>
          <w:rFonts w:ascii="Palatino Linotype" w:hAnsi="Palatino Linotype"/>
          <w:lang w:val="es-MX"/>
        </w:rPr>
        <w:t xml:space="preserve">Oficio </w:t>
      </w:r>
      <w:r w:rsidRPr="002E1E52">
        <w:rPr>
          <w:rFonts w:ascii="Palatino Linotype" w:hAnsi="Palatino Linotype" w:cs="Arial"/>
          <w:b/>
          <w:bCs/>
          <w:color w:val="000000"/>
          <w:lang w:val="es-MX"/>
        </w:rPr>
        <w:t xml:space="preserve">219C0110000301S/00284/2021 </w:t>
      </w:r>
      <w:r w:rsidRPr="002E1E52">
        <w:rPr>
          <w:rFonts w:ascii="Palatino Linotype" w:hAnsi="Palatino Linotype" w:cs="Arial"/>
          <w:color w:val="000000"/>
          <w:lang w:val="es-MX"/>
        </w:rPr>
        <w:t>signado por</w:t>
      </w:r>
      <w:r>
        <w:rPr>
          <w:rFonts w:ascii="Palatino Linotype" w:hAnsi="Palatino Linotype" w:cs="Arial"/>
          <w:color w:val="000000"/>
          <w:lang w:val="es-MX"/>
        </w:rPr>
        <w:t xml:space="preserve"> el Jefe de la Unidad de Información, Planeación, Programación y Evaluación y Titular de la Unidad de Transparencia y dirigido al particular, en lo medular refiere que el Titular de la Dirección de Administración y Finanzas presentó proyecto de </w:t>
      </w:r>
      <w:r>
        <w:rPr>
          <w:rFonts w:ascii="Palatino Linotype" w:hAnsi="Palatino Linotype" w:cs="Arial"/>
          <w:color w:val="000000"/>
          <w:lang w:val="es-MX"/>
        </w:rPr>
        <w:lastRenderedPageBreak/>
        <w:t xml:space="preserve">clasificación como reservada, respecto de la información requerida mediante la solicitud de información </w:t>
      </w:r>
      <w:r w:rsidRPr="002E1E52">
        <w:rPr>
          <w:rFonts w:ascii="Palatino Linotype" w:hAnsi="Palatino Linotype" w:cs="Arial"/>
          <w:b/>
          <w:bCs/>
          <w:color w:val="000000"/>
          <w:lang w:val="es-MX"/>
        </w:rPr>
        <w:t>00177/</w:t>
      </w:r>
      <w:r>
        <w:rPr>
          <w:rFonts w:ascii="Palatino Linotype" w:hAnsi="Palatino Linotype" w:cs="Arial"/>
          <w:b/>
          <w:bCs/>
          <w:color w:val="000000"/>
          <w:lang w:val="es-MX"/>
        </w:rPr>
        <w:t xml:space="preserve">CAEM/IP/2021; </w:t>
      </w:r>
      <w:r>
        <w:rPr>
          <w:rFonts w:ascii="Palatino Linotype" w:hAnsi="Palatino Linotype" w:cs="Arial"/>
          <w:color w:val="000000"/>
          <w:lang w:val="es-MX"/>
        </w:rPr>
        <w:t xml:space="preserve">de fecha veintidós de septiembre de dos mil veintiuno. </w:t>
      </w:r>
    </w:p>
    <w:p w14:paraId="1CDEEFA5" w14:textId="77777777" w:rsidR="002E1E52" w:rsidRPr="002E1E52" w:rsidRDefault="002E1E52" w:rsidP="002E1E52">
      <w:pPr>
        <w:autoSpaceDE w:val="0"/>
        <w:autoSpaceDN w:val="0"/>
        <w:adjustRightInd w:val="0"/>
        <w:spacing w:before="240" w:line="360" w:lineRule="auto"/>
        <w:jc w:val="both"/>
      </w:pPr>
    </w:p>
    <w:p w14:paraId="582848D8" w14:textId="259E554A" w:rsidR="004668C1" w:rsidRDefault="00EF22EE" w:rsidP="00EF22EE">
      <w:pPr>
        <w:spacing w:after="240" w:line="360" w:lineRule="auto"/>
        <w:jc w:val="both"/>
        <w:rPr>
          <w:rFonts w:ascii="Palatino Linotype" w:hAnsi="Palatino Linotype"/>
          <w:noProof/>
          <w:sz w:val="24"/>
          <w:szCs w:val="24"/>
          <w:lang w:eastAsia="es-MX"/>
        </w:rPr>
      </w:pPr>
      <w:r w:rsidRPr="00EF22EE">
        <w:rPr>
          <w:rFonts w:ascii="Palatino Linotype" w:hAnsi="Palatino Linotype"/>
          <w:noProof/>
          <w:sz w:val="24"/>
          <w:szCs w:val="24"/>
          <w:lang w:eastAsia="es-MX"/>
        </w:rPr>
        <w:t xml:space="preserve">Bajo estas líneas argumentativas, </w:t>
      </w:r>
      <w:r w:rsidR="001D4438">
        <w:rPr>
          <w:rFonts w:ascii="Palatino Linotype" w:hAnsi="Palatino Linotype"/>
          <w:noProof/>
          <w:sz w:val="24"/>
          <w:szCs w:val="24"/>
          <w:lang w:eastAsia="es-MX"/>
        </w:rPr>
        <w:t>con relación a</w:t>
      </w:r>
      <w:r w:rsidR="004668C1">
        <w:rPr>
          <w:rFonts w:ascii="Palatino Linotype" w:hAnsi="Palatino Linotype"/>
          <w:noProof/>
          <w:sz w:val="24"/>
          <w:szCs w:val="24"/>
          <w:lang w:eastAsia="es-MX"/>
        </w:rPr>
        <w:t xml:space="preserve"> los </w:t>
      </w:r>
      <w:r w:rsidRPr="00EF22EE">
        <w:rPr>
          <w:rFonts w:ascii="Palatino Linotype" w:hAnsi="Palatino Linotype"/>
          <w:noProof/>
          <w:sz w:val="24"/>
          <w:szCs w:val="24"/>
          <w:lang w:eastAsia="es-MX"/>
        </w:rPr>
        <w:t>documento</w:t>
      </w:r>
      <w:r w:rsidR="004668C1">
        <w:rPr>
          <w:rFonts w:ascii="Palatino Linotype" w:hAnsi="Palatino Linotype"/>
          <w:noProof/>
          <w:sz w:val="24"/>
          <w:szCs w:val="24"/>
          <w:lang w:eastAsia="es-MX"/>
        </w:rPr>
        <w:t>s</w:t>
      </w:r>
      <w:r w:rsidRPr="00EF22EE">
        <w:rPr>
          <w:rFonts w:ascii="Palatino Linotype" w:hAnsi="Palatino Linotype"/>
          <w:noProof/>
          <w:sz w:val="24"/>
          <w:szCs w:val="24"/>
          <w:lang w:eastAsia="es-MX"/>
        </w:rPr>
        <w:t xml:space="preserve"> </w:t>
      </w:r>
      <w:r w:rsidR="004668C1">
        <w:rPr>
          <w:rFonts w:ascii="Palatino Linotype" w:hAnsi="Palatino Linotype"/>
          <w:noProof/>
          <w:sz w:val="24"/>
          <w:szCs w:val="24"/>
          <w:lang w:eastAsia="es-MX"/>
        </w:rPr>
        <w:t>remitidos en respuesta primigenia</w:t>
      </w:r>
      <w:r w:rsidRPr="00EF22EE">
        <w:rPr>
          <w:rFonts w:ascii="Palatino Linotype" w:hAnsi="Palatino Linotype"/>
          <w:noProof/>
          <w:sz w:val="24"/>
          <w:szCs w:val="24"/>
          <w:lang w:eastAsia="es-MX"/>
        </w:rPr>
        <w:t xml:space="preserve">, </w:t>
      </w:r>
      <w:r w:rsidR="004668C1">
        <w:rPr>
          <w:rFonts w:ascii="Palatino Linotype" w:hAnsi="Palatino Linotype"/>
          <w:noProof/>
          <w:sz w:val="24"/>
          <w:szCs w:val="24"/>
          <w:lang w:eastAsia="es-MX"/>
        </w:rPr>
        <w:t xml:space="preserve">se desprenden las siguientes ideas medulares: </w:t>
      </w:r>
    </w:p>
    <w:p w14:paraId="15E52FA8" w14:textId="77777777" w:rsidR="007B3414" w:rsidRDefault="007B3414" w:rsidP="00BB739A">
      <w:pPr>
        <w:pStyle w:val="Prrafodelista"/>
        <w:numPr>
          <w:ilvl w:val="0"/>
          <w:numId w:val="18"/>
        </w:numPr>
        <w:spacing w:after="240" w:line="360" w:lineRule="auto"/>
        <w:jc w:val="both"/>
        <w:rPr>
          <w:rFonts w:ascii="Palatino Linotype" w:hAnsi="Palatino Linotype"/>
          <w:noProof/>
          <w:lang w:eastAsia="es-MX"/>
        </w:rPr>
      </w:pPr>
      <w:r>
        <w:rPr>
          <w:rFonts w:ascii="Palatino Linotype" w:hAnsi="Palatino Linotype"/>
          <w:noProof/>
          <w:lang w:eastAsia="es-MX"/>
        </w:rPr>
        <w:t>Que en términos de los numerales 342, 343, 344 y 345 del Código Financiero del Estado de México y Municipios, se establecen las políticas que deben seguirse para llevar los registros contables y presupuestales de las operaciones financieras, los cuales invariablemente deberán de ser soportados con los documentos comprobatorios originales.</w:t>
      </w:r>
    </w:p>
    <w:p w14:paraId="2644F54D" w14:textId="0718B108" w:rsidR="004668C1" w:rsidRPr="004668C1" w:rsidRDefault="001D4438" w:rsidP="00BB739A">
      <w:pPr>
        <w:pStyle w:val="Prrafodelista"/>
        <w:numPr>
          <w:ilvl w:val="0"/>
          <w:numId w:val="18"/>
        </w:numPr>
        <w:spacing w:before="240" w:after="240" w:line="360" w:lineRule="auto"/>
        <w:jc w:val="both"/>
        <w:rPr>
          <w:rFonts w:ascii="Palatino Linotype" w:hAnsi="Palatino Linotype"/>
          <w:b/>
        </w:rPr>
      </w:pPr>
      <w:r>
        <w:rPr>
          <w:rFonts w:ascii="Palatino Linotype" w:hAnsi="Palatino Linotype"/>
          <w:noProof/>
          <w:lang w:val="es-MX" w:eastAsia="es-MX"/>
        </w:rPr>
        <w:t>La</w:t>
      </w:r>
      <w:r w:rsidR="004668C1" w:rsidRPr="004668C1">
        <w:rPr>
          <w:rFonts w:ascii="Palatino Linotype" w:hAnsi="Palatino Linotype"/>
          <w:noProof/>
          <w:lang w:eastAsia="es-MX"/>
        </w:rPr>
        <w:t xml:space="preserve"> clasificación de la información </w:t>
      </w:r>
      <w:r w:rsidR="004668C1" w:rsidRPr="004668C1">
        <w:rPr>
          <w:rFonts w:ascii="Palatino Linotype" w:hAnsi="Palatino Linotype"/>
        </w:rPr>
        <w:t xml:space="preserve">es el proceso mediante el cual los </w:t>
      </w:r>
      <w:r w:rsidR="004668C1" w:rsidRPr="004668C1">
        <w:rPr>
          <w:rFonts w:ascii="Palatino Linotype" w:hAnsi="Palatino Linotype"/>
          <w:b/>
        </w:rPr>
        <w:t xml:space="preserve">Sujetos Obligados </w:t>
      </w:r>
      <w:r w:rsidR="004668C1" w:rsidRPr="004668C1">
        <w:rPr>
          <w:rFonts w:ascii="Palatino Linotype" w:hAnsi="Palatino Linotype"/>
        </w:rPr>
        <w:t xml:space="preserve">determinan que la información requerida actualiza alguno de los supuestos de confidencialidad </w:t>
      </w:r>
      <w:r w:rsidR="004668C1" w:rsidRPr="004668C1">
        <w:rPr>
          <w:rFonts w:ascii="Palatino Linotype" w:hAnsi="Palatino Linotype"/>
          <w:b/>
        </w:rPr>
        <w:t xml:space="preserve">o </w:t>
      </w:r>
      <w:r w:rsidR="004668C1" w:rsidRPr="004668C1">
        <w:rPr>
          <w:rFonts w:ascii="Palatino Linotype" w:hAnsi="Palatino Linotype"/>
          <w:b/>
          <w:u w:val="single"/>
        </w:rPr>
        <w:t>reserva,</w:t>
      </w:r>
      <w:r w:rsidR="004668C1" w:rsidRPr="004668C1">
        <w:rPr>
          <w:rFonts w:ascii="Palatino Linotype" w:hAnsi="Palatino Linotype"/>
          <w:b/>
        </w:rPr>
        <w:t xml:space="preserve"> </w:t>
      </w:r>
      <w:r w:rsidR="004668C1" w:rsidRPr="004668C1">
        <w:rPr>
          <w:rFonts w:ascii="Palatino Linotype" w:hAnsi="Palatino Linotype"/>
        </w:rPr>
        <w:t xml:space="preserve">de acuerdo con las bases y los principios inmersos en la normatividad aplicable. </w:t>
      </w:r>
    </w:p>
    <w:p w14:paraId="7AF0B82F" w14:textId="5D583E19" w:rsidR="004668C1" w:rsidRPr="004668C1" w:rsidRDefault="004668C1" w:rsidP="00BB739A">
      <w:pPr>
        <w:pStyle w:val="Prrafodelista"/>
        <w:numPr>
          <w:ilvl w:val="0"/>
          <w:numId w:val="18"/>
        </w:numPr>
        <w:spacing w:before="240" w:after="240" w:line="360" w:lineRule="auto"/>
        <w:jc w:val="both"/>
        <w:rPr>
          <w:rFonts w:ascii="Palatino Linotype" w:hAnsi="Palatino Linotype"/>
          <w:b/>
        </w:rPr>
      </w:pPr>
      <w:r>
        <w:rPr>
          <w:rFonts w:ascii="Palatino Linotype" w:hAnsi="Palatino Linotype"/>
          <w:bCs/>
        </w:rPr>
        <w:t xml:space="preserve">Que el numeral 140 de la Ley de Transparencia y Acceso a la Información del Estado de México y Municipios enlista de manera estricta y limitativa las causales de procedencia para clasificar soportes documentales como información reservada. </w:t>
      </w:r>
    </w:p>
    <w:p w14:paraId="35E47FD5" w14:textId="232BE327" w:rsidR="004668C1" w:rsidRDefault="001D4438" w:rsidP="00BB739A">
      <w:pPr>
        <w:pStyle w:val="Prrafodelista"/>
        <w:numPr>
          <w:ilvl w:val="0"/>
          <w:numId w:val="18"/>
        </w:numPr>
        <w:spacing w:after="240" w:line="360" w:lineRule="auto"/>
        <w:jc w:val="both"/>
        <w:rPr>
          <w:rFonts w:ascii="Palatino Linotype" w:hAnsi="Palatino Linotype"/>
          <w:noProof/>
          <w:lang w:eastAsia="es-MX"/>
        </w:rPr>
      </w:pPr>
      <w:r>
        <w:rPr>
          <w:rFonts w:ascii="Palatino Linotype" w:hAnsi="Palatino Linotype"/>
          <w:noProof/>
          <w:lang w:eastAsia="es-MX"/>
        </w:rPr>
        <w:t>Para</w:t>
      </w:r>
      <w:r w:rsidR="004668C1" w:rsidRPr="004668C1">
        <w:rPr>
          <w:rFonts w:ascii="Palatino Linotype" w:hAnsi="Palatino Linotype"/>
          <w:noProof/>
          <w:lang w:eastAsia="es-MX"/>
        </w:rPr>
        <w:t xml:space="preserve"> realizar la reserva de la información, no basta con invocar las causales previstas en la Ley de Transparencia local, sino que la valoración debe de </w:t>
      </w:r>
      <w:r w:rsidR="004668C1" w:rsidRPr="004668C1">
        <w:rPr>
          <w:rFonts w:ascii="Palatino Linotype" w:hAnsi="Palatino Linotype"/>
          <w:noProof/>
          <w:lang w:eastAsia="es-MX"/>
        </w:rPr>
        <w:lastRenderedPageBreak/>
        <w:t xml:space="preserve">realizarse a través de lo que se conoce como </w:t>
      </w:r>
      <w:r w:rsidR="004668C1" w:rsidRPr="004668C1">
        <w:rPr>
          <w:rFonts w:ascii="Palatino Linotype" w:hAnsi="Palatino Linotype"/>
          <w:b/>
          <w:bCs/>
          <w:noProof/>
          <w:lang w:eastAsia="es-MX"/>
        </w:rPr>
        <w:t xml:space="preserve">“prueba de daño”, </w:t>
      </w:r>
      <w:r w:rsidR="004668C1" w:rsidRPr="004668C1">
        <w:rPr>
          <w:rFonts w:ascii="Palatino Linotype" w:hAnsi="Palatino Linotype"/>
          <w:noProof/>
          <w:lang w:eastAsia="es-MX"/>
        </w:rPr>
        <w:t xml:space="preserve">que consiste en exponer </w:t>
      </w:r>
      <w:r w:rsidR="004668C1" w:rsidRPr="004668C1">
        <w:rPr>
          <w:rFonts w:ascii="Palatino Linotype" w:hAnsi="Palatino Linotype"/>
        </w:rPr>
        <w:t>los argumentos y razones, basados en elementos objetivos o verificables, a partir de los cuales se derive que la divulgación de información, en particular, puede afectar, poner en riesgo o dañar el interés</w:t>
      </w:r>
      <w:r w:rsidR="00947A9B">
        <w:rPr>
          <w:rFonts w:ascii="Palatino Linotype" w:hAnsi="Palatino Linotype"/>
        </w:rPr>
        <w:t xml:space="preserve"> protegido, resultando competencia de los </w:t>
      </w:r>
      <w:r w:rsidR="00947A9B">
        <w:rPr>
          <w:rFonts w:ascii="Palatino Linotype" w:hAnsi="Palatino Linotype"/>
          <w:b/>
        </w:rPr>
        <w:t xml:space="preserve">Sujetos Obligados. </w:t>
      </w:r>
    </w:p>
    <w:p w14:paraId="03EA771B" w14:textId="32C10D32" w:rsidR="001D4438" w:rsidRDefault="001D4438" w:rsidP="00BB739A">
      <w:pPr>
        <w:pStyle w:val="Prrafodelista"/>
        <w:numPr>
          <w:ilvl w:val="0"/>
          <w:numId w:val="18"/>
        </w:numPr>
        <w:spacing w:after="240" w:line="360" w:lineRule="auto"/>
        <w:jc w:val="both"/>
        <w:rPr>
          <w:rFonts w:ascii="Palatino Linotype" w:hAnsi="Palatino Linotype"/>
          <w:noProof/>
          <w:lang w:eastAsia="es-MX"/>
        </w:rPr>
      </w:pPr>
      <w:r>
        <w:rPr>
          <w:rFonts w:ascii="Palatino Linotype" w:hAnsi="Palatino Linotype"/>
          <w:noProof/>
          <w:lang w:eastAsia="es-MX"/>
        </w:rPr>
        <w:t xml:space="preserve">En el caso en particular </w:t>
      </w:r>
      <w:r>
        <w:rPr>
          <w:rFonts w:ascii="Palatino Linotype" w:hAnsi="Palatino Linotype"/>
          <w:b/>
          <w:bCs/>
          <w:noProof/>
          <w:lang w:eastAsia="es-MX"/>
        </w:rPr>
        <w:t xml:space="preserve">El Sujeto Obligado </w:t>
      </w:r>
      <w:r>
        <w:rPr>
          <w:rFonts w:ascii="Palatino Linotype" w:hAnsi="Palatino Linotype"/>
          <w:noProof/>
          <w:lang w:eastAsia="es-MX"/>
        </w:rPr>
        <w:t xml:space="preserve">se limitió a remitir una propuesta de clasificación emitida por el Director de Administración y Finanzas, es decir, la restricción del derecho de acceso a la información no fue discutida por el Comité de Transparencia, mucho menos aprobada por dicho órgano colegiado. </w:t>
      </w:r>
    </w:p>
    <w:p w14:paraId="005E392D" w14:textId="6053410B" w:rsidR="004668C1" w:rsidRDefault="001D4438" w:rsidP="00BB739A">
      <w:pPr>
        <w:pStyle w:val="Prrafodelista"/>
        <w:numPr>
          <w:ilvl w:val="0"/>
          <w:numId w:val="18"/>
        </w:numPr>
        <w:spacing w:after="240" w:line="360" w:lineRule="auto"/>
        <w:jc w:val="both"/>
        <w:rPr>
          <w:rFonts w:ascii="Palatino Linotype" w:hAnsi="Palatino Linotype"/>
          <w:noProof/>
          <w:lang w:eastAsia="es-MX"/>
        </w:rPr>
      </w:pPr>
      <w:r>
        <w:rPr>
          <w:rFonts w:ascii="Palatino Linotype" w:hAnsi="Palatino Linotype"/>
          <w:noProof/>
          <w:lang w:eastAsia="es-MX"/>
        </w:rPr>
        <w:t xml:space="preserve"> Por otra parte, de la lectura integral de la propuesta de clasificación se arriba a la conclusión de que  no se precisaron las razones objetivas por las que la apertura de la información genera una afectación, tampoco fue debidamente fundamentada y motivada la prueba de daño. </w:t>
      </w:r>
    </w:p>
    <w:p w14:paraId="545A9C8F" w14:textId="01E5CB7C" w:rsidR="007B3414" w:rsidRDefault="007B3414" w:rsidP="00BB739A">
      <w:pPr>
        <w:pStyle w:val="Prrafodelista"/>
        <w:numPr>
          <w:ilvl w:val="0"/>
          <w:numId w:val="18"/>
        </w:numPr>
        <w:spacing w:after="240" w:line="360" w:lineRule="auto"/>
        <w:jc w:val="both"/>
        <w:rPr>
          <w:rFonts w:ascii="Palatino Linotype" w:hAnsi="Palatino Linotype"/>
          <w:noProof/>
          <w:lang w:eastAsia="es-MX"/>
        </w:rPr>
      </w:pPr>
      <w:r>
        <w:rPr>
          <w:rFonts w:ascii="Palatino Linotype" w:hAnsi="Palatino Linotype"/>
          <w:noProof/>
          <w:lang w:eastAsia="es-MX"/>
        </w:rPr>
        <w:t xml:space="preserve">Que de una interpretación sistemica al numeral 140 de la Ley de Transparencia local se desprende que ninguna de las causales de reserva es actualizada en el caso en particular. </w:t>
      </w:r>
      <w:r w:rsidR="00964DA7">
        <w:rPr>
          <w:rFonts w:ascii="Palatino Linotype" w:hAnsi="Palatino Linotype"/>
          <w:noProof/>
          <w:lang w:eastAsia="es-MX"/>
        </w:rPr>
        <w:t>Adicionalmente</w:t>
      </w:r>
      <w:r>
        <w:rPr>
          <w:rFonts w:ascii="Palatino Linotype" w:hAnsi="Palatino Linotype"/>
          <w:noProof/>
          <w:lang w:eastAsia="es-MX"/>
        </w:rPr>
        <w:t xml:space="preserve">, la información requerida abona a la transparencia y a la rendición de cuentas; toda vez que prevé los registros contables que impactan en el Municipio de Naucalpan de Juárez, así como en la Comisión del Agua del Estado de México. </w:t>
      </w:r>
    </w:p>
    <w:p w14:paraId="7D63C73B" w14:textId="54172217" w:rsidR="002D4C5A" w:rsidRDefault="002D4C5A" w:rsidP="00BB739A">
      <w:pPr>
        <w:pStyle w:val="Prrafodelista"/>
        <w:numPr>
          <w:ilvl w:val="0"/>
          <w:numId w:val="18"/>
        </w:numPr>
        <w:spacing w:after="240" w:line="360" w:lineRule="auto"/>
        <w:jc w:val="both"/>
        <w:rPr>
          <w:rFonts w:ascii="Palatino Linotype" w:hAnsi="Palatino Linotype"/>
          <w:noProof/>
          <w:lang w:eastAsia="es-MX"/>
        </w:rPr>
      </w:pPr>
      <w:r>
        <w:rPr>
          <w:rFonts w:ascii="Palatino Linotype" w:hAnsi="Palatino Linotype"/>
          <w:noProof/>
          <w:lang w:eastAsia="es-MX"/>
        </w:rPr>
        <w:t xml:space="preserve">Que de una interpretación literal y gramatical al numeral 92, fracción XLVII de la Ley de Transparencia local, se desprende que parte de la información </w:t>
      </w:r>
      <w:r>
        <w:rPr>
          <w:rFonts w:ascii="Palatino Linotype" w:hAnsi="Palatino Linotype"/>
          <w:noProof/>
          <w:lang w:eastAsia="es-MX"/>
        </w:rPr>
        <w:lastRenderedPageBreak/>
        <w:t xml:space="preserve">requerida estriba en obligaciones de transparencia común, es decir, información que debe de ser publicada de manera oficiosa, la cual no es susceptible de clasificarse. </w:t>
      </w:r>
    </w:p>
    <w:p w14:paraId="59319F3A" w14:textId="77777777" w:rsidR="007B3414" w:rsidRPr="007B3414" w:rsidRDefault="007B3414" w:rsidP="007B3414">
      <w:pPr>
        <w:spacing w:after="240" w:line="360" w:lineRule="auto"/>
        <w:jc w:val="both"/>
        <w:rPr>
          <w:rFonts w:ascii="Palatino Linotype" w:hAnsi="Palatino Linotype"/>
          <w:noProof/>
          <w:lang w:val="es-ES" w:eastAsia="es-MX"/>
        </w:rPr>
      </w:pPr>
    </w:p>
    <w:p w14:paraId="1683B99B" w14:textId="019BC93C" w:rsidR="002D4C5A" w:rsidRDefault="00353C25" w:rsidP="00211C66">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Inconforme con la respuesta rendida por </w:t>
      </w:r>
      <w:r w:rsidR="009A7DBA">
        <w:rPr>
          <w:rFonts w:ascii="Palatino Linotype" w:hAnsi="Palatino Linotype"/>
          <w:b/>
          <w:noProof/>
          <w:lang w:eastAsia="es-MX"/>
        </w:rPr>
        <w:t>El Sujeto Obligado, La</w:t>
      </w:r>
      <w:r>
        <w:rPr>
          <w:rFonts w:ascii="Palatino Linotype" w:hAnsi="Palatino Linotype"/>
          <w:b/>
          <w:noProof/>
          <w:lang w:eastAsia="es-MX"/>
        </w:rPr>
        <w:t xml:space="preserve"> Recurrente </w:t>
      </w:r>
      <w:r>
        <w:rPr>
          <w:rFonts w:ascii="Palatino Linotype" w:hAnsi="Palatino Linotype"/>
          <w:noProof/>
          <w:lang w:eastAsia="es-MX"/>
        </w:rPr>
        <w:t xml:space="preserve">interpuso recurso de revisión en fecha </w:t>
      </w:r>
      <w:r w:rsidR="002D4C5A">
        <w:rPr>
          <w:rFonts w:ascii="Palatino Linotype" w:hAnsi="Palatino Linotype"/>
          <w:noProof/>
          <w:lang w:eastAsia="es-MX"/>
        </w:rPr>
        <w:t xml:space="preserve">veintidos de septiembre, admitiendose el veintiocho de septiembre, ambos de dos mil veintiuno. Señalando como razones o motivos de inconformidad: </w:t>
      </w:r>
    </w:p>
    <w:p w14:paraId="0A1A0A3A" w14:textId="257401FE" w:rsidR="002D4C5A" w:rsidRPr="002D4C5A" w:rsidRDefault="002D4C5A" w:rsidP="002D4C5A">
      <w:pPr>
        <w:pStyle w:val="Citas"/>
        <w:rPr>
          <w:b/>
          <w:noProof/>
          <w:lang w:eastAsia="es-MX"/>
        </w:rPr>
      </w:pPr>
      <w:r>
        <w:t xml:space="preserve">“No presentan acta de comité de transparencia La clasificación de información y la emisión de respuestas es caso por caso y no en conjunto con otras solicitudes La prueba de daño carece de los elementos que establece la ley y los lineamientos de la materia No informan el motivo de la reserva” </w:t>
      </w:r>
      <w:r>
        <w:rPr>
          <w:b/>
        </w:rPr>
        <w:t xml:space="preserve">[Sic] </w:t>
      </w:r>
    </w:p>
    <w:p w14:paraId="3F7015D0" w14:textId="77777777" w:rsidR="002D4C5A" w:rsidRDefault="002D4C5A" w:rsidP="00211C66">
      <w:pPr>
        <w:pStyle w:val="Default"/>
        <w:spacing w:before="240" w:after="160" w:line="360" w:lineRule="auto"/>
        <w:jc w:val="both"/>
        <w:rPr>
          <w:rFonts w:ascii="Palatino Linotype" w:hAnsi="Palatino Linotype"/>
          <w:noProof/>
          <w:lang w:eastAsia="es-MX"/>
        </w:rPr>
      </w:pPr>
    </w:p>
    <w:p w14:paraId="089D1ECA" w14:textId="3697A7EA" w:rsidR="00BB739A" w:rsidRDefault="00AE33FE" w:rsidP="00271EED">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Luego entonces, de una interpretación literal y gramatical a los motivos de inconformidad esgrimidos por el particular es posible advertir que se encuentran </w:t>
      </w:r>
      <w:r w:rsidR="00BB739A">
        <w:rPr>
          <w:rFonts w:ascii="Palatino Linotype" w:hAnsi="Palatino Linotype"/>
          <w:noProof/>
          <w:lang w:eastAsia="es-MX"/>
        </w:rPr>
        <w:t xml:space="preserve">encauzados </w:t>
      </w:r>
      <w:r w:rsidR="00292885">
        <w:rPr>
          <w:rFonts w:ascii="Palatino Linotype" w:hAnsi="Palatino Linotype"/>
          <w:noProof/>
          <w:lang w:eastAsia="es-MX"/>
        </w:rPr>
        <w:t xml:space="preserve">a denotar </w:t>
      </w:r>
      <w:r>
        <w:rPr>
          <w:rFonts w:ascii="Palatino Linotype" w:hAnsi="Palatino Linotype"/>
          <w:noProof/>
          <w:lang w:eastAsia="es-MX"/>
        </w:rPr>
        <w:t xml:space="preserve">la actualización </w:t>
      </w:r>
      <w:r w:rsidR="00BB739A">
        <w:rPr>
          <w:rFonts w:ascii="Palatino Linotype" w:hAnsi="Palatino Linotype"/>
          <w:noProof/>
          <w:lang w:eastAsia="es-MX"/>
        </w:rPr>
        <w:t>de la</w:t>
      </w:r>
      <w:r>
        <w:rPr>
          <w:rFonts w:ascii="Palatino Linotype" w:hAnsi="Palatino Linotype"/>
          <w:noProof/>
          <w:lang w:eastAsia="es-MX"/>
        </w:rPr>
        <w:t xml:space="preserve"> causal de procedencia inmersa</w:t>
      </w:r>
      <w:r w:rsidR="00BB739A">
        <w:rPr>
          <w:rFonts w:ascii="Palatino Linotype" w:hAnsi="Palatino Linotype"/>
          <w:noProof/>
          <w:lang w:eastAsia="es-MX"/>
        </w:rPr>
        <w:t xml:space="preserve"> en el numeral 179, fracción II de la Ley de Transparencia y Acceso a la Información Pública del Estado de México y Municipios, porción normativa que dispone a la literalidad lo siguiente: </w:t>
      </w:r>
    </w:p>
    <w:p w14:paraId="18CDD059" w14:textId="468090E5" w:rsidR="00292885" w:rsidRDefault="00BB739A" w:rsidP="00292885">
      <w:pPr>
        <w:pStyle w:val="Citas"/>
      </w:pPr>
      <w:r>
        <w:lastRenderedPageBreak/>
        <w:t xml:space="preserve"> </w:t>
      </w:r>
      <w:r w:rsidR="00292885">
        <w:t xml:space="preserve">“Artículo 179. El recurso de revisión es un medio de protección que la Ley otorga a los particulares, para hacer valer su derecho de acceso a la información pública, y procederá en contra de las siguientes causas: </w:t>
      </w:r>
    </w:p>
    <w:p w14:paraId="6EB1D9C3" w14:textId="71CE2F42" w:rsidR="00292885" w:rsidRPr="00BB739A" w:rsidRDefault="00BB739A" w:rsidP="00292885">
      <w:pPr>
        <w:pStyle w:val="Citas"/>
        <w:rPr>
          <w:u w:val="single"/>
        </w:rPr>
      </w:pPr>
      <w:r w:rsidRPr="00BB739A">
        <w:rPr>
          <w:u w:val="single"/>
        </w:rPr>
        <w:t>(…)</w:t>
      </w:r>
    </w:p>
    <w:p w14:paraId="3B24A444" w14:textId="37FC0C18" w:rsidR="00292885" w:rsidRPr="0010372C" w:rsidRDefault="00292885" w:rsidP="00292885">
      <w:pPr>
        <w:pStyle w:val="Citas"/>
        <w:rPr>
          <w:b/>
          <w:u w:val="single"/>
        </w:rPr>
      </w:pPr>
      <w:r w:rsidRPr="0010372C">
        <w:rPr>
          <w:b/>
          <w:u w:val="single"/>
        </w:rPr>
        <w:t>II. La clasificación de la información;</w:t>
      </w:r>
    </w:p>
    <w:p w14:paraId="61B1B0F6" w14:textId="2C97BC23" w:rsidR="00292885" w:rsidRDefault="00292885" w:rsidP="00292885">
      <w:pPr>
        <w:pStyle w:val="Citas"/>
        <w:rPr>
          <w:b/>
        </w:rPr>
      </w:pPr>
      <w:r>
        <w:t xml:space="preserve">(…)” </w:t>
      </w:r>
      <w:r>
        <w:rPr>
          <w:b/>
        </w:rPr>
        <w:t xml:space="preserve">[Sic] </w:t>
      </w:r>
    </w:p>
    <w:p w14:paraId="65B619DF" w14:textId="77777777" w:rsidR="00947A9B" w:rsidRDefault="00947A9B" w:rsidP="00271EED">
      <w:pPr>
        <w:pStyle w:val="Default"/>
        <w:spacing w:before="240" w:after="160" w:line="360" w:lineRule="auto"/>
        <w:jc w:val="both"/>
        <w:rPr>
          <w:rFonts w:ascii="Palatino Linotype" w:hAnsi="Palatino Linotype"/>
          <w:noProof/>
          <w:lang w:eastAsia="es-MX"/>
        </w:rPr>
      </w:pPr>
    </w:p>
    <w:p w14:paraId="563B1754" w14:textId="34A22D41" w:rsidR="00AE33FE" w:rsidRPr="00AE33FE" w:rsidRDefault="007835B9" w:rsidP="00271EED">
      <w:pPr>
        <w:pStyle w:val="Default"/>
        <w:spacing w:before="240" w:after="160" w:line="360" w:lineRule="auto"/>
        <w:jc w:val="both"/>
        <w:rPr>
          <w:rFonts w:ascii="Palatino Linotype" w:hAnsi="Palatino Linotype"/>
          <w:noProof/>
          <w:lang w:eastAsia="es-MX"/>
        </w:rPr>
      </w:pPr>
      <w:r w:rsidRPr="00614EB8">
        <w:rPr>
          <w:rFonts w:ascii="Palatino Linotype" w:hAnsi="Palatino Linotype"/>
          <w:iCs/>
        </w:rPr>
        <w:t xml:space="preserve">Por otra parte, como fue mencionado en el antecedente </w:t>
      </w:r>
      <w:r>
        <w:rPr>
          <w:rFonts w:ascii="Palatino Linotype" w:hAnsi="Palatino Linotype"/>
          <w:iCs/>
        </w:rPr>
        <w:t>quinto</w:t>
      </w:r>
      <w:r w:rsidRPr="00614EB8">
        <w:rPr>
          <w:rFonts w:ascii="Palatino Linotype" w:hAnsi="Palatino Linotype"/>
          <w:iCs/>
        </w:rPr>
        <w:t xml:space="preserve">, </w:t>
      </w:r>
      <w:r w:rsidRPr="00614EB8">
        <w:rPr>
          <w:rFonts w:ascii="Palatino Linotype" w:hAnsi="Palatino Linotype"/>
          <w:b/>
          <w:bCs/>
          <w:iCs/>
        </w:rPr>
        <w:t>El Sujeto Obligado</w:t>
      </w:r>
      <w:r>
        <w:rPr>
          <w:rFonts w:ascii="Palatino Linotype" w:hAnsi="Palatino Linotype"/>
          <w:b/>
          <w:bCs/>
          <w:iCs/>
        </w:rPr>
        <w:t xml:space="preserve"> </w:t>
      </w:r>
      <w:r>
        <w:rPr>
          <w:rFonts w:ascii="Palatino Linotype" w:hAnsi="Palatino Linotype"/>
          <w:bCs/>
          <w:iCs/>
        </w:rPr>
        <w:t xml:space="preserve">fue omiso en rendir su informe justificado. </w:t>
      </w:r>
      <w:r w:rsidR="005523D5">
        <w:rPr>
          <w:rFonts w:ascii="Palatino Linotype" w:hAnsi="Palatino Linotype"/>
          <w:noProof/>
          <w:lang w:eastAsia="es-MX"/>
        </w:rPr>
        <w:t xml:space="preserve">Hasta aquí lo expuesto deben de arribarse a las siguientes consideraciones: </w:t>
      </w:r>
    </w:p>
    <w:p w14:paraId="4E7F04B3" w14:textId="43F833DA" w:rsidR="00BB739A" w:rsidRPr="00BB739A" w:rsidRDefault="007B0046" w:rsidP="00537B49">
      <w:pPr>
        <w:pStyle w:val="Prrafodelista"/>
        <w:numPr>
          <w:ilvl w:val="0"/>
          <w:numId w:val="5"/>
        </w:numPr>
        <w:autoSpaceDE w:val="0"/>
        <w:autoSpaceDN w:val="0"/>
        <w:adjustRightInd w:val="0"/>
        <w:spacing w:line="360" w:lineRule="auto"/>
        <w:jc w:val="both"/>
        <w:rPr>
          <w:rFonts w:ascii="Palatino Linotype" w:hAnsi="Palatino Linotype" w:cs="Arial"/>
        </w:rPr>
      </w:pPr>
      <w:r w:rsidRPr="00BB739A">
        <w:rPr>
          <w:rFonts w:ascii="Palatino Linotype" w:hAnsi="Palatino Linotype" w:cs="Arial"/>
          <w:color w:val="000000"/>
        </w:rPr>
        <w:t>A través del derecho</w:t>
      </w:r>
      <w:r w:rsidR="005523D5" w:rsidRPr="00BB739A">
        <w:rPr>
          <w:rFonts w:ascii="Palatino Linotype" w:hAnsi="Palatino Linotype" w:cs="Arial"/>
          <w:color w:val="000000"/>
        </w:rPr>
        <w:t xml:space="preserve"> de acceso a la información fueron requerid</w:t>
      </w:r>
      <w:r w:rsidR="00BB739A" w:rsidRPr="00BB739A">
        <w:rPr>
          <w:rFonts w:ascii="Palatino Linotype" w:hAnsi="Palatino Linotype" w:cs="Arial"/>
          <w:color w:val="000000"/>
        </w:rPr>
        <w:t xml:space="preserve">os </w:t>
      </w:r>
      <w:r w:rsidR="00BB739A" w:rsidRPr="00BB739A">
        <w:rPr>
          <w:rFonts w:ascii="Palatino Linotype" w:hAnsi="Palatino Linotype" w:cs="Arial"/>
        </w:rPr>
        <w:t xml:space="preserve">el o los documentos en donde conste la cantidad adeudada por el Ayuntamiento de Naucalpan de Juárez a la Comisión del Agua del Estado de México, durante el periodo comprendido del uno de enero de dos mil dieciséis al uno de septiembre de dos mil veintiuno. Así como </w:t>
      </w:r>
      <w:r w:rsidR="00BB739A">
        <w:rPr>
          <w:rFonts w:ascii="Palatino Linotype" w:hAnsi="Palatino Linotype" w:cs="Arial"/>
        </w:rPr>
        <w:t>e</w:t>
      </w:r>
      <w:r w:rsidR="00BB739A" w:rsidRPr="00BB739A">
        <w:rPr>
          <w:rFonts w:ascii="Palatino Linotype" w:hAnsi="Palatino Linotype" w:cs="Arial"/>
        </w:rPr>
        <w:t xml:space="preserve">l o los documentos donde consten los pagos que el Ayuntamiento de Naucalpan de Juárez ha realizado a la deuda referida </w:t>
      </w:r>
      <w:r w:rsidR="003A378D">
        <w:rPr>
          <w:rFonts w:ascii="Palatino Linotype" w:hAnsi="Palatino Linotype" w:cs="Arial"/>
        </w:rPr>
        <w:t>con antelación</w:t>
      </w:r>
      <w:r w:rsidR="00BB739A" w:rsidRPr="00BB739A">
        <w:rPr>
          <w:rFonts w:ascii="Palatino Linotype" w:hAnsi="Palatino Linotype" w:cs="Arial"/>
        </w:rPr>
        <w:t xml:space="preserve">, al dos de septiembre de dos mil veintiuno. </w:t>
      </w:r>
    </w:p>
    <w:p w14:paraId="17434EAD" w14:textId="716EEC8F" w:rsidR="00BB739A" w:rsidRPr="00BB739A" w:rsidRDefault="00BB739A" w:rsidP="00BC14A4">
      <w:pPr>
        <w:pStyle w:val="Prrafodelista"/>
        <w:numPr>
          <w:ilvl w:val="0"/>
          <w:numId w:val="5"/>
        </w:numPr>
        <w:autoSpaceDE w:val="0"/>
        <w:autoSpaceDN w:val="0"/>
        <w:adjustRightInd w:val="0"/>
        <w:spacing w:line="360" w:lineRule="auto"/>
        <w:jc w:val="both"/>
        <w:rPr>
          <w:rFonts w:ascii="Palatino Linotype" w:hAnsi="Palatino Linotype" w:cs="Arial"/>
        </w:rPr>
      </w:pPr>
      <w:r w:rsidRPr="00BB739A">
        <w:rPr>
          <w:rFonts w:ascii="Palatino Linotype" w:hAnsi="Palatino Linotype" w:cs="Arial"/>
        </w:rPr>
        <w:t xml:space="preserve">Que de una interpretación sistemática a los artículos 17, 18 fracciones XIII, XVI, XVII, 23 de la Ley del Agua para el Estado de México y Municipios, el numeral 22 del Reglamento Interior de la Comisión del Agua del Estado de México, así como los artículos 342, 343, 344 y 345 del Código Financiero del Estado de </w:t>
      </w:r>
      <w:r w:rsidRPr="00BB739A">
        <w:rPr>
          <w:rFonts w:ascii="Palatino Linotype" w:hAnsi="Palatino Linotype" w:cs="Arial"/>
        </w:rPr>
        <w:lastRenderedPageBreak/>
        <w:t>México y Municipios</w:t>
      </w:r>
      <w:r>
        <w:rPr>
          <w:rFonts w:ascii="Palatino Linotype" w:hAnsi="Palatino Linotype" w:cs="Arial"/>
        </w:rPr>
        <w:t xml:space="preserve">, se desprende que el Director General de Administración y Finanzas funge como el sujeto habilitado competente para atender la solicitud de información. </w:t>
      </w:r>
    </w:p>
    <w:p w14:paraId="47762E6C" w14:textId="31432AD5" w:rsidR="00BB739A" w:rsidRPr="00BB739A" w:rsidRDefault="00807A3D" w:rsidP="00E65AC5">
      <w:pPr>
        <w:pStyle w:val="Prrafodelista"/>
        <w:numPr>
          <w:ilvl w:val="0"/>
          <w:numId w:val="5"/>
        </w:numPr>
        <w:spacing w:line="360" w:lineRule="auto"/>
        <w:jc w:val="both"/>
        <w:rPr>
          <w:rFonts w:ascii="Palatino Linotype" w:hAnsi="Palatino Linotype" w:cs="Arial"/>
          <w:b/>
          <w:color w:val="000000"/>
          <w:u w:val="single"/>
        </w:rPr>
      </w:pPr>
      <w:r>
        <w:rPr>
          <w:rFonts w:ascii="Palatino Linotype" w:hAnsi="Palatino Linotype" w:cs="Arial"/>
          <w:color w:val="000000"/>
        </w:rPr>
        <w:t xml:space="preserve">Mediante respuesta, </w:t>
      </w:r>
      <w:r>
        <w:rPr>
          <w:rFonts w:ascii="Palatino Linotype" w:hAnsi="Palatino Linotype" w:cs="Arial"/>
          <w:b/>
          <w:color w:val="000000"/>
        </w:rPr>
        <w:t xml:space="preserve">El Sujeto Obligado, </w:t>
      </w:r>
      <w:r>
        <w:rPr>
          <w:rFonts w:ascii="Palatino Linotype" w:hAnsi="Palatino Linotype" w:cs="Arial"/>
          <w:color w:val="000000"/>
        </w:rPr>
        <w:t xml:space="preserve">a través del </w:t>
      </w:r>
      <w:r w:rsidR="00BB739A">
        <w:rPr>
          <w:rFonts w:ascii="Palatino Linotype" w:hAnsi="Palatino Linotype" w:cs="Arial"/>
          <w:color w:val="000000"/>
        </w:rPr>
        <w:t xml:space="preserve">Director General de Administración y Finanzas, se limitó a remitir una propuesta de clasificación de la información como reservada, respecto de la cual se destaca la ausencia de fundamentación, motivación, justificación, actualización de causal </w:t>
      </w:r>
      <w:r w:rsidR="00964DA7">
        <w:rPr>
          <w:rFonts w:ascii="Palatino Linotype" w:hAnsi="Palatino Linotype" w:cs="Arial"/>
          <w:color w:val="000000"/>
        </w:rPr>
        <w:t xml:space="preserve">de clasificación </w:t>
      </w:r>
      <w:r w:rsidR="00BB739A">
        <w:rPr>
          <w:rFonts w:ascii="Palatino Linotype" w:hAnsi="Palatino Linotype" w:cs="Arial"/>
          <w:color w:val="000000"/>
        </w:rPr>
        <w:t xml:space="preserve">como reservada e incluso la aprobación del Comité. </w:t>
      </w:r>
    </w:p>
    <w:p w14:paraId="1168D4F4" w14:textId="548C06DB" w:rsidR="006D7FD9" w:rsidRPr="006D7FD9" w:rsidRDefault="00807A3D" w:rsidP="009B5FB5">
      <w:pPr>
        <w:pStyle w:val="Prrafodelista"/>
        <w:numPr>
          <w:ilvl w:val="0"/>
          <w:numId w:val="5"/>
        </w:numPr>
        <w:autoSpaceDE w:val="0"/>
        <w:autoSpaceDN w:val="0"/>
        <w:adjustRightInd w:val="0"/>
        <w:spacing w:before="240" w:line="360" w:lineRule="auto"/>
        <w:jc w:val="both"/>
        <w:rPr>
          <w:rFonts w:ascii="Palatino Linotype" w:hAnsi="Palatino Linotype" w:cs="Arial"/>
        </w:rPr>
      </w:pPr>
      <w:r w:rsidRPr="00807A3D">
        <w:rPr>
          <w:rFonts w:ascii="Palatino Linotype" w:hAnsi="Palatino Linotype"/>
        </w:rPr>
        <w:t xml:space="preserve">Mediante etapa de manifestaciones, </w:t>
      </w:r>
      <w:r w:rsidR="009B5FB5">
        <w:rPr>
          <w:rFonts w:ascii="Palatino Linotype" w:hAnsi="Palatino Linotype"/>
          <w:b/>
        </w:rPr>
        <w:t xml:space="preserve">El Sujeto Obligado </w:t>
      </w:r>
      <w:r w:rsidR="009B5FB5">
        <w:rPr>
          <w:rFonts w:ascii="Palatino Linotype" w:hAnsi="Palatino Linotype"/>
        </w:rPr>
        <w:t xml:space="preserve">fue omiso en rendir su informe justificado. Adicionalmente, </w:t>
      </w:r>
      <w:r w:rsidR="009A7DBA">
        <w:rPr>
          <w:rFonts w:ascii="Palatino Linotype" w:hAnsi="Palatino Linotype"/>
          <w:b/>
        </w:rPr>
        <w:t>La</w:t>
      </w:r>
      <w:r w:rsidR="009B5FB5">
        <w:rPr>
          <w:rFonts w:ascii="Palatino Linotype" w:hAnsi="Palatino Linotype"/>
          <w:b/>
        </w:rPr>
        <w:t xml:space="preserve"> Recurrente </w:t>
      </w:r>
      <w:r w:rsidR="009B5FB5">
        <w:rPr>
          <w:rFonts w:ascii="Palatino Linotype" w:hAnsi="Palatino Linotype"/>
        </w:rPr>
        <w:t xml:space="preserve">no rindió las manifestaciones estimadas pertinentes. </w:t>
      </w:r>
    </w:p>
    <w:p w14:paraId="78CEFDA0" w14:textId="77777777" w:rsidR="00964DA7" w:rsidRDefault="00964DA7" w:rsidP="006D7FD9">
      <w:pPr>
        <w:spacing w:line="360" w:lineRule="auto"/>
        <w:contextualSpacing/>
        <w:jc w:val="both"/>
        <w:rPr>
          <w:rFonts w:ascii="Palatino Linotype" w:eastAsia="MS Mincho" w:hAnsi="Palatino Linotype"/>
          <w:sz w:val="24"/>
          <w:szCs w:val="24"/>
        </w:rPr>
      </w:pPr>
    </w:p>
    <w:p w14:paraId="2007C40D" w14:textId="4EC2E55A" w:rsidR="006D7FD9" w:rsidRPr="006329AB" w:rsidRDefault="006D7FD9" w:rsidP="006D7FD9">
      <w:pPr>
        <w:spacing w:line="360" w:lineRule="auto"/>
        <w:contextualSpacing/>
        <w:jc w:val="both"/>
        <w:rPr>
          <w:rFonts w:ascii="Palatino Linotype" w:eastAsia="MS Mincho" w:hAnsi="Palatino Linotype"/>
          <w:sz w:val="24"/>
          <w:szCs w:val="24"/>
        </w:rPr>
      </w:pPr>
      <w:r w:rsidRPr="006329AB">
        <w:rPr>
          <w:rFonts w:ascii="Palatino Linotype" w:eastAsia="MS Mincho" w:hAnsi="Palatino Linotype"/>
          <w:sz w:val="24"/>
          <w:szCs w:val="24"/>
        </w:rPr>
        <w:t xml:space="preserve">Con base en lo anteriormente expuesto, resulta procedente ordenar </w:t>
      </w:r>
      <w:r w:rsidR="00787D06" w:rsidRPr="006329AB">
        <w:rPr>
          <w:rFonts w:ascii="Palatino Linotype" w:eastAsia="MS Mincho" w:hAnsi="Palatino Linotype"/>
          <w:sz w:val="24"/>
          <w:szCs w:val="24"/>
        </w:rPr>
        <w:t>una búsqueda exhaustiva y razonable, a efecto de ordenar</w:t>
      </w:r>
      <w:r w:rsidR="00C8491D" w:rsidRPr="006329AB">
        <w:rPr>
          <w:rFonts w:ascii="Palatino Linotype" w:eastAsia="MS Mincho" w:hAnsi="Palatino Linotype"/>
          <w:sz w:val="24"/>
          <w:szCs w:val="24"/>
        </w:rPr>
        <w:t xml:space="preserve"> la entrega</w:t>
      </w:r>
      <w:r w:rsidR="00787D06" w:rsidRPr="006329AB">
        <w:rPr>
          <w:rFonts w:ascii="Palatino Linotype" w:eastAsia="MS Mincho" w:hAnsi="Palatino Linotype"/>
          <w:sz w:val="24"/>
          <w:szCs w:val="24"/>
        </w:rPr>
        <w:t xml:space="preserve"> a través del Sistema de Acceso a la Información Mexiquense (SAIMEX), </w:t>
      </w:r>
      <w:r w:rsidRPr="006329AB">
        <w:rPr>
          <w:rFonts w:ascii="Palatino Linotype" w:eastAsia="MS Mincho" w:hAnsi="Palatino Linotype"/>
          <w:sz w:val="24"/>
          <w:szCs w:val="24"/>
        </w:rPr>
        <w:t xml:space="preserve">en versión pública de ser procedente, </w:t>
      </w:r>
      <w:r w:rsidR="00787D06" w:rsidRPr="006329AB">
        <w:rPr>
          <w:rFonts w:ascii="Palatino Linotype" w:eastAsia="MS Mincho" w:hAnsi="Palatino Linotype"/>
          <w:sz w:val="24"/>
          <w:szCs w:val="24"/>
        </w:rPr>
        <w:t xml:space="preserve">de </w:t>
      </w:r>
      <w:r w:rsidRPr="006329AB">
        <w:rPr>
          <w:rFonts w:ascii="Palatino Linotype" w:eastAsia="MS Mincho" w:hAnsi="Palatino Linotype"/>
          <w:sz w:val="24"/>
          <w:szCs w:val="24"/>
        </w:rPr>
        <w:t xml:space="preserve">la siguiente información: </w:t>
      </w:r>
    </w:p>
    <w:p w14:paraId="4C157AAB" w14:textId="77777777" w:rsidR="009A7DBA" w:rsidRDefault="009A7DBA" w:rsidP="009A7DBA">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El o los documentos en donde conste la cantidad adeudada por el Ayuntamiento de Naucalpan de Juárez a la Comisión del Agua del Estado de México, durante el periodo comprendido del uno de enero de dos mil dieciséis al uno de septiembre de dos mil veintiuno</w:t>
      </w:r>
    </w:p>
    <w:p w14:paraId="6F0FD2ED" w14:textId="77777777" w:rsidR="009A7DBA" w:rsidRDefault="009A7DBA" w:rsidP="009A7DBA">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consten los pagos que el Ayuntamiento de Naucalpan de Juárez ha realizado a la deuda referida en el numeral 1, al dos de septiembre de dos mil veintiuno. </w:t>
      </w:r>
    </w:p>
    <w:p w14:paraId="582FD5A5" w14:textId="10C9AAAA" w:rsidR="00787D06" w:rsidRPr="00C22506" w:rsidRDefault="00787D06" w:rsidP="00787D06">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Pr="00C22506">
        <w:rPr>
          <w:rFonts w:ascii="Palatino Linotype" w:hAnsi="Palatino Linotype"/>
          <w:b/>
          <w:sz w:val="28"/>
          <w:szCs w:val="28"/>
        </w:rPr>
        <w:t xml:space="preserve">Versión Pública </w:t>
      </w:r>
    </w:p>
    <w:p w14:paraId="3E240FC1" w14:textId="77777777" w:rsidR="00787D06" w:rsidRPr="001571EB" w:rsidRDefault="00787D06" w:rsidP="00787D06">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87D3FC6" w14:textId="77777777" w:rsidR="00787D06" w:rsidRPr="00E60DEF" w:rsidRDefault="00787D06" w:rsidP="00787D0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8044E8B" w14:textId="77777777" w:rsidR="00787D06" w:rsidRPr="00E60DEF" w:rsidRDefault="00787D06" w:rsidP="00787D0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8460C80" w14:textId="77777777" w:rsidR="00787D06" w:rsidRPr="001571EB" w:rsidRDefault="00787D06" w:rsidP="00787D0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25A7AD1" w14:textId="77777777" w:rsidR="00787D06" w:rsidRPr="001571EB" w:rsidRDefault="00787D06" w:rsidP="00787D0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426887B" w14:textId="77777777" w:rsidR="00787D06" w:rsidRPr="001571EB" w:rsidRDefault="00787D06" w:rsidP="00787D0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54EA762" w14:textId="77777777" w:rsidR="00787D06" w:rsidRPr="001571EB" w:rsidRDefault="00787D06" w:rsidP="00787D0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14:paraId="05782622" w14:textId="77777777" w:rsidR="00787D06" w:rsidRPr="001571EB" w:rsidRDefault="00787D06" w:rsidP="00787D0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D5B9D6C" w14:textId="77777777" w:rsidR="00787D06" w:rsidRPr="001571EB" w:rsidRDefault="00787D06" w:rsidP="00787D0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EB3257A" w14:textId="77777777" w:rsidR="00787D06" w:rsidRPr="001571EB" w:rsidRDefault="00787D06" w:rsidP="00787D0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B1B33A" w14:textId="77777777" w:rsidR="00787D06" w:rsidRPr="00E60DEF" w:rsidRDefault="00787D06" w:rsidP="00787D0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135A64A" w14:textId="77777777" w:rsidR="00787D06" w:rsidRPr="001571EB" w:rsidRDefault="00787D06" w:rsidP="00787D06">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2394623" w14:textId="77777777" w:rsidR="00787D06" w:rsidRDefault="00787D06" w:rsidP="00787D06">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A44A413" w14:textId="77777777" w:rsidR="00787D06" w:rsidRPr="00E60DEF" w:rsidRDefault="00787D06" w:rsidP="00787D06">
      <w:pPr>
        <w:spacing w:before="240" w:line="360" w:lineRule="auto"/>
        <w:ind w:left="851" w:right="851"/>
        <w:jc w:val="both"/>
        <w:rPr>
          <w:rFonts w:ascii="Palatino Linotype" w:hAnsi="Palatino Linotype" w:cs="Arial"/>
          <w:b/>
          <w:i/>
        </w:rPr>
      </w:pPr>
    </w:p>
    <w:p w14:paraId="4657544E" w14:textId="77777777" w:rsidR="00787D06" w:rsidRPr="001571EB" w:rsidRDefault="00787D06" w:rsidP="00787D0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F4A014A" w14:textId="77777777" w:rsidR="00787D06" w:rsidRPr="001571EB" w:rsidRDefault="00787D06" w:rsidP="00787D0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5203C43" w14:textId="77777777" w:rsidR="00787D06" w:rsidRPr="001571EB" w:rsidRDefault="00787D06" w:rsidP="00787D0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0B4C202" w14:textId="77777777" w:rsidR="00787D06" w:rsidRDefault="00787D06" w:rsidP="00787D0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183C7AD" w14:textId="77777777" w:rsidR="00787D06" w:rsidRDefault="00787D06" w:rsidP="00787D06">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79028EB"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07E7686"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E959A2A"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C4832E6"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8D55BC6" w14:textId="77777777" w:rsidR="00787D06" w:rsidRPr="00EE0180"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C2E99F0" w14:textId="77777777" w:rsidR="00787D06" w:rsidRPr="001571EB" w:rsidRDefault="00787D06" w:rsidP="00787D06">
      <w:pPr>
        <w:autoSpaceDE w:val="0"/>
        <w:autoSpaceDN w:val="0"/>
        <w:adjustRightInd w:val="0"/>
        <w:spacing w:before="120" w:after="120"/>
        <w:ind w:left="567" w:right="850"/>
        <w:jc w:val="both"/>
        <w:rPr>
          <w:rFonts w:ascii="Palatino Linotype" w:eastAsia="Times New Roman" w:hAnsi="Palatino Linotype" w:cs="Arial"/>
          <w:i/>
        </w:rPr>
      </w:pPr>
    </w:p>
    <w:p w14:paraId="02D47252" w14:textId="77777777" w:rsidR="00787D06" w:rsidRPr="001571EB" w:rsidRDefault="00787D06" w:rsidP="00787D0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2B325702" w14:textId="77777777" w:rsidR="00787D06" w:rsidRPr="001571EB" w:rsidRDefault="00787D06" w:rsidP="00787D0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40A971" w14:textId="77777777" w:rsidR="00787D06" w:rsidRDefault="00787D06" w:rsidP="00787D0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3A4DC3A" w14:textId="77777777" w:rsidR="00787D06" w:rsidRDefault="00787D06" w:rsidP="00787D0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6A16693"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8E8F682"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4C45C2A6"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B4949F3"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5A6BB7B" w14:textId="77777777" w:rsidR="00787D06"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7E4D192" w14:textId="77777777" w:rsidR="00964DA7" w:rsidRDefault="00964DA7" w:rsidP="00787D06">
      <w:pPr>
        <w:spacing w:after="0" w:line="360" w:lineRule="auto"/>
        <w:ind w:right="51"/>
        <w:jc w:val="both"/>
        <w:rPr>
          <w:rFonts w:ascii="Palatino Linotype" w:hAnsi="Palatino Linotype" w:cs="Arial"/>
          <w:sz w:val="24"/>
          <w:szCs w:val="24"/>
        </w:rPr>
      </w:pPr>
    </w:p>
    <w:p w14:paraId="55965354" w14:textId="77777777" w:rsidR="00787D06" w:rsidRDefault="00787D06" w:rsidP="00787D0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4D3FAE6" w14:textId="77777777" w:rsidR="00CA201A" w:rsidRDefault="00CA201A" w:rsidP="00CA201A">
      <w:pPr>
        <w:spacing w:after="0" w:line="360" w:lineRule="auto"/>
        <w:jc w:val="both"/>
        <w:rPr>
          <w:rFonts w:ascii="Palatino Linotype" w:eastAsia="Times New Roman" w:hAnsi="Palatino Linotype" w:cs="Times New Roman"/>
          <w:sz w:val="24"/>
          <w:szCs w:val="24"/>
          <w:lang w:eastAsia="es-ES"/>
        </w:rPr>
      </w:pPr>
    </w:p>
    <w:p w14:paraId="466168DE" w14:textId="23404626" w:rsidR="00CA201A" w:rsidRPr="000F5B7E" w:rsidRDefault="00CA201A" w:rsidP="00CA201A">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9A7DBA">
        <w:rPr>
          <w:rFonts w:ascii="Palatino Linotype" w:eastAsia="Times New Roman" w:hAnsi="Palatino Linotype" w:cs="Times New Roman"/>
          <w:b/>
          <w:bCs/>
          <w:sz w:val="24"/>
          <w:szCs w:val="24"/>
          <w:lang w:eastAsia="es-ES"/>
        </w:rPr>
        <w:t>La</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w:t>
      </w:r>
      <w:r w:rsidRPr="000F5B7E">
        <w:rPr>
          <w:rFonts w:ascii="Palatino Linotype" w:eastAsia="Times New Roman" w:hAnsi="Palatino Linotype" w:cs="Times New Roman"/>
          <w:sz w:val="24"/>
          <w:szCs w:val="24"/>
          <w:lang w:eastAsia="es-ES"/>
        </w:rPr>
        <w:lastRenderedPageBreak/>
        <w:t xml:space="preserve">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9A7DBA">
        <w:rPr>
          <w:rFonts w:ascii="Palatino Linotype" w:hAnsi="Palatino Linotype" w:cs="Arial"/>
          <w:b/>
          <w:sz w:val="24"/>
          <w:szCs w:val="24"/>
        </w:rPr>
        <w:t>00177/CAEM/IP/2021</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2200D40F" w14:textId="77777777" w:rsidR="00CA201A" w:rsidRDefault="00CA201A" w:rsidP="00CA201A">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FD1C5E0" w14:textId="77777777" w:rsidR="009A7DBA" w:rsidRDefault="009A7DBA" w:rsidP="00787D06">
      <w:pPr>
        <w:spacing w:line="360" w:lineRule="auto"/>
        <w:contextualSpacing/>
        <w:jc w:val="both"/>
        <w:rPr>
          <w:rFonts w:ascii="Palatino Linotype" w:eastAsia="MS Mincho" w:hAnsi="Palatino Linotype"/>
        </w:rPr>
      </w:pPr>
    </w:p>
    <w:p w14:paraId="7DA0CB35" w14:textId="77777777" w:rsidR="009A7DBA" w:rsidRDefault="009A7DBA" w:rsidP="00787D06">
      <w:pPr>
        <w:spacing w:line="360" w:lineRule="auto"/>
        <w:contextualSpacing/>
        <w:jc w:val="both"/>
        <w:rPr>
          <w:rFonts w:ascii="Palatino Linotype" w:eastAsia="MS Mincho" w:hAnsi="Palatino Linotype"/>
        </w:rPr>
      </w:pPr>
    </w:p>
    <w:p w14:paraId="19C8A18B" w14:textId="77777777" w:rsidR="00CA201A" w:rsidRPr="00413327" w:rsidRDefault="00CA201A" w:rsidP="00CA201A">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40EA0AF7" w14:textId="60AC5032" w:rsidR="00CA201A" w:rsidRDefault="00CA201A" w:rsidP="00CA201A">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9A7DBA">
        <w:rPr>
          <w:rFonts w:ascii="Palatino Linotype" w:hAnsi="Palatino Linotype" w:cs="Arial"/>
          <w:b/>
          <w:sz w:val="24"/>
          <w:szCs w:val="24"/>
        </w:rPr>
        <w:t>00177/CAEM/IP/2021</w:t>
      </w:r>
      <w:r w:rsidRPr="000F5B7E">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por resultar fundados los motivos de inconformidad que arguye </w:t>
      </w:r>
      <w:r w:rsidR="009A7DBA">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DB38BC8" w14:textId="77777777" w:rsidR="00CA201A" w:rsidRDefault="00CA201A" w:rsidP="00CA201A">
      <w:pPr>
        <w:spacing w:before="240" w:line="360" w:lineRule="auto"/>
        <w:jc w:val="both"/>
        <w:rPr>
          <w:rFonts w:ascii="Palatino Linotype" w:hAnsi="Palatino Linotype" w:cs="Arial"/>
          <w:sz w:val="24"/>
          <w:szCs w:val="24"/>
        </w:rPr>
      </w:pPr>
    </w:p>
    <w:p w14:paraId="1C0660A2" w14:textId="0DEADC87" w:rsidR="00CA201A" w:rsidRDefault="00CA201A" w:rsidP="00CA201A">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w:t>
      </w:r>
      <w:r w:rsidR="009A7DBA">
        <w:rPr>
          <w:rFonts w:ascii="Palatino Linotype" w:hAnsi="Palatino Linotype" w:cs="Arial"/>
        </w:rPr>
        <w:t xml:space="preserve">a </w:t>
      </w:r>
      <w:r w:rsidR="009A7DBA">
        <w:rPr>
          <w:rFonts w:ascii="Palatino Linotype" w:hAnsi="Palatino Linotype" w:cs="Arial"/>
          <w:b/>
        </w:rPr>
        <w:t>LA</w:t>
      </w:r>
      <w:r w:rsidRPr="001C7462">
        <w:rPr>
          <w:rFonts w:ascii="Palatino Linotype" w:hAnsi="Palatino Linotype" w:cs="Arial"/>
        </w:rPr>
        <w:t xml:space="preserve"> </w:t>
      </w:r>
      <w:r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w:t>
      </w:r>
      <w:r w:rsidRPr="001C7462">
        <w:rPr>
          <w:rFonts w:ascii="Palatino Linotype" w:hAnsi="Palatino Linotype" w:cs="Arial"/>
        </w:rPr>
        <w:t xml:space="preserve">a través del </w:t>
      </w:r>
      <w:r>
        <w:rPr>
          <w:rFonts w:ascii="Palatino Linotype" w:hAnsi="Palatino Linotype" w:cs="Arial"/>
        </w:rPr>
        <w:t>Sistema de Acceso a la Información Mexiquense</w:t>
      </w:r>
      <w:r w:rsidRPr="001C7462">
        <w:rPr>
          <w:rFonts w:ascii="Palatino Linotype" w:hAnsi="Palatino Linotype" w:cs="Arial"/>
          <w:b/>
        </w:rPr>
        <w:t xml:space="preserve"> </w:t>
      </w:r>
      <w:r>
        <w:rPr>
          <w:rFonts w:ascii="Palatino Linotype" w:hAnsi="Palatino Linotype" w:cs="Arial"/>
          <w:b/>
        </w:rPr>
        <w:t>(</w:t>
      </w:r>
      <w:r w:rsidRPr="001C7462">
        <w:rPr>
          <w:rFonts w:ascii="Palatino Linotype" w:hAnsi="Palatino Linotype" w:cs="Arial"/>
          <w:b/>
        </w:rPr>
        <w:t>SAIMEX</w:t>
      </w:r>
      <w:r>
        <w:rPr>
          <w:rFonts w:ascii="Palatino Linotype" w:hAnsi="Palatino Linotype" w:cs="Arial"/>
          <w:b/>
        </w:rPr>
        <w:t>)</w:t>
      </w:r>
      <w:r w:rsidRPr="001C7462">
        <w:rPr>
          <w:rFonts w:ascii="Palatino Linotype" w:hAnsi="Palatino Linotype" w:cs="Arial"/>
        </w:rPr>
        <w:t xml:space="preserve">, </w:t>
      </w:r>
      <w:r w:rsidRPr="00A116CF">
        <w:rPr>
          <w:rFonts w:ascii="Palatino Linotype" w:hAnsi="Palatino Linotype" w:cs="Arial"/>
        </w:rPr>
        <w:t>en versión pública</w:t>
      </w:r>
      <w:r>
        <w:rPr>
          <w:rFonts w:ascii="Palatino Linotype" w:hAnsi="Palatino Linotype" w:cs="Arial"/>
        </w:rPr>
        <w:t xml:space="preserve"> de ser procedente</w:t>
      </w:r>
      <w:r w:rsidRPr="00A116CF">
        <w:rPr>
          <w:rFonts w:ascii="Palatino Linotype" w:hAnsi="Palatino Linotype" w:cs="Arial"/>
        </w:rPr>
        <w:t xml:space="preserve">, </w:t>
      </w:r>
      <w:r>
        <w:rPr>
          <w:rFonts w:ascii="Palatino Linotype" w:hAnsi="Palatino Linotype" w:cs="Arial"/>
        </w:rPr>
        <w:t xml:space="preserve">de </w:t>
      </w:r>
      <w:r w:rsidRPr="00A116CF">
        <w:rPr>
          <w:rFonts w:ascii="Palatino Linotype" w:hAnsi="Palatino Linotype" w:cs="Arial"/>
        </w:rPr>
        <w:t>lo siguiente:</w:t>
      </w:r>
    </w:p>
    <w:p w14:paraId="52A03236" w14:textId="77777777" w:rsidR="009A7DBA" w:rsidRPr="009A7DBA" w:rsidRDefault="009A7DBA" w:rsidP="009A7DBA">
      <w:pPr>
        <w:pStyle w:val="Prrafodelista"/>
        <w:numPr>
          <w:ilvl w:val="0"/>
          <w:numId w:val="11"/>
        </w:numPr>
        <w:autoSpaceDE w:val="0"/>
        <w:autoSpaceDN w:val="0"/>
        <w:adjustRightInd w:val="0"/>
        <w:spacing w:line="360" w:lineRule="auto"/>
        <w:jc w:val="both"/>
        <w:rPr>
          <w:rFonts w:ascii="Palatino Linotype" w:hAnsi="Palatino Linotype" w:cs="Arial"/>
          <w:i/>
        </w:rPr>
      </w:pPr>
      <w:r w:rsidRPr="009A7DBA">
        <w:rPr>
          <w:rFonts w:ascii="Palatino Linotype" w:hAnsi="Palatino Linotype" w:cs="Arial"/>
          <w:i/>
        </w:rPr>
        <w:t>El o los documentos en donde conste la cantidad adeudada por el Ayuntamiento de Naucalpan de Juárez a la Comisión del Agua del Estado de México, durante el periodo comprendido del uno de enero de dos mil dieciséis al uno de septiembre de dos mil veintiuno</w:t>
      </w:r>
    </w:p>
    <w:p w14:paraId="66B31071" w14:textId="77777777" w:rsidR="009A7DBA" w:rsidRPr="009A7DBA" w:rsidRDefault="009A7DBA" w:rsidP="009A7DBA">
      <w:pPr>
        <w:pStyle w:val="Prrafodelista"/>
        <w:numPr>
          <w:ilvl w:val="0"/>
          <w:numId w:val="11"/>
        </w:numPr>
        <w:autoSpaceDE w:val="0"/>
        <w:autoSpaceDN w:val="0"/>
        <w:adjustRightInd w:val="0"/>
        <w:spacing w:line="360" w:lineRule="auto"/>
        <w:jc w:val="both"/>
        <w:rPr>
          <w:rFonts w:ascii="Palatino Linotype" w:hAnsi="Palatino Linotype" w:cs="Arial"/>
          <w:i/>
        </w:rPr>
      </w:pPr>
      <w:r w:rsidRPr="009A7DBA">
        <w:rPr>
          <w:rFonts w:ascii="Palatino Linotype" w:hAnsi="Palatino Linotype" w:cs="Arial"/>
          <w:i/>
        </w:rPr>
        <w:lastRenderedPageBreak/>
        <w:t xml:space="preserve">El o los documentos donde consten los pagos que el Ayuntamiento de Naucalpan de Juárez ha realizado a la deuda referida en el numeral 1, al dos de septiembre de dos mil veintiuno. </w:t>
      </w:r>
    </w:p>
    <w:p w14:paraId="7A22BDED" w14:textId="00D4F9C5" w:rsidR="00CA201A" w:rsidRDefault="00CA201A" w:rsidP="00CA201A">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39750C43" w14:textId="77777777" w:rsidR="00CA201A" w:rsidRDefault="00CA201A" w:rsidP="00CA201A">
      <w:pPr>
        <w:pStyle w:val="Prrafodelista"/>
        <w:spacing w:before="240" w:line="360" w:lineRule="auto"/>
        <w:ind w:left="709"/>
        <w:jc w:val="both"/>
        <w:rPr>
          <w:rFonts w:ascii="Palatino Linotype" w:hAnsi="Palatino Linotype" w:cs="Arial"/>
          <w:i/>
        </w:rPr>
      </w:pPr>
    </w:p>
    <w:p w14:paraId="3DB24E33" w14:textId="7DBD1F3A" w:rsidR="00CA201A" w:rsidRDefault="00CA201A" w:rsidP="00CA201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9A7DBA">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C6ECF7E" w14:textId="77777777" w:rsidR="00CA201A" w:rsidRDefault="00CA201A" w:rsidP="00CA201A">
      <w:pPr>
        <w:autoSpaceDE w:val="0"/>
        <w:autoSpaceDN w:val="0"/>
        <w:adjustRightInd w:val="0"/>
        <w:spacing w:before="240" w:line="360" w:lineRule="auto"/>
        <w:jc w:val="both"/>
        <w:rPr>
          <w:rFonts w:ascii="Palatino Linotype" w:hAnsi="Palatino Linotype" w:cs="Arial"/>
          <w:sz w:val="24"/>
          <w:szCs w:val="24"/>
        </w:rPr>
      </w:pPr>
    </w:p>
    <w:p w14:paraId="421B143A" w14:textId="77777777" w:rsidR="00CA201A" w:rsidRDefault="00CA201A" w:rsidP="00CA201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E3CDDD" w14:textId="77777777" w:rsidR="00CA201A" w:rsidRPr="005751B7" w:rsidRDefault="00CA201A" w:rsidP="00CA201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55D5420" w14:textId="77777777" w:rsidR="00CA201A" w:rsidRPr="00F77047" w:rsidRDefault="00CA201A" w:rsidP="00CA201A">
      <w:pPr>
        <w:spacing w:after="0" w:line="360" w:lineRule="auto"/>
        <w:jc w:val="both"/>
        <w:rPr>
          <w:rFonts w:ascii="Palatino Linotype" w:eastAsia="Times New Roman" w:hAnsi="Palatino Linotype" w:cs="Arial"/>
          <w:b/>
          <w:sz w:val="18"/>
          <w:szCs w:val="24"/>
          <w:lang w:eastAsia="es-ES"/>
        </w:rPr>
      </w:pPr>
    </w:p>
    <w:p w14:paraId="18713C59" w14:textId="5FEBE1EC" w:rsidR="00CA201A" w:rsidRDefault="00CA201A" w:rsidP="00CA201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B7EDA">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al </w:t>
      </w:r>
      <w:r w:rsidRPr="008B7EDA">
        <w:rPr>
          <w:rFonts w:ascii="Palatino Linotype" w:eastAsia="Times New Roman" w:hAnsi="Palatino Linotype" w:cs="Arial"/>
          <w:b/>
          <w:sz w:val="24"/>
          <w:szCs w:val="24"/>
          <w:lang w:eastAsia="es-ES"/>
        </w:rPr>
        <w:t>RECURRENTE</w:t>
      </w:r>
      <w:r w:rsidRPr="008B7EDA">
        <w:rPr>
          <w:rFonts w:ascii="Palatino Linotype" w:eastAsia="Times New Roman" w:hAnsi="Palatino Linotype" w:cs="Arial"/>
          <w:sz w:val="24"/>
          <w:szCs w:val="24"/>
          <w:lang w:eastAsia="es-ES"/>
        </w:rPr>
        <w:t xml:space="preserve"> </w:t>
      </w:r>
      <w:r w:rsidR="00A86352" w:rsidRPr="00A86352">
        <w:rPr>
          <w:rFonts w:ascii="Palatino Linotype" w:hAnsi="Palatino Linotype" w:cs="Arial"/>
          <w:sz w:val="24"/>
          <w:szCs w:val="24"/>
        </w:rPr>
        <w:t>a través del Sistema de Acceso a la Información Mexiquense</w:t>
      </w:r>
      <w:r w:rsidR="00A86352" w:rsidRPr="00A86352">
        <w:rPr>
          <w:rFonts w:ascii="Palatino Linotype" w:hAnsi="Palatino Linotype" w:cs="Arial"/>
          <w:b/>
          <w:sz w:val="24"/>
          <w:szCs w:val="24"/>
        </w:rPr>
        <w:t xml:space="preserve"> (SAIMEX)</w:t>
      </w:r>
      <w:r w:rsidR="00A86352" w:rsidRPr="00A86352">
        <w:rPr>
          <w:rFonts w:ascii="Palatino Linotype" w:hAnsi="Palatino Linotype" w:cs="Arial"/>
          <w:sz w:val="24"/>
          <w:szCs w:val="24"/>
        </w:rPr>
        <w:t>,</w:t>
      </w:r>
      <w:r w:rsidR="00A86352" w:rsidRPr="001C7462">
        <w:rPr>
          <w:rFonts w:ascii="Palatino Linotype" w:hAnsi="Palatino Linotype" w:cs="Arial"/>
        </w:rPr>
        <w:t xml:space="preserve"> </w:t>
      </w:r>
      <w:r w:rsidRPr="008B7EDA">
        <w:rPr>
          <w:rFonts w:ascii="Palatino Linotype" w:eastAsia="Times New Roman" w:hAnsi="Palatino Linotype" w:cs="Arial"/>
          <w:sz w:val="24"/>
          <w:szCs w:val="24"/>
          <w:lang w:eastAsia="es-ES"/>
        </w:rPr>
        <w:t xml:space="preserve">y hágase de su conocimiento que, </w:t>
      </w:r>
      <w:r w:rsidRPr="008B7EDA">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76D4A942" w14:textId="77777777" w:rsidR="00A86352" w:rsidRDefault="00A86352" w:rsidP="00CA201A">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1B5B8C1" w14:textId="4F478A66" w:rsidR="009A7DBA" w:rsidRDefault="009A7DBA" w:rsidP="009A7DBA">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sidR="009502C8">
        <w:rPr>
          <w:rFonts w:ascii="Palatino Linotype" w:hAnsi="Palatino Linotype" w:cs="Arial"/>
        </w:rPr>
        <w:t>CUADRAGÉSIMA</w:t>
      </w:r>
      <w:r>
        <w:rPr>
          <w:rFonts w:ascii="Palatino Linotype" w:hAnsi="Palatino Linotype" w:cs="Arial"/>
        </w:rPr>
        <w:t xml:space="preserve"> SESIÓN ORDINARIA CELEBRADA EL </w:t>
      </w:r>
      <w:r w:rsidR="009502C8">
        <w:rPr>
          <w:rFonts w:ascii="Palatino Linotype" w:hAnsi="Palatino Linotype" w:cs="Arial"/>
        </w:rPr>
        <w:t>DIEZ</w:t>
      </w:r>
      <w:r>
        <w:rPr>
          <w:rFonts w:ascii="Palatino Linotype" w:hAnsi="Palatino Linotype" w:cs="Arial"/>
        </w:rPr>
        <w:t xml:space="preserve"> DE NOVIEMBRE DE DOS MIL VEINTIUNO, ANTE EL SECRETARIO TÉCNICO DEL PLENO, ALEXIS TAPIA RAMÍREZ. </w:t>
      </w:r>
    </w:p>
    <w:p w14:paraId="037D8109" w14:textId="311EE8F8" w:rsidR="009A7DBA" w:rsidRPr="00280B8B" w:rsidRDefault="009A7DBA"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00CBDD3D" w14:textId="09DC43C5" w:rsidR="009A7DBA" w:rsidRDefault="00964DA7" w:rsidP="009A7DB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cs="Arial"/>
          <w:noProof/>
          <w:lang w:val="es-MX" w:eastAsia="es-MX"/>
        </w:rPr>
        <mc:AlternateContent>
          <mc:Choice Requires="wps">
            <w:drawing>
              <wp:anchor distT="0" distB="0" distL="114300" distR="114300" simplePos="0" relativeHeight="251760630" behindDoc="0" locked="0" layoutInCell="1" allowOverlap="1" wp14:anchorId="27F30BA8" wp14:editId="599C6E09">
                <wp:simplePos x="0" y="0"/>
                <wp:positionH relativeFrom="column">
                  <wp:posOffset>-390021</wp:posOffset>
                </wp:positionH>
                <wp:positionV relativeFrom="paragraph">
                  <wp:posOffset>141413</wp:posOffset>
                </wp:positionV>
                <wp:extent cx="6733792" cy="1968572"/>
                <wp:effectExtent l="0" t="0" r="29210" b="31750"/>
                <wp:wrapNone/>
                <wp:docPr id="18" name="Conector recto 18"/>
                <wp:cNvGraphicFramePr/>
                <a:graphic xmlns:a="http://schemas.openxmlformats.org/drawingml/2006/main">
                  <a:graphicData uri="http://schemas.microsoft.com/office/word/2010/wordprocessingShape">
                    <wps:wsp>
                      <wps:cNvCnPr/>
                      <wps:spPr>
                        <a:xfrm>
                          <a:off x="0" y="0"/>
                          <a:ext cx="6733792" cy="19685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1DC1A0" id="Conector recto 18" o:spid="_x0000_s1026" style="position:absolute;z-index:2517606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11.15pt" to="499.5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" strokecolor="#5b9bd5 [3204]" strokeweight=".5pt">
                <v:stroke joinstyle="miter"/>
              </v:line>
            </w:pict>
          </mc:Fallback>
        </mc:AlternateContent>
      </w: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47329" w14:textId="77777777" w:rsidR="00E422D7" w:rsidRDefault="00E422D7" w:rsidP="006168E4">
      <w:pPr>
        <w:spacing w:after="0" w:line="240" w:lineRule="auto"/>
      </w:pPr>
      <w:r>
        <w:separator/>
      </w:r>
    </w:p>
  </w:endnote>
  <w:endnote w:type="continuationSeparator" w:id="0">
    <w:p w14:paraId="20380831" w14:textId="77777777" w:rsidR="00E422D7" w:rsidRDefault="00E422D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5427">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5427">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54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5427">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B91A7" w14:textId="77777777" w:rsidR="00E422D7" w:rsidRDefault="00E422D7" w:rsidP="006168E4">
      <w:pPr>
        <w:spacing w:after="0" w:line="240" w:lineRule="auto"/>
      </w:pPr>
      <w:r>
        <w:separator/>
      </w:r>
    </w:p>
  </w:footnote>
  <w:footnote w:type="continuationSeparator" w:id="0">
    <w:p w14:paraId="7AE11918" w14:textId="77777777" w:rsidR="00E422D7" w:rsidRDefault="00E422D7" w:rsidP="006168E4">
      <w:pPr>
        <w:spacing w:after="0" w:line="240" w:lineRule="auto"/>
      </w:pPr>
      <w:r>
        <w:continuationSeparator/>
      </w:r>
    </w:p>
  </w:footnote>
  <w:footnote w:id="1">
    <w:p w14:paraId="1504DEAF" w14:textId="77777777" w:rsidR="007B0046" w:rsidRPr="005552A8" w:rsidRDefault="007B0046" w:rsidP="007B004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6DF95F8" w14:textId="77777777" w:rsidR="007B0046" w:rsidRPr="005552A8" w:rsidRDefault="007B0046" w:rsidP="007B004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72B638CC" w:rsidR="00D338F0" w:rsidRPr="00B4142F" w:rsidRDefault="00F4623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w:t>
          </w:r>
          <w:r w:rsidR="00817A08">
            <w:rPr>
              <w:rFonts w:ascii="Palatino Linotype" w:hAnsi="Palatino Linotype" w:cs="Arial"/>
              <w:bCs/>
              <w:sz w:val="24"/>
              <w:lang w:eastAsia="es-MX"/>
            </w:rPr>
            <w:t>785</w:t>
          </w:r>
          <w:r w:rsidR="00D338F0">
            <w:rPr>
              <w:rFonts w:ascii="Palatino Linotype" w:hAnsi="Palatino Linotype" w:cs="Arial"/>
              <w:bCs/>
              <w:sz w:val="24"/>
              <w:lang w:eastAsia="es-MX"/>
            </w:rPr>
            <w:t>/INFOEM/IP/RR/2021</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4C4F129F" w:rsidR="00D338F0" w:rsidRPr="00F06FED" w:rsidRDefault="00817A08" w:rsidP="00F4623D">
          <w:pPr>
            <w:spacing w:after="120" w:line="256" w:lineRule="auto"/>
            <w:ind w:left="639" w:right="214"/>
            <w:jc w:val="both"/>
            <w:rPr>
              <w:rFonts w:ascii="Palatino Linotype" w:hAnsi="Palatino Linotype" w:cs="Arial"/>
            </w:rPr>
          </w:pPr>
          <w:r>
            <w:rPr>
              <w:rFonts w:ascii="Palatino Linotype" w:hAnsi="Palatino Linotype" w:cs="Arial"/>
              <w:szCs w:val="20"/>
            </w:rPr>
            <w:t>Comisión del Agua del Estado de México</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03A0FF52" w:rsidR="00D338F0" w:rsidRPr="00B4142F" w:rsidRDefault="00F4623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w:t>
          </w:r>
          <w:r w:rsidR="00817A08">
            <w:rPr>
              <w:rFonts w:ascii="Palatino Linotype" w:hAnsi="Palatino Linotype" w:cs="Arial"/>
              <w:bCs/>
              <w:sz w:val="24"/>
              <w:lang w:eastAsia="es-MX"/>
            </w:rPr>
            <w:t>785</w:t>
          </w:r>
          <w:r w:rsidR="00D338F0">
            <w:rPr>
              <w:rFonts w:ascii="Palatino Linotype" w:hAnsi="Palatino Linotype" w:cs="Arial"/>
              <w:bCs/>
              <w:sz w:val="24"/>
              <w:lang w:eastAsia="es-MX"/>
            </w:rPr>
            <w:t>/INFOEM/IP/RR/2021</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4F401B8C" w:rsidR="00D338F0" w:rsidRPr="00F06FED" w:rsidRDefault="006D5427"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w:t>
          </w:r>
          <w:proofErr w:type="spellEnd"/>
          <w:r w:rsidR="00F4623D">
            <w:rPr>
              <w:rFonts w:ascii="Palatino Linotype" w:hAnsi="Palatino Linotype" w:cs="Arial"/>
            </w:rPr>
            <w:t xml:space="preserve"> </w:t>
          </w:r>
          <w:r w:rsidR="00D338F0">
            <w:rPr>
              <w:rFonts w:ascii="Palatino Linotype" w:hAnsi="Palatino Linotype" w:cs="Arial"/>
            </w:rPr>
            <w:t xml:space="preserve">    </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0B8D7600" w:rsidR="00D338F0" w:rsidRDefault="00817A08"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Comisión del Agua del Estado de México</w:t>
          </w:r>
          <w:r w:rsidR="00D338F0">
            <w:rPr>
              <w:rFonts w:ascii="Palatino Linotype" w:hAnsi="Palatino Linotype" w:cs="Arial"/>
              <w:szCs w:val="20"/>
            </w:rPr>
            <w:t xml:space="preserve"> </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0EC"/>
    <w:multiLevelType w:val="hybridMultilevel"/>
    <w:tmpl w:val="9FCC05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E93DDC"/>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47636"/>
    <w:multiLevelType w:val="hybridMultilevel"/>
    <w:tmpl w:val="F87404DC"/>
    <w:lvl w:ilvl="0" w:tplc="A78C276A">
      <w:start w:val="1"/>
      <w:numFmt w:val="lowerLetter"/>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11D88"/>
    <w:multiLevelType w:val="hybridMultilevel"/>
    <w:tmpl w:val="B8F88A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957653"/>
    <w:multiLevelType w:val="hybridMultilevel"/>
    <w:tmpl w:val="60B439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2032CC"/>
    <w:multiLevelType w:val="hybridMultilevel"/>
    <w:tmpl w:val="DC38D6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C3EF6"/>
    <w:multiLevelType w:val="hybridMultilevel"/>
    <w:tmpl w:val="59C8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11A6E"/>
    <w:multiLevelType w:val="hybridMultilevel"/>
    <w:tmpl w:val="6B645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C53F21"/>
    <w:multiLevelType w:val="hybridMultilevel"/>
    <w:tmpl w:val="4EDE2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732E01"/>
    <w:multiLevelType w:val="hybridMultilevel"/>
    <w:tmpl w:val="1FAC8706"/>
    <w:lvl w:ilvl="0" w:tplc="D9F29C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F730FDF"/>
    <w:multiLevelType w:val="hybridMultilevel"/>
    <w:tmpl w:val="10528C5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650D7D26"/>
    <w:multiLevelType w:val="hybridMultilevel"/>
    <w:tmpl w:val="D38E82C2"/>
    <w:lvl w:ilvl="0" w:tplc="22769586">
      <w:start w:val="5"/>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9965F20"/>
    <w:multiLevelType w:val="hybridMultilevel"/>
    <w:tmpl w:val="1FE4C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437A45"/>
    <w:multiLevelType w:val="hybridMultilevel"/>
    <w:tmpl w:val="D7EC022C"/>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7FB33CC7"/>
    <w:multiLevelType w:val="hybridMultilevel"/>
    <w:tmpl w:val="9E5E1164"/>
    <w:lvl w:ilvl="0" w:tplc="D07823B8">
      <w:start w:val="4245"/>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4"/>
  </w:num>
  <w:num w:numId="4">
    <w:abstractNumId w:val="17"/>
  </w:num>
  <w:num w:numId="5">
    <w:abstractNumId w:val="1"/>
  </w:num>
  <w:num w:numId="6">
    <w:abstractNumId w:val="8"/>
  </w:num>
  <w:num w:numId="7">
    <w:abstractNumId w:val="11"/>
  </w:num>
  <w:num w:numId="8">
    <w:abstractNumId w:val="13"/>
  </w:num>
  <w:num w:numId="9">
    <w:abstractNumId w:val="5"/>
  </w:num>
  <w:num w:numId="10">
    <w:abstractNumId w:val="14"/>
  </w:num>
  <w:num w:numId="11">
    <w:abstractNumId w:val="2"/>
  </w:num>
  <w:num w:numId="12">
    <w:abstractNumId w:val="16"/>
  </w:num>
  <w:num w:numId="13">
    <w:abstractNumId w:val="12"/>
  </w:num>
  <w:num w:numId="14">
    <w:abstractNumId w:val="7"/>
  </w:num>
  <w:num w:numId="15">
    <w:abstractNumId w:val="3"/>
  </w:num>
  <w:num w:numId="16">
    <w:abstractNumId w:val="15"/>
  </w:num>
  <w:num w:numId="17">
    <w:abstractNumId w:val="6"/>
  </w:num>
  <w:num w:numId="1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306A7"/>
    <w:rsid w:val="00031605"/>
    <w:rsid w:val="00032CE7"/>
    <w:rsid w:val="0004190A"/>
    <w:rsid w:val="00041F04"/>
    <w:rsid w:val="000426E3"/>
    <w:rsid w:val="00045379"/>
    <w:rsid w:val="00045B3C"/>
    <w:rsid w:val="0004682D"/>
    <w:rsid w:val="00047EAF"/>
    <w:rsid w:val="00055224"/>
    <w:rsid w:val="00061821"/>
    <w:rsid w:val="000623F9"/>
    <w:rsid w:val="00063A10"/>
    <w:rsid w:val="00063AE3"/>
    <w:rsid w:val="000662F8"/>
    <w:rsid w:val="00066B01"/>
    <w:rsid w:val="00071571"/>
    <w:rsid w:val="00073CC6"/>
    <w:rsid w:val="00073E78"/>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372C"/>
    <w:rsid w:val="00105C41"/>
    <w:rsid w:val="00111DCD"/>
    <w:rsid w:val="00113D3E"/>
    <w:rsid w:val="00114CF9"/>
    <w:rsid w:val="00115F16"/>
    <w:rsid w:val="001164A1"/>
    <w:rsid w:val="001179DB"/>
    <w:rsid w:val="00121ED7"/>
    <w:rsid w:val="00124855"/>
    <w:rsid w:val="001254F5"/>
    <w:rsid w:val="00136FAD"/>
    <w:rsid w:val="0014029B"/>
    <w:rsid w:val="00146C08"/>
    <w:rsid w:val="00146F0A"/>
    <w:rsid w:val="00152C2B"/>
    <w:rsid w:val="0015319B"/>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726A"/>
    <w:rsid w:val="00193784"/>
    <w:rsid w:val="0019396C"/>
    <w:rsid w:val="001957D7"/>
    <w:rsid w:val="001A02EC"/>
    <w:rsid w:val="001A1D9B"/>
    <w:rsid w:val="001A1FF5"/>
    <w:rsid w:val="001A318E"/>
    <w:rsid w:val="001A577E"/>
    <w:rsid w:val="001A7C9B"/>
    <w:rsid w:val="001B05B9"/>
    <w:rsid w:val="001B7B88"/>
    <w:rsid w:val="001C01B7"/>
    <w:rsid w:val="001C1363"/>
    <w:rsid w:val="001C2D1E"/>
    <w:rsid w:val="001C3E7E"/>
    <w:rsid w:val="001C5B3C"/>
    <w:rsid w:val="001C7319"/>
    <w:rsid w:val="001C7D87"/>
    <w:rsid w:val="001D3DE9"/>
    <w:rsid w:val="001D3E87"/>
    <w:rsid w:val="001D4438"/>
    <w:rsid w:val="001D4669"/>
    <w:rsid w:val="001D7575"/>
    <w:rsid w:val="001F3F3C"/>
    <w:rsid w:val="00211C66"/>
    <w:rsid w:val="0021296D"/>
    <w:rsid w:val="00212CB5"/>
    <w:rsid w:val="0021501E"/>
    <w:rsid w:val="00215A83"/>
    <w:rsid w:val="00216ABF"/>
    <w:rsid w:val="00217852"/>
    <w:rsid w:val="00220339"/>
    <w:rsid w:val="002205C0"/>
    <w:rsid w:val="00226760"/>
    <w:rsid w:val="00231D77"/>
    <w:rsid w:val="002324F1"/>
    <w:rsid w:val="0023373D"/>
    <w:rsid w:val="0023423C"/>
    <w:rsid w:val="00236C82"/>
    <w:rsid w:val="0024638F"/>
    <w:rsid w:val="00246807"/>
    <w:rsid w:val="00247D10"/>
    <w:rsid w:val="00250470"/>
    <w:rsid w:val="00252985"/>
    <w:rsid w:val="002577FE"/>
    <w:rsid w:val="00266E00"/>
    <w:rsid w:val="002674C9"/>
    <w:rsid w:val="00271EED"/>
    <w:rsid w:val="00273D0E"/>
    <w:rsid w:val="0028788A"/>
    <w:rsid w:val="002915F2"/>
    <w:rsid w:val="00292885"/>
    <w:rsid w:val="002942AD"/>
    <w:rsid w:val="00297140"/>
    <w:rsid w:val="00297368"/>
    <w:rsid w:val="002A0104"/>
    <w:rsid w:val="002A2034"/>
    <w:rsid w:val="002A24F4"/>
    <w:rsid w:val="002A38BF"/>
    <w:rsid w:val="002A597E"/>
    <w:rsid w:val="002B1C1D"/>
    <w:rsid w:val="002B5069"/>
    <w:rsid w:val="002B5DBD"/>
    <w:rsid w:val="002B70DD"/>
    <w:rsid w:val="002C51F7"/>
    <w:rsid w:val="002C72D2"/>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A67"/>
    <w:rsid w:val="0032220E"/>
    <w:rsid w:val="003266DA"/>
    <w:rsid w:val="003272FB"/>
    <w:rsid w:val="00330F3C"/>
    <w:rsid w:val="003349F3"/>
    <w:rsid w:val="003507D3"/>
    <w:rsid w:val="00353C25"/>
    <w:rsid w:val="00356E3E"/>
    <w:rsid w:val="00357457"/>
    <w:rsid w:val="00361B9C"/>
    <w:rsid w:val="0036339F"/>
    <w:rsid w:val="00364209"/>
    <w:rsid w:val="00365DA0"/>
    <w:rsid w:val="00367CC7"/>
    <w:rsid w:val="003733F5"/>
    <w:rsid w:val="00375BBA"/>
    <w:rsid w:val="00376CEC"/>
    <w:rsid w:val="00380010"/>
    <w:rsid w:val="00380758"/>
    <w:rsid w:val="003812E0"/>
    <w:rsid w:val="003869DF"/>
    <w:rsid w:val="00394A1E"/>
    <w:rsid w:val="00397C0C"/>
    <w:rsid w:val="003A378D"/>
    <w:rsid w:val="003A61F9"/>
    <w:rsid w:val="003B1E88"/>
    <w:rsid w:val="003B4030"/>
    <w:rsid w:val="003B5FD0"/>
    <w:rsid w:val="003C4F65"/>
    <w:rsid w:val="003C5DEB"/>
    <w:rsid w:val="003D2D99"/>
    <w:rsid w:val="003D78A3"/>
    <w:rsid w:val="003E05A5"/>
    <w:rsid w:val="003E128A"/>
    <w:rsid w:val="003E16E1"/>
    <w:rsid w:val="003E5144"/>
    <w:rsid w:val="003F3A54"/>
    <w:rsid w:val="004012CF"/>
    <w:rsid w:val="00402FF3"/>
    <w:rsid w:val="00403A1E"/>
    <w:rsid w:val="004069EB"/>
    <w:rsid w:val="004071A7"/>
    <w:rsid w:val="00412901"/>
    <w:rsid w:val="00417E4F"/>
    <w:rsid w:val="00423213"/>
    <w:rsid w:val="00423ECD"/>
    <w:rsid w:val="0042416D"/>
    <w:rsid w:val="00426B98"/>
    <w:rsid w:val="0042798A"/>
    <w:rsid w:val="00433D7C"/>
    <w:rsid w:val="00442582"/>
    <w:rsid w:val="00442C1A"/>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180A"/>
    <w:rsid w:val="00481C7A"/>
    <w:rsid w:val="004855D1"/>
    <w:rsid w:val="004857CF"/>
    <w:rsid w:val="0049054A"/>
    <w:rsid w:val="004906C8"/>
    <w:rsid w:val="004967E2"/>
    <w:rsid w:val="004A290F"/>
    <w:rsid w:val="004A5FFD"/>
    <w:rsid w:val="004A7CE2"/>
    <w:rsid w:val="004B15D1"/>
    <w:rsid w:val="004B38AC"/>
    <w:rsid w:val="004B7109"/>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0D7E"/>
    <w:rsid w:val="005211D9"/>
    <w:rsid w:val="00521E57"/>
    <w:rsid w:val="00522FD2"/>
    <w:rsid w:val="00524E8D"/>
    <w:rsid w:val="005305C0"/>
    <w:rsid w:val="005305EA"/>
    <w:rsid w:val="00530F74"/>
    <w:rsid w:val="00531170"/>
    <w:rsid w:val="00531E1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2979"/>
    <w:rsid w:val="005733EB"/>
    <w:rsid w:val="00575651"/>
    <w:rsid w:val="005759BB"/>
    <w:rsid w:val="00576BCC"/>
    <w:rsid w:val="005803A1"/>
    <w:rsid w:val="00580802"/>
    <w:rsid w:val="00581A22"/>
    <w:rsid w:val="00582A33"/>
    <w:rsid w:val="0058671A"/>
    <w:rsid w:val="00593E91"/>
    <w:rsid w:val="005A0B49"/>
    <w:rsid w:val="005A6D57"/>
    <w:rsid w:val="005B36D5"/>
    <w:rsid w:val="005B5B70"/>
    <w:rsid w:val="005B5F05"/>
    <w:rsid w:val="005B60F0"/>
    <w:rsid w:val="005C04BB"/>
    <w:rsid w:val="005C123F"/>
    <w:rsid w:val="005C6605"/>
    <w:rsid w:val="005C6982"/>
    <w:rsid w:val="005D15A3"/>
    <w:rsid w:val="005D1602"/>
    <w:rsid w:val="005D2B59"/>
    <w:rsid w:val="005D362F"/>
    <w:rsid w:val="005D370F"/>
    <w:rsid w:val="005E2749"/>
    <w:rsid w:val="005E46D0"/>
    <w:rsid w:val="005E48E4"/>
    <w:rsid w:val="005E4D7C"/>
    <w:rsid w:val="005F048E"/>
    <w:rsid w:val="005F4734"/>
    <w:rsid w:val="005F57F0"/>
    <w:rsid w:val="0061042F"/>
    <w:rsid w:val="00610C37"/>
    <w:rsid w:val="006114BA"/>
    <w:rsid w:val="006168E4"/>
    <w:rsid w:val="00626A70"/>
    <w:rsid w:val="006323CA"/>
    <w:rsid w:val="006329AB"/>
    <w:rsid w:val="00633DE8"/>
    <w:rsid w:val="006360F3"/>
    <w:rsid w:val="00636327"/>
    <w:rsid w:val="006369B4"/>
    <w:rsid w:val="00637512"/>
    <w:rsid w:val="00640EE4"/>
    <w:rsid w:val="006466F5"/>
    <w:rsid w:val="0064761A"/>
    <w:rsid w:val="00650C5E"/>
    <w:rsid w:val="0065263E"/>
    <w:rsid w:val="00652A6B"/>
    <w:rsid w:val="00657DAD"/>
    <w:rsid w:val="00660C59"/>
    <w:rsid w:val="00661753"/>
    <w:rsid w:val="00667DD9"/>
    <w:rsid w:val="00677379"/>
    <w:rsid w:val="006848B7"/>
    <w:rsid w:val="00686FD5"/>
    <w:rsid w:val="00697278"/>
    <w:rsid w:val="006A04CA"/>
    <w:rsid w:val="006A2BEC"/>
    <w:rsid w:val="006B1953"/>
    <w:rsid w:val="006B1BF1"/>
    <w:rsid w:val="006B26E3"/>
    <w:rsid w:val="006B34A6"/>
    <w:rsid w:val="006B4B63"/>
    <w:rsid w:val="006B5DDC"/>
    <w:rsid w:val="006B68FC"/>
    <w:rsid w:val="006B7294"/>
    <w:rsid w:val="006B7444"/>
    <w:rsid w:val="006C698B"/>
    <w:rsid w:val="006D23FC"/>
    <w:rsid w:val="006D5427"/>
    <w:rsid w:val="006D7FD9"/>
    <w:rsid w:val="006F3C14"/>
    <w:rsid w:val="00701033"/>
    <w:rsid w:val="00701B61"/>
    <w:rsid w:val="00702C82"/>
    <w:rsid w:val="00703614"/>
    <w:rsid w:val="007164CD"/>
    <w:rsid w:val="007172F5"/>
    <w:rsid w:val="00717E41"/>
    <w:rsid w:val="0072689F"/>
    <w:rsid w:val="00732104"/>
    <w:rsid w:val="00736D41"/>
    <w:rsid w:val="00741327"/>
    <w:rsid w:val="00742EAF"/>
    <w:rsid w:val="00744EEF"/>
    <w:rsid w:val="007456B7"/>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486A"/>
    <w:rsid w:val="00794F80"/>
    <w:rsid w:val="0079735D"/>
    <w:rsid w:val="007A1C9E"/>
    <w:rsid w:val="007A3206"/>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20AC"/>
    <w:rsid w:val="007F53A0"/>
    <w:rsid w:val="007F7A92"/>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7D23"/>
    <w:rsid w:val="0085196B"/>
    <w:rsid w:val="00853BED"/>
    <w:rsid w:val="00863327"/>
    <w:rsid w:val="00870F44"/>
    <w:rsid w:val="00871DC1"/>
    <w:rsid w:val="008724F6"/>
    <w:rsid w:val="00884054"/>
    <w:rsid w:val="00887CDA"/>
    <w:rsid w:val="008936E7"/>
    <w:rsid w:val="00895089"/>
    <w:rsid w:val="008951ED"/>
    <w:rsid w:val="008A0A23"/>
    <w:rsid w:val="008A68CA"/>
    <w:rsid w:val="008A75BE"/>
    <w:rsid w:val="008B02FB"/>
    <w:rsid w:val="008B0679"/>
    <w:rsid w:val="008B3A59"/>
    <w:rsid w:val="008B42B1"/>
    <w:rsid w:val="008B5224"/>
    <w:rsid w:val="008B7382"/>
    <w:rsid w:val="008C0375"/>
    <w:rsid w:val="008C32A8"/>
    <w:rsid w:val="008C55A3"/>
    <w:rsid w:val="008C5A03"/>
    <w:rsid w:val="008C5E94"/>
    <w:rsid w:val="008D038F"/>
    <w:rsid w:val="008D4154"/>
    <w:rsid w:val="008D4EB7"/>
    <w:rsid w:val="008D6297"/>
    <w:rsid w:val="008D6D04"/>
    <w:rsid w:val="008E3791"/>
    <w:rsid w:val="008E6375"/>
    <w:rsid w:val="008F0117"/>
    <w:rsid w:val="008F4C65"/>
    <w:rsid w:val="00905422"/>
    <w:rsid w:val="00913133"/>
    <w:rsid w:val="00913221"/>
    <w:rsid w:val="00920128"/>
    <w:rsid w:val="00921DB9"/>
    <w:rsid w:val="0092403D"/>
    <w:rsid w:val="009268BB"/>
    <w:rsid w:val="00926D4D"/>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8182D"/>
    <w:rsid w:val="00990C92"/>
    <w:rsid w:val="00991F20"/>
    <w:rsid w:val="009923E0"/>
    <w:rsid w:val="00997E87"/>
    <w:rsid w:val="009A0AF8"/>
    <w:rsid w:val="009A1139"/>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E0867"/>
    <w:rsid w:val="009E1411"/>
    <w:rsid w:val="009E45A0"/>
    <w:rsid w:val="009E52F2"/>
    <w:rsid w:val="009F0515"/>
    <w:rsid w:val="009F1A4C"/>
    <w:rsid w:val="009F3C1F"/>
    <w:rsid w:val="009F614E"/>
    <w:rsid w:val="009F6571"/>
    <w:rsid w:val="009F762B"/>
    <w:rsid w:val="00A00E96"/>
    <w:rsid w:val="00A02047"/>
    <w:rsid w:val="00A036BE"/>
    <w:rsid w:val="00A12205"/>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65E7"/>
    <w:rsid w:val="00A625E2"/>
    <w:rsid w:val="00A67B13"/>
    <w:rsid w:val="00A71080"/>
    <w:rsid w:val="00A72465"/>
    <w:rsid w:val="00A72DCB"/>
    <w:rsid w:val="00A75001"/>
    <w:rsid w:val="00A80C92"/>
    <w:rsid w:val="00A82461"/>
    <w:rsid w:val="00A83323"/>
    <w:rsid w:val="00A85006"/>
    <w:rsid w:val="00A851D8"/>
    <w:rsid w:val="00A86352"/>
    <w:rsid w:val="00A90295"/>
    <w:rsid w:val="00A9227B"/>
    <w:rsid w:val="00A93540"/>
    <w:rsid w:val="00A953BA"/>
    <w:rsid w:val="00AA1A2C"/>
    <w:rsid w:val="00AA207C"/>
    <w:rsid w:val="00AA5D62"/>
    <w:rsid w:val="00AB3710"/>
    <w:rsid w:val="00AB37EB"/>
    <w:rsid w:val="00AB4B0F"/>
    <w:rsid w:val="00AB6C3B"/>
    <w:rsid w:val="00AC1971"/>
    <w:rsid w:val="00AD15A7"/>
    <w:rsid w:val="00AD6BEE"/>
    <w:rsid w:val="00AE008F"/>
    <w:rsid w:val="00AE1EF2"/>
    <w:rsid w:val="00AE33FE"/>
    <w:rsid w:val="00AF1248"/>
    <w:rsid w:val="00AF55AC"/>
    <w:rsid w:val="00B07D6D"/>
    <w:rsid w:val="00B1003A"/>
    <w:rsid w:val="00B11E08"/>
    <w:rsid w:val="00B12E48"/>
    <w:rsid w:val="00B13C33"/>
    <w:rsid w:val="00B26C37"/>
    <w:rsid w:val="00B32CD3"/>
    <w:rsid w:val="00B35A93"/>
    <w:rsid w:val="00B3635B"/>
    <w:rsid w:val="00B3672D"/>
    <w:rsid w:val="00B36D2B"/>
    <w:rsid w:val="00B47192"/>
    <w:rsid w:val="00B4745C"/>
    <w:rsid w:val="00B477AC"/>
    <w:rsid w:val="00B61D75"/>
    <w:rsid w:val="00B62F0D"/>
    <w:rsid w:val="00B7258D"/>
    <w:rsid w:val="00B72B0F"/>
    <w:rsid w:val="00B72D1B"/>
    <w:rsid w:val="00B741B2"/>
    <w:rsid w:val="00B75A86"/>
    <w:rsid w:val="00B80028"/>
    <w:rsid w:val="00B833EA"/>
    <w:rsid w:val="00B85271"/>
    <w:rsid w:val="00B85EF3"/>
    <w:rsid w:val="00B9223B"/>
    <w:rsid w:val="00B97604"/>
    <w:rsid w:val="00BA11EC"/>
    <w:rsid w:val="00BA4D1F"/>
    <w:rsid w:val="00BA7AD1"/>
    <w:rsid w:val="00BB04EC"/>
    <w:rsid w:val="00BB2250"/>
    <w:rsid w:val="00BB4A68"/>
    <w:rsid w:val="00BB739A"/>
    <w:rsid w:val="00BC0FDD"/>
    <w:rsid w:val="00BC14E6"/>
    <w:rsid w:val="00BC22E0"/>
    <w:rsid w:val="00BD30FE"/>
    <w:rsid w:val="00BD65B1"/>
    <w:rsid w:val="00BE0F79"/>
    <w:rsid w:val="00BE21EF"/>
    <w:rsid w:val="00BE28ED"/>
    <w:rsid w:val="00BE3E18"/>
    <w:rsid w:val="00BE688D"/>
    <w:rsid w:val="00BE7C9B"/>
    <w:rsid w:val="00BF01A7"/>
    <w:rsid w:val="00BF1ECA"/>
    <w:rsid w:val="00BF3F7C"/>
    <w:rsid w:val="00C00463"/>
    <w:rsid w:val="00C0147E"/>
    <w:rsid w:val="00C03F20"/>
    <w:rsid w:val="00C04FE4"/>
    <w:rsid w:val="00C25084"/>
    <w:rsid w:val="00C30A4F"/>
    <w:rsid w:val="00C41665"/>
    <w:rsid w:val="00C41758"/>
    <w:rsid w:val="00C429E1"/>
    <w:rsid w:val="00C462F8"/>
    <w:rsid w:val="00C70B66"/>
    <w:rsid w:val="00C71CD1"/>
    <w:rsid w:val="00C73143"/>
    <w:rsid w:val="00C77685"/>
    <w:rsid w:val="00C77815"/>
    <w:rsid w:val="00C80100"/>
    <w:rsid w:val="00C8239D"/>
    <w:rsid w:val="00C8491D"/>
    <w:rsid w:val="00C85378"/>
    <w:rsid w:val="00C928F1"/>
    <w:rsid w:val="00C9297C"/>
    <w:rsid w:val="00C9700F"/>
    <w:rsid w:val="00CA201A"/>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6B6C"/>
    <w:rsid w:val="00D01197"/>
    <w:rsid w:val="00D042BB"/>
    <w:rsid w:val="00D058B0"/>
    <w:rsid w:val="00D05C8E"/>
    <w:rsid w:val="00D06CA0"/>
    <w:rsid w:val="00D11F7D"/>
    <w:rsid w:val="00D11FC3"/>
    <w:rsid w:val="00D13098"/>
    <w:rsid w:val="00D17789"/>
    <w:rsid w:val="00D1789C"/>
    <w:rsid w:val="00D17B5C"/>
    <w:rsid w:val="00D17EDC"/>
    <w:rsid w:val="00D20AC2"/>
    <w:rsid w:val="00D21565"/>
    <w:rsid w:val="00D226BE"/>
    <w:rsid w:val="00D25860"/>
    <w:rsid w:val="00D2737E"/>
    <w:rsid w:val="00D274A9"/>
    <w:rsid w:val="00D32347"/>
    <w:rsid w:val="00D32644"/>
    <w:rsid w:val="00D33229"/>
    <w:rsid w:val="00D33619"/>
    <w:rsid w:val="00D338F0"/>
    <w:rsid w:val="00D40FD4"/>
    <w:rsid w:val="00D52AC7"/>
    <w:rsid w:val="00D53772"/>
    <w:rsid w:val="00D54CA9"/>
    <w:rsid w:val="00D556EC"/>
    <w:rsid w:val="00D56D67"/>
    <w:rsid w:val="00D6340F"/>
    <w:rsid w:val="00D72D16"/>
    <w:rsid w:val="00D74213"/>
    <w:rsid w:val="00D8049E"/>
    <w:rsid w:val="00D804D4"/>
    <w:rsid w:val="00D81914"/>
    <w:rsid w:val="00D8195B"/>
    <w:rsid w:val="00D8561C"/>
    <w:rsid w:val="00D8619F"/>
    <w:rsid w:val="00D86764"/>
    <w:rsid w:val="00D924C9"/>
    <w:rsid w:val="00D957E3"/>
    <w:rsid w:val="00D970E2"/>
    <w:rsid w:val="00DA5ABC"/>
    <w:rsid w:val="00DB235D"/>
    <w:rsid w:val="00DB2772"/>
    <w:rsid w:val="00DB5528"/>
    <w:rsid w:val="00DB5C0A"/>
    <w:rsid w:val="00DB5E40"/>
    <w:rsid w:val="00DC0C93"/>
    <w:rsid w:val="00DC0E09"/>
    <w:rsid w:val="00DC168A"/>
    <w:rsid w:val="00DD13E2"/>
    <w:rsid w:val="00DE153B"/>
    <w:rsid w:val="00DE3B70"/>
    <w:rsid w:val="00DF003C"/>
    <w:rsid w:val="00DF4501"/>
    <w:rsid w:val="00DF723C"/>
    <w:rsid w:val="00DF783E"/>
    <w:rsid w:val="00DF78AE"/>
    <w:rsid w:val="00E029A8"/>
    <w:rsid w:val="00E117EC"/>
    <w:rsid w:val="00E11E2E"/>
    <w:rsid w:val="00E24CF4"/>
    <w:rsid w:val="00E27279"/>
    <w:rsid w:val="00E31699"/>
    <w:rsid w:val="00E316D8"/>
    <w:rsid w:val="00E32707"/>
    <w:rsid w:val="00E348A5"/>
    <w:rsid w:val="00E371EC"/>
    <w:rsid w:val="00E422D7"/>
    <w:rsid w:val="00E6063A"/>
    <w:rsid w:val="00E62A59"/>
    <w:rsid w:val="00E64A3C"/>
    <w:rsid w:val="00E65AC5"/>
    <w:rsid w:val="00E679CA"/>
    <w:rsid w:val="00E703E8"/>
    <w:rsid w:val="00E72AE3"/>
    <w:rsid w:val="00E73B0B"/>
    <w:rsid w:val="00E73B51"/>
    <w:rsid w:val="00E743B7"/>
    <w:rsid w:val="00E76D3D"/>
    <w:rsid w:val="00E81B17"/>
    <w:rsid w:val="00E8308B"/>
    <w:rsid w:val="00E83125"/>
    <w:rsid w:val="00E83F26"/>
    <w:rsid w:val="00E86A13"/>
    <w:rsid w:val="00E86CA7"/>
    <w:rsid w:val="00EA1F89"/>
    <w:rsid w:val="00EA5BCC"/>
    <w:rsid w:val="00EB117B"/>
    <w:rsid w:val="00EB15E0"/>
    <w:rsid w:val="00EB39C0"/>
    <w:rsid w:val="00EB40D6"/>
    <w:rsid w:val="00EB5F75"/>
    <w:rsid w:val="00EB79CD"/>
    <w:rsid w:val="00EB7F18"/>
    <w:rsid w:val="00EC305D"/>
    <w:rsid w:val="00EC3BF2"/>
    <w:rsid w:val="00EC3C36"/>
    <w:rsid w:val="00ED6131"/>
    <w:rsid w:val="00EE0578"/>
    <w:rsid w:val="00EE0F2E"/>
    <w:rsid w:val="00EE1454"/>
    <w:rsid w:val="00EE2A41"/>
    <w:rsid w:val="00EE2C8C"/>
    <w:rsid w:val="00EE3054"/>
    <w:rsid w:val="00EE575D"/>
    <w:rsid w:val="00EE5F8D"/>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993"/>
    <w:rsid w:val="00F403EA"/>
    <w:rsid w:val="00F42753"/>
    <w:rsid w:val="00F4623D"/>
    <w:rsid w:val="00F47DEC"/>
    <w:rsid w:val="00F510DB"/>
    <w:rsid w:val="00F54525"/>
    <w:rsid w:val="00F56B30"/>
    <w:rsid w:val="00F64643"/>
    <w:rsid w:val="00F727B0"/>
    <w:rsid w:val="00F72B5D"/>
    <w:rsid w:val="00F750BE"/>
    <w:rsid w:val="00F84FFF"/>
    <w:rsid w:val="00F90E93"/>
    <w:rsid w:val="00F91F36"/>
    <w:rsid w:val="00F94BD5"/>
    <w:rsid w:val="00F95A73"/>
    <w:rsid w:val="00F97F52"/>
    <w:rsid w:val="00FA2545"/>
    <w:rsid w:val="00FA5036"/>
    <w:rsid w:val="00FB2CFE"/>
    <w:rsid w:val="00FB4AAD"/>
    <w:rsid w:val="00FB4E3D"/>
    <w:rsid w:val="00FB5348"/>
    <w:rsid w:val="00FB5F2A"/>
    <w:rsid w:val="00FC02ED"/>
    <w:rsid w:val="00FC4E89"/>
    <w:rsid w:val="00FC4F9B"/>
    <w:rsid w:val="00FC59F0"/>
    <w:rsid w:val="00FC5E56"/>
    <w:rsid w:val="00FD2899"/>
    <w:rsid w:val="00FD4599"/>
    <w:rsid w:val="00FD4784"/>
    <w:rsid w:val="00FD65FE"/>
    <w:rsid w:val="00FD68C0"/>
    <w:rsid w:val="00FD6B1B"/>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AEM/art_92_ii_b/3.web"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ido/transparencia/directorio-de-sujetos-obligad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11E40-E300-409F-85FA-CB757EA4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37</Pages>
  <Words>7103</Words>
  <Characters>39067</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44</cp:revision>
  <cp:lastPrinted>2020-01-30T23:10:00Z</cp:lastPrinted>
  <dcterms:created xsi:type="dcterms:W3CDTF">2021-09-14T16:10:00Z</dcterms:created>
  <dcterms:modified xsi:type="dcterms:W3CDTF">2021-11-29T18:42:00Z</dcterms:modified>
</cp:coreProperties>
</file>