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566FA033"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72112">
        <w:rPr>
          <w:rFonts w:ascii="Palatino Linotype" w:eastAsia="Times New Roman" w:hAnsi="Palatino Linotype" w:cs="Arial"/>
          <w:color w:val="000000"/>
          <w:sz w:val="24"/>
          <w:szCs w:val="24"/>
          <w:lang w:eastAsia="es-MX"/>
        </w:rPr>
        <w:t>treinta</w:t>
      </w:r>
      <w:r w:rsidR="003A241D">
        <w:rPr>
          <w:rFonts w:ascii="Palatino Linotype" w:eastAsia="Times New Roman" w:hAnsi="Palatino Linotype" w:cs="Arial"/>
          <w:color w:val="000000"/>
          <w:sz w:val="24"/>
          <w:szCs w:val="24"/>
          <w:lang w:eastAsia="es-MX"/>
        </w:rPr>
        <w:t xml:space="preserve"> de junio de dos mil veintiuno.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7B7E8E18" w14:textId="0EA68E54" w:rsidR="00672112" w:rsidRPr="00672112"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672112">
        <w:rPr>
          <w:rFonts w:ascii="Palatino Linotype" w:hAnsi="Palatino Linotype" w:cs="Arial"/>
          <w:b/>
          <w:sz w:val="24"/>
        </w:rPr>
        <w:t>02770</w:t>
      </w:r>
      <w:r w:rsidR="00E138CC">
        <w:rPr>
          <w:rFonts w:ascii="Palatino Linotype" w:hAnsi="Palatino Linotype" w:cs="Arial"/>
          <w:b/>
          <w:sz w:val="24"/>
        </w:rPr>
        <w:t>/INFOEM/IP/RR/2021</w:t>
      </w:r>
      <w:r>
        <w:rPr>
          <w:rFonts w:ascii="Palatino Linotype" w:hAnsi="Palatino Linotype" w:cs="Arial"/>
          <w:b/>
          <w:sz w:val="24"/>
        </w:rPr>
        <w:t xml:space="preserve">, </w:t>
      </w:r>
      <w:r>
        <w:rPr>
          <w:rFonts w:ascii="Palatino Linotype" w:hAnsi="Palatino Linotype" w:cs="Arial"/>
          <w:sz w:val="24"/>
        </w:rPr>
        <w:t xml:space="preserve">interpuesto por </w:t>
      </w:r>
      <w:r w:rsidR="00672112">
        <w:rPr>
          <w:rFonts w:ascii="Palatino Linotype" w:hAnsi="Palatino Linotype" w:cs="Arial"/>
          <w:sz w:val="24"/>
        </w:rPr>
        <w:t xml:space="preserve">la </w:t>
      </w:r>
      <w:r w:rsidR="00672112">
        <w:rPr>
          <w:rFonts w:ascii="Palatino Linotype" w:hAnsi="Palatino Linotype" w:cs="Arial"/>
          <w:b/>
          <w:sz w:val="24"/>
        </w:rPr>
        <w:t xml:space="preserve">C. </w:t>
      </w:r>
      <w:proofErr w:type="spellStart"/>
      <w:r w:rsidR="00993010">
        <w:rPr>
          <w:rFonts w:ascii="Palatino Linotype" w:hAnsi="Palatino Linotype" w:cs="Arial"/>
          <w:b/>
          <w:sz w:val="24"/>
        </w:rPr>
        <w:t>xxxxxxxxxxxxxxxxxxxxxx</w:t>
      </w:r>
      <w:proofErr w:type="spellEnd"/>
      <w:r w:rsidR="00672112">
        <w:rPr>
          <w:rFonts w:ascii="Palatino Linotype" w:hAnsi="Palatino Linotype" w:cs="Arial"/>
          <w:b/>
          <w:sz w:val="24"/>
        </w:rPr>
        <w:t xml:space="preserve">, </w:t>
      </w:r>
      <w:r w:rsidR="00672112">
        <w:rPr>
          <w:rFonts w:ascii="Palatino Linotype" w:hAnsi="Palatino Linotype" w:cs="Arial"/>
          <w:sz w:val="24"/>
        </w:rPr>
        <w:t xml:space="preserve">en lo sucesivo </w:t>
      </w:r>
      <w:r w:rsidR="00672112">
        <w:rPr>
          <w:rFonts w:ascii="Palatino Linotype" w:hAnsi="Palatino Linotype" w:cs="Arial"/>
          <w:b/>
          <w:sz w:val="24"/>
        </w:rPr>
        <w:t xml:space="preserve">La Recurrente, </w:t>
      </w:r>
      <w:r w:rsidR="00672112">
        <w:rPr>
          <w:rFonts w:ascii="Palatino Linotype" w:hAnsi="Palatino Linotype" w:cs="Arial"/>
          <w:sz w:val="24"/>
        </w:rPr>
        <w:t xml:space="preserve">en contra de la falta de respuesta del </w:t>
      </w:r>
      <w:r w:rsidR="00672112">
        <w:rPr>
          <w:rFonts w:ascii="Palatino Linotype" w:hAnsi="Palatino Linotype" w:cs="Arial"/>
          <w:b/>
          <w:sz w:val="24"/>
        </w:rPr>
        <w:t xml:space="preserve">Ayuntamiento de Amecameca, </w:t>
      </w:r>
      <w:r w:rsidR="00672112">
        <w:rPr>
          <w:rFonts w:ascii="Palatino Linotype" w:hAnsi="Palatino Linotype" w:cs="Arial"/>
          <w:sz w:val="24"/>
        </w:rPr>
        <w:t xml:space="preserve">en lo sucesivo </w:t>
      </w:r>
      <w:r w:rsidR="00672112">
        <w:rPr>
          <w:rFonts w:ascii="Palatino Linotype" w:hAnsi="Palatino Linotype" w:cs="Arial"/>
          <w:b/>
          <w:sz w:val="24"/>
        </w:rPr>
        <w:t xml:space="preserve">El Sujeto Obligado, </w:t>
      </w:r>
      <w:r w:rsidR="00672112">
        <w:rPr>
          <w:rFonts w:ascii="Palatino Linotype" w:hAnsi="Palatino Linotype" w:cs="Arial"/>
          <w:sz w:val="24"/>
        </w:rPr>
        <w:t xml:space="preserve">se procede a dictar la presente resolución. </w:t>
      </w:r>
    </w:p>
    <w:p w14:paraId="37390DB1" w14:textId="77777777" w:rsidR="006D5803" w:rsidRDefault="006D5803"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615D1B62" w14:textId="3B4BD4F0" w:rsidR="00672112"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672112">
        <w:rPr>
          <w:rFonts w:ascii="Palatino Linotype" w:hAnsi="Palatino Linotype" w:cs="Arial"/>
          <w:sz w:val="24"/>
        </w:rPr>
        <w:t xml:space="preserve">diecinueve de febrero de dos mil veintiuno, </w:t>
      </w:r>
      <w:r w:rsidR="00672112">
        <w:rPr>
          <w:rFonts w:ascii="Palatino Linotype" w:hAnsi="Palatino Linotype" w:cs="Arial"/>
          <w:b/>
          <w:sz w:val="24"/>
        </w:rPr>
        <w:t xml:space="preserve">La Recurrente, </w:t>
      </w:r>
      <w:r w:rsidR="00672112">
        <w:rPr>
          <w:rFonts w:ascii="Palatino Linotype" w:hAnsi="Palatino Linotype" w:cs="Arial"/>
          <w:sz w:val="24"/>
        </w:rPr>
        <w:t xml:space="preserve">presentó a través del Sistema de Acceso de </w:t>
      </w:r>
      <w:r w:rsidR="00985AD2">
        <w:rPr>
          <w:rFonts w:ascii="Palatino Linotype" w:hAnsi="Palatino Linotype" w:cs="Arial"/>
          <w:sz w:val="24"/>
        </w:rPr>
        <w:t>Información Mexiquense (</w:t>
      </w:r>
      <w:r w:rsidR="00985AD2">
        <w:rPr>
          <w:rFonts w:ascii="Palatino Linotype" w:hAnsi="Palatino Linotype" w:cs="Arial"/>
          <w:b/>
          <w:sz w:val="24"/>
        </w:rPr>
        <w:t>SAIMEX)</w:t>
      </w:r>
      <w:r w:rsidR="00985AD2">
        <w:rPr>
          <w:rFonts w:ascii="Palatino Linotype" w:hAnsi="Palatino Linotype" w:cs="Arial"/>
          <w:sz w:val="24"/>
        </w:rPr>
        <w:t xml:space="preserve"> ante </w:t>
      </w:r>
      <w:r w:rsidR="00985AD2">
        <w:rPr>
          <w:rFonts w:ascii="Palatino Linotype" w:hAnsi="Palatino Linotype" w:cs="Arial"/>
          <w:b/>
          <w:sz w:val="24"/>
        </w:rPr>
        <w:t>El Sujeto Obligado</w:t>
      </w:r>
      <w:r w:rsidR="00985AD2">
        <w:rPr>
          <w:rFonts w:ascii="Palatino Linotype" w:hAnsi="Palatino Linotype" w:cs="Arial"/>
          <w:sz w:val="24"/>
        </w:rPr>
        <w:t xml:space="preserve">, solicitud de acceso a la información pública, registrada bajo el número de expediente </w:t>
      </w:r>
      <w:r w:rsidR="00672112">
        <w:rPr>
          <w:rFonts w:ascii="Palatino Linotype" w:hAnsi="Palatino Linotype" w:cs="Arial"/>
          <w:b/>
          <w:sz w:val="24"/>
        </w:rPr>
        <w:t xml:space="preserve">00020/AMECAMEC/IP/2021, </w:t>
      </w:r>
      <w:r w:rsidR="00672112">
        <w:rPr>
          <w:rFonts w:ascii="Palatino Linotype" w:hAnsi="Palatino Linotype" w:cs="Arial"/>
          <w:sz w:val="24"/>
        </w:rPr>
        <w:t xml:space="preserve">mediante la cual solicitó información en el tenor siguiente: </w:t>
      </w:r>
    </w:p>
    <w:p w14:paraId="1D575B07" w14:textId="38342102" w:rsidR="00672112" w:rsidRPr="00672112" w:rsidRDefault="00672112" w:rsidP="00672112">
      <w:pPr>
        <w:pStyle w:val="Citas"/>
        <w:rPr>
          <w:b/>
          <w:sz w:val="24"/>
        </w:rPr>
      </w:pPr>
      <w:r>
        <w:t xml:space="preserve">“Hola quisiera saber, qué cargo desempeñó la C. </w:t>
      </w:r>
      <w:proofErr w:type="spellStart"/>
      <w:r>
        <w:t>Erendira</w:t>
      </w:r>
      <w:proofErr w:type="spellEnd"/>
      <w:r>
        <w:t xml:space="preserve"> de la Cruz Martínez, gastos ejercidos, facturas entregadas firmadas por ella bajo qué concepto, motivo del despido, si se le hizo entrega de su constancia de no adeudo patrimonial y financiero.” </w:t>
      </w:r>
      <w:r>
        <w:rPr>
          <w:b/>
        </w:rPr>
        <w:t>[Sic]</w:t>
      </w:r>
    </w:p>
    <w:p w14:paraId="284BBE4E" w14:textId="57C4EC48"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lastRenderedPageBreak/>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6D5803">
        <w:rPr>
          <w:rFonts w:ascii="Palatino Linotype" w:eastAsia="Times New Roman" w:hAnsi="Palatino Linotype" w:cs="Times New Roman"/>
          <w:sz w:val="24"/>
          <w:szCs w:val="24"/>
          <w:lang w:val="es-ES_tradnl" w:eastAsia="es-ES"/>
        </w:rPr>
        <w:t xml:space="preserve">A través del SAIMEX. </w:t>
      </w:r>
    </w:p>
    <w:p w14:paraId="42E32A76" w14:textId="77777777" w:rsidR="00672112" w:rsidRDefault="00672112"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6751EA5D" w14:textId="64560816"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672112">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69ADFC39" w14:textId="77B49A99" w:rsidR="00672112" w:rsidRPr="00672112"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672112">
        <w:rPr>
          <w:rFonts w:ascii="Palatino Linotype" w:hAnsi="Palatino Linotype" w:cs="Arial"/>
          <w:b/>
          <w:sz w:val="24"/>
          <w:szCs w:val="24"/>
        </w:rPr>
        <w:t>La</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672112">
        <w:rPr>
          <w:rFonts w:ascii="Palatino Linotype" w:hAnsi="Palatino Linotype" w:cs="Arial"/>
          <w:sz w:val="24"/>
          <w:szCs w:val="24"/>
        </w:rPr>
        <w:t xml:space="preserve">diez de mayo del año en curso, el cual fue registrado con el expediente número </w:t>
      </w:r>
      <w:r w:rsidR="00672112">
        <w:rPr>
          <w:rFonts w:ascii="Palatino Linotype" w:hAnsi="Palatino Linotype" w:cs="Arial"/>
          <w:b/>
          <w:sz w:val="24"/>
          <w:szCs w:val="24"/>
        </w:rPr>
        <w:t xml:space="preserve">02770/INFOEM/IP/RR/2021, </w:t>
      </w:r>
      <w:r w:rsidR="00672112">
        <w:rPr>
          <w:rFonts w:ascii="Palatino Linotype" w:hAnsi="Palatino Linotype" w:cs="Arial"/>
          <w:sz w:val="24"/>
          <w:szCs w:val="24"/>
        </w:rPr>
        <w:t xml:space="preserve">en el cual arguye las siguientes manifestaciones: </w:t>
      </w:r>
    </w:p>
    <w:p w14:paraId="668C328E" w14:textId="77777777" w:rsidR="006D5803" w:rsidRPr="00053099" w:rsidRDefault="006D5803" w:rsidP="006D5803">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630BFD42" w14:textId="637BD6FD" w:rsidR="00672112" w:rsidRPr="00672112" w:rsidRDefault="00672112" w:rsidP="00672112">
      <w:pPr>
        <w:pStyle w:val="Citas"/>
        <w:rPr>
          <w:b/>
          <w:sz w:val="24"/>
          <w:szCs w:val="24"/>
        </w:rPr>
      </w:pPr>
      <w:r>
        <w:t xml:space="preserve">“HASTA LA FECHA NO E RECIBIDO RESPUESTA DE LA SOLICITUD HECHA DESDE EL 19 DE FEBRERO DEL PRESENTE AÑO, MOTIVO POR EL CUAL DESEO SABE, LA JUSTIFICACIÓN JURÍDICA DEL PORQUE DE LA NEGATIVA DE RESPUESTA.” </w:t>
      </w:r>
      <w:r>
        <w:rPr>
          <w:b/>
        </w:rPr>
        <w:t>[Sic]</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lastRenderedPageBreak/>
        <w:t>Razones o Motivos de Inconformidad:</w:t>
      </w:r>
    </w:p>
    <w:p w14:paraId="73A41C1E" w14:textId="23F8375F" w:rsidR="005C3CD1" w:rsidRDefault="00672112" w:rsidP="00672112">
      <w:pPr>
        <w:pStyle w:val="Citas"/>
        <w:rPr>
          <w:b/>
        </w:rPr>
      </w:pPr>
      <w:r>
        <w:t>“</w:t>
      </w:r>
      <w:r w:rsidRPr="00672112">
        <w:t>HASTA LA FECHA NO E RECIBIDO RESPUESTA DE LA SOLICITUD HECHA DESDE EL 19 DE FEBRERO DEL PRESENTE AÑO, MOTIVO POR EL CUAL DESEO SABE, LA JUSTIFICACIÓN JURÍDICA DEL PORQUE DE LA NEGATIVA DE RESPUESTA.</w:t>
      </w:r>
      <w:r>
        <w:t xml:space="preserve">” </w:t>
      </w:r>
      <w:r>
        <w:rPr>
          <w:b/>
        </w:rPr>
        <w:t xml:space="preserve">[Sic] </w:t>
      </w:r>
    </w:p>
    <w:p w14:paraId="21BB27F2" w14:textId="77777777" w:rsidR="00672112" w:rsidRPr="00672112" w:rsidRDefault="00672112" w:rsidP="00672112">
      <w:pPr>
        <w:pStyle w:val="Citas"/>
        <w:rPr>
          <w:b/>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07C3FD4F" w14:textId="5B0484C4" w:rsidR="006D5803"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F471AE">
        <w:rPr>
          <w:rFonts w:ascii="Palatino Linotype" w:hAnsi="Palatino Linotype" w:cs="Arial"/>
          <w:sz w:val="24"/>
          <w:szCs w:val="24"/>
        </w:rPr>
        <w:t xml:space="preserve"> </w:t>
      </w:r>
      <w:r w:rsidR="00672112">
        <w:rPr>
          <w:rFonts w:ascii="Palatino Linotype" w:hAnsi="Palatino Linotype" w:cs="Arial"/>
          <w:sz w:val="24"/>
          <w:szCs w:val="24"/>
        </w:rPr>
        <w:t xml:space="preserve">catorce de mayo de dos mil veintiuno </w:t>
      </w:r>
      <w:r w:rsidR="00985AD2">
        <w:rPr>
          <w:rFonts w:ascii="Palatino Linotype" w:hAnsi="Palatino Linotype" w:cs="Arial"/>
          <w:sz w:val="24"/>
          <w:szCs w:val="24"/>
        </w:rPr>
        <w:t xml:space="preserve">determinándose en </w:t>
      </w:r>
      <w:r w:rsidR="009E32B5">
        <w:rPr>
          <w:rFonts w:ascii="Palatino Linotype" w:hAnsi="Palatino Linotype" w:cs="Arial"/>
          <w:sz w:val="24"/>
          <w:szCs w:val="24"/>
        </w:rPr>
        <w:t>él</w:t>
      </w:r>
      <w:r>
        <w:rPr>
          <w:rFonts w:ascii="Palatino Linotype" w:hAnsi="Palatino Linotype" w:cs="Arial"/>
          <w:sz w:val="24"/>
          <w:szCs w:val="24"/>
        </w:rPr>
        <w:t>, un plazo de siete días para que las partes manifestaran lo que a su derecho corresponda en términos del numeral ya citado.</w:t>
      </w:r>
    </w:p>
    <w:p w14:paraId="5E6D7CFD" w14:textId="77777777" w:rsidR="005C3CD1" w:rsidRDefault="005C3CD1"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46B25DDB" w14:textId="0A7EC2F0" w:rsidR="00672112" w:rsidRPr="00E73F25" w:rsidRDefault="00672112" w:rsidP="0067211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su respectivo informe justificado, en fecha veintiséis de mayo, mismo que se puso a la vista de </w:t>
      </w:r>
      <w:r>
        <w:rPr>
          <w:rFonts w:ascii="Palatino Linotype" w:hAnsi="Palatino Linotype" w:cs="Arial"/>
          <w:b/>
          <w:sz w:val="24"/>
          <w:szCs w:val="24"/>
        </w:rPr>
        <w:t xml:space="preserve">La Recurrente, </w:t>
      </w:r>
      <w:r>
        <w:rPr>
          <w:rFonts w:ascii="Palatino Linotype" w:hAnsi="Palatino Linotype" w:cs="Arial"/>
          <w:sz w:val="24"/>
          <w:szCs w:val="24"/>
        </w:rPr>
        <w:t xml:space="preserve">el treinta y uno de mayo, ambos de dos mil veintiuno. </w:t>
      </w:r>
    </w:p>
    <w:p w14:paraId="43C786FB" w14:textId="77777777" w:rsidR="00672112" w:rsidRDefault="00672112" w:rsidP="00672112">
      <w:pPr>
        <w:spacing w:after="0" w:line="360" w:lineRule="auto"/>
        <w:jc w:val="both"/>
        <w:rPr>
          <w:rFonts w:ascii="Palatino Linotype" w:hAnsi="Palatino Linotype" w:cs="Arial"/>
          <w:sz w:val="24"/>
          <w:szCs w:val="24"/>
        </w:rPr>
      </w:pPr>
    </w:p>
    <w:p w14:paraId="58921EA7" w14:textId="65E9D859" w:rsidR="00672112" w:rsidRDefault="00672112" w:rsidP="00672112">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 xml:space="preserve">plazo establecido para que las partes manifestaran lo que a su derecho conviniera, en fecha </w:t>
      </w:r>
      <w:r>
        <w:rPr>
          <w:rFonts w:ascii="Palatino Linotype" w:hAnsi="Palatino Linotype" w:cs="Arial"/>
          <w:sz w:val="24"/>
          <w:szCs w:val="24"/>
        </w:rPr>
        <w:t>siete de junio de dos mil veintiuno se decretó el cierre de instrucción en términos del artículo 185 fracción VI de la Ley de Transparencia y Acceso a la Información Pública del Estado de México y Municipios, iniciando el término legal para dictar resolución definitiva del asunto.</w:t>
      </w:r>
    </w:p>
    <w:p w14:paraId="024A8FB0" w14:textId="77777777" w:rsidR="00943DF1" w:rsidRPr="00C12209" w:rsidRDefault="00943DF1"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8991E24" w14:textId="3E4BBE63" w:rsidR="006D5803" w:rsidRDefault="006D5803" w:rsidP="006D580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672112">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8377539" w14:textId="77777777" w:rsidR="007D0D01" w:rsidRDefault="007D0D01" w:rsidP="007D0D0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D67E30">
        <w:rPr>
          <w:rFonts w:ascii="Palatino Linotype" w:hAnsi="Palatino Linotype" w:cs="Arial"/>
          <w:sz w:val="24"/>
          <w:szCs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08C67AB" w14:textId="77777777" w:rsidR="00DD4938" w:rsidRDefault="00DD4938" w:rsidP="00DD493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2A4422D3" w14:textId="77777777" w:rsidR="00672112" w:rsidRDefault="00672112" w:rsidP="0067211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14:paraId="12F8BD97" w14:textId="77777777" w:rsidR="00672112" w:rsidRPr="00C07D77" w:rsidRDefault="00672112" w:rsidP="00672112">
      <w:pPr>
        <w:pStyle w:val="Prrafodelista"/>
        <w:autoSpaceDE w:val="0"/>
        <w:autoSpaceDN w:val="0"/>
        <w:adjustRightInd w:val="0"/>
        <w:spacing w:line="360" w:lineRule="auto"/>
        <w:ind w:left="0"/>
        <w:jc w:val="both"/>
        <w:rPr>
          <w:rFonts w:ascii="Palatino Linotype" w:hAnsi="Palatino Linotype" w:cs="Arial"/>
          <w:sz w:val="18"/>
        </w:rPr>
      </w:pPr>
    </w:p>
    <w:p w14:paraId="6B8E0186" w14:textId="77777777" w:rsidR="00672112" w:rsidRDefault="00672112" w:rsidP="0067211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1FFC1144"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0A46DE">
        <w:rPr>
          <w:rFonts w:ascii="Palatino Linotype" w:eastAsia="Times New Roman" w:hAnsi="Palatino Linotype" w:cs="Times New Roman"/>
          <w:sz w:val="24"/>
          <w:szCs w:val="24"/>
          <w:lang w:eastAsia="es-ES"/>
        </w:rPr>
        <w:t xml:space="preserve"> </w:t>
      </w:r>
      <w:r w:rsidR="000A46DE">
        <w:rPr>
          <w:rFonts w:ascii="Palatino Linotype" w:eastAsia="Times New Roman" w:hAnsi="Palatino Linotype" w:cs="Times New Roman"/>
          <w:b/>
          <w:sz w:val="24"/>
          <w:szCs w:val="24"/>
          <w:lang w:eastAsia="es-ES"/>
        </w:rPr>
        <w:t>La</w:t>
      </w:r>
      <w:r w:rsidR="0000045D">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C4386C9" w14:textId="56E9A4CD"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nformación pública de La</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6FF763E5"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Por otra parte, al referirnos al acto impugnado por </w:t>
      </w:r>
      <w:r w:rsidR="00F6232F">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4E4C9291" w:rsidR="006D5803" w:rsidRDefault="006D5803" w:rsidP="006D5803">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0A46DE">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0A46DE">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66E9B36" w14:textId="4EC97B1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Dicho lo anterior, considerando la información requerida por </w:t>
      </w:r>
      <w:r w:rsidR="000A46DE">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lastRenderedPageBreak/>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40C9C552"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0A46DE">
        <w:rPr>
          <w:rFonts w:ascii="Palatino Linotype" w:eastAsia="Times New Roman" w:hAnsi="Palatino Linotype" w:cs="Arial"/>
          <w:b/>
          <w:bCs/>
          <w:sz w:val="24"/>
          <w:szCs w:val="24"/>
          <w:lang w:val="es-ES" w:eastAsia="es-ES"/>
        </w:rPr>
        <w:t>La</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0BC9AD05" w14:textId="3F85E0A8" w:rsidR="005B2E7E" w:rsidRDefault="00D566F2" w:rsidP="005C3CD1">
      <w:pPr>
        <w:spacing w:before="240" w:line="360" w:lineRule="auto"/>
        <w:ind w:right="72"/>
        <w:jc w:val="both"/>
        <w:rPr>
          <w:rFonts w:ascii="Palatino Linotype" w:hAnsi="Palatino Linotype" w:cs="Arial"/>
        </w:rPr>
      </w:pPr>
      <w:r>
        <w:rPr>
          <w:rFonts w:ascii="Palatino Linotype" w:hAnsi="Palatino Linotype" w:cs="Arial"/>
          <w:sz w:val="24"/>
          <w:szCs w:val="24"/>
        </w:rPr>
        <w:t xml:space="preserve">Bajo estas líneas argumentativas, al retomar y delimitar </w:t>
      </w:r>
      <w:r w:rsidR="000A46DE">
        <w:rPr>
          <w:rFonts w:ascii="Palatino Linotype" w:hAnsi="Palatino Linotype" w:cs="Arial"/>
          <w:sz w:val="24"/>
          <w:szCs w:val="24"/>
        </w:rPr>
        <w:t>los</w:t>
      </w:r>
      <w:r w:rsidR="00DD4938">
        <w:rPr>
          <w:rFonts w:ascii="Palatino Linotype" w:hAnsi="Palatino Linotype" w:cs="Arial"/>
          <w:sz w:val="24"/>
          <w:szCs w:val="24"/>
        </w:rPr>
        <w:t xml:space="preserve"> requerimiento</w:t>
      </w:r>
      <w:r w:rsidR="000A46DE">
        <w:rPr>
          <w:rFonts w:ascii="Palatino Linotype" w:hAnsi="Palatino Linotype" w:cs="Arial"/>
          <w:sz w:val="24"/>
          <w:szCs w:val="24"/>
        </w:rPr>
        <w:t>s de la</w:t>
      </w:r>
      <w:r>
        <w:rPr>
          <w:rFonts w:ascii="Palatino Linotype" w:hAnsi="Palatino Linotype" w:cs="Arial"/>
          <w:sz w:val="24"/>
          <w:szCs w:val="24"/>
        </w:rPr>
        <w:t xml:space="preserve"> ahora </w:t>
      </w:r>
      <w:r>
        <w:rPr>
          <w:rFonts w:ascii="Palatino Linotype" w:hAnsi="Palatino Linotype" w:cs="Arial"/>
          <w:b/>
          <w:sz w:val="24"/>
          <w:szCs w:val="24"/>
        </w:rPr>
        <w:t xml:space="preserve">Recurrente, </w:t>
      </w:r>
      <w:r>
        <w:rPr>
          <w:rFonts w:ascii="Palatino Linotype" w:hAnsi="Palatino Linotype" w:cs="Arial"/>
          <w:sz w:val="24"/>
          <w:szCs w:val="24"/>
        </w:rPr>
        <w:t>se precisa que versa</w:t>
      </w:r>
      <w:r w:rsidR="00E42206">
        <w:rPr>
          <w:rFonts w:ascii="Palatino Linotype" w:hAnsi="Palatino Linotype" w:cs="Arial"/>
          <w:sz w:val="24"/>
          <w:szCs w:val="24"/>
        </w:rPr>
        <w:t>n</w:t>
      </w:r>
      <w:r>
        <w:rPr>
          <w:rFonts w:ascii="Palatino Linotype" w:hAnsi="Palatino Linotype" w:cs="Arial"/>
          <w:sz w:val="24"/>
          <w:szCs w:val="24"/>
        </w:rPr>
        <w:t xml:space="preserve"> en conocer la siguiente información:</w:t>
      </w:r>
      <w:r>
        <w:rPr>
          <w:rFonts w:ascii="Palatino Linotype" w:hAnsi="Palatino Linotype" w:cs="Arial"/>
        </w:rPr>
        <w:t xml:space="preserve"> </w:t>
      </w:r>
    </w:p>
    <w:p w14:paraId="597D22EE" w14:textId="08D7D1AE" w:rsidR="005B1C46" w:rsidRPr="00E42206" w:rsidRDefault="00E42206" w:rsidP="00E42206">
      <w:pPr>
        <w:pStyle w:val="Citas"/>
        <w:rPr>
          <w:b/>
          <w:sz w:val="24"/>
          <w:szCs w:val="24"/>
        </w:rPr>
      </w:pPr>
      <w:r>
        <w:t xml:space="preserve">“Hola quisiera saber, qué cargo desempeñó la C. </w:t>
      </w:r>
      <w:proofErr w:type="spellStart"/>
      <w:r>
        <w:t>Erendira</w:t>
      </w:r>
      <w:proofErr w:type="spellEnd"/>
      <w:r>
        <w:t xml:space="preserve"> de la Cruz Martínez, gastos ejercidos, facturas entregadas firmadas por ella bajo qué concepto, motivo del despido, si se le hizo entrega de su constancia de no adeudo patrimonial y financiero.” </w:t>
      </w:r>
      <w:r>
        <w:rPr>
          <w:b/>
        </w:rPr>
        <w:t xml:space="preserve">[Sic] </w:t>
      </w:r>
    </w:p>
    <w:p w14:paraId="0E0875DC" w14:textId="77777777" w:rsidR="00E42206" w:rsidRDefault="00E42206" w:rsidP="00EC4F33">
      <w:pPr>
        <w:spacing w:before="240" w:line="360" w:lineRule="auto"/>
        <w:ind w:right="72"/>
        <w:jc w:val="both"/>
        <w:rPr>
          <w:rFonts w:ascii="Palatino Linotype" w:hAnsi="Palatino Linotype" w:cs="Arial"/>
          <w:sz w:val="24"/>
          <w:szCs w:val="24"/>
        </w:rPr>
      </w:pPr>
    </w:p>
    <w:p w14:paraId="06ED0BCB" w14:textId="2D63E12A" w:rsidR="00E42206" w:rsidRDefault="00E42206" w:rsidP="00EC4F33">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A mayor abundamiento, en alusión a los requerimientos formulados, sirven de sustento las </w:t>
      </w:r>
      <w:r>
        <w:rPr>
          <w:rFonts w:ascii="Palatino Linotype" w:hAnsi="Palatino Linotype" w:cs="Arial"/>
        </w:rPr>
        <w:t xml:space="preserve">siguientes imágenes ilustrativas, correspondientes al organigrama del </w:t>
      </w:r>
      <w:r>
        <w:rPr>
          <w:rFonts w:ascii="Palatino Linotype" w:hAnsi="Palatino Linotype" w:cs="Arial"/>
          <w:b/>
          <w:bCs/>
        </w:rPr>
        <w:t xml:space="preserve">Sujeto Obligado, </w:t>
      </w:r>
      <w:r>
        <w:rPr>
          <w:rFonts w:ascii="Palatino Linotype" w:hAnsi="Palatino Linotype" w:cs="Arial"/>
        </w:rPr>
        <w:t xml:space="preserve">mismo que puede ser consultado en la siguiente dirección electrónica:  </w:t>
      </w:r>
    </w:p>
    <w:p w14:paraId="12E19B8C" w14:textId="01119F70" w:rsidR="00E42206" w:rsidRDefault="0004587B" w:rsidP="00EC4F33">
      <w:pPr>
        <w:spacing w:before="240" w:line="360" w:lineRule="auto"/>
        <w:ind w:right="72"/>
        <w:jc w:val="both"/>
        <w:rPr>
          <w:rFonts w:ascii="Palatino Linotype" w:hAnsi="Palatino Linotype" w:cs="Arial"/>
          <w:sz w:val="24"/>
          <w:szCs w:val="24"/>
        </w:rPr>
      </w:pPr>
      <w:hyperlink r:id="rId8" w:history="1">
        <w:r w:rsidR="00E42206" w:rsidRPr="00397A12">
          <w:rPr>
            <w:rStyle w:val="Hipervnculo"/>
            <w:rFonts w:ascii="Palatino Linotype" w:hAnsi="Palatino Linotype" w:cs="Arial"/>
            <w:sz w:val="24"/>
            <w:szCs w:val="24"/>
          </w:rPr>
          <w:t>https://drive.google.com/file/d/1NKPYBp7ntkrPXOgr5SGifJ-mGn-w8DfG/view</w:t>
        </w:r>
      </w:hyperlink>
      <w:r w:rsidR="00E42206">
        <w:rPr>
          <w:rFonts w:ascii="Palatino Linotype" w:hAnsi="Palatino Linotype" w:cs="Arial"/>
          <w:sz w:val="24"/>
          <w:szCs w:val="24"/>
        </w:rPr>
        <w:t xml:space="preserve"> </w:t>
      </w:r>
    </w:p>
    <w:p w14:paraId="759E30D1" w14:textId="3DC165FA" w:rsidR="00E42206" w:rsidRDefault="0090162D" w:rsidP="00EC4F33">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6432" behindDoc="0" locked="0" layoutInCell="1" allowOverlap="1" wp14:anchorId="424477AF" wp14:editId="7DD8FA1D">
                <wp:simplePos x="0" y="0"/>
                <wp:positionH relativeFrom="column">
                  <wp:posOffset>907027</wp:posOffset>
                </wp:positionH>
                <wp:positionV relativeFrom="paragraph">
                  <wp:posOffset>919298</wp:posOffset>
                </wp:positionV>
                <wp:extent cx="377687" cy="131197"/>
                <wp:effectExtent l="0" t="0" r="22860" b="21590"/>
                <wp:wrapNone/>
                <wp:docPr id="13" name="Rectángulo 13"/>
                <wp:cNvGraphicFramePr/>
                <a:graphic xmlns:a="http://schemas.openxmlformats.org/drawingml/2006/main">
                  <a:graphicData uri="http://schemas.microsoft.com/office/word/2010/wordprocessingShape">
                    <wps:wsp>
                      <wps:cNvSpPr/>
                      <wps:spPr>
                        <a:xfrm>
                          <a:off x="0" y="0"/>
                          <a:ext cx="377687" cy="13119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6CC3A8" id="Rectángulo 13" o:spid="_x0000_s1026" style="position:absolute;margin-left:71.4pt;margin-top:72.4pt;width:29.75pt;height:10.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" filled="f" strokecolor="red" strokeweight="1pt"/>
            </w:pict>
          </mc:Fallback>
        </mc:AlternateContent>
      </w:r>
      <w:r>
        <w:rPr>
          <w:rFonts w:ascii="Palatino Linotype" w:hAnsi="Palatino Linotype" w:cs="Arial"/>
          <w:noProof/>
          <w:sz w:val="24"/>
          <w:szCs w:val="24"/>
          <w:lang w:eastAsia="es-MX"/>
        </w:rPr>
        <w:drawing>
          <wp:anchor distT="0" distB="0" distL="114300" distR="114300" simplePos="0" relativeHeight="251667456" behindDoc="0" locked="0" layoutInCell="1" allowOverlap="1" wp14:anchorId="59ACBB17" wp14:editId="1B95113B">
            <wp:simplePos x="0" y="0"/>
            <wp:positionH relativeFrom="column">
              <wp:posOffset>-83185</wp:posOffset>
            </wp:positionH>
            <wp:positionV relativeFrom="paragraph">
              <wp:posOffset>4030980</wp:posOffset>
            </wp:positionV>
            <wp:extent cx="1668145" cy="939800"/>
            <wp:effectExtent l="19050" t="19050" r="27305" b="12700"/>
            <wp:wrapThrough wrapText="bothSides">
              <wp:wrapPolygon edited="0">
                <wp:start x="-247" y="-438"/>
                <wp:lineTo x="-247" y="21454"/>
                <wp:lineTo x="21707" y="21454"/>
                <wp:lineTo x="21707" y="-438"/>
                <wp:lineTo x="-247" y="-438"/>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8145" cy="939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664384" behindDoc="0" locked="0" layoutInCell="1" allowOverlap="1" wp14:anchorId="1F6A58B3" wp14:editId="2D07B41A">
            <wp:simplePos x="0" y="0"/>
            <wp:positionH relativeFrom="column">
              <wp:posOffset>4009390</wp:posOffset>
            </wp:positionH>
            <wp:positionV relativeFrom="paragraph">
              <wp:posOffset>4043680</wp:posOffset>
            </wp:positionV>
            <wp:extent cx="1668145" cy="939800"/>
            <wp:effectExtent l="19050" t="19050" r="27305" b="12700"/>
            <wp:wrapThrough wrapText="bothSides">
              <wp:wrapPolygon edited="0">
                <wp:start x="-247" y="-438"/>
                <wp:lineTo x="-247" y="21454"/>
                <wp:lineTo x="21707" y="21454"/>
                <wp:lineTo x="21707" y="-438"/>
                <wp:lineTo x="-247" y="-438"/>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8145" cy="939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665408" behindDoc="0" locked="0" layoutInCell="1" allowOverlap="1" wp14:anchorId="0081E103" wp14:editId="79759AD3">
            <wp:simplePos x="0" y="0"/>
            <wp:positionH relativeFrom="column">
              <wp:posOffset>1983105</wp:posOffset>
            </wp:positionH>
            <wp:positionV relativeFrom="paragraph">
              <wp:posOffset>4025059</wp:posOffset>
            </wp:positionV>
            <wp:extent cx="1668145" cy="945515"/>
            <wp:effectExtent l="19050" t="19050" r="27305" b="26035"/>
            <wp:wrapThrough wrapText="bothSides">
              <wp:wrapPolygon edited="0">
                <wp:start x="-247" y="-435"/>
                <wp:lineTo x="-247" y="21760"/>
                <wp:lineTo x="21707" y="21760"/>
                <wp:lineTo x="21707" y="-435"/>
                <wp:lineTo x="-247" y="-435"/>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145" cy="9455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657214" behindDoc="0" locked="0" layoutInCell="1" allowOverlap="1" wp14:anchorId="24A76C3D" wp14:editId="7A92D190">
            <wp:simplePos x="0" y="0"/>
            <wp:positionH relativeFrom="column">
              <wp:posOffset>-81915</wp:posOffset>
            </wp:positionH>
            <wp:positionV relativeFrom="paragraph">
              <wp:posOffset>19676</wp:posOffset>
            </wp:positionV>
            <wp:extent cx="5760720" cy="3609340"/>
            <wp:effectExtent l="19050" t="19050" r="11430" b="10160"/>
            <wp:wrapThrough wrapText="bothSides">
              <wp:wrapPolygon edited="0">
                <wp:start x="-71" y="-114"/>
                <wp:lineTo x="-71" y="21547"/>
                <wp:lineTo x="21571" y="21547"/>
                <wp:lineTo x="21571" y="-114"/>
                <wp:lineTo x="-71" y="-114"/>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6093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9C88214" w14:textId="04C9FF38" w:rsidR="00D73893" w:rsidRPr="00D73893" w:rsidRDefault="005D2332" w:rsidP="00345B43">
      <w:pPr>
        <w:spacing w:before="240" w:line="360" w:lineRule="auto"/>
        <w:ind w:right="72"/>
        <w:jc w:val="both"/>
        <w:rPr>
          <w:rFonts w:ascii="Palatino Linotype" w:hAnsi="Palatino Linotype" w:cs="Arial"/>
          <w:sz w:val="24"/>
          <w:szCs w:val="24"/>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Unidades, Direcciones, Jefaturas y Departamentos para cumplir con sus fines y objetivos, resultando de nuestro interés la esfera competencial del Secretario del Ayuntamiento, del Tesorero Municipal, así como del Coordinador de Recursos Humanos. </w:t>
      </w:r>
      <w:r w:rsidR="00345B43">
        <w:rPr>
          <w:rFonts w:ascii="Palatino Linotype" w:hAnsi="Palatino Linotype" w:cs="Arial"/>
          <w:sz w:val="24"/>
          <w:szCs w:val="24"/>
        </w:rPr>
        <w:t xml:space="preserve">En razón de lo anterior, resulta oportuno traer a colación </w:t>
      </w:r>
      <w:r w:rsidR="000458B5">
        <w:rPr>
          <w:rFonts w:ascii="Palatino Linotype" w:hAnsi="Palatino Linotype" w:cs="Arial"/>
          <w:sz w:val="24"/>
          <w:szCs w:val="24"/>
        </w:rPr>
        <w:t xml:space="preserve">los </w:t>
      </w:r>
      <w:r w:rsidR="00345B43">
        <w:rPr>
          <w:rFonts w:ascii="Palatino Linotype" w:hAnsi="Palatino Linotype" w:cs="Arial"/>
          <w:sz w:val="24"/>
          <w:szCs w:val="24"/>
        </w:rPr>
        <w:t>artículo</w:t>
      </w:r>
      <w:r w:rsidR="000458B5">
        <w:rPr>
          <w:rFonts w:ascii="Palatino Linotype" w:hAnsi="Palatino Linotype" w:cs="Arial"/>
          <w:sz w:val="24"/>
          <w:szCs w:val="24"/>
        </w:rPr>
        <w:t>s 91, fracción X,</w:t>
      </w:r>
      <w:r w:rsidR="00345B43">
        <w:rPr>
          <w:rFonts w:ascii="Palatino Linotype" w:hAnsi="Palatino Linotype" w:cs="Arial"/>
          <w:sz w:val="24"/>
          <w:szCs w:val="24"/>
        </w:rPr>
        <w:t xml:space="preserve"> 95, fracciones I, IV, V y VI de la Ley Orgánica</w:t>
      </w:r>
      <w:r w:rsidR="00D73893">
        <w:rPr>
          <w:rFonts w:ascii="Palatino Linotype" w:hAnsi="Palatino Linotype" w:cs="Arial"/>
          <w:sz w:val="24"/>
          <w:szCs w:val="24"/>
        </w:rPr>
        <w:t xml:space="preserve"> Municipal del Estado de México;</w:t>
      </w:r>
      <w:r w:rsidR="00345B43">
        <w:rPr>
          <w:rFonts w:ascii="Palatino Linotype" w:hAnsi="Palatino Linotype" w:cs="Arial"/>
          <w:sz w:val="24"/>
          <w:szCs w:val="24"/>
        </w:rPr>
        <w:t xml:space="preserve"> </w:t>
      </w:r>
      <w:r w:rsidR="00D73893">
        <w:rPr>
          <w:rFonts w:ascii="Palatino Linotype" w:hAnsi="Palatino Linotype" w:cs="Arial"/>
          <w:sz w:val="24"/>
          <w:szCs w:val="24"/>
        </w:rPr>
        <w:t>el numeral 36</w:t>
      </w:r>
      <w:r w:rsidR="00345B43">
        <w:rPr>
          <w:rFonts w:ascii="Palatino Linotype" w:hAnsi="Palatino Linotype" w:cs="Arial"/>
          <w:sz w:val="24"/>
          <w:szCs w:val="24"/>
        </w:rPr>
        <w:t xml:space="preserve"> del </w:t>
      </w:r>
      <w:r w:rsidR="00345B43">
        <w:rPr>
          <w:rFonts w:ascii="Palatino Linotype" w:hAnsi="Palatino Linotype" w:cs="Arial"/>
          <w:sz w:val="24"/>
          <w:szCs w:val="24"/>
        </w:rPr>
        <w:lastRenderedPageBreak/>
        <w:t xml:space="preserve">Bando Municipal del </w:t>
      </w:r>
      <w:r w:rsidR="00D73893">
        <w:rPr>
          <w:rFonts w:ascii="Palatino Linotype" w:hAnsi="Palatino Linotype" w:cs="Arial"/>
          <w:b/>
          <w:sz w:val="24"/>
          <w:szCs w:val="24"/>
        </w:rPr>
        <w:t xml:space="preserve">Sujeto Obligado; </w:t>
      </w:r>
      <w:r w:rsidR="00D73893">
        <w:rPr>
          <w:rFonts w:ascii="Palatino Linotype" w:hAnsi="Palatino Linotype" w:cs="Arial"/>
          <w:sz w:val="24"/>
          <w:szCs w:val="24"/>
        </w:rPr>
        <w:t xml:space="preserve">así como </w:t>
      </w:r>
      <w:r w:rsidR="009F002C">
        <w:rPr>
          <w:rFonts w:ascii="Palatino Linotype" w:hAnsi="Palatino Linotype" w:cs="Arial"/>
          <w:sz w:val="24"/>
          <w:szCs w:val="24"/>
        </w:rPr>
        <w:t xml:space="preserve">los artículos 4, fracción IV y 15 fracción I de los Lineamientos que regulan </w:t>
      </w:r>
      <w:r>
        <w:rPr>
          <w:rFonts w:ascii="Palatino Linotype" w:hAnsi="Palatino Linotype" w:cs="Arial"/>
          <w:sz w:val="24"/>
          <w:szCs w:val="24"/>
        </w:rPr>
        <w:t xml:space="preserve">la entrega-recepción de la administración pública del Estado de México, porciones normativas que disponen a la literalidad lo siguiente: </w:t>
      </w:r>
    </w:p>
    <w:p w14:paraId="18556369" w14:textId="77777777" w:rsidR="00345B43" w:rsidRPr="004020B1" w:rsidRDefault="00345B43" w:rsidP="00345B43">
      <w:pPr>
        <w:pStyle w:val="Citas"/>
        <w:jc w:val="center"/>
        <w:rPr>
          <w:b/>
        </w:rPr>
      </w:pPr>
      <w:r w:rsidRPr="004020B1">
        <w:rPr>
          <w:b/>
        </w:rPr>
        <w:t>Ley Orgánica Municipal del Estado de México</w:t>
      </w:r>
    </w:p>
    <w:p w14:paraId="66D2678A" w14:textId="1DE2129C" w:rsidR="00C72345" w:rsidRDefault="00345B43" w:rsidP="00345B43">
      <w:pPr>
        <w:pStyle w:val="Citas"/>
      </w:pPr>
      <w:r>
        <w:t>“</w:t>
      </w:r>
      <w:r w:rsidR="00C72345">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04F0A1E6" w14:textId="6C0F5781" w:rsidR="00C72345" w:rsidRDefault="00C72345" w:rsidP="00345B43">
      <w:pPr>
        <w:pStyle w:val="Citas"/>
      </w:pPr>
      <w:r>
        <w:t>(…)</w:t>
      </w:r>
    </w:p>
    <w:p w14:paraId="239CE1AE" w14:textId="24B82CB9" w:rsidR="00C72345" w:rsidRPr="000458B5" w:rsidRDefault="00C72345" w:rsidP="00345B43">
      <w:pPr>
        <w:pStyle w:val="Citas"/>
        <w:rPr>
          <w:b/>
          <w:u w:val="single"/>
        </w:rPr>
      </w:pPr>
      <w:r w:rsidRPr="000458B5">
        <w:rPr>
          <w:b/>
          <w:u w:val="single"/>
        </w:rPr>
        <w:t>X. Expedir las constancias de vecindad, de identidad o de última residencia que soliciten los habitantes del municipio, en un plazo no mayor de 24 horas, así como las certificaciones y demás documentos públicos que legalmente procedan, o los que acuerde el ayuntamiento;</w:t>
      </w:r>
    </w:p>
    <w:p w14:paraId="1ED376CF" w14:textId="30DB0003" w:rsidR="00345B43" w:rsidRDefault="00345B43" w:rsidP="00345B43">
      <w:pPr>
        <w:pStyle w:val="Citas"/>
      </w:pPr>
      <w:r>
        <w:t xml:space="preserve">Artículo 95.- Son atribuciones del tesorero municipal: </w:t>
      </w:r>
    </w:p>
    <w:p w14:paraId="31819780" w14:textId="77777777" w:rsidR="00345B43" w:rsidRDefault="00345B43" w:rsidP="00345B43">
      <w:pPr>
        <w:pStyle w:val="Citas"/>
      </w:pPr>
      <w:r>
        <w:t>I. Administrar la hacienda pública municipal, de conformidad con las disposiciones legales aplicables;</w:t>
      </w:r>
    </w:p>
    <w:p w14:paraId="539DDB19" w14:textId="77777777" w:rsidR="00345B43" w:rsidRDefault="00345B43" w:rsidP="00345B43">
      <w:pPr>
        <w:pStyle w:val="Citas"/>
      </w:pPr>
      <w:r>
        <w:t>(…)</w:t>
      </w:r>
    </w:p>
    <w:p w14:paraId="69EB2080" w14:textId="77777777" w:rsidR="00345B43" w:rsidRPr="008E2BB5" w:rsidRDefault="00345B43" w:rsidP="00345B43">
      <w:pPr>
        <w:pStyle w:val="Citas"/>
        <w:rPr>
          <w:b/>
          <w:u w:val="single"/>
        </w:rPr>
      </w:pPr>
      <w:r w:rsidRPr="008E2BB5">
        <w:rPr>
          <w:b/>
          <w:u w:val="single"/>
        </w:rPr>
        <w:t xml:space="preserve">IV. Llevar los registros contables, financieros y administrativos de los ingresos, egresos, e inventarios; </w:t>
      </w:r>
    </w:p>
    <w:p w14:paraId="7C4AC735" w14:textId="77777777" w:rsidR="00345B43" w:rsidRDefault="00345B43" w:rsidP="00345B43">
      <w:pPr>
        <w:pStyle w:val="Citas"/>
      </w:pPr>
      <w:r>
        <w:lastRenderedPageBreak/>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5BC92DFE" w14:textId="77777777" w:rsidR="00345B43" w:rsidRDefault="00345B43" w:rsidP="00345B43">
      <w:pPr>
        <w:pStyle w:val="Citas"/>
      </w:pPr>
      <w:r>
        <w:t>VI. Presentar anualmente al ayuntamiento un informe de la situación contable financiera de la Tesorería Municipal;</w:t>
      </w:r>
    </w:p>
    <w:p w14:paraId="4FF65F49" w14:textId="77777777" w:rsidR="00345B43" w:rsidRDefault="00345B43" w:rsidP="00345B43">
      <w:pPr>
        <w:pStyle w:val="Citas"/>
        <w:rPr>
          <w:b/>
        </w:rPr>
      </w:pPr>
      <w:r>
        <w:t xml:space="preserve">(…)” </w:t>
      </w:r>
      <w:r>
        <w:rPr>
          <w:b/>
        </w:rPr>
        <w:t xml:space="preserve">[Sic] </w:t>
      </w:r>
    </w:p>
    <w:p w14:paraId="0E4C86B4" w14:textId="77777777" w:rsidR="00D73893" w:rsidRDefault="00D73893" w:rsidP="00345B43">
      <w:pPr>
        <w:pStyle w:val="Citas"/>
        <w:rPr>
          <w:b/>
        </w:rPr>
      </w:pPr>
    </w:p>
    <w:p w14:paraId="2111F5A6" w14:textId="23C4586F" w:rsidR="00345B43" w:rsidRPr="00D73893" w:rsidRDefault="00D73893" w:rsidP="00D73893">
      <w:pPr>
        <w:pStyle w:val="Citas"/>
        <w:jc w:val="center"/>
        <w:rPr>
          <w:b/>
        </w:rPr>
      </w:pPr>
      <w:r w:rsidRPr="00D73893">
        <w:rPr>
          <w:b/>
        </w:rPr>
        <w:t>Bando Municipal del Ayuntamiento de Amecameca</w:t>
      </w:r>
    </w:p>
    <w:p w14:paraId="731B745E" w14:textId="07845B7E" w:rsidR="00345B43" w:rsidRDefault="00D73893" w:rsidP="00345B43">
      <w:pPr>
        <w:pStyle w:val="Citas"/>
      </w:pPr>
      <w:r>
        <w:t>“</w:t>
      </w:r>
      <w:r w:rsidR="00345B43">
        <w:t xml:space="preserve">ARTÍCULO 36. El Titular de la Tesorería Municipal, ejercerá las atribuciones que establece el artículo 95 de la Ley Orgánica Municipal, para dar cumplimiento se auxiliara de las siguientes coordinaciones: </w:t>
      </w:r>
    </w:p>
    <w:p w14:paraId="2625F162" w14:textId="77777777" w:rsidR="00345B43" w:rsidRDefault="00345B43" w:rsidP="00345B43">
      <w:pPr>
        <w:pStyle w:val="Citas"/>
      </w:pPr>
      <w:r>
        <w:t xml:space="preserve">Coordinación de Catastro. </w:t>
      </w:r>
    </w:p>
    <w:p w14:paraId="4E76D261" w14:textId="77777777" w:rsidR="00345B43" w:rsidRDefault="00345B43" w:rsidP="00345B43">
      <w:pPr>
        <w:pStyle w:val="Citas"/>
      </w:pPr>
      <w:r>
        <w:t xml:space="preserve">Coordinación de Recaudación, Control y Fiscalización de Ingresos. </w:t>
      </w:r>
    </w:p>
    <w:p w14:paraId="08DB54FE" w14:textId="77777777" w:rsidR="00345B43" w:rsidRDefault="00345B43" w:rsidP="00345B43">
      <w:pPr>
        <w:pStyle w:val="Citas"/>
      </w:pPr>
      <w:r>
        <w:t xml:space="preserve">Coordinación de Administración de los Recursos Materiales y Servicios. </w:t>
      </w:r>
    </w:p>
    <w:p w14:paraId="1063FDD8" w14:textId="77777777" w:rsidR="00345B43" w:rsidRDefault="00345B43" w:rsidP="00345B43">
      <w:pPr>
        <w:pStyle w:val="Citas"/>
      </w:pPr>
      <w:r>
        <w:t xml:space="preserve">Coordinación de Egresos. </w:t>
      </w:r>
    </w:p>
    <w:p w14:paraId="1D02375E" w14:textId="77777777" w:rsidR="00345B43" w:rsidRPr="00C72345" w:rsidRDefault="00345B43" w:rsidP="00345B43">
      <w:pPr>
        <w:pStyle w:val="Citas"/>
        <w:rPr>
          <w:b/>
          <w:u w:val="single"/>
        </w:rPr>
      </w:pPr>
      <w:r w:rsidRPr="00C72345">
        <w:rPr>
          <w:b/>
          <w:u w:val="single"/>
        </w:rPr>
        <w:t xml:space="preserve">Coordinación de Administración y Desarrollo de Personal. </w:t>
      </w:r>
    </w:p>
    <w:p w14:paraId="6097F996" w14:textId="77777777" w:rsidR="00345B43" w:rsidRDefault="00345B43" w:rsidP="00345B43">
      <w:pPr>
        <w:pStyle w:val="Citas"/>
      </w:pPr>
      <w:r>
        <w:t xml:space="preserve">Coordinación de Programas y Proyectos de Inversión. </w:t>
      </w:r>
    </w:p>
    <w:p w14:paraId="4909A497" w14:textId="46992068" w:rsidR="00345B43" w:rsidRPr="00D73893" w:rsidRDefault="00345B43" w:rsidP="00345B43">
      <w:pPr>
        <w:pStyle w:val="Citas"/>
        <w:rPr>
          <w:b/>
        </w:rPr>
      </w:pPr>
      <w:r>
        <w:t>Coordinación de Programación, Control Presupuestal y Contabilidad.</w:t>
      </w:r>
      <w:r w:rsidR="00D73893">
        <w:t xml:space="preserve">” </w:t>
      </w:r>
      <w:r w:rsidR="00D73893">
        <w:rPr>
          <w:b/>
        </w:rPr>
        <w:t xml:space="preserve">[Sic] </w:t>
      </w:r>
    </w:p>
    <w:p w14:paraId="30B1D802" w14:textId="5BB8F861" w:rsidR="005B1C46" w:rsidRDefault="005B1C46" w:rsidP="00EC4F33">
      <w:pPr>
        <w:spacing w:before="240" w:line="360" w:lineRule="auto"/>
        <w:ind w:right="72"/>
        <w:jc w:val="both"/>
        <w:rPr>
          <w:rFonts w:ascii="Palatino Linotype" w:hAnsi="Palatino Linotype" w:cs="Arial"/>
          <w:sz w:val="24"/>
          <w:szCs w:val="24"/>
        </w:rPr>
      </w:pPr>
    </w:p>
    <w:p w14:paraId="5CEDA79A" w14:textId="4D695BB9" w:rsidR="009F002C" w:rsidRPr="009F002C" w:rsidRDefault="009F002C" w:rsidP="009F002C">
      <w:pPr>
        <w:pStyle w:val="Citas"/>
        <w:jc w:val="center"/>
        <w:rPr>
          <w:b/>
        </w:rPr>
      </w:pPr>
      <w:r>
        <w:rPr>
          <w:b/>
        </w:rPr>
        <w:lastRenderedPageBreak/>
        <w:t>Lineamientos que regulan la entrega-recepción de la administración pública municipal del Estado de México</w:t>
      </w:r>
    </w:p>
    <w:p w14:paraId="08CA2E89" w14:textId="2115494C" w:rsidR="00345B43" w:rsidRDefault="009F002C" w:rsidP="00D73893">
      <w:pPr>
        <w:pStyle w:val="Citas"/>
      </w:pPr>
      <w:r>
        <w:t>“</w:t>
      </w:r>
      <w:r w:rsidR="00D73893">
        <w:t>Artículo 4. Para los efectos de estos lineamientos se entenderá por:</w:t>
      </w:r>
    </w:p>
    <w:p w14:paraId="7EE33890" w14:textId="40C17224" w:rsidR="00D73893" w:rsidRDefault="00D73893" w:rsidP="00D73893">
      <w:pPr>
        <w:pStyle w:val="Citas"/>
      </w:pPr>
      <w:r>
        <w:t>(…)</w:t>
      </w:r>
    </w:p>
    <w:p w14:paraId="5844B6B4" w14:textId="5376D789" w:rsidR="00D73893" w:rsidRPr="009F002C" w:rsidRDefault="00D73893" w:rsidP="00D73893">
      <w:pPr>
        <w:pStyle w:val="Citas"/>
        <w:rPr>
          <w:b/>
          <w:u w:val="single"/>
        </w:rPr>
      </w:pPr>
      <w:r w:rsidRPr="009F002C">
        <w:rPr>
          <w:b/>
          <w:u w:val="single"/>
        </w:rPr>
        <w:t>IV. CONSTANCIA DE ADEUDO O NO ADEUDO: Al documento que expide el área de competencia y que acredita si el servidor público saliente tiene o no adeudos de carácter económico, patrimonial o documental con la administración pública municipal;</w:t>
      </w:r>
    </w:p>
    <w:p w14:paraId="11377305" w14:textId="28236D67" w:rsidR="00D73893" w:rsidRDefault="00D73893" w:rsidP="00D73893">
      <w:pPr>
        <w:pStyle w:val="Citas"/>
      </w:pPr>
      <w:r>
        <w:t>(…)</w:t>
      </w:r>
    </w:p>
    <w:p w14:paraId="23444646" w14:textId="16BB9863" w:rsidR="00D73893" w:rsidRDefault="00D73893" w:rsidP="00D73893">
      <w:pPr>
        <w:pStyle w:val="Citas"/>
      </w:pPr>
      <w:r>
        <w:t>Artículo 15. Los participantes en el acto de entrega-recepción invariablemente deberán exhibir en original y entregar en copia fotostática o certificada, según se requiera, la documentación siguiente (la cual se agregará al acta de entrega recepción correspondiente):</w:t>
      </w:r>
    </w:p>
    <w:p w14:paraId="7228DFB5" w14:textId="0D48A2F4" w:rsidR="00D73893" w:rsidRPr="009F002C" w:rsidRDefault="00D73893" w:rsidP="00D73893">
      <w:pPr>
        <w:pStyle w:val="Citas"/>
        <w:rPr>
          <w:b/>
          <w:u w:val="single"/>
        </w:rPr>
      </w:pPr>
      <w:r>
        <w:t xml:space="preserve"> I. Del servidor público saliente: Documento que acredite el empleo, cargo o comisión que concluye, indicando la fecha en que inició; credencial para votar vigente o identificación oficial, comprobante domiciliario con fecha de emisión no mayor a dos meses de antigüedad, documento que avale la separación del cargo, </w:t>
      </w:r>
      <w:r w:rsidRPr="009F002C">
        <w:rPr>
          <w:b/>
          <w:u w:val="single"/>
        </w:rPr>
        <w:t>constancia de adeudo o no adeudo económico, patrimonial y documental;</w:t>
      </w:r>
    </w:p>
    <w:p w14:paraId="36A034F8" w14:textId="36079BB8" w:rsidR="00D73893" w:rsidRPr="009F002C" w:rsidRDefault="00D73893" w:rsidP="00D73893">
      <w:pPr>
        <w:pStyle w:val="Citas"/>
        <w:rPr>
          <w:b/>
        </w:rPr>
      </w:pPr>
      <w:r>
        <w:t>(…)”</w:t>
      </w:r>
      <w:r w:rsidR="009F002C">
        <w:t xml:space="preserve"> </w:t>
      </w:r>
      <w:r w:rsidR="009F002C">
        <w:rPr>
          <w:b/>
        </w:rPr>
        <w:t>[Sic]</w:t>
      </w:r>
    </w:p>
    <w:p w14:paraId="08002A37" w14:textId="77777777" w:rsidR="0090162D" w:rsidRDefault="0090162D" w:rsidP="005D23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5D89BE5" w14:textId="054C40A3" w:rsidR="005D2332" w:rsidRDefault="005D2332" w:rsidP="005D23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w:t>
      </w:r>
      <w:r>
        <w:rPr>
          <w:rFonts w:ascii="Palatino Linotype" w:eastAsia="Times New Roman" w:hAnsi="Palatino Linotype" w:cs="Arial"/>
          <w:sz w:val="24"/>
          <w:szCs w:val="24"/>
          <w:lang w:val="es-ES" w:eastAsia="es-ES"/>
        </w:rPr>
        <w:lastRenderedPageBreak/>
        <w:t xml:space="preserve">por la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p>
    <w:p w14:paraId="47E8D8DC" w14:textId="6D7D71CF" w:rsidR="001E3960" w:rsidRDefault="005D2332" w:rsidP="005D2332">
      <w:pPr>
        <w:spacing w:before="240" w:line="360" w:lineRule="auto"/>
        <w:jc w:val="both"/>
        <w:rPr>
          <w:rFonts w:ascii="Palatino Linotype" w:hAnsi="Palatino Linotype"/>
          <w:bCs/>
          <w:sz w:val="24"/>
          <w:szCs w:val="24"/>
        </w:rPr>
      </w:pPr>
      <w:r w:rsidRPr="00486E28">
        <w:rPr>
          <w:rFonts w:ascii="Palatino Linotype" w:hAnsi="Palatino Linotype"/>
          <w:sz w:val="24"/>
          <w:szCs w:val="24"/>
        </w:rPr>
        <w:t xml:space="preserve">Por otra parte, como fue mencionado en el antecedente quinto, </w:t>
      </w:r>
      <w:r w:rsidRPr="00486E28">
        <w:rPr>
          <w:rFonts w:ascii="Palatino Linotype" w:hAnsi="Palatino Linotype"/>
          <w:b/>
          <w:sz w:val="24"/>
          <w:szCs w:val="24"/>
        </w:rPr>
        <w:t>El Sujeto Obligado</w:t>
      </w:r>
      <w:r>
        <w:rPr>
          <w:rFonts w:ascii="Palatino Linotype" w:hAnsi="Palatino Linotype"/>
          <w:b/>
          <w:sz w:val="24"/>
          <w:szCs w:val="24"/>
        </w:rPr>
        <w:t xml:space="preserve"> </w:t>
      </w:r>
      <w:r>
        <w:rPr>
          <w:rFonts w:ascii="Palatino Linotype" w:hAnsi="Palatino Linotype"/>
          <w:bCs/>
          <w:sz w:val="24"/>
          <w:szCs w:val="24"/>
        </w:rPr>
        <w:t>rindió su informe justificado en fecha</w:t>
      </w:r>
      <w:r w:rsidR="001E3960">
        <w:rPr>
          <w:rFonts w:ascii="Palatino Linotype" w:hAnsi="Palatino Linotype"/>
          <w:bCs/>
          <w:sz w:val="24"/>
          <w:szCs w:val="24"/>
        </w:rPr>
        <w:t xml:space="preserve"> </w:t>
      </w:r>
      <w:r w:rsidR="001E3960">
        <w:rPr>
          <w:rFonts w:ascii="Palatino Linotype" w:hAnsi="Palatino Linotype"/>
          <w:b/>
          <w:bCs/>
          <w:sz w:val="24"/>
          <w:szCs w:val="24"/>
        </w:rPr>
        <w:t xml:space="preserve">veintiséis de mayo, </w:t>
      </w:r>
      <w:r w:rsidR="001E3960">
        <w:rPr>
          <w:rFonts w:ascii="Palatino Linotype" w:hAnsi="Palatino Linotype"/>
          <w:bCs/>
          <w:sz w:val="24"/>
          <w:szCs w:val="24"/>
        </w:rPr>
        <w:t xml:space="preserve">mismo que fue puesto a la vista de </w:t>
      </w:r>
      <w:r w:rsidR="001E3960">
        <w:rPr>
          <w:rFonts w:ascii="Palatino Linotype" w:hAnsi="Palatino Linotype"/>
          <w:b/>
          <w:bCs/>
          <w:sz w:val="24"/>
          <w:szCs w:val="24"/>
        </w:rPr>
        <w:t xml:space="preserve">La Recurrente </w:t>
      </w:r>
      <w:r w:rsidR="001E3960">
        <w:rPr>
          <w:rFonts w:ascii="Palatino Linotype" w:hAnsi="Palatino Linotype"/>
          <w:bCs/>
          <w:sz w:val="24"/>
          <w:szCs w:val="24"/>
        </w:rPr>
        <w:t xml:space="preserve">el treinta y uno de mayo, ambos de dos mil veintiuno. Describiendo su contenido a continuación: </w:t>
      </w:r>
    </w:p>
    <w:p w14:paraId="0BC3B182" w14:textId="28635F0C" w:rsidR="001E3960" w:rsidRPr="001E3960" w:rsidRDefault="001E3960" w:rsidP="001E3960">
      <w:pPr>
        <w:pStyle w:val="Prrafodelista"/>
        <w:numPr>
          <w:ilvl w:val="0"/>
          <w:numId w:val="33"/>
        </w:numPr>
        <w:spacing w:before="240" w:line="360" w:lineRule="auto"/>
        <w:jc w:val="both"/>
        <w:rPr>
          <w:rFonts w:ascii="Palatino Linotype" w:hAnsi="Palatino Linotype"/>
          <w:b/>
          <w:bCs/>
        </w:rPr>
      </w:pPr>
      <w:r>
        <w:rPr>
          <w:rFonts w:ascii="Palatino Linotype" w:hAnsi="Palatino Linotype"/>
          <w:b/>
          <w:bCs/>
        </w:rPr>
        <w:t xml:space="preserve">“cont. 00020-21.pdf”: </w:t>
      </w:r>
      <w:r>
        <w:rPr>
          <w:rFonts w:ascii="Palatino Linotype" w:hAnsi="Palatino Linotype"/>
          <w:bCs/>
        </w:rPr>
        <w:t xml:space="preserve">Oficio </w:t>
      </w:r>
      <w:r>
        <w:rPr>
          <w:rFonts w:ascii="Palatino Linotype" w:hAnsi="Palatino Linotype"/>
          <w:b/>
          <w:bCs/>
        </w:rPr>
        <w:t xml:space="preserve">TMAMECA/0363/05-21/2019-2021 </w:t>
      </w:r>
      <w:r>
        <w:rPr>
          <w:rFonts w:ascii="Palatino Linotype" w:hAnsi="Palatino Linotype"/>
          <w:bCs/>
        </w:rPr>
        <w:t xml:space="preserve">signado por el Tesorero Municipal y dirigido a la Encargada del Despacho de la Unidad de Transparencia y Acceso a la Información del Municipio de Amecameca, en alusión a  la servidora pública referida en la solicitud de información </w:t>
      </w:r>
      <w:r>
        <w:rPr>
          <w:rFonts w:ascii="Palatino Linotype" w:hAnsi="Palatino Linotype"/>
          <w:b/>
          <w:bCs/>
        </w:rPr>
        <w:t xml:space="preserve">00020/AMECAMEC/IP/2021 </w:t>
      </w:r>
      <w:r>
        <w:rPr>
          <w:rFonts w:ascii="Palatino Linotype" w:hAnsi="Palatino Linotype"/>
          <w:bCs/>
        </w:rPr>
        <w:t xml:space="preserve">menciona lo siguiente: </w:t>
      </w:r>
    </w:p>
    <w:p w14:paraId="07421A37" w14:textId="0498EC56" w:rsidR="001E3960" w:rsidRPr="001E3960" w:rsidRDefault="001E3960" w:rsidP="001E3960">
      <w:pPr>
        <w:pStyle w:val="Prrafodelista"/>
        <w:numPr>
          <w:ilvl w:val="0"/>
          <w:numId w:val="34"/>
        </w:numPr>
        <w:spacing w:before="240" w:line="360" w:lineRule="auto"/>
        <w:jc w:val="both"/>
        <w:rPr>
          <w:rFonts w:ascii="Palatino Linotype" w:hAnsi="Palatino Linotype"/>
          <w:b/>
          <w:bCs/>
        </w:rPr>
      </w:pPr>
      <w:r>
        <w:rPr>
          <w:rFonts w:ascii="Palatino Linotype" w:hAnsi="Palatino Linotype"/>
          <w:bCs/>
        </w:rPr>
        <w:t xml:space="preserve">Que los únicos gastos ejercidos son los relativos al pago de nómina. </w:t>
      </w:r>
    </w:p>
    <w:p w14:paraId="0DA4C151" w14:textId="66406704" w:rsidR="001E3960" w:rsidRPr="001E3960" w:rsidRDefault="001E3960" w:rsidP="001E3960">
      <w:pPr>
        <w:pStyle w:val="Prrafodelista"/>
        <w:numPr>
          <w:ilvl w:val="0"/>
          <w:numId w:val="34"/>
        </w:numPr>
        <w:spacing w:before="240" w:line="360" w:lineRule="auto"/>
        <w:jc w:val="both"/>
        <w:rPr>
          <w:rFonts w:ascii="Palatino Linotype" w:hAnsi="Palatino Linotype"/>
          <w:b/>
          <w:bCs/>
        </w:rPr>
      </w:pPr>
      <w:r>
        <w:rPr>
          <w:rFonts w:ascii="Palatino Linotype" w:hAnsi="Palatino Linotype"/>
          <w:bCs/>
        </w:rPr>
        <w:t xml:space="preserve">Que no entregó facturas firmadas por ella. </w:t>
      </w:r>
    </w:p>
    <w:p w14:paraId="79FFD2A1" w14:textId="30A00B0C" w:rsidR="001E3960" w:rsidRPr="001E3960" w:rsidRDefault="001E3960" w:rsidP="001E3960">
      <w:pPr>
        <w:pStyle w:val="Prrafodelista"/>
        <w:numPr>
          <w:ilvl w:val="0"/>
          <w:numId w:val="34"/>
        </w:numPr>
        <w:spacing w:before="240" w:line="360" w:lineRule="auto"/>
        <w:jc w:val="both"/>
        <w:rPr>
          <w:rFonts w:ascii="Palatino Linotype" w:hAnsi="Palatino Linotype"/>
          <w:b/>
          <w:bCs/>
        </w:rPr>
      </w:pPr>
      <w:r>
        <w:rPr>
          <w:rFonts w:ascii="Palatino Linotype" w:hAnsi="Palatino Linotype"/>
          <w:bCs/>
        </w:rPr>
        <w:t xml:space="preserve">Que desempeño cargo como Coordinadora “C”. </w:t>
      </w:r>
    </w:p>
    <w:p w14:paraId="55A83257" w14:textId="7B8D3AF5" w:rsidR="001E3960" w:rsidRPr="001E3960" w:rsidRDefault="001E3960" w:rsidP="001E3960">
      <w:pPr>
        <w:pStyle w:val="Prrafodelista"/>
        <w:numPr>
          <w:ilvl w:val="0"/>
          <w:numId w:val="34"/>
        </w:numPr>
        <w:spacing w:before="240" w:line="360" w:lineRule="auto"/>
        <w:jc w:val="both"/>
        <w:rPr>
          <w:rFonts w:ascii="Palatino Linotype" w:hAnsi="Palatino Linotype"/>
          <w:b/>
          <w:bCs/>
        </w:rPr>
      </w:pPr>
      <w:r>
        <w:rPr>
          <w:rFonts w:ascii="Palatino Linotype" w:hAnsi="Palatino Linotype"/>
          <w:bCs/>
        </w:rPr>
        <w:t xml:space="preserve">Que el motivo de su separación fue renuncia voluntaria. </w:t>
      </w:r>
    </w:p>
    <w:p w14:paraId="573A8856" w14:textId="59A0633D" w:rsidR="001E3960" w:rsidRPr="001E3960" w:rsidRDefault="001E3960" w:rsidP="001E3960">
      <w:pPr>
        <w:pStyle w:val="Prrafodelista"/>
        <w:numPr>
          <w:ilvl w:val="0"/>
          <w:numId w:val="34"/>
        </w:numPr>
        <w:spacing w:before="240" w:line="360" w:lineRule="auto"/>
        <w:jc w:val="both"/>
        <w:rPr>
          <w:rFonts w:ascii="Palatino Linotype" w:hAnsi="Palatino Linotype"/>
          <w:b/>
          <w:bCs/>
        </w:rPr>
      </w:pPr>
      <w:r>
        <w:rPr>
          <w:rFonts w:ascii="Palatino Linotype" w:hAnsi="Palatino Linotype"/>
          <w:bCs/>
        </w:rPr>
        <w:t xml:space="preserve">Que no se cuenta con la constancia de no adeudo patrimonial y financiero. </w:t>
      </w:r>
    </w:p>
    <w:p w14:paraId="4EB99D04" w14:textId="44E2E0F3" w:rsidR="001E3960" w:rsidRDefault="001E3960" w:rsidP="005D2332">
      <w:pPr>
        <w:spacing w:before="240" w:line="360" w:lineRule="auto"/>
        <w:jc w:val="both"/>
        <w:rPr>
          <w:rFonts w:ascii="Palatino Linotype" w:hAnsi="Palatino Linotype"/>
          <w:bCs/>
          <w:sz w:val="24"/>
          <w:szCs w:val="24"/>
        </w:rPr>
      </w:pPr>
      <w:r>
        <w:rPr>
          <w:rFonts w:ascii="Palatino Linotype" w:hAnsi="Palatino Linotype"/>
          <w:bCs/>
          <w:sz w:val="24"/>
          <w:szCs w:val="24"/>
        </w:rPr>
        <w:lastRenderedPageBreak/>
        <w:t xml:space="preserve">Luego entonces, si bien es cierto que </w:t>
      </w:r>
      <w:r>
        <w:rPr>
          <w:rFonts w:ascii="Palatino Linotype" w:hAnsi="Palatino Linotype"/>
          <w:b/>
          <w:bCs/>
          <w:sz w:val="24"/>
          <w:szCs w:val="24"/>
        </w:rPr>
        <w:t xml:space="preserve">El Sujeto Obligado </w:t>
      </w:r>
      <w:r>
        <w:rPr>
          <w:rFonts w:ascii="Palatino Linotype" w:hAnsi="Palatino Linotype"/>
          <w:bCs/>
          <w:sz w:val="24"/>
          <w:szCs w:val="24"/>
        </w:rPr>
        <w:t xml:space="preserve">fue omiso en rendir su respuesta primigenia, lo cierto también es que su informe justificado es susceptible de </w:t>
      </w:r>
      <w:r w:rsidR="007F1C99">
        <w:rPr>
          <w:rFonts w:ascii="Palatino Linotype" w:hAnsi="Palatino Linotype"/>
          <w:bCs/>
          <w:sz w:val="24"/>
          <w:szCs w:val="24"/>
        </w:rPr>
        <w:t xml:space="preserve">colmar </w:t>
      </w:r>
      <w:r>
        <w:rPr>
          <w:rFonts w:ascii="Palatino Linotype" w:hAnsi="Palatino Linotype"/>
          <w:bCs/>
          <w:sz w:val="24"/>
          <w:szCs w:val="24"/>
        </w:rPr>
        <w:t xml:space="preserve"> los requerimientos primero</w:t>
      </w:r>
      <w:r w:rsidR="007F1C99">
        <w:rPr>
          <w:rFonts w:ascii="Palatino Linotype" w:hAnsi="Palatino Linotype"/>
          <w:bCs/>
          <w:sz w:val="24"/>
          <w:szCs w:val="24"/>
        </w:rPr>
        <w:t xml:space="preserve"> (cargo desempeñado), tercero (facturas entregadas con firma y bajo que concepto), cuarto (motivo del despido) y quinto (si hizo o no entrega de su constancia de no adeudo patrimonial y financiero, es decir un simple pronunciamiento en sentido positivo o negativo). </w:t>
      </w:r>
    </w:p>
    <w:p w14:paraId="12E5326B" w14:textId="78F2B5DB" w:rsidR="0090162D" w:rsidRPr="00395EDB" w:rsidRDefault="0090162D" w:rsidP="0090162D">
      <w:pPr>
        <w:autoSpaceDE w:val="0"/>
        <w:autoSpaceDN w:val="0"/>
        <w:adjustRightInd w:val="0"/>
        <w:spacing w:before="240" w:line="360" w:lineRule="auto"/>
        <w:jc w:val="both"/>
        <w:rPr>
          <w:rFonts w:ascii="Arial" w:hAnsi="Arial" w:cs="Arial"/>
          <w:color w:val="222222"/>
          <w:lang w:eastAsia="es-MX"/>
        </w:rPr>
      </w:pPr>
      <w:r>
        <w:rPr>
          <w:rFonts w:ascii="Palatino Linotype" w:hAnsi="Palatino Linotype"/>
          <w:bCs/>
          <w:sz w:val="24"/>
          <w:szCs w:val="24"/>
        </w:rPr>
        <w:t xml:space="preserve">A mayor abundamiento, con relación a los requerimientos tercero y quinto, se destaca que el </w:t>
      </w:r>
      <w:r w:rsidRPr="00A507EB">
        <w:rPr>
          <w:rFonts w:ascii="Palatino Linotype" w:hAnsi="Palatino Linotype" w:cs="Arial"/>
          <w:sz w:val="24"/>
          <w:szCs w:val="24"/>
        </w:rPr>
        <w:t>Pleno de este Organismo Garante, ha sostenido que ante la presencia de un hecho negativo, resultaría innecesaria una declaratoria de inexistencia en términos de 19, 169 y 170 de la Ley de Transparencia y Acceso a la Información Pública del Estado de México y Municipios, y</w:t>
      </w:r>
      <w:r>
        <w:rPr>
          <w:rFonts w:ascii="Palatino Linotype" w:hAnsi="Palatino Linotype" w:cs="Arial"/>
          <w:sz w:val="24"/>
          <w:szCs w:val="24"/>
        </w:rPr>
        <w:t xml:space="preserve"> ante un hecho negativo resulta aplicable</w:t>
      </w:r>
      <w:r w:rsidRPr="00A507EB">
        <w:rPr>
          <w:rFonts w:ascii="Palatino Linotype" w:hAnsi="Palatino Linotype" w:cs="Arial"/>
          <w:sz w:val="24"/>
          <w:szCs w:val="24"/>
        </w:rPr>
        <w:t xml:space="preserve"> la siguiente tesis</w:t>
      </w:r>
      <w:r w:rsidRPr="00A507EB">
        <w:rPr>
          <w:rFonts w:ascii="Palatino Linotype" w:hAnsi="Palatino Linotype" w:cs="Arial"/>
          <w:color w:val="222222"/>
          <w:sz w:val="24"/>
          <w:szCs w:val="24"/>
        </w:rPr>
        <w:t>:</w:t>
      </w:r>
    </w:p>
    <w:p w14:paraId="7DCBFB53" w14:textId="77777777" w:rsidR="0090162D" w:rsidRPr="00395EDB" w:rsidRDefault="0090162D" w:rsidP="0090162D">
      <w:pPr>
        <w:spacing w:before="240" w:line="360" w:lineRule="auto"/>
        <w:ind w:left="851" w:right="851"/>
        <w:jc w:val="both"/>
        <w:rPr>
          <w:rFonts w:ascii="Arial" w:hAnsi="Arial" w:cs="Arial"/>
          <w:color w:val="222222"/>
          <w:sz w:val="19"/>
          <w:szCs w:val="19"/>
        </w:rPr>
      </w:pPr>
      <w:r w:rsidRPr="00395EDB">
        <w:rPr>
          <w:rFonts w:ascii="Palatino Linotype" w:hAnsi="Palatino Linotype" w:cs="Arial"/>
          <w:color w:val="222222"/>
          <w:sz w:val="19"/>
          <w:szCs w:val="19"/>
        </w:rPr>
        <w:t> </w:t>
      </w:r>
      <w:r w:rsidRPr="00395EDB">
        <w:rPr>
          <w:rFonts w:ascii="Palatino Linotype" w:hAnsi="Palatino Linotype" w:cs="Arial"/>
          <w:b/>
          <w:bCs/>
          <w:i/>
          <w:iCs/>
          <w:color w:val="222222"/>
        </w:rPr>
        <w:t>“HECHOS NEGATIVOS, NO SON SUSCEPTIBLES DE DEMOSTRACION.</w:t>
      </w:r>
    </w:p>
    <w:p w14:paraId="157591CC" w14:textId="77777777" w:rsidR="0090162D" w:rsidRPr="00D71F22" w:rsidRDefault="0090162D" w:rsidP="0090162D">
      <w:pPr>
        <w:spacing w:before="240" w:line="360" w:lineRule="auto"/>
        <w:ind w:left="851" w:right="851"/>
        <w:jc w:val="both"/>
        <w:rPr>
          <w:rFonts w:ascii="Arial" w:hAnsi="Arial" w:cs="Arial"/>
          <w:b/>
          <w:color w:val="222222"/>
          <w:sz w:val="19"/>
          <w:szCs w:val="19"/>
        </w:rPr>
      </w:pPr>
      <w:r w:rsidRPr="00395EDB">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r>
        <w:rPr>
          <w:rFonts w:ascii="Palatino Linotype" w:hAnsi="Palatino Linotype" w:cs="Arial"/>
          <w:i/>
          <w:iCs/>
          <w:color w:val="222222"/>
        </w:rPr>
        <w:t xml:space="preserve">” </w:t>
      </w:r>
      <w:r>
        <w:rPr>
          <w:rFonts w:ascii="Palatino Linotype" w:hAnsi="Palatino Linotype" w:cs="Arial"/>
          <w:b/>
          <w:i/>
          <w:iCs/>
          <w:color w:val="222222"/>
        </w:rPr>
        <w:t>[Sic]</w:t>
      </w:r>
    </w:p>
    <w:p w14:paraId="0960473E" w14:textId="24F572CE" w:rsidR="0090162D" w:rsidRDefault="0090162D" w:rsidP="005D2332">
      <w:pPr>
        <w:spacing w:before="240" w:line="360" w:lineRule="auto"/>
        <w:jc w:val="both"/>
        <w:rPr>
          <w:rFonts w:ascii="Palatino Linotype" w:hAnsi="Palatino Linotype"/>
          <w:bCs/>
          <w:sz w:val="24"/>
          <w:szCs w:val="24"/>
        </w:rPr>
      </w:pPr>
    </w:p>
    <w:p w14:paraId="0263ACA5" w14:textId="49918F75" w:rsidR="007F1C99" w:rsidRDefault="0090162D" w:rsidP="005D2332">
      <w:pPr>
        <w:spacing w:before="240" w:line="360" w:lineRule="auto"/>
        <w:jc w:val="both"/>
        <w:rPr>
          <w:rFonts w:ascii="Palatino Linotype" w:hAnsi="Palatino Linotype"/>
          <w:bCs/>
          <w:sz w:val="24"/>
          <w:szCs w:val="24"/>
        </w:rPr>
      </w:pPr>
      <w:r>
        <w:rPr>
          <w:rFonts w:ascii="Palatino Linotype" w:hAnsi="Palatino Linotype"/>
          <w:bCs/>
          <w:sz w:val="24"/>
          <w:szCs w:val="24"/>
        </w:rPr>
        <w:t>Por otra parte</w:t>
      </w:r>
      <w:r w:rsidR="007F1C99">
        <w:rPr>
          <w:rFonts w:ascii="Palatino Linotype" w:hAnsi="Palatino Linotype"/>
          <w:bCs/>
          <w:sz w:val="24"/>
          <w:szCs w:val="24"/>
        </w:rPr>
        <w:t xml:space="preserve"> con relación al segundo requerimiento (gastos ejercidos), </w:t>
      </w:r>
      <w:r w:rsidR="007F1C99">
        <w:rPr>
          <w:rFonts w:ascii="Palatino Linotype" w:hAnsi="Palatino Linotype"/>
          <w:b/>
          <w:bCs/>
          <w:sz w:val="24"/>
          <w:szCs w:val="24"/>
        </w:rPr>
        <w:t xml:space="preserve">El Sujeto Obligado </w:t>
      </w:r>
      <w:r w:rsidR="007F1C99">
        <w:rPr>
          <w:rFonts w:ascii="Palatino Linotype" w:hAnsi="Palatino Linotype"/>
          <w:bCs/>
          <w:sz w:val="24"/>
          <w:szCs w:val="24"/>
        </w:rPr>
        <w:t xml:space="preserve">se limitó a señalar que sus únicos gastos relativos al pago de nómina, es decir, asume contar con soportes documentales que dan cuenta del requerimiento, sin embargo no son remitidos, en virtud de lo anterior, al resulta procedente la entrega de la siguiente información: </w:t>
      </w:r>
    </w:p>
    <w:p w14:paraId="7B87009D" w14:textId="10232938" w:rsidR="00577500" w:rsidRDefault="002406B0" w:rsidP="00577500">
      <w:pPr>
        <w:pStyle w:val="Prrafodelista"/>
        <w:numPr>
          <w:ilvl w:val="0"/>
          <w:numId w:val="36"/>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Recibos de pago, comprobante</w:t>
      </w:r>
      <w:r w:rsidR="00577500" w:rsidRPr="00FB5B57">
        <w:rPr>
          <w:rFonts w:ascii="Palatino Linotype" w:hAnsi="Palatino Linotype" w:cs="Arial"/>
        </w:rPr>
        <w:t xml:space="preserve"> de pago o CFDI</w:t>
      </w:r>
      <w:r w:rsidR="00577500">
        <w:rPr>
          <w:rFonts w:ascii="Palatino Linotype" w:hAnsi="Palatino Linotype" w:cs="Arial"/>
        </w:rPr>
        <w:t xml:space="preserve">, de la servidora pública referida en la solicitud de información </w:t>
      </w:r>
      <w:r w:rsidR="00577500">
        <w:rPr>
          <w:rFonts w:ascii="Palatino Linotype" w:hAnsi="Palatino Linotype" w:cs="Arial"/>
          <w:b/>
        </w:rPr>
        <w:t>00020/AMECAMEC/IP/2021</w:t>
      </w:r>
      <w:r>
        <w:rPr>
          <w:rFonts w:ascii="Palatino Linotype" w:hAnsi="Palatino Linotype" w:cs="Arial"/>
        </w:rPr>
        <w:t>, correspondiente</w:t>
      </w:r>
      <w:r w:rsidR="00577500">
        <w:rPr>
          <w:rFonts w:ascii="Palatino Linotype" w:hAnsi="Palatino Linotype" w:cs="Arial"/>
        </w:rPr>
        <w:t xml:space="preserve"> </w:t>
      </w:r>
      <w:r>
        <w:rPr>
          <w:rFonts w:ascii="Palatino Linotype" w:hAnsi="Palatino Linotype" w:cs="Arial"/>
        </w:rPr>
        <w:t xml:space="preserve">a la última quincena previa a la renuncia. </w:t>
      </w:r>
    </w:p>
    <w:p w14:paraId="6B9D8134" w14:textId="77777777" w:rsidR="00A96C9F" w:rsidRDefault="00A96C9F" w:rsidP="000D67B8">
      <w:pPr>
        <w:spacing w:before="240" w:line="360" w:lineRule="auto"/>
        <w:ind w:right="72"/>
        <w:jc w:val="both"/>
        <w:rPr>
          <w:rFonts w:ascii="Palatino Linotype" w:hAnsi="Palatino Linotype"/>
          <w:sz w:val="24"/>
          <w:szCs w:val="24"/>
        </w:rPr>
      </w:pPr>
    </w:p>
    <w:p w14:paraId="2E441346" w14:textId="77777777" w:rsidR="000D67B8" w:rsidRPr="002406B0" w:rsidRDefault="000D67B8" w:rsidP="002406B0">
      <w:pPr>
        <w:autoSpaceDE w:val="0"/>
        <w:autoSpaceDN w:val="0"/>
        <w:adjustRightInd w:val="0"/>
        <w:spacing w:before="240" w:line="360" w:lineRule="auto"/>
        <w:jc w:val="both"/>
        <w:rPr>
          <w:rFonts w:ascii="Palatino Linotype" w:hAnsi="Palatino Linotype"/>
          <w:b/>
          <w:sz w:val="28"/>
          <w:szCs w:val="28"/>
        </w:rPr>
      </w:pPr>
      <w:r w:rsidRPr="002406B0">
        <w:rPr>
          <w:rFonts w:ascii="Palatino Linotype" w:hAnsi="Palatino Linotype"/>
          <w:b/>
          <w:sz w:val="28"/>
          <w:szCs w:val="28"/>
        </w:rPr>
        <w:t xml:space="preserve">Versión Pública </w:t>
      </w:r>
    </w:p>
    <w:p w14:paraId="04A440D2" w14:textId="77777777" w:rsidR="000D67B8" w:rsidRPr="001571EB" w:rsidRDefault="000D67B8" w:rsidP="000D67B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C576A58" w14:textId="77777777" w:rsidR="000D67B8" w:rsidRPr="00E60DEF" w:rsidRDefault="000D67B8" w:rsidP="000D67B8">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0977255" w14:textId="77777777" w:rsidR="000D67B8" w:rsidRPr="00E60DEF" w:rsidRDefault="000D67B8" w:rsidP="000D67B8">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D0A01D8" w14:textId="77777777" w:rsidR="000D67B8" w:rsidRPr="001571EB" w:rsidRDefault="000D67B8" w:rsidP="000D67B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3F58293" w14:textId="77777777" w:rsidR="000D67B8" w:rsidRPr="001571EB" w:rsidRDefault="000D67B8" w:rsidP="000D67B8">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C9F29B4" w14:textId="77777777" w:rsidR="000D67B8" w:rsidRPr="001571EB" w:rsidRDefault="000D67B8" w:rsidP="000D67B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10FB23C" w14:textId="77777777" w:rsidR="000D67B8" w:rsidRPr="001571EB" w:rsidRDefault="000D67B8" w:rsidP="000D67B8">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12358B74" w14:textId="77777777" w:rsidR="000D67B8" w:rsidRPr="001571EB" w:rsidRDefault="000D67B8" w:rsidP="000D67B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B33AAF2" w14:textId="77777777" w:rsidR="000D67B8" w:rsidRPr="001571EB" w:rsidRDefault="000D67B8" w:rsidP="000D67B8">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831DC87" w14:textId="77777777" w:rsidR="000D67B8" w:rsidRPr="001571EB" w:rsidRDefault="000D67B8" w:rsidP="000D67B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BE62659" w14:textId="77777777" w:rsidR="000D67B8" w:rsidRPr="00E60DEF" w:rsidRDefault="000D67B8" w:rsidP="000D67B8">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759EF30" w14:textId="77777777" w:rsidR="000D67B8" w:rsidRPr="001571EB" w:rsidRDefault="000D67B8" w:rsidP="000D67B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039C986" w14:textId="77777777" w:rsidR="000D67B8" w:rsidRPr="00E60DEF" w:rsidRDefault="000D67B8" w:rsidP="000D67B8">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3F4DF4B" w14:textId="77777777" w:rsidR="000D67B8" w:rsidRPr="001571EB" w:rsidRDefault="000D67B8" w:rsidP="000D67B8">
      <w:pPr>
        <w:spacing w:line="240" w:lineRule="auto"/>
        <w:ind w:left="851" w:right="851"/>
        <w:jc w:val="both"/>
        <w:rPr>
          <w:rFonts w:ascii="Palatino Linotype" w:hAnsi="Palatino Linotype" w:cs="Arial"/>
          <w:b/>
          <w:i/>
          <w:u w:val="single"/>
        </w:rPr>
      </w:pPr>
    </w:p>
    <w:p w14:paraId="3426E9E8" w14:textId="77777777" w:rsidR="000D67B8" w:rsidRPr="001571EB" w:rsidRDefault="000D67B8" w:rsidP="000D67B8">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1571EB">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53E842D2" w14:textId="77777777" w:rsidR="000D67B8" w:rsidRPr="001571EB" w:rsidRDefault="000D67B8" w:rsidP="000D67B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0584E74" w14:textId="77777777" w:rsidR="000D67B8" w:rsidRPr="001571EB" w:rsidRDefault="000D67B8" w:rsidP="000D67B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6C67BA7" w14:textId="77777777" w:rsidR="000D67B8" w:rsidRDefault="000D67B8" w:rsidP="000D67B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7828265" w14:textId="77777777" w:rsidR="000D67B8" w:rsidRDefault="000D67B8" w:rsidP="000D67B8">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4D13688"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925D113"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AD2C5A8"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2F58C55"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1156B99" w14:textId="77777777" w:rsidR="000D67B8" w:rsidRPr="00EE0180"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DCDBACE" w14:textId="77777777" w:rsidR="000D67B8" w:rsidRPr="001571EB" w:rsidRDefault="000D67B8" w:rsidP="000D67B8">
      <w:pPr>
        <w:autoSpaceDE w:val="0"/>
        <w:autoSpaceDN w:val="0"/>
        <w:adjustRightInd w:val="0"/>
        <w:spacing w:before="120" w:after="120"/>
        <w:ind w:left="567" w:right="850"/>
        <w:jc w:val="both"/>
        <w:rPr>
          <w:rFonts w:ascii="Palatino Linotype" w:eastAsia="Times New Roman" w:hAnsi="Palatino Linotype" w:cs="Arial"/>
          <w:i/>
        </w:rPr>
      </w:pPr>
    </w:p>
    <w:p w14:paraId="28842BBB" w14:textId="77777777" w:rsidR="000D67B8" w:rsidRPr="001571EB" w:rsidRDefault="000D67B8" w:rsidP="000D67B8">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718E75EE" w14:textId="77777777" w:rsidR="000D67B8" w:rsidRPr="001571EB" w:rsidRDefault="000D67B8" w:rsidP="000D67B8">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14F12DE" w14:textId="77777777" w:rsidR="000D67B8" w:rsidRDefault="000D67B8" w:rsidP="000D67B8">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193753C" w14:textId="77777777" w:rsidR="000D67B8" w:rsidRDefault="000D67B8" w:rsidP="000D67B8">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1056D8B"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68483E44"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689AF90"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5B2100A0" w14:textId="77777777" w:rsidR="000D67B8" w:rsidRPr="001571EB"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C21E7BF" w14:textId="77777777" w:rsidR="000D67B8" w:rsidRDefault="000D67B8" w:rsidP="000D67B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2378A5F" w14:textId="77777777" w:rsidR="0090162D" w:rsidRDefault="0090162D" w:rsidP="000D67B8">
      <w:pPr>
        <w:spacing w:after="0" w:line="360" w:lineRule="auto"/>
        <w:ind w:right="51"/>
        <w:jc w:val="both"/>
        <w:rPr>
          <w:rFonts w:ascii="Palatino Linotype" w:hAnsi="Palatino Linotype" w:cs="Arial"/>
          <w:sz w:val="24"/>
          <w:szCs w:val="24"/>
        </w:rPr>
      </w:pPr>
    </w:p>
    <w:p w14:paraId="5BC45A42" w14:textId="77777777" w:rsidR="000D67B8" w:rsidRDefault="000D67B8" w:rsidP="000D67B8">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6C787F2" w14:textId="77777777" w:rsidR="000D67B8" w:rsidRDefault="000D67B8" w:rsidP="000D67B8">
      <w:pPr>
        <w:spacing w:after="0" w:line="360" w:lineRule="auto"/>
        <w:ind w:right="51"/>
        <w:jc w:val="both"/>
        <w:rPr>
          <w:rFonts w:ascii="Palatino Linotype" w:hAnsi="Palatino Linotype" w:cs="Arial"/>
          <w:sz w:val="24"/>
          <w:szCs w:val="24"/>
        </w:rPr>
      </w:pPr>
    </w:p>
    <w:p w14:paraId="7FB70CF3" w14:textId="2352CA85" w:rsidR="000D67B8" w:rsidRDefault="000D67B8" w:rsidP="000D67B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2406B0">
        <w:rPr>
          <w:rFonts w:ascii="Palatino Linotype" w:hAnsi="Palatino Linotype" w:cs="Arial"/>
          <w:b/>
          <w:sz w:val="24"/>
        </w:rPr>
        <w:t>00020/AMECAMEC/IP/2021</w:t>
      </w:r>
      <w:r>
        <w:rPr>
          <w:rFonts w:ascii="Palatino Linotype" w:hAnsi="Palatino Linotype" w:cs="Arial"/>
          <w:b/>
          <w:sz w:val="24"/>
        </w:rPr>
        <w:t xml:space="preserve"> </w:t>
      </w:r>
      <w:r w:rsidRPr="00FB59FD">
        <w:rPr>
          <w:rFonts w:ascii="Palatino Linotype" w:hAnsi="Palatino Linotype" w:cs="Arial"/>
          <w:sz w:val="24"/>
          <w:szCs w:val="24"/>
        </w:rPr>
        <w:t>que ha sido materia del presente fallo.</w:t>
      </w:r>
    </w:p>
    <w:p w14:paraId="2C78D5C4" w14:textId="77777777" w:rsidR="000D67B8" w:rsidRPr="00FB59FD" w:rsidRDefault="000D67B8" w:rsidP="000D67B8">
      <w:pPr>
        <w:autoSpaceDE w:val="0"/>
        <w:autoSpaceDN w:val="0"/>
        <w:adjustRightInd w:val="0"/>
        <w:spacing w:after="0" w:line="360" w:lineRule="auto"/>
        <w:jc w:val="both"/>
        <w:rPr>
          <w:rFonts w:ascii="Palatino Linotype" w:hAnsi="Palatino Linotype" w:cs="Arial"/>
          <w:sz w:val="24"/>
          <w:szCs w:val="24"/>
        </w:rPr>
      </w:pPr>
    </w:p>
    <w:p w14:paraId="32AD940D" w14:textId="77777777" w:rsidR="000D67B8" w:rsidRDefault="000D67B8" w:rsidP="000D67B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33B87A01" w14:textId="77777777" w:rsidR="002406B0" w:rsidRDefault="002406B0" w:rsidP="000D67B8">
      <w:pPr>
        <w:autoSpaceDE w:val="0"/>
        <w:autoSpaceDN w:val="0"/>
        <w:adjustRightInd w:val="0"/>
        <w:spacing w:after="0" w:line="360" w:lineRule="auto"/>
        <w:jc w:val="both"/>
        <w:rPr>
          <w:rFonts w:ascii="Palatino Linotype" w:hAnsi="Palatino Linotype" w:cs="Arial"/>
          <w:sz w:val="24"/>
          <w:szCs w:val="24"/>
        </w:rPr>
      </w:pPr>
    </w:p>
    <w:p w14:paraId="472D386D" w14:textId="77777777" w:rsidR="002406B0" w:rsidRDefault="002406B0" w:rsidP="000D67B8">
      <w:pPr>
        <w:autoSpaceDE w:val="0"/>
        <w:autoSpaceDN w:val="0"/>
        <w:adjustRightInd w:val="0"/>
        <w:spacing w:after="0" w:line="360" w:lineRule="auto"/>
        <w:jc w:val="both"/>
        <w:rPr>
          <w:rFonts w:ascii="Palatino Linotype" w:hAnsi="Palatino Linotype" w:cs="Arial"/>
          <w:sz w:val="24"/>
          <w:szCs w:val="24"/>
        </w:rPr>
      </w:pPr>
    </w:p>
    <w:p w14:paraId="72CBE67F" w14:textId="77777777" w:rsidR="000D67B8" w:rsidRPr="00FB59FD" w:rsidRDefault="000D67B8" w:rsidP="000D67B8">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13569BF6" w14:textId="77777777" w:rsidR="000D67B8" w:rsidRPr="00FB59FD" w:rsidRDefault="000D67B8" w:rsidP="000D67B8">
      <w:pPr>
        <w:spacing w:after="0" w:line="360" w:lineRule="auto"/>
        <w:ind w:left="426"/>
        <w:jc w:val="center"/>
        <w:rPr>
          <w:rFonts w:ascii="Palatino Linotype" w:eastAsia="Times New Roman" w:hAnsi="Palatino Linotype" w:cs="Times New Roman"/>
          <w:b/>
          <w:color w:val="000000"/>
          <w:sz w:val="28"/>
          <w:szCs w:val="24"/>
          <w:lang w:val="es-ES" w:eastAsia="es-ES"/>
        </w:rPr>
      </w:pPr>
    </w:p>
    <w:p w14:paraId="7CA9EFB9" w14:textId="6121C40D"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sidR="002406B0">
        <w:rPr>
          <w:rFonts w:ascii="Palatino Linotype" w:hAnsi="Palatino Linotype" w:cstheme="minorHAnsi"/>
          <w:b/>
        </w:rPr>
        <w:t>LA</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1E5E97BA" w14:textId="77777777" w:rsidR="000D67B8" w:rsidRPr="00BE383C" w:rsidRDefault="000D67B8" w:rsidP="000D67B8">
      <w:pPr>
        <w:pStyle w:val="Sinespaciado"/>
        <w:spacing w:line="360" w:lineRule="auto"/>
        <w:jc w:val="both"/>
        <w:rPr>
          <w:rFonts w:ascii="Palatino Linotype" w:hAnsi="Palatino Linotype" w:cstheme="minorHAnsi"/>
        </w:rPr>
      </w:pPr>
    </w:p>
    <w:p w14:paraId="6C23FED6" w14:textId="7D88450C" w:rsidR="002406B0" w:rsidRDefault="002406B0" w:rsidP="002406B0">
      <w:pPr>
        <w:spacing w:after="0" w:line="360" w:lineRule="auto"/>
        <w:jc w:val="both"/>
        <w:rPr>
          <w:rFonts w:ascii="Palatino Linotype" w:eastAsia="Times New Roman" w:hAnsi="Palatino Linotype" w:cs="Arial"/>
          <w:sz w:val="24"/>
          <w:szCs w:val="24"/>
        </w:rPr>
      </w:pPr>
      <w:r w:rsidRPr="005305E3">
        <w:rPr>
          <w:rFonts w:ascii="Palatino Linotype" w:hAnsi="Palatino Linotype" w:cstheme="minorHAnsi"/>
          <w:b/>
          <w:sz w:val="24"/>
          <w:szCs w:val="24"/>
        </w:rPr>
        <w:t xml:space="preserve">SEGUNDO. </w:t>
      </w:r>
      <w:r w:rsidRPr="005305E3">
        <w:rPr>
          <w:rFonts w:ascii="Palatino Linotype" w:hAnsi="Palatino Linotype"/>
          <w:color w:val="222222"/>
          <w:sz w:val="24"/>
          <w:szCs w:val="24"/>
          <w:lang w:eastAsia="es-MX"/>
        </w:rPr>
        <w:t>Se</w:t>
      </w:r>
      <w:r w:rsidRPr="005305E3">
        <w:rPr>
          <w:rFonts w:ascii="Palatino Linotype" w:hAnsi="Palatino Linotype"/>
          <w:b/>
          <w:bCs/>
          <w:color w:val="222222"/>
          <w:sz w:val="24"/>
          <w:szCs w:val="24"/>
          <w:lang w:eastAsia="es-MX"/>
        </w:rPr>
        <w:t xml:space="preserve"> ORDENA </w:t>
      </w:r>
      <w:r w:rsidRPr="005305E3">
        <w:rPr>
          <w:rFonts w:ascii="Palatino Linotype" w:hAnsi="Palatino Linotype"/>
          <w:color w:val="222222"/>
          <w:sz w:val="24"/>
          <w:szCs w:val="24"/>
          <w:lang w:eastAsia="es-MX"/>
        </w:rPr>
        <w:t xml:space="preserve">al </w:t>
      </w:r>
      <w:r w:rsidRPr="005305E3">
        <w:rPr>
          <w:rFonts w:ascii="Palatino Linotype" w:hAnsi="Palatino Linotype"/>
          <w:b/>
          <w:color w:val="222222"/>
          <w:sz w:val="24"/>
          <w:szCs w:val="24"/>
          <w:lang w:eastAsia="es-MX"/>
        </w:rPr>
        <w:t>SUJETO OBLIGADO</w:t>
      </w:r>
      <w:r w:rsidRPr="005305E3">
        <w:rPr>
          <w:rFonts w:ascii="Palatino Linotype" w:hAnsi="Palatino Linotype"/>
          <w:color w:val="222222"/>
          <w:sz w:val="24"/>
          <w:szCs w:val="24"/>
          <w:lang w:eastAsia="es-MX"/>
        </w:rPr>
        <w:t xml:space="preserve"> atienda la solicitud de información número </w:t>
      </w:r>
      <w:r>
        <w:rPr>
          <w:rFonts w:ascii="Palatino Linotype" w:hAnsi="Palatino Linotype" w:cs="Arial"/>
          <w:b/>
          <w:sz w:val="24"/>
          <w:szCs w:val="24"/>
        </w:rPr>
        <w:t>00020/AMECAMEC/IP/2021</w:t>
      </w:r>
      <w:r w:rsidRPr="005305E3">
        <w:rPr>
          <w:rFonts w:ascii="Palatino Linotype" w:hAnsi="Palatino Linotype"/>
          <w:b/>
          <w:color w:val="222222"/>
          <w:sz w:val="24"/>
          <w:szCs w:val="24"/>
          <w:lang w:eastAsia="es-MX"/>
        </w:rPr>
        <w:t xml:space="preserve">, y </w:t>
      </w:r>
      <w:r w:rsidRPr="005305E3">
        <w:rPr>
          <w:rFonts w:ascii="Palatino Linotype" w:hAnsi="Palatino Linotype"/>
          <w:color w:val="222222"/>
          <w:sz w:val="24"/>
          <w:szCs w:val="24"/>
          <w:lang w:eastAsia="es-MX"/>
        </w:rPr>
        <w:t xml:space="preserve">en términos del Considerando </w:t>
      </w:r>
      <w:r w:rsidRPr="005305E3">
        <w:rPr>
          <w:rFonts w:ascii="Palatino Linotype" w:hAnsi="Palatino Linotype"/>
          <w:b/>
          <w:bCs/>
          <w:color w:val="222222"/>
          <w:sz w:val="24"/>
          <w:szCs w:val="24"/>
          <w:lang w:eastAsia="es-MX"/>
        </w:rPr>
        <w:t xml:space="preserve">CUARTO </w:t>
      </w:r>
      <w:r w:rsidRPr="005305E3">
        <w:rPr>
          <w:rFonts w:ascii="Palatino Linotype" w:eastAsia="Times New Roman" w:hAnsi="Palatino Linotype" w:cs="Arial"/>
          <w:sz w:val="24"/>
          <w:szCs w:val="24"/>
        </w:rPr>
        <w:t>de la pre</w:t>
      </w:r>
      <w:r>
        <w:rPr>
          <w:rFonts w:ascii="Palatino Linotype" w:eastAsia="Times New Roman" w:hAnsi="Palatino Linotype" w:cs="Arial"/>
          <w:sz w:val="24"/>
          <w:szCs w:val="24"/>
        </w:rPr>
        <w:t xml:space="preserve">sente resolución haga entrega a </w:t>
      </w:r>
      <w:r>
        <w:rPr>
          <w:rFonts w:ascii="Palatino Linotype" w:eastAsia="Times New Roman" w:hAnsi="Palatino Linotype" w:cs="Arial"/>
          <w:b/>
          <w:sz w:val="24"/>
          <w:szCs w:val="24"/>
        </w:rPr>
        <w:t>LA</w:t>
      </w:r>
      <w:r w:rsidRPr="005305E3">
        <w:rPr>
          <w:rFonts w:ascii="Palatino Linotype" w:eastAsia="Times New Roman" w:hAnsi="Palatino Linotype" w:cs="Arial"/>
          <w:b/>
          <w:sz w:val="24"/>
          <w:szCs w:val="24"/>
        </w:rPr>
        <w:t xml:space="preserve"> RECURRENTE</w:t>
      </w:r>
      <w:r w:rsidRPr="005305E3">
        <w:rPr>
          <w:rFonts w:ascii="Palatino Linotype" w:eastAsia="Times New Roman" w:hAnsi="Palatino Linotype" w:cs="Arial"/>
          <w:sz w:val="24"/>
          <w:szCs w:val="24"/>
        </w:rPr>
        <w:t xml:space="preserve">, en versión pública de ser procedente, a través del </w:t>
      </w:r>
      <w:r w:rsidRPr="005305E3">
        <w:rPr>
          <w:rFonts w:ascii="Palatino Linotype" w:eastAsia="Times New Roman" w:hAnsi="Palatino Linotype" w:cs="Arial"/>
          <w:b/>
          <w:sz w:val="24"/>
          <w:szCs w:val="24"/>
        </w:rPr>
        <w:t xml:space="preserve">SAIMEX </w:t>
      </w:r>
      <w:r w:rsidRPr="005305E3">
        <w:rPr>
          <w:rFonts w:ascii="Palatino Linotype" w:eastAsia="Times New Roman" w:hAnsi="Palatino Linotype" w:cs="Arial"/>
          <w:sz w:val="24"/>
          <w:szCs w:val="24"/>
        </w:rPr>
        <w:t>de lo siguiente:</w:t>
      </w:r>
    </w:p>
    <w:p w14:paraId="7EB15B7B" w14:textId="77777777" w:rsidR="00927C53" w:rsidRDefault="00927C53" w:rsidP="00927C53">
      <w:pPr>
        <w:pStyle w:val="Prrafodelista"/>
        <w:numPr>
          <w:ilvl w:val="0"/>
          <w:numId w:val="37"/>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Recibos de pago, comprobante</w:t>
      </w:r>
      <w:r w:rsidRPr="00FB5B57">
        <w:rPr>
          <w:rFonts w:ascii="Palatino Linotype" w:hAnsi="Palatino Linotype" w:cs="Arial"/>
        </w:rPr>
        <w:t xml:space="preserve"> de pago o CFDI</w:t>
      </w:r>
      <w:r>
        <w:rPr>
          <w:rFonts w:ascii="Palatino Linotype" w:hAnsi="Palatino Linotype" w:cs="Arial"/>
        </w:rPr>
        <w:t xml:space="preserve">, de la servidora pública referida en la solicitud de información </w:t>
      </w:r>
      <w:r>
        <w:rPr>
          <w:rFonts w:ascii="Palatino Linotype" w:hAnsi="Palatino Linotype" w:cs="Arial"/>
          <w:b/>
        </w:rPr>
        <w:t>00020/AMECAMEC/IP/2021</w:t>
      </w:r>
      <w:r>
        <w:rPr>
          <w:rFonts w:ascii="Palatino Linotype" w:hAnsi="Palatino Linotype" w:cs="Arial"/>
        </w:rPr>
        <w:t xml:space="preserve">, correspondiente a la última quincena previa a la renuncia. </w:t>
      </w:r>
    </w:p>
    <w:p w14:paraId="569F858C" w14:textId="77777777" w:rsidR="000D67B8" w:rsidRPr="00BE383C" w:rsidRDefault="000D67B8" w:rsidP="000D67B8">
      <w:pPr>
        <w:pStyle w:val="Sinespaciado"/>
        <w:spacing w:line="360" w:lineRule="auto"/>
        <w:jc w:val="both"/>
        <w:rPr>
          <w:rFonts w:ascii="Palatino Linotype" w:hAnsi="Palatino Linotype" w:cstheme="minorHAnsi"/>
        </w:rPr>
      </w:pPr>
    </w:p>
    <w:p w14:paraId="40D3240D" w14:textId="77777777"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rPr>
        <w:lastRenderedPageBreak/>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7F1AD88A" w14:textId="77777777" w:rsidR="000D67B8" w:rsidRPr="00BE383C" w:rsidRDefault="000D67B8" w:rsidP="000D67B8">
      <w:pPr>
        <w:pStyle w:val="Sinespaciado"/>
        <w:spacing w:line="360" w:lineRule="auto"/>
        <w:jc w:val="both"/>
        <w:rPr>
          <w:rFonts w:ascii="Palatino Linotype" w:hAnsi="Palatino Linotype" w:cstheme="minorHAnsi"/>
        </w:rPr>
      </w:pPr>
    </w:p>
    <w:p w14:paraId="43F233D3" w14:textId="33B89F61"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sidR="0090162D">
        <w:rPr>
          <w:rFonts w:ascii="Palatino Linotype" w:hAnsi="Palatino Linotype" w:cstheme="minorHAnsi"/>
        </w:rPr>
        <w:t xml:space="preserve">a </w:t>
      </w:r>
      <w:r w:rsidR="0090162D">
        <w:rPr>
          <w:rFonts w:ascii="Palatino Linotype" w:hAnsi="Palatino Linotype" w:cstheme="minorHAnsi"/>
          <w:b/>
        </w:rPr>
        <w:t xml:space="preserve">LA </w:t>
      </w:r>
      <w:r w:rsidRPr="00C14D83">
        <w:rPr>
          <w:rFonts w:ascii="Palatino Linotype" w:hAnsi="Palatino Linotype" w:cstheme="minorHAnsi"/>
          <w:b/>
        </w:rPr>
        <w:t>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DDC6F83" w14:textId="77777777" w:rsidR="00EF7736" w:rsidRDefault="00EF7736" w:rsidP="000D67B8">
      <w:pPr>
        <w:pStyle w:val="Sinespaciado"/>
        <w:spacing w:line="360" w:lineRule="auto"/>
        <w:jc w:val="both"/>
        <w:rPr>
          <w:rFonts w:ascii="Palatino Linotype" w:hAnsi="Palatino Linotype" w:cstheme="minorHAnsi"/>
        </w:rPr>
      </w:pPr>
    </w:p>
    <w:p w14:paraId="3DBAEBB6" w14:textId="77777777" w:rsidR="000D67B8" w:rsidRDefault="000D67B8" w:rsidP="000D67B8">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46F17896" w14:textId="77777777" w:rsidR="000D67B8" w:rsidRDefault="000D67B8" w:rsidP="000D67B8">
      <w:pPr>
        <w:pStyle w:val="Sinespaciado"/>
        <w:spacing w:line="360" w:lineRule="auto"/>
        <w:jc w:val="both"/>
        <w:rPr>
          <w:rFonts w:ascii="Palatino Linotype" w:eastAsia="MS Mincho" w:hAnsi="Palatino Linotype" w:cstheme="minorHAnsi"/>
        </w:rPr>
      </w:pPr>
    </w:p>
    <w:p w14:paraId="38ABF9AB" w14:textId="3FAF06F4" w:rsidR="000D67B8" w:rsidRPr="00BE383C" w:rsidRDefault="000D67B8" w:rsidP="000D67B8">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sidR="0090162D">
        <w:rPr>
          <w:rFonts w:ascii="Palatino Linotype" w:hAnsi="Palatino Linotype" w:cstheme="minorHAnsi"/>
          <w:color w:val="222222"/>
          <w:lang w:eastAsia="es-ES_tradnl"/>
        </w:rPr>
        <w:t xml:space="preserve">del conocimiento de </w:t>
      </w:r>
      <w:r w:rsidR="0090162D" w:rsidRPr="0090162D">
        <w:rPr>
          <w:rFonts w:ascii="Palatino Linotype" w:hAnsi="Palatino Linotype" w:cstheme="minorHAnsi"/>
          <w:b/>
          <w:color w:val="222222"/>
          <w:lang w:eastAsia="es-ES_tradnl"/>
        </w:rPr>
        <w:t>LA</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w:t>
      </w:r>
      <w:r w:rsidRPr="00BE383C">
        <w:rPr>
          <w:rFonts w:ascii="Palatino Linotype" w:hAnsi="Palatino Linotype" w:cstheme="minorHAnsi"/>
          <w:color w:val="222222"/>
          <w:lang w:eastAsia="es-ES_tradnl"/>
        </w:rPr>
        <w:lastRenderedPageBreak/>
        <w:t xml:space="preserve">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3895F388" w14:textId="77777777" w:rsidR="000D67B8" w:rsidRDefault="000D67B8" w:rsidP="000D67B8">
      <w:pPr>
        <w:autoSpaceDE w:val="0"/>
        <w:autoSpaceDN w:val="0"/>
        <w:adjustRightInd w:val="0"/>
        <w:spacing w:after="0" w:line="360" w:lineRule="auto"/>
        <w:ind w:right="49"/>
        <w:jc w:val="both"/>
        <w:rPr>
          <w:rFonts w:ascii="Palatino Linotype" w:hAnsi="Palatino Linotype" w:cs="Arial"/>
          <w:sz w:val="24"/>
          <w:szCs w:val="24"/>
        </w:rPr>
      </w:pPr>
    </w:p>
    <w:p w14:paraId="6BAC7D26" w14:textId="77777777" w:rsidR="000D67B8" w:rsidRDefault="000D67B8" w:rsidP="000D67B8">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750F7AA9" w14:textId="77777777" w:rsidR="00927C53" w:rsidRDefault="00927C53" w:rsidP="000D67B8">
      <w:pPr>
        <w:spacing w:after="0" w:line="360" w:lineRule="auto"/>
        <w:jc w:val="both"/>
        <w:rPr>
          <w:rFonts w:ascii="Palatino Linotype" w:eastAsia="Calibri" w:hAnsi="Palatino Linotype" w:cs="Times New Roman"/>
          <w:sz w:val="24"/>
          <w:szCs w:val="24"/>
          <w:lang w:eastAsia="es-ES_tradnl"/>
        </w:rPr>
      </w:pPr>
    </w:p>
    <w:p w14:paraId="38F0969F" w14:textId="77777777" w:rsidR="00BF2DD7" w:rsidRDefault="0090162D" w:rsidP="00BF2DD7">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413EAFC2" wp14:editId="07FE97B0">
                <wp:simplePos x="0" y="0"/>
                <wp:positionH relativeFrom="column">
                  <wp:posOffset>-130109</wp:posOffset>
                </wp:positionH>
                <wp:positionV relativeFrom="paragraph">
                  <wp:posOffset>2770497</wp:posOffset>
                </wp:positionV>
                <wp:extent cx="6252358" cy="2078182"/>
                <wp:effectExtent l="0" t="0" r="34290" b="36830"/>
                <wp:wrapNone/>
                <wp:docPr id="2" name="Conector recto 2"/>
                <wp:cNvGraphicFramePr/>
                <a:graphic xmlns:a="http://schemas.openxmlformats.org/drawingml/2006/main">
                  <a:graphicData uri="http://schemas.microsoft.com/office/word/2010/wordprocessingShape">
                    <wps:wsp>
                      <wps:cNvCnPr/>
                      <wps:spPr>
                        <a:xfrm>
                          <a:off x="0" y="0"/>
                          <a:ext cx="6252358" cy="20781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0A122E" id="Conector recto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0.25pt,218.15pt" to="482.05pt,3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" strokecolor="#5b9bd5 [3204]" strokeweight=".5pt">
                <v:stroke joinstyle="miter"/>
              </v:line>
            </w:pict>
          </mc:Fallback>
        </mc:AlternateContent>
      </w:r>
      <w:r w:rsidR="000D67B8">
        <w:rPr>
          <w:rFonts w:ascii="Palatino Linotype" w:hAnsi="Palatino Linotype" w:cs="Arial"/>
          <w:sz w:val="24"/>
          <w:szCs w:val="24"/>
        </w:rPr>
        <w:t xml:space="preserve">ASÍ LO RESUELVE, POR </w:t>
      </w:r>
      <w:r w:rsidR="00EC77D8">
        <w:rPr>
          <w:rFonts w:ascii="Palatino Linotype" w:hAnsi="Palatino Linotype" w:cs="Arial"/>
          <w:sz w:val="24"/>
          <w:szCs w:val="24"/>
        </w:rPr>
        <w:t>UNANIMIDAD</w:t>
      </w:r>
      <w:r w:rsidR="000D67B8">
        <w:rPr>
          <w:rFonts w:ascii="Palatino Linotype" w:hAnsi="Palatino Linotype" w:cs="Arial"/>
          <w:sz w:val="24"/>
          <w:szCs w:val="24"/>
        </w:rPr>
        <w:t xml:space="preserve"> DE VOTOS, EL PLENO DEL</w:t>
      </w:r>
      <w:r w:rsidR="000D67B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0D67B8">
        <w:rPr>
          <w:rFonts w:ascii="Palatino Linotype" w:hAnsi="Palatino Linotype" w:cs="Arial"/>
          <w:sz w:val="24"/>
          <w:szCs w:val="24"/>
        </w:rPr>
        <w:t xml:space="preserve">, CONFORMADO POR LOS COMISIONADOS ZULEMA MARTÍNEZ SÁNCHEZ, EVA ABAID YAPUR, JAVIER MARTÍNEZ CRUZ </w:t>
      </w:r>
      <w:r w:rsidR="008479F1">
        <w:rPr>
          <w:rFonts w:ascii="Palatino Linotype" w:hAnsi="Palatino Linotype" w:cs="Arial"/>
          <w:sz w:val="24"/>
          <w:szCs w:val="24"/>
        </w:rPr>
        <w:t xml:space="preserve">Y LUIS GUSTAVO PARRA NORIEGA </w:t>
      </w:r>
      <w:r w:rsidRPr="003955C1">
        <w:rPr>
          <w:rFonts w:ascii="Palatino Linotype" w:eastAsia="Arial Unicode MS" w:hAnsi="Palatino Linotype" w:cs="Times New Roman"/>
          <w:sz w:val="24"/>
          <w:szCs w:val="24"/>
          <w:lang w:eastAsia="es-ES"/>
        </w:rPr>
        <w:t xml:space="preserve">EN LA </w:t>
      </w:r>
      <w:r>
        <w:rPr>
          <w:rFonts w:ascii="Palatino Linotype" w:eastAsia="Arial Unicode MS" w:hAnsi="Palatino Linotype" w:cs="Times New Roman"/>
          <w:sz w:val="24"/>
          <w:szCs w:val="24"/>
          <w:lang w:eastAsia="es-ES"/>
        </w:rPr>
        <w:t xml:space="preserve">VIGÉSIMA TERCERA SESIÓN ORDINARIA CELEBRADA EL TREINTA DE JUNIO DE DOS MIL VEINTIUNO, </w:t>
      </w:r>
      <w:r w:rsidR="00BF2DD7">
        <w:rPr>
          <w:rFonts w:ascii="Palatino Linotype" w:hAnsi="Palatino Linotype" w:cs="Arial"/>
          <w:sz w:val="24"/>
          <w:szCs w:val="24"/>
        </w:rPr>
        <w:t xml:space="preserve">ANTE EL DIRECTOR DE CUMPLIMIENTOS, RUBÉN ORTÍZ AMARO, EN SUPLENCIA DEL SECRETARIO TÉCNICO DEL PLENO. </w:t>
      </w:r>
    </w:p>
    <w:p w14:paraId="4141A231" w14:textId="00CF18F3" w:rsidR="0090162D" w:rsidRDefault="0090162D" w:rsidP="0090162D">
      <w:pPr>
        <w:spacing w:after="0" w:line="360" w:lineRule="auto"/>
        <w:jc w:val="both"/>
        <w:rPr>
          <w:rFonts w:ascii="Palatino Linotype" w:eastAsia="Arial Unicode MS" w:hAnsi="Palatino Linotype" w:cs="Times New Roman"/>
          <w:sz w:val="24"/>
          <w:szCs w:val="24"/>
          <w:lang w:eastAsia="es-ES"/>
        </w:rPr>
      </w:pPr>
    </w:p>
    <w:p w14:paraId="19D14C1B" w14:textId="0DF7FD8F" w:rsidR="000D67B8" w:rsidRDefault="000D67B8" w:rsidP="000D67B8">
      <w:pPr>
        <w:spacing w:after="0" w:line="360" w:lineRule="auto"/>
        <w:jc w:val="both"/>
        <w:rPr>
          <w:rFonts w:ascii="Palatino Linotype" w:eastAsia="Arial Unicode MS" w:hAnsi="Palatino Linotype" w:cs="Times New Roman"/>
          <w:sz w:val="24"/>
          <w:szCs w:val="24"/>
          <w:lang w:eastAsia="es-ES"/>
        </w:rPr>
      </w:pPr>
    </w:p>
    <w:p w14:paraId="0D615EF6" w14:textId="77777777" w:rsidR="000D67B8" w:rsidRDefault="000D67B8" w:rsidP="000D67B8">
      <w:pPr>
        <w:spacing w:after="0" w:line="360" w:lineRule="auto"/>
        <w:jc w:val="both"/>
        <w:rPr>
          <w:rFonts w:ascii="Palatino Linotype" w:eastAsia="Arial Unicode MS" w:hAnsi="Palatino Linotype" w:cs="Times New Roman"/>
          <w:sz w:val="24"/>
          <w:szCs w:val="24"/>
          <w:lang w:eastAsia="es-ES"/>
        </w:rPr>
      </w:pPr>
    </w:p>
    <w:p w14:paraId="6B84AADA" w14:textId="77777777" w:rsidR="000D67B8" w:rsidRDefault="000D67B8" w:rsidP="000D67B8">
      <w:pPr>
        <w:spacing w:after="0" w:line="360" w:lineRule="auto"/>
        <w:jc w:val="both"/>
        <w:rPr>
          <w:rFonts w:ascii="Palatino Linotype" w:eastAsia="Arial Unicode MS" w:hAnsi="Palatino Linotype" w:cs="Times New Roman"/>
          <w:sz w:val="24"/>
          <w:szCs w:val="24"/>
          <w:lang w:eastAsia="es-ES"/>
        </w:rPr>
      </w:pPr>
    </w:p>
    <w:p w14:paraId="04BC031C" w14:textId="5555501F" w:rsidR="000D67B8" w:rsidRPr="002B18B5" w:rsidRDefault="00EF7736" w:rsidP="000D67B8">
      <w:pPr>
        <w:spacing w:before="240" w:line="360" w:lineRule="auto"/>
        <w:ind w:right="72"/>
        <w:jc w:val="both"/>
        <w:rPr>
          <w:rFonts w:ascii="Palatino Linotype" w:hAnsi="Palatino Linotype"/>
          <w:sz w:val="18"/>
          <w:szCs w:val="18"/>
        </w:rPr>
      </w:pPr>
      <w:r w:rsidRPr="002B18B5">
        <w:rPr>
          <w:rFonts w:ascii="Palatino Linotype" w:hAnsi="Palatino Linotype"/>
          <w:sz w:val="18"/>
          <w:szCs w:val="18"/>
        </w:rPr>
        <w:t>O</w:t>
      </w:r>
      <w:r w:rsidR="00A96C9F" w:rsidRPr="002B18B5">
        <w:rPr>
          <w:rFonts w:ascii="Palatino Linotype" w:hAnsi="Palatino Linotype"/>
          <w:sz w:val="18"/>
          <w:szCs w:val="18"/>
        </w:rPr>
        <w:t>SAM/JCMA</w:t>
      </w:r>
    </w:p>
    <w:p w14:paraId="3BCFFE85" w14:textId="77777777" w:rsidR="000D67B8" w:rsidRDefault="000D67B8" w:rsidP="000D67B8">
      <w:pPr>
        <w:spacing w:before="240" w:line="360" w:lineRule="auto"/>
        <w:ind w:right="72"/>
        <w:jc w:val="both"/>
        <w:rPr>
          <w:rFonts w:ascii="Palatino Linotype" w:hAnsi="Palatino Linotype"/>
          <w:sz w:val="24"/>
          <w:szCs w:val="24"/>
        </w:rPr>
      </w:pPr>
    </w:p>
    <w:p w14:paraId="35641ABF" w14:textId="77777777" w:rsidR="000D67B8" w:rsidRDefault="000D67B8" w:rsidP="000D67B8">
      <w:pPr>
        <w:spacing w:before="240" w:line="360" w:lineRule="auto"/>
        <w:ind w:right="72"/>
        <w:jc w:val="both"/>
        <w:rPr>
          <w:rFonts w:ascii="Palatino Linotype" w:hAnsi="Palatino Linotype"/>
          <w:sz w:val="24"/>
          <w:szCs w:val="24"/>
        </w:rPr>
      </w:pPr>
    </w:p>
    <w:p w14:paraId="5C62D07A" w14:textId="77777777" w:rsidR="000D67B8" w:rsidRDefault="000D67B8" w:rsidP="000D67B8">
      <w:pPr>
        <w:spacing w:before="240" w:line="360" w:lineRule="auto"/>
        <w:ind w:right="72"/>
        <w:jc w:val="both"/>
        <w:rPr>
          <w:rFonts w:ascii="Palatino Linotype" w:hAnsi="Palatino Linotype"/>
          <w:sz w:val="24"/>
          <w:szCs w:val="24"/>
        </w:rPr>
      </w:pPr>
    </w:p>
    <w:p w14:paraId="55E4AFE9" w14:textId="77777777" w:rsidR="000D67B8" w:rsidRDefault="000D67B8" w:rsidP="000D67B8">
      <w:pPr>
        <w:spacing w:before="240" w:line="360" w:lineRule="auto"/>
        <w:ind w:right="72"/>
        <w:jc w:val="both"/>
        <w:rPr>
          <w:rFonts w:ascii="Palatino Linotype" w:hAnsi="Palatino Linotype"/>
          <w:sz w:val="24"/>
          <w:szCs w:val="24"/>
        </w:rPr>
      </w:pPr>
    </w:p>
    <w:p w14:paraId="413D6472" w14:textId="77777777" w:rsidR="000D67B8" w:rsidRDefault="000D67B8" w:rsidP="000D67B8">
      <w:pPr>
        <w:spacing w:before="240" w:line="360" w:lineRule="auto"/>
        <w:ind w:right="72"/>
        <w:jc w:val="both"/>
        <w:rPr>
          <w:rFonts w:ascii="Palatino Linotype" w:hAnsi="Palatino Linotype"/>
          <w:sz w:val="24"/>
          <w:szCs w:val="24"/>
        </w:rPr>
      </w:pPr>
    </w:p>
    <w:p w14:paraId="6B434B58" w14:textId="77777777" w:rsidR="000D67B8" w:rsidRDefault="000D67B8" w:rsidP="000D67B8">
      <w:pPr>
        <w:spacing w:before="240" w:line="360" w:lineRule="auto"/>
        <w:ind w:right="72"/>
        <w:jc w:val="both"/>
        <w:rPr>
          <w:rFonts w:ascii="Palatino Linotype" w:hAnsi="Palatino Linotype"/>
          <w:sz w:val="24"/>
          <w:szCs w:val="24"/>
        </w:rPr>
      </w:pPr>
    </w:p>
    <w:p w14:paraId="0FAE5852" w14:textId="77777777" w:rsidR="000D67B8" w:rsidRDefault="000D67B8" w:rsidP="000D67B8">
      <w:pPr>
        <w:spacing w:before="240" w:line="360" w:lineRule="auto"/>
        <w:ind w:right="72"/>
        <w:jc w:val="both"/>
        <w:rPr>
          <w:rFonts w:ascii="Palatino Linotype" w:hAnsi="Palatino Linotype"/>
          <w:sz w:val="24"/>
          <w:szCs w:val="24"/>
        </w:rPr>
      </w:pPr>
    </w:p>
    <w:p w14:paraId="2E7F0440" w14:textId="77777777" w:rsidR="000D67B8" w:rsidRDefault="000D67B8" w:rsidP="000D67B8">
      <w:pPr>
        <w:spacing w:before="240" w:line="360" w:lineRule="auto"/>
        <w:ind w:right="72"/>
        <w:jc w:val="both"/>
        <w:rPr>
          <w:rFonts w:ascii="Palatino Linotype" w:hAnsi="Palatino Linotype"/>
          <w:sz w:val="24"/>
          <w:szCs w:val="24"/>
        </w:rPr>
      </w:pPr>
    </w:p>
    <w:p w14:paraId="59D2E982" w14:textId="77777777" w:rsidR="000D67B8" w:rsidRDefault="000D67B8" w:rsidP="000D67B8">
      <w:pPr>
        <w:spacing w:before="240" w:line="360" w:lineRule="auto"/>
        <w:ind w:right="72"/>
        <w:jc w:val="both"/>
        <w:rPr>
          <w:rFonts w:ascii="Palatino Linotype" w:hAnsi="Palatino Linotype"/>
          <w:sz w:val="24"/>
          <w:szCs w:val="24"/>
        </w:rPr>
      </w:pPr>
    </w:p>
    <w:p w14:paraId="0B550D67" w14:textId="77777777" w:rsidR="000D67B8" w:rsidRDefault="000D67B8" w:rsidP="000D67B8">
      <w:pPr>
        <w:spacing w:before="240" w:line="360" w:lineRule="auto"/>
        <w:ind w:right="72"/>
        <w:jc w:val="both"/>
        <w:rPr>
          <w:rFonts w:ascii="Palatino Linotype" w:hAnsi="Palatino Linotype"/>
          <w:sz w:val="24"/>
          <w:szCs w:val="24"/>
        </w:rPr>
      </w:pPr>
    </w:p>
    <w:p w14:paraId="58EFCE7B" w14:textId="77777777" w:rsidR="000D67B8" w:rsidRDefault="000D67B8" w:rsidP="000D67B8">
      <w:pPr>
        <w:spacing w:before="240" w:line="360" w:lineRule="auto"/>
        <w:ind w:right="72"/>
        <w:jc w:val="both"/>
        <w:rPr>
          <w:rFonts w:ascii="Palatino Linotype" w:hAnsi="Palatino Linotype"/>
          <w:sz w:val="24"/>
          <w:szCs w:val="24"/>
        </w:rPr>
      </w:pPr>
    </w:p>
    <w:p w14:paraId="02D12904" w14:textId="77777777" w:rsidR="000D67B8" w:rsidRDefault="000D67B8" w:rsidP="000D67B8">
      <w:pPr>
        <w:spacing w:before="240" w:line="360" w:lineRule="auto"/>
        <w:ind w:right="72"/>
        <w:jc w:val="both"/>
        <w:rPr>
          <w:rFonts w:ascii="Palatino Linotype" w:hAnsi="Palatino Linotype"/>
          <w:sz w:val="24"/>
          <w:szCs w:val="24"/>
        </w:rPr>
      </w:pPr>
    </w:p>
    <w:p w14:paraId="2D1F3A3F" w14:textId="77777777" w:rsidR="000D67B8" w:rsidRDefault="000D67B8" w:rsidP="000D67B8">
      <w:pPr>
        <w:spacing w:before="240" w:line="360" w:lineRule="auto"/>
        <w:ind w:right="72"/>
        <w:jc w:val="both"/>
        <w:rPr>
          <w:rFonts w:ascii="Palatino Linotype" w:hAnsi="Palatino Linotype"/>
          <w:sz w:val="24"/>
          <w:szCs w:val="24"/>
        </w:rPr>
      </w:pPr>
    </w:p>
    <w:p w14:paraId="220A5AC8" w14:textId="77777777" w:rsidR="000D67B8" w:rsidRDefault="000D67B8" w:rsidP="000D67B8">
      <w:pPr>
        <w:spacing w:before="240" w:line="360" w:lineRule="auto"/>
        <w:ind w:right="72"/>
        <w:jc w:val="both"/>
        <w:rPr>
          <w:rFonts w:ascii="Palatino Linotype" w:hAnsi="Palatino Linotype"/>
          <w:sz w:val="24"/>
          <w:szCs w:val="24"/>
        </w:rPr>
      </w:pPr>
    </w:p>
    <w:p w14:paraId="6D363C54" w14:textId="77777777" w:rsidR="000D67B8" w:rsidRDefault="000D67B8" w:rsidP="000D67B8">
      <w:pPr>
        <w:spacing w:before="240" w:line="360" w:lineRule="auto"/>
        <w:ind w:right="72"/>
        <w:jc w:val="both"/>
        <w:rPr>
          <w:rFonts w:ascii="Palatino Linotype" w:hAnsi="Palatino Linotype" w:cs="Arial"/>
          <w:sz w:val="24"/>
          <w:szCs w:val="24"/>
        </w:rPr>
      </w:pPr>
      <w:bookmarkStart w:id="0" w:name="_GoBack"/>
      <w:bookmarkEnd w:id="0"/>
    </w:p>
    <w:sectPr w:rsidR="000D67B8"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9EB21" w14:textId="77777777" w:rsidR="0004587B" w:rsidRDefault="0004587B" w:rsidP="006168E4">
      <w:pPr>
        <w:spacing w:after="0" w:line="240" w:lineRule="auto"/>
      </w:pPr>
      <w:r>
        <w:separator/>
      </w:r>
    </w:p>
  </w:endnote>
  <w:endnote w:type="continuationSeparator" w:id="0">
    <w:p w14:paraId="10BD580F" w14:textId="77777777" w:rsidR="0004587B" w:rsidRDefault="0004587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1E3960" w:rsidRPr="000B69FA" w:rsidRDefault="001E396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3010">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93010">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1E3960" w:rsidRPr="000B69FA" w:rsidRDefault="001E396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301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93010">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14530" w14:textId="77777777" w:rsidR="0004587B" w:rsidRDefault="0004587B" w:rsidP="006168E4">
      <w:pPr>
        <w:spacing w:after="0" w:line="240" w:lineRule="auto"/>
      </w:pPr>
      <w:r>
        <w:separator/>
      </w:r>
    </w:p>
  </w:footnote>
  <w:footnote w:type="continuationSeparator" w:id="0">
    <w:p w14:paraId="40A15B00" w14:textId="77777777" w:rsidR="0004587B" w:rsidRDefault="0004587B" w:rsidP="006168E4">
      <w:pPr>
        <w:spacing w:after="0" w:line="240" w:lineRule="auto"/>
      </w:pPr>
      <w:r>
        <w:continuationSeparator/>
      </w:r>
    </w:p>
  </w:footnote>
  <w:footnote w:id="1">
    <w:p w14:paraId="41DD704F" w14:textId="77777777" w:rsidR="001E3960" w:rsidRPr="005552A8" w:rsidRDefault="001E3960" w:rsidP="0067211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72A5FA3" w14:textId="77777777" w:rsidR="001E3960" w:rsidRPr="005552A8" w:rsidRDefault="001E3960" w:rsidP="0067211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1E3960" w:rsidRDefault="001E396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E3960" w14:paraId="17981A04" w14:textId="77777777" w:rsidTr="00FB4AAD">
      <w:trPr>
        <w:trHeight w:val="227"/>
      </w:trPr>
      <w:tc>
        <w:tcPr>
          <w:tcW w:w="5529" w:type="dxa"/>
          <w:hideMark/>
        </w:tcPr>
        <w:p w14:paraId="0E414BC5" w14:textId="19670DF2" w:rsidR="001E3960" w:rsidRDefault="001E396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2D7DAB1D" w:rsidR="001E3960" w:rsidRPr="00B4142F" w:rsidRDefault="001E396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02770/INFOEM/IP/RR/2021</w:t>
          </w:r>
        </w:p>
      </w:tc>
    </w:tr>
    <w:tr w:rsidR="001E3960" w14:paraId="637042F0" w14:textId="77777777" w:rsidTr="00FB4AAD">
      <w:trPr>
        <w:trHeight w:val="242"/>
      </w:trPr>
      <w:tc>
        <w:tcPr>
          <w:tcW w:w="5529" w:type="dxa"/>
          <w:hideMark/>
        </w:tcPr>
        <w:p w14:paraId="412AD568" w14:textId="582E7AD7" w:rsidR="001E3960" w:rsidRDefault="001E396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B70C88B" w:rsidR="001E3960" w:rsidRPr="00F06FED" w:rsidRDefault="001E3960" w:rsidP="00E42206">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Amecameca  </w:t>
          </w:r>
        </w:p>
      </w:tc>
    </w:tr>
    <w:tr w:rsidR="001E3960" w14:paraId="21BFE746" w14:textId="77777777" w:rsidTr="00FB4AAD">
      <w:trPr>
        <w:trHeight w:val="342"/>
      </w:trPr>
      <w:tc>
        <w:tcPr>
          <w:tcW w:w="5529" w:type="dxa"/>
          <w:hideMark/>
        </w:tcPr>
        <w:p w14:paraId="64C4E314" w14:textId="77777777" w:rsidR="001E3960" w:rsidRDefault="001E396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1E3960" w:rsidRDefault="001E396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1E3960" w:rsidRDefault="001E39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E3960" w14:paraId="385FD437" w14:textId="77777777" w:rsidTr="00FB4AAD">
      <w:trPr>
        <w:trHeight w:val="227"/>
      </w:trPr>
      <w:tc>
        <w:tcPr>
          <w:tcW w:w="5529" w:type="dxa"/>
          <w:hideMark/>
        </w:tcPr>
        <w:p w14:paraId="272860E8" w14:textId="6340DBC0" w:rsidR="001E3960" w:rsidRDefault="001E396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08D79E0F" w:rsidR="001E3960" w:rsidRPr="00B4142F" w:rsidRDefault="001E396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02770/INFOEM/IP/RR/2021</w:t>
          </w:r>
        </w:p>
      </w:tc>
    </w:tr>
    <w:tr w:rsidR="001E3960" w14:paraId="33FC5097" w14:textId="77777777" w:rsidTr="00FB4AAD">
      <w:trPr>
        <w:trHeight w:val="196"/>
      </w:trPr>
      <w:tc>
        <w:tcPr>
          <w:tcW w:w="5529" w:type="dxa"/>
          <w:hideMark/>
        </w:tcPr>
        <w:p w14:paraId="4F5D01E5" w14:textId="77777777" w:rsidR="001E3960" w:rsidRDefault="001E396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ADE1198" w:rsidR="001E3960" w:rsidRPr="00F06FED" w:rsidRDefault="00993010"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w:t>
          </w:r>
          <w:proofErr w:type="spellEnd"/>
        </w:p>
      </w:tc>
    </w:tr>
    <w:tr w:rsidR="001E3960" w14:paraId="178280DE" w14:textId="77777777" w:rsidTr="00FB4AAD">
      <w:trPr>
        <w:trHeight w:val="242"/>
      </w:trPr>
      <w:tc>
        <w:tcPr>
          <w:tcW w:w="5529" w:type="dxa"/>
          <w:hideMark/>
        </w:tcPr>
        <w:p w14:paraId="71AC708B" w14:textId="77777777" w:rsidR="001E3960" w:rsidRDefault="001E396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9273B4B" w:rsidR="001E3960" w:rsidRDefault="001E3960" w:rsidP="00672112">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Amecameca</w:t>
          </w:r>
        </w:p>
      </w:tc>
    </w:tr>
    <w:tr w:rsidR="001E3960" w14:paraId="0518978B" w14:textId="77777777" w:rsidTr="00FB4AAD">
      <w:trPr>
        <w:trHeight w:val="342"/>
      </w:trPr>
      <w:tc>
        <w:tcPr>
          <w:tcW w:w="5529" w:type="dxa"/>
          <w:hideMark/>
        </w:tcPr>
        <w:p w14:paraId="04968A43" w14:textId="77777777" w:rsidR="001E3960" w:rsidRDefault="001E396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1E3960" w:rsidRDefault="001E396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A3B5148" w:rsidR="001E3960" w:rsidRDefault="001E396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0B3C3771"/>
    <w:multiLevelType w:val="hybridMultilevel"/>
    <w:tmpl w:val="6FEE61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8C2981"/>
    <w:multiLevelType w:val="hybridMultilevel"/>
    <w:tmpl w:val="07CA4D0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E11D73"/>
    <w:multiLevelType w:val="hybridMultilevel"/>
    <w:tmpl w:val="1B644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FD52C4"/>
    <w:multiLevelType w:val="multilevel"/>
    <w:tmpl w:val="D76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B4536A1"/>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4">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E5D26D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98568C"/>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80F225E"/>
    <w:multiLevelType w:val="hybridMultilevel"/>
    <w:tmpl w:val="B11ACB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4F4A0BF0"/>
    <w:multiLevelType w:val="hybridMultilevel"/>
    <w:tmpl w:val="454E3BC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51766A24"/>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2A97426"/>
    <w:multiLevelType w:val="hybridMultilevel"/>
    <w:tmpl w:val="C744F70C"/>
    <w:lvl w:ilvl="0" w:tplc="1A7A1FF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nsid w:val="532A2FDF"/>
    <w:multiLevelType w:val="hybridMultilevel"/>
    <w:tmpl w:val="9B0A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12350DC"/>
    <w:multiLevelType w:val="hybridMultilevel"/>
    <w:tmpl w:val="21A03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A9372C"/>
    <w:multiLevelType w:val="hybridMultilevel"/>
    <w:tmpl w:val="08306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31"/>
  </w:num>
  <w:num w:numId="4">
    <w:abstractNumId w:val="1"/>
  </w:num>
  <w:num w:numId="5">
    <w:abstractNumId w:val="28"/>
  </w:num>
  <w:num w:numId="6">
    <w:abstractNumId w:val="2"/>
  </w:num>
  <w:num w:numId="7">
    <w:abstractNumId w:val="32"/>
  </w:num>
  <w:num w:numId="8">
    <w:abstractNumId w:val="8"/>
  </w:num>
  <w:num w:numId="9">
    <w:abstractNumId w:val="9"/>
  </w:num>
  <w:num w:numId="10">
    <w:abstractNumId w:val="30"/>
  </w:num>
  <w:num w:numId="11">
    <w:abstractNumId w:val="26"/>
  </w:num>
  <w:num w:numId="12">
    <w:abstractNumId w:val="33"/>
  </w:num>
  <w:num w:numId="13">
    <w:abstractNumId w:val="25"/>
  </w:num>
  <w:num w:numId="14">
    <w:abstractNumId w:val="34"/>
  </w:num>
  <w:num w:numId="15">
    <w:abstractNumId w:val="10"/>
  </w:num>
  <w:num w:numId="16">
    <w:abstractNumId w:val="3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 w:numId="20">
    <w:abstractNumId w:val="27"/>
  </w:num>
  <w:num w:numId="21">
    <w:abstractNumId w:val="24"/>
  </w:num>
  <w:num w:numId="22">
    <w:abstractNumId w:val="23"/>
  </w:num>
  <w:num w:numId="23">
    <w:abstractNumId w:val="15"/>
  </w:num>
  <w:num w:numId="24">
    <w:abstractNumId w:val="16"/>
  </w:num>
  <w:num w:numId="25">
    <w:abstractNumId w:val="11"/>
  </w:num>
  <w:num w:numId="26">
    <w:abstractNumId w:val="4"/>
  </w:num>
  <w:num w:numId="27">
    <w:abstractNumId w:val="6"/>
  </w:num>
  <w:num w:numId="28">
    <w:abstractNumId w:val="35"/>
  </w:num>
  <w:num w:numId="29">
    <w:abstractNumId w:val="13"/>
  </w:num>
  <w:num w:numId="30">
    <w:abstractNumId w:val="19"/>
  </w:num>
  <w:num w:numId="31">
    <w:abstractNumId w:val="22"/>
  </w:num>
  <w:num w:numId="32">
    <w:abstractNumId w:val="21"/>
  </w:num>
  <w:num w:numId="33">
    <w:abstractNumId w:val="18"/>
  </w:num>
  <w:num w:numId="34">
    <w:abstractNumId w:val="3"/>
  </w:num>
  <w:num w:numId="35">
    <w:abstractNumId w:val="17"/>
  </w:num>
  <w:num w:numId="36">
    <w:abstractNumId w:val="5"/>
  </w:num>
  <w:num w:numId="37">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87B"/>
    <w:rsid w:val="000458B5"/>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5007"/>
    <w:rsid w:val="0008548C"/>
    <w:rsid w:val="00086AF1"/>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67B8"/>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36C13"/>
    <w:rsid w:val="00136FAD"/>
    <w:rsid w:val="00140557"/>
    <w:rsid w:val="001408A0"/>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84"/>
    <w:rsid w:val="001A7959"/>
    <w:rsid w:val="001A7C9B"/>
    <w:rsid w:val="001B05B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78AA"/>
    <w:rsid w:val="001F2101"/>
    <w:rsid w:val="001F2360"/>
    <w:rsid w:val="001F3969"/>
    <w:rsid w:val="001F61DA"/>
    <w:rsid w:val="00204420"/>
    <w:rsid w:val="00205ACD"/>
    <w:rsid w:val="002075A5"/>
    <w:rsid w:val="00212A9D"/>
    <w:rsid w:val="0021501E"/>
    <w:rsid w:val="00215192"/>
    <w:rsid w:val="0021530C"/>
    <w:rsid w:val="002205C0"/>
    <w:rsid w:val="00221889"/>
    <w:rsid w:val="002248AC"/>
    <w:rsid w:val="00226AF5"/>
    <w:rsid w:val="0023373D"/>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784"/>
    <w:rsid w:val="00292BF6"/>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8B5"/>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45B43"/>
    <w:rsid w:val="00361B9C"/>
    <w:rsid w:val="00365C45"/>
    <w:rsid w:val="00371031"/>
    <w:rsid w:val="003736ED"/>
    <w:rsid w:val="00374444"/>
    <w:rsid w:val="003756A4"/>
    <w:rsid w:val="00376114"/>
    <w:rsid w:val="00376CEC"/>
    <w:rsid w:val="00380758"/>
    <w:rsid w:val="003827B4"/>
    <w:rsid w:val="00383C82"/>
    <w:rsid w:val="00386BBB"/>
    <w:rsid w:val="00386D84"/>
    <w:rsid w:val="0039245A"/>
    <w:rsid w:val="00394A1E"/>
    <w:rsid w:val="003A241D"/>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F0DF5"/>
    <w:rsid w:val="003F332C"/>
    <w:rsid w:val="003F659A"/>
    <w:rsid w:val="00400E16"/>
    <w:rsid w:val="004012CF"/>
    <w:rsid w:val="004012E1"/>
    <w:rsid w:val="004020B1"/>
    <w:rsid w:val="004028F5"/>
    <w:rsid w:val="00402FF3"/>
    <w:rsid w:val="00404627"/>
    <w:rsid w:val="00405EAB"/>
    <w:rsid w:val="00406265"/>
    <w:rsid w:val="004069EB"/>
    <w:rsid w:val="004111DA"/>
    <w:rsid w:val="00413327"/>
    <w:rsid w:val="00413F1C"/>
    <w:rsid w:val="0041440A"/>
    <w:rsid w:val="00423213"/>
    <w:rsid w:val="0042416D"/>
    <w:rsid w:val="00433507"/>
    <w:rsid w:val="00437A0E"/>
    <w:rsid w:val="00443B76"/>
    <w:rsid w:val="0044504F"/>
    <w:rsid w:val="004460C0"/>
    <w:rsid w:val="004502F1"/>
    <w:rsid w:val="004516EB"/>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26B1"/>
    <w:rsid w:val="0047555B"/>
    <w:rsid w:val="00475F48"/>
    <w:rsid w:val="0047718A"/>
    <w:rsid w:val="00477430"/>
    <w:rsid w:val="00477CC2"/>
    <w:rsid w:val="00480C13"/>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107C"/>
    <w:rsid w:val="00514187"/>
    <w:rsid w:val="00515090"/>
    <w:rsid w:val="00521A89"/>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661B"/>
    <w:rsid w:val="00591165"/>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8E4"/>
    <w:rsid w:val="00616943"/>
    <w:rsid w:val="006214B9"/>
    <w:rsid w:val="00621940"/>
    <w:rsid w:val="0062421A"/>
    <w:rsid w:val="00624FE9"/>
    <w:rsid w:val="00625866"/>
    <w:rsid w:val="006300D6"/>
    <w:rsid w:val="00630382"/>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9391E"/>
    <w:rsid w:val="00697281"/>
    <w:rsid w:val="006A2C7F"/>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594D"/>
    <w:rsid w:val="006E5C99"/>
    <w:rsid w:val="006F1B61"/>
    <w:rsid w:val="006F1FC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095"/>
    <w:rsid w:val="007517D1"/>
    <w:rsid w:val="007524CA"/>
    <w:rsid w:val="00754CAE"/>
    <w:rsid w:val="00757559"/>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5926"/>
    <w:rsid w:val="007A6C53"/>
    <w:rsid w:val="007B2C77"/>
    <w:rsid w:val="007B7A6F"/>
    <w:rsid w:val="007C2C6B"/>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560"/>
    <w:rsid w:val="007F0DF4"/>
    <w:rsid w:val="007F1347"/>
    <w:rsid w:val="007F1C99"/>
    <w:rsid w:val="007F20AC"/>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2C48"/>
    <w:rsid w:val="008146F9"/>
    <w:rsid w:val="00814D55"/>
    <w:rsid w:val="008230AE"/>
    <w:rsid w:val="00824DCD"/>
    <w:rsid w:val="00831D3F"/>
    <w:rsid w:val="00832986"/>
    <w:rsid w:val="00833DB5"/>
    <w:rsid w:val="00835692"/>
    <w:rsid w:val="008419A8"/>
    <w:rsid w:val="008436AD"/>
    <w:rsid w:val="00844569"/>
    <w:rsid w:val="00846539"/>
    <w:rsid w:val="0084766D"/>
    <w:rsid w:val="008479F1"/>
    <w:rsid w:val="00847D23"/>
    <w:rsid w:val="00854887"/>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00BD"/>
    <w:rsid w:val="008B14D0"/>
    <w:rsid w:val="008B5026"/>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869"/>
    <w:rsid w:val="0092113F"/>
    <w:rsid w:val="00921DB9"/>
    <w:rsid w:val="00922358"/>
    <w:rsid w:val="0092403D"/>
    <w:rsid w:val="00927C53"/>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FEE"/>
    <w:rsid w:val="0096643B"/>
    <w:rsid w:val="009679C0"/>
    <w:rsid w:val="009706B5"/>
    <w:rsid w:val="00970CE3"/>
    <w:rsid w:val="009718BF"/>
    <w:rsid w:val="00972BDF"/>
    <w:rsid w:val="0097390F"/>
    <w:rsid w:val="0098182D"/>
    <w:rsid w:val="00985AD2"/>
    <w:rsid w:val="00985C4C"/>
    <w:rsid w:val="0098704B"/>
    <w:rsid w:val="00993010"/>
    <w:rsid w:val="00993821"/>
    <w:rsid w:val="009940F6"/>
    <w:rsid w:val="00994280"/>
    <w:rsid w:val="009970B5"/>
    <w:rsid w:val="009A0D0A"/>
    <w:rsid w:val="009A0FAE"/>
    <w:rsid w:val="009A110C"/>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30C44"/>
    <w:rsid w:val="00A328AE"/>
    <w:rsid w:val="00A347D8"/>
    <w:rsid w:val="00A36D20"/>
    <w:rsid w:val="00A4131E"/>
    <w:rsid w:val="00A41694"/>
    <w:rsid w:val="00A43501"/>
    <w:rsid w:val="00A453DC"/>
    <w:rsid w:val="00A469C4"/>
    <w:rsid w:val="00A46BDA"/>
    <w:rsid w:val="00A535E3"/>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74DA"/>
    <w:rsid w:val="00B00C72"/>
    <w:rsid w:val="00B01443"/>
    <w:rsid w:val="00B024D6"/>
    <w:rsid w:val="00B04CF0"/>
    <w:rsid w:val="00B070A2"/>
    <w:rsid w:val="00B10E49"/>
    <w:rsid w:val="00B11E08"/>
    <w:rsid w:val="00B145FA"/>
    <w:rsid w:val="00B2037B"/>
    <w:rsid w:val="00B23274"/>
    <w:rsid w:val="00B272A6"/>
    <w:rsid w:val="00B30856"/>
    <w:rsid w:val="00B32CD3"/>
    <w:rsid w:val="00B34CA9"/>
    <w:rsid w:val="00B35797"/>
    <w:rsid w:val="00B35A93"/>
    <w:rsid w:val="00B3672D"/>
    <w:rsid w:val="00B40656"/>
    <w:rsid w:val="00B40F8A"/>
    <w:rsid w:val="00B4745C"/>
    <w:rsid w:val="00B50AAA"/>
    <w:rsid w:val="00B544D9"/>
    <w:rsid w:val="00B5641B"/>
    <w:rsid w:val="00B564E0"/>
    <w:rsid w:val="00B658D4"/>
    <w:rsid w:val="00B70133"/>
    <w:rsid w:val="00B7481A"/>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2DD7"/>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297C"/>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7A6"/>
    <w:rsid w:val="00D42AFE"/>
    <w:rsid w:val="00D44A9E"/>
    <w:rsid w:val="00D46910"/>
    <w:rsid w:val="00D475A2"/>
    <w:rsid w:val="00D5015D"/>
    <w:rsid w:val="00D52355"/>
    <w:rsid w:val="00D52AC7"/>
    <w:rsid w:val="00D53360"/>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A2E2B"/>
    <w:rsid w:val="00DA3DE4"/>
    <w:rsid w:val="00DA69DE"/>
    <w:rsid w:val="00DB5C0A"/>
    <w:rsid w:val="00DB6DAF"/>
    <w:rsid w:val="00DC0AF1"/>
    <w:rsid w:val="00DC2393"/>
    <w:rsid w:val="00DC588B"/>
    <w:rsid w:val="00DC64BF"/>
    <w:rsid w:val="00DD0123"/>
    <w:rsid w:val="00DD13E2"/>
    <w:rsid w:val="00DD4938"/>
    <w:rsid w:val="00DD7977"/>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51EF9"/>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790"/>
    <w:rsid w:val="00E80180"/>
    <w:rsid w:val="00E8129E"/>
    <w:rsid w:val="00E81A2B"/>
    <w:rsid w:val="00E81E42"/>
    <w:rsid w:val="00E83A01"/>
    <w:rsid w:val="00E861BA"/>
    <w:rsid w:val="00E91EBF"/>
    <w:rsid w:val="00E97676"/>
    <w:rsid w:val="00EA1CE1"/>
    <w:rsid w:val="00EA1F89"/>
    <w:rsid w:val="00EB08A0"/>
    <w:rsid w:val="00EB117B"/>
    <w:rsid w:val="00EB40D6"/>
    <w:rsid w:val="00EB5CDD"/>
    <w:rsid w:val="00EB5F75"/>
    <w:rsid w:val="00EB7852"/>
    <w:rsid w:val="00EB79CD"/>
    <w:rsid w:val="00EC060D"/>
    <w:rsid w:val="00EC2525"/>
    <w:rsid w:val="00EC4F33"/>
    <w:rsid w:val="00EC77D8"/>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6331"/>
    <w:rsid w:val="00F16803"/>
    <w:rsid w:val="00F22566"/>
    <w:rsid w:val="00F22963"/>
    <w:rsid w:val="00F30AEF"/>
    <w:rsid w:val="00F32406"/>
    <w:rsid w:val="00F378B2"/>
    <w:rsid w:val="00F403EA"/>
    <w:rsid w:val="00F40B51"/>
    <w:rsid w:val="00F40E4D"/>
    <w:rsid w:val="00F41DE4"/>
    <w:rsid w:val="00F41F3D"/>
    <w:rsid w:val="00F42499"/>
    <w:rsid w:val="00F42753"/>
    <w:rsid w:val="00F44DC5"/>
    <w:rsid w:val="00F46CE7"/>
    <w:rsid w:val="00F471AE"/>
    <w:rsid w:val="00F510DB"/>
    <w:rsid w:val="00F548C1"/>
    <w:rsid w:val="00F604E0"/>
    <w:rsid w:val="00F6232F"/>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413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NKPYBp7ntkrPXOgr5SGifJ-mGn-w8DfG/view"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6C13D-DA58-435C-900E-ABDADAC3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28</Pages>
  <Words>5458</Words>
  <Characters>30024</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2018-12-04T20:35:00Z</cp:lastPrinted>
  <dcterms:created xsi:type="dcterms:W3CDTF">2021-06-01T15:44:00Z</dcterms:created>
  <dcterms:modified xsi:type="dcterms:W3CDTF">2021-08-03T17:27:00Z</dcterms:modified>
</cp:coreProperties>
</file>