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veintisiete de octubre de dos mil veintiuno.</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2629F1A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04620/INFOEM/IP/RR/2021</w:t>
      </w:r>
      <w:r>
        <w:rPr>
          <w:rFonts w:ascii="Palatino Linotype" w:eastAsia="Palatino Linotype" w:hAnsi="Palatino Linotype" w:cs="Palatino Linotype"/>
          <w:color w:val="000000"/>
          <w:sz w:val="24"/>
          <w:szCs w:val="24"/>
        </w:rPr>
        <w:t xml:space="preserve">, interpuesto por </w:t>
      </w:r>
      <w:proofErr w:type="spellStart"/>
      <w:r w:rsidR="00781F41">
        <w:rPr>
          <w:rFonts w:ascii="Palatino Linotype" w:eastAsia="Palatino Linotype" w:hAnsi="Palatino Linotype" w:cs="Palatino Linotype"/>
          <w:b/>
          <w:color w:val="000000"/>
          <w:sz w:val="24"/>
          <w:szCs w:val="24"/>
        </w:rPr>
        <w:t>xxxxxxxxxxxxxxxxxxxxxxxxxxxx</w:t>
      </w:r>
      <w:proofErr w:type="spellEnd"/>
      <w:r>
        <w:rPr>
          <w:rFonts w:ascii="Palatino Linotype" w:eastAsia="Palatino Linotype" w:hAnsi="Palatino Linotype" w:cs="Palatino Linotype"/>
          <w:b/>
          <w:color w:val="000000"/>
          <w:sz w:val="24"/>
          <w:szCs w:val="24"/>
        </w:rPr>
        <w:t xml:space="preserve"> </w:t>
      </w:r>
      <w:proofErr w:type="spellStart"/>
      <w:r w:rsidR="00781F41">
        <w:rPr>
          <w:rFonts w:ascii="Palatino Linotype" w:eastAsia="Palatino Linotype" w:hAnsi="Palatino Linotype" w:cs="Palatino Linotype"/>
          <w:b/>
          <w:color w:val="000000"/>
          <w:sz w:val="24"/>
          <w:szCs w:val="24"/>
        </w:rPr>
        <w:t>xxxxxxxxxxxxxxxxxxxxxxxxxxxxxxxxxxxxxxxx</w:t>
      </w:r>
      <w:proofErr w:type="spellEnd"/>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Pr>
          <w:rFonts w:ascii="Palatino Linotype" w:eastAsia="Palatino Linotype" w:hAnsi="Palatino Linotype" w:cs="Palatino Linotype"/>
          <w:b/>
          <w:color w:val="000000"/>
          <w:sz w:val="24"/>
          <w:szCs w:val="24"/>
        </w:rPr>
        <w:t>Instituto de la Función Registral del Estado de México</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el Sujeto Obligado, </w:t>
      </w:r>
      <w:r>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5DB70A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once de agosto de dos mil veintiuno, el Recurrente presentó a través de la Plataforma Nacional de Transparencia solicitud de información pública que fue registrada en el Sistema de Acceso a la Información Mexiquense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con el número de expediente</w:t>
      </w:r>
      <w:r>
        <w:rPr>
          <w:rFonts w:ascii="Palatino Linotype" w:eastAsia="Palatino Linotype" w:hAnsi="Palatino Linotype" w:cs="Palatino Linotype"/>
          <w:b/>
          <w:color w:val="000000"/>
          <w:sz w:val="24"/>
          <w:szCs w:val="24"/>
        </w:rPr>
        <w:t xml:space="preserve"> 00074/IFR/IP/2021, </w:t>
      </w:r>
      <w:r>
        <w:rPr>
          <w:rFonts w:ascii="Palatino Linotype" w:eastAsia="Palatino Linotype" w:hAnsi="Palatino Linotype" w:cs="Palatino Linotype"/>
          <w:color w:val="000000"/>
          <w:sz w:val="24"/>
          <w:szCs w:val="24"/>
        </w:rPr>
        <w:t xml:space="preserve">mediante la cual solicitó información en el </w:t>
      </w:r>
      <w:proofErr w:type="gramStart"/>
      <w:r>
        <w:rPr>
          <w:rFonts w:ascii="Palatino Linotype" w:eastAsia="Palatino Linotype" w:hAnsi="Palatino Linotype" w:cs="Palatino Linotype"/>
          <w:color w:val="000000"/>
          <w:sz w:val="24"/>
          <w:szCs w:val="24"/>
        </w:rPr>
        <w:t>tenor</w:t>
      </w:r>
      <w:proofErr w:type="gramEnd"/>
      <w:r>
        <w:rPr>
          <w:rFonts w:ascii="Palatino Linotype" w:eastAsia="Palatino Linotype" w:hAnsi="Palatino Linotype" w:cs="Palatino Linotype"/>
          <w:color w:val="000000"/>
          <w:sz w:val="24"/>
          <w:szCs w:val="24"/>
        </w:rPr>
        <w:t xml:space="preserve">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77777777"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uso de mi derecho de acceso de información Pública solicito al sujeto obligado lo siguiente: Nombre, Cargo y Salario de cada uno de los servidores públicos del sujeto obligado que dentro de su manual de funciones realicen el procesos de compras o licitatorios en la dependencia. </w:t>
      </w:r>
      <w:proofErr w:type="gramStart"/>
      <w:r>
        <w:rPr>
          <w:rFonts w:ascii="Palatino Linotype" w:eastAsia="Palatino Linotype" w:hAnsi="Palatino Linotype" w:cs="Palatino Linotype"/>
          <w:i/>
          <w:color w:val="000000"/>
        </w:rPr>
        <w:t>sumado</w:t>
      </w:r>
      <w:proofErr w:type="gramEnd"/>
      <w:r>
        <w:rPr>
          <w:rFonts w:ascii="Palatino Linotype" w:eastAsia="Palatino Linotype" w:hAnsi="Palatino Linotype" w:cs="Palatino Linotype"/>
          <w:i/>
          <w:color w:val="000000"/>
        </w:rPr>
        <w:t xml:space="preserve"> a esto conocer si el titular de la dependencia genera por </w:t>
      </w:r>
      <w:proofErr w:type="spellStart"/>
      <w:r>
        <w:rPr>
          <w:rFonts w:ascii="Palatino Linotype" w:eastAsia="Palatino Linotype" w:hAnsi="Palatino Linotype" w:cs="Palatino Linotype"/>
          <w:i/>
          <w:color w:val="000000"/>
        </w:rPr>
        <w:t>si</w:t>
      </w:r>
      <w:proofErr w:type="spellEnd"/>
      <w:r>
        <w:rPr>
          <w:rFonts w:ascii="Palatino Linotype" w:eastAsia="Palatino Linotype" w:hAnsi="Palatino Linotype" w:cs="Palatino Linotype"/>
          <w:i/>
          <w:color w:val="000000"/>
        </w:rPr>
        <w:t xml:space="preserve"> mismo o a </w:t>
      </w:r>
      <w:proofErr w:type="spellStart"/>
      <w:r>
        <w:rPr>
          <w:rFonts w:ascii="Palatino Linotype" w:eastAsia="Palatino Linotype" w:hAnsi="Palatino Linotype" w:cs="Palatino Linotype"/>
          <w:i/>
          <w:color w:val="000000"/>
        </w:rPr>
        <w:t>traves</w:t>
      </w:r>
      <w:proofErr w:type="spellEnd"/>
      <w:r>
        <w:rPr>
          <w:rFonts w:ascii="Palatino Linotype" w:eastAsia="Palatino Linotype" w:hAnsi="Palatino Linotype" w:cs="Palatino Linotype"/>
          <w:i/>
          <w:color w:val="000000"/>
        </w:rPr>
        <w:t xml:space="preserve"> de alguna unidad </w:t>
      </w:r>
      <w:proofErr w:type="spellStart"/>
      <w:r>
        <w:rPr>
          <w:rFonts w:ascii="Palatino Linotype" w:eastAsia="Palatino Linotype" w:hAnsi="Palatino Linotype" w:cs="Palatino Linotype"/>
          <w:i/>
          <w:color w:val="000000"/>
        </w:rPr>
        <w:t>admistrativa</w:t>
      </w:r>
      <w:proofErr w:type="spellEnd"/>
      <w:r>
        <w:rPr>
          <w:rFonts w:ascii="Palatino Linotype" w:eastAsia="Palatino Linotype" w:hAnsi="Palatino Linotype" w:cs="Palatino Linotype"/>
          <w:i/>
          <w:color w:val="000000"/>
        </w:rPr>
        <w:t xml:space="preserve"> acciones o medidas anticorrupción en los procesos </w:t>
      </w:r>
      <w:r>
        <w:rPr>
          <w:rFonts w:ascii="Palatino Linotype" w:eastAsia="Palatino Linotype" w:hAnsi="Palatino Linotype" w:cs="Palatino Linotype"/>
          <w:i/>
          <w:color w:val="000000"/>
        </w:rPr>
        <w:lastRenderedPageBreak/>
        <w:t xml:space="preserve">licitatorios o de adquisiciones, de ser positiva la </w:t>
      </w:r>
      <w:proofErr w:type="spellStart"/>
      <w:r>
        <w:rPr>
          <w:rFonts w:ascii="Palatino Linotype" w:eastAsia="Palatino Linotype" w:hAnsi="Palatino Linotype" w:cs="Palatino Linotype"/>
          <w:i/>
          <w:color w:val="000000"/>
        </w:rPr>
        <w:t>respuesa</w:t>
      </w:r>
      <w:proofErr w:type="spellEnd"/>
      <w:r>
        <w:rPr>
          <w:rFonts w:ascii="Palatino Linotype" w:eastAsia="Palatino Linotype" w:hAnsi="Palatino Linotype" w:cs="Palatino Linotype"/>
          <w:i/>
          <w:color w:val="000000"/>
        </w:rPr>
        <w:t>, conocer de forma enunciativa todos y cada una de estas”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 xml:space="preserve">A través del SAIMEX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correo electrónico</w:t>
      </w:r>
    </w:p>
    <w:p w14:paraId="4058552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7C156F3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que el día primero de septiembre de dos mil veintiuno,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57A33D" w14:textId="77777777"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1E0B90" w14:textId="77777777"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AE7A31" w14:textId="77777777"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Al respecto, le informo que esta Unidad de Transparencia mediante oficio número 222C0101040202L/445/2021, de fecha doce de agosto del presente año, solicitó al LA.E. Raúl Napoleón Lazcano Martínez, Servidor Público Habilitado Titular en Materia de Transparencia de la Dirección de Administración y Finanzas, coadyuve para dar respuesta a la solicitud aducida, quien atiende lo requerido con el oficio número 222C0101050000L/1584/2021. De lo anterior, se ha dado atención a su solicitud, dejando a salvo sus derechos a efecto de que los haga valer ante las autoridades correspondientes, mismos que se encuentran contemplados en el Capítulo I del Título Octavo de la Ley de Transparencia y Acceso a la Información Pública del Estado de México y Municipios. Sin otro particular por el momento, reciba un cordial saludo.</w:t>
      </w:r>
    </w:p>
    <w:p w14:paraId="49926C56" w14:textId="77777777"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1530479" w14:textId="77777777"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14:paraId="38DF58A5" w14:textId="77777777"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L.I. MARIELA MEDINA HERNÁNDEZ”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 su respuesta se anexó el documento electrónico </w:t>
      </w:r>
      <w:r>
        <w:rPr>
          <w:rFonts w:ascii="Palatino Linotype" w:eastAsia="Palatino Linotype" w:hAnsi="Palatino Linotype" w:cs="Palatino Linotype"/>
          <w:b/>
          <w:color w:val="000000"/>
          <w:sz w:val="24"/>
          <w:szCs w:val="24"/>
        </w:rPr>
        <w:t>“485-2021.pdf”</w:t>
      </w:r>
      <w:r>
        <w:rPr>
          <w:rFonts w:ascii="Palatino Linotype" w:eastAsia="Palatino Linotype" w:hAnsi="Palatino Linotype" w:cs="Palatino Linotype"/>
          <w:color w:val="000000"/>
          <w:sz w:val="24"/>
          <w:szCs w:val="24"/>
        </w:rPr>
        <w:t>, el cual no se reproduce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F8982C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ocho de septiembre de dos mil veintiuno, el cual se registró con el expediente número </w:t>
      </w:r>
      <w:r>
        <w:rPr>
          <w:rFonts w:ascii="Palatino Linotype" w:eastAsia="Palatino Linotype" w:hAnsi="Palatino Linotype" w:cs="Palatino Linotype"/>
          <w:b/>
          <w:color w:val="000000"/>
          <w:sz w:val="24"/>
          <w:szCs w:val="24"/>
        </w:rPr>
        <w:t>04620/INFOEM/IP/RR/2021</w:t>
      </w:r>
      <w:r>
        <w:rPr>
          <w:rFonts w:ascii="Palatino Linotype" w:eastAsia="Palatino Linotype" w:hAnsi="Palatino Linotype" w:cs="Palatino Linotype"/>
          <w:color w:val="000000"/>
          <w:sz w:val="24"/>
          <w:szCs w:val="24"/>
        </w:rPr>
        <w:t>, en el cual el particular manifestó lo siguiente:</w:t>
      </w:r>
    </w:p>
    <w:p w14:paraId="596AC38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DB73D8" w14:textId="77777777" w:rsidR="00663A37" w:rsidRDefault="00663A37" w:rsidP="00663A37">
      <w:pPr>
        <w:spacing w:before="240" w:line="240" w:lineRule="auto"/>
        <w:contextualSpacing/>
        <w:jc w:val="both"/>
        <w:rPr>
          <w:rFonts w:ascii="Palatino Linotype" w:eastAsia="Palatino Linotype" w:hAnsi="Palatino Linotype" w:cs="Palatino Linotype"/>
          <w:i/>
        </w:rPr>
      </w:pPr>
      <w:r>
        <w:rPr>
          <w:rFonts w:ascii="Palatino Linotype" w:eastAsia="Palatino Linotype" w:hAnsi="Palatino Linotype" w:cs="Palatino Linotype"/>
          <w:b/>
          <w:sz w:val="24"/>
          <w:szCs w:val="24"/>
        </w:rPr>
        <w:t xml:space="preserve">Acto Impugnado: </w:t>
      </w:r>
      <w:r>
        <w:rPr>
          <w:rFonts w:ascii="Palatino Linotype" w:eastAsia="Palatino Linotype" w:hAnsi="Palatino Linotype" w:cs="Palatino Linotype"/>
          <w:i/>
        </w:rPr>
        <w:t xml:space="preserve">“el sujeto obligado no entrega las acciones que realiza el titular de la dependencia y solo menciona que se apegan al marco jurídico y </w:t>
      </w:r>
      <w:proofErr w:type="spellStart"/>
      <w:r>
        <w:rPr>
          <w:rFonts w:ascii="Palatino Linotype" w:eastAsia="Palatino Linotype" w:hAnsi="Palatino Linotype" w:cs="Palatino Linotype"/>
          <w:i/>
        </w:rPr>
        <w:t>etico</w:t>
      </w:r>
      <w:proofErr w:type="spellEnd"/>
      <w:r>
        <w:rPr>
          <w:rFonts w:ascii="Palatino Linotype" w:eastAsia="Palatino Linotype" w:hAnsi="Palatino Linotype" w:cs="Palatino Linotype"/>
          <w:i/>
        </w:rPr>
        <w:t xml:space="preserve"> de las instituciones gubernamentales por lo cual viola transgrede mi derecho de información al no proporcionar las acciones que se realizan al interior de la dependencia para garantizar la no corrupción. sobra ya hacer de conocimiento al </w:t>
      </w:r>
      <w:proofErr w:type="spellStart"/>
      <w:r>
        <w:rPr>
          <w:rFonts w:ascii="Palatino Linotype" w:eastAsia="Palatino Linotype" w:hAnsi="Palatino Linotype" w:cs="Palatino Linotype"/>
          <w:i/>
        </w:rPr>
        <w:t>organo</w:t>
      </w:r>
      <w:proofErr w:type="spellEnd"/>
      <w:r>
        <w:rPr>
          <w:rFonts w:ascii="Palatino Linotype" w:eastAsia="Palatino Linotype" w:hAnsi="Palatino Linotype" w:cs="Palatino Linotype"/>
          <w:i/>
        </w:rPr>
        <w:t xml:space="preserve"> garante de la nula capacidad de la responsable de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xml:space="preserve"> de garantizar a los ciudadanos su derecho permitiendo que se entreguen respuestas sin sentido y sin responder con la finalidad de solo opacar la transparencia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lamentable la </w:t>
      </w:r>
      <w:proofErr w:type="spellStart"/>
      <w:r>
        <w:rPr>
          <w:rFonts w:ascii="Palatino Linotype" w:eastAsia="Palatino Linotype" w:hAnsi="Palatino Linotype" w:cs="Palatino Linotype"/>
          <w:i/>
        </w:rPr>
        <w:t>participacion</w:t>
      </w:r>
      <w:proofErr w:type="spellEnd"/>
      <w:r>
        <w:rPr>
          <w:rFonts w:ascii="Palatino Linotype" w:eastAsia="Palatino Linotype" w:hAnsi="Palatino Linotype" w:cs="Palatino Linotype"/>
          <w:i/>
        </w:rPr>
        <w:t xml:space="preserve"> de esta </w:t>
      </w:r>
      <w:proofErr w:type="spellStart"/>
      <w:r>
        <w:rPr>
          <w:rFonts w:ascii="Palatino Linotype" w:eastAsia="Palatino Linotype" w:hAnsi="Palatino Linotype" w:cs="Palatino Linotype"/>
          <w:i/>
        </w:rPr>
        <w:t>pseudo</w:t>
      </w:r>
      <w:proofErr w:type="spellEnd"/>
      <w:r>
        <w:rPr>
          <w:rFonts w:ascii="Palatino Linotype" w:eastAsia="Palatino Linotype" w:hAnsi="Palatino Linotype" w:cs="Palatino Linotype"/>
          <w:i/>
        </w:rPr>
        <w:t xml:space="preserve"> servidora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"(Sic)</w:t>
      </w:r>
    </w:p>
    <w:p w14:paraId="50F81DF4" w14:textId="77777777" w:rsidR="00663A37" w:rsidRDefault="00663A37" w:rsidP="00663A37">
      <w:pPr>
        <w:spacing w:after="0" w:line="360" w:lineRule="auto"/>
        <w:contextualSpacing/>
        <w:jc w:val="both"/>
        <w:rPr>
          <w:rFonts w:ascii="Palatino Linotype" w:eastAsia="Palatino Linotype" w:hAnsi="Palatino Linotype" w:cs="Palatino Linotype"/>
          <w:i/>
          <w:sz w:val="24"/>
          <w:szCs w:val="24"/>
        </w:rPr>
      </w:pPr>
    </w:p>
    <w:p w14:paraId="59A1F67A" w14:textId="77777777" w:rsidR="00663A37" w:rsidRDefault="00663A37" w:rsidP="00663A37">
      <w:pPr>
        <w:spacing w:before="240" w:line="240" w:lineRule="auto"/>
        <w:contextualSpacing/>
        <w:jc w:val="both"/>
        <w:rPr>
          <w:rFonts w:ascii="Palatino Linotype" w:eastAsia="Palatino Linotype" w:hAnsi="Palatino Linotype" w:cs="Palatino Linotype"/>
          <w:i/>
        </w:rPr>
      </w:pP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rPr>
        <w:t xml:space="preserve">“el sujeto obligado no entrega las acciones que realiza el titular de la dependencia y solo menciona que se apegan al marco jurídico y </w:t>
      </w:r>
      <w:proofErr w:type="spellStart"/>
      <w:r>
        <w:rPr>
          <w:rFonts w:ascii="Palatino Linotype" w:eastAsia="Palatino Linotype" w:hAnsi="Palatino Linotype" w:cs="Palatino Linotype"/>
          <w:i/>
        </w:rPr>
        <w:t>etico</w:t>
      </w:r>
      <w:proofErr w:type="spellEnd"/>
      <w:r>
        <w:rPr>
          <w:rFonts w:ascii="Palatino Linotype" w:eastAsia="Palatino Linotype" w:hAnsi="Palatino Linotype" w:cs="Palatino Linotype"/>
          <w:i/>
        </w:rPr>
        <w:t xml:space="preserve"> de las instituciones gubernamentales por lo cual viola transgrede mi derecho de información al no proporcionar las acciones que se realizan al interior de la dependencia para garantizar la no corrupción. sobra ya hacer de conocimiento al </w:t>
      </w:r>
      <w:proofErr w:type="spellStart"/>
      <w:r>
        <w:rPr>
          <w:rFonts w:ascii="Palatino Linotype" w:eastAsia="Palatino Linotype" w:hAnsi="Palatino Linotype" w:cs="Palatino Linotype"/>
          <w:i/>
        </w:rPr>
        <w:t>organo</w:t>
      </w:r>
      <w:proofErr w:type="spellEnd"/>
      <w:r>
        <w:rPr>
          <w:rFonts w:ascii="Palatino Linotype" w:eastAsia="Palatino Linotype" w:hAnsi="Palatino Linotype" w:cs="Palatino Linotype"/>
          <w:i/>
        </w:rPr>
        <w:t xml:space="preserve"> garante de la nula capacidad de la responsable de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xml:space="preserve"> de garantizar a los ciudadanos su derecho permitiendo que se entreguen respuestas sin sentido y sin responder con la finalidad de solo opacar la transparencia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xml:space="preserve">, lamentable la </w:t>
      </w:r>
      <w:proofErr w:type="spellStart"/>
      <w:r>
        <w:rPr>
          <w:rFonts w:ascii="Palatino Linotype" w:eastAsia="Palatino Linotype" w:hAnsi="Palatino Linotype" w:cs="Palatino Linotype"/>
          <w:i/>
        </w:rPr>
        <w:t>participacion</w:t>
      </w:r>
      <w:proofErr w:type="spellEnd"/>
      <w:r>
        <w:rPr>
          <w:rFonts w:ascii="Palatino Linotype" w:eastAsia="Palatino Linotype" w:hAnsi="Palatino Linotype" w:cs="Palatino Linotype"/>
          <w:i/>
        </w:rPr>
        <w:t xml:space="preserve"> de esta </w:t>
      </w:r>
      <w:proofErr w:type="spellStart"/>
      <w:r>
        <w:rPr>
          <w:rFonts w:ascii="Palatino Linotype" w:eastAsia="Palatino Linotype" w:hAnsi="Palatino Linotype" w:cs="Palatino Linotype"/>
          <w:i/>
        </w:rPr>
        <w:t>pseudo</w:t>
      </w:r>
      <w:proofErr w:type="spellEnd"/>
      <w:r>
        <w:rPr>
          <w:rFonts w:ascii="Palatino Linotype" w:eastAsia="Palatino Linotype" w:hAnsi="Palatino Linotype" w:cs="Palatino Linotype"/>
          <w:i/>
        </w:rPr>
        <w:t xml:space="preserve"> servidora </w:t>
      </w:r>
      <w:proofErr w:type="spellStart"/>
      <w:r>
        <w:rPr>
          <w:rFonts w:ascii="Palatino Linotype" w:eastAsia="Palatino Linotype" w:hAnsi="Palatino Linotype" w:cs="Palatino Linotype"/>
          <w:i/>
        </w:rPr>
        <w:t>publica</w:t>
      </w:r>
      <w:proofErr w:type="spellEnd"/>
      <w:r>
        <w:rPr>
          <w:rFonts w:ascii="Palatino Linotype" w:eastAsia="Palatino Linotype" w:hAnsi="Palatino Linotype" w:cs="Palatino Linotype"/>
          <w:i/>
        </w:rPr>
        <w:t>” (Sic)</w:t>
      </w:r>
    </w:p>
    <w:p w14:paraId="3579822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8413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2DC9D1E"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lastRenderedPageBreak/>
        <w:t>CUARTO. Del turno y admisión del recurso de revisión.</w:t>
      </w:r>
    </w:p>
    <w:p w14:paraId="348439E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del cual recayó acuerdo de admisión en fecha catorce de septiembre de dos mil veintiuno,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594F206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abierta la etapa de instrucción, en el sumario se observa que el Sujeto Obligado, en fecha veinticuatro de septiembre de dos mil veintiuno remitió su Informe Justificado, consistente del documento electrónico denominado </w:t>
      </w:r>
      <w:r>
        <w:rPr>
          <w:rFonts w:ascii="Palatino Linotype" w:eastAsia="Palatino Linotype" w:hAnsi="Palatino Linotype" w:cs="Palatino Linotype"/>
          <w:b/>
          <w:color w:val="000000"/>
          <w:sz w:val="24"/>
          <w:szCs w:val="24"/>
        </w:rPr>
        <w:t>“527-2021.pdf”</w:t>
      </w:r>
      <w:r>
        <w:rPr>
          <w:rFonts w:ascii="Palatino Linotype" w:eastAsia="Palatino Linotype" w:hAnsi="Palatino Linotype" w:cs="Palatino Linotype"/>
          <w:color w:val="000000"/>
          <w:sz w:val="24"/>
          <w:szCs w:val="24"/>
        </w:rPr>
        <w:t xml:space="preserve">. Dicho documento fue puesto a la vista del Recurrente mediante acuerdo de fecha veintisiete de septiembre del año en curso en términos de la fracción III del artículo 185 de la Ley de Transparencia y Acceso a la Información Pública del Estado de México y Municipios, otorgando al Recurrente un término de tres días para manifestar lo que a su derecho conviniera. El contenido de dicho documento será motivo de análisis más adelante. </w:t>
      </w:r>
    </w:p>
    <w:p w14:paraId="4B9B94B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783BD18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una vez transcurrido el término legal, se decretó el cierre de instrucción en fecha primero de octubre de dos mil veintiuno, en términos del artículo 185 Fracción VI de </w:t>
      </w:r>
      <w:r>
        <w:rPr>
          <w:rFonts w:ascii="Palatino Linotype" w:eastAsia="Palatino Linotype" w:hAnsi="Palatino Linotype" w:cs="Palatino Linotype"/>
          <w:color w:val="000000"/>
          <w:sz w:val="24"/>
          <w:szCs w:val="24"/>
        </w:rPr>
        <w:lastRenderedPageBreak/>
        <w:t>la Ley de Transparencia y Acceso a la Información Pública del Estado de México y Municipios, iniciando el término legal para dictar resolución definitiva del asunto.</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D46C68"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TERCERO. Cuestiones de previo y especial pronunciamiento.</w:t>
      </w:r>
    </w:p>
    <w:p w14:paraId="574F86D4"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0F463EF"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5AAA9766"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 xml:space="preserve">Artículo 180. </w:t>
      </w:r>
      <w:r w:rsidRPr="005C6947">
        <w:rPr>
          <w:rFonts w:ascii="Palatino Linotype" w:eastAsia="Palatino Linotype" w:hAnsi="Palatino Linotype" w:cs="Palatino Linotype"/>
          <w:i/>
        </w:rPr>
        <w:t>El recurso de revisión contendrá:</w:t>
      </w:r>
    </w:p>
    <w:p w14:paraId="5D7EFA25"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I. El sujeto obligado ante la cual se presentó la solicitud;</w:t>
      </w:r>
    </w:p>
    <w:p w14:paraId="6B4F5254"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II. El nombre del solicitante que recurre</w:t>
      </w:r>
      <w:r w:rsidRPr="005C6947">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5D164824"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III. El número de folio de respuesta de la solicitud de acceso;</w:t>
      </w:r>
    </w:p>
    <w:p w14:paraId="3ADA6F03"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8E18913"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V. El acto que se recurre;</w:t>
      </w:r>
    </w:p>
    <w:p w14:paraId="2F548694"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VI. Las razones o motivos de inconformidad;</w:t>
      </w:r>
    </w:p>
    <w:p w14:paraId="58BBAC16"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VII. La copia de la respuesta que se impugna y, en su caso, de la notificación correspondiente, en el caso de respuesta de la solicitud; y</w:t>
      </w:r>
    </w:p>
    <w:p w14:paraId="32C5BD68"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VIII. Firma del recurrente, en su caso, cuando se presente por escrito, requisito sin el cual se dará trámite al recurso.</w:t>
      </w:r>
    </w:p>
    <w:p w14:paraId="67000A75"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p>
    <w:p w14:paraId="079E15E1"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Adicionalmente, se podrán anexar las pruebas y demás elementos que considere procedentes someter a juicio del Instituto.</w:t>
      </w:r>
    </w:p>
    <w:p w14:paraId="56BA1761"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p>
    <w:p w14:paraId="3C1FB862"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En ningún caso será necesario que el particular ratifique el recurso de revisión interpuesto.</w:t>
      </w:r>
    </w:p>
    <w:p w14:paraId="27F160C5"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p>
    <w:p w14:paraId="721A1EE2"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5C6947">
        <w:rPr>
          <w:rFonts w:ascii="Palatino Linotype" w:eastAsia="Palatino Linotype" w:hAnsi="Palatino Linotype" w:cs="Palatino Linotype"/>
          <w:i/>
        </w:rPr>
        <w:t>, IV, VII y VIII.</w:t>
      </w:r>
    </w:p>
    <w:p w14:paraId="6F1FC294" w14:textId="77777777" w:rsidR="00663A37" w:rsidRDefault="00663A37" w:rsidP="00663A37">
      <w:pPr>
        <w:spacing w:after="0" w:line="360" w:lineRule="auto"/>
        <w:contextualSpacing/>
        <w:jc w:val="both"/>
        <w:rPr>
          <w:rFonts w:ascii="Palatino Linotype" w:eastAsia="Palatino Linotype" w:hAnsi="Palatino Linotype" w:cs="Palatino Linotype"/>
          <w:b/>
          <w:i/>
          <w:sz w:val="24"/>
          <w:szCs w:val="24"/>
        </w:rPr>
      </w:pPr>
    </w:p>
    <w:p w14:paraId="307898FC" w14:textId="0F60A2C1"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el hoy Recurrente se identificó como </w:t>
      </w:r>
      <w:r>
        <w:rPr>
          <w:rFonts w:ascii="Palatino Linotype" w:eastAsia="Palatino Linotype" w:hAnsi="Palatino Linotype" w:cs="Palatino Linotype"/>
          <w:b/>
          <w:sz w:val="24"/>
          <w:szCs w:val="24"/>
        </w:rPr>
        <w:t>“</w:t>
      </w:r>
      <w:proofErr w:type="spellStart"/>
      <w:r w:rsidR="00781F41">
        <w:rPr>
          <w:rFonts w:ascii="Palatino Linotype" w:eastAsia="Palatino Linotype" w:hAnsi="Palatino Linotype" w:cs="Palatino Linotype"/>
          <w:b/>
          <w:sz w:val="24"/>
          <w:szCs w:val="24"/>
        </w:rPr>
        <w:t>xxxxxxxxxxxxxxxxxxxxxxx</w:t>
      </w:r>
      <w:proofErr w:type="spellEnd"/>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o</w:t>
      </w:r>
      <w:r>
        <w:rPr>
          <w:rFonts w:ascii="Palatino Linotype" w:eastAsia="Palatino Linotype" w:hAnsi="Palatino Linotype" w:cs="Palatino Linotype"/>
          <w:b/>
          <w:sz w:val="24"/>
          <w:szCs w:val="24"/>
        </w:rPr>
        <w:t xml:space="preserve"> “</w:t>
      </w:r>
      <w:r w:rsidR="00781F41">
        <w:rPr>
          <w:rFonts w:ascii="Palatino Linotype" w:eastAsia="Palatino Linotype" w:hAnsi="Palatino Linotype" w:cs="Palatino Linotype"/>
          <w:b/>
          <w:sz w:val="24"/>
          <w:szCs w:val="24"/>
        </w:rPr>
        <w:t>xxxxxxxxxxxxxxxxxxxxxxxxxxxxxxxxxxxxxxxx</w:t>
      </w:r>
      <w:bookmarkStart w:id="0" w:name="_GoBack"/>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No obstante, proporcionar el nombre incompleto o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D91C0B5"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7B9AAC54"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7D204C7"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4F0E46A5"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1B9079F"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2665D3D" w14:textId="77777777" w:rsidR="00663A37" w:rsidRPr="005C6947" w:rsidRDefault="00663A37" w:rsidP="00663A37">
      <w:pPr>
        <w:spacing w:after="0" w:line="240" w:lineRule="auto"/>
        <w:ind w:left="567" w:right="567"/>
        <w:contextualSpacing/>
        <w:jc w:val="center"/>
        <w:rPr>
          <w:rFonts w:ascii="Palatino Linotype" w:eastAsia="Palatino Linotype" w:hAnsi="Palatino Linotype" w:cs="Palatino Linotype"/>
          <w:b/>
          <w:i/>
          <w:u w:val="single"/>
        </w:rPr>
      </w:pPr>
      <w:r w:rsidRPr="005C6947">
        <w:rPr>
          <w:rFonts w:ascii="Palatino Linotype" w:eastAsia="Palatino Linotype" w:hAnsi="Palatino Linotype" w:cs="Palatino Linotype"/>
          <w:b/>
          <w:i/>
          <w:u w:val="single"/>
        </w:rPr>
        <w:t>Constitución Política de los Estados Unidos Mexicanos</w:t>
      </w:r>
    </w:p>
    <w:p w14:paraId="0C13DE61"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Artículo 6</w:t>
      </w:r>
      <w:r w:rsidRPr="005C6947">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146F452"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w:t>
      </w:r>
    </w:p>
    <w:p w14:paraId="4A17D9C3"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 xml:space="preserve">Para efectos de lo dispuesto en el presente artículo se observará lo siguiente: </w:t>
      </w:r>
    </w:p>
    <w:p w14:paraId="1009DDF1"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659420B1"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w:t>
      </w:r>
    </w:p>
    <w:p w14:paraId="7EB724B4"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5307F7A3"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73B417EE"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p>
    <w:p w14:paraId="5F06FEFE" w14:textId="77777777" w:rsidR="00663A37" w:rsidRPr="005C6947" w:rsidRDefault="00663A37" w:rsidP="00663A37">
      <w:pPr>
        <w:spacing w:after="0" w:line="240" w:lineRule="auto"/>
        <w:ind w:left="567" w:right="567"/>
        <w:contextualSpacing/>
        <w:jc w:val="center"/>
        <w:rPr>
          <w:rFonts w:ascii="Palatino Linotype" w:eastAsia="Palatino Linotype" w:hAnsi="Palatino Linotype" w:cs="Palatino Linotype"/>
          <w:b/>
          <w:i/>
          <w:u w:val="single"/>
        </w:rPr>
      </w:pPr>
      <w:r w:rsidRPr="005C6947">
        <w:rPr>
          <w:rFonts w:ascii="Palatino Linotype" w:eastAsia="Palatino Linotype" w:hAnsi="Palatino Linotype" w:cs="Palatino Linotype"/>
          <w:b/>
          <w:i/>
          <w:u w:val="single"/>
        </w:rPr>
        <w:t>Constitución Política del Estado Libre y Soberano de México</w:t>
      </w:r>
    </w:p>
    <w:p w14:paraId="2A714817"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Artículo 5</w:t>
      </w:r>
      <w:r w:rsidRPr="005C6947">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6E770D2"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w:t>
      </w:r>
    </w:p>
    <w:p w14:paraId="07E019A9"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B45150D"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w:t>
      </w:r>
    </w:p>
    <w:p w14:paraId="64457773"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58046DEA"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p>
    <w:p w14:paraId="3CF97C81"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A2A3A2D"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p>
    <w:p w14:paraId="5106BDF8"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Este derecho se regirá por los principios y bases siguientes:</w:t>
      </w:r>
    </w:p>
    <w:p w14:paraId="0AB2A2F9"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w:t>
      </w:r>
    </w:p>
    <w:p w14:paraId="0222CFB3"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III.</w:t>
      </w:r>
      <w:r w:rsidRPr="005C6947">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0C86C412"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lastRenderedPageBreak/>
        <w:t>IV.</w:t>
      </w:r>
      <w:r w:rsidRPr="005C6947">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91CA94E"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w:t>
      </w:r>
    </w:p>
    <w:p w14:paraId="4B97D9BC"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VIII.</w:t>
      </w:r>
      <w:r w:rsidRPr="005C6947">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88EC09"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w:t>
      </w:r>
    </w:p>
    <w:p w14:paraId="6ED3D242" w14:textId="77777777" w:rsidR="00663A37" w:rsidRDefault="00663A37" w:rsidP="00663A37">
      <w:pPr>
        <w:spacing w:after="0" w:line="360" w:lineRule="auto"/>
        <w:ind w:left="567" w:right="567"/>
        <w:contextualSpacing/>
        <w:jc w:val="both"/>
        <w:rPr>
          <w:rFonts w:ascii="Palatino Linotype" w:eastAsia="Palatino Linotype" w:hAnsi="Palatino Linotype" w:cs="Palatino Linotype"/>
          <w:sz w:val="24"/>
          <w:szCs w:val="24"/>
        </w:rPr>
      </w:pPr>
    </w:p>
    <w:p w14:paraId="4F3628A2"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6BC1B607" w14:textId="77777777" w:rsidR="00663A37" w:rsidRDefault="00663A37" w:rsidP="00663A37">
      <w:pPr>
        <w:spacing w:after="0" w:line="240" w:lineRule="auto"/>
        <w:ind w:left="567" w:right="567"/>
        <w:contextualSpacing/>
        <w:jc w:val="both"/>
        <w:rPr>
          <w:rFonts w:ascii="Palatino Linotype" w:eastAsia="Palatino Linotype" w:hAnsi="Palatino Linotype" w:cs="Palatino Linotype"/>
          <w:sz w:val="24"/>
          <w:szCs w:val="24"/>
        </w:rPr>
      </w:pPr>
    </w:p>
    <w:p w14:paraId="017108F5"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Artículo 1o</w:t>
      </w:r>
      <w:r w:rsidRPr="005C6947">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714D62"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p>
    <w:p w14:paraId="5DB29326"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6C40959"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p>
    <w:p w14:paraId="49A76E6D"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44364C" w14:textId="77777777" w:rsidR="00663A37" w:rsidRDefault="00663A37" w:rsidP="00663A37">
      <w:pPr>
        <w:spacing w:after="0" w:line="360" w:lineRule="auto"/>
        <w:ind w:left="567" w:right="567"/>
        <w:contextualSpacing/>
        <w:jc w:val="both"/>
        <w:rPr>
          <w:rFonts w:ascii="Palatino Linotype" w:eastAsia="Palatino Linotype" w:hAnsi="Palatino Linotype" w:cs="Palatino Linotype"/>
          <w:sz w:val="24"/>
          <w:szCs w:val="24"/>
        </w:rPr>
      </w:pPr>
    </w:p>
    <w:p w14:paraId="4EE3CE43"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46CB337"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2923F46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6364392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w:t>
      </w:r>
      <w:r>
        <w:rPr>
          <w:rFonts w:ascii="Palatino Linotype" w:eastAsia="Palatino Linotype" w:hAnsi="Palatino Linotype" w:cs="Palatino Linotype"/>
          <w:color w:val="000000"/>
          <w:sz w:val="24"/>
          <w:szCs w:val="24"/>
        </w:rPr>
        <w:lastRenderedPageBreak/>
        <w:t>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Pr>
          <w:rFonts w:ascii="Palatino Linotype" w:eastAsia="Palatino Linotype" w:hAnsi="Palatino Linotype" w:cs="Palatino Linotype"/>
          <w:color w:val="000000"/>
          <w:sz w:val="24"/>
          <w:szCs w:val="24"/>
        </w:rPr>
        <w:lastRenderedPageBreak/>
        <w:t>presupuestos procesales para atender el fondo del asunto, en los términos del considerando posterior.</w:t>
      </w:r>
    </w:p>
    <w:p w14:paraId="0F6144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5C6947">
        <w:rPr>
          <w:rFonts w:ascii="Palatino Linotype" w:eastAsia="Palatino Linotype" w:hAnsi="Palatino Linotype" w:cs="Palatino Linotype"/>
          <w:b/>
          <w:color w:val="000000"/>
          <w:sz w:val="26"/>
          <w:szCs w:val="26"/>
        </w:rPr>
        <w:t>QUINTO. Estudio y resolución del asunto.</w:t>
      </w:r>
    </w:p>
    <w:p w14:paraId="44E15B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8A43A7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 es conveniente recordar que el hoy Recurrente requirió del Sujeto Obligado los siguientes puntos:</w:t>
      </w:r>
    </w:p>
    <w:p w14:paraId="5F648AA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F270553" w14:textId="77777777" w:rsidR="00663A37" w:rsidRDefault="00663A37" w:rsidP="00663A37">
      <w:pPr>
        <w:numPr>
          <w:ilvl w:val="0"/>
          <w:numId w:val="42"/>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Nombre, cargo y salario de cada uno de los servidores públicos que realicen los procesos de compras o licitatorios del Sujeto Obligado.</w:t>
      </w:r>
    </w:p>
    <w:p w14:paraId="07041BE5" w14:textId="77777777" w:rsidR="00663A37" w:rsidRDefault="00663A37" w:rsidP="00663A37">
      <w:pPr>
        <w:numPr>
          <w:ilvl w:val="0"/>
          <w:numId w:val="42"/>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Saber si su Titular genera por sí mismo o a través de alguna unidad administrativa, acciones o medidas anticorrupción en los procesos de licitación o adquisición; de ser afirmativa la respuesta, conocer todas y cada una de dichas acciones.</w:t>
      </w:r>
    </w:p>
    <w:p w14:paraId="43AED26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CA3AF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Al respecto, el Sujeto Obligado respondió al solicitante mediante el oficio número 222C0101040202L/485/2021, en el que se observa la respuesta remitida por el servidor público habilitado de la Dirección de Administración y Finanzas, que contiene un cuadro informativo relativo a los servidores públicos que de acuerdo al Manual General de Organización del Sujeto Obligado (mandos medios) y a los oficios de asignación de funciones (operativos), realizan los procesos adquisitivos, en dicho cuadro se observa el nombre completo y cargo de dichos servidores públicos. De igual forma, se hizo del conocimiento del particular el nombre completo, cargo y funciones de los integrantes del Comité de Adquisiciones y Servicios; las páginas electrónicas en las que puede consultar la información relativa a los salarios percibidos; además se le informó respecto de las acciones o medidas anticorrupción en los procesos licitatorios o de adquisiciones lo siguiente:</w:t>
      </w:r>
    </w:p>
    <w:p w14:paraId="7D45F4F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FD4A27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noProof/>
          <w:color w:val="000000"/>
          <w:sz w:val="24"/>
          <w:szCs w:val="24"/>
        </w:rPr>
        <w:drawing>
          <wp:inline distT="0" distB="0" distL="0" distR="0" wp14:anchorId="1DF9349B" wp14:editId="7C63D35B">
            <wp:extent cx="5763051" cy="259337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0084" t="40047" r="32998" b="30406"/>
                    <a:stretch>
                      <a:fillRect/>
                    </a:stretch>
                  </pic:blipFill>
                  <pic:spPr>
                    <a:xfrm>
                      <a:off x="0" y="0"/>
                      <a:ext cx="5763051" cy="2593371"/>
                    </a:xfrm>
                    <a:prstGeom prst="rect">
                      <a:avLst/>
                    </a:prstGeom>
                    <a:ln/>
                  </pic:spPr>
                </pic:pic>
              </a:graphicData>
            </a:graphic>
          </wp:inline>
        </w:drawing>
      </w:r>
    </w:p>
    <w:p w14:paraId="1B6A9D1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Ante la respuesta del Sujeto Obligado, el Recurrente consideró que su derecho de acceso a la información había sido conculcado por lo que interpuso el presente recurso de revisión señalando como acto impugnado y razones o motivos de inconformidad que no se le hizo entrega de las acciones que realiza el titular para garantizar la no corrupción, además de emitir algunas manifestaciones respecto de la respuesta.</w:t>
      </w:r>
    </w:p>
    <w:p w14:paraId="51A02B1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8A18DD6"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Durante la etapa de instrucción, se tiene que el Recurrente no realizó manifestaciones, vertió alegatos ni aportó pruebas que a su derecho convinieran. Por otra parte, el Sujeto Obligado rindió su Informe Justificado mediante el documento electrónico denominado </w:t>
      </w:r>
      <w:r>
        <w:rPr>
          <w:rFonts w:ascii="Palatino Linotype" w:eastAsia="Palatino Linotype" w:hAnsi="Palatino Linotype" w:cs="Palatino Linotype"/>
          <w:b/>
          <w:sz w:val="24"/>
          <w:szCs w:val="24"/>
        </w:rPr>
        <w:t>“527-2021.PDF”</w:t>
      </w:r>
      <w:r>
        <w:rPr>
          <w:rFonts w:ascii="Palatino Linotype" w:eastAsia="Palatino Linotype" w:hAnsi="Palatino Linotype" w:cs="Palatino Linotype"/>
          <w:sz w:val="24"/>
          <w:szCs w:val="24"/>
        </w:rPr>
        <w:t>, con el que, fundamentalmente, reitera su respuesta primigenia</w:t>
      </w:r>
    </w:p>
    <w:p w14:paraId="38CB0FF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5C6947">
        <w:rPr>
          <w:rFonts w:ascii="Palatino Linotype" w:eastAsia="Palatino Linotype" w:hAnsi="Palatino Linotype" w:cs="Palatino Linotype"/>
          <w:i/>
          <w:color w:val="000000"/>
        </w:rPr>
        <w:lastRenderedPageBreak/>
        <w:t xml:space="preserve">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5C6947">
        <w:rPr>
          <w:rFonts w:ascii="Palatino Linotype" w:eastAsia="Palatino Linotype" w:hAnsi="Palatino Linotype" w:cs="Palatino Linotype"/>
          <w:i/>
          <w:color w:val="000000"/>
        </w:rPr>
        <w:lastRenderedPageBreak/>
        <w:t>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F3032E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ese orden de ideas, la Ley de Transparencia y Acceso a la Información Pública del Estado de México y Municipios, prevé en su artículo 23, fracción I, lo siguiente:</w:t>
      </w:r>
    </w:p>
    <w:p w14:paraId="671D6E2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16DA4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23.</w:t>
      </w:r>
      <w:r w:rsidRPr="005C6947">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5ABFC98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AA318B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w:t>
      </w:r>
      <w:r w:rsidRPr="005C6947">
        <w:rPr>
          <w:rFonts w:ascii="Palatino Linotype" w:eastAsia="Palatino Linotype" w:hAnsi="Palatino Linotype" w:cs="Palatino Linotype"/>
          <w:b/>
          <w:i/>
          <w:color w:val="000000"/>
          <w:u w:val="single"/>
        </w:rPr>
        <w:t>El Poder Ejecutivo del Estado de México</w:t>
      </w:r>
      <w:r w:rsidRPr="005C6947">
        <w:rPr>
          <w:rFonts w:ascii="Palatino Linotype" w:eastAsia="Palatino Linotype" w:hAnsi="Palatino Linotype" w:cs="Palatino Linotype"/>
          <w:i/>
          <w:color w:val="000000"/>
        </w:rPr>
        <w:t xml:space="preserve">, las dependencias, </w:t>
      </w:r>
      <w:r w:rsidRPr="005C6947">
        <w:rPr>
          <w:rFonts w:ascii="Palatino Linotype" w:eastAsia="Palatino Linotype" w:hAnsi="Palatino Linotype" w:cs="Palatino Linotype"/>
          <w:b/>
          <w:i/>
          <w:color w:val="000000"/>
          <w:u w:val="single"/>
        </w:rPr>
        <w:t>organismos auxiliares</w:t>
      </w:r>
      <w:r w:rsidRPr="005C6947">
        <w:rPr>
          <w:rFonts w:ascii="Palatino Linotype" w:eastAsia="Palatino Linotype" w:hAnsi="Palatino Linotype" w:cs="Palatino Linotype"/>
          <w:i/>
          <w:color w:val="000000"/>
        </w:rPr>
        <w:t>, órganos, entidades, fideicomisos y fondos públicos, así como la Procuraduría General de Justicia</w:t>
      </w:r>
    </w:p>
    <w:p w14:paraId="2DF6C6D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218E84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94B4B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segundo término, se debe resaltar que el hoy Recurrente únicamente expresó su inconformidad respecto de las acciones que realiza el titular de la dependencia, pues consideró que la sola mención del marco jurídico y ético que regulan los procesos adquisitivos no colma su solicitud, dado que no se le proporcionaron puntualmente las acciones realizadas al interior del Sujeto Obligado para evitar actos de corrupción.</w:t>
      </w:r>
    </w:p>
    <w:p w14:paraId="13E62CD9"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00533C41"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anterior, dado que el Recurrente no manifestó su inconformidad en cuanto al nombre, cargo y salario de los servidores públicos adscritos al Sujeto Obligado que realizan los procesos adquisitivos, se debe entender que consintió parcialmente la respuesta del Sujeto Obligado, por lo tanto, se le tiene por conforme respecto al primer punto de su solicitud. 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43B3EA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3FDFCA50"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REVISIÓN EN AMPARO. LOS RESOLUTIVOS NO COMBATIDOS DEBEN DECLARARSE FIRMES</w:t>
      </w:r>
      <w:r w:rsidRPr="005C6947">
        <w:rPr>
          <w:rFonts w:ascii="Palatino Linotype" w:eastAsia="Palatino Linotype" w:hAnsi="Palatino Linotype" w:cs="Palatino Linotype"/>
          <w:i/>
        </w:rPr>
        <w:t xml:space="preserve">. </w:t>
      </w:r>
    </w:p>
    <w:p w14:paraId="07613D02"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6E2887"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7515A2B9"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A1091AF"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48B1D7CA"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ACTOS CONSENTIDOS. SON LOS QUE NO SE IMPUGNAN MEDIANTE EL RECURSO IDÓNEO.</w:t>
      </w:r>
      <w:r w:rsidRPr="005C6947">
        <w:rPr>
          <w:rFonts w:ascii="Palatino Linotype" w:eastAsia="Palatino Linotype" w:hAnsi="Palatino Linotype" w:cs="Palatino Linotype"/>
          <w:i/>
        </w:rPr>
        <w:t xml:space="preserve"> </w:t>
      </w:r>
    </w:p>
    <w:p w14:paraId="69B04BD4"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rPr>
      </w:pPr>
      <w:r w:rsidRPr="005C6947">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B59EFFD"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34588CEF"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Para mayor abundamiento, también resulta aplicable el criterio 01/20 emitido por el Instituto Nacional de Transparencia, Acceso a la Información Pública y Protección de Datos Personales, que a la letra estipula lo siguiente: </w:t>
      </w:r>
    </w:p>
    <w:p w14:paraId="4423865D"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21E679F3"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 xml:space="preserve">Actos consentidos tácitamente. Improcedencia de su análisis. </w:t>
      </w:r>
      <w:r w:rsidRPr="005C6947">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1E122C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55006C1C"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únicamente se analizará lo tocante a las acciones llevadas a cabo por el titular del Sujeto Obligado relativas a combatir la corrupción en los procesos adquisitivos. En ese sentido, debido a que el particular solicitó conocer si el titular generaba por sí mismo o por alguna unidad administrativa acciones o medidas anticorrupción, el Sujeto Obligado mencionó que entre los integrantes del Comité de Adquisiciones y Servicios del Sujeto Obligado se encuentra el Titular del Órgano Interno de Control, quien actúa como Vocal, siendo él quien emite los comentarios fundados y motivados sobre los procedimientos adquisitivos, además de que todos sus integrantes actúan conforme a lo que las leyes, reglamentos y demás disposiciones jurídicas atribuyen a su empleo, cargo o comisión y se conducen con rectitud, cumpliendo con lo establecido en la Ley de Contratación Pública del Estado de México y Municipios y su Reglamento, así como con el Acuerdo del Ejecutivo del Estado por el que se expide el Protocolo de Actuación de los servidores públicos que intervienen en las contrataciones públicas, prórrogas, el otorgamiento de licencias, permisos, autorizaciones, concesiones y sus modificatorios nacionales como internacionales; Ley de Responsabilidades Administrativas del </w:t>
      </w:r>
      <w:r>
        <w:rPr>
          <w:rFonts w:ascii="Palatino Linotype" w:eastAsia="Palatino Linotype" w:hAnsi="Palatino Linotype" w:cs="Palatino Linotype"/>
          <w:sz w:val="24"/>
          <w:szCs w:val="24"/>
        </w:rPr>
        <w:lastRenderedPageBreak/>
        <w:t>Estado de México y Municipios; Código de Conducta del IFREM y Código de Ética de los Servidores Públicos del Poder Ejecutivo del Gobierno del Estado de México y sus Organismo Auxiliares.</w:t>
      </w:r>
    </w:p>
    <w:p w14:paraId="0C404804"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19176CC4"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Posteriormente, vía Informe Justificado, manifestó que el Director General del Instituto de la Función Registral general las acciones y/o medidas anticorrupción en los procesos licitatorios o de adquisiciones a través de la Dirección de Administración y Finanzas.</w:t>
      </w:r>
    </w:p>
    <w:p w14:paraId="32B44E3B"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4A29FBA9"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punto, es necesario dejar establecido que, en su solicitud, el hoy Recurrente realizó un cuestionamiento, pues requirió saber si el Titular del Sujeto Obligado realizaba por sí mismo o mediante alguna unidad administrativa acciones para evitar la corrupción en los procesos adquisitivos y, en su caso, conocer de forma enunciativa cada una de esas acciones. Ahora bien, el Sujeto Obligado hizo de su conocimiento que en el Comité de Adquisiciones participaban el Director de Administración y Finanzas y el Titular del Órgano de Control Interno, y que el resto de los integrantes de ese Comité actuaban con apego a lo establecido en la normatividad enunciada anteriormente.</w:t>
      </w:r>
    </w:p>
    <w:p w14:paraId="47A84E26"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1ECAD3C9"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al momento de dar a conocer las disposiciones jurídicas que regulan la actuación de los servidores públicos que participan en los procedimientos adquisitivos y las funciones que tiene el Comité de Adquisiciones y Servicios, se colma la pretensión del Recurrente, en virtud de que se le proporcionó la información en la </w:t>
      </w:r>
      <w:r>
        <w:rPr>
          <w:rFonts w:ascii="Palatino Linotype" w:eastAsia="Palatino Linotype" w:hAnsi="Palatino Linotype" w:cs="Palatino Linotype"/>
          <w:sz w:val="24"/>
          <w:szCs w:val="24"/>
        </w:rPr>
        <w:lastRenderedPageBreak/>
        <w:t>forma en la que obra al interior del Sujeto Obligado, puesto que los sujetos obligados no están constreñidos a presentar la información conforme al interés del particular.</w:t>
      </w:r>
    </w:p>
    <w:p w14:paraId="662B8089"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2DEF02A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esa tesitura, si bien es cierto que el Recurrente solicitó que se le informara de forma puntual cuáles son las acciones que se realizan para evitar la corrupción en los procedimientos adquisitivos; también es cierto que el Sujeto Obligado no está constreñido a generar documentos </w:t>
      </w:r>
      <w:r>
        <w:rPr>
          <w:rFonts w:ascii="Palatino Linotype" w:eastAsia="Palatino Linotype" w:hAnsi="Palatino Linotype" w:cs="Palatino Linotype"/>
          <w:i/>
          <w:color w:val="000000"/>
          <w:sz w:val="24"/>
          <w:szCs w:val="24"/>
        </w:rPr>
        <w:t>ad hoc</w:t>
      </w:r>
      <w:r>
        <w:rPr>
          <w:rFonts w:ascii="Palatino Linotype" w:eastAsia="Palatino Linotype" w:hAnsi="Palatino Linotype" w:cs="Palatino Linotype"/>
          <w:color w:val="000000"/>
          <w:sz w:val="24"/>
          <w:szCs w:val="24"/>
        </w:rPr>
        <w:t xml:space="preserve"> para satisfacer el derecho de acceso a la información pública. Esto es así porque el derecho de acceso a la información pública se satisface en aquellos casos en los que se entrega el soporte documental en el que conste la información, toda vez que, atentos a lo dispuesto en el artículo 12</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de la Ley de la Materia, los sujetos obligados no tienen el deber de generar, poseer o administrar la información con el grado de detalle solicitado.</w:t>
      </w:r>
    </w:p>
    <w:p w14:paraId="4545965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9A44625"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apoyo a lo anterior, es aplicable el Criterio 03/17, emitido por el Instituto Nacional de Transparencia, Acceso a la Información y Protección de Datos Personales, que a la letra señala: </w:t>
      </w:r>
    </w:p>
    <w:p w14:paraId="4E23AD11"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49B344C9" w14:textId="77777777" w:rsidR="00663A37" w:rsidRPr="005C6947" w:rsidRDefault="00663A37" w:rsidP="00663A37">
      <w:pPr>
        <w:spacing w:after="0" w:line="240" w:lineRule="auto"/>
        <w:ind w:left="567" w:right="567"/>
        <w:contextualSpacing/>
        <w:jc w:val="both"/>
        <w:rPr>
          <w:rFonts w:ascii="Palatino Linotype" w:eastAsia="Palatino Linotype" w:hAnsi="Palatino Linotype" w:cs="Palatino Linotype"/>
          <w:i/>
        </w:rPr>
      </w:pPr>
      <w:r w:rsidRPr="005C6947">
        <w:rPr>
          <w:rFonts w:ascii="Palatino Linotype" w:eastAsia="Palatino Linotype" w:hAnsi="Palatino Linotype" w:cs="Palatino Linotype"/>
          <w:b/>
          <w:i/>
        </w:rPr>
        <w:t>No existe obligación de elaborar documentos ad hoc para atender las solicitudes de acceso a la información.</w:t>
      </w:r>
      <w:r w:rsidRPr="005C6947">
        <w:rPr>
          <w:rFonts w:ascii="Palatino Linotype" w:eastAsia="Palatino Linotype" w:hAnsi="Palatino Linotype" w:cs="Palatino Linotype"/>
          <w:i/>
        </w:rPr>
        <w:t xml:space="preserve"> Los artículos 129 de la Ley General de Transparencia y </w:t>
      </w:r>
      <w:r w:rsidRPr="005C6947">
        <w:rPr>
          <w:rFonts w:ascii="Palatino Linotype" w:eastAsia="Palatino Linotype" w:hAnsi="Palatino Linotype" w:cs="Palatino Linotype"/>
          <w:i/>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62A42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4C40D498"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podemos concluir que el derecho de acceso a la información no obliga a los sujetos obligados a procesar la información y hacer entrega de la misma conforme al interés de los recurrentes, sino que únicamente se entregara en los términos en que se posea dicha información. Así, el Sujeto Obligado deberá hacer entrega del documento en donde conste la información solicitada, o bien en el formato en que se encuentre en sus archivos.</w:t>
      </w:r>
    </w:p>
    <w:p w14:paraId="6E28B670"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2AEBE41E"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bookmarkStart w:id="1" w:name="_heading=h.gjdgxs" w:colFirst="0" w:colLast="0"/>
      <w:bookmarkEnd w:id="1"/>
      <w:r>
        <w:rPr>
          <w:rFonts w:ascii="Palatino Linotype" w:eastAsia="Palatino Linotype" w:hAnsi="Palatino Linotype" w:cs="Palatino Linotype"/>
          <w:sz w:val="24"/>
          <w:szCs w:val="24"/>
        </w:rPr>
        <w:t>Por tanto, al habérsele dado a conocer la normatividad que rige los procedimientos adquisitivos, el Recurrente puede acceder a las acciones que el Sujeto Obligado está constreñido a observar al momento en que lleva a cabo dichos procedimientos.</w:t>
      </w:r>
    </w:p>
    <w:p w14:paraId="369B2F70"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bookmarkStart w:id="2" w:name="_heading=h.mxwcws9gq7mh" w:colFirst="0" w:colLast="0"/>
      <w:bookmarkEnd w:id="2"/>
    </w:p>
    <w:p w14:paraId="7A779BAC"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bookmarkStart w:id="3" w:name="_heading=h.mvelazw8iqr9" w:colFirst="0" w:colLast="0"/>
      <w:bookmarkEnd w:id="3"/>
      <w:r>
        <w:rPr>
          <w:rFonts w:ascii="Palatino Linotype" w:eastAsia="Palatino Linotype" w:hAnsi="Palatino Linotype" w:cs="Palatino Linotype"/>
          <w:sz w:val="24"/>
          <w:szCs w:val="24"/>
        </w:rPr>
        <w:t xml:space="preserve">En ese sentido, como evidencia de lo anterior, se advierte que el Sujeto Obligado señaló como parte de la normatividad que regula lo relativo a las acciones para evitar la corrupción en los procedimientos adquisitivos, se encuentra el Acuerdo del Ejecutivo del Estado por el que se expide el Protocolo de Actuación de los servidores públicos que intervienen en las contrataciones públicas, prórrogas, el otorgamiento de licencias, permisos, autorizaciones, concesiones y sus modificatorios nacionales como </w:t>
      </w:r>
      <w:r>
        <w:rPr>
          <w:rFonts w:ascii="Palatino Linotype" w:eastAsia="Palatino Linotype" w:hAnsi="Palatino Linotype" w:cs="Palatino Linotype"/>
          <w:sz w:val="24"/>
          <w:szCs w:val="24"/>
        </w:rPr>
        <w:lastRenderedPageBreak/>
        <w:t>internacionales. Este ordenamiento fue publicado en el Periódico Oficial Gaceta del Gobierno el día veintitrés de septiembre de dos mil quince y en su Considerando se señaló que establecer dicho protocolo se realizó con la finalidad de fortalecer la prevención de actos de corrupción y garantizar que la toma de decisiones gubernamentales no sea vulnerada por intereses particulares y, en esa medida, evitar la corrupción en dichos actos, lo que permitirá asegurar las mejores condiciones de contratación y que la administración de recursos públicos se realice con estricta observancia a los principios públicos de eficiencia, eficacia, economía, transparencia y honradez.</w:t>
      </w:r>
    </w:p>
    <w:p w14:paraId="599C1A55"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bookmarkStart w:id="4" w:name="_heading=h.l089j6tl3yfp" w:colFirst="0" w:colLast="0"/>
      <w:bookmarkEnd w:id="4"/>
    </w:p>
    <w:p w14:paraId="54AB0AAA"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bookmarkStart w:id="5" w:name="_heading=h.bs8gkrmk98o9" w:colFirst="0" w:colLast="0"/>
      <w:bookmarkEnd w:id="5"/>
      <w:r>
        <w:rPr>
          <w:rFonts w:ascii="Palatino Linotype" w:eastAsia="Palatino Linotype" w:hAnsi="Palatino Linotype" w:cs="Palatino Linotype"/>
          <w:sz w:val="24"/>
          <w:szCs w:val="24"/>
        </w:rPr>
        <w:t>En ese sentido, el Protocolo en cita y su anexo estipulan las reglas con las que deben conducirse los servidores públicos que intervienen en los procedimientos adquisitivos, haciendo hincapié en los principios que deben observarse y las conductas que deben seguirse ante los particulares.</w:t>
      </w:r>
    </w:p>
    <w:p w14:paraId="40C50927"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bookmarkStart w:id="6" w:name="_heading=h.74x9f0wh76c5" w:colFirst="0" w:colLast="0"/>
      <w:bookmarkEnd w:id="6"/>
    </w:p>
    <w:p w14:paraId="61FCFE80"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bookmarkStart w:id="7" w:name="_heading=h.fy3ydmtgegy5" w:colFirst="0" w:colLast="0"/>
      <w:bookmarkEnd w:id="7"/>
      <w:r>
        <w:rPr>
          <w:rFonts w:ascii="Palatino Linotype" w:eastAsia="Palatino Linotype" w:hAnsi="Palatino Linotype" w:cs="Palatino Linotype"/>
          <w:sz w:val="24"/>
          <w:szCs w:val="24"/>
        </w:rPr>
        <w:t xml:space="preserve">De tal forma que este Órgano Garante estima que el Sujeto Obligado colmó la solicitud del Recurrente al momento de darle a conocer los cuerpos normativos que rigen su actuación al momento de realizar procedimientos adquisitivos, puesto que en dicha normatividad se establecen las acciones que se deben realizar para evitar actos de corrupción durante los procedimientos de licitaciones, invitaciones o adjudicaciones que realice el Sujeto Obligado. Consecuentemente, debido a que la respuesta satisface plenamente el requerimiento del hoy Recurrente, se estima que los motivos de inconformidad planteados en el recurso de revisión, devienen infundados, siendo lo </w:t>
      </w:r>
      <w:r>
        <w:rPr>
          <w:rFonts w:ascii="Palatino Linotype" w:eastAsia="Palatino Linotype" w:hAnsi="Palatino Linotype" w:cs="Palatino Linotype"/>
          <w:sz w:val="24"/>
          <w:szCs w:val="24"/>
        </w:rPr>
        <w:lastRenderedPageBreak/>
        <w:t>procedente confirmar la respuesta del Sujeto Obligado por lo argumentado en párrafos anteriores.</w:t>
      </w:r>
    </w:p>
    <w:p w14:paraId="41BC4C77" w14:textId="77777777" w:rsidR="00663A37" w:rsidRDefault="00663A37" w:rsidP="00663A37">
      <w:pPr>
        <w:spacing w:after="0" w:line="360" w:lineRule="auto"/>
        <w:contextualSpacing/>
        <w:jc w:val="both"/>
        <w:rPr>
          <w:rFonts w:ascii="Palatino Linotype" w:eastAsia="Palatino Linotype" w:hAnsi="Palatino Linotype" w:cs="Palatino Linotype"/>
          <w:sz w:val="24"/>
          <w:szCs w:val="24"/>
        </w:rPr>
      </w:pPr>
    </w:p>
    <w:p w14:paraId="6FCE548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en mérito de lo expuesto en líneas anteriores resultan infundadas las razones o motivos de inconformidad que arguye el Recurrente; por ello,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Pr>
          <w:rFonts w:ascii="Palatino Linotype" w:eastAsia="Palatino Linotype" w:hAnsi="Palatino Linotype" w:cs="Palatino Linotype"/>
          <w:b/>
          <w:color w:val="000000"/>
          <w:sz w:val="24"/>
          <w:szCs w:val="24"/>
        </w:rPr>
        <w:t>000</w:t>
      </w:r>
      <w:r>
        <w:rPr>
          <w:rFonts w:ascii="Palatino Linotype" w:eastAsia="Palatino Linotype" w:hAnsi="Palatino Linotype" w:cs="Palatino Linotype"/>
          <w:b/>
          <w:sz w:val="24"/>
          <w:szCs w:val="24"/>
        </w:rPr>
        <w:t>74/IFR</w:t>
      </w:r>
      <w:r>
        <w:rPr>
          <w:rFonts w:ascii="Palatino Linotype" w:eastAsia="Palatino Linotype" w:hAnsi="Palatino Linotype" w:cs="Palatino Linotype"/>
          <w:b/>
          <w:color w:val="000000"/>
          <w:sz w:val="24"/>
          <w:szCs w:val="24"/>
        </w:rPr>
        <w:t>/IP/202</w:t>
      </w:r>
      <w:r>
        <w:rPr>
          <w:rFonts w:ascii="Palatino Linotype" w:eastAsia="Palatino Linotype" w:hAnsi="Palatino Linotype" w:cs="Palatino Linotype"/>
          <w:b/>
          <w:sz w:val="24"/>
          <w:szCs w:val="24"/>
        </w:rPr>
        <w:t>1</w:t>
      </w:r>
      <w:r>
        <w:rPr>
          <w:rFonts w:ascii="Palatino Linotype" w:eastAsia="Palatino Linotype" w:hAnsi="Palatino Linotype" w:cs="Palatino Linotype"/>
          <w:color w:val="000000"/>
          <w:sz w:val="24"/>
          <w:szCs w:val="24"/>
        </w:rPr>
        <w:t xml:space="preserve"> que ha sido materia del presente fallo, por lo que este Pleno:</w:t>
      </w:r>
    </w:p>
    <w:p w14:paraId="598CF2EA"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4FE63C"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07403C81"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465DD6E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Pr>
          <w:rFonts w:ascii="Palatino Linotype" w:eastAsia="Palatino Linotype" w:hAnsi="Palatino Linotype" w:cs="Palatino Linotype"/>
          <w:b/>
          <w:sz w:val="24"/>
          <w:szCs w:val="24"/>
        </w:rPr>
        <w:t>00074/IFR/IP/2021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por resultar infundadas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19099AE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087907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al Titular de la Unidad de Transparencia del Sujeto Obligado.</w:t>
      </w:r>
    </w:p>
    <w:p w14:paraId="0BBE003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1A4546" w14:textId="3F31CB8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hAnsi="Palatino Linotype" w:cs="Arial"/>
          <w:sz w:val="24"/>
          <w:szCs w:val="24"/>
        </w:rPr>
        <w:t>la presente resolución,</w:t>
      </w:r>
      <w:r>
        <w:t xml:space="preserve"> </w:t>
      </w:r>
      <w:r w:rsidR="0074208A">
        <w:rPr>
          <w:rFonts w:ascii="Palatino Linotype" w:hAnsi="Palatino Linotype" w:cs="Arial"/>
          <w:sz w:val="24"/>
          <w:szCs w:val="24"/>
        </w:rPr>
        <w:t>a través del SAIMEX y correo e</w:t>
      </w:r>
      <w:r>
        <w:rPr>
          <w:rFonts w:ascii="Palatino Linotype" w:hAnsi="Palatino Linotype" w:cs="Arial"/>
          <w:sz w:val="24"/>
          <w:szCs w:val="24"/>
        </w:rPr>
        <w:t xml:space="preserve">lectrónico, así mismo de conformidad con lo establecido en el artículo 196 de </w:t>
      </w:r>
      <w:r>
        <w:rPr>
          <w:rFonts w:ascii="Palatino Linotype" w:hAnsi="Palatino Linotype" w:cs="Arial"/>
          <w:sz w:val="24"/>
          <w:szCs w:val="24"/>
        </w:rPr>
        <w:lastRenderedPageBreak/>
        <w:t>la Ley de Transparencia y Acceso a la Información Pública del Estado de México y Municipios podrá promover el Juicio de Amparo en los términos de las leyes aplicables.</w:t>
      </w:r>
    </w:p>
    <w:p w14:paraId="71E0505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577F9F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VEINTISIETE DE OCTUBRE DE DOS MIL VEINTIUNO, ANTE EL SECRETARIO TÉCNICO DEL PLENO, ALEXIS TAPIA RAMÍREZ.------------------------------------------------------------------------------------------------------------------------------------------------------------------------------------------------------------------------------------------------------------------------------------------------------------------------------------------------------------------------------------------------------------------------------------------------------------------------------------------------------------------------------------------------------------------------------------------------------------------------------------------------------------------------------------------------------------------------------------------------------------------------------------------------------------------------------------------------------------------------------------------------------------------------------------------------------------------------------------------------------------------------------------------------------------------------------------------------------------------------------------</w:t>
      </w:r>
    </w:p>
    <w:p w14:paraId="26BE6901"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31773D3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748003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03C8CFB" w14:textId="77777777" w:rsidR="00663A37" w:rsidRPr="005C694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663A37" w:rsidRDefault="00D718B8" w:rsidP="00663A37"/>
    <w:sectPr w:rsidR="00D718B8" w:rsidRPr="00663A37"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B9708" w16cid:durableId="24E2CC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6EAEC" w14:textId="77777777" w:rsidR="001C72C0" w:rsidRDefault="001C72C0" w:rsidP="00F2498E">
      <w:pPr>
        <w:spacing w:after="0" w:line="240" w:lineRule="auto"/>
      </w:pPr>
      <w:r>
        <w:separator/>
      </w:r>
    </w:p>
  </w:endnote>
  <w:endnote w:type="continuationSeparator" w:id="0">
    <w:p w14:paraId="65EAAF20" w14:textId="77777777" w:rsidR="001C72C0" w:rsidRDefault="001C72C0"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38459867" w:rsidR="00D74E94" w:rsidRDefault="00D74E9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2538F">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2538F">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713DD5" w:rsidRPr="000B69FA" w:rsidRDefault="00713DD5"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178C9D1" w:rsidR="00D74E94" w:rsidRDefault="00D74E9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1F4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1F41">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713DD5" w:rsidRPr="000B69FA" w:rsidRDefault="00713DD5"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EB7F1" w14:textId="77777777" w:rsidR="001C72C0" w:rsidRDefault="001C72C0" w:rsidP="00F2498E">
      <w:pPr>
        <w:spacing w:after="0" w:line="240" w:lineRule="auto"/>
      </w:pPr>
      <w:r>
        <w:separator/>
      </w:r>
    </w:p>
  </w:footnote>
  <w:footnote w:type="continuationSeparator" w:id="0">
    <w:p w14:paraId="6DD10F6D" w14:textId="77777777" w:rsidR="001C72C0" w:rsidRDefault="001C72C0" w:rsidP="00F2498E">
      <w:pPr>
        <w:spacing w:after="0" w:line="240" w:lineRule="auto"/>
      </w:pPr>
      <w:r>
        <w:continuationSeparator/>
      </w:r>
    </w:p>
  </w:footnote>
  <w:footnote w:id="1">
    <w:p w14:paraId="1CB03AFA" w14:textId="77777777" w:rsidR="00663A37" w:rsidRDefault="00663A37"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663A37" w:rsidRDefault="00663A37"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663A37" w:rsidRDefault="00663A37"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663A37" w:rsidRDefault="00663A37" w:rsidP="00663A37">
      <w:pPr>
        <w:spacing w:after="0" w:line="240" w:lineRule="auto"/>
        <w:jc w:val="both"/>
        <w:rPr>
          <w:rFonts w:ascii="Palatino Linotype" w:eastAsia="Palatino Linotype" w:hAnsi="Palatino Linotype" w:cs="Palatino Linotype"/>
          <w:b/>
          <w:i/>
          <w:sz w:val="20"/>
          <w:szCs w:val="20"/>
        </w:rPr>
      </w:pPr>
    </w:p>
    <w:p w14:paraId="67229553" w14:textId="77777777" w:rsidR="00663A37" w:rsidRDefault="00663A37"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4C76F7D" w14:textId="77777777" w:rsidR="00663A37" w:rsidRPr="005C6947" w:rsidRDefault="00663A37" w:rsidP="00663A37">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r>
        <w:rPr>
          <w:vertAlign w:val="superscript"/>
        </w:rPr>
        <w:footnoteRef/>
      </w:r>
      <w:r>
        <w:rPr>
          <w:color w:val="000000"/>
          <w:sz w:val="20"/>
          <w:szCs w:val="20"/>
        </w:rPr>
        <w:t xml:space="preserve"> </w:t>
      </w:r>
      <w:r w:rsidRPr="005C6947">
        <w:rPr>
          <w:rFonts w:ascii="Palatino Linotype" w:eastAsia="Palatino Linotype" w:hAnsi="Palatino Linotype" w:cs="Palatino Linotype"/>
          <w:b/>
          <w:i/>
          <w:color w:val="000000"/>
          <w:sz w:val="20"/>
          <w:szCs w:val="20"/>
        </w:rPr>
        <w:t>Artículo 12.</w:t>
      </w:r>
      <w:r w:rsidRPr="005C6947">
        <w:rPr>
          <w:rFonts w:ascii="Palatino Linotype" w:eastAsia="Palatino Linotype" w:hAnsi="Palatino Linotype" w:cs="Palatino Linotype"/>
          <w:i/>
          <w:color w:val="000000"/>
          <w:sz w:val="20"/>
          <w:szCs w:val="20"/>
        </w:rPr>
        <w:t xml:space="preserve"> Quienes generen, recopilen, administren, manejen, procesen, archiven o conserven información pública serán responsables de la misma en los términos de las disposiciones jurídicas aplicables.</w:t>
      </w:r>
    </w:p>
    <w:p w14:paraId="620CDC2F" w14:textId="77777777" w:rsidR="00663A37" w:rsidRPr="005C6947" w:rsidRDefault="00663A37" w:rsidP="00663A37">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p>
    <w:p w14:paraId="2267E5BF" w14:textId="77777777" w:rsidR="00663A37" w:rsidRPr="005C6947" w:rsidRDefault="00663A37" w:rsidP="00663A37">
      <w:pPr>
        <w:pBdr>
          <w:top w:val="nil"/>
          <w:left w:val="nil"/>
          <w:bottom w:val="nil"/>
          <w:right w:val="nil"/>
          <w:between w:val="nil"/>
        </w:pBdr>
        <w:spacing w:after="0" w:line="240" w:lineRule="auto"/>
        <w:jc w:val="both"/>
        <w:rPr>
          <w:i/>
          <w:color w:val="000000"/>
          <w:sz w:val="20"/>
          <w:szCs w:val="20"/>
        </w:rPr>
      </w:pPr>
      <w:r w:rsidRPr="005C6947">
        <w:rPr>
          <w:rFonts w:ascii="Palatino Linotype" w:eastAsia="Palatino Linotype" w:hAnsi="Palatino Linotype" w:cs="Palatino Linotype"/>
          <w:b/>
          <w:i/>
          <w:color w:val="000000"/>
          <w:sz w:val="20"/>
          <w:szCs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C6947">
        <w:rPr>
          <w:rFonts w:ascii="Palatino Linotype" w:eastAsia="Palatino Linotype" w:hAnsi="Palatino Linotype" w:cs="Palatino Linotype"/>
          <w:i/>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B13307" w:rsidRDefault="0022538F">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81CCD" w14:textId="77777777" w:rsidR="0074208A" w:rsidRDefault="0074208A" w:rsidP="0074208A">
    <w:pPr>
      <w:spacing w:after="0"/>
    </w:pPr>
  </w:p>
  <w:tbl>
    <w:tblPr>
      <w:tblW w:w="9214" w:type="dxa"/>
      <w:tblLayout w:type="fixed"/>
      <w:tblCellMar>
        <w:left w:w="70" w:type="dxa"/>
        <w:right w:w="70" w:type="dxa"/>
      </w:tblCellMar>
      <w:tblLook w:val="04A0" w:firstRow="1" w:lastRow="0" w:firstColumn="1" w:lastColumn="0" w:noHBand="0" w:noVBand="1"/>
    </w:tblPr>
    <w:tblGrid>
      <w:gridCol w:w="5103"/>
      <w:gridCol w:w="4111"/>
    </w:tblGrid>
    <w:tr w:rsidR="00D74E94" w:rsidRPr="00B17577" w14:paraId="37B9EBDE" w14:textId="77777777" w:rsidTr="00713DD5">
      <w:trPr>
        <w:trHeight w:val="227"/>
      </w:trPr>
      <w:tc>
        <w:tcPr>
          <w:tcW w:w="5103" w:type="dxa"/>
          <w:hideMark/>
        </w:tcPr>
        <w:p w14:paraId="4964FBC5" w14:textId="54CDA645" w:rsidR="00D74E94" w:rsidRPr="00096248" w:rsidRDefault="00096248" w:rsidP="00713DD5">
          <w:pPr>
            <w:spacing w:after="0" w:line="276"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r w:rsidR="00D74E94" w:rsidRPr="00096248">
            <w:rPr>
              <w:rFonts w:ascii="Palatino Linotype" w:hAnsi="Palatino Linotype" w:cs="Arial"/>
              <w:b/>
              <w:sz w:val="24"/>
              <w:szCs w:val="24"/>
            </w:rPr>
            <w:t>:</w:t>
          </w:r>
        </w:p>
      </w:tc>
      <w:tc>
        <w:tcPr>
          <w:tcW w:w="4111" w:type="dxa"/>
          <w:hideMark/>
        </w:tcPr>
        <w:p w14:paraId="421B9899" w14:textId="677BC756" w:rsidR="00D74E94" w:rsidRPr="00096248" w:rsidRDefault="00D74E94" w:rsidP="00713DD5">
          <w:pPr>
            <w:spacing w:after="0" w:line="276"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096248" w:rsidRPr="00096248">
            <w:rPr>
              <w:rFonts w:ascii="Palatino Linotype" w:hAnsi="Palatino Linotype" w:cs="Arial"/>
              <w:b/>
              <w:bCs/>
              <w:sz w:val="24"/>
              <w:szCs w:val="24"/>
            </w:rPr>
            <w:t>4620</w:t>
          </w:r>
          <w:r w:rsidRPr="00096248">
            <w:rPr>
              <w:rFonts w:ascii="Palatino Linotype" w:hAnsi="Palatino Linotype" w:cs="Arial"/>
              <w:b/>
              <w:bCs/>
              <w:sz w:val="24"/>
              <w:szCs w:val="24"/>
            </w:rPr>
            <w:t>/INFOEM/IP/RR/2021</w:t>
          </w:r>
        </w:p>
      </w:tc>
    </w:tr>
    <w:tr w:rsidR="00D74E94" w14:paraId="7591D3C9" w14:textId="77777777" w:rsidTr="00713DD5">
      <w:trPr>
        <w:trHeight w:val="242"/>
      </w:trPr>
      <w:tc>
        <w:tcPr>
          <w:tcW w:w="5103" w:type="dxa"/>
          <w:hideMark/>
        </w:tcPr>
        <w:p w14:paraId="729A65A8" w14:textId="77777777" w:rsidR="00D74E94" w:rsidRPr="00096248" w:rsidRDefault="00D74E94" w:rsidP="00713DD5">
          <w:pPr>
            <w:spacing w:after="0" w:line="276"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94D706F" w:rsidR="00096248" w:rsidRPr="00096248" w:rsidRDefault="00096248" w:rsidP="00713DD5">
          <w:pPr>
            <w:spacing w:after="0" w:line="276" w:lineRule="auto"/>
            <w:ind w:right="71"/>
            <w:jc w:val="right"/>
            <w:rPr>
              <w:rFonts w:ascii="Palatino Linotype" w:hAnsi="Palatino Linotype" w:cs="Arial"/>
              <w:sz w:val="24"/>
              <w:szCs w:val="24"/>
            </w:rPr>
          </w:pPr>
          <w:r w:rsidRPr="00096248">
            <w:rPr>
              <w:rFonts w:ascii="Palatino Linotype" w:hAnsi="Palatino Linotype" w:cs="Arial"/>
              <w:sz w:val="24"/>
              <w:szCs w:val="24"/>
            </w:rPr>
            <w:t>Instituto de la Función Registral del Estado de México</w:t>
          </w:r>
        </w:p>
      </w:tc>
    </w:tr>
    <w:tr w:rsidR="00D74E94" w:rsidRPr="00F63239" w14:paraId="037E914D" w14:textId="77777777" w:rsidTr="00713DD5">
      <w:trPr>
        <w:trHeight w:val="342"/>
      </w:trPr>
      <w:tc>
        <w:tcPr>
          <w:tcW w:w="5103" w:type="dxa"/>
          <w:hideMark/>
        </w:tcPr>
        <w:p w14:paraId="7676B68F" w14:textId="64D69EAF" w:rsidR="00D74E94" w:rsidRPr="00096248" w:rsidRDefault="00D74E94" w:rsidP="00713DD5">
          <w:pPr>
            <w:tabs>
              <w:tab w:val="left" w:pos="4892"/>
            </w:tabs>
            <w:spacing w:after="0" w:line="276"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D74E94" w:rsidRPr="00096248" w:rsidRDefault="00D74E94" w:rsidP="00713DD5">
          <w:pPr>
            <w:spacing w:after="0" w:line="276"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D74E94" w:rsidRDefault="0022538F">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style="position:absolute;margin-left:-70.15pt;margin-top:-140.7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D74E94" w14:paraId="0F9FE9B6" w14:textId="77777777" w:rsidTr="00096248">
      <w:trPr>
        <w:trHeight w:val="227"/>
      </w:trPr>
      <w:tc>
        <w:tcPr>
          <w:tcW w:w="5245" w:type="dxa"/>
          <w:hideMark/>
        </w:tcPr>
        <w:p w14:paraId="6D1D9D71" w14:textId="11150E5A" w:rsidR="00D74E94" w:rsidRPr="00663A37" w:rsidRDefault="00663A37" w:rsidP="00713DD5">
          <w:pPr>
            <w:spacing w:after="0" w:line="276"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00D74E94" w:rsidRPr="00663A37">
            <w:rPr>
              <w:rFonts w:ascii="Palatino Linotype" w:hAnsi="Palatino Linotype" w:cs="Arial"/>
              <w:b/>
              <w:sz w:val="24"/>
              <w:szCs w:val="24"/>
            </w:rPr>
            <w:t>:</w:t>
          </w:r>
        </w:p>
      </w:tc>
      <w:tc>
        <w:tcPr>
          <w:tcW w:w="4111" w:type="dxa"/>
          <w:hideMark/>
        </w:tcPr>
        <w:p w14:paraId="242DE466" w14:textId="696F0D36" w:rsidR="00D74E94" w:rsidRPr="00096248" w:rsidRDefault="00D74E94" w:rsidP="00713DD5">
          <w:pPr>
            <w:spacing w:after="0" w:line="276"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096248" w:rsidRPr="00096248">
            <w:rPr>
              <w:rFonts w:ascii="Palatino Linotype" w:hAnsi="Palatino Linotype" w:cs="Arial"/>
              <w:b/>
              <w:bCs/>
              <w:sz w:val="24"/>
              <w:szCs w:val="24"/>
            </w:rPr>
            <w:t>4620</w:t>
          </w:r>
          <w:r w:rsidRPr="00096248">
            <w:rPr>
              <w:rFonts w:ascii="Palatino Linotype" w:hAnsi="Palatino Linotype" w:cs="Arial"/>
              <w:b/>
              <w:bCs/>
              <w:sz w:val="24"/>
              <w:szCs w:val="24"/>
            </w:rPr>
            <w:t>/INFOEM/IP/RR/2021</w:t>
          </w:r>
        </w:p>
      </w:tc>
    </w:tr>
    <w:tr w:rsidR="00D74E94" w:rsidRPr="001F57CD" w14:paraId="1377D264" w14:textId="77777777" w:rsidTr="00096248">
      <w:trPr>
        <w:trHeight w:val="196"/>
      </w:trPr>
      <w:tc>
        <w:tcPr>
          <w:tcW w:w="5245" w:type="dxa"/>
          <w:hideMark/>
        </w:tcPr>
        <w:p w14:paraId="04D597A1" w14:textId="77777777" w:rsidR="00D74E94" w:rsidRPr="00663A37" w:rsidRDefault="00D74E94" w:rsidP="00713DD5">
          <w:pPr>
            <w:spacing w:after="0" w:line="276"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80076BB" w:rsidR="00D74E94" w:rsidRPr="00663A37" w:rsidRDefault="00781F41" w:rsidP="00781F41">
          <w:pPr>
            <w:spacing w:after="0" w:line="276"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xxxxxxxxxxxxxxxxxxxxxxxxxx</w:t>
          </w:r>
          <w:proofErr w:type="spellEnd"/>
          <w:r w:rsidR="00096248">
            <w:rPr>
              <w:rFonts w:ascii="Palatino Linotype" w:hAnsi="Palatino Linotype" w:cs="Arial"/>
              <w:sz w:val="24"/>
              <w:szCs w:val="24"/>
            </w:rPr>
            <w:t xml:space="preserve"> </w:t>
          </w:r>
          <w:proofErr w:type="spellStart"/>
          <w:r>
            <w:rPr>
              <w:rFonts w:ascii="Palatino Linotype" w:hAnsi="Palatino Linotype" w:cs="Arial"/>
              <w:sz w:val="24"/>
              <w:szCs w:val="24"/>
            </w:rPr>
            <w:t>xxxxxxxxxxxx</w:t>
          </w:r>
          <w:proofErr w:type="spellEnd"/>
        </w:p>
      </w:tc>
    </w:tr>
    <w:tr w:rsidR="00D74E94" w14:paraId="4DC11993" w14:textId="77777777" w:rsidTr="00096248">
      <w:trPr>
        <w:trHeight w:val="242"/>
      </w:trPr>
      <w:tc>
        <w:tcPr>
          <w:tcW w:w="5245" w:type="dxa"/>
          <w:hideMark/>
        </w:tcPr>
        <w:p w14:paraId="76CEF1B5" w14:textId="77777777" w:rsidR="00D74E94" w:rsidRPr="00663A37" w:rsidRDefault="00D74E94" w:rsidP="00713DD5">
          <w:pPr>
            <w:spacing w:after="0" w:line="276"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8586D0E" w:rsidR="00D74E94" w:rsidRPr="00663A37" w:rsidRDefault="00096248" w:rsidP="00713DD5">
          <w:pPr>
            <w:spacing w:after="0" w:line="276" w:lineRule="auto"/>
            <w:ind w:left="-70" w:right="68"/>
            <w:jc w:val="right"/>
            <w:rPr>
              <w:rFonts w:ascii="Palatino Linotype" w:hAnsi="Palatino Linotype" w:cs="Arial"/>
              <w:sz w:val="24"/>
              <w:szCs w:val="24"/>
            </w:rPr>
          </w:pPr>
          <w:r>
            <w:rPr>
              <w:rFonts w:ascii="Palatino Linotype" w:hAnsi="Palatino Linotype" w:cs="Arial"/>
              <w:sz w:val="24"/>
              <w:szCs w:val="24"/>
            </w:rPr>
            <w:t>Instituto de la Función Registral del Estado de México</w:t>
          </w:r>
        </w:p>
      </w:tc>
    </w:tr>
    <w:tr w:rsidR="00D74E94" w14:paraId="5C2B511D" w14:textId="77777777" w:rsidTr="00096248">
      <w:trPr>
        <w:trHeight w:val="342"/>
      </w:trPr>
      <w:tc>
        <w:tcPr>
          <w:tcW w:w="5245" w:type="dxa"/>
          <w:hideMark/>
        </w:tcPr>
        <w:p w14:paraId="03FEF68C" w14:textId="45E91CF4" w:rsidR="00D74E94" w:rsidRPr="00663A37" w:rsidRDefault="00D74E94" w:rsidP="00713DD5">
          <w:pPr>
            <w:tabs>
              <w:tab w:val="left" w:pos="4892"/>
            </w:tabs>
            <w:spacing w:after="0" w:line="276"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D74E94" w:rsidRPr="00663A37" w:rsidRDefault="00D74E94" w:rsidP="00713DD5">
          <w:pPr>
            <w:spacing w:after="0" w:line="276"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D74E94" w:rsidRDefault="0022538F">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style="position:absolute;margin-left:-76.85pt;margin-top:-164.6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0"/>
  </w:num>
  <w:num w:numId="3">
    <w:abstractNumId w:val="15"/>
  </w:num>
  <w:num w:numId="4">
    <w:abstractNumId w:val="12"/>
  </w:num>
  <w:num w:numId="5">
    <w:abstractNumId w:val="36"/>
  </w:num>
  <w:num w:numId="6">
    <w:abstractNumId w:val="9"/>
  </w:num>
  <w:num w:numId="7">
    <w:abstractNumId w:val="1"/>
  </w:num>
  <w:num w:numId="8">
    <w:abstractNumId w:val="6"/>
  </w:num>
  <w:num w:numId="9">
    <w:abstractNumId w:val="37"/>
  </w:num>
  <w:num w:numId="10">
    <w:abstractNumId w:val="8"/>
  </w:num>
  <w:num w:numId="11">
    <w:abstractNumId w:val="25"/>
  </w:num>
  <w:num w:numId="12">
    <w:abstractNumId w:val="11"/>
  </w:num>
  <w:num w:numId="13">
    <w:abstractNumId w:val="0"/>
  </w:num>
  <w:num w:numId="14">
    <w:abstractNumId w:val="4"/>
  </w:num>
  <w:num w:numId="15">
    <w:abstractNumId w:val="20"/>
  </w:num>
  <w:num w:numId="16">
    <w:abstractNumId w:val="23"/>
  </w:num>
  <w:num w:numId="17">
    <w:abstractNumId w:val="33"/>
  </w:num>
  <w:num w:numId="18">
    <w:abstractNumId w:val="5"/>
  </w:num>
  <w:num w:numId="19">
    <w:abstractNumId w:val="17"/>
  </w:num>
  <w:num w:numId="20">
    <w:abstractNumId w:val="35"/>
  </w:num>
  <w:num w:numId="21">
    <w:abstractNumId w:val="2"/>
  </w:num>
  <w:num w:numId="22">
    <w:abstractNumId w:val="27"/>
  </w:num>
  <w:num w:numId="23">
    <w:abstractNumId w:val="10"/>
  </w:num>
  <w:num w:numId="24">
    <w:abstractNumId w:val="41"/>
  </w:num>
  <w:num w:numId="25">
    <w:abstractNumId w:val="28"/>
  </w:num>
  <w:num w:numId="26">
    <w:abstractNumId w:val="13"/>
  </w:num>
  <w:num w:numId="27">
    <w:abstractNumId w:val="14"/>
  </w:num>
  <w:num w:numId="28">
    <w:abstractNumId w:val="24"/>
  </w:num>
  <w:num w:numId="29">
    <w:abstractNumId w:val="26"/>
  </w:num>
  <w:num w:numId="30">
    <w:abstractNumId w:val="34"/>
  </w:num>
  <w:num w:numId="31">
    <w:abstractNumId w:val="19"/>
  </w:num>
  <w:num w:numId="32">
    <w:abstractNumId w:val="40"/>
  </w:num>
  <w:num w:numId="33">
    <w:abstractNumId w:val="22"/>
  </w:num>
  <w:num w:numId="34">
    <w:abstractNumId w:val="18"/>
  </w:num>
  <w:num w:numId="35">
    <w:abstractNumId w:val="16"/>
  </w:num>
  <w:num w:numId="36">
    <w:abstractNumId w:val="31"/>
  </w:num>
  <w:num w:numId="37">
    <w:abstractNumId w:val="3"/>
  </w:num>
  <w:num w:numId="38">
    <w:abstractNumId w:val="38"/>
  </w:num>
  <w:num w:numId="39">
    <w:abstractNumId w:val="32"/>
  </w:num>
  <w:num w:numId="40">
    <w:abstractNumId w:val="7"/>
  </w:num>
  <w:num w:numId="41">
    <w:abstractNumId w:val="29"/>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5463"/>
    <w:rsid w:val="000666B3"/>
    <w:rsid w:val="0007107B"/>
    <w:rsid w:val="000739AF"/>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D1B77"/>
    <w:rsid w:val="001D225B"/>
    <w:rsid w:val="001D3563"/>
    <w:rsid w:val="001D3EE2"/>
    <w:rsid w:val="001D41E0"/>
    <w:rsid w:val="001D6CA8"/>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E11"/>
    <w:rsid w:val="0021063D"/>
    <w:rsid w:val="00210714"/>
    <w:rsid w:val="0021327B"/>
    <w:rsid w:val="00214B09"/>
    <w:rsid w:val="002155ED"/>
    <w:rsid w:val="0021627B"/>
    <w:rsid w:val="0021698E"/>
    <w:rsid w:val="00216D13"/>
    <w:rsid w:val="0022245F"/>
    <w:rsid w:val="00224FEA"/>
    <w:rsid w:val="0022538F"/>
    <w:rsid w:val="002264AE"/>
    <w:rsid w:val="00227DBC"/>
    <w:rsid w:val="0023118D"/>
    <w:rsid w:val="00232621"/>
    <w:rsid w:val="0023293E"/>
    <w:rsid w:val="00232A7A"/>
    <w:rsid w:val="00232DA5"/>
    <w:rsid w:val="002338B9"/>
    <w:rsid w:val="00234061"/>
    <w:rsid w:val="0023573F"/>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40AD"/>
    <w:rsid w:val="002E72F0"/>
    <w:rsid w:val="002F368E"/>
    <w:rsid w:val="002F3AAF"/>
    <w:rsid w:val="002F40FF"/>
    <w:rsid w:val="002F5101"/>
    <w:rsid w:val="002F713F"/>
    <w:rsid w:val="00300919"/>
    <w:rsid w:val="00302BF3"/>
    <w:rsid w:val="00302D8C"/>
    <w:rsid w:val="00303F92"/>
    <w:rsid w:val="00304386"/>
    <w:rsid w:val="00310825"/>
    <w:rsid w:val="00312106"/>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2677"/>
    <w:rsid w:val="0036188D"/>
    <w:rsid w:val="00362013"/>
    <w:rsid w:val="00364C0A"/>
    <w:rsid w:val="003713C2"/>
    <w:rsid w:val="0037172A"/>
    <w:rsid w:val="0037269A"/>
    <w:rsid w:val="0037526D"/>
    <w:rsid w:val="003839F9"/>
    <w:rsid w:val="00385421"/>
    <w:rsid w:val="00386A48"/>
    <w:rsid w:val="00387CF3"/>
    <w:rsid w:val="00392022"/>
    <w:rsid w:val="0039214E"/>
    <w:rsid w:val="0039256B"/>
    <w:rsid w:val="0039393F"/>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C1100"/>
    <w:rsid w:val="003C1CFB"/>
    <w:rsid w:val="003C4FF5"/>
    <w:rsid w:val="003D0AE2"/>
    <w:rsid w:val="003D3477"/>
    <w:rsid w:val="003D5450"/>
    <w:rsid w:val="003D7760"/>
    <w:rsid w:val="003E13A1"/>
    <w:rsid w:val="003E2955"/>
    <w:rsid w:val="003E44DA"/>
    <w:rsid w:val="003E468A"/>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4D0"/>
    <w:rsid w:val="00420AC4"/>
    <w:rsid w:val="004232C6"/>
    <w:rsid w:val="00426124"/>
    <w:rsid w:val="00426F24"/>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6FFD"/>
    <w:rsid w:val="005B72D5"/>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88D"/>
    <w:rsid w:val="00637F6F"/>
    <w:rsid w:val="00640E61"/>
    <w:rsid w:val="00642A8B"/>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F47"/>
    <w:rsid w:val="00740DFE"/>
    <w:rsid w:val="007410C2"/>
    <w:rsid w:val="007411F0"/>
    <w:rsid w:val="0074208A"/>
    <w:rsid w:val="00746DD6"/>
    <w:rsid w:val="00746E60"/>
    <w:rsid w:val="00746FA8"/>
    <w:rsid w:val="007479B5"/>
    <w:rsid w:val="00752886"/>
    <w:rsid w:val="00753070"/>
    <w:rsid w:val="00753ACF"/>
    <w:rsid w:val="007550BD"/>
    <w:rsid w:val="0075799A"/>
    <w:rsid w:val="0076064B"/>
    <w:rsid w:val="00761C38"/>
    <w:rsid w:val="00761EE8"/>
    <w:rsid w:val="00762151"/>
    <w:rsid w:val="0076215F"/>
    <w:rsid w:val="00762D4B"/>
    <w:rsid w:val="00764010"/>
    <w:rsid w:val="00764368"/>
    <w:rsid w:val="00764B5B"/>
    <w:rsid w:val="00765287"/>
    <w:rsid w:val="00766A73"/>
    <w:rsid w:val="00766F19"/>
    <w:rsid w:val="0077455A"/>
    <w:rsid w:val="00777372"/>
    <w:rsid w:val="00777527"/>
    <w:rsid w:val="00781849"/>
    <w:rsid w:val="00781B6F"/>
    <w:rsid w:val="00781F41"/>
    <w:rsid w:val="00782890"/>
    <w:rsid w:val="007833CB"/>
    <w:rsid w:val="00783B56"/>
    <w:rsid w:val="00786CFF"/>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9025FB"/>
    <w:rsid w:val="009029DB"/>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636F"/>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1BBB"/>
    <w:rsid w:val="00AA1E74"/>
    <w:rsid w:val="00AA24D2"/>
    <w:rsid w:val="00AA7316"/>
    <w:rsid w:val="00AA78CE"/>
    <w:rsid w:val="00AA7F42"/>
    <w:rsid w:val="00AB0C12"/>
    <w:rsid w:val="00AB0FA7"/>
    <w:rsid w:val="00AB26D5"/>
    <w:rsid w:val="00AB3885"/>
    <w:rsid w:val="00AB5F3B"/>
    <w:rsid w:val="00AC38A9"/>
    <w:rsid w:val="00AC4BF6"/>
    <w:rsid w:val="00AC6797"/>
    <w:rsid w:val="00AC6A7A"/>
    <w:rsid w:val="00AC6F68"/>
    <w:rsid w:val="00AD124D"/>
    <w:rsid w:val="00AD1EAE"/>
    <w:rsid w:val="00AD2280"/>
    <w:rsid w:val="00AD4839"/>
    <w:rsid w:val="00AD76EF"/>
    <w:rsid w:val="00AE19D1"/>
    <w:rsid w:val="00AE2666"/>
    <w:rsid w:val="00AE5D09"/>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279C"/>
    <w:rsid w:val="00B934BE"/>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63AD"/>
    <w:rsid w:val="00CE1E88"/>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4957"/>
    <w:rsid w:val="00DC4AE2"/>
    <w:rsid w:val="00DC63B3"/>
    <w:rsid w:val="00DC6B6C"/>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39E2"/>
    <w:rsid w:val="00F04A95"/>
    <w:rsid w:val="00F058D3"/>
    <w:rsid w:val="00F11FF3"/>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7035-8DBE-4458-B3F9-FCB018CB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6592</Words>
  <Characters>36261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2019-06-13T15:30:00Z</cp:lastPrinted>
  <dcterms:created xsi:type="dcterms:W3CDTF">2021-10-28T19:19:00Z</dcterms:created>
  <dcterms:modified xsi:type="dcterms:W3CDTF">2021-11-05T03:10:00Z</dcterms:modified>
</cp:coreProperties>
</file>