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9071C" w:rsidRPr="0023383E" w:rsidRDefault="0029071C" w:rsidP="0029071C">
      <w:pPr>
        <w:shd w:val="clear" w:color="auto" w:fill="FFFFFF"/>
        <w:spacing w:line="360" w:lineRule="auto"/>
        <w:jc w:val="both"/>
        <w:rPr>
          <w:rFonts w:ascii="Palatino Linotype" w:hAnsi="Palatino Linotype" w:cs="Arial"/>
          <w:color w:val="000000"/>
          <w:lang w:val="es-MX" w:eastAsia="es-MX"/>
        </w:rPr>
      </w:pPr>
      <w:r w:rsidRPr="0023383E">
        <w:rPr>
          <w:rFonts w:ascii="Palatino Linotype" w:hAnsi="Palatino Linotype" w:cs="Arial"/>
          <w:color w:val="000000"/>
          <w:lang w:val="es-MX" w:eastAsia="es-MX"/>
        </w:rPr>
        <w:t xml:space="preserve">Resolución del Pleno del Instituto de Transparencia, Acceso a la Información Pública y Protección de Datos Personales del Estado de México y Municipios, con domicilio en Metepec, Estado de México, a </w:t>
      </w:r>
      <w:r w:rsidR="00DC2B31" w:rsidRPr="0023383E">
        <w:rPr>
          <w:rFonts w:ascii="Palatino Linotype" w:hAnsi="Palatino Linotype" w:cs="Arial"/>
          <w:color w:val="000000"/>
          <w:lang w:val="es-MX" w:eastAsia="es-MX"/>
        </w:rPr>
        <w:t>diez</w:t>
      </w:r>
      <w:r w:rsidRPr="0023383E">
        <w:rPr>
          <w:rFonts w:ascii="Palatino Linotype" w:hAnsi="Palatino Linotype" w:cs="Arial"/>
          <w:color w:val="000000"/>
          <w:lang w:val="es-MX" w:eastAsia="es-MX"/>
        </w:rPr>
        <w:t xml:space="preserve"> de noviembre dos mil veintiuno.</w:t>
      </w:r>
    </w:p>
    <w:p w:rsidR="0029071C" w:rsidRPr="0023383E" w:rsidRDefault="0029071C" w:rsidP="0029071C">
      <w:pPr>
        <w:shd w:val="clear" w:color="auto" w:fill="FFFFFF"/>
        <w:spacing w:line="360" w:lineRule="auto"/>
        <w:jc w:val="both"/>
        <w:rPr>
          <w:rFonts w:ascii="Palatino Linotype" w:hAnsi="Palatino Linotype" w:cs="Arial"/>
          <w:color w:val="000000"/>
          <w:lang w:val="es-MX" w:eastAsia="es-MX"/>
        </w:rPr>
      </w:pPr>
    </w:p>
    <w:p w:rsidR="0029071C" w:rsidRPr="0023383E" w:rsidRDefault="0029071C" w:rsidP="0029071C">
      <w:pPr>
        <w:tabs>
          <w:tab w:val="left" w:pos="1701"/>
        </w:tabs>
        <w:spacing w:line="360" w:lineRule="auto"/>
        <w:jc w:val="both"/>
        <w:rPr>
          <w:rFonts w:ascii="Palatino Linotype" w:eastAsiaTheme="minorHAnsi" w:hAnsi="Palatino Linotype" w:cs="Arial"/>
          <w:b/>
          <w:lang w:val="es-MX" w:eastAsia="en-US"/>
        </w:rPr>
      </w:pPr>
      <w:r w:rsidRPr="0023383E">
        <w:rPr>
          <w:rFonts w:ascii="Palatino Linotype" w:eastAsiaTheme="minorHAnsi" w:hAnsi="Palatino Linotype" w:cs="Arial"/>
          <w:b/>
          <w:lang w:val="es-MX" w:eastAsia="en-US"/>
        </w:rPr>
        <w:t>VISTO</w:t>
      </w:r>
      <w:r w:rsidRPr="0023383E">
        <w:rPr>
          <w:rFonts w:ascii="Palatino Linotype" w:eastAsiaTheme="minorHAnsi" w:hAnsi="Palatino Linotype" w:cs="Arial"/>
          <w:lang w:val="es-MX" w:eastAsia="en-US"/>
        </w:rPr>
        <w:t xml:space="preserve"> el expediente electrónico formado con motivo del recurso de revisión número </w:t>
      </w:r>
      <w:r w:rsidRPr="0023383E">
        <w:rPr>
          <w:rFonts w:ascii="Palatino Linotype" w:eastAsiaTheme="minorHAnsi" w:hAnsi="Palatino Linotype" w:cs="Arial"/>
          <w:b/>
          <w:lang w:val="es-MX" w:eastAsia="en-US"/>
        </w:rPr>
        <w:t>0</w:t>
      </w:r>
      <w:r w:rsidR="009E0E89" w:rsidRPr="0023383E">
        <w:rPr>
          <w:rFonts w:ascii="Palatino Linotype" w:eastAsiaTheme="minorHAnsi" w:hAnsi="Palatino Linotype" w:cs="Arial"/>
          <w:b/>
          <w:bCs/>
          <w:lang w:val="es-MX" w:eastAsia="es-MX"/>
        </w:rPr>
        <w:t>4955</w:t>
      </w:r>
      <w:r w:rsidRPr="0023383E">
        <w:rPr>
          <w:rFonts w:ascii="Palatino Linotype" w:eastAsiaTheme="minorHAnsi" w:hAnsi="Palatino Linotype" w:cs="Arial"/>
          <w:b/>
          <w:bCs/>
          <w:lang w:val="es-MX" w:eastAsia="es-MX"/>
        </w:rPr>
        <w:t>/INFOEM/IP/RR/2021</w:t>
      </w:r>
      <w:r w:rsidRPr="0023383E">
        <w:rPr>
          <w:rFonts w:ascii="Palatino Linotype" w:eastAsiaTheme="minorHAnsi" w:hAnsi="Palatino Linotype" w:cs="Arial"/>
          <w:lang w:val="es-MX" w:eastAsia="en-US"/>
        </w:rPr>
        <w:t xml:space="preserve">, interpuesto por el </w:t>
      </w:r>
      <w:r w:rsidRPr="0023383E">
        <w:rPr>
          <w:rFonts w:ascii="Palatino Linotype" w:eastAsiaTheme="minorHAnsi" w:hAnsi="Palatino Linotype" w:cs="Arial"/>
          <w:b/>
          <w:lang w:val="es-MX" w:eastAsia="en-US"/>
        </w:rPr>
        <w:t xml:space="preserve">C.  </w:t>
      </w:r>
      <w:proofErr w:type="gramStart"/>
      <w:r w:rsidR="00DC4ADD">
        <w:rPr>
          <w:rFonts w:ascii="Palatino Linotype" w:eastAsiaTheme="minorHAnsi" w:hAnsi="Palatino Linotype" w:cs="Arial"/>
          <w:b/>
          <w:lang w:val="es-MX" w:eastAsia="en-US"/>
        </w:rPr>
        <w:t>xxxx</w:t>
      </w:r>
      <w:bookmarkStart w:id="0" w:name="_GoBack"/>
      <w:bookmarkEnd w:id="0"/>
      <w:proofErr w:type="gramEnd"/>
      <w:r w:rsidR="009E0E89" w:rsidRPr="0023383E">
        <w:rPr>
          <w:rFonts w:ascii="Palatino Linotype" w:eastAsiaTheme="minorHAnsi" w:hAnsi="Palatino Linotype" w:cs="Arial"/>
          <w:b/>
          <w:lang w:val="es-MX" w:eastAsia="en-US"/>
        </w:rPr>
        <w:t xml:space="preserve"> </w:t>
      </w:r>
      <w:r w:rsidRPr="0023383E">
        <w:rPr>
          <w:rFonts w:ascii="Palatino Linotype" w:eastAsiaTheme="minorHAnsi" w:hAnsi="Palatino Linotype" w:cs="Arial"/>
          <w:lang w:val="es-MX" w:eastAsia="en-US"/>
        </w:rPr>
        <w:t>, en lo sucesivo el</w:t>
      </w:r>
      <w:r w:rsidRPr="0023383E">
        <w:rPr>
          <w:rFonts w:ascii="Palatino Linotype" w:eastAsiaTheme="minorHAnsi" w:hAnsi="Palatino Linotype" w:cs="Arial"/>
          <w:b/>
          <w:lang w:val="es-MX" w:eastAsia="en-US"/>
        </w:rPr>
        <w:t xml:space="preserve"> Recurrente</w:t>
      </w:r>
      <w:r w:rsidRPr="0023383E">
        <w:rPr>
          <w:rFonts w:ascii="Palatino Linotype" w:eastAsiaTheme="minorHAnsi" w:hAnsi="Palatino Linotype" w:cs="Arial"/>
          <w:lang w:val="es-MX" w:eastAsia="en-US"/>
        </w:rPr>
        <w:t>, en contra de la respuesta de</w:t>
      </w:r>
      <w:r w:rsidR="009E0E89" w:rsidRPr="0023383E">
        <w:rPr>
          <w:rFonts w:ascii="Palatino Linotype" w:eastAsiaTheme="minorHAnsi" w:hAnsi="Palatino Linotype" w:cs="Arial"/>
          <w:lang w:val="es-MX" w:eastAsia="en-US"/>
        </w:rPr>
        <w:t>l</w:t>
      </w:r>
      <w:r w:rsidRPr="0023383E">
        <w:rPr>
          <w:rFonts w:ascii="Palatino Linotype" w:eastAsiaTheme="minorHAnsi" w:hAnsi="Palatino Linotype" w:cs="Arial"/>
          <w:lang w:val="es-MX" w:eastAsia="en-US"/>
        </w:rPr>
        <w:t xml:space="preserve"> </w:t>
      </w:r>
      <w:r w:rsidR="009E0E89" w:rsidRPr="0023383E">
        <w:rPr>
          <w:rFonts w:ascii="Palatino Linotype" w:eastAsiaTheme="minorHAnsi" w:hAnsi="Palatino Linotype" w:cs="Arial"/>
          <w:b/>
          <w:lang w:val="es-MX" w:eastAsia="en-US"/>
        </w:rPr>
        <w:t>Instituto Mexiquense para la Protección e Integración al Desarrollo de las Personas con Discapacidad</w:t>
      </w:r>
      <w:r w:rsidRPr="0023383E">
        <w:rPr>
          <w:rFonts w:ascii="Palatino Linotype" w:eastAsiaTheme="minorHAnsi" w:hAnsi="Palatino Linotype" w:cs="Arial"/>
          <w:lang w:val="es-MX" w:eastAsia="en-US"/>
        </w:rPr>
        <w:t>,</w:t>
      </w:r>
      <w:r w:rsidRPr="0023383E">
        <w:rPr>
          <w:rFonts w:ascii="Palatino Linotype" w:eastAsiaTheme="minorHAnsi" w:hAnsi="Palatino Linotype" w:cs="Arial"/>
          <w:b/>
          <w:lang w:val="es-MX" w:eastAsia="en-US"/>
        </w:rPr>
        <w:t xml:space="preserve"> </w:t>
      </w:r>
      <w:r w:rsidRPr="0023383E">
        <w:rPr>
          <w:rFonts w:ascii="Palatino Linotype" w:eastAsiaTheme="minorHAnsi" w:hAnsi="Palatino Linotype" w:cs="Arial"/>
          <w:lang w:val="es-MX" w:eastAsia="en-US"/>
        </w:rPr>
        <w:t>en lo subsecuente</w:t>
      </w:r>
      <w:r w:rsidRPr="0023383E">
        <w:rPr>
          <w:rFonts w:ascii="Palatino Linotype" w:eastAsiaTheme="minorHAnsi" w:hAnsi="Palatino Linotype" w:cs="Arial"/>
          <w:b/>
          <w:lang w:val="es-MX" w:eastAsia="en-US"/>
        </w:rPr>
        <w:t xml:space="preserve"> El Sujeto Obligado, </w:t>
      </w:r>
      <w:r w:rsidRPr="0023383E">
        <w:rPr>
          <w:rFonts w:ascii="Palatino Linotype" w:eastAsiaTheme="minorHAnsi" w:hAnsi="Palatino Linotype" w:cs="Arial"/>
          <w:lang w:val="es-MX" w:eastAsia="en-US"/>
        </w:rPr>
        <w:t>se procede a dictar la presente resolución.</w:t>
      </w:r>
    </w:p>
    <w:p w:rsidR="009E0E89" w:rsidRPr="0023383E" w:rsidRDefault="009E0E89" w:rsidP="0029071C">
      <w:pPr>
        <w:tabs>
          <w:tab w:val="left" w:pos="1701"/>
        </w:tabs>
        <w:spacing w:line="360" w:lineRule="auto"/>
        <w:jc w:val="both"/>
        <w:rPr>
          <w:rFonts w:ascii="Palatino Linotype" w:eastAsiaTheme="minorHAnsi" w:hAnsi="Palatino Linotype" w:cs="Arial"/>
          <w:b/>
          <w:lang w:val="es-MX" w:eastAsia="en-US"/>
        </w:rPr>
      </w:pPr>
    </w:p>
    <w:p w:rsidR="0029071C" w:rsidRPr="0023383E" w:rsidRDefault="0029071C" w:rsidP="009E0E89">
      <w:pPr>
        <w:spacing w:line="360" w:lineRule="auto"/>
        <w:jc w:val="center"/>
        <w:rPr>
          <w:rFonts w:ascii="Palatino Linotype" w:eastAsiaTheme="minorHAnsi" w:hAnsi="Palatino Linotype" w:cs="Arial"/>
          <w:b/>
          <w:sz w:val="28"/>
          <w:lang w:val="es-MX" w:eastAsia="en-US"/>
        </w:rPr>
      </w:pPr>
      <w:r w:rsidRPr="0023383E">
        <w:rPr>
          <w:rFonts w:ascii="Palatino Linotype" w:eastAsiaTheme="minorHAnsi" w:hAnsi="Palatino Linotype" w:cs="Arial"/>
          <w:b/>
          <w:sz w:val="28"/>
          <w:lang w:val="es-MX" w:eastAsia="en-US"/>
        </w:rPr>
        <w:t>A N T E C E D E N T E S</w:t>
      </w:r>
    </w:p>
    <w:p w:rsidR="009E0E89" w:rsidRPr="0023383E" w:rsidRDefault="009E0E89" w:rsidP="009E0E89">
      <w:pPr>
        <w:spacing w:line="360" w:lineRule="auto"/>
        <w:jc w:val="center"/>
        <w:rPr>
          <w:rFonts w:ascii="Palatino Linotype" w:eastAsiaTheme="minorHAnsi" w:hAnsi="Palatino Linotype" w:cs="Arial"/>
          <w:b/>
          <w:lang w:val="es-MX" w:eastAsia="en-US"/>
        </w:rPr>
      </w:pPr>
    </w:p>
    <w:p w:rsidR="0029071C" w:rsidRPr="0023383E" w:rsidRDefault="0029071C" w:rsidP="0029071C">
      <w:pPr>
        <w:spacing w:line="360" w:lineRule="auto"/>
        <w:jc w:val="both"/>
        <w:rPr>
          <w:rFonts w:ascii="Palatino Linotype" w:eastAsiaTheme="minorHAnsi" w:hAnsi="Palatino Linotype" w:cs="Arial"/>
          <w:b/>
          <w:sz w:val="28"/>
          <w:lang w:val="es-MX" w:eastAsia="en-US"/>
        </w:rPr>
      </w:pPr>
      <w:r w:rsidRPr="0023383E">
        <w:rPr>
          <w:rFonts w:ascii="Palatino Linotype" w:eastAsiaTheme="minorHAnsi" w:hAnsi="Palatino Linotype" w:cs="Arial"/>
          <w:b/>
          <w:sz w:val="28"/>
          <w:lang w:val="es-MX" w:eastAsia="en-US"/>
        </w:rPr>
        <w:t>PRIMERO. De la solicitud de información.</w:t>
      </w:r>
    </w:p>
    <w:p w:rsidR="0029071C" w:rsidRPr="0023383E" w:rsidRDefault="0029071C" w:rsidP="0029071C">
      <w:pPr>
        <w:spacing w:line="360" w:lineRule="auto"/>
        <w:jc w:val="both"/>
        <w:rPr>
          <w:rFonts w:ascii="Palatino Linotype" w:eastAsiaTheme="minorHAnsi" w:hAnsi="Palatino Linotype" w:cs="Arial"/>
          <w:szCs w:val="22"/>
          <w:lang w:val="es-MX" w:eastAsia="en-US"/>
        </w:rPr>
      </w:pPr>
      <w:r w:rsidRPr="0023383E">
        <w:rPr>
          <w:rFonts w:ascii="Palatino Linotype" w:eastAsiaTheme="minorHAnsi" w:hAnsi="Palatino Linotype" w:cs="Arial"/>
          <w:szCs w:val="22"/>
          <w:lang w:val="es-MX" w:eastAsia="en-US"/>
        </w:rPr>
        <w:t xml:space="preserve">En fecha </w:t>
      </w:r>
      <w:r w:rsidR="009E0E89" w:rsidRPr="0023383E">
        <w:rPr>
          <w:rFonts w:ascii="Palatino Linotype" w:eastAsiaTheme="minorHAnsi" w:hAnsi="Palatino Linotype" w:cs="Arial"/>
          <w:szCs w:val="22"/>
          <w:lang w:val="es-MX" w:eastAsia="en-US"/>
        </w:rPr>
        <w:t>diez de septiembre</w:t>
      </w:r>
      <w:r w:rsidRPr="0023383E">
        <w:rPr>
          <w:rFonts w:ascii="Palatino Linotype" w:eastAsiaTheme="minorHAnsi" w:hAnsi="Palatino Linotype" w:cs="Arial"/>
          <w:szCs w:val="22"/>
          <w:lang w:val="es-MX" w:eastAsia="en-US"/>
        </w:rPr>
        <w:t xml:space="preserve"> de dos mil veintiuno, el </w:t>
      </w:r>
      <w:r w:rsidRPr="0023383E">
        <w:rPr>
          <w:rFonts w:ascii="Palatino Linotype" w:eastAsiaTheme="minorHAnsi" w:hAnsi="Palatino Linotype" w:cs="Arial"/>
          <w:b/>
          <w:szCs w:val="22"/>
          <w:lang w:val="es-MX" w:eastAsia="en-US"/>
        </w:rPr>
        <w:t>Recurrente</w:t>
      </w:r>
      <w:r w:rsidRPr="0023383E">
        <w:rPr>
          <w:rFonts w:ascii="Palatino Linotype" w:eastAsiaTheme="minorHAnsi" w:hAnsi="Palatino Linotype" w:cs="Arial"/>
          <w:szCs w:val="22"/>
          <w:lang w:val="es-MX" w:eastAsia="en-US"/>
        </w:rPr>
        <w:t xml:space="preserve">, presentó a través del Sistema de Acceso a la Información Mexiquense </w:t>
      </w:r>
      <w:r w:rsidRPr="0023383E">
        <w:rPr>
          <w:rFonts w:ascii="Palatino Linotype" w:eastAsiaTheme="minorHAnsi" w:hAnsi="Palatino Linotype" w:cs="Arial"/>
          <w:b/>
          <w:szCs w:val="22"/>
          <w:lang w:val="es-MX" w:eastAsia="en-US"/>
        </w:rPr>
        <w:t>(SAIMEX),</w:t>
      </w:r>
      <w:r w:rsidRPr="0023383E">
        <w:rPr>
          <w:rFonts w:ascii="Palatino Linotype" w:eastAsiaTheme="minorHAnsi" w:hAnsi="Palatino Linotype" w:cs="Arial"/>
          <w:szCs w:val="22"/>
          <w:lang w:val="es-MX" w:eastAsia="en-US"/>
        </w:rPr>
        <w:t xml:space="preserve"> ante el </w:t>
      </w:r>
      <w:r w:rsidRPr="0023383E">
        <w:rPr>
          <w:rFonts w:ascii="Palatino Linotype" w:eastAsiaTheme="minorHAnsi" w:hAnsi="Palatino Linotype" w:cs="Arial"/>
          <w:b/>
          <w:szCs w:val="22"/>
          <w:lang w:val="es-MX" w:eastAsia="en-US"/>
        </w:rPr>
        <w:t>Sujeto Obligado</w:t>
      </w:r>
      <w:r w:rsidRPr="0023383E">
        <w:rPr>
          <w:rFonts w:ascii="Palatino Linotype" w:eastAsiaTheme="minorHAnsi" w:hAnsi="Palatino Linotype" w:cs="Arial"/>
          <w:szCs w:val="22"/>
          <w:lang w:val="es-MX" w:eastAsia="en-US"/>
        </w:rPr>
        <w:t xml:space="preserve">, la solicitud de acceso a la información pública, a la que se le asignó el número de expediente </w:t>
      </w:r>
      <w:r w:rsidR="009E0E89" w:rsidRPr="0023383E">
        <w:rPr>
          <w:rFonts w:ascii="Palatino Linotype" w:eastAsiaTheme="minorHAnsi" w:hAnsi="Palatino Linotype" w:cs="Arial"/>
          <w:b/>
          <w:szCs w:val="22"/>
          <w:lang w:val="es-MX" w:eastAsia="en-US"/>
        </w:rPr>
        <w:t>00013/IMPIDPD/IP/2021</w:t>
      </w:r>
      <w:r w:rsidRPr="0023383E">
        <w:rPr>
          <w:rFonts w:ascii="Palatino Linotype" w:eastAsiaTheme="minorHAnsi" w:hAnsi="Palatino Linotype" w:cs="Arial"/>
          <w:szCs w:val="22"/>
          <w:lang w:val="es-MX" w:eastAsia="en-US"/>
        </w:rPr>
        <w:t>, mediante la cual solicitó lo siguiente:</w:t>
      </w:r>
    </w:p>
    <w:p w:rsidR="0029071C" w:rsidRPr="0023383E" w:rsidRDefault="0029071C" w:rsidP="0029071C">
      <w:pPr>
        <w:rPr>
          <w:lang w:val="es-MX"/>
        </w:rPr>
      </w:pPr>
    </w:p>
    <w:p w:rsidR="0029071C" w:rsidRPr="0023383E" w:rsidRDefault="0029071C" w:rsidP="0029071C">
      <w:pPr>
        <w:spacing w:after="160" w:line="360" w:lineRule="auto"/>
        <w:ind w:left="567" w:right="567"/>
        <w:jc w:val="both"/>
        <w:rPr>
          <w:rFonts w:ascii="Palatino Linotype" w:hAnsi="Palatino Linotype"/>
          <w:i/>
          <w:sz w:val="22"/>
          <w:szCs w:val="22"/>
          <w:lang w:val="es-MX" w:eastAsia="es-MX"/>
        </w:rPr>
      </w:pPr>
      <w:r w:rsidRPr="0023383E">
        <w:rPr>
          <w:rFonts w:ascii="Palatino Linotype" w:hAnsi="Palatino Linotype"/>
          <w:i/>
          <w:sz w:val="22"/>
          <w:szCs w:val="22"/>
          <w:lang w:val="es-MX"/>
        </w:rPr>
        <w:t>“</w:t>
      </w:r>
      <w:r w:rsidR="009E0E89" w:rsidRPr="0023383E">
        <w:rPr>
          <w:rFonts w:ascii="Palatino Linotype" w:hAnsi="Palatino Linotype"/>
          <w:i/>
          <w:sz w:val="22"/>
          <w:szCs w:val="22"/>
          <w:lang w:val="es-MX" w:eastAsia="es-MX"/>
        </w:rPr>
        <w:t xml:space="preserve">Expedientes completos de todas las auditorías de todos los entes de fiscalización, órganos </w:t>
      </w:r>
      <w:proofErr w:type="gramStart"/>
      <w:r w:rsidR="009E0E89" w:rsidRPr="0023383E">
        <w:rPr>
          <w:rFonts w:ascii="Palatino Linotype" w:hAnsi="Palatino Linotype"/>
          <w:i/>
          <w:sz w:val="22"/>
          <w:szCs w:val="22"/>
          <w:lang w:val="es-MX" w:eastAsia="es-MX"/>
        </w:rPr>
        <w:t>internos</w:t>
      </w:r>
      <w:proofErr w:type="gramEnd"/>
      <w:r w:rsidR="009E0E89" w:rsidRPr="0023383E">
        <w:rPr>
          <w:rFonts w:ascii="Palatino Linotype" w:hAnsi="Palatino Linotype"/>
          <w:i/>
          <w:sz w:val="22"/>
          <w:szCs w:val="22"/>
          <w:lang w:val="es-MX" w:eastAsia="es-MX"/>
        </w:rPr>
        <w:t xml:space="preserve"> de control y cualquier otro organismo con facultades para ejercer auditorías al organismo, de los años 2018,2019,2020 y septiembre 2021</w:t>
      </w:r>
      <w:r w:rsidRPr="0023383E">
        <w:rPr>
          <w:rFonts w:ascii="Palatino Linotype" w:hAnsi="Palatino Linotype"/>
          <w:i/>
          <w:sz w:val="22"/>
          <w:szCs w:val="22"/>
          <w:lang w:val="es-MX"/>
        </w:rPr>
        <w:t>”</w:t>
      </w:r>
      <w:r w:rsidRPr="0023383E">
        <w:rPr>
          <w:rFonts w:ascii="Palatino Linotype" w:hAnsi="Palatino Linotype"/>
          <w:i/>
          <w:sz w:val="22"/>
          <w:szCs w:val="22"/>
          <w:lang w:val="es-ES_tradnl"/>
        </w:rPr>
        <w:t xml:space="preserve"> (Sic).</w:t>
      </w:r>
    </w:p>
    <w:p w:rsidR="0029071C" w:rsidRPr="0023383E" w:rsidRDefault="0029071C" w:rsidP="0029071C">
      <w:pPr>
        <w:rPr>
          <w:lang w:val="es-MX"/>
        </w:rPr>
      </w:pPr>
    </w:p>
    <w:p w:rsidR="0029071C" w:rsidRPr="0023383E" w:rsidRDefault="0029071C" w:rsidP="0029071C">
      <w:pPr>
        <w:tabs>
          <w:tab w:val="left" w:pos="5647"/>
        </w:tabs>
        <w:spacing w:line="360" w:lineRule="auto"/>
        <w:ind w:right="850"/>
        <w:jc w:val="both"/>
        <w:rPr>
          <w:rFonts w:ascii="Palatino Linotype" w:eastAsiaTheme="minorHAnsi" w:hAnsi="Palatino Linotype" w:cstheme="minorBidi"/>
          <w:color w:val="000000"/>
          <w:lang w:val="es-MX" w:eastAsia="en-US"/>
        </w:rPr>
      </w:pPr>
      <w:r w:rsidRPr="0023383E">
        <w:rPr>
          <w:rFonts w:ascii="Palatino Linotype" w:hAnsi="Palatino Linotype"/>
          <w:b/>
          <w:lang w:val="es-ES_tradnl"/>
        </w:rPr>
        <w:t>MODALIDAD DE ENTREGA:</w:t>
      </w:r>
      <w:r w:rsidRPr="0023383E">
        <w:rPr>
          <w:rFonts w:ascii="Palatino Linotype" w:hAnsi="Palatino Linotype"/>
          <w:lang w:val="es-ES_tradnl"/>
        </w:rPr>
        <w:t xml:space="preserve"> </w:t>
      </w:r>
      <w:r w:rsidRPr="0023383E">
        <w:rPr>
          <w:rFonts w:ascii="Palatino Linotype" w:eastAsiaTheme="minorHAnsi" w:hAnsi="Palatino Linotype" w:cstheme="minorBidi"/>
          <w:color w:val="000000"/>
          <w:lang w:val="es-MX" w:eastAsia="en-US"/>
        </w:rPr>
        <w:t xml:space="preserve">A través del </w:t>
      </w:r>
      <w:r w:rsidRPr="0023383E">
        <w:rPr>
          <w:rFonts w:ascii="Palatino Linotype" w:eastAsiaTheme="minorHAnsi" w:hAnsi="Palatino Linotype" w:cstheme="minorBidi"/>
          <w:b/>
          <w:color w:val="000000"/>
          <w:lang w:val="es-MX" w:eastAsia="en-US"/>
        </w:rPr>
        <w:t>SAIMEX</w:t>
      </w:r>
      <w:r w:rsidRPr="0023383E">
        <w:rPr>
          <w:rFonts w:ascii="Palatino Linotype" w:eastAsiaTheme="minorHAnsi" w:hAnsi="Palatino Linotype" w:cstheme="minorBidi"/>
          <w:color w:val="000000"/>
          <w:lang w:val="es-MX" w:eastAsia="en-US"/>
        </w:rPr>
        <w:t>.</w:t>
      </w:r>
    </w:p>
    <w:p w:rsidR="0029071C" w:rsidRPr="0023383E" w:rsidRDefault="0029071C" w:rsidP="0029071C">
      <w:pPr>
        <w:spacing w:line="360" w:lineRule="auto"/>
        <w:jc w:val="both"/>
        <w:rPr>
          <w:rFonts w:ascii="Palatino Linotype" w:eastAsiaTheme="minorHAnsi" w:hAnsi="Palatino Linotype" w:cs="Arial"/>
          <w:b/>
          <w:sz w:val="28"/>
          <w:lang w:val="es-MX" w:eastAsia="en-US"/>
        </w:rPr>
      </w:pPr>
      <w:r w:rsidRPr="0023383E">
        <w:rPr>
          <w:rFonts w:ascii="Palatino Linotype" w:eastAsiaTheme="minorHAnsi" w:hAnsi="Palatino Linotype" w:cs="Arial"/>
          <w:b/>
          <w:sz w:val="28"/>
          <w:lang w:val="es-MX" w:eastAsia="en-US"/>
        </w:rPr>
        <w:lastRenderedPageBreak/>
        <w:t xml:space="preserve">SEGUNDO. De la respuesta del Sujeto Obligado. </w:t>
      </w:r>
    </w:p>
    <w:p w:rsidR="0029071C" w:rsidRPr="0023383E" w:rsidRDefault="0029071C" w:rsidP="0029071C">
      <w:pPr>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 xml:space="preserve">De las constancias que obran en el sistema SAIMEX, se advierte que en fecha </w:t>
      </w:r>
      <w:r w:rsidR="009E0E89" w:rsidRPr="0023383E">
        <w:rPr>
          <w:rFonts w:ascii="Palatino Linotype" w:eastAsiaTheme="minorHAnsi" w:hAnsi="Palatino Linotype" w:cs="Arial"/>
          <w:lang w:val="es-MX" w:eastAsia="en-US"/>
        </w:rPr>
        <w:t>uno de octubre</w:t>
      </w:r>
      <w:r w:rsidRPr="0023383E">
        <w:rPr>
          <w:rFonts w:ascii="Palatino Linotype" w:eastAsiaTheme="minorHAnsi" w:hAnsi="Palatino Linotype" w:cs="Arial"/>
          <w:lang w:val="es-MX" w:eastAsia="en-US"/>
        </w:rPr>
        <w:t xml:space="preserve"> de dos mil veintiuno, </w:t>
      </w:r>
      <w:r w:rsidRPr="0023383E">
        <w:rPr>
          <w:rFonts w:ascii="Palatino Linotype" w:eastAsiaTheme="minorHAnsi" w:hAnsi="Palatino Linotype" w:cs="Arial"/>
          <w:b/>
          <w:lang w:val="es-MX" w:eastAsia="en-US"/>
        </w:rPr>
        <w:t>El Sujeto Obligado</w:t>
      </w:r>
      <w:r w:rsidRPr="0023383E">
        <w:rPr>
          <w:rFonts w:ascii="Palatino Linotype" w:eastAsiaTheme="minorHAnsi" w:hAnsi="Palatino Linotype" w:cs="Arial"/>
          <w:lang w:val="es-MX" w:eastAsia="en-US"/>
        </w:rPr>
        <w:t xml:space="preserve"> emitió la respuesta en los siguientes términos:</w:t>
      </w:r>
    </w:p>
    <w:p w:rsidR="0029071C" w:rsidRPr="0023383E" w:rsidRDefault="0029071C" w:rsidP="0029071C">
      <w:pPr>
        <w:rPr>
          <w:lang w:val="es-MX"/>
        </w:rPr>
      </w:pPr>
    </w:p>
    <w:p w:rsidR="00E74701" w:rsidRPr="0023383E" w:rsidRDefault="0029071C" w:rsidP="009E0E89">
      <w:pPr>
        <w:ind w:left="567" w:right="567"/>
        <w:jc w:val="both"/>
        <w:rPr>
          <w:rFonts w:ascii="Palatino Linotype" w:hAnsi="Palatino Linotype"/>
          <w:i/>
          <w:sz w:val="22"/>
          <w:szCs w:val="22"/>
          <w:lang w:val="es-MX" w:eastAsia="es-MX"/>
        </w:rPr>
      </w:pPr>
      <w:r w:rsidRPr="0023383E">
        <w:rPr>
          <w:rFonts w:ascii="Palatino Linotype" w:hAnsi="Palatino Linotype"/>
          <w:i/>
          <w:sz w:val="22"/>
          <w:szCs w:val="22"/>
          <w:lang w:val="es-MX" w:eastAsia="es-MX"/>
        </w:rPr>
        <w:t>“</w:t>
      </w:r>
      <w:r w:rsidR="009E0E89" w:rsidRPr="0023383E">
        <w:rPr>
          <w:rFonts w:ascii="Palatino Linotype" w:hAnsi="Palatino Linotype"/>
          <w:i/>
          <w:sz w:val="22"/>
          <w:szCs w:val="22"/>
          <w:lang w:val="es-MX" w:eastAsia="es-MX"/>
        </w:rPr>
        <w:t>UNIDAD DE TRANSPARENCIA OFICIO No. 208C0701000100L/0194/2021 Asunto: RESPUESTA A SOLICITUD DE INFORMACION FOLIO</w:t>
      </w:r>
      <w:proofErr w:type="gramStart"/>
      <w:r w:rsidR="009E0E89" w:rsidRPr="0023383E">
        <w:rPr>
          <w:rFonts w:ascii="Palatino Linotype" w:hAnsi="Palatino Linotype"/>
          <w:i/>
          <w:sz w:val="22"/>
          <w:szCs w:val="22"/>
          <w:lang w:val="es-MX" w:eastAsia="es-MX"/>
        </w:rPr>
        <w:t>:00013</w:t>
      </w:r>
      <w:proofErr w:type="gramEnd"/>
      <w:r w:rsidR="009E0E89" w:rsidRPr="0023383E">
        <w:rPr>
          <w:rFonts w:ascii="Palatino Linotype" w:hAnsi="Palatino Linotype"/>
          <w:i/>
          <w:sz w:val="22"/>
          <w:szCs w:val="22"/>
          <w:lang w:val="es-MX" w:eastAsia="es-MX"/>
        </w:rPr>
        <w:t xml:space="preserve">/IMPIDPD/IP/2021 Toluca de Lerdo, México; 1 de octubre de 2021. A QUIEN CORRESPONDA PRESENTE Anteponiendo un afectuoso saludo, me dirijo respetuosamente a usted a fin de dar respuesta a la solicitud de información dirigida a este instituto la cual a la letra refiere: </w:t>
      </w:r>
    </w:p>
    <w:p w:rsidR="00E74701" w:rsidRPr="0023383E" w:rsidRDefault="00E74701" w:rsidP="009E0E89">
      <w:pPr>
        <w:ind w:left="567" w:right="567"/>
        <w:jc w:val="both"/>
        <w:rPr>
          <w:rFonts w:ascii="Palatino Linotype" w:hAnsi="Palatino Linotype"/>
          <w:i/>
          <w:sz w:val="22"/>
          <w:szCs w:val="22"/>
          <w:lang w:val="es-MX" w:eastAsia="es-MX"/>
        </w:rPr>
      </w:pPr>
    </w:p>
    <w:p w:rsidR="00E74701" w:rsidRPr="0023383E" w:rsidRDefault="009E0E89" w:rsidP="009E0E89">
      <w:pPr>
        <w:ind w:left="567" w:right="567"/>
        <w:jc w:val="both"/>
        <w:rPr>
          <w:rFonts w:ascii="Palatino Linotype" w:hAnsi="Palatino Linotype"/>
          <w:i/>
          <w:sz w:val="22"/>
          <w:szCs w:val="22"/>
          <w:lang w:val="es-MX" w:eastAsia="es-MX"/>
        </w:rPr>
      </w:pPr>
      <w:r w:rsidRPr="0023383E">
        <w:rPr>
          <w:rFonts w:ascii="Palatino Linotype" w:hAnsi="Palatino Linotype"/>
          <w:i/>
          <w:sz w:val="22"/>
          <w:szCs w:val="22"/>
          <w:lang w:val="es-MX" w:eastAsia="es-MX"/>
        </w:rPr>
        <w:t xml:space="preserve">“Expedientes completos de todas las auditorias de todos los entes de fiscalización, órganos internos de control y cualquier otro organismo con facultades para ejercer </w:t>
      </w:r>
      <w:proofErr w:type="spellStart"/>
      <w:r w:rsidRPr="0023383E">
        <w:rPr>
          <w:rFonts w:ascii="Palatino Linotype" w:hAnsi="Palatino Linotype"/>
          <w:i/>
          <w:sz w:val="22"/>
          <w:szCs w:val="22"/>
          <w:lang w:val="es-MX" w:eastAsia="es-MX"/>
        </w:rPr>
        <w:t>auditorias</w:t>
      </w:r>
      <w:proofErr w:type="spellEnd"/>
      <w:r w:rsidRPr="0023383E">
        <w:rPr>
          <w:rFonts w:ascii="Palatino Linotype" w:hAnsi="Palatino Linotype"/>
          <w:i/>
          <w:sz w:val="22"/>
          <w:szCs w:val="22"/>
          <w:lang w:val="es-MX" w:eastAsia="es-MX"/>
        </w:rPr>
        <w:t xml:space="preserve"> al organismo, de los años 2018, 2019, 2020 y septiembre 2021.” Con fundamento en el artículo 163 de la Ley de Transparencia y Acceso a la Información Pública del Estado de México y Municipios, se le hace de su conocimiento que el plazo de 15 días hábiles para atender su solicitud de información ha sido prorrogado por 7 días, en atención al acta IMEDIS-CTR-EXT-001-2021. </w:t>
      </w:r>
    </w:p>
    <w:p w:rsidR="00E74701" w:rsidRPr="0023383E" w:rsidRDefault="00E74701" w:rsidP="009E0E89">
      <w:pPr>
        <w:ind w:left="567" w:right="567"/>
        <w:jc w:val="both"/>
        <w:rPr>
          <w:rFonts w:ascii="Palatino Linotype" w:hAnsi="Palatino Linotype"/>
          <w:i/>
          <w:sz w:val="22"/>
          <w:szCs w:val="22"/>
          <w:lang w:val="es-MX" w:eastAsia="es-MX"/>
        </w:rPr>
      </w:pPr>
    </w:p>
    <w:p w:rsidR="009E0E89" w:rsidRPr="0023383E" w:rsidRDefault="009E0E89" w:rsidP="009E0E89">
      <w:pPr>
        <w:ind w:left="567" w:right="567"/>
        <w:jc w:val="both"/>
        <w:rPr>
          <w:rFonts w:ascii="Palatino Linotype" w:hAnsi="Palatino Linotype"/>
          <w:i/>
          <w:sz w:val="22"/>
          <w:szCs w:val="22"/>
          <w:lang w:val="es-MX" w:eastAsia="es-MX"/>
        </w:rPr>
      </w:pPr>
      <w:r w:rsidRPr="0023383E">
        <w:rPr>
          <w:rFonts w:ascii="Palatino Linotype" w:hAnsi="Palatino Linotype"/>
          <w:i/>
          <w:sz w:val="22"/>
          <w:szCs w:val="22"/>
          <w:lang w:val="es-MX" w:eastAsia="es-MX"/>
        </w:rPr>
        <w:t>Sin otro asunto que agregar, me despido de usted, esperando contar con su valiosa intervención, para facilitar el acceso a la justicia de la persona referida. A T E N T A M E N T E ANA LIDIA GARCIA RAMIREZ TITULAR DE LA UNIDAD DE TRANSPARENCIA</w:t>
      </w:r>
    </w:p>
    <w:p w:rsidR="00E74701" w:rsidRPr="0023383E" w:rsidRDefault="00E74701" w:rsidP="009E0E89">
      <w:pPr>
        <w:ind w:left="567" w:right="567"/>
        <w:jc w:val="both"/>
        <w:rPr>
          <w:rFonts w:ascii="Palatino Linotype" w:hAnsi="Palatino Linotype"/>
          <w:i/>
          <w:sz w:val="22"/>
          <w:szCs w:val="22"/>
          <w:lang w:val="es-MX" w:eastAsia="es-MX"/>
        </w:rPr>
      </w:pPr>
    </w:p>
    <w:p w:rsidR="009E0E89" w:rsidRPr="0023383E" w:rsidRDefault="009E0E89" w:rsidP="009E0E89">
      <w:pPr>
        <w:ind w:left="567" w:right="567"/>
        <w:jc w:val="both"/>
        <w:rPr>
          <w:rFonts w:ascii="Palatino Linotype" w:hAnsi="Palatino Linotype"/>
          <w:i/>
          <w:sz w:val="22"/>
          <w:szCs w:val="22"/>
          <w:lang w:val="es-MX" w:eastAsia="es-MX"/>
        </w:rPr>
      </w:pPr>
      <w:r w:rsidRPr="0023383E">
        <w:rPr>
          <w:rFonts w:ascii="Palatino Linotype" w:hAnsi="Palatino Linotype"/>
          <w:i/>
          <w:sz w:val="22"/>
          <w:szCs w:val="22"/>
          <w:lang w:val="es-MX" w:eastAsia="es-MX"/>
        </w:rPr>
        <w:t>ATENTAMENTE</w:t>
      </w:r>
    </w:p>
    <w:p w:rsidR="0029071C" w:rsidRPr="0023383E" w:rsidRDefault="009E0E89" w:rsidP="00E74701">
      <w:pPr>
        <w:ind w:left="567" w:right="567"/>
        <w:jc w:val="both"/>
        <w:rPr>
          <w:rFonts w:ascii="Palatino Linotype" w:hAnsi="Palatino Linotype"/>
          <w:i/>
          <w:sz w:val="22"/>
          <w:szCs w:val="22"/>
          <w:lang w:val="es-MX" w:eastAsia="es-MX"/>
        </w:rPr>
      </w:pPr>
      <w:r w:rsidRPr="0023383E">
        <w:rPr>
          <w:rFonts w:ascii="Palatino Linotype" w:hAnsi="Palatino Linotype"/>
          <w:i/>
          <w:sz w:val="22"/>
          <w:szCs w:val="22"/>
          <w:lang w:val="es-MX" w:eastAsia="es-MX"/>
        </w:rPr>
        <w:t>P LIC. EN DERECHO ANA LIDIA GARCIA RAMIREZ</w:t>
      </w:r>
      <w:r w:rsidR="00E74701" w:rsidRPr="0023383E">
        <w:rPr>
          <w:rFonts w:ascii="Palatino Linotype" w:hAnsi="Palatino Linotype"/>
          <w:i/>
          <w:sz w:val="22"/>
          <w:szCs w:val="22"/>
          <w:lang w:val="es-MX" w:eastAsia="es-MX"/>
        </w:rPr>
        <w:t>” (Sic).</w:t>
      </w:r>
    </w:p>
    <w:p w:rsidR="00E74701" w:rsidRPr="0023383E" w:rsidRDefault="00E74701" w:rsidP="00E74701">
      <w:pPr>
        <w:ind w:left="567" w:right="567"/>
        <w:jc w:val="both"/>
        <w:rPr>
          <w:rFonts w:ascii="Palatino Linotype" w:hAnsi="Palatino Linotype"/>
          <w:i/>
          <w:sz w:val="22"/>
          <w:szCs w:val="22"/>
          <w:lang w:val="es-MX" w:eastAsia="es-MX"/>
        </w:rPr>
      </w:pPr>
    </w:p>
    <w:p w:rsidR="00E74701" w:rsidRPr="0023383E" w:rsidRDefault="00E74701" w:rsidP="00E74701">
      <w:pPr>
        <w:pStyle w:val="Prrafodelista"/>
        <w:numPr>
          <w:ilvl w:val="0"/>
          <w:numId w:val="20"/>
        </w:numPr>
        <w:spacing w:line="360" w:lineRule="auto"/>
        <w:ind w:right="567"/>
        <w:jc w:val="both"/>
        <w:rPr>
          <w:rFonts w:ascii="Palatino Linotype" w:hAnsi="Palatino Linotype"/>
          <w:i/>
          <w:szCs w:val="22"/>
          <w:lang w:val="es-MX" w:eastAsia="es-MX"/>
        </w:rPr>
      </w:pPr>
      <w:r w:rsidRPr="0023383E">
        <w:rPr>
          <w:rFonts w:ascii="Palatino Linotype" w:hAnsi="Palatino Linotype"/>
          <w:szCs w:val="22"/>
          <w:lang w:val="es-MX" w:eastAsia="es-MX"/>
        </w:rPr>
        <w:t xml:space="preserve">Adjuntando a dicha respuesta, el archivo electrónico denominado </w:t>
      </w:r>
      <w:r w:rsidRPr="0023383E">
        <w:rPr>
          <w:rFonts w:ascii="Palatino Linotype" w:hAnsi="Palatino Linotype"/>
          <w:i/>
          <w:szCs w:val="22"/>
          <w:lang w:val="es-MX" w:eastAsia="es-MX"/>
        </w:rPr>
        <w:t>“ACTA EXTRAORDINARIA DE TRANSPARENCIA.pdf”</w:t>
      </w:r>
      <w:r w:rsidRPr="0023383E">
        <w:rPr>
          <w:rFonts w:ascii="Palatino Linotype" w:hAnsi="Palatino Linotype"/>
          <w:szCs w:val="22"/>
          <w:lang w:val="es-MX" w:eastAsia="es-MX"/>
        </w:rPr>
        <w:t xml:space="preserve"> y </w:t>
      </w:r>
      <w:r w:rsidRPr="0023383E">
        <w:rPr>
          <w:rFonts w:ascii="Palatino Linotype" w:hAnsi="Palatino Linotype"/>
          <w:i/>
          <w:szCs w:val="22"/>
          <w:lang w:val="es-MX" w:eastAsia="es-MX"/>
        </w:rPr>
        <w:t>“13.pdf”</w:t>
      </w:r>
      <w:r w:rsidRPr="0023383E">
        <w:rPr>
          <w:rFonts w:ascii="Palatino Linotype" w:hAnsi="Palatino Linotype"/>
          <w:szCs w:val="22"/>
          <w:lang w:val="es-MX" w:eastAsia="es-MX"/>
        </w:rPr>
        <w:t>; los cuales, no se insertan por ser del conocimiento de las partes, sin embargo, serán motivo de estudio en el Considerando respectivo.</w:t>
      </w:r>
    </w:p>
    <w:p w:rsidR="00E74701" w:rsidRPr="0023383E" w:rsidRDefault="00E74701" w:rsidP="00E74701">
      <w:pPr>
        <w:ind w:right="567"/>
        <w:jc w:val="both"/>
        <w:rPr>
          <w:rFonts w:ascii="Palatino Linotype" w:hAnsi="Palatino Linotype"/>
          <w:i/>
          <w:szCs w:val="22"/>
          <w:lang w:val="es-MX" w:eastAsia="es-MX"/>
        </w:rPr>
      </w:pPr>
    </w:p>
    <w:p w:rsidR="0029071C" w:rsidRPr="0023383E" w:rsidRDefault="0029071C" w:rsidP="0029071C">
      <w:pPr>
        <w:spacing w:line="360" w:lineRule="auto"/>
        <w:jc w:val="both"/>
        <w:rPr>
          <w:rFonts w:ascii="Palatino Linotype" w:eastAsiaTheme="minorHAnsi" w:hAnsi="Palatino Linotype" w:cs="Arial"/>
          <w:b/>
          <w:sz w:val="28"/>
          <w:lang w:val="es-MX" w:eastAsia="en-US"/>
        </w:rPr>
      </w:pPr>
      <w:r w:rsidRPr="0023383E">
        <w:rPr>
          <w:rFonts w:ascii="Palatino Linotype" w:eastAsiaTheme="minorHAnsi" w:hAnsi="Palatino Linotype" w:cs="Arial"/>
          <w:b/>
          <w:sz w:val="28"/>
          <w:lang w:val="es-MX" w:eastAsia="en-US"/>
        </w:rPr>
        <w:lastRenderedPageBreak/>
        <w:t>TERCERO. Del recurso de revisión.</w:t>
      </w:r>
    </w:p>
    <w:p w:rsidR="0029071C" w:rsidRPr="0023383E" w:rsidRDefault="0029071C" w:rsidP="0029071C">
      <w:pPr>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 xml:space="preserve">Inconforme con la respuesta por parte del </w:t>
      </w:r>
      <w:r w:rsidRPr="0023383E">
        <w:rPr>
          <w:rFonts w:ascii="Palatino Linotype" w:eastAsiaTheme="minorHAnsi" w:hAnsi="Palatino Linotype" w:cs="Arial"/>
          <w:b/>
          <w:lang w:val="es-MX" w:eastAsia="en-US"/>
        </w:rPr>
        <w:t>Sujeto Obligado</w:t>
      </w:r>
      <w:r w:rsidRPr="0023383E">
        <w:rPr>
          <w:rFonts w:ascii="Palatino Linotype" w:eastAsiaTheme="minorHAnsi" w:hAnsi="Palatino Linotype" w:cs="Arial"/>
          <w:lang w:val="es-MX" w:eastAsia="en-US"/>
        </w:rPr>
        <w:t xml:space="preserve">, el ahora </w:t>
      </w:r>
      <w:r w:rsidRPr="0023383E">
        <w:rPr>
          <w:rFonts w:ascii="Palatino Linotype" w:eastAsiaTheme="minorHAnsi" w:hAnsi="Palatino Linotype" w:cs="Arial"/>
          <w:b/>
          <w:lang w:val="es-MX" w:eastAsia="en-US"/>
        </w:rPr>
        <w:t>Recurrente</w:t>
      </w:r>
      <w:r w:rsidRPr="0023383E">
        <w:rPr>
          <w:rFonts w:ascii="Palatino Linotype" w:eastAsiaTheme="minorHAnsi" w:hAnsi="Palatino Linotype" w:cs="Arial"/>
          <w:lang w:val="es-MX" w:eastAsia="en-US"/>
        </w:rPr>
        <w:t xml:space="preserve"> interpuso el presente recurso de revisión en fecha </w:t>
      </w:r>
      <w:r w:rsidR="00E74701" w:rsidRPr="0023383E">
        <w:rPr>
          <w:rFonts w:ascii="Palatino Linotype" w:eastAsiaTheme="minorHAnsi" w:hAnsi="Palatino Linotype" w:cs="Arial"/>
          <w:lang w:val="es-MX" w:eastAsia="en-US"/>
        </w:rPr>
        <w:t>seis de octubre</w:t>
      </w:r>
      <w:r w:rsidRPr="0023383E">
        <w:rPr>
          <w:rFonts w:ascii="Palatino Linotype" w:eastAsiaTheme="minorHAnsi" w:hAnsi="Palatino Linotype" w:cs="Arial"/>
          <w:lang w:val="es-MX" w:eastAsia="en-US"/>
        </w:rPr>
        <w:t xml:space="preserve"> de dos mil veintiuno, el cual fue registrado</w:t>
      </w:r>
      <w:r w:rsidRPr="0023383E">
        <w:rPr>
          <w:rFonts w:ascii="Palatino Linotype" w:eastAsiaTheme="minorHAnsi" w:hAnsi="Palatino Linotype" w:cs="Arial"/>
          <w:b/>
          <w:lang w:val="es-MX" w:eastAsia="en-US"/>
        </w:rPr>
        <w:t xml:space="preserve"> </w:t>
      </w:r>
      <w:r w:rsidRPr="0023383E">
        <w:rPr>
          <w:rFonts w:ascii="Palatino Linotype" w:eastAsiaTheme="minorHAnsi" w:hAnsi="Palatino Linotype" w:cs="Arial"/>
          <w:lang w:val="es-MX" w:eastAsia="en-US"/>
        </w:rPr>
        <w:t xml:space="preserve">en el sistema electrónico con el expediente número </w:t>
      </w:r>
      <w:r w:rsidR="00E74701" w:rsidRPr="0023383E">
        <w:rPr>
          <w:rFonts w:ascii="Palatino Linotype" w:eastAsiaTheme="minorHAnsi" w:hAnsi="Palatino Linotype" w:cs="Arial"/>
          <w:b/>
          <w:bCs/>
          <w:lang w:val="es-MX" w:eastAsia="es-MX"/>
        </w:rPr>
        <w:t>04955</w:t>
      </w:r>
      <w:r w:rsidRPr="0023383E">
        <w:rPr>
          <w:rFonts w:ascii="Palatino Linotype" w:eastAsiaTheme="minorHAnsi" w:hAnsi="Palatino Linotype" w:cs="Arial"/>
          <w:b/>
          <w:bCs/>
          <w:lang w:val="es-MX" w:eastAsia="es-MX"/>
        </w:rPr>
        <w:t>/INFOEM/IP/RR/2021</w:t>
      </w:r>
      <w:r w:rsidRPr="0023383E">
        <w:rPr>
          <w:rFonts w:ascii="Palatino Linotype" w:eastAsiaTheme="minorHAnsi" w:hAnsi="Palatino Linotype" w:cs="Arial"/>
          <w:lang w:val="es-MX" w:eastAsia="en-US"/>
        </w:rPr>
        <w:t>, en el cual aduce, las siguientes manifestaciones:</w:t>
      </w:r>
    </w:p>
    <w:p w:rsidR="0029071C" w:rsidRPr="0023383E" w:rsidRDefault="0029071C" w:rsidP="0029071C">
      <w:pPr>
        <w:rPr>
          <w:lang w:val="es-MX"/>
        </w:rPr>
      </w:pPr>
    </w:p>
    <w:p w:rsidR="0029071C" w:rsidRPr="0023383E" w:rsidRDefault="0029071C" w:rsidP="0029071C">
      <w:pPr>
        <w:rPr>
          <w:sz w:val="10"/>
          <w:lang w:val="es-MX"/>
        </w:rPr>
      </w:pPr>
    </w:p>
    <w:p w:rsidR="0029071C" w:rsidRPr="0023383E" w:rsidRDefault="0029071C" w:rsidP="00E74701">
      <w:pPr>
        <w:numPr>
          <w:ilvl w:val="0"/>
          <w:numId w:val="15"/>
        </w:numPr>
        <w:spacing w:line="259" w:lineRule="auto"/>
        <w:jc w:val="both"/>
        <w:rPr>
          <w:rFonts w:ascii="Palatino Linotype" w:hAnsi="Palatino Linotype" w:cs="Arial"/>
          <w:b/>
        </w:rPr>
      </w:pPr>
      <w:r w:rsidRPr="0023383E">
        <w:rPr>
          <w:rFonts w:ascii="Palatino Linotype" w:hAnsi="Palatino Linotype" w:cs="Arial"/>
          <w:b/>
        </w:rPr>
        <w:t>Acto Impugnado:</w:t>
      </w:r>
    </w:p>
    <w:p w:rsidR="0029071C" w:rsidRPr="0023383E" w:rsidRDefault="0029071C" w:rsidP="00E74701">
      <w:pPr>
        <w:jc w:val="both"/>
        <w:rPr>
          <w:rFonts w:ascii="Palatino Linotype" w:hAnsi="Palatino Linotype"/>
          <w:i/>
          <w:sz w:val="22"/>
          <w:szCs w:val="22"/>
          <w:lang w:val="es-MX" w:eastAsia="es-MX"/>
        </w:rPr>
      </w:pPr>
      <w:r w:rsidRPr="0023383E">
        <w:rPr>
          <w:rFonts w:ascii="Palatino Linotype" w:eastAsiaTheme="minorHAnsi" w:hAnsi="Palatino Linotype" w:cstheme="minorBidi"/>
          <w:i/>
          <w:color w:val="000000"/>
          <w:sz w:val="22"/>
          <w:szCs w:val="22"/>
          <w:lang w:val="es-MX" w:eastAsia="en-US"/>
        </w:rPr>
        <w:t>“</w:t>
      </w:r>
      <w:r w:rsidR="00E74701" w:rsidRPr="0023383E">
        <w:rPr>
          <w:rFonts w:ascii="Palatino Linotype" w:eastAsiaTheme="minorHAnsi" w:hAnsi="Palatino Linotype" w:cstheme="minorBidi"/>
          <w:i/>
          <w:color w:val="000000"/>
          <w:sz w:val="22"/>
          <w:szCs w:val="22"/>
          <w:lang w:val="es-MX" w:eastAsia="en-US"/>
        </w:rPr>
        <w:t xml:space="preserve">No se hace entrega de la información que le fue requerida al sujeto obligado a través de la plataforma de transparencia (SAIMEX) en fecha 10/09/2021, registrada con el </w:t>
      </w:r>
      <w:proofErr w:type="spellStart"/>
      <w:r w:rsidR="00E74701" w:rsidRPr="0023383E">
        <w:rPr>
          <w:rFonts w:ascii="Palatino Linotype" w:eastAsiaTheme="minorHAnsi" w:hAnsi="Palatino Linotype" w:cstheme="minorBidi"/>
          <w:i/>
          <w:color w:val="000000"/>
          <w:sz w:val="22"/>
          <w:szCs w:val="22"/>
          <w:lang w:val="es-MX" w:eastAsia="en-US"/>
        </w:rPr>
        <w:t>numero</w:t>
      </w:r>
      <w:proofErr w:type="spellEnd"/>
      <w:r w:rsidR="00E74701" w:rsidRPr="0023383E">
        <w:rPr>
          <w:rFonts w:ascii="Palatino Linotype" w:eastAsiaTheme="minorHAnsi" w:hAnsi="Palatino Linotype" w:cstheme="minorBidi"/>
          <w:i/>
          <w:color w:val="000000"/>
          <w:sz w:val="22"/>
          <w:szCs w:val="22"/>
          <w:lang w:val="es-MX" w:eastAsia="en-US"/>
        </w:rPr>
        <w:t xml:space="preserve"> de folio 00013/IMPIDPD/IP/2021, mediante la cual se requirió la entrega de los Expedientes completos de todas las auditorías de todos los entes de fiscalización, órganos internos de control y cualquier otro organismo con facultades para ejercer auditorías al organismo, de los años 2018,2019,2020 y septiembre 2021</w:t>
      </w:r>
      <w:r w:rsidRPr="0023383E">
        <w:rPr>
          <w:rFonts w:ascii="Palatino Linotype" w:eastAsiaTheme="minorHAnsi" w:hAnsi="Palatino Linotype" w:cstheme="minorBidi"/>
          <w:i/>
          <w:color w:val="000000"/>
          <w:sz w:val="22"/>
          <w:szCs w:val="22"/>
          <w:lang w:val="es-MX" w:eastAsia="en-US"/>
        </w:rPr>
        <w:t>” (Sic).</w:t>
      </w:r>
    </w:p>
    <w:p w:rsidR="0029071C" w:rsidRPr="0023383E" w:rsidRDefault="0029071C" w:rsidP="0029071C">
      <w:pPr>
        <w:rPr>
          <w:sz w:val="12"/>
          <w:lang w:val="es-MX"/>
        </w:rPr>
      </w:pPr>
    </w:p>
    <w:p w:rsidR="0029071C" w:rsidRPr="0023383E" w:rsidRDefault="0029071C" w:rsidP="0029071C">
      <w:pPr>
        <w:rPr>
          <w:sz w:val="12"/>
          <w:lang w:val="es-MX"/>
        </w:rPr>
      </w:pPr>
    </w:p>
    <w:p w:rsidR="0029071C" w:rsidRPr="0023383E" w:rsidRDefault="0029071C" w:rsidP="0029071C">
      <w:pPr>
        <w:rPr>
          <w:sz w:val="12"/>
          <w:lang w:val="es-MX"/>
        </w:rPr>
      </w:pPr>
    </w:p>
    <w:p w:rsidR="0029071C" w:rsidRPr="0023383E" w:rsidRDefault="0029071C" w:rsidP="00E74701">
      <w:pPr>
        <w:numPr>
          <w:ilvl w:val="0"/>
          <w:numId w:val="15"/>
        </w:numPr>
        <w:spacing w:line="259" w:lineRule="auto"/>
        <w:jc w:val="both"/>
        <w:rPr>
          <w:rFonts w:ascii="Palatino Linotype" w:hAnsi="Palatino Linotype" w:cs="Arial"/>
        </w:rPr>
      </w:pPr>
      <w:r w:rsidRPr="0023383E">
        <w:rPr>
          <w:rFonts w:ascii="Palatino Linotype" w:hAnsi="Palatino Linotype" w:cs="Arial"/>
          <w:b/>
        </w:rPr>
        <w:t>Razones o Motivos de Inconformidad</w:t>
      </w:r>
      <w:r w:rsidRPr="0023383E">
        <w:rPr>
          <w:rFonts w:ascii="Palatino Linotype" w:hAnsi="Palatino Linotype" w:cs="Arial"/>
        </w:rPr>
        <w:t xml:space="preserve">: </w:t>
      </w:r>
    </w:p>
    <w:p w:rsidR="00E74701" w:rsidRPr="0023383E" w:rsidRDefault="0029071C" w:rsidP="00E74701">
      <w:pPr>
        <w:jc w:val="both"/>
        <w:rPr>
          <w:rFonts w:ascii="Palatino Linotype" w:hAnsi="Palatino Linotype"/>
          <w:i/>
          <w:sz w:val="22"/>
          <w:szCs w:val="22"/>
          <w:lang w:val="es-MX" w:eastAsia="es-MX"/>
        </w:rPr>
      </w:pPr>
      <w:r w:rsidRPr="0023383E">
        <w:rPr>
          <w:rFonts w:ascii="Palatino Linotype" w:eastAsiaTheme="minorHAnsi" w:hAnsi="Palatino Linotype" w:cs="Arial"/>
          <w:i/>
          <w:sz w:val="22"/>
          <w:szCs w:val="22"/>
          <w:lang w:val="es-MX" w:eastAsia="en-US"/>
        </w:rPr>
        <w:t>“</w:t>
      </w:r>
      <w:r w:rsidR="00E74701" w:rsidRPr="0023383E">
        <w:rPr>
          <w:rFonts w:ascii="Palatino Linotype" w:eastAsiaTheme="minorHAnsi" w:hAnsi="Palatino Linotype" w:cstheme="minorBidi"/>
          <w:i/>
          <w:color w:val="000000"/>
          <w:sz w:val="22"/>
          <w:szCs w:val="22"/>
          <w:lang w:val="es-MX" w:eastAsia="en-US"/>
        </w:rPr>
        <w:t xml:space="preserve">de los hechos se desprende que el sujeto obligado fue omiso en la entrega de la </w:t>
      </w:r>
      <w:proofErr w:type="spellStart"/>
      <w:r w:rsidR="00E74701" w:rsidRPr="0023383E">
        <w:rPr>
          <w:rFonts w:ascii="Palatino Linotype" w:eastAsiaTheme="minorHAnsi" w:hAnsi="Palatino Linotype" w:cstheme="minorBidi"/>
          <w:i/>
          <w:color w:val="000000"/>
          <w:sz w:val="22"/>
          <w:szCs w:val="22"/>
          <w:lang w:val="es-MX" w:eastAsia="en-US"/>
        </w:rPr>
        <w:t>informaciòn</w:t>
      </w:r>
      <w:proofErr w:type="spellEnd"/>
      <w:r w:rsidR="00E74701" w:rsidRPr="0023383E">
        <w:rPr>
          <w:rFonts w:ascii="Palatino Linotype" w:eastAsiaTheme="minorHAnsi" w:hAnsi="Palatino Linotype" w:cstheme="minorBidi"/>
          <w:i/>
          <w:color w:val="000000"/>
          <w:sz w:val="22"/>
          <w:szCs w:val="22"/>
          <w:lang w:val="es-MX" w:eastAsia="en-US"/>
        </w:rPr>
        <w:t xml:space="preserve">, en los plazos y términos que para tal efecto establece el </w:t>
      </w:r>
      <w:proofErr w:type="spellStart"/>
      <w:r w:rsidR="00E74701" w:rsidRPr="0023383E">
        <w:rPr>
          <w:rFonts w:ascii="Palatino Linotype" w:eastAsiaTheme="minorHAnsi" w:hAnsi="Palatino Linotype" w:cstheme="minorBidi"/>
          <w:i/>
          <w:color w:val="000000"/>
          <w:sz w:val="22"/>
          <w:szCs w:val="22"/>
          <w:lang w:val="es-MX" w:eastAsia="en-US"/>
        </w:rPr>
        <w:t>articulo</w:t>
      </w:r>
      <w:proofErr w:type="spellEnd"/>
      <w:r w:rsidR="00E74701" w:rsidRPr="0023383E">
        <w:rPr>
          <w:rFonts w:ascii="Palatino Linotype" w:eastAsiaTheme="minorHAnsi" w:hAnsi="Palatino Linotype" w:cstheme="minorBidi"/>
          <w:i/>
          <w:color w:val="000000"/>
          <w:sz w:val="22"/>
          <w:szCs w:val="22"/>
          <w:lang w:val="es-MX" w:eastAsia="en-US"/>
        </w:rPr>
        <w:t xml:space="preserve"> 163 de la Ley de Transparencia y Acceso a la Información </w:t>
      </w:r>
      <w:proofErr w:type="spellStart"/>
      <w:r w:rsidR="00E74701" w:rsidRPr="0023383E">
        <w:rPr>
          <w:rFonts w:ascii="Palatino Linotype" w:eastAsiaTheme="minorHAnsi" w:hAnsi="Palatino Linotype" w:cstheme="minorBidi"/>
          <w:i/>
          <w:color w:val="000000"/>
          <w:sz w:val="22"/>
          <w:szCs w:val="22"/>
          <w:lang w:val="es-MX" w:eastAsia="en-US"/>
        </w:rPr>
        <w:t>Pùblica</w:t>
      </w:r>
      <w:proofErr w:type="spellEnd"/>
      <w:r w:rsidR="00E74701" w:rsidRPr="0023383E">
        <w:rPr>
          <w:rFonts w:ascii="Palatino Linotype" w:eastAsiaTheme="minorHAnsi" w:hAnsi="Palatino Linotype" w:cstheme="minorBidi"/>
          <w:i/>
          <w:color w:val="000000"/>
          <w:sz w:val="22"/>
          <w:szCs w:val="22"/>
          <w:lang w:val="es-MX" w:eastAsia="en-US"/>
        </w:rPr>
        <w:t xml:space="preserve"> del Estado de </w:t>
      </w:r>
      <w:proofErr w:type="spellStart"/>
      <w:r w:rsidR="00E74701" w:rsidRPr="0023383E">
        <w:rPr>
          <w:rFonts w:ascii="Palatino Linotype" w:eastAsiaTheme="minorHAnsi" w:hAnsi="Palatino Linotype" w:cstheme="minorBidi"/>
          <w:i/>
          <w:color w:val="000000"/>
          <w:sz w:val="22"/>
          <w:szCs w:val="22"/>
          <w:lang w:val="es-MX" w:eastAsia="en-US"/>
        </w:rPr>
        <w:t>Mèxico</w:t>
      </w:r>
      <w:proofErr w:type="spellEnd"/>
      <w:r w:rsidR="00E74701" w:rsidRPr="0023383E">
        <w:rPr>
          <w:rFonts w:ascii="Palatino Linotype" w:eastAsiaTheme="minorHAnsi" w:hAnsi="Palatino Linotype" w:cstheme="minorBidi"/>
          <w:i/>
          <w:color w:val="000000"/>
          <w:sz w:val="22"/>
          <w:szCs w:val="22"/>
          <w:lang w:val="es-MX" w:eastAsia="en-US"/>
        </w:rPr>
        <w:t xml:space="preserve"> y Municipios, así mismo es de observarse que en la entrega de la información se agrega un acta relativa a la primera sesión extraordinaria 2021 del comité de transparencia del sujeto obligado en comento, no obstante, dicha acta carece de toda legalidad, al no obrar las firmas autógrafas de quienes en ella intervienen, incluso ni siquiera la de la persona que ejerce la titularidad de la unidad de transparencia, máxime que en la misma incluso se hace referencia a la participación en el comité del representante de la secretaria de la contraloría, lo cual evidencia que dicho documento carece de toda certeza y legalidad jurídica e incluso de haberse llevado a cabo la supuesta sesión es absolutamente necesario contar con las firmas de los intervinientes, toda vez que a través de la misma se ratifica la conformidad de los participantes en cuanto a la veracidad de los acuerdos. Por otra parte, el documento en el que se anexa la respuesta no contiene los requisitos que se señalan de manera obligatoria en el artículo 177 del ya citado ordenamiento legal. Finalmente es de señalar que el argumento expuesto en el acta en el punto IV del orden del día, en el que la titular expone la falta de capacidad técnica, administrativa y humana del organismo parece no justificada, toda vez que señala incluso el número de personas que laboran en el organismo y teniendo en consideración que cada área cuenta con un servidor público habilitado lo que se acredita de la consulta de las actas que obran en el propio portal de IPOMEX del Instituto en el que se entregaron los nombramientos (sirva de consulta el apartado </w:t>
      </w:r>
      <w:r w:rsidR="00E74701" w:rsidRPr="0023383E">
        <w:rPr>
          <w:rFonts w:ascii="Palatino Linotype" w:eastAsiaTheme="minorHAnsi" w:hAnsi="Palatino Linotype" w:cstheme="minorBidi"/>
          <w:i/>
          <w:color w:val="000000"/>
          <w:sz w:val="22"/>
          <w:szCs w:val="22"/>
          <w:lang w:val="es-MX" w:eastAsia="en-US"/>
        </w:rPr>
        <w:lastRenderedPageBreak/>
        <w:t xml:space="preserve">https://www.ipomex.org.mx/ipo3/lgt/indice/IMPIDPD/art_92_xliii_a.web) parece no justificarse dicho argumento, ya que tampoco agrega evidencia de haberse turnado al área correspondiente y que el servidor </w:t>
      </w:r>
      <w:proofErr w:type="spellStart"/>
      <w:r w:rsidR="00E74701" w:rsidRPr="0023383E">
        <w:rPr>
          <w:rFonts w:ascii="Palatino Linotype" w:eastAsiaTheme="minorHAnsi" w:hAnsi="Palatino Linotype" w:cstheme="minorBidi"/>
          <w:i/>
          <w:color w:val="000000"/>
          <w:sz w:val="22"/>
          <w:szCs w:val="22"/>
          <w:lang w:val="es-MX" w:eastAsia="en-US"/>
        </w:rPr>
        <w:t>publico</w:t>
      </w:r>
      <w:proofErr w:type="spellEnd"/>
      <w:r w:rsidR="00E74701" w:rsidRPr="0023383E">
        <w:rPr>
          <w:rFonts w:ascii="Palatino Linotype" w:eastAsiaTheme="minorHAnsi" w:hAnsi="Palatino Linotype" w:cstheme="minorBidi"/>
          <w:i/>
          <w:color w:val="000000"/>
          <w:sz w:val="22"/>
          <w:szCs w:val="22"/>
          <w:lang w:val="es-MX" w:eastAsia="en-US"/>
        </w:rPr>
        <w:t xml:space="preserve"> habilitado externara dicha imposibilidad de entregar la información, y que lo hiciera bajo los mecanismos establecidos para tal efecto como lo es la respuesta del servidor </w:t>
      </w:r>
      <w:proofErr w:type="spellStart"/>
      <w:r w:rsidR="00E74701" w:rsidRPr="0023383E">
        <w:rPr>
          <w:rFonts w:ascii="Palatino Linotype" w:eastAsiaTheme="minorHAnsi" w:hAnsi="Palatino Linotype" w:cstheme="minorBidi"/>
          <w:i/>
          <w:color w:val="000000"/>
          <w:sz w:val="22"/>
          <w:szCs w:val="22"/>
          <w:lang w:val="es-MX" w:eastAsia="en-US"/>
        </w:rPr>
        <w:t>publico</w:t>
      </w:r>
      <w:proofErr w:type="spellEnd"/>
      <w:r w:rsidR="00E74701" w:rsidRPr="0023383E">
        <w:rPr>
          <w:rFonts w:ascii="Palatino Linotype" w:eastAsiaTheme="minorHAnsi" w:hAnsi="Palatino Linotype" w:cstheme="minorBidi"/>
          <w:i/>
          <w:color w:val="000000"/>
          <w:sz w:val="22"/>
          <w:szCs w:val="22"/>
          <w:lang w:val="es-MX" w:eastAsia="en-US"/>
        </w:rPr>
        <w:t xml:space="preserve"> habilitado por medio de la plataforma de transparencia al remitir la respuesta al titular de la unidad de transparencia por medio de su cuenta de usuario.</w:t>
      </w:r>
      <w:r w:rsidRPr="0023383E">
        <w:rPr>
          <w:rFonts w:ascii="Palatino Linotype" w:eastAsiaTheme="minorHAnsi" w:hAnsi="Palatino Linotype" w:cstheme="minorBidi"/>
          <w:i/>
          <w:color w:val="000000"/>
          <w:sz w:val="22"/>
          <w:szCs w:val="22"/>
          <w:lang w:val="es-MX" w:eastAsia="en-US"/>
        </w:rPr>
        <w:t>” (Sic)</w:t>
      </w:r>
    </w:p>
    <w:p w:rsidR="00E74701" w:rsidRPr="0023383E" w:rsidRDefault="00E74701" w:rsidP="0029071C">
      <w:pPr>
        <w:spacing w:line="360" w:lineRule="auto"/>
        <w:jc w:val="both"/>
        <w:rPr>
          <w:rFonts w:ascii="Palatino Linotype" w:eastAsiaTheme="minorHAnsi" w:hAnsi="Palatino Linotype" w:cs="Arial"/>
          <w:b/>
          <w:lang w:val="es-MX" w:eastAsia="en-US"/>
        </w:rPr>
      </w:pPr>
    </w:p>
    <w:p w:rsidR="0029071C" w:rsidRPr="0023383E" w:rsidRDefault="0029071C" w:rsidP="0029071C">
      <w:pPr>
        <w:spacing w:line="360" w:lineRule="auto"/>
        <w:jc w:val="both"/>
        <w:rPr>
          <w:rFonts w:ascii="Palatino Linotype" w:eastAsiaTheme="minorHAnsi" w:hAnsi="Palatino Linotype" w:cs="Arial"/>
          <w:b/>
          <w:sz w:val="28"/>
          <w:lang w:val="es-MX" w:eastAsia="en-US"/>
        </w:rPr>
      </w:pPr>
      <w:r w:rsidRPr="0023383E">
        <w:rPr>
          <w:rFonts w:ascii="Palatino Linotype" w:eastAsiaTheme="minorHAnsi" w:hAnsi="Palatino Linotype" w:cs="Arial"/>
          <w:b/>
          <w:sz w:val="28"/>
          <w:lang w:val="es-MX" w:eastAsia="en-US"/>
        </w:rPr>
        <w:t>CUARTO. Del turno del recurso de revisión.</w:t>
      </w:r>
    </w:p>
    <w:p w:rsidR="0029071C" w:rsidRPr="0023383E" w:rsidRDefault="0029071C" w:rsidP="0029071C">
      <w:pPr>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 xml:space="preserve">Medio de impugnación </w:t>
      </w:r>
      <w:r w:rsidR="00E74701" w:rsidRPr="0023383E">
        <w:rPr>
          <w:rFonts w:ascii="Palatino Linotype" w:eastAsiaTheme="minorHAnsi" w:hAnsi="Palatino Linotype" w:cs="Arial"/>
          <w:lang w:val="es-MX" w:eastAsia="en-US"/>
        </w:rPr>
        <w:t>que le fue turnado al</w:t>
      </w:r>
      <w:r w:rsidRPr="0023383E">
        <w:rPr>
          <w:rFonts w:ascii="Palatino Linotype" w:eastAsiaTheme="minorHAnsi" w:hAnsi="Palatino Linotype" w:cs="Arial"/>
          <w:lang w:val="es-MX" w:eastAsia="en-US"/>
        </w:rPr>
        <w:t xml:space="preserve"> </w:t>
      </w:r>
      <w:r w:rsidR="00E74701" w:rsidRPr="0023383E">
        <w:rPr>
          <w:rFonts w:ascii="Palatino Linotype" w:eastAsiaTheme="minorHAnsi" w:hAnsi="Palatino Linotype" w:cs="Arial"/>
          <w:lang w:val="es-MX" w:eastAsia="en-US"/>
        </w:rPr>
        <w:t>Comisionado Presidente</w:t>
      </w:r>
      <w:r w:rsidRPr="0023383E">
        <w:rPr>
          <w:rFonts w:ascii="Palatino Linotype" w:eastAsiaTheme="minorHAnsi" w:hAnsi="Palatino Linotype" w:cs="Arial"/>
          <w:lang w:val="es-MX" w:eastAsia="en-US"/>
        </w:rPr>
        <w:t xml:space="preserve"> </w:t>
      </w:r>
      <w:r w:rsidR="00E74701" w:rsidRPr="0023383E">
        <w:rPr>
          <w:rFonts w:ascii="Palatino Linotype" w:eastAsiaTheme="minorHAnsi" w:hAnsi="Palatino Linotype" w:cs="Arial"/>
          <w:b/>
          <w:lang w:val="es-MX" w:eastAsia="en-US"/>
        </w:rPr>
        <w:t>José Martínez Vilchis</w:t>
      </w:r>
      <w:r w:rsidRPr="0023383E">
        <w:rPr>
          <w:rFonts w:ascii="Palatino Linotype" w:eastAsiaTheme="minorHAnsi" w:hAnsi="Palatino Linotype" w:cs="Arial"/>
          <w:lang w:val="es-MX" w:eastAsia="en-US"/>
        </w:rPr>
        <w:t xml:space="preserve">, por medio del sistema electrónico, en términos del arábigo 185, fracción I, de la Ley de Transparencia y Acceso a la información Pública del Estado de México y Municipios, del cual recayó acuerdo de admisión en fecha </w:t>
      </w:r>
      <w:r w:rsidR="00E74701" w:rsidRPr="0023383E">
        <w:rPr>
          <w:rFonts w:ascii="Palatino Linotype" w:eastAsiaTheme="minorHAnsi" w:hAnsi="Palatino Linotype" w:cs="Arial"/>
          <w:lang w:val="es-MX" w:eastAsia="en-US"/>
        </w:rPr>
        <w:t>once de octubre</w:t>
      </w:r>
      <w:r w:rsidRPr="0023383E">
        <w:rPr>
          <w:rFonts w:ascii="Palatino Linotype" w:eastAsiaTheme="minorHAnsi" w:hAnsi="Palatino Linotype" w:cs="Arial"/>
          <w:lang w:val="es-MX" w:eastAsia="en-US"/>
        </w:rPr>
        <w:t xml:space="preserve"> del año en curso, determinándose en él, un plazo de siete días para que las partes manifestaran lo que a su derecho corresponda en términos del numeral ya citado.</w:t>
      </w:r>
    </w:p>
    <w:p w:rsidR="0029071C" w:rsidRPr="0023383E" w:rsidRDefault="0029071C" w:rsidP="0029071C">
      <w:pPr>
        <w:spacing w:after="160" w:line="259" w:lineRule="auto"/>
        <w:rPr>
          <w:rFonts w:asciiTheme="minorHAnsi" w:eastAsiaTheme="minorHAnsi" w:hAnsiTheme="minorHAnsi" w:cstheme="minorBidi"/>
          <w:szCs w:val="22"/>
          <w:lang w:val="es-MX" w:eastAsia="en-US"/>
        </w:rPr>
      </w:pPr>
    </w:p>
    <w:p w:rsidR="0029071C" w:rsidRPr="0023383E" w:rsidRDefault="0029071C" w:rsidP="0029071C">
      <w:pPr>
        <w:spacing w:line="360" w:lineRule="auto"/>
        <w:jc w:val="both"/>
        <w:rPr>
          <w:rFonts w:ascii="Palatino Linotype" w:eastAsiaTheme="minorHAnsi" w:hAnsi="Palatino Linotype" w:cs="Arial"/>
          <w:b/>
          <w:sz w:val="28"/>
          <w:lang w:val="es-MX" w:eastAsia="en-US"/>
        </w:rPr>
      </w:pPr>
      <w:r w:rsidRPr="0023383E">
        <w:rPr>
          <w:rFonts w:ascii="Palatino Linotype" w:eastAsiaTheme="minorHAnsi" w:hAnsi="Palatino Linotype" w:cs="Arial"/>
          <w:b/>
          <w:sz w:val="28"/>
          <w:lang w:val="es-MX" w:eastAsia="en-US"/>
        </w:rPr>
        <w:t>QUINTO. De la etapa de manifestaciones y/o alegatos.</w:t>
      </w:r>
    </w:p>
    <w:p w:rsidR="0029071C" w:rsidRPr="0023383E" w:rsidRDefault="0029071C" w:rsidP="00E74701">
      <w:pPr>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 xml:space="preserve">Así, una vez transcurrido el término legal referido se destaca que </w:t>
      </w:r>
      <w:r w:rsidRPr="0023383E">
        <w:rPr>
          <w:rFonts w:ascii="Palatino Linotype" w:eastAsiaTheme="minorHAnsi" w:hAnsi="Palatino Linotype" w:cs="Arial"/>
          <w:b/>
          <w:lang w:val="es-MX" w:eastAsia="en-US"/>
        </w:rPr>
        <w:t>El Sujeto Obligado</w:t>
      </w:r>
      <w:r w:rsidRPr="0023383E">
        <w:rPr>
          <w:rFonts w:ascii="Palatino Linotype" w:eastAsiaTheme="minorHAnsi" w:hAnsi="Palatino Linotype" w:cs="Arial"/>
          <w:lang w:val="es-MX" w:eastAsia="en-US"/>
        </w:rPr>
        <w:t xml:space="preserve"> fue omiso en remitir su Informe Justificado; por su parte el </w:t>
      </w:r>
      <w:r w:rsidRPr="0023383E">
        <w:rPr>
          <w:rFonts w:ascii="Palatino Linotype" w:eastAsiaTheme="minorHAnsi" w:hAnsi="Palatino Linotype" w:cs="Arial"/>
          <w:b/>
          <w:lang w:val="es-MX" w:eastAsia="en-US"/>
        </w:rPr>
        <w:t>Recurrente</w:t>
      </w:r>
      <w:r w:rsidRPr="0023383E">
        <w:rPr>
          <w:rFonts w:ascii="Palatino Linotype" w:eastAsiaTheme="minorHAnsi" w:hAnsi="Palatino Linotype" w:cs="Arial"/>
          <w:lang w:val="es-MX" w:eastAsia="en-US"/>
        </w:rPr>
        <w:t>, tampoco remitió alegatos, pruebas o manifestaciones, lo anterior de conformidad con la siguiente imagen</w:t>
      </w:r>
      <w:r w:rsidR="00E74701" w:rsidRPr="0023383E">
        <w:rPr>
          <w:rFonts w:ascii="Palatino Linotype" w:eastAsiaTheme="minorHAnsi" w:hAnsi="Palatino Linotype" w:cs="Arial"/>
          <w:lang w:val="es-MX" w:eastAsia="en-US"/>
        </w:rPr>
        <w:t>:</w:t>
      </w:r>
    </w:p>
    <w:p w:rsidR="0029071C" w:rsidRPr="0023383E" w:rsidRDefault="00E74701" w:rsidP="0029071C">
      <w:pPr>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noProof/>
          <w:lang w:val="es-MX" w:eastAsia="es-MX"/>
        </w:rPr>
        <w:drawing>
          <wp:inline distT="0" distB="0" distL="0" distR="0">
            <wp:extent cx="5788660" cy="1534795"/>
            <wp:effectExtent l="0" t="0" r="2540" b="82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88660" cy="1534795"/>
                    </a:xfrm>
                    <a:prstGeom prst="rect">
                      <a:avLst/>
                    </a:prstGeom>
                    <a:noFill/>
                    <a:ln>
                      <a:noFill/>
                    </a:ln>
                  </pic:spPr>
                </pic:pic>
              </a:graphicData>
            </a:graphic>
          </wp:inline>
        </w:drawing>
      </w:r>
    </w:p>
    <w:p w:rsidR="0029071C" w:rsidRPr="0023383E" w:rsidRDefault="0029071C" w:rsidP="0029071C">
      <w:pPr>
        <w:tabs>
          <w:tab w:val="left" w:pos="3206"/>
        </w:tabs>
        <w:spacing w:line="360" w:lineRule="auto"/>
        <w:jc w:val="both"/>
        <w:rPr>
          <w:rFonts w:ascii="Palatino Linotype" w:eastAsiaTheme="minorHAnsi" w:hAnsi="Palatino Linotype" w:cs="Arial"/>
          <w:b/>
          <w:sz w:val="28"/>
          <w:lang w:val="es-MX" w:eastAsia="en-US"/>
        </w:rPr>
      </w:pPr>
      <w:r w:rsidRPr="0023383E">
        <w:rPr>
          <w:rFonts w:ascii="Palatino Linotype" w:eastAsiaTheme="minorHAnsi" w:hAnsi="Palatino Linotype" w:cs="Arial"/>
          <w:b/>
          <w:sz w:val="28"/>
          <w:lang w:val="es-MX" w:eastAsia="en-US"/>
        </w:rPr>
        <w:lastRenderedPageBreak/>
        <w:t>SEXTO. Del cierre de instrucción.</w:t>
      </w:r>
      <w:r w:rsidRPr="0023383E">
        <w:rPr>
          <w:rFonts w:ascii="Palatino Linotype" w:eastAsiaTheme="minorHAnsi" w:hAnsi="Palatino Linotype" w:cs="Arial"/>
          <w:b/>
          <w:sz w:val="28"/>
          <w:lang w:val="es-MX" w:eastAsia="en-US"/>
        </w:rPr>
        <w:tab/>
      </w:r>
    </w:p>
    <w:p w:rsidR="0029071C" w:rsidRPr="0023383E" w:rsidRDefault="0029071C" w:rsidP="0029071C">
      <w:pPr>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 xml:space="preserve">Así, una vez transcurrido el término legal, se decretó el cierre de instrucción en fecha </w:t>
      </w:r>
      <w:r w:rsidR="00E74701" w:rsidRPr="0023383E">
        <w:rPr>
          <w:rFonts w:ascii="Palatino Linotype" w:eastAsiaTheme="minorHAnsi" w:hAnsi="Palatino Linotype" w:cs="Arial"/>
          <w:lang w:val="es-MX" w:eastAsia="en-US"/>
        </w:rPr>
        <w:t>veintiuno de octubre</w:t>
      </w:r>
      <w:r w:rsidRPr="0023383E">
        <w:rPr>
          <w:rFonts w:ascii="Palatino Linotype" w:eastAsiaTheme="minorHAnsi" w:hAnsi="Palatino Linotype" w:cs="Arial"/>
          <w:lang w:val="es-MX" w:eastAsia="en-US"/>
        </w:rPr>
        <w:t xml:space="preserve"> del año en curso, en términos del artículo 185, Fracción VI, de la Ley de Transparencia y Acceso a la Información Pública del Estado de México y Municipios, iniciando el término legal para dictar resolución definitiva del asunto.</w:t>
      </w:r>
    </w:p>
    <w:p w:rsidR="0029071C" w:rsidRPr="0023383E" w:rsidRDefault="0029071C" w:rsidP="0029071C">
      <w:pPr>
        <w:spacing w:line="360" w:lineRule="auto"/>
        <w:jc w:val="both"/>
        <w:rPr>
          <w:rFonts w:ascii="Palatino Linotype" w:eastAsiaTheme="minorHAnsi" w:hAnsi="Palatino Linotype" w:cs="Arial"/>
          <w:lang w:val="es-MX" w:eastAsia="en-US"/>
        </w:rPr>
      </w:pPr>
    </w:p>
    <w:p w:rsidR="00E74701" w:rsidRPr="0023383E" w:rsidRDefault="00E74701" w:rsidP="00E74701">
      <w:pPr>
        <w:spacing w:line="360" w:lineRule="auto"/>
        <w:jc w:val="center"/>
        <w:rPr>
          <w:rFonts w:ascii="Palatino Linotype" w:eastAsiaTheme="minorHAnsi" w:hAnsi="Palatino Linotype" w:cs="Arial"/>
          <w:b/>
          <w:sz w:val="28"/>
          <w:lang w:val="es-MX" w:eastAsia="en-US"/>
        </w:rPr>
      </w:pPr>
      <w:r w:rsidRPr="0023383E">
        <w:rPr>
          <w:rFonts w:ascii="Palatino Linotype" w:eastAsiaTheme="minorHAnsi" w:hAnsi="Palatino Linotype" w:cs="Arial"/>
          <w:b/>
          <w:sz w:val="28"/>
          <w:lang w:val="es-MX" w:eastAsia="en-US"/>
        </w:rPr>
        <w:t xml:space="preserve">C O N S I D E R A N D O </w:t>
      </w:r>
    </w:p>
    <w:p w:rsidR="00E74701" w:rsidRPr="0023383E" w:rsidRDefault="00E74701" w:rsidP="00E74701">
      <w:pPr>
        <w:spacing w:line="360" w:lineRule="auto"/>
        <w:jc w:val="center"/>
        <w:rPr>
          <w:rFonts w:ascii="Palatino Linotype" w:eastAsiaTheme="minorHAnsi" w:hAnsi="Palatino Linotype" w:cs="Arial"/>
          <w:b/>
          <w:sz w:val="28"/>
          <w:lang w:val="es-MX" w:eastAsia="en-US"/>
        </w:rPr>
      </w:pPr>
    </w:p>
    <w:p w:rsidR="0029071C" w:rsidRPr="0023383E" w:rsidRDefault="0029071C" w:rsidP="0029071C">
      <w:pPr>
        <w:spacing w:line="360" w:lineRule="auto"/>
        <w:jc w:val="both"/>
        <w:rPr>
          <w:rFonts w:ascii="Palatino Linotype" w:eastAsiaTheme="minorHAnsi" w:hAnsi="Palatino Linotype" w:cs="Arial"/>
          <w:sz w:val="28"/>
          <w:lang w:val="es-MX" w:eastAsia="en-US"/>
        </w:rPr>
      </w:pPr>
      <w:r w:rsidRPr="0023383E">
        <w:rPr>
          <w:rFonts w:ascii="Palatino Linotype" w:eastAsiaTheme="minorHAnsi" w:hAnsi="Palatino Linotype" w:cs="Arial"/>
          <w:b/>
          <w:sz w:val="28"/>
          <w:lang w:val="es-MX" w:eastAsia="en-US"/>
        </w:rPr>
        <w:t>PRIMERO. De la competencia</w:t>
      </w:r>
      <w:r w:rsidRPr="0023383E">
        <w:rPr>
          <w:rFonts w:ascii="Palatino Linotype" w:eastAsiaTheme="minorHAnsi" w:hAnsi="Palatino Linotype" w:cs="Arial"/>
          <w:sz w:val="28"/>
          <w:lang w:val="es-MX" w:eastAsia="en-US"/>
        </w:rPr>
        <w:t>.</w:t>
      </w:r>
    </w:p>
    <w:p w:rsidR="0029071C" w:rsidRPr="0023383E" w:rsidRDefault="0029071C" w:rsidP="00E74701">
      <w:pPr>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Este Instituto de Transparencia, Acceso a la Información Pública y Protección de Datos Personales del Estado de México y Municipios, es competente para conocer y resolver el presente recurso de revisión, conforme a lo dispuesto en los artículos 6, apartado A, fracción IV, de la Constitución Política de los Estados Unidos Mexicanos; 5, párrafos trigésimo, trigésimo primero y trigésimo segundo,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10, 7, 9 fracciones I y XXIV, y 11 del Reglamento Interior del Instituto de Transparencia, Acceso a la Información Pública y Protección de Datos Personales del</w:t>
      </w:r>
      <w:r w:rsidR="00E74701" w:rsidRPr="0023383E">
        <w:rPr>
          <w:rFonts w:ascii="Palatino Linotype" w:eastAsiaTheme="minorHAnsi" w:hAnsi="Palatino Linotype" w:cs="Arial"/>
          <w:lang w:val="es-MX" w:eastAsia="en-US"/>
        </w:rPr>
        <w:t xml:space="preserve"> Estado de México y Municipios.</w:t>
      </w:r>
    </w:p>
    <w:p w:rsidR="00E74701" w:rsidRPr="0023383E" w:rsidRDefault="00E74701" w:rsidP="00E74701">
      <w:pPr>
        <w:spacing w:line="360" w:lineRule="auto"/>
        <w:jc w:val="both"/>
        <w:rPr>
          <w:rFonts w:ascii="Palatino Linotype" w:eastAsiaTheme="minorHAnsi" w:hAnsi="Palatino Linotype" w:cs="Arial"/>
          <w:lang w:val="es-MX" w:eastAsia="en-US"/>
        </w:rPr>
      </w:pPr>
    </w:p>
    <w:p w:rsidR="00E74701" w:rsidRPr="0023383E" w:rsidRDefault="00E74701" w:rsidP="00E74701">
      <w:pPr>
        <w:spacing w:line="360" w:lineRule="auto"/>
        <w:jc w:val="both"/>
        <w:rPr>
          <w:rFonts w:ascii="Palatino Linotype" w:eastAsiaTheme="minorHAnsi" w:hAnsi="Palatino Linotype" w:cs="Arial"/>
          <w:lang w:val="es-MX" w:eastAsia="en-US"/>
        </w:rPr>
      </w:pPr>
    </w:p>
    <w:p w:rsidR="00E74701" w:rsidRPr="0023383E" w:rsidRDefault="00E74701" w:rsidP="00E74701">
      <w:pPr>
        <w:spacing w:line="360" w:lineRule="auto"/>
        <w:jc w:val="both"/>
        <w:rPr>
          <w:rFonts w:ascii="Palatino Linotype" w:eastAsiaTheme="minorHAnsi" w:hAnsi="Palatino Linotype" w:cs="Arial"/>
          <w:lang w:val="es-MX" w:eastAsia="en-US"/>
        </w:rPr>
      </w:pP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23383E">
        <w:rPr>
          <w:rFonts w:ascii="Palatino Linotype" w:eastAsiaTheme="minorHAnsi" w:hAnsi="Palatino Linotype" w:cs="Arial"/>
          <w:b/>
          <w:sz w:val="28"/>
          <w:lang w:val="es-MX" w:eastAsia="en-US"/>
        </w:rPr>
        <w:lastRenderedPageBreak/>
        <w:t xml:space="preserve">SEGUNDO. De los alcances del Recurso de Revisión. </w:t>
      </w: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Anterior a todo debe destacarse que el recurso de revisión tiene el fin y alcance que señalan los numerales 176, 179, 181 párrafo cuarto, 194 y 195 y demás aplicables de la Ley de Transparencia y Acceso a la Información Pública del Estado de México y Municipios vigente y será analizado conforme a las actuaciones que obren en el expediente electrónico con la finalidad de reparar cualquier posible afectación al derecho de acceso a la información pública y garantizando el principio rector de máxima publicidad.</w:t>
      </w: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23383E" w:rsidRDefault="0029071C" w:rsidP="0029071C">
      <w:pPr>
        <w:spacing w:line="360" w:lineRule="auto"/>
        <w:jc w:val="both"/>
        <w:rPr>
          <w:rFonts w:ascii="Palatino Linotype" w:eastAsia="Calibri" w:hAnsi="Palatino Linotype" w:cs="Arial"/>
          <w:sz w:val="26"/>
          <w:szCs w:val="26"/>
          <w:lang w:val="es-MX"/>
        </w:rPr>
      </w:pPr>
      <w:r w:rsidRPr="0023383E">
        <w:rPr>
          <w:rFonts w:ascii="Palatino Linotype" w:eastAsia="Calibri" w:hAnsi="Palatino Linotype" w:cs="Arial"/>
          <w:b/>
          <w:sz w:val="26"/>
          <w:szCs w:val="26"/>
          <w:lang w:val="es-MX"/>
        </w:rPr>
        <w:t>TERCERO. Cuestiones de previo y especial pronunciamiento.</w:t>
      </w:r>
    </w:p>
    <w:p w:rsidR="0029071C" w:rsidRPr="0023383E" w:rsidRDefault="0029071C" w:rsidP="0029071C">
      <w:pPr>
        <w:spacing w:line="360" w:lineRule="auto"/>
        <w:jc w:val="both"/>
        <w:rPr>
          <w:rFonts w:ascii="Palatino Linotype" w:hAnsi="Palatino Linotype"/>
        </w:rPr>
      </w:pPr>
      <w:r w:rsidRPr="0023383E">
        <w:rPr>
          <w:rFonts w:ascii="Palatino Linotype" w:hAnsi="Palatino Linotype" w:cs="Arial"/>
        </w:rPr>
        <w:t xml:space="preserve">El Recurso de Revisión en estudio contiene los elementos normativos de validez exigidos en </w:t>
      </w:r>
      <w:r w:rsidRPr="0023383E">
        <w:rPr>
          <w:rFonts w:ascii="Palatino Linotype" w:hAnsi="Palatino Linotype"/>
        </w:rPr>
        <w:t xml:space="preserve">la Ley de Transparencia y </w:t>
      </w:r>
      <w:r w:rsidRPr="0023383E">
        <w:rPr>
          <w:rFonts w:ascii="Palatino Linotype" w:hAnsi="Palatino Linotype" w:cs="Arial"/>
          <w:lang w:val="es-ES_tradnl"/>
        </w:rPr>
        <w:t>Acceso a la Información Pública del Estado de México y Municipios</w:t>
      </w:r>
      <w:r w:rsidRPr="0023383E">
        <w:rPr>
          <w:rFonts w:ascii="Palatino Linotype" w:hAnsi="Palatino Linotype"/>
        </w:rPr>
        <w:t>, establecidos en el artículo 180, que enuncia:</w:t>
      </w:r>
    </w:p>
    <w:p w:rsidR="0029071C" w:rsidRPr="0023383E" w:rsidRDefault="0029071C" w:rsidP="0029071C"/>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b/>
          <w:i/>
          <w:sz w:val="22"/>
          <w:szCs w:val="22"/>
        </w:rPr>
        <w:t xml:space="preserve">“Artículo 180. </w:t>
      </w:r>
      <w:r w:rsidRPr="0023383E">
        <w:rPr>
          <w:rFonts w:ascii="Palatino Linotype" w:hAnsi="Palatino Linotype" w:cs="Arial"/>
          <w:i/>
          <w:sz w:val="22"/>
          <w:szCs w:val="22"/>
        </w:rPr>
        <w:t>El recurso de revisión contendrá:</w:t>
      </w: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i/>
          <w:sz w:val="22"/>
          <w:szCs w:val="22"/>
        </w:rPr>
        <w:t>I. El sujeto obligado ante la cual se presentó la solicitud;</w:t>
      </w: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b/>
          <w:i/>
          <w:sz w:val="22"/>
          <w:szCs w:val="22"/>
        </w:rPr>
        <w:t>II. El nombre del solicitante que recurre</w:t>
      </w:r>
      <w:r w:rsidRPr="0023383E">
        <w:rPr>
          <w:rFonts w:ascii="Palatino Linotype" w:hAnsi="Palatino Linotype" w:cs="Arial"/>
          <w:i/>
          <w:sz w:val="22"/>
          <w:szCs w:val="22"/>
        </w:rPr>
        <w:t xml:space="preserve"> o de su representante y, en su caso, del tercero interesado, así como la dirección o medio que señale para recibir notificaciones;</w:t>
      </w: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i/>
          <w:sz w:val="22"/>
          <w:szCs w:val="22"/>
        </w:rPr>
        <w:t>III. El número de folio de respuesta de la solicitud de acceso;</w:t>
      </w: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i/>
          <w:sz w:val="22"/>
          <w:szCs w:val="22"/>
        </w:rPr>
        <w:t>IV. La fecha en que fue notificada la respuesta al solicitante o tuvo conocimiento del acto reclamado, o de presentación de la solicitud, en caso de falta de respuesta;</w:t>
      </w: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i/>
          <w:sz w:val="22"/>
          <w:szCs w:val="22"/>
        </w:rPr>
        <w:t>V. El acto que se recurre;</w:t>
      </w: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i/>
          <w:sz w:val="22"/>
          <w:szCs w:val="22"/>
        </w:rPr>
        <w:t>VI. Las razones o motivos de inconformidad;</w:t>
      </w: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i/>
          <w:sz w:val="22"/>
          <w:szCs w:val="22"/>
        </w:rPr>
        <w:t>VII. La copia de la respuesta que se impugna y, en su caso, de la notificación correspondiente, en el caso de respuesta de la solicitud; y</w:t>
      </w: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i/>
          <w:sz w:val="22"/>
          <w:szCs w:val="22"/>
        </w:rPr>
        <w:t>VIII. Firma del recurrente, en su caso, cuando se presente por escrito, requisito sin el cual se dará trámite al recurso.</w:t>
      </w:r>
    </w:p>
    <w:p w:rsidR="0029071C" w:rsidRPr="0023383E" w:rsidRDefault="0029071C" w:rsidP="0029071C">
      <w:pPr>
        <w:ind w:left="851" w:right="851"/>
        <w:jc w:val="both"/>
        <w:rPr>
          <w:rFonts w:ascii="Palatino Linotype" w:hAnsi="Palatino Linotype" w:cs="Arial"/>
          <w:i/>
          <w:sz w:val="22"/>
          <w:szCs w:val="22"/>
        </w:rPr>
      </w:pP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i/>
          <w:sz w:val="22"/>
          <w:szCs w:val="22"/>
        </w:rPr>
        <w:lastRenderedPageBreak/>
        <w:t>Adicionalmente, se podrán anexar las pruebas y demás elementos que considere procedentes someter a juicio del Instituto.</w:t>
      </w:r>
    </w:p>
    <w:p w:rsidR="0029071C" w:rsidRPr="0023383E" w:rsidRDefault="0029071C" w:rsidP="0029071C">
      <w:pPr>
        <w:ind w:left="851" w:right="851"/>
        <w:jc w:val="both"/>
        <w:rPr>
          <w:rFonts w:ascii="Palatino Linotype" w:hAnsi="Palatino Linotype" w:cs="Arial"/>
          <w:i/>
          <w:sz w:val="22"/>
          <w:szCs w:val="22"/>
        </w:rPr>
      </w:pP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i/>
          <w:sz w:val="22"/>
          <w:szCs w:val="22"/>
        </w:rPr>
        <w:t>En ningún caso será necesario que el particular ratifique el recurso de revisión interpuesto.</w:t>
      </w:r>
    </w:p>
    <w:p w:rsidR="0029071C" w:rsidRPr="0023383E" w:rsidRDefault="0029071C" w:rsidP="0029071C">
      <w:pPr>
        <w:ind w:left="851" w:right="851"/>
        <w:jc w:val="both"/>
        <w:rPr>
          <w:rFonts w:ascii="Palatino Linotype" w:hAnsi="Palatino Linotype" w:cs="Arial"/>
          <w:i/>
          <w:sz w:val="22"/>
          <w:szCs w:val="22"/>
        </w:rPr>
      </w:pPr>
    </w:p>
    <w:p w:rsidR="0029071C" w:rsidRPr="0023383E" w:rsidRDefault="0029071C" w:rsidP="0029071C">
      <w:pPr>
        <w:ind w:left="851" w:right="851"/>
        <w:jc w:val="both"/>
        <w:rPr>
          <w:rFonts w:ascii="Palatino Linotype" w:hAnsi="Palatino Linotype" w:cs="Arial"/>
          <w:i/>
          <w:sz w:val="22"/>
          <w:szCs w:val="22"/>
        </w:rPr>
      </w:pPr>
      <w:r w:rsidRPr="0023383E">
        <w:rPr>
          <w:rFonts w:ascii="Palatino Linotype" w:hAnsi="Palatino Linotype" w:cs="Arial"/>
          <w:b/>
          <w:i/>
          <w:sz w:val="22"/>
          <w:szCs w:val="22"/>
        </w:rPr>
        <w:t>En caso de que el recurso se interponga de manera electrónica no será indispensable que contengan los requisitos establecidos en las fracciones II</w:t>
      </w:r>
      <w:r w:rsidRPr="0023383E">
        <w:rPr>
          <w:rFonts w:ascii="Palatino Linotype" w:hAnsi="Palatino Linotype" w:cs="Arial"/>
          <w:i/>
          <w:sz w:val="22"/>
          <w:szCs w:val="22"/>
        </w:rPr>
        <w:t>, IV, VII y VIII.”</w:t>
      </w:r>
    </w:p>
    <w:p w:rsidR="0029071C" w:rsidRPr="0023383E" w:rsidRDefault="0029071C" w:rsidP="0029071C">
      <w:pPr>
        <w:ind w:left="851" w:right="851"/>
        <w:jc w:val="right"/>
        <w:rPr>
          <w:rFonts w:ascii="Palatino Linotype" w:hAnsi="Palatino Linotype" w:cs="Arial"/>
          <w:b/>
          <w:i/>
          <w:sz w:val="22"/>
          <w:szCs w:val="22"/>
        </w:rPr>
      </w:pPr>
      <w:r w:rsidRPr="0023383E">
        <w:rPr>
          <w:rFonts w:ascii="Palatino Linotype" w:hAnsi="Palatino Linotype" w:cs="Arial"/>
          <w:b/>
          <w:i/>
          <w:sz w:val="22"/>
          <w:szCs w:val="22"/>
        </w:rPr>
        <w:t>[Énfasis añadido]</w:t>
      </w:r>
    </w:p>
    <w:p w:rsidR="0029071C" w:rsidRPr="0023383E" w:rsidRDefault="0029071C" w:rsidP="0029071C">
      <w:pPr>
        <w:spacing w:line="276" w:lineRule="auto"/>
        <w:ind w:left="851"/>
        <w:jc w:val="right"/>
        <w:rPr>
          <w:rFonts w:ascii="Palatino Linotype" w:hAnsi="Palatino Linotype" w:cs="Arial"/>
          <w:b/>
          <w:i/>
        </w:rPr>
      </w:pPr>
    </w:p>
    <w:p w:rsidR="0029071C" w:rsidRPr="0023383E" w:rsidRDefault="0029071C" w:rsidP="0029071C">
      <w:pPr>
        <w:spacing w:line="360" w:lineRule="auto"/>
        <w:jc w:val="both"/>
        <w:rPr>
          <w:rFonts w:ascii="Palatino Linotype" w:eastAsia="Calibri" w:hAnsi="Palatino Linotype" w:cs="Arial"/>
        </w:rPr>
      </w:pPr>
      <w:r w:rsidRPr="0023383E">
        <w:rPr>
          <w:rFonts w:ascii="Palatino Linotype" w:eastAsia="Calibri" w:hAnsi="Palatino Linotype" w:cs="Segoe UI"/>
        </w:rPr>
        <w:t xml:space="preserve">Cabe señalar que </w:t>
      </w:r>
      <w:r w:rsidRPr="0023383E">
        <w:rPr>
          <w:rFonts w:ascii="Palatino Linotype" w:eastAsia="Calibri" w:hAnsi="Palatino Linotype" w:cs="Segoe UI"/>
          <w:b/>
        </w:rPr>
        <w:t>El Recurrente</w:t>
      </w:r>
      <w:r w:rsidRPr="0023383E">
        <w:rPr>
          <w:rFonts w:ascii="Palatino Linotype" w:eastAsia="Calibri" w:hAnsi="Palatino Linotype" w:cs="Segoe UI"/>
        </w:rPr>
        <w:t xml:space="preserve"> ejerció de manera anónima su derecho de acceso a la información pública</w:t>
      </w:r>
      <w:r w:rsidRPr="0023383E">
        <w:rPr>
          <w:rFonts w:ascii="Palatino Linotype" w:eastAsia="Calibri" w:hAnsi="Palatino Linotype"/>
        </w:rPr>
        <w:t xml:space="preserve">, sin embargo, no es motivo para desechar las </w:t>
      </w:r>
      <w:r w:rsidRPr="0023383E">
        <w:rPr>
          <w:rFonts w:ascii="Palatino Linotype" w:eastAsia="Calibri" w:hAnsi="Palatino Linotype" w:cs="Arial"/>
        </w:rPr>
        <w:t>solicitudes de acceso a la información pública conforme a lo previsto en el artículo 155, penúltimo párrafo de la Ley de Transparencia y Acceso a la Información Pública del Estado de México y Municipios que señala lo siguiente:</w:t>
      </w:r>
    </w:p>
    <w:p w:rsidR="00E74701" w:rsidRPr="0023383E" w:rsidRDefault="00E74701" w:rsidP="00E74701">
      <w:pPr>
        <w:pStyle w:val="Sinespaciado"/>
        <w:rPr>
          <w:rFonts w:eastAsia="Calibri"/>
        </w:rPr>
      </w:pPr>
    </w:p>
    <w:p w:rsidR="0029071C" w:rsidRPr="0023383E" w:rsidRDefault="0029071C" w:rsidP="00E74701">
      <w:pPr>
        <w:ind w:left="708" w:right="900"/>
        <w:jc w:val="both"/>
        <w:rPr>
          <w:rFonts w:ascii="Palatino Linotype" w:eastAsia="Calibri" w:hAnsi="Palatino Linotype" w:cs="Arial"/>
          <w:i/>
          <w:sz w:val="22"/>
          <w:szCs w:val="22"/>
        </w:rPr>
      </w:pPr>
      <w:r w:rsidRPr="0023383E">
        <w:rPr>
          <w:rFonts w:ascii="Palatino Linotype" w:eastAsia="Calibri" w:hAnsi="Palatino Linotype" w:cs="Arial"/>
          <w:i/>
          <w:sz w:val="22"/>
          <w:szCs w:val="22"/>
        </w:rPr>
        <w:t>“Las solicitudes anónimas, con nombre incompleto o seudónimo serán procedentes para su trámite por parte del sujeto obligado ante quien se presente. No podrá requerirse información adicional con motivo del nombre proporcionado por el solicitante.”</w:t>
      </w:r>
    </w:p>
    <w:p w:rsidR="00E74701" w:rsidRPr="0023383E" w:rsidRDefault="00E74701" w:rsidP="00E74701">
      <w:pPr>
        <w:spacing w:line="360" w:lineRule="auto"/>
        <w:jc w:val="both"/>
        <w:rPr>
          <w:rFonts w:ascii="Palatino Linotype" w:eastAsia="Calibri" w:hAnsi="Palatino Linotype"/>
        </w:rPr>
      </w:pPr>
    </w:p>
    <w:p w:rsidR="0029071C" w:rsidRPr="0023383E" w:rsidRDefault="0029071C" w:rsidP="00E74701">
      <w:pPr>
        <w:spacing w:line="360" w:lineRule="auto"/>
        <w:jc w:val="both"/>
        <w:rPr>
          <w:rFonts w:ascii="Palatino Linotype" w:eastAsia="Calibri" w:hAnsi="Palatino Linotype"/>
        </w:rPr>
      </w:pPr>
      <w:r w:rsidRPr="0023383E">
        <w:rPr>
          <w:rFonts w:ascii="Palatino Linotype" w:eastAsia="Calibri" w:hAnsi="Palatino Linotype"/>
        </w:rPr>
        <w:t xml:space="preserve">Robusteciendo lo anterior se encuentra lo dispuesto en los artículos 6, Apartado A, fracciones III y IV de la Constitución Política de los Estados Unidos Mexicanos y 5 párrafos </w:t>
      </w:r>
      <w:r w:rsidRPr="0023383E">
        <w:rPr>
          <w:rFonts w:ascii="Palatino Linotype" w:eastAsia="Calibri" w:hAnsi="Palatino Linotype" w:cs="Arial"/>
        </w:rPr>
        <w:t>vigésimo, vigésimo primero</w:t>
      </w:r>
      <w:r w:rsidRPr="0023383E">
        <w:rPr>
          <w:rFonts w:ascii="Palatino Linotype" w:hAnsi="Palatino Linotype" w:cs="Arial"/>
          <w:szCs w:val="22"/>
          <w:lang w:val="es-MX" w:eastAsia="en-US"/>
        </w:rPr>
        <w:t xml:space="preserve"> y vigésimo segundo</w:t>
      </w:r>
      <w:r w:rsidRPr="0023383E">
        <w:rPr>
          <w:rFonts w:ascii="Palatino Linotype" w:eastAsia="Calibri" w:hAnsi="Palatino Linotype"/>
        </w:rPr>
        <w:t>, de la Constitución Política del Estado Libre y Soberano de México, se establece lo siguiente:</w:t>
      </w:r>
    </w:p>
    <w:p w:rsidR="0029071C" w:rsidRPr="0023383E" w:rsidRDefault="0029071C" w:rsidP="0029071C">
      <w:pPr>
        <w:spacing w:before="120" w:after="120"/>
        <w:ind w:left="851" w:right="851"/>
        <w:jc w:val="center"/>
        <w:rPr>
          <w:rFonts w:ascii="Palatino Linotype" w:eastAsia="Calibri" w:hAnsi="Palatino Linotype"/>
          <w:b/>
          <w:i/>
          <w:sz w:val="22"/>
          <w:szCs w:val="22"/>
        </w:rPr>
      </w:pPr>
      <w:r w:rsidRPr="0023383E">
        <w:rPr>
          <w:rFonts w:ascii="Palatino Linotype" w:eastAsia="Calibri" w:hAnsi="Palatino Linotype"/>
          <w:b/>
          <w:i/>
          <w:sz w:val="22"/>
          <w:szCs w:val="22"/>
        </w:rPr>
        <w:t>Constitución Política de los Estados Unidos Mexicanos</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w:t>
      </w:r>
      <w:r w:rsidRPr="0023383E">
        <w:rPr>
          <w:rFonts w:ascii="Palatino Linotype" w:eastAsia="Calibri" w:hAnsi="Palatino Linotype"/>
          <w:b/>
          <w:i/>
          <w:sz w:val="22"/>
          <w:szCs w:val="22"/>
        </w:rPr>
        <w:t>Artículo 6</w:t>
      </w:r>
      <w:r w:rsidRPr="0023383E">
        <w:rPr>
          <w:rFonts w:ascii="Palatino Linotype" w:eastAsia="Calibri" w:hAnsi="Palatino Linotype"/>
          <w:i/>
          <w:sz w:val="22"/>
          <w:szCs w:val="22"/>
        </w:rPr>
        <w:t xml:space="preserve">°.- La manifestación de las ideas no será objeto de ninguna inquisición judicial o administrativa, sino en el caso de que ataque a la moral, la vida privada o los derechos de terceros, provoque algún delito, o perturbe el orden público; el derecho </w:t>
      </w:r>
      <w:r w:rsidRPr="0023383E">
        <w:rPr>
          <w:rFonts w:ascii="Palatino Linotype" w:eastAsia="Calibri" w:hAnsi="Palatino Linotype"/>
          <w:i/>
          <w:sz w:val="22"/>
          <w:szCs w:val="22"/>
        </w:rPr>
        <w:lastRenderedPageBreak/>
        <w:t>de réplica será ejercido en los términos dispuestos por la ley. El derecho a la información será garantizado por el Estado.</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 xml:space="preserve">Para efectos de lo dispuesto en el presente artículo se observará lo siguiente: </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A. Para el ejercicio del derecho de acceso a la información, la Federación, los Estados y el Distrito Federal, en el ámbito de sus respectivas competencias, se regirán por los siguientes principios y bases:</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 xml:space="preserve">III. Toda persona, sin necesidad de acreditar interés alguno o justificar su utilización, tendrá acceso gratuito a la información pública, a sus datos personales o a la rectificación de éstos. </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 xml:space="preserve">IV. Se establecerán mecanismos de acceso a la información y procedimientos de revisión expeditos que se sustanciarán ante los organismos autónomos especializados e imparciales que establece esta Constitución.” </w:t>
      </w:r>
    </w:p>
    <w:p w:rsidR="0029071C" w:rsidRPr="0023383E" w:rsidRDefault="0029071C" w:rsidP="0029071C">
      <w:pPr>
        <w:spacing w:before="120" w:after="120"/>
        <w:ind w:left="851" w:right="851"/>
        <w:jc w:val="both"/>
        <w:rPr>
          <w:rFonts w:ascii="Palatino Linotype" w:eastAsia="Calibri" w:hAnsi="Palatino Linotype"/>
          <w:i/>
          <w:sz w:val="22"/>
          <w:szCs w:val="22"/>
        </w:rPr>
      </w:pPr>
    </w:p>
    <w:p w:rsidR="0029071C" w:rsidRPr="0023383E" w:rsidRDefault="0029071C" w:rsidP="0029071C">
      <w:pPr>
        <w:spacing w:before="120" w:after="120"/>
        <w:ind w:left="851" w:right="851"/>
        <w:jc w:val="center"/>
        <w:rPr>
          <w:rFonts w:ascii="Palatino Linotype" w:eastAsia="Calibri" w:hAnsi="Palatino Linotype"/>
          <w:b/>
          <w:i/>
          <w:sz w:val="22"/>
          <w:szCs w:val="22"/>
        </w:rPr>
      </w:pPr>
      <w:r w:rsidRPr="0023383E">
        <w:rPr>
          <w:rFonts w:ascii="Palatino Linotype" w:eastAsia="Calibri" w:hAnsi="Palatino Linotype"/>
          <w:b/>
          <w:i/>
          <w:sz w:val="22"/>
          <w:szCs w:val="22"/>
        </w:rPr>
        <w:t>Constitución Política del Estado Libre y Soberano de México</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w:t>
      </w:r>
      <w:r w:rsidRPr="0023383E">
        <w:rPr>
          <w:rFonts w:ascii="Palatino Linotype" w:eastAsia="Calibri" w:hAnsi="Palatino Linotype"/>
          <w:b/>
          <w:i/>
          <w:sz w:val="22"/>
          <w:szCs w:val="22"/>
        </w:rPr>
        <w:t>Artículo 5</w:t>
      </w:r>
      <w:r w:rsidRPr="0023383E">
        <w:rPr>
          <w:rFonts w:ascii="Palatino Linotype" w:eastAsia="Calibri" w:hAnsi="Palatino Linotype"/>
          <w:i/>
          <w:sz w:val="22"/>
          <w:szCs w:val="22"/>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Toda persona en el Estado de México, tiene derecho al libre acceso a la información plural y oportuna, así como a buscar recibir y difundir información e ideas de toda índole por cualquier medio de expresión.</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 xml:space="preserve"> (…)</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 xml:space="preserve">El derecho a la información será garantizado por el Estado. La ley establecerá las previsiones que permitan asegurar la protección, el respeto y la difusión de este derecho. </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lastRenderedPageBreak/>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III. Toda persona, sin necesidad de acreditar interés alguno o justificar su utilización, tendrá acceso gratuito a la información pública, a sus datos personales o a la rectificación de éstos;</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IV. Se establecerán mecanismos de acceso a la información y procedimientos de revisión expeditos que se sustanciarán ante el organismo autónomo especializado e imparcial que establece esta Constitución.</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rsidR="0029071C" w:rsidRPr="0023383E" w:rsidRDefault="0029071C" w:rsidP="0029071C">
      <w:pPr>
        <w:spacing w:before="240" w:after="240" w:line="360" w:lineRule="auto"/>
        <w:jc w:val="both"/>
        <w:rPr>
          <w:rFonts w:ascii="Palatino Linotype" w:eastAsia="Calibri" w:hAnsi="Palatino Linotype"/>
        </w:rPr>
      </w:pPr>
      <w:r w:rsidRPr="0023383E">
        <w:rPr>
          <w:rFonts w:ascii="Palatino Linotype" w:eastAsia="Calibri" w:hAnsi="Palatino Linotype"/>
        </w:rPr>
        <w:t>Por otra parte, del contenido del artículo 1 de la Constitución Política de los Estados Unidos Mexicanos, se destaca lo siguiente:</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w:t>
      </w:r>
      <w:r w:rsidRPr="0023383E">
        <w:rPr>
          <w:rFonts w:ascii="Palatino Linotype" w:eastAsia="Calibri" w:hAnsi="Palatino Linotype"/>
          <w:b/>
          <w:i/>
          <w:sz w:val="22"/>
          <w:szCs w:val="22"/>
        </w:rPr>
        <w:t>Artículo 1o</w:t>
      </w:r>
      <w:r w:rsidRPr="0023383E">
        <w:rPr>
          <w:rFonts w:ascii="Palatino Linotype" w:eastAsia="Calibri" w:hAnsi="Palatino Linotype"/>
          <w:i/>
          <w:sz w:val="22"/>
          <w:szCs w:val="22"/>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Las normas relativas a los derechos humanos se interpretarán de conformidad con esta Constitución y con los tratados internacionales de la materia favoreciendo en todo tiempo a las personas la protección más amplia.</w:t>
      </w:r>
    </w:p>
    <w:p w:rsidR="0029071C" w:rsidRPr="0023383E" w:rsidRDefault="0029071C" w:rsidP="0029071C">
      <w:pPr>
        <w:spacing w:before="120" w:after="120"/>
        <w:ind w:left="851" w:right="851"/>
        <w:jc w:val="both"/>
        <w:rPr>
          <w:rFonts w:ascii="Palatino Linotype" w:eastAsia="Calibri" w:hAnsi="Palatino Linotype"/>
          <w:i/>
          <w:sz w:val="22"/>
          <w:szCs w:val="22"/>
        </w:rPr>
      </w:pPr>
      <w:r w:rsidRPr="0023383E">
        <w:rPr>
          <w:rFonts w:ascii="Palatino Linotype" w:eastAsia="Calibri" w:hAnsi="Palatino Linotype"/>
          <w:i/>
          <w:sz w:val="22"/>
          <w:szCs w:val="22"/>
        </w:rPr>
        <w:t xml:space="preserve">Todas las autoridades, en el ámbito de sus competencias, tienen la obligación de promover, respetar, proteger y garantizar los derechos humanos de conformidad con los principios de universalidad, interdependencia, indivisibilidad y progresividad. En </w:t>
      </w:r>
      <w:r w:rsidRPr="0023383E">
        <w:rPr>
          <w:rFonts w:ascii="Palatino Linotype" w:eastAsia="Calibri" w:hAnsi="Palatino Linotype"/>
          <w:i/>
          <w:sz w:val="22"/>
          <w:szCs w:val="22"/>
        </w:rPr>
        <w:lastRenderedPageBreak/>
        <w:t>consecuencia, el Estado deberá prevenir, investigar, sancionar y reparar las violaciones a los derechos humanos, en los términos que establezca la ley.”</w:t>
      </w:r>
    </w:p>
    <w:p w:rsidR="0029071C" w:rsidRPr="0023383E" w:rsidRDefault="0029071C" w:rsidP="0029071C">
      <w:pPr>
        <w:rPr>
          <w:rFonts w:eastAsia="Calibri"/>
        </w:rPr>
      </w:pPr>
    </w:p>
    <w:p w:rsidR="0029071C" w:rsidRPr="0023383E" w:rsidRDefault="0029071C" w:rsidP="0029071C">
      <w:pPr>
        <w:spacing w:line="360" w:lineRule="auto"/>
        <w:jc w:val="both"/>
        <w:rPr>
          <w:rFonts w:ascii="Palatino Linotype" w:eastAsia="Calibri" w:hAnsi="Palatino Linotype"/>
        </w:rPr>
      </w:pPr>
      <w:r w:rsidRPr="0023383E">
        <w:rPr>
          <w:rFonts w:ascii="Palatino Linotype" w:eastAsia="Calibri" w:hAnsi="Palatino Linotype"/>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23383E">
        <w:rPr>
          <w:rFonts w:ascii="Palatino Linotype" w:eastAsia="Calibri" w:hAnsi="Palatino Linotype"/>
          <w:b/>
          <w:u w:val="single"/>
        </w:rPr>
        <w:t>incluso, la solicitud de acceso a la información pueda ser anónima o no contener un nombre que identifique al solicitante o que permita tener certeza sobre su identidad</w:t>
      </w:r>
      <w:r w:rsidRPr="0023383E">
        <w:rPr>
          <w:rFonts w:ascii="Palatino Linotype" w:eastAsia="Calibri" w:hAnsi="Palatino Linotype"/>
        </w:rPr>
        <w:t>.</w:t>
      </w:r>
    </w:p>
    <w:p w:rsidR="0029071C" w:rsidRPr="0023383E" w:rsidRDefault="0029071C" w:rsidP="0029071C">
      <w:pPr>
        <w:spacing w:line="360" w:lineRule="auto"/>
        <w:jc w:val="both"/>
        <w:rPr>
          <w:rFonts w:ascii="Palatino Linotype" w:eastAsia="Calibri" w:hAnsi="Palatino Linotype" w:cs="Arial"/>
        </w:rPr>
      </w:pPr>
    </w:p>
    <w:p w:rsidR="0029071C" w:rsidRPr="0023383E" w:rsidRDefault="0029071C" w:rsidP="0029071C">
      <w:pPr>
        <w:autoSpaceDE w:val="0"/>
        <w:autoSpaceDN w:val="0"/>
        <w:adjustRightInd w:val="0"/>
        <w:spacing w:line="360" w:lineRule="auto"/>
        <w:jc w:val="both"/>
        <w:rPr>
          <w:rFonts w:ascii="Palatino Linotype" w:eastAsia="Calibri" w:hAnsi="Palatino Linotype" w:cs="Arial"/>
          <w:lang w:val="es-MX" w:eastAsia="en-US"/>
        </w:rPr>
      </w:pPr>
      <w:r w:rsidRPr="0023383E">
        <w:rPr>
          <w:rFonts w:ascii="Palatino Linotype" w:eastAsia="Calibri" w:hAnsi="Palatino Linotype" w:cs="Arial"/>
        </w:rPr>
        <w:t>En conclusión, se cubrieron los requisitos de procedencia y procedibilidad y conforme a las constancias que obran en el expediente.</w:t>
      </w:r>
    </w:p>
    <w:p w:rsidR="0029071C" w:rsidRPr="0023383E" w:rsidRDefault="0029071C" w:rsidP="0029071C">
      <w:pPr>
        <w:autoSpaceDE w:val="0"/>
        <w:autoSpaceDN w:val="0"/>
        <w:adjustRightInd w:val="0"/>
        <w:spacing w:line="360" w:lineRule="auto"/>
        <w:jc w:val="both"/>
        <w:rPr>
          <w:rFonts w:ascii="Palatino Linotype" w:hAnsi="Palatino Linotype" w:cs="Arial"/>
        </w:rPr>
      </w:pP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b/>
          <w:sz w:val="28"/>
          <w:lang w:val="es-MX" w:eastAsia="en-US"/>
        </w:rPr>
      </w:pPr>
      <w:r w:rsidRPr="0023383E">
        <w:rPr>
          <w:rFonts w:ascii="Palatino Linotype" w:eastAsiaTheme="minorHAnsi" w:hAnsi="Palatino Linotype" w:cs="Arial"/>
          <w:b/>
          <w:sz w:val="28"/>
          <w:lang w:val="es-MX" w:eastAsia="en-US"/>
        </w:rPr>
        <w:t xml:space="preserve">CUARTO. Del estudio de las causas de improcedencia. </w:t>
      </w: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circunstancias anteriores que no son incompatibles con el derecho de acceso a </w:t>
      </w:r>
      <w:r w:rsidRPr="0023383E">
        <w:rPr>
          <w:rFonts w:ascii="Palatino Linotype" w:eastAsiaTheme="minorHAnsi" w:hAnsi="Palatino Linotype" w:cs="Arial"/>
          <w:lang w:val="es-MX" w:eastAsia="en-US"/>
        </w:rPr>
        <w:lastRenderedPageBreak/>
        <w:t>la justicia, ya que éste no se coarta por regular causas de improcedencia y sobreseimiento con tales fines.</w:t>
      </w: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23383E" w:rsidRDefault="0029071C" w:rsidP="0029071C">
      <w:pPr>
        <w:ind w:left="851" w:right="851"/>
        <w:jc w:val="both"/>
        <w:rPr>
          <w:rFonts w:ascii="Palatino Linotype" w:eastAsiaTheme="minorHAnsi" w:hAnsi="Palatino Linotype" w:cstheme="minorBidi"/>
          <w:b/>
          <w:bCs/>
          <w:i/>
          <w:sz w:val="22"/>
          <w:szCs w:val="22"/>
          <w:lang w:val="es-MX" w:eastAsia="es-MX"/>
        </w:rPr>
      </w:pPr>
      <w:r w:rsidRPr="0023383E">
        <w:rPr>
          <w:rFonts w:ascii="Palatino Linotype" w:eastAsiaTheme="minorHAnsi" w:hAnsi="Palatino Linotype" w:cstheme="minorBidi"/>
          <w:b/>
          <w:bCs/>
          <w:i/>
          <w:sz w:val="22"/>
          <w:szCs w:val="22"/>
          <w:lang w:val="es-MX" w:eastAsia="en-US"/>
        </w:rPr>
        <w:t>IMPROCEDENCIA Y SOBRESEIMIENTO EN EL JUICIO DE AMPARO. LAS CAUSAS PREVISTAS EN LOS ARTÍCULOS 73 Y 74 DE LA LEY DE LA MATERIA, RESPECTIVAMENTE, NO SON INCOMPATIBLES CON EL ARTÍCULO 25.1 DE LA CONVENCIÓN AMERICANA SOBRE DERECHOS HUMANOS.</w:t>
      </w:r>
    </w:p>
    <w:p w:rsidR="0029071C" w:rsidRPr="0023383E" w:rsidRDefault="0029071C" w:rsidP="0029071C">
      <w:pPr>
        <w:autoSpaceDE w:val="0"/>
        <w:autoSpaceDN w:val="0"/>
        <w:adjustRightInd w:val="0"/>
        <w:ind w:left="851" w:right="851"/>
        <w:jc w:val="both"/>
        <w:rPr>
          <w:rFonts w:ascii="Palatino Linotype" w:hAnsi="Palatino Linotype" w:cs="Arial"/>
          <w:sz w:val="22"/>
          <w:szCs w:val="22"/>
        </w:rPr>
      </w:pPr>
      <w:r w:rsidRPr="0023383E">
        <w:rPr>
          <w:rFonts w:ascii="Palatino Linotype" w:hAnsi="Palatino Linotype"/>
          <w:i/>
          <w:sz w:val="22"/>
          <w:szCs w:val="22"/>
        </w:rPr>
        <w:t>Del examen de compatibilidad de los artículos </w:t>
      </w:r>
      <w:hyperlink r:id="rId9" w:history="1">
        <w:r w:rsidRPr="0023383E">
          <w:rPr>
            <w:rFonts w:ascii="Palatino Linotype" w:eastAsia="Calibri" w:hAnsi="Palatino Linotype"/>
            <w:i/>
            <w:color w:val="0563C1" w:themeColor="hyperlink"/>
            <w:sz w:val="22"/>
            <w:szCs w:val="22"/>
            <w:u w:val="single"/>
          </w:rPr>
          <w:t>73 y 74 de la Ley de Amparo</w:t>
        </w:r>
      </w:hyperlink>
      <w:r w:rsidRPr="0023383E">
        <w:rPr>
          <w:rFonts w:ascii="Palatino Linotype" w:hAnsi="Palatino Linotype"/>
          <w:i/>
          <w:sz w:val="22"/>
          <w:szCs w:val="22"/>
        </w:rPr>
        <w:t> con el artículo </w:t>
      </w:r>
      <w:hyperlink r:id="rId10" w:history="1">
        <w:r w:rsidRPr="0023383E">
          <w:rPr>
            <w:rFonts w:ascii="Palatino Linotype" w:eastAsia="Calibri" w:hAnsi="Palatino Linotype"/>
            <w:i/>
            <w:color w:val="0563C1" w:themeColor="hyperlink"/>
            <w:sz w:val="22"/>
            <w:szCs w:val="22"/>
            <w:u w:val="single"/>
          </w:rPr>
          <w:t>25.1 de la Convención Americana sobre Derechos Humanos</w:t>
        </w:r>
      </w:hyperlink>
      <w:r w:rsidRPr="0023383E">
        <w:rPr>
          <w:rFonts w:ascii="Palatino Linotype" w:hAnsi="Palatino Linotype"/>
          <w:i/>
          <w:sz w:val="22"/>
          <w:szCs w:val="22"/>
        </w:rPr>
        <w:t> </w:t>
      </w:r>
      <w:r w:rsidRPr="0023383E">
        <w:rPr>
          <w:rFonts w:ascii="Palatino Linotype" w:hAnsi="Palatino Linotype"/>
          <w:b/>
          <w:i/>
          <w:sz w:val="22"/>
          <w:szCs w:val="22"/>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23383E">
        <w:rPr>
          <w:rFonts w:ascii="Palatino Linotype" w:hAnsi="Palatino Linotype"/>
          <w:i/>
          <w:sz w:val="22"/>
          <w:szCs w:val="22"/>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23383E">
        <w:rPr>
          <w:rFonts w:ascii="Palatino Linotype" w:hAnsi="Palatino Linotype"/>
          <w:i/>
          <w:sz w:val="22"/>
          <w:szCs w:val="22"/>
        </w:rPr>
        <w:t>concesoria</w:t>
      </w:r>
      <w:proofErr w:type="spellEnd"/>
      <w:r w:rsidRPr="0023383E">
        <w:rPr>
          <w:rFonts w:ascii="Palatino Linotype" w:hAnsi="Palatino Linotype"/>
          <w:i/>
          <w:sz w:val="22"/>
          <w:szCs w:val="22"/>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p w:rsidR="0029071C" w:rsidRPr="0023383E" w:rsidRDefault="0029071C" w:rsidP="0029071C">
      <w:pPr>
        <w:autoSpaceDE w:val="0"/>
        <w:autoSpaceDN w:val="0"/>
        <w:adjustRightInd w:val="0"/>
        <w:spacing w:line="360" w:lineRule="auto"/>
        <w:jc w:val="both"/>
        <w:rPr>
          <w:rFonts w:ascii="Palatino Linotype" w:hAnsi="Palatino Linotype" w:cs="Arial"/>
        </w:rPr>
      </w:pP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Por lo que una vez que se analizó el expediente en estudio se cae en la cuenta de que no se actualiza ninguna de las casuales a continuación transcritas:</w:t>
      </w:r>
    </w:p>
    <w:p w:rsidR="0029071C" w:rsidRPr="0023383E" w:rsidRDefault="0029071C" w:rsidP="0029071C">
      <w:pPr>
        <w:rPr>
          <w:lang w:val="es-MX"/>
        </w:rPr>
      </w:pPr>
    </w:p>
    <w:p w:rsidR="0029071C" w:rsidRPr="0023383E" w:rsidRDefault="0029071C" w:rsidP="0029071C">
      <w:pPr>
        <w:autoSpaceDE w:val="0"/>
        <w:autoSpaceDN w:val="0"/>
        <w:adjustRightInd w:val="0"/>
        <w:ind w:left="708" w:right="850"/>
        <w:jc w:val="both"/>
        <w:rPr>
          <w:rFonts w:ascii="Palatino Linotype" w:hAnsi="Palatino Linotype" w:cs="Arial"/>
          <w:i/>
          <w:sz w:val="22"/>
          <w:szCs w:val="22"/>
        </w:rPr>
      </w:pPr>
      <w:r w:rsidRPr="0023383E">
        <w:rPr>
          <w:rFonts w:ascii="Palatino Linotype" w:hAnsi="Palatino Linotype" w:cs="Arial"/>
          <w:i/>
          <w:sz w:val="22"/>
          <w:szCs w:val="22"/>
        </w:rPr>
        <w:t>“</w:t>
      </w:r>
      <w:r w:rsidRPr="0023383E">
        <w:rPr>
          <w:rFonts w:ascii="Palatino Linotype" w:hAnsi="Palatino Linotype" w:cs="Arial"/>
          <w:b/>
          <w:i/>
          <w:sz w:val="22"/>
          <w:szCs w:val="22"/>
        </w:rPr>
        <w:t>Artículo 191.</w:t>
      </w:r>
      <w:r w:rsidRPr="0023383E">
        <w:rPr>
          <w:rFonts w:ascii="Palatino Linotype" w:hAnsi="Palatino Linotype" w:cs="Arial"/>
          <w:i/>
          <w:sz w:val="22"/>
          <w:szCs w:val="22"/>
        </w:rPr>
        <w:t xml:space="preserve"> El recurso será desechado por improcedente cuando:  </w:t>
      </w:r>
    </w:p>
    <w:p w:rsidR="0029071C" w:rsidRPr="0023383E" w:rsidRDefault="0029071C" w:rsidP="0029071C">
      <w:pPr>
        <w:autoSpaceDE w:val="0"/>
        <w:autoSpaceDN w:val="0"/>
        <w:adjustRightInd w:val="0"/>
        <w:ind w:left="708" w:right="850"/>
        <w:jc w:val="both"/>
        <w:rPr>
          <w:rFonts w:ascii="Palatino Linotype" w:hAnsi="Palatino Linotype" w:cs="Arial"/>
          <w:i/>
          <w:sz w:val="22"/>
          <w:szCs w:val="22"/>
        </w:rPr>
      </w:pPr>
      <w:r w:rsidRPr="0023383E">
        <w:rPr>
          <w:rFonts w:ascii="Palatino Linotype" w:hAnsi="Palatino Linotype" w:cs="Arial"/>
          <w:i/>
          <w:sz w:val="22"/>
          <w:szCs w:val="22"/>
        </w:rPr>
        <w:t xml:space="preserve">I. Sea extemporáneo por haber transcurrido el plazo establecido en la presente Ley, a partir de la respuesta;  </w:t>
      </w:r>
    </w:p>
    <w:p w:rsidR="0029071C" w:rsidRPr="0023383E" w:rsidRDefault="0029071C" w:rsidP="0029071C">
      <w:pPr>
        <w:autoSpaceDE w:val="0"/>
        <w:autoSpaceDN w:val="0"/>
        <w:adjustRightInd w:val="0"/>
        <w:ind w:left="708" w:right="850"/>
        <w:jc w:val="both"/>
        <w:rPr>
          <w:rFonts w:ascii="Palatino Linotype" w:hAnsi="Palatino Linotype" w:cs="Arial"/>
          <w:i/>
          <w:sz w:val="22"/>
          <w:szCs w:val="22"/>
        </w:rPr>
      </w:pPr>
      <w:r w:rsidRPr="0023383E">
        <w:rPr>
          <w:rFonts w:ascii="Palatino Linotype" w:hAnsi="Palatino Linotype" w:cs="Arial"/>
          <w:i/>
          <w:sz w:val="22"/>
          <w:szCs w:val="22"/>
        </w:rPr>
        <w:lastRenderedPageBreak/>
        <w:t xml:space="preserve">II. Se esté tramitando ante el Poder Judicial de la Federación algún recurso o medio de defensa interpuesto por el recurrente;  </w:t>
      </w:r>
    </w:p>
    <w:p w:rsidR="0029071C" w:rsidRPr="0023383E" w:rsidRDefault="0029071C" w:rsidP="0029071C">
      <w:pPr>
        <w:autoSpaceDE w:val="0"/>
        <w:autoSpaceDN w:val="0"/>
        <w:adjustRightInd w:val="0"/>
        <w:ind w:left="708" w:right="850"/>
        <w:jc w:val="both"/>
        <w:rPr>
          <w:rFonts w:ascii="Palatino Linotype" w:hAnsi="Palatino Linotype" w:cs="Arial"/>
          <w:i/>
          <w:sz w:val="22"/>
          <w:szCs w:val="22"/>
        </w:rPr>
      </w:pPr>
      <w:r w:rsidRPr="0023383E">
        <w:rPr>
          <w:rFonts w:ascii="Palatino Linotype" w:hAnsi="Palatino Linotype" w:cs="Arial"/>
          <w:i/>
          <w:sz w:val="22"/>
          <w:szCs w:val="22"/>
        </w:rPr>
        <w:t xml:space="preserve">III. No actualice alguno de los supuestos previstos en la presente Ley;  </w:t>
      </w:r>
    </w:p>
    <w:p w:rsidR="0029071C" w:rsidRPr="0023383E" w:rsidRDefault="0029071C" w:rsidP="0029071C">
      <w:pPr>
        <w:autoSpaceDE w:val="0"/>
        <w:autoSpaceDN w:val="0"/>
        <w:adjustRightInd w:val="0"/>
        <w:ind w:left="708" w:right="850"/>
        <w:jc w:val="both"/>
        <w:rPr>
          <w:rFonts w:ascii="Palatino Linotype" w:hAnsi="Palatino Linotype" w:cs="Arial"/>
          <w:i/>
          <w:sz w:val="22"/>
          <w:szCs w:val="22"/>
        </w:rPr>
      </w:pPr>
      <w:r w:rsidRPr="0023383E">
        <w:rPr>
          <w:rFonts w:ascii="Palatino Linotype" w:hAnsi="Palatino Linotype" w:cs="Arial"/>
          <w:i/>
          <w:sz w:val="22"/>
          <w:szCs w:val="22"/>
        </w:rPr>
        <w:t>IV. No se haya desahogado la prevención en los términos establecidos en la presente Ley;</w:t>
      </w:r>
    </w:p>
    <w:p w:rsidR="0029071C" w:rsidRPr="0023383E" w:rsidRDefault="0029071C" w:rsidP="0029071C">
      <w:pPr>
        <w:autoSpaceDE w:val="0"/>
        <w:autoSpaceDN w:val="0"/>
        <w:adjustRightInd w:val="0"/>
        <w:ind w:left="708" w:right="850"/>
        <w:jc w:val="both"/>
        <w:rPr>
          <w:rFonts w:ascii="Palatino Linotype" w:hAnsi="Palatino Linotype" w:cs="Arial"/>
          <w:i/>
          <w:sz w:val="22"/>
          <w:szCs w:val="22"/>
        </w:rPr>
      </w:pPr>
      <w:r w:rsidRPr="0023383E">
        <w:rPr>
          <w:rFonts w:ascii="Palatino Linotype" w:hAnsi="Palatino Linotype" w:cs="Arial"/>
          <w:i/>
          <w:sz w:val="22"/>
          <w:szCs w:val="22"/>
        </w:rPr>
        <w:t xml:space="preserve">V. Se impugne la veracidad de la información proporcionada;  </w:t>
      </w:r>
    </w:p>
    <w:p w:rsidR="0029071C" w:rsidRPr="0023383E" w:rsidRDefault="0029071C" w:rsidP="0029071C">
      <w:pPr>
        <w:autoSpaceDE w:val="0"/>
        <w:autoSpaceDN w:val="0"/>
        <w:adjustRightInd w:val="0"/>
        <w:ind w:left="708" w:right="850"/>
        <w:jc w:val="both"/>
        <w:rPr>
          <w:rFonts w:ascii="Palatino Linotype" w:hAnsi="Palatino Linotype" w:cs="Arial"/>
          <w:i/>
          <w:sz w:val="22"/>
          <w:szCs w:val="22"/>
        </w:rPr>
      </w:pPr>
      <w:r w:rsidRPr="0023383E">
        <w:rPr>
          <w:rFonts w:ascii="Palatino Linotype" w:hAnsi="Palatino Linotype" w:cs="Arial"/>
          <w:i/>
          <w:sz w:val="22"/>
          <w:szCs w:val="22"/>
        </w:rPr>
        <w:t xml:space="preserve">VI. Se trate de una consulta, o trámite en específico; y  </w:t>
      </w:r>
    </w:p>
    <w:p w:rsidR="0029071C" w:rsidRPr="0023383E" w:rsidRDefault="0029071C" w:rsidP="0029071C">
      <w:pPr>
        <w:autoSpaceDE w:val="0"/>
        <w:autoSpaceDN w:val="0"/>
        <w:adjustRightInd w:val="0"/>
        <w:ind w:left="708" w:right="850"/>
        <w:jc w:val="both"/>
        <w:rPr>
          <w:rFonts w:ascii="Palatino Linotype" w:hAnsi="Palatino Linotype" w:cs="Arial"/>
          <w:i/>
          <w:sz w:val="22"/>
          <w:szCs w:val="22"/>
        </w:rPr>
      </w:pPr>
      <w:r w:rsidRPr="0023383E">
        <w:rPr>
          <w:rFonts w:ascii="Palatino Linotype" w:hAnsi="Palatino Linotype" w:cs="Arial"/>
          <w:i/>
          <w:sz w:val="22"/>
          <w:szCs w:val="22"/>
        </w:rPr>
        <w:t>VII. El recurrente amplíe su solicitud en el recurso de revisión, únicamente respecto de los nuevos contenidos.”</w:t>
      </w:r>
    </w:p>
    <w:p w:rsidR="0029071C" w:rsidRPr="0023383E" w:rsidRDefault="0029071C" w:rsidP="0029071C">
      <w:pPr>
        <w:autoSpaceDE w:val="0"/>
        <w:autoSpaceDN w:val="0"/>
        <w:adjustRightInd w:val="0"/>
        <w:spacing w:line="360" w:lineRule="auto"/>
        <w:ind w:left="708" w:right="850"/>
        <w:jc w:val="both"/>
        <w:rPr>
          <w:rFonts w:ascii="Palatino Linotype" w:hAnsi="Palatino Linotype" w:cs="Arial"/>
          <w:i/>
        </w:rPr>
      </w:pP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Ya que no fue interpuesto de forma extemporánea, no se está tramitando ante el Poder Judicial Federal, no es una consulta, o trámite en específico, ni tampoco se advierte que el recurrente amplíe su solicitud en el recurso de revisión, por lo que al no existir causas de improcedencia invocadas por las partes ni advertidas de oficio, este Órgano Garante de la Transparencia se avoca al análisis del fondo del asunto que nos ocupa.</w:t>
      </w:r>
    </w:p>
    <w:p w:rsidR="00EA46CC" w:rsidRPr="0023383E" w:rsidRDefault="00EA46CC" w:rsidP="0029071C">
      <w:pPr>
        <w:autoSpaceDE w:val="0"/>
        <w:autoSpaceDN w:val="0"/>
        <w:adjustRightInd w:val="0"/>
        <w:spacing w:line="360" w:lineRule="auto"/>
        <w:jc w:val="both"/>
        <w:rPr>
          <w:rFonts w:ascii="Palatino Linotype" w:hAnsi="Palatino Linotype" w:cs="Arial"/>
        </w:rPr>
      </w:pPr>
    </w:p>
    <w:p w:rsidR="0029071C" w:rsidRPr="0023383E" w:rsidRDefault="0029071C" w:rsidP="0029071C">
      <w:pPr>
        <w:autoSpaceDE w:val="0"/>
        <w:autoSpaceDN w:val="0"/>
        <w:adjustRightInd w:val="0"/>
        <w:spacing w:line="360" w:lineRule="auto"/>
        <w:jc w:val="both"/>
        <w:rPr>
          <w:rFonts w:ascii="Palatino Linotype" w:hAnsi="Palatino Linotype" w:cs="Arial"/>
        </w:rPr>
      </w:pPr>
      <w:r w:rsidRPr="0023383E">
        <w:rPr>
          <w:rFonts w:ascii="Palatino Linotype" w:hAnsi="Palatino Linotype" w:cs="Arial"/>
        </w:rPr>
        <w:t xml:space="preserve">Así las cosas, al no existir causas de improcedencia invocadas por las partes ni advertidas de oficio por este Resolutor, se </w:t>
      </w:r>
      <w:proofErr w:type="gramStart"/>
      <w:r w:rsidRPr="0023383E">
        <w:rPr>
          <w:rFonts w:ascii="Palatino Linotype" w:hAnsi="Palatino Linotype" w:cs="Arial"/>
        </w:rPr>
        <w:t>procede</w:t>
      </w:r>
      <w:proofErr w:type="gramEnd"/>
      <w:r w:rsidRPr="0023383E">
        <w:rPr>
          <w:rFonts w:ascii="Palatino Linotype" w:hAnsi="Palatino Linotype" w:cs="Arial"/>
        </w:rPr>
        <w:t xml:space="preserve"> al análisis del fondo de los asuntos en los siguientes términos.</w:t>
      </w:r>
    </w:p>
    <w:p w:rsidR="0029071C" w:rsidRPr="0023383E" w:rsidRDefault="0029071C" w:rsidP="0029071C">
      <w:pPr>
        <w:autoSpaceDE w:val="0"/>
        <w:autoSpaceDN w:val="0"/>
        <w:adjustRightInd w:val="0"/>
        <w:spacing w:line="360" w:lineRule="auto"/>
        <w:jc w:val="both"/>
        <w:rPr>
          <w:rFonts w:ascii="Palatino Linotype" w:hAnsi="Palatino Linotype" w:cs="Arial"/>
        </w:rPr>
      </w:pPr>
    </w:p>
    <w:p w:rsidR="0029071C" w:rsidRPr="0023383E" w:rsidRDefault="0029071C" w:rsidP="0029071C">
      <w:pPr>
        <w:autoSpaceDE w:val="0"/>
        <w:autoSpaceDN w:val="0"/>
        <w:adjustRightInd w:val="0"/>
        <w:spacing w:line="360" w:lineRule="auto"/>
        <w:jc w:val="both"/>
        <w:rPr>
          <w:rFonts w:ascii="Palatino Linotype" w:hAnsi="Palatino Linotype" w:cs="Arial"/>
          <w:sz w:val="28"/>
        </w:rPr>
      </w:pPr>
      <w:r w:rsidRPr="0023383E">
        <w:rPr>
          <w:rFonts w:ascii="Palatino Linotype" w:hAnsi="Palatino Linotype" w:cs="Arial"/>
          <w:b/>
          <w:sz w:val="28"/>
        </w:rPr>
        <w:t>QUINTO. Del estudio y resolución del asunto.</w:t>
      </w:r>
      <w:r w:rsidRPr="0023383E">
        <w:rPr>
          <w:rFonts w:ascii="Palatino Linotype" w:hAnsi="Palatino Linotype" w:cs="Arial"/>
          <w:sz w:val="28"/>
        </w:rPr>
        <w:t xml:space="preserve"> </w:t>
      </w: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 xml:space="preserve">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w:t>
      </w:r>
      <w:r w:rsidRPr="0023383E">
        <w:rPr>
          <w:rFonts w:ascii="Palatino Linotype" w:eastAsiaTheme="minorHAnsi" w:hAnsi="Palatino Linotype" w:cs="Arial"/>
          <w:lang w:val="es-MX" w:eastAsia="en-US"/>
        </w:rPr>
        <w:lastRenderedPageBreak/>
        <w:t>internacionales en los que el Estado Mexicano sea parte, en concordancia con el artículo 8, de la Ley de Transparencia local.</w:t>
      </w: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23383E" w:rsidRDefault="0029071C" w:rsidP="0029071C">
      <w:pPr>
        <w:spacing w:line="360" w:lineRule="auto"/>
        <w:ind w:right="141"/>
        <w:jc w:val="both"/>
        <w:rPr>
          <w:rFonts w:ascii="Palatino Linotype" w:eastAsiaTheme="minorHAnsi" w:hAnsi="Palatino Linotype" w:cstheme="minorBidi"/>
          <w:lang w:val="es-MX" w:eastAsia="es-MX"/>
        </w:rPr>
      </w:pPr>
      <w:r w:rsidRPr="0023383E">
        <w:rPr>
          <w:rFonts w:ascii="Palatino Linotype" w:eastAsiaTheme="minorHAnsi" w:hAnsi="Palatino Linotype" w:cstheme="minorBidi"/>
          <w:lang w:val="es-MX" w:eastAsia="es-MX"/>
        </w:rPr>
        <w:t>En este sentido nuestro estudio versará en determinar si la información remitida mediante respuesta, colma el derecho de acceso a la información solicitado por la</w:t>
      </w:r>
      <w:r w:rsidRPr="0023383E">
        <w:rPr>
          <w:rFonts w:ascii="Palatino Linotype" w:eastAsiaTheme="minorHAnsi" w:hAnsi="Palatino Linotype" w:cstheme="minorBidi"/>
          <w:b/>
          <w:lang w:val="es-MX" w:eastAsia="es-MX"/>
        </w:rPr>
        <w:t xml:space="preserve"> </w:t>
      </w:r>
      <w:r w:rsidRPr="0023383E">
        <w:rPr>
          <w:rFonts w:ascii="Palatino Linotype" w:eastAsiaTheme="minorHAnsi" w:hAnsi="Palatino Linotype" w:cstheme="minorBidi"/>
          <w:lang w:val="es-MX" w:eastAsia="es-MX"/>
        </w:rPr>
        <w:t>parte</w:t>
      </w:r>
      <w:r w:rsidRPr="0023383E">
        <w:rPr>
          <w:rFonts w:ascii="Palatino Linotype" w:eastAsiaTheme="minorHAnsi" w:hAnsi="Palatino Linotype" w:cstheme="minorBidi"/>
          <w:b/>
          <w:lang w:val="es-MX" w:eastAsia="es-MX"/>
        </w:rPr>
        <w:t xml:space="preserve"> Recurrente</w:t>
      </w:r>
      <w:r w:rsidRPr="0023383E">
        <w:rPr>
          <w:rFonts w:ascii="Palatino Linotype" w:eastAsiaTheme="minorHAnsi" w:hAnsi="Palatino Linotype" w:cstheme="minorBidi"/>
          <w:lang w:val="es-MX" w:eastAsia="es-MX"/>
        </w:rPr>
        <w:t>, para ello analizaremos lo solicitado y la información proporcionada.</w:t>
      </w:r>
    </w:p>
    <w:p w:rsidR="0029071C" w:rsidRPr="0023383E" w:rsidRDefault="0029071C" w:rsidP="0029071C">
      <w:pPr>
        <w:spacing w:line="360" w:lineRule="auto"/>
        <w:ind w:right="141"/>
        <w:jc w:val="both"/>
        <w:rPr>
          <w:rFonts w:ascii="Palatino Linotype" w:eastAsiaTheme="minorHAnsi" w:hAnsi="Palatino Linotype" w:cstheme="minorBidi"/>
          <w:sz w:val="16"/>
          <w:lang w:val="es-MX" w:eastAsia="es-MX"/>
        </w:rPr>
      </w:pPr>
    </w:p>
    <w:p w:rsidR="0029071C" w:rsidRPr="0023383E" w:rsidRDefault="0029071C" w:rsidP="0029071C">
      <w:pPr>
        <w:spacing w:line="360" w:lineRule="auto"/>
        <w:ind w:right="141"/>
        <w:jc w:val="both"/>
        <w:rPr>
          <w:rFonts w:ascii="Palatino Linotype" w:eastAsiaTheme="minorHAnsi" w:hAnsi="Palatino Linotype" w:cstheme="minorBidi"/>
          <w:sz w:val="16"/>
          <w:lang w:val="es-MX" w:eastAsia="es-MX"/>
        </w:rPr>
      </w:pPr>
    </w:p>
    <w:p w:rsidR="0029071C" w:rsidRPr="0023383E" w:rsidRDefault="0029071C" w:rsidP="00E74701">
      <w:pPr>
        <w:spacing w:line="360" w:lineRule="auto"/>
        <w:ind w:right="141"/>
        <w:jc w:val="both"/>
        <w:rPr>
          <w:rFonts w:ascii="Palatino Linotype" w:eastAsiaTheme="minorHAnsi" w:hAnsi="Palatino Linotype" w:cstheme="minorBidi"/>
          <w:b/>
          <w:szCs w:val="22"/>
          <w:lang w:val="es-MX" w:eastAsia="es-MX"/>
        </w:rPr>
      </w:pPr>
      <w:r w:rsidRPr="0023383E">
        <w:rPr>
          <w:rFonts w:ascii="Palatino Linotype" w:eastAsiaTheme="minorHAnsi" w:hAnsi="Palatino Linotype" w:cstheme="minorBidi"/>
          <w:b/>
          <w:szCs w:val="22"/>
          <w:lang w:val="es-MX" w:eastAsia="es-MX"/>
        </w:rPr>
        <w:t>REQUERIMIENTOS SOLICITADOS:</w:t>
      </w:r>
    </w:p>
    <w:p w:rsidR="00E74701" w:rsidRPr="0023383E" w:rsidRDefault="00E74701" w:rsidP="00E74701">
      <w:pPr>
        <w:pStyle w:val="Sinespaciado"/>
        <w:rPr>
          <w:rFonts w:eastAsiaTheme="minorHAnsi"/>
          <w:lang w:eastAsia="es-MX"/>
        </w:rPr>
      </w:pPr>
    </w:p>
    <w:p w:rsidR="00E74701" w:rsidRPr="0023383E" w:rsidRDefault="00E74701" w:rsidP="00E74701">
      <w:pPr>
        <w:numPr>
          <w:ilvl w:val="0"/>
          <w:numId w:val="19"/>
        </w:numPr>
        <w:spacing w:line="360" w:lineRule="auto"/>
        <w:ind w:right="141"/>
        <w:jc w:val="both"/>
        <w:rPr>
          <w:sz w:val="10"/>
        </w:rPr>
      </w:pPr>
      <w:r w:rsidRPr="0023383E">
        <w:rPr>
          <w:rFonts w:ascii="Palatino Linotype" w:eastAsiaTheme="minorHAnsi" w:hAnsi="Palatino Linotype"/>
          <w:lang w:eastAsia="es-MX"/>
        </w:rPr>
        <w:t>Expedientes completos de todas las auditorías de todos los entes de fiscalización, órganos internos de control y cualquier otro organismo con facultades para ejercer auditorías al organismo, de los años 2018, 2019, 2020 y septiembre 2021.</w:t>
      </w:r>
      <w:r w:rsidR="0029071C" w:rsidRPr="0023383E">
        <w:rPr>
          <w:rFonts w:ascii="Palatino Linotype" w:eastAsiaTheme="minorHAnsi" w:hAnsi="Palatino Linotype"/>
          <w:lang w:eastAsia="es-MX"/>
        </w:rPr>
        <w:t xml:space="preserve"> </w:t>
      </w:r>
    </w:p>
    <w:p w:rsidR="00E74701" w:rsidRPr="0023383E" w:rsidRDefault="00E74701" w:rsidP="00E74701">
      <w:pPr>
        <w:spacing w:line="360" w:lineRule="auto"/>
        <w:ind w:right="141"/>
        <w:jc w:val="both"/>
        <w:rPr>
          <w:sz w:val="18"/>
        </w:rPr>
      </w:pPr>
    </w:p>
    <w:p w:rsidR="0029071C" w:rsidRPr="0023383E" w:rsidRDefault="0029071C" w:rsidP="00E74701">
      <w:pPr>
        <w:spacing w:line="360" w:lineRule="auto"/>
        <w:ind w:right="49"/>
        <w:jc w:val="both"/>
        <w:rPr>
          <w:sz w:val="10"/>
        </w:rPr>
      </w:pPr>
      <w:r w:rsidRPr="0023383E">
        <w:rPr>
          <w:rFonts w:ascii="Palatino Linotype" w:eastAsiaTheme="minorHAnsi" w:hAnsi="Palatino Linotype" w:cstheme="minorBidi"/>
          <w:lang w:val="es-MX" w:eastAsia="es-MX"/>
        </w:rPr>
        <w:t xml:space="preserve">Atento a la solicitud de información </w:t>
      </w:r>
      <w:r w:rsidRPr="0023383E">
        <w:rPr>
          <w:rFonts w:ascii="Palatino Linotype" w:eastAsiaTheme="minorHAnsi" w:hAnsi="Palatino Linotype" w:cstheme="minorBidi"/>
          <w:b/>
          <w:lang w:val="es-MX" w:eastAsia="es-MX"/>
        </w:rPr>
        <w:t>El Sujeto Obligado</w:t>
      </w:r>
      <w:r w:rsidRPr="0023383E">
        <w:rPr>
          <w:rFonts w:ascii="Palatino Linotype" w:eastAsiaTheme="minorHAnsi" w:hAnsi="Palatino Linotype" w:cstheme="minorBidi"/>
          <w:lang w:val="es-MX" w:eastAsia="es-MX"/>
        </w:rPr>
        <w:t>, emitió su respuesta en donde manifestó lo siguiente:</w:t>
      </w:r>
      <w:r w:rsidR="00E74701" w:rsidRPr="0023383E">
        <w:rPr>
          <w:rFonts w:ascii="Palatino Linotype" w:eastAsiaTheme="minorHAnsi" w:hAnsi="Palatino Linotype" w:cstheme="minorBidi"/>
          <w:lang w:val="es-MX" w:eastAsia="es-MX"/>
        </w:rPr>
        <w:t>--------------------------------------------------------------------------------------------------------------------------------------------------------------------------------------------------------------------------------------------------------------------------------------------------------------------------------------------------------------------</w:t>
      </w:r>
      <w:r w:rsidR="00E74701" w:rsidRPr="0023383E">
        <w:rPr>
          <w:rFonts w:ascii="Palatino Linotype" w:eastAsiaTheme="minorHAnsi" w:hAnsi="Palatino Linotype" w:cstheme="minorBidi"/>
          <w:b/>
          <w:lang w:val="es-MX" w:eastAsia="es-MX"/>
        </w:rPr>
        <w:t>Salto de Página</w:t>
      </w:r>
      <w:r w:rsidR="00E74701" w:rsidRPr="0023383E">
        <w:rPr>
          <w:rFonts w:ascii="Palatino Linotype" w:eastAsiaTheme="minorHAnsi" w:hAnsi="Palatino Linotype" w:cstheme="minorBidi"/>
          <w:lang w:val="es-MX" w:eastAsia="es-MX"/>
        </w:rPr>
        <w:t>-----------------------------------------------------------------------------------------------------------------------------------------------------------------------------------------------------------------------------------------------------------------------------------------------------------------------------------------------------------------------------------------------------------------------------------------------------------------------------------------------------------------</w:t>
      </w:r>
    </w:p>
    <w:p w:rsidR="0029071C" w:rsidRPr="0023383E" w:rsidRDefault="0029071C" w:rsidP="0029071C">
      <w:pPr>
        <w:rPr>
          <w:lang w:val="es-MX"/>
        </w:rPr>
      </w:pPr>
    </w:p>
    <w:tbl>
      <w:tblPr>
        <w:tblStyle w:val="Tablaconcuadrcula"/>
        <w:tblW w:w="0" w:type="auto"/>
        <w:tblLayout w:type="fixed"/>
        <w:tblLook w:val="04A0" w:firstRow="1" w:lastRow="0" w:firstColumn="1" w:lastColumn="0" w:noHBand="0" w:noVBand="1"/>
      </w:tblPr>
      <w:tblGrid>
        <w:gridCol w:w="4815"/>
        <w:gridCol w:w="4296"/>
      </w:tblGrid>
      <w:tr w:rsidR="00BD677A" w:rsidRPr="0023383E" w:rsidTr="00BD677A">
        <w:tc>
          <w:tcPr>
            <w:tcW w:w="4815" w:type="dxa"/>
          </w:tcPr>
          <w:p w:rsidR="00BD677A" w:rsidRPr="0023383E" w:rsidRDefault="00BD677A" w:rsidP="00BD677A">
            <w:pPr>
              <w:spacing w:line="360" w:lineRule="auto"/>
              <w:ind w:right="141"/>
              <w:jc w:val="center"/>
              <w:rPr>
                <w:rFonts w:ascii="Palatino Linotype" w:hAnsi="Palatino Linotype"/>
                <w:i/>
                <w:sz w:val="2"/>
                <w:lang w:val="es-MX"/>
              </w:rPr>
            </w:pPr>
            <w:r w:rsidRPr="0023383E">
              <w:object w:dxaOrig="9195" w:dyaOrig="12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23.5pt;height:384pt" o:ole="">
                  <v:imagedata r:id="rId11" o:title=""/>
                </v:shape>
                <o:OLEObject Type="Embed" ProgID="PBrush" ShapeID="_x0000_i1025" DrawAspect="Content" ObjectID="_1699704296" r:id="rId12"/>
              </w:object>
            </w:r>
          </w:p>
        </w:tc>
        <w:tc>
          <w:tcPr>
            <w:tcW w:w="4296" w:type="dxa"/>
          </w:tcPr>
          <w:p w:rsidR="00BD677A" w:rsidRPr="0023383E" w:rsidRDefault="00BD677A" w:rsidP="0029071C">
            <w:pPr>
              <w:spacing w:line="360" w:lineRule="auto"/>
              <w:ind w:right="141"/>
              <w:jc w:val="both"/>
              <w:rPr>
                <w:rFonts w:ascii="Palatino Linotype" w:hAnsi="Palatino Linotype"/>
                <w:i/>
                <w:sz w:val="4"/>
                <w:lang w:val="es-MX"/>
              </w:rPr>
            </w:pPr>
            <w:r w:rsidRPr="0023383E">
              <w:rPr>
                <w:noProof/>
                <w:lang w:val="es-MX" w:eastAsia="es-MX"/>
              </w:rPr>
              <mc:AlternateContent>
                <mc:Choice Requires="wps">
                  <w:drawing>
                    <wp:anchor distT="0" distB="0" distL="114300" distR="114300" simplePos="0" relativeHeight="251659264" behindDoc="0" locked="0" layoutInCell="1" allowOverlap="1">
                      <wp:simplePos x="0" y="0"/>
                      <wp:positionH relativeFrom="column">
                        <wp:posOffset>688588</wp:posOffset>
                      </wp:positionH>
                      <wp:positionV relativeFrom="paragraph">
                        <wp:posOffset>726909</wp:posOffset>
                      </wp:positionV>
                      <wp:extent cx="1129086" cy="95416"/>
                      <wp:effectExtent l="19050" t="19050" r="13970" b="19050"/>
                      <wp:wrapNone/>
                      <wp:docPr id="3" name="Rectángulo 3"/>
                      <wp:cNvGraphicFramePr/>
                      <a:graphic xmlns:a="http://schemas.openxmlformats.org/drawingml/2006/main">
                        <a:graphicData uri="http://schemas.microsoft.com/office/word/2010/wordprocessingShape">
                          <wps:wsp>
                            <wps:cNvSpPr/>
                            <wps:spPr>
                              <a:xfrm>
                                <a:off x="0" y="0"/>
                                <a:ext cx="1129086" cy="95416"/>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8544A73" id="Rectángulo 3" o:spid="_x0000_s1026" style="position:absolute;margin-left:54.2pt;margin-top:57.25pt;width:88.9pt;height: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" filled="f" strokecolor="red" strokeweight="2.25pt"/>
                  </w:pict>
                </mc:Fallback>
              </mc:AlternateContent>
            </w:r>
            <w:r w:rsidRPr="0023383E">
              <w:object w:dxaOrig="8100" w:dyaOrig="6705">
                <v:shape id="_x0000_i1026" type="#_x0000_t75" style="width:201.75pt;height:167.25pt" o:ole="">
                  <v:imagedata r:id="rId13" o:title=""/>
                </v:shape>
                <o:OLEObject Type="Embed" ProgID="PBrush" ShapeID="_x0000_i1026" DrawAspect="Content" ObjectID="_1699704297" r:id="rId14"/>
              </w:object>
            </w:r>
            <w:r w:rsidRPr="0023383E">
              <w:object w:dxaOrig="10635" w:dyaOrig="10500">
                <v:shape id="_x0000_i1027" type="#_x0000_t75" style="width:204pt;height:201pt" o:ole="">
                  <v:imagedata r:id="rId15" o:title=""/>
                </v:shape>
                <o:OLEObject Type="Embed" ProgID="PBrush" ShapeID="_x0000_i1027" DrawAspect="Content" ObjectID="_1699704298" r:id="rId16"/>
              </w:object>
            </w:r>
          </w:p>
        </w:tc>
      </w:tr>
    </w:tbl>
    <w:p w:rsidR="00E74701" w:rsidRPr="0023383E" w:rsidRDefault="00E74701" w:rsidP="0029071C">
      <w:pPr>
        <w:spacing w:line="360" w:lineRule="auto"/>
        <w:ind w:right="141"/>
        <w:jc w:val="both"/>
        <w:rPr>
          <w:rFonts w:ascii="Palatino Linotype" w:eastAsiaTheme="minorHAnsi" w:hAnsi="Palatino Linotype" w:cs="Arial"/>
          <w:bCs/>
          <w:lang w:val="es-MX" w:eastAsia="en-US"/>
        </w:rPr>
      </w:pPr>
    </w:p>
    <w:p w:rsidR="0029071C" w:rsidRPr="0023383E" w:rsidRDefault="0029071C" w:rsidP="0029071C">
      <w:pPr>
        <w:spacing w:line="360" w:lineRule="auto"/>
        <w:ind w:right="141"/>
        <w:jc w:val="both"/>
        <w:rPr>
          <w:rFonts w:ascii="Palatino Linotype" w:eastAsiaTheme="minorHAnsi" w:hAnsi="Palatino Linotype" w:cs="Arial"/>
          <w:bCs/>
          <w:lang w:val="es-MX" w:eastAsia="en-US"/>
        </w:rPr>
      </w:pPr>
      <w:r w:rsidRPr="0023383E">
        <w:rPr>
          <w:rFonts w:ascii="Palatino Linotype" w:eastAsiaTheme="minorHAnsi" w:hAnsi="Palatino Linotype" w:cs="Arial"/>
          <w:bCs/>
          <w:lang w:val="es-MX" w:eastAsia="en-US"/>
        </w:rPr>
        <w:t xml:space="preserve">Es así que derivado de la respuesta emitida por </w:t>
      </w:r>
      <w:r w:rsidRPr="0023383E">
        <w:rPr>
          <w:rFonts w:ascii="Palatino Linotype" w:eastAsiaTheme="minorHAnsi" w:hAnsi="Palatino Linotype" w:cs="Arial"/>
          <w:b/>
          <w:bCs/>
          <w:lang w:val="es-MX" w:eastAsia="en-US"/>
        </w:rPr>
        <w:t>El Sujeto Obligado</w:t>
      </w:r>
      <w:r w:rsidRPr="0023383E">
        <w:rPr>
          <w:rFonts w:ascii="Palatino Linotype" w:eastAsiaTheme="minorHAnsi" w:hAnsi="Palatino Linotype" w:cs="Arial"/>
          <w:bCs/>
          <w:lang w:val="es-MX" w:eastAsia="en-US"/>
        </w:rPr>
        <w:t xml:space="preserve">, </w:t>
      </w:r>
      <w:r w:rsidRPr="0023383E">
        <w:rPr>
          <w:rFonts w:ascii="Palatino Linotype" w:eastAsiaTheme="minorHAnsi" w:hAnsi="Palatino Linotype" w:cs="Arial"/>
          <w:b/>
          <w:bCs/>
          <w:lang w:val="es-MX" w:eastAsia="en-US"/>
        </w:rPr>
        <w:t>El Recurrente</w:t>
      </w:r>
      <w:r w:rsidRPr="0023383E">
        <w:rPr>
          <w:rFonts w:ascii="Palatino Linotype" w:eastAsiaTheme="minorHAnsi" w:hAnsi="Palatino Linotype" w:cs="Arial"/>
          <w:bCs/>
          <w:lang w:val="es-MX" w:eastAsia="en-US"/>
        </w:rPr>
        <w:t>, interpuso el presente recurso de revisión, señalando sustancialmente como sus razones o motivos de inconformidad, lo siguiente:</w:t>
      </w:r>
    </w:p>
    <w:p w:rsidR="00BD677A" w:rsidRPr="0023383E" w:rsidRDefault="00BD677A" w:rsidP="00BD677A">
      <w:pPr>
        <w:spacing w:line="276" w:lineRule="auto"/>
        <w:ind w:right="567"/>
        <w:rPr>
          <w:lang w:val="es-MX"/>
        </w:rPr>
      </w:pPr>
    </w:p>
    <w:p w:rsidR="0029071C" w:rsidRPr="0023383E" w:rsidRDefault="0029071C" w:rsidP="00BD677A">
      <w:pPr>
        <w:spacing w:line="276" w:lineRule="auto"/>
        <w:ind w:right="49"/>
        <w:jc w:val="both"/>
        <w:rPr>
          <w:rFonts w:ascii="Palatino Linotype" w:eastAsiaTheme="minorHAnsi" w:hAnsi="Palatino Linotype" w:cs="Arial"/>
          <w:bCs/>
          <w:i/>
          <w:lang w:val="es-MX" w:eastAsia="en-US"/>
        </w:rPr>
      </w:pPr>
      <w:r w:rsidRPr="0023383E">
        <w:rPr>
          <w:rFonts w:ascii="Palatino Linotype" w:eastAsiaTheme="minorHAnsi" w:hAnsi="Palatino Linotype" w:cs="Arial"/>
          <w:bCs/>
          <w:i/>
          <w:lang w:val="es-MX" w:eastAsia="en-US"/>
        </w:rPr>
        <w:t>“</w:t>
      </w:r>
      <w:r w:rsidR="00BD677A" w:rsidRPr="0023383E">
        <w:rPr>
          <w:rFonts w:ascii="Palatino Linotype" w:eastAsiaTheme="minorHAnsi" w:hAnsi="Palatino Linotype" w:cs="Arial"/>
          <w:bCs/>
          <w:i/>
          <w:lang w:val="es-MX" w:eastAsia="en-US"/>
        </w:rPr>
        <w:t xml:space="preserve">No se hace entrega de la información que le fue requerida al sujeto obligado a través de la plataforma de transparencia (SAIMEX) en fecha 10/09/2021, registrada con el numero de folio </w:t>
      </w:r>
      <w:r w:rsidR="00BD677A" w:rsidRPr="0023383E">
        <w:rPr>
          <w:rFonts w:ascii="Palatino Linotype" w:eastAsiaTheme="minorHAnsi" w:hAnsi="Palatino Linotype" w:cs="Arial"/>
          <w:bCs/>
          <w:i/>
          <w:lang w:val="es-MX" w:eastAsia="en-US"/>
        </w:rPr>
        <w:lastRenderedPageBreak/>
        <w:t>00013/IMPIDPD/IP/2021, mediante la cual se requirió la entrega de los Expedientes completos de todas las auditorías de todos los entes de fiscalización, órganos internos de control y cualquier otro organismo con facultades para ejercer auditorías al organismo, de los años 2018,2019,2020 y septiembre 2021</w:t>
      </w:r>
      <w:r w:rsidRPr="0023383E">
        <w:rPr>
          <w:rFonts w:ascii="Palatino Linotype" w:eastAsiaTheme="minorHAnsi" w:hAnsi="Palatino Linotype" w:cs="Arial"/>
          <w:bCs/>
          <w:i/>
          <w:lang w:val="es-MX" w:eastAsia="en-US"/>
        </w:rPr>
        <w:t>” (Sic).</w:t>
      </w:r>
    </w:p>
    <w:p w:rsidR="00BD677A" w:rsidRPr="0023383E" w:rsidRDefault="00BD677A" w:rsidP="00BD677A">
      <w:pPr>
        <w:spacing w:line="276" w:lineRule="auto"/>
        <w:ind w:right="49"/>
        <w:jc w:val="both"/>
        <w:rPr>
          <w:rFonts w:ascii="Palatino Linotype" w:eastAsiaTheme="minorHAnsi" w:hAnsi="Palatino Linotype" w:cs="Arial"/>
          <w:bCs/>
          <w:i/>
          <w:lang w:val="es-MX" w:eastAsia="en-US"/>
        </w:rPr>
      </w:pPr>
    </w:p>
    <w:p w:rsidR="0029071C" w:rsidRPr="0023383E" w:rsidRDefault="00BD677A" w:rsidP="00BD677A">
      <w:pPr>
        <w:spacing w:line="276" w:lineRule="auto"/>
        <w:ind w:right="49"/>
        <w:jc w:val="both"/>
        <w:rPr>
          <w:rFonts w:ascii="Palatino Linotype" w:eastAsiaTheme="minorHAnsi" w:hAnsi="Palatino Linotype" w:cs="Arial"/>
          <w:bCs/>
          <w:i/>
          <w:lang w:val="es-MX" w:eastAsia="en-US"/>
        </w:rPr>
      </w:pPr>
      <w:r w:rsidRPr="0023383E">
        <w:rPr>
          <w:rFonts w:ascii="Palatino Linotype" w:eastAsiaTheme="minorHAnsi" w:hAnsi="Palatino Linotype" w:cs="Arial"/>
          <w:bCs/>
          <w:i/>
          <w:lang w:val="es-MX" w:eastAsia="en-US"/>
        </w:rPr>
        <w:t xml:space="preserve">“de los hechos se desprende que el sujeto obligado fue omiso en la entrega de la información, en los plazos y términos que para tal efecto establece el artículo 163 de la Ley de Transparencia y Acceso a la Información Pública del Estado de México y Municipios, así mismo es de observarse que en la entrega de la información se agrega un acta relativa a la primera sesión extraordinaria 2021 del comité de transparencia del sujeto obligado en comento, no obstante, dicha acta carece de toda legalidad, al no obrar las firmas autógrafas de quienes en ella intervienen, incluso ni siquiera la de la persona que ejerce la titularidad de la unidad de transparencia, máxime que en la misma incluso se hace referencia a la participación en el comité del representante de la secretaria de la contraloría, lo cual evidencia que dicho documento carece de toda certeza y legalidad jurídica e incluso de haberse llevado a cabo la supuesta sesión es absolutamente necesario contar con las firmas de los intervinientes, toda vez que a través de la misma se ratifica la conformidad de los participantes en cuanto a la veracidad de los acuerdos. Por otra parte, el documento en el que se anexa la respuesta no contiene los requisitos que se señalan de manera obligatoria en el artículo 177 del ya citado ordenamiento legal. Finalmente es de señalar que el argumento expuesto en el acta en el punto IV del orden del día, en el que la titular expone la falta de capacidad técnica, administrativa y humana del organismo parece no justificada, toda vez que señala incluso el número de personas que laboran en el organismo y teniendo en consideración que cada área cuenta con un servidor público habilitado lo que se acredita de la consulta de las actas que obran en el propio portal de IPOMEX del Instituto en el que se entregaron los nombramientos (sirva de consulta el apartado https://www.ipomex.org.mx/ipo3/lgt/indice/IMPIDPD/art_92_xliii_a.web) parece no justificarse dicho argumento, ya que tampoco agrega evidencia de haberse turnado al área correspondiente y que el servidor público habilitado externara dicha imposibilidad de entregar la información, y que lo hiciera bajo los mecanismos establecidos para tal efecto como lo es la </w:t>
      </w:r>
      <w:r w:rsidRPr="0023383E">
        <w:rPr>
          <w:rFonts w:ascii="Palatino Linotype" w:eastAsiaTheme="minorHAnsi" w:hAnsi="Palatino Linotype" w:cs="Arial"/>
          <w:bCs/>
          <w:i/>
          <w:lang w:val="es-MX" w:eastAsia="en-US"/>
        </w:rPr>
        <w:lastRenderedPageBreak/>
        <w:t>respuesta del servidor público habilitado por medio de la plataforma de transparencia al remitir la respuesta al titular de la unidad de transparencia por medio de su cuenta de usuario.” (Sic).</w:t>
      </w:r>
    </w:p>
    <w:p w:rsidR="00BD677A" w:rsidRPr="0023383E" w:rsidRDefault="00BD677A" w:rsidP="00BD677A">
      <w:pPr>
        <w:spacing w:line="276" w:lineRule="auto"/>
        <w:ind w:right="49"/>
        <w:jc w:val="both"/>
        <w:rPr>
          <w:rFonts w:ascii="Palatino Linotype" w:eastAsiaTheme="minorHAnsi" w:hAnsi="Palatino Linotype" w:cs="Arial"/>
          <w:bCs/>
          <w:i/>
          <w:lang w:val="es-MX" w:eastAsia="en-US"/>
        </w:rPr>
      </w:pPr>
    </w:p>
    <w:p w:rsidR="0029071C" w:rsidRPr="0023383E" w:rsidRDefault="0029071C" w:rsidP="0029071C">
      <w:pPr>
        <w:spacing w:line="360" w:lineRule="auto"/>
        <w:ind w:right="141"/>
        <w:jc w:val="both"/>
        <w:rPr>
          <w:rFonts w:ascii="Palatino Linotype" w:eastAsiaTheme="minorHAnsi" w:hAnsi="Palatino Linotype" w:cs="Arial"/>
          <w:szCs w:val="22"/>
          <w:lang w:val="es-MX" w:eastAsia="en-US"/>
        </w:rPr>
      </w:pPr>
      <w:r w:rsidRPr="0023383E">
        <w:rPr>
          <w:rFonts w:ascii="Palatino Linotype" w:eastAsiaTheme="minorHAnsi" w:hAnsi="Palatino Linotype" w:cs="Arial"/>
          <w:bCs/>
          <w:lang w:val="es-MX" w:eastAsia="en-US"/>
        </w:rPr>
        <w:t xml:space="preserve">Atento a ello, primeramente es importante señalar que </w:t>
      </w:r>
      <w:r w:rsidRPr="0023383E">
        <w:rPr>
          <w:rFonts w:ascii="Palatino Linotype" w:eastAsiaTheme="minorHAnsi" w:hAnsi="Palatino Linotype" w:cs="Arial"/>
          <w:szCs w:val="22"/>
          <w:lang w:val="es-MX" w:eastAsia="en-US"/>
        </w:rPr>
        <w:t>el artículo 4, párrafo segundo de la Ley de Transparencia y Acceso a la Información Pública del Estado de México y Municipios, dispone:</w:t>
      </w:r>
    </w:p>
    <w:p w:rsidR="0029071C" w:rsidRPr="0023383E" w:rsidRDefault="0029071C" w:rsidP="0029071C">
      <w:pPr>
        <w:rPr>
          <w:lang w:val="es-MX"/>
        </w:rPr>
      </w:pPr>
    </w:p>
    <w:p w:rsidR="0029071C" w:rsidRPr="0023383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23383E">
        <w:rPr>
          <w:rFonts w:ascii="Palatino Linotype" w:eastAsiaTheme="minorHAnsi" w:hAnsi="Palatino Linotype" w:cs="Arial"/>
          <w:i/>
          <w:sz w:val="22"/>
          <w:szCs w:val="22"/>
          <w:lang w:val="es-MX" w:eastAsia="en-US"/>
        </w:rPr>
        <w:t>“</w:t>
      </w:r>
      <w:r w:rsidRPr="0023383E">
        <w:rPr>
          <w:rFonts w:ascii="Palatino Linotype" w:eastAsiaTheme="minorHAnsi" w:hAnsi="Palatino Linotype" w:cs="Arial"/>
          <w:b/>
          <w:i/>
          <w:color w:val="000000"/>
          <w:sz w:val="22"/>
          <w:szCs w:val="22"/>
          <w:lang w:val="es-MX" w:eastAsia="en-US"/>
        </w:rPr>
        <w:t xml:space="preserve">Artículo 4. </w:t>
      </w:r>
      <w:r w:rsidRPr="0023383E">
        <w:rPr>
          <w:rFonts w:ascii="Palatino Linotype" w:eastAsiaTheme="minorHAnsi" w:hAnsi="Palatino Linotype" w:cs="Arial"/>
          <w:i/>
          <w:color w:val="000000"/>
          <w:sz w:val="22"/>
          <w:szCs w:val="22"/>
          <w:lang w:val="es-MX" w:eastAsia="en-US"/>
        </w:rPr>
        <w:t xml:space="preserve">… </w:t>
      </w:r>
    </w:p>
    <w:p w:rsidR="0029071C" w:rsidRPr="0023383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23383E">
        <w:rPr>
          <w:rFonts w:ascii="Palatino Linotype" w:eastAsiaTheme="minorHAnsi" w:hAnsi="Palatino Linotype" w:cs="Arial"/>
          <w:i/>
          <w:color w:val="000000"/>
          <w:sz w:val="22"/>
          <w:szCs w:val="22"/>
          <w:lang w:val="es-MX" w:eastAsia="en-US"/>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rsidR="0029071C" w:rsidRPr="0023383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23383E">
        <w:rPr>
          <w:rFonts w:ascii="Palatino Linotype" w:eastAsiaTheme="minorHAnsi" w:hAnsi="Palatino Linotype" w:cs="Arial"/>
          <w:i/>
          <w:color w:val="000000"/>
          <w:sz w:val="22"/>
          <w:szCs w:val="22"/>
          <w:lang w:val="es-MX" w:eastAsia="en-US"/>
        </w:rPr>
        <w:t>(</w:t>
      </w:r>
      <w:r w:rsidRPr="0023383E">
        <w:rPr>
          <w:rFonts w:ascii="Palatino Linotype" w:eastAsiaTheme="minorHAnsi" w:hAnsi="Palatino Linotype" w:cs="Arial"/>
          <w:i/>
          <w:sz w:val="22"/>
          <w:szCs w:val="22"/>
          <w:lang w:val="es-MX" w:eastAsia="en-US"/>
        </w:rPr>
        <w:t>...)”</w:t>
      </w:r>
    </w:p>
    <w:p w:rsidR="0029071C" w:rsidRPr="0023383E" w:rsidRDefault="0029071C" w:rsidP="0029071C">
      <w:pPr>
        <w:spacing w:after="160" w:line="259" w:lineRule="auto"/>
        <w:ind w:left="851" w:right="902"/>
        <w:jc w:val="both"/>
        <w:rPr>
          <w:rFonts w:ascii="Palatino Linotype" w:eastAsiaTheme="minorHAnsi" w:hAnsi="Palatino Linotype" w:cs="Arial"/>
          <w:sz w:val="14"/>
          <w:szCs w:val="22"/>
          <w:lang w:val="es-MX" w:eastAsia="en-US"/>
        </w:rPr>
      </w:pPr>
    </w:p>
    <w:p w:rsidR="0029071C" w:rsidRPr="0023383E" w:rsidRDefault="0029071C" w:rsidP="0029071C">
      <w:pPr>
        <w:spacing w:after="160" w:line="360" w:lineRule="auto"/>
        <w:jc w:val="both"/>
        <w:rPr>
          <w:rFonts w:ascii="Palatino Linotype" w:eastAsiaTheme="minorHAnsi" w:hAnsi="Palatino Linotype" w:cs="Arial"/>
          <w:i/>
          <w:szCs w:val="22"/>
          <w:lang w:val="es-MX" w:eastAsia="en-US"/>
        </w:rPr>
      </w:pPr>
      <w:r w:rsidRPr="0023383E">
        <w:rPr>
          <w:rFonts w:ascii="Palatino Linotype" w:eastAsiaTheme="minorHAnsi" w:hAnsi="Palatino Linotype" w:cs="Arial"/>
          <w:szCs w:val="22"/>
          <w:lang w:val="es-MX" w:eastAsia="en-US"/>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rsidR="0029071C" w:rsidRPr="0023383E" w:rsidRDefault="0029071C" w:rsidP="0029071C">
      <w:pPr>
        <w:spacing w:after="160" w:line="360" w:lineRule="auto"/>
        <w:ind w:right="425"/>
        <w:jc w:val="both"/>
        <w:rPr>
          <w:rFonts w:ascii="Palatino Linotype" w:eastAsiaTheme="minorHAnsi" w:hAnsi="Palatino Linotype" w:cs="Arial"/>
          <w:b/>
          <w:i/>
          <w:sz w:val="12"/>
          <w:szCs w:val="22"/>
          <w:lang w:val="es-MX" w:eastAsia="en-US"/>
        </w:rPr>
      </w:pPr>
    </w:p>
    <w:p w:rsidR="0029071C" w:rsidRPr="0023383E" w:rsidRDefault="0029071C" w:rsidP="00BD677A">
      <w:pPr>
        <w:spacing w:after="160" w:line="360" w:lineRule="auto"/>
        <w:jc w:val="both"/>
        <w:rPr>
          <w:rFonts w:ascii="Palatino Linotype" w:eastAsiaTheme="minorHAnsi" w:hAnsi="Palatino Linotype" w:cs="Arial"/>
          <w:szCs w:val="22"/>
          <w:lang w:val="es-MX" w:eastAsia="en-US"/>
        </w:rPr>
      </w:pPr>
      <w:r w:rsidRPr="0023383E">
        <w:rPr>
          <w:rFonts w:ascii="Palatino Linotype" w:eastAsiaTheme="minorHAnsi" w:hAnsi="Palatino Linotype" w:cs="Arial"/>
          <w:szCs w:val="22"/>
          <w:lang w:val="es-MX" w:eastAsia="en-US"/>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rsidR="0029071C" w:rsidRPr="0023383E" w:rsidRDefault="0029071C" w:rsidP="0029071C">
      <w:pPr>
        <w:spacing w:line="259" w:lineRule="auto"/>
        <w:ind w:left="567" w:right="567"/>
        <w:jc w:val="both"/>
        <w:rPr>
          <w:rFonts w:ascii="Palatino Linotype" w:eastAsiaTheme="minorHAnsi" w:hAnsi="Palatino Linotype" w:cs="Arial"/>
          <w:i/>
          <w:sz w:val="22"/>
          <w:szCs w:val="22"/>
          <w:lang w:val="es-MX" w:eastAsia="en-US"/>
        </w:rPr>
      </w:pPr>
      <w:r w:rsidRPr="0023383E">
        <w:rPr>
          <w:rFonts w:ascii="Palatino Linotype" w:eastAsiaTheme="minorHAnsi" w:hAnsi="Palatino Linotype" w:cs="Arial"/>
          <w:i/>
          <w:sz w:val="22"/>
          <w:szCs w:val="22"/>
          <w:lang w:val="es-MX" w:eastAsia="en-US"/>
        </w:rPr>
        <w:lastRenderedPageBreak/>
        <w:t>“</w:t>
      </w:r>
      <w:r w:rsidRPr="0023383E">
        <w:rPr>
          <w:rFonts w:ascii="Palatino Linotype" w:eastAsiaTheme="minorHAnsi" w:hAnsi="Palatino Linotype" w:cs="Arial"/>
          <w:b/>
          <w:i/>
          <w:color w:val="000000"/>
          <w:sz w:val="22"/>
          <w:szCs w:val="22"/>
          <w:lang w:val="es-MX" w:eastAsia="en-US"/>
        </w:rPr>
        <w:t>Artículo 12.</w:t>
      </w:r>
      <w:r w:rsidRPr="0023383E">
        <w:rPr>
          <w:rFonts w:ascii="Palatino Linotype" w:eastAsiaTheme="minorHAnsi" w:hAnsi="Palatino Linotype" w:cs="Arial"/>
          <w:i/>
          <w:color w:val="000000"/>
          <w:sz w:val="22"/>
          <w:szCs w:val="22"/>
          <w:lang w:val="es-MX" w:eastAsia="en-US"/>
        </w:rPr>
        <w:t xml:space="preserve"> Quienes generen, recopilen, administren, manejen, procesen, archiven o conserven información pública serán responsables de la misma en los términos de las disposiciones jurídicas aplicables. </w:t>
      </w:r>
    </w:p>
    <w:p w:rsidR="0029071C" w:rsidRPr="0023383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p>
    <w:p w:rsidR="0029071C" w:rsidRPr="0023383E" w:rsidRDefault="0029071C" w:rsidP="00BD677A">
      <w:pPr>
        <w:spacing w:line="259" w:lineRule="auto"/>
        <w:ind w:left="567" w:right="567"/>
        <w:jc w:val="both"/>
        <w:rPr>
          <w:rFonts w:ascii="Palatino Linotype" w:eastAsiaTheme="minorHAnsi" w:hAnsi="Palatino Linotype" w:cs="Arial"/>
          <w:i/>
          <w:sz w:val="22"/>
          <w:szCs w:val="22"/>
          <w:lang w:val="es-MX" w:eastAsia="en-US"/>
        </w:rPr>
      </w:pPr>
      <w:r w:rsidRPr="0023383E">
        <w:rPr>
          <w:rFonts w:ascii="Palatino Linotype" w:eastAsiaTheme="minorHAnsi" w:hAnsi="Palatino Linotype" w:cs="Arial"/>
          <w:i/>
          <w:color w:val="000000"/>
          <w:sz w:val="22"/>
          <w:szCs w:val="22"/>
          <w:lang w:val="es-MX" w:eastAsia="en-US"/>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00BD677A" w:rsidRPr="0023383E">
        <w:rPr>
          <w:rFonts w:ascii="Palatino Linotype" w:eastAsiaTheme="minorHAnsi" w:hAnsi="Palatino Linotype" w:cs="Arial"/>
          <w:i/>
          <w:sz w:val="22"/>
          <w:szCs w:val="22"/>
          <w:lang w:val="es-MX" w:eastAsia="en-US"/>
        </w:rPr>
        <w:t>”</w:t>
      </w:r>
    </w:p>
    <w:p w:rsidR="00BD677A" w:rsidRPr="0023383E" w:rsidRDefault="00BD677A" w:rsidP="00BD677A">
      <w:pPr>
        <w:spacing w:line="259" w:lineRule="auto"/>
        <w:ind w:left="567" w:right="567"/>
        <w:jc w:val="both"/>
        <w:rPr>
          <w:rFonts w:ascii="Palatino Linotype" w:eastAsiaTheme="minorHAnsi" w:hAnsi="Palatino Linotype" w:cs="Arial"/>
          <w:i/>
          <w:sz w:val="22"/>
          <w:szCs w:val="22"/>
          <w:lang w:val="es-MX" w:eastAsia="en-US"/>
        </w:rPr>
      </w:pPr>
    </w:p>
    <w:p w:rsidR="0029071C" w:rsidRPr="0023383E" w:rsidRDefault="0029071C" w:rsidP="00BD677A">
      <w:pPr>
        <w:spacing w:line="360" w:lineRule="auto"/>
        <w:jc w:val="both"/>
        <w:rPr>
          <w:rFonts w:ascii="Palatino Linotype" w:eastAsiaTheme="minorHAnsi" w:hAnsi="Palatino Linotype" w:cs="Arial"/>
          <w:color w:val="000000"/>
          <w:szCs w:val="22"/>
          <w:lang w:val="es-MX" w:eastAsia="en-US"/>
        </w:rPr>
      </w:pPr>
      <w:r w:rsidRPr="0023383E">
        <w:rPr>
          <w:rFonts w:ascii="Palatino Linotype" w:eastAsiaTheme="minorHAnsi" w:hAnsi="Palatino Linotype" w:cs="Arial"/>
          <w:color w:val="000000"/>
          <w:szCs w:val="22"/>
          <w:lang w:val="es-MX" w:eastAsia="en-US"/>
        </w:rPr>
        <w:t>En síntesis, el derecho de acceso a la información pública se satisface en aquellos casos en que se entregue el soporte documental en que conste la información pública, toda vez que, los Sujetos Obligados</w:t>
      </w:r>
      <w:r w:rsidRPr="0023383E">
        <w:rPr>
          <w:rFonts w:ascii="Palatino Linotype" w:eastAsiaTheme="minorHAnsi" w:hAnsi="Palatino Linotype" w:cs="Arial"/>
          <w:b/>
          <w:color w:val="000000"/>
          <w:szCs w:val="22"/>
          <w:lang w:val="es-MX" w:eastAsia="en-US"/>
        </w:rPr>
        <w:t xml:space="preserve"> </w:t>
      </w:r>
      <w:r w:rsidRPr="0023383E">
        <w:rPr>
          <w:rFonts w:ascii="Palatino Linotype" w:eastAsiaTheme="minorHAnsi" w:hAnsi="Palatino Linotype" w:cs="Arial"/>
          <w:color w:val="000000"/>
          <w:szCs w:val="22"/>
          <w:lang w:val="es-MX" w:eastAsia="en-US"/>
        </w:rPr>
        <w:t xml:space="preserve">no tienen el deber de generar, poseer o administrar la información pública con el grado de detalle solicitado; esto es, que no tienen el deber de generar un documento </w:t>
      </w:r>
      <w:r w:rsidRPr="0023383E">
        <w:rPr>
          <w:rFonts w:ascii="Palatino Linotype" w:eastAsiaTheme="minorHAnsi" w:hAnsi="Palatino Linotype" w:cs="Arial"/>
          <w:i/>
          <w:color w:val="000000"/>
          <w:szCs w:val="22"/>
          <w:lang w:val="es-MX" w:eastAsia="en-US"/>
        </w:rPr>
        <w:t>ad hoc</w:t>
      </w:r>
      <w:r w:rsidRPr="0023383E">
        <w:rPr>
          <w:rFonts w:ascii="Palatino Linotype" w:eastAsiaTheme="minorHAnsi" w:hAnsi="Palatino Linotype" w:cs="Arial"/>
          <w:color w:val="000000"/>
          <w:szCs w:val="22"/>
          <w:lang w:val="es-MX" w:eastAsia="en-US"/>
        </w:rPr>
        <w:t>, para satisfacer el derecho de a</w:t>
      </w:r>
      <w:r w:rsidR="00BD677A" w:rsidRPr="0023383E">
        <w:rPr>
          <w:rFonts w:ascii="Palatino Linotype" w:eastAsiaTheme="minorHAnsi" w:hAnsi="Palatino Linotype" w:cs="Arial"/>
          <w:color w:val="000000"/>
          <w:szCs w:val="22"/>
          <w:lang w:val="es-MX" w:eastAsia="en-US"/>
        </w:rPr>
        <w:t>cceso a la información pública.</w:t>
      </w:r>
    </w:p>
    <w:p w:rsidR="00BD677A" w:rsidRPr="0023383E" w:rsidRDefault="00BD677A" w:rsidP="00BD677A">
      <w:pPr>
        <w:spacing w:line="360" w:lineRule="auto"/>
        <w:jc w:val="both"/>
        <w:rPr>
          <w:rFonts w:ascii="Palatino Linotype" w:eastAsiaTheme="minorHAnsi" w:hAnsi="Palatino Linotype" w:cs="Arial"/>
          <w:color w:val="000000"/>
          <w:szCs w:val="22"/>
          <w:lang w:val="es-MX" w:eastAsia="en-US"/>
        </w:rPr>
      </w:pPr>
    </w:p>
    <w:p w:rsidR="0029071C" w:rsidRPr="0023383E" w:rsidRDefault="0029071C" w:rsidP="00BD677A">
      <w:pPr>
        <w:spacing w:line="360" w:lineRule="auto"/>
        <w:jc w:val="both"/>
        <w:rPr>
          <w:rFonts w:ascii="Palatino Linotype" w:eastAsiaTheme="minorHAnsi" w:hAnsi="Palatino Linotype" w:cstheme="minorBidi"/>
          <w:b/>
          <w:bCs/>
          <w:color w:val="000000"/>
          <w:szCs w:val="22"/>
          <w:lang w:val="es-MX" w:eastAsia="en-US"/>
        </w:rPr>
      </w:pPr>
      <w:r w:rsidRPr="0023383E">
        <w:rPr>
          <w:rFonts w:ascii="Palatino Linotype" w:eastAsiaTheme="minorHAnsi" w:hAnsi="Palatino Linotype" w:cs="Arial"/>
          <w:color w:val="000000"/>
          <w:szCs w:val="22"/>
          <w:lang w:val="es-MX" w:eastAsia="en-US"/>
        </w:rPr>
        <w:t xml:space="preserve">Como apoyo a lo anterior, es aplicable el Criterio 03-17, emitido por </w:t>
      </w:r>
      <w:r w:rsidRPr="0023383E">
        <w:rPr>
          <w:rFonts w:ascii="Palatino Linotype" w:eastAsia="Arial Unicode MS" w:hAnsi="Palatino Linotype" w:cs="Arial"/>
          <w:color w:val="000000"/>
          <w:szCs w:val="22"/>
          <w:lang w:val="es-MX" w:eastAsia="en-US"/>
        </w:rPr>
        <w:t>el Instituto Nacional de Transparencia, Acceso a la Información y Protección de Datos Personales,</w:t>
      </w:r>
      <w:r w:rsidRPr="0023383E">
        <w:rPr>
          <w:rFonts w:ascii="Palatino Linotype" w:eastAsiaTheme="minorHAnsi" w:hAnsi="Palatino Linotype" w:cstheme="minorBidi"/>
          <w:bCs/>
          <w:color w:val="000000"/>
          <w:szCs w:val="22"/>
          <w:lang w:val="es-MX" w:eastAsia="en-US"/>
        </w:rPr>
        <w:t xml:space="preserve"> que dice:</w:t>
      </w:r>
      <w:r w:rsidRPr="0023383E">
        <w:rPr>
          <w:rFonts w:ascii="Palatino Linotype" w:eastAsiaTheme="minorHAnsi" w:hAnsi="Palatino Linotype" w:cstheme="minorBidi"/>
          <w:b/>
          <w:bCs/>
          <w:color w:val="000000"/>
          <w:szCs w:val="22"/>
          <w:lang w:val="es-MX" w:eastAsia="en-US"/>
        </w:rPr>
        <w:t xml:space="preserve"> </w:t>
      </w:r>
    </w:p>
    <w:p w:rsidR="0029071C" w:rsidRPr="0023383E" w:rsidRDefault="0029071C" w:rsidP="0029071C">
      <w:pPr>
        <w:spacing w:after="160" w:line="259" w:lineRule="auto"/>
        <w:ind w:left="851" w:right="850"/>
        <w:jc w:val="both"/>
        <w:rPr>
          <w:rFonts w:ascii="Palatino Linotype" w:eastAsiaTheme="minorHAnsi" w:hAnsi="Palatino Linotype" w:cs="Arial"/>
          <w:color w:val="000000"/>
          <w:sz w:val="2"/>
          <w:szCs w:val="22"/>
          <w:lang w:val="es-MX" w:eastAsia="en-US"/>
        </w:rPr>
      </w:pPr>
    </w:p>
    <w:p w:rsidR="0029071C" w:rsidRPr="0023383E" w:rsidRDefault="0029071C" w:rsidP="0029071C">
      <w:pPr>
        <w:spacing w:after="160" w:line="259" w:lineRule="auto"/>
        <w:ind w:left="567" w:right="567"/>
        <w:jc w:val="both"/>
        <w:rPr>
          <w:rFonts w:ascii="Palatino Linotype" w:eastAsiaTheme="minorHAnsi" w:hAnsi="Palatino Linotype" w:cs="Arial"/>
          <w:i/>
          <w:color w:val="000000"/>
          <w:sz w:val="22"/>
          <w:szCs w:val="22"/>
          <w:lang w:val="es-MX" w:eastAsia="en-US"/>
        </w:rPr>
      </w:pPr>
      <w:r w:rsidRPr="0023383E">
        <w:rPr>
          <w:rFonts w:ascii="Palatino Linotype" w:eastAsiaTheme="minorHAnsi" w:hAnsi="Palatino Linotype" w:cs="Arial"/>
          <w:i/>
          <w:color w:val="000000"/>
          <w:sz w:val="22"/>
          <w:szCs w:val="22"/>
          <w:lang w:val="es-MX" w:eastAsia="en-US"/>
        </w:rPr>
        <w:t>“</w:t>
      </w:r>
      <w:r w:rsidRPr="0023383E">
        <w:rPr>
          <w:rFonts w:ascii="Palatino Linotype" w:eastAsiaTheme="minorHAnsi" w:hAnsi="Palatino Linotype" w:cs="Arial"/>
          <w:b/>
          <w:i/>
          <w:color w:val="000000"/>
          <w:sz w:val="22"/>
          <w:szCs w:val="22"/>
          <w:lang w:val="es-MX" w:eastAsia="en-US"/>
        </w:rPr>
        <w:t>No existe obligación de elaborar documentos ad hoc para atender las solicitudes de acceso a la información.</w:t>
      </w:r>
      <w:r w:rsidRPr="0023383E">
        <w:rPr>
          <w:rFonts w:ascii="Palatino Linotype" w:eastAsiaTheme="minorHAnsi" w:hAnsi="Palatino Linotype" w:cs="Arial"/>
          <w:i/>
          <w:color w:val="000000"/>
          <w:sz w:val="22"/>
          <w:szCs w:val="22"/>
          <w:lang w:val="es-MX" w:eastAsia="en-US"/>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w:t>
      </w:r>
      <w:r w:rsidRPr="0023383E">
        <w:rPr>
          <w:rFonts w:ascii="Palatino Linotype" w:eastAsiaTheme="minorHAnsi" w:hAnsi="Palatino Linotype" w:cs="Arial"/>
          <w:i/>
          <w:color w:val="000000"/>
          <w:sz w:val="22"/>
          <w:szCs w:val="22"/>
          <w:lang w:val="es-MX" w:eastAsia="en-US"/>
        </w:rPr>
        <w:lastRenderedPageBreak/>
        <w:t>información con la que cuentan en el formato en que la misma obre en sus archivos; sin necesidad de elaborar documentos ad hoc para atender las solicitudes de información.</w:t>
      </w:r>
    </w:p>
    <w:p w:rsidR="0029071C" w:rsidRPr="0023383E" w:rsidRDefault="0029071C" w:rsidP="0029071C">
      <w:pPr>
        <w:spacing w:after="160" w:line="259" w:lineRule="auto"/>
        <w:ind w:left="567" w:right="567"/>
        <w:jc w:val="both"/>
        <w:rPr>
          <w:rFonts w:ascii="Palatino Linotype" w:eastAsiaTheme="minorHAnsi" w:hAnsi="Palatino Linotype" w:cs="Arial"/>
          <w:i/>
          <w:color w:val="000000"/>
          <w:sz w:val="2"/>
          <w:szCs w:val="22"/>
          <w:lang w:val="es-MX" w:eastAsia="en-US"/>
        </w:rPr>
      </w:pPr>
    </w:p>
    <w:p w:rsidR="0029071C" w:rsidRPr="0023383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23383E">
        <w:rPr>
          <w:rFonts w:ascii="Palatino Linotype" w:eastAsiaTheme="minorHAnsi" w:hAnsi="Palatino Linotype" w:cs="Arial"/>
          <w:i/>
          <w:color w:val="000000"/>
          <w:sz w:val="20"/>
          <w:szCs w:val="22"/>
          <w:lang w:val="es-MX" w:eastAsia="en-US"/>
        </w:rPr>
        <w:t xml:space="preserve">Resoluciones: </w:t>
      </w:r>
    </w:p>
    <w:p w:rsidR="0029071C" w:rsidRPr="0023383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23383E">
        <w:rPr>
          <w:rFonts w:ascii="Palatino Linotype" w:eastAsiaTheme="minorHAnsi" w:hAnsi="Palatino Linotype" w:cs="Arial"/>
          <w:i/>
          <w:color w:val="000000"/>
          <w:sz w:val="20"/>
          <w:szCs w:val="22"/>
          <w:lang w:val="es-MX" w:eastAsia="en-US"/>
        </w:rPr>
        <w:sym w:font="Symbol" w:char="F0B7"/>
      </w:r>
      <w:r w:rsidRPr="0023383E">
        <w:rPr>
          <w:rFonts w:ascii="Palatino Linotype" w:eastAsiaTheme="minorHAnsi" w:hAnsi="Palatino Linotype" w:cs="Arial"/>
          <w:i/>
          <w:color w:val="000000"/>
          <w:sz w:val="20"/>
          <w:szCs w:val="22"/>
          <w:lang w:val="es-MX" w:eastAsia="en-US"/>
        </w:rPr>
        <w:t xml:space="preserve"> RRA 0050/16. Instituto Nacional para la Evaluación de la Educación. 13 julio de 2016. Por unanimidad. Comisionado Ponente: Francisco Javier Acuña Llamas.</w:t>
      </w:r>
    </w:p>
    <w:p w:rsidR="0029071C" w:rsidRPr="0023383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23383E">
        <w:rPr>
          <w:rFonts w:ascii="Palatino Linotype" w:eastAsiaTheme="minorHAnsi" w:hAnsi="Palatino Linotype" w:cs="Arial"/>
          <w:i/>
          <w:color w:val="000000"/>
          <w:sz w:val="20"/>
          <w:szCs w:val="22"/>
          <w:lang w:val="es-MX" w:eastAsia="en-US"/>
        </w:rPr>
        <w:sym w:font="Symbol" w:char="F0B7"/>
      </w:r>
      <w:r w:rsidRPr="0023383E">
        <w:rPr>
          <w:rFonts w:ascii="Palatino Linotype" w:eastAsiaTheme="minorHAnsi" w:hAnsi="Palatino Linotype" w:cs="Arial"/>
          <w:i/>
          <w:color w:val="000000"/>
          <w:sz w:val="20"/>
          <w:szCs w:val="22"/>
          <w:lang w:val="es-MX" w:eastAsia="en-US"/>
        </w:rPr>
        <w:t xml:space="preserve"> RRA 0310/16. Instituto Nacional de Transparencia, Acceso a la Información y Protección de Datos Personales. 10 de agosto de 2016. Por unanimidad. Comisionada Ponente. Areli Cano Guadiana. </w:t>
      </w:r>
    </w:p>
    <w:p w:rsidR="0029071C" w:rsidRPr="0023383E" w:rsidRDefault="0029071C" w:rsidP="0029071C">
      <w:pPr>
        <w:spacing w:line="259" w:lineRule="auto"/>
        <w:ind w:left="567" w:right="567"/>
        <w:jc w:val="both"/>
        <w:rPr>
          <w:rFonts w:ascii="Palatino Linotype" w:eastAsiaTheme="minorHAnsi" w:hAnsi="Palatino Linotype" w:cs="Arial"/>
          <w:i/>
          <w:color w:val="000000"/>
          <w:sz w:val="20"/>
          <w:szCs w:val="22"/>
          <w:lang w:val="es-MX" w:eastAsia="en-US"/>
        </w:rPr>
      </w:pPr>
      <w:r w:rsidRPr="0023383E">
        <w:rPr>
          <w:rFonts w:ascii="Palatino Linotype" w:eastAsiaTheme="minorHAnsi" w:hAnsi="Palatino Linotype" w:cs="Arial"/>
          <w:i/>
          <w:color w:val="000000"/>
          <w:sz w:val="20"/>
          <w:szCs w:val="22"/>
          <w:lang w:val="es-MX" w:eastAsia="en-US"/>
        </w:rPr>
        <w:sym w:font="Symbol" w:char="F0B7"/>
      </w:r>
      <w:r w:rsidRPr="0023383E">
        <w:rPr>
          <w:rFonts w:ascii="Palatino Linotype" w:eastAsiaTheme="minorHAnsi" w:hAnsi="Palatino Linotype" w:cs="Arial"/>
          <w:i/>
          <w:color w:val="000000"/>
          <w:sz w:val="20"/>
          <w:szCs w:val="22"/>
          <w:lang w:val="es-MX" w:eastAsia="en-US"/>
        </w:rPr>
        <w:t xml:space="preserve"> RRA 1889/16. Secretaría de Hacienda y Crédito Público. 05 de octubre de 2016. Por unanimidad. Comisionada Ponente. Ximena Puente de la Mora.”</w:t>
      </w:r>
    </w:p>
    <w:p w:rsidR="0029071C" w:rsidRPr="0023383E" w:rsidRDefault="0029071C" w:rsidP="0029071C">
      <w:pPr>
        <w:spacing w:after="160" w:line="259" w:lineRule="auto"/>
        <w:jc w:val="both"/>
        <w:rPr>
          <w:rFonts w:ascii="Palatino Linotype" w:eastAsiaTheme="minorHAnsi" w:hAnsi="Palatino Linotype" w:cs="Arial"/>
          <w:sz w:val="16"/>
          <w:szCs w:val="22"/>
          <w:lang w:val="es-MX" w:eastAsia="en-US"/>
        </w:rPr>
      </w:pPr>
    </w:p>
    <w:p w:rsidR="0029071C" w:rsidRPr="0023383E" w:rsidRDefault="0029071C" w:rsidP="0029071C">
      <w:pPr>
        <w:spacing w:line="360" w:lineRule="auto"/>
        <w:jc w:val="both"/>
        <w:rPr>
          <w:rFonts w:ascii="Palatino Linotype" w:eastAsiaTheme="minorHAnsi" w:hAnsi="Palatino Linotype" w:cs="Arial"/>
          <w:color w:val="000000" w:themeColor="text1"/>
          <w:szCs w:val="22"/>
          <w:lang w:val="es-MX" w:eastAsia="en-US"/>
        </w:rPr>
      </w:pPr>
      <w:r w:rsidRPr="0023383E">
        <w:rPr>
          <w:rFonts w:ascii="Palatino Linotype" w:eastAsiaTheme="minorHAnsi" w:hAnsi="Palatino Linotype" w:cs="Arial"/>
          <w:color w:val="000000" w:themeColor="text1"/>
          <w:szCs w:val="22"/>
          <w:lang w:val="es-MX" w:eastAsia="en-US"/>
        </w:rPr>
        <w:t xml:space="preserve">Asimismo, el artículo 24, de la Ley de la materia, dispone que los Sujetos Obligados sólo proporcionarán la información pública que </w:t>
      </w:r>
      <w:r w:rsidRPr="0023383E">
        <w:rPr>
          <w:rFonts w:ascii="Palatino Linotype" w:eastAsiaTheme="minorHAnsi" w:hAnsi="Palatino Linotype" w:cs="Arial"/>
          <w:szCs w:val="22"/>
          <w:lang w:val="es-MX" w:eastAsia="en-US"/>
        </w:rPr>
        <w:t>generen</w:t>
      </w:r>
      <w:r w:rsidRPr="0023383E">
        <w:rPr>
          <w:rFonts w:ascii="Palatino Linotype" w:eastAsiaTheme="minorHAnsi" w:hAnsi="Palatino Linotype" w:cs="Arial"/>
          <w:color w:val="000000" w:themeColor="text1"/>
          <w:szCs w:val="22"/>
          <w:lang w:val="es-MX" w:eastAsia="en-US"/>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29071C" w:rsidRPr="0023383E" w:rsidRDefault="0029071C" w:rsidP="0029071C">
      <w:pPr>
        <w:spacing w:line="360" w:lineRule="auto"/>
        <w:jc w:val="both"/>
        <w:rPr>
          <w:rFonts w:ascii="Palatino Linotype" w:eastAsiaTheme="minorHAnsi" w:hAnsi="Palatino Linotype" w:cs="Arial"/>
          <w:szCs w:val="22"/>
          <w:lang w:val="es-MX" w:eastAsia="en-US"/>
        </w:rPr>
      </w:pPr>
    </w:p>
    <w:p w:rsidR="0029071C" w:rsidRPr="0023383E" w:rsidRDefault="0029071C" w:rsidP="0029071C">
      <w:pPr>
        <w:spacing w:line="360" w:lineRule="auto"/>
        <w:jc w:val="both"/>
        <w:rPr>
          <w:rFonts w:ascii="Palatino Linotype" w:eastAsiaTheme="minorHAnsi" w:hAnsi="Palatino Linotype" w:cs="Arial"/>
          <w:szCs w:val="22"/>
          <w:lang w:val="es-MX" w:eastAsia="en-US"/>
        </w:rPr>
      </w:pPr>
      <w:r w:rsidRPr="0023383E">
        <w:rPr>
          <w:rFonts w:ascii="Palatino Linotype" w:eastAsiaTheme="minorHAnsi" w:hAnsi="Palatino Linotype" w:cs="Arial"/>
          <w:szCs w:val="22"/>
          <w:lang w:val="es-MX" w:eastAsia="en-US"/>
        </w:rPr>
        <w:t xml:space="preserve">Expuesto lo anterior, se procede al análisis de la totalidad de las constancias que integran el expediente electrónico del </w:t>
      </w:r>
      <w:r w:rsidRPr="0023383E">
        <w:rPr>
          <w:rFonts w:ascii="Palatino Linotype" w:eastAsiaTheme="minorHAnsi" w:hAnsi="Palatino Linotype" w:cs="Arial"/>
          <w:b/>
          <w:szCs w:val="22"/>
          <w:lang w:val="es-MX" w:eastAsia="en-US"/>
        </w:rPr>
        <w:t>SAIMEX</w:t>
      </w:r>
      <w:r w:rsidRPr="0023383E">
        <w:rPr>
          <w:rFonts w:ascii="Palatino Linotype" w:eastAsiaTheme="minorHAnsi" w:hAnsi="Palatino Linotype" w:cs="Arial"/>
          <w:szCs w:val="22"/>
          <w:lang w:val="es-MX" w:eastAsia="en-US"/>
        </w:rPr>
        <w:t xml:space="preserve">, a efecto de determinar si con la información remitida por </w:t>
      </w:r>
      <w:r w:rsidRPr="0023383E">
        <w:rPr>
          <w:rFonts w:ascii="Palatino Linotype" w:eastAsiaTheme="minorHAnsi" w:hAnsi="Palatino Linotype" w:cs="Arial"/>
          <w:b/>
          <w:szCs w:val="22"/>
          <w:lang w:val="es-MX" w:eastAsia="en-US"/>
        </w:rPr>
        <w:t>El Sujeto Obligado</w:t>
      </w:r>
      <w:r w:rsidRPr="0023383E">
        <w:rPr>
          <w:rFonts w:ascii="Palatino Linotype" w:eastAsiaTheme="minorHAnsi" w:hAnsi="Palatino Linotype" w:cs="Arial"/>
          <w:szCs w:val="22"/>
          <w:lang w:val="es-MX" w:eastAsia="en-US"/>
        </w:rPr>
        <w:t xml:space="preserve"> a través de su respuesta se colma lo requerido en dicha solicitud. </w:t>
      </w:r>
    </w:p>
    <w:p w:rsidR="0029071C" w:rsidRPr="0023383E" w:rsidRDefault="0029071C" w:rsidP="0029071C">
      <w:pPr>
        <w:spacing w:line="360" w:lineRule="auto"/>
        <w:jc w:val="both"/>
        <w:rPr>
          <w:rFonts w:ascii="Palatino Linotype" w:eastAsiaTheme="minorHAnsi" w:hAnsi="Palatino Linotype" w:cs="Arial"/>
          <w:szCs w:val="22"/>
          <w:lang w:val="es-MX" w:eastAsia="en-US"/>
        </w:rPr>
      </w:pPr>
    </w:p>
    <w:p w:rsidR="00BD677A" w:rsidRPr="0023383E" w:rsidRDefault="0029071C" w:rsidP="0029071C">
      <w:pPr>
        <w:spacing w:line="360" w:lineRule="auto"/>
        <w:jc w:val="both"/>
        <w:rPr>
          <w:rFonts w:ascii="Palatino Linotype" w:eastAsiaTheme="minorHAnsi" w:hAnsi="Palatino Linotype" w:cs="Arial"/>
          <w:lang w:val="es-MX" w:eastAsia="es-MX"/>
        </w:rPr>
      </w:pPr>
      <w:r w:rsidRPr="0023383E">
        <w:rPr>
          <w:rFonts w:ascii="Palatino Linotype" w:eastAsiaTheme="minorHAnsi" w:hAnsi="Palatino Linotype" w:cs="Arial"/>
          <w:szCs w:val="22"/>
          <w:lang w:val="es-MX" w:eastAsia="en-US"/>
        </w:rPr>
        <w:t xml:space="preserve">Primeramente, es de destacar que </w:t>
      </w:r>
      <w:r w:rsidRPr="0023383E">
        <w:rPr>
          <w:rFonts w:ascii="Palatino Linotype" w:eastAsiaTheme="minorHAnsi" w:hAnsi="Palatino Linotype" w:cs="Arial"/>
          <w:lang w:val="es-MX" w:eastAsia="es-MX"/>
        </w:rPr>
        <w:t xml:space="preserve">de la respuesta emitida por </w:t>
      </w:r>
      <w:r w:rsidRPr="0023383E">
        <w:rPr>
          <w:rFonts w:ascii="Palatino Linotype" w:eastAsiaTheme="minorHAnsi" w:hAnsi="Palatino Linotype" w:cs="Arial"/>
          <w:b/>
          <w:lang w:val="es-MX" w:eastAsia="es-MX"/>
        </w:rPr>
        <w:t>El Sujeto Obligado</w:t>
      </w:r>
      <w:r w:rsidRPr="0023383E">
        <w:rPr>
          <w:rFonts w:ascii="Palatino Linotype" w:eastAsiaTheme="minorHAnsi" w:hAnsi="Palatino Linotype" w:cs="Arial"/>
          <w:lang w:val="es-MX" w:eastAsia="es-MX"/>
        </w:rPr>
        <w:t xml:space="preserve">, </w:t>
      </w:r>
      <w:r w:rsidR="00BD677A" w:rsidRPr="0023383E">
        <w:rPr>
          <w:rFonts w:ascii="Palatino Linotype" w:eastAsiaTheme="minorHAnsi" w:hAnsi="Palatino Linotype" w:cs="Arial"/>
          <w:lang w:val="es-MX" w:eastAsia="es-MX"/>
        </w:rPr>
        <w:t xml:space="preserve">únicamente hace referencia a la solicitud de ampliación de término para dar contestación a diversas solicitudes de información, de las cuales, se encuentra inmersa la número </w:t>
      </w:r>
      <w:r w:rsidR="00BD677A" w:rsidRPr="0023383E">
        <w:rPr>
          <w:rFonts w:ascii="Palatino Linotype" w:eastAsiaTheme="minorHAnsi" w:hAnsi="Palatino Linotype" w:cs="Arial"/>
          <w:b/>
          <w:lang w:val="es-MX" w:eastAsia="es-MX"/>
        </w:rPr>
        <w:t>00013/IMPIDPD/IP/2021</w:t>
      </w:r>
      <w:r w:rsidR="00BD677A" w:rsidRPr="0023383E">
        <w:rPr>
          <w:rFonts w:ascii="Palatino Linotype" w:eastAsiaTheme="minorHAnsi" w:hAnsi="Palatino Linotype" w:cs="Arial"/>
          <w:lang w:val="es-MX" w:eastAsia="es-MX"/>
        </w:rPr>
        <w:t>.</w:t>
      </w:r>
    </w:p>
    <w:p w:rsidR="0029071C" w:rsidRPr="0023383E" w:rsidRDefault="00BD677A" w:rsidP="0029071C">
      <w:pPr>
        <w:spacing w:line="360" w:lineRule="auto"/>
        <w:jc w:val="both"/>
        <w:rPr>
          <w:rFonts w:ascii="Palatino Linotype" w:eastAsiaTheme="minorHAnsi" w:hAnsi="Palatino Linotype" w:cs="Arial"/>
          <w:lang w:val="es-MX" w:eastAsia="es-MX"/>
        </w:rPr>
      </w:pPr>
      <w:r w:rsidRPr="0023383E">
        <w:rPr>
          <w:rFonts w:ascii="Palatino Linotype" w:eastAsiaTheme="minorHAnsi" w:hAnsi="Palatino Linotype" w:cs="Arial"/>
          <w:lang w:val="es-MX" w:eastAsia="es-MX"/>
        </w:rPr>
        <w:lastRenderedPageBreak/>
        <w:t xml:space="preserve">Por lo </w:t>
      </w:r>
      <w:r w:rsidR="0029071C" w:rsidRPr="0023383E">
        <w:rPr>
          <w:rFonts w:ascii="Palatino Linotype" w:eastAsiaTheme="minorHAnsi" w:hAnsi="Palatino Linotype" w:cs="Arial"/>
          <w:lang w:val="es-MX" w:eastAsia="es-MX"/>
        </w:rPr>
        <w:t>que</w:t>
      </w:r>
      <w:r w:rsidR="0029071C" w:rsidRPr="0023383E">
        <w:rPr>
          <w:rFonts w:ascii="Palatino Linotype" w:eastAsiaTheme="minorHAnsi" w:hAnsi="Palatino Linotype" w:cs="Arial"/>
          <w:color w:val="000000" w:themeColor="text1"/>
          <w:szCs w:val="22"/>
          <w:lang w:val="es-MX" w:eastAsia="en-US"/>
        </w:rPr>
        <w:t xml:space="preserve"> es de subrayar que</w:t>
      </w:r>
      <w:r w:rsidRPr="0023383E">
        <w:rPr>
          <w:rFonts w:ascii="Palatino Linotype" w:eastAsiaTheme="minorHAnsi" w:hAnsi="Palatino Linotype" w:cs="Arial"/>
          <w:color w:val="000000" w:themeColor="text1"/>
          <w:szCs w:val="22"/>
          <w:lang w:val="es-MX" w:eastAsia="en-US"/>
        </w:rPr>
        <w:t>,</w:t>
      </w:r>
      <w:r w:rsidR="0029071C" w:rsidRPr="0023383E">
        <w:rPr>
          <w:rFonts w:ascii="Palatino Linotype" w:eastAsiaTheme="minorHAnsi" w:hAnsi="Palatino Linotype" w:cs="Arial"/>
          <w:color w:val="000000" w:themeColor="text1"/>
          <w:szCs w:val="22"/>
          <w:lang w:val="es-MX" w:eastAsia="en-US"/>
        </w:rPr>
        <w:t xml:space="preserve"> el derecho de acceso a la información pública, consiste en que la información solicitada conste en </w:t>
      </w:r>
      <w:r w:rsidR="0029071C" w:rsidRPr="0023383E">
        <w:rPr>
          <w:rFonts w:ascii="Palatino Linotype" w:eastAsiaTheme="minorHAnsi" w:hAnsi="Palatino Linotype" w:cs="Arial"/>
          <w:b/>
          <w:color w:val="000000" w:themeColor="text1"/>
          <w:szCs w:val="22"/>
          <w:u w:val="single"/>
          <w:lang w:val="es-MX" w:eastAsia="en-US"/>
        </w:rPr>
        <w:t xml:space="preserve">un soporte documental en cualquiera de sus formas, a saber: </w:t>
      </w:r>
      <w:r w:rsidR="0029071C" w:rsidRPr="0023383E">
        <w:rPr>
          <w:rFonts w:ascii="Palatino Linotype" w:eastAsiaTheme="minorHAnsi" w:hAnsi="Palatino Linotype" w:cs="Arial"/>
          <w:b/>
          <w:szCs w:val="22"/>
          <w:u w:val="single"/>
          <w:lang w:val="es-MX" w:eastAsia="en-US"/>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0029071C" w:rsidRPr="0023383E">
        <w:rPr>
          <w:rFonts w:ascii="Palatino Linotype" w:eastAsiaTheme="minorHAnsi" w:hAnsi="Palatino Linotype" w:cs="Arial"/>
          <w:b/>
          <w:color w:val="000000" w:themeColor="text1"/>
          <w:szCs w:val="22"/>
          <w:u w:val="single"/>
          <w:lang w:val="es-MX" w:eastAsia="en-US"/>
        </w:rPr>
        <w:t xml:space="preserve">; los que, </w:t>
      </w:r>
      <w:r w:rsidR="0029071C" w:rsidRPr="0023383E">
        <w:rPr>
          <w:rFonts w:ascii="Palatino Linotype" w:eastAsiaTheme="minorHAnsi" w:hAnsi="Palatino Linotype" w:cs="Arial"/>
          <w:b/>
          <w:szCs w:val="22"/>
          <w:u w:val="single"/>
          <w:lang w:val="es-MX" w:eastAsia="en-US"/>
        </w:rPr>
        <w:t>podrán estar en cualquier medio, sea escrito, impreso, sonoro, visual, electrónico, informático u holográfico</w:t>
      </w:r>
      <w:r w:rsidR="0029071C" w:rsidRPr="0023383E">
        <w:rPr>
          <w:rFonts w:ascii="Palatino Linotype" w:eastAsiaTheme="minorHAnsi" w:hAnsi="Palatino Linotype" w:cs="Arial"/>
          <w:color w:val="000000" w:themeColor="text1"/>
          <w:szCs w:val="22"/>
          <w:lang w:val="es-MX" w:eastAsia="en-US"/>
        </w:rPr>
        <w:t xml:space="preserve">, de conformidad con el artículo 3, fracción XI de la Ley de la materia, el cual dispone lo siguiente: </w:t>
      </w:r>
    </w:p>
    <w:p w:rsidR="0029071C" w:rsidRPr="0023383E" w:rsidRDefault="0029071C" w:rsidP="0029071C">
      <w:pPr>
        <w:spacing w:after="160" w:line="259" w:lineRule="auto"/>
        <w:ind w:left="851" w:right="902"/>
        <w:jc w:val="both"/>
        <w:rPr>
          <w:rFonts w:ascii="Palatino Linotype" w:eastAsiaTheme="minorHAnsi" w:hAnsi="Palatino Linotype" w:cs="Arial"/>
          <w:i/>
          <w:color w:val="000000"/>
          <w:sz w:val="6"/>
          <w:szCs w:val="22"/>
          <w:lang w:val="es-MX" w:eastAsia="en-US"/>
        </w:rPr>
      </w:pPr>
    </w:p>
    <w:p w:rsidR="0029071C" w:rsidRPr="0023383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23383E">
        <w:rPr>
          <w:rFonts w:ascii="Palatino Linotype" w:eastAsiaTheme="minorHAnsi" w:hAnsi="Palatino Linotype" w:cs="Arial"/>
          <w:i/>
          <w:color w:val="000000"/>
          <w:sz w:val="22"/>
          <w:szCs w:val="22"/>
          <w:lang w:val="es-MX" w:eastAsia="en-US"/>
        </w:rPr>
        <w:t>“</w:t>
      </w:r>
      <w:r w:rsidRPr="0023383E">
        <w:rPr>
          <w:rFonts w:ascii="Palatino Linotype" w:eastAsiaTheme="minorHAnsi" w:hAnsi="Palatino Linotype" w:cs="Arial"/>
          <w:b/>
          <w:i/>
          <w:color w:val="000000"/>
          <w:sz w:val="22"/>
          <w:szCs w:val="22"/>
          <w:lang w:val="es-MX" w:eastAsia="en-US"/>
        </w:rPr>
        <w:t xml:space="preserve">Artículo 3. </w:t>
      </w:r>
      <w:r w:rsidRPr="0023383E">
        <w:rPr>
          <w:rFonts w:ascii="Palatino Linotype" w:eastAsiaTheme="minorHAnsi" w:hAnsi="Palatino Linotype" w:cs="Arial"/>
          <w:i/>
          <w:color w:val="000000"/>
          <w:sz w:val="22"/>
          <w:szCs w:val="22"/>
          <w:lang w:val="es-MX" w:eastAsia="en-US"/>
        </w:rPr>
        <w:t>Para los efectos de la presente Ley se entenderá por:</w:t>
      </w:r>
    </w:p>
    <w:p w:rsidR="0029071C" w:rsidRPr="0023383E" w:rsidRDefault="0029071C" w:rsidP="0029071C">
      <w:pPr>
        <w:spacing w:line="259" w:lineRule="auto"/>
        <w:ind w:left="567" w:right="567"/>
        <w:jc w:val="both"/>
        <w:rPr>
          <w:rFonts w:ascii="Palatino Linotype" w:eastAsiaTheme="minorHAnsi" w:hAnsi="Palatino Linotype" w:cs="Arial"/>
          <w:i/>
          <w:color w:val="000000"/>
          <w:sz w:val="22"/>
          <w:szCs w:val="22"/>
          <w:lang w:val="es-MX" w:eastAsia="en-US"/>
        </w:rPr>
      </w:pPr>
      <w:r w:rsidRPr="0023383E">
        <w:rPr>
          <w:rFonts w:ascii="Palatino Linotype" w:eastAsiaTheme="minorHAnsi" w:hAnsi="Palatino Linotype" w:cs="Arial"/>
          <w:i/>
          <w:color w:val="000000"/>
          <w:sz w:val="22"/>
          <w:szCs w:val="22"/>
          <w:lang w:val="es-MX" w:eastAsia="en-US"/>
        </w:rPr>
        <w:t>(…)</w:t>
      </w:r>
    </w:p>
    <w:p w:rsidR="0029071C" w:rsidRPr="0023383E" w:rsidRDefault="0029071C" w:rsidP="00BD677A">
      <w:pPr>
        <w:spacing w:line="259" w:lineRule="auto"/>
        <w:ind w:left="567" w:right="567"/>
        <w:jc w:val="both"/>
        <w:rPr>
          <w:rFonts w:ascii="Palatino Linotype" w:eastAsiaTheme="minorHAnsi" w:hAnsi="Palatino Linotype" w:cs="Arial"/>
          <w:i/>
          <w:color w:val="000000"/>
          <w:sz w:val="22"/>
          <w:szCs w:val="22"/>
          <w:lang w:val="es-MX" w:eastAsia="en-US"/>
        </w:rPr>
      </w:pPr>
      <w:r w:rsidRPr="0023383E">
        <w:rPr>
          <w:rFonts w:ascii="Palatino Linotype" w:eastAsiaTheme="minorHAnsi" w:hAnsi="Palatino Linotype" w:cs="Arial"/>
          <w:b/>
          <w:i/>
          <w:color w:val="000000"/>
          <w:sz w:val="22"/>
          <w:szCs w:val="22"/>
          <w:lang w:val="es-MX" w:eastAsia="en-US"/>
        </w:rPr>
        <w:t>XI. Documento:</w:t>
      </w:r>
      <w:r w:rsidRPr="0023383E">
        <w:rPr>
          <w:rFonts w:ascii="Palatino Linotype" w:eastAsiaTheme="minorHAnsi" w:hAnsi="Palatino Linotype" w:cs="Arial"/>
          <w:i/>
          <w:color w:val="000000"/>
          <w:sz w:val="22"/>
          <w:szCs w:val="22"/>
          <w:lang w:val="es-MX" w:eastAsia="en-US"/>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w:t>
      </w:r>
      <w:r w:rsidR="00BD677A" w:rsidRPr="0023383E">
        <w:rPr>
          <w:rFonts w:ascii="Palatino Linotype" w:eastAsiaTheme="minorHAnsi" w:hAnsi="Palatino Linotype" w:cs="Arial"/>
          <w:i/>
          <w:color w:val="000000"/>
          <w:sz w:val="22"/>
          <w:szCs w:val="22"/>
          <w:lang w:val="es-MX" w:eastAsia="en-US"/>
        </w:rPr>
        <w:t>ico, informático u holográfico;</w:t>
      </w:r>
      <w:r w:rsidRPr="0023383E">
        <w:rPr>
          <w:rFonts w:ascii="Palatino Linotype" w:eastAsiaTheme="minorHAnsi" w:hAnsi="Palatino Linotype" w:cs="Arial"/>
          <w:i/>
          <w:color w:val="000000"/>
          <w:sz w:val="22"/>
          <w:szCs w:val="22"/>
          <w:lang w:val="es-MX" w:eastAsia="en-US"/>
        </w:rPr>
        <w:t>”</w:t>
      </w:r>
    </w:p>
    <w:p w:rsidR="0029071C" w:rsidRPr="0023383E" w:rsidRDefault="0029071C" w:rsidP="0029071C">
      <w:pPr>
        <w:spacing w:after="160" w:line="259" w:lineRule="auto"/>
        <w:ind w:left="851" w:right="902"/>
        <w:jc w:val="both"/>
        <w:rPr>
          <w:rFonts w:ascii="Palatino Linotype" w:eastAsiaTheme="minorHAnsi" w:hAnsi="Palatino Linotype" w:cs="Arial"/>
          <w:sz w:val="10"/>
          <w:szCs w:val="22"/>
          <w:lang w:val="es-MX" w:eastAsia="en-US"/>
        </w:rPr>
      </w:pPr>
    </w:p>
    <w:p w:rsidR="0029071C" w:rsidRPr="0023383E" w:rsidRDefault="0029071C" w:rsidP="00BD677A">
      <w:pPr>
        <w:autoSpaceDE w:val="0"/>
        <w:autoSpaceDN w:val="0"/>
        <w:adjustRightInd w:val="0"/>
        <w:spacing w:after="160" w:line="360" w:lineRule="auto"/>
        <w:jc w:val="both"/>
        <w:rPr>
          <w:rFonts w:ascii="Palatino Linotype" w:eastAsiaTheme="minorHAnsi" w:hAnsi="Palatino Linotype" w:cs="Arial"/>
          <w:szCs w:val="22"/>
          <w:lang w:val="es-MX" w:eastAsia="en-US"/>
        </w:rPr>
      </w:pPr>
      <w:r w:rsidRPr="0023383E">
        <w:rPr>
          <w:rFonts w:ascii="Palatino Linotype" w:eastAsiaTheme="minorHAnsi" w:hAnsi="Palatino Linotype" w:cs="Arial"/>
          <w:szCs w:val="22"/>
          <w:lang w:val="es-MX" w:eastAsia="en-US"/>
        </w:rPr>
        <w:t xml:space="preserve">Siendo aplicable el Criterio </w:t>
      </w:r>
      <w:r w:rsidRPr="0023383E">
        <w:rPr>
          <w:rFonts w:ascii="Palatino Linotype" w:eastAsiaTheme="minorHAnsi" w:hAnsi="Palatino Linotype" w:cs="Arial"/>
          <w:bCs/>
          <w:szCs w:val="22"/>
          <w:lang w:val="es-MX"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00BD677A" w:rsidRPr="0023383E">
        <w:rPr>
          <w:rFonts w:ascii="Palatino Linotype" w:eastAsiaTheme="minorHAnsi" w:hAnsi="Palatino Linotype" w:cs="Arial"/>
          <w:szCs w:val="22"/>
          <w:lang w:val="es-MX" w:eastAsia="en-US"/>
        </w:rPr>
        <w:t>cuyo rubro y texto dispone:</w:t>
      </w:r>
    </w:p>
    <w:p w:rsidR="00BD677A" w:rsidRPr="0023383E" w:rsidRDefault="00BD677A" w:rsidP="00BD677A">
      <w:pPr>
        <w:autoSpaceDE w:val="0"/>
        <w:autoSpaceDN w:val="0"/>
        <w:adjustRightInd w:val="0"/>
        <w:spacing w:after="160" w:line="360" w:lineRule="auto"/>
        <w:jc w:val="both"/>
        <w:rPr>
          <w:rFonts w:ascii="Palatino Linotype" w:eastAsiaTheme="minorHAnsi" w:hAnsi="Palatino Linotype" w:cs="Arial"/>
          <w:szCs w:val="22"/>
          <w:lang w:val="es-MX" w:eastAsia="en-US"/>
        </w:rPr>
      </w:pPr>
    </w:p>
    <w:p w:rsidR="00BD677A" w:rsidRPr="0023383E" w:rsidRDefault="00BD677A" w:rsidP="00BD677A">
      <w:pPr>
        <w:autoSpaceDE w:val="0"/>
        <w:autoSpaceDN w:val="0"/>
        <w:adjustRightInd w:val="0"/>
        <w:spacing w:after="160" w:line="360" w:lineRule="auto"/>
        <w:jc w:val="both"/>
        <w:rPr>
          <w:rFonts w:ascii="Palatino Linotype" w:eastAsiaTheme="minorHAnsi" w:hAnsi="Palatino Linotype" w:cs="Arial"/>
          <w:szCs w:val="22"/>
          <w:lang w:val="es-MX" w:eastAsia="en-US"/>
        </w:rPr>
      </w:pPr>
    </w:p>
    <w:p w:rsidR="0029071C" w:rsidRPr="0023383E" w:rsidRDefault="0029071C" w:rsidP="0029071C">
      <w:pPr>
        <w:spacing w:after="160" w:line="259" w:lineRule="auto"/>
        <w:ind w:left="567" w:right="567"/>
        <w:jc w:val="both"/>
        <w:rPr>
          <w:rFonts w:ascii="Palatino Linotype" w:eastAsiaTheme="minorHAnsi" w:hAnsi="Palatino Linotype" w:cs="Arial"/>
          <w:b/>
          <w:i/>
          <w:sz w:val="22"/>
          <w:szCs w:val="22"/>
          <w:lang w:val="es-MX" w:eastAsia="es-MX"/>
        </w:rPr>
      </w:pPr>
      <w:r w:rsidRPr="0023383E">
        <w:rPr>
          <w:rFonts w:ascii="Palatino Linotype" w:eastAsiaTheme="minorHAnsi" w:hAnsi="Palatino Linotype" w:cs="Arial"/>
          <w:b/>
          <w:sz w:val="22"/>
          <w:szCs w:val="22"/>
          <w:lang w:val="es-MX" w:eastAsia="es-MX"/>
        </w:rPr>
        <w:lastRenderedPageBreak/>
        <w:t>“</w:t>
      </w:r>
      <w:r w:rsidRPr="0023383E">
        <w:rPr>
          <w:rFonts w:ascii="Palatino Linotype" w:eastAsiaTheme="minorHAnsi" w:hAnsi="Palatino Linotype" w:cs="Arial"/>
          <w:b/>
          <w:i/>
          <w:sz w:val="22"/>
          <w:szCs w:val="22"/>
          <w:lang w:val="es-MX" w:eastAsia="es-MX"/>
        </w:rPr>
        <w:t>CRITERIO 0002-11</w:t>
      </w:r>
    </w:p>
    <w:p w:rsidR="0029071C" w:rsidRPr="0023383E" w:rsidRDefault="0029071C" w:rsidP="0029071C">
      <w:pPr>
        <w:spacing w:after="160" w:line="259" w:lineRule="auto"/>
        <w:ind w:left="567" w:right="567"/>
        <w:jc w:val="both"/>
        <w:rPr>
          <w:rFonts w:ascii="Palatino Linotype" w:eastAsiaTheme="minorHAnsi" w:hAnsi="Palatino Linotype" w:cs="Arial"/>
          <w:i/>
          <w:sz w:val="22"/>
          <w:szCs w:val="22"/>
          <w:lang w:val="es-MX" w:eastAsia="es-MX"/>
        </w:rPr>
      </w:pPr>
      <w:r w:rsidRPr="0023383E">
        <w:rPr>
          <w:rFonts w:ascii="Palatino Linotype" w:eastAsiaTheme="minorHAnsi" w:hAnsi="Palatino Linotype" w:cs="Arial"/>
          <w:b/>
          <w:i/>
          <w:sz w:val="22"/>
          <w:szCs w:val="22"/>
          <w:lang w:val="es-MX" w:eastAsia="es-MX"/>
        </w:rPr>
        <w:t xml:space="preserve">INFORMACIÓN PÚBLICA, CONCEPTO DE, EN MATERIA DE TRANSPARENCIA. INTERPRETACIÓN SISTEMÁTICA DE LOS ARTÍCULOS 2°, FRACCIÓN </w:t>
      </w:r>
      <w:r w:rsidRPr="0023383E">
        <w:rPr>
          <w:rFonts w:ascii="Palatino Linotype" w:eastAsiaTheme="minorHAnsi" w:hAnsi="Palatino Linotype" w:cs="Arial"/>
          <w:b/>
          <w:bCs/>
          <w:i/>
          <w:sz w:val="22"/>
          <w:szCs w:val="22"/>
          <w:lang w:val="es-MX" w:eastAsia="es-MX"/>
        </w:rPr>
        <w:t xml:space="preserve">V, XV, Y XVI, </w:t>
      </w:r>
      <w:r w:rsidRPr="0023383E">
        <w:rPr>
          <w:rFonts w:ascii="Palatino Linotype" w:eastAsiaTheme="minorHAnsi" w:hAnsi="Palatino Linotype" w:cs="Arial"/>
          <w:b/>
          <w:i/>
          <w:sz w:val="22"/>
          <w:szCs w:val="22"/>
          <w:lang w:val="es-MX" w:eastAsia="es-MX"/>
        </w:rPr>
        <w:t>3°, 4°, 11 Y 41.</w:t>
      </w:r>
      <w:r w:rsidRPr="0023383E">
        <w:rPr>
          <w:rFonts w:ascii="Palatino Linotype" w:eastAsiaTheme="minorHAnsi" w:hAnsi="Palatino Linotype" w:cs="Arial"/>
          <w:i/>
          <w:sz w:val="22"/>
          <w:szCs w:val="22"/>
          <w:lang w:val="es-MX"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rsidR="0029071C" w:rsidRPr="0023383E" w:rsidRDefault="0029071C" w:rsidP="0029071C">
      <w:pPr>
        <w:spacing w:after="160" w:line="259" w:lineRule="auto"/>
        <w:ind w:left="567" w:right="567"/>
        <w:jc w:val="both"/>
        <w:rPr>
          <w:rFonts w:ascii="Palatino Linotype" w:eastAsiaTheme="minorHAnsi" w:hAnsi="Palatino Linotype" w:cs="Arial"/>
          <w:i/>
          <w:sz w:val="22"/>
          <w:szCs w:val="22"/>
          <w:lang w:val="es-MX" w:eastAsia="es-MX"/>
        </w:rPr>
      </w:pPr>
      <w:r w:rsidRPr="0023383E">
        <w:rPr>
          <w:rFonts w:ascii="Palatino Linotype" w:eastAsiaTheme="minorHAnsi" w:hAnsi="Palatino Linotype" w:cs="Arial"/>
          <w:i/>
          <w:sz w:val="22"/>
          <w:szCs w:val="22"/>
          <w:lang w:val="es-MX" w:eastAsia="es-MX"/>
        </w:rPr>
        <w:t>En consecuencia el acceso a la información se refiere a que se cumplan cualquiera de los siguientes tres supuestos:</w:t>
      </w:r>
    </w:p>
    <w:p w:rsidR="0029071C" w:rsidRPr="0023383E" w:rsidRDefault="0029071C" w:rsidP="0029071C">
      <w:pPr>
        <w:spacing w:after="160" w:line="259" w:lineRule="auto"/>
        <w:ind w:left="567" w:right="567"/>
        <w:jc w:val="both"/>
        <w:rPr>
          <w:rFonts w:ascii="Palatino Linotype" w:eastAsiaTheme="minorHAnsi" w:hAnsi="Palatino Linotype" w:cs="Arial"/>
          <w:b/>
          <w:i/>
          <w:sz w:val="22"/>
          <w:szCs w:val="22"/>
          <w:lang w:val="es-MX" w:eastAsia="es-MX"/>
        </w:rPr>
      </w:pPr>
      <w:r w:rsidRPr="0023383E">
        <w:rPr>
          <w:rFonts w:ascii="Palatino Linotype" w:eastAsiaTheme="minorHAnsi" w:hAnsi="Palatino Linotype" w:cs="Arial"/>
          <w:b/>
          <w:i/>
          <w:sz w:val="22"/>
          <w:szCs w:val="22"/>
          <w:lang w:val="es-MX" w:eastAsia="es-MX"/>
        </w:rPr>
        <w:t>1) Que se trate de información registrada en cualquier soporte documental, que en ejercicio de las atribuciones conferidas, sea generada por los Sujetos Obligados;</w:t>
      </w:r>
    </w:p>
    <w:p w:rsidR="0029071C" w:rsidRPr="0023383E" w:rsidRDefault="0029071C" w:rsidP="0029071C">
      <w:pPr>
        <w:spacing w:after="160" w:line="259" w:lineRule="auto"/>
        <w:ind w:left="567" w:right="567"/>
        <w:jc w:val="both"/>
        <w:rPr>
          <w:rFonts w:ascii="Palatino Linotype" w:eastAsiaTheme="minorHAnsi" w:hAnsi="Palatino Linotype" w:cs="Arial"/>
          <w:i/>
          <w:sz w:val="22"/>
          <w:szCs w:val="22"/>
          <w:lang w:val="es-MX" w:eastAsia="es-MX"/>
        </w:rPr>
      </w:pPr>
      <w:r w:rsidRPr="0023383E">
        <w:rPr>
          <w:rFonts w:ascii="Palatino Linotype" w:eastAsiaTheme="minorHAnsi" w:hAnsi="Palatino Linotype" w:cs="Arial"/>
          <w:i/>
          <w:sz w:val="22"/>
          <w:szCs w:val="22"/>
          <w:lang w:val="es-MX" w:eastAsia="es-MX"/>
        </w:rPr>
        <w:t>2) Que se trate de información registrada en cualquier soporte documental, que en ejercicio de las atribuciones conferidas, sea administrada por los Sujetos Obligados, y</w:t>
      </w:r>
    </w:p>
    <w:p w:rsidR="0029071C" w:rsidRPr="0023383E" w:rsidRDefault="0029071C" w:rsidP="0029071C">
      <w:pPr>
        <w:spacing w:after="160" w:line="259" w:lineRule="auto"/>
        <w:ind w:left="567" w:right="567"/>
        <w:jc w:val="both"/>
        <w:rPr>
          <w:rFonts w:ascii="Palatino Linotype" w:eastAsiaTheme="minorHAnsi" w:hAnsi="Palatino Linotype" w:cs="Arial"/>
          <w:i/>
          <w:sz w:val="22"/>
          <w:szCs w:val="22"/>
          <w:lang w:val="es-MX" w:eastAsia="es-MX"/>
        </w:rPr>
      </w:pPr>
      <w:r w:rsidRPr="0023383E">
        <w:rPr>
          <w:rFonts w:ascii="Palatino Linotype" w:eastAsiaTheme="minorHAnsi" w:hAnsi="Palatino Linotype" w:cs="Arial"/>
          <w:i/>
          <w:sz w:val="22"/>
          <w:szCs w:val="22"/>
          <w:lang w:val="es-MX" w:eastAsia="es-MX"/>
        </w:rPr>
        <w:t>3) Que se trate de información registrada en cualquier soporte documental, que en ejercicio de las atribuciones conferidas, se encuentre en posesión de los Sujetos Obligados.” (SIC)</w:t>
      </w:r>
    </w:p>
    <w:p w:rsidR="0029071C" w:rsidRPr="0023383E" w:rsidRDefault="0029071C" w:rsidP="0029071C">
      <w:pPr>
        <w:tabs>
          <w:tab w:val="left" w:pos="851"/>
        </w:tabs>
        <w:spacing w:after="160" w:line="259" w:lineRule="auto"/>
        <w:ind w:left="567" w:right="567"/>
        <w:jc w:val="right"/>
        <w:rPr>
          <w:rFonts w:ascii="Palatino Linotype" w:eastAsiaTheme="minorHAnsi" w:hAnsi="Palatino Linotype" w:cs="Arial"/>
          <w:i/>
          <w:sz w:val="20"/>
          <w:szCs w:val="22"/>
          <w:lang w:val="es-MX" w:eastAsia="en-US"/>
        </w:rPr>
      </w:pPr>
      <w:r w:rsidRPr="0023383E">
        <w:rPr>
          <w:rFonts w:ascii="Palatino Linotype" w:eastAsiaTheme="minorHAnsi" w:hAnsi="Palatino Linotype" w:cs="Arial"/>
          <w:sz w:val="22"/>
          <w:szCs w:val="22"/>
          <w:lang w:val="es-MX" w:eastAsia="es-MX"/>
        </w:rPr>
        <w:tab/>
      </w:r>
      <w:r w:rsidRPr="0023383E">
        <w:rPr>
          <w:rFonts w:ascii="Palatino Linotype" w:eastAsiaTheme="minorHAnsi" w:hAnsi="Palatino Linotype" w:cs="Arial"/>
          <w:i/>
          <w:sz w:val="20"/>
          <w:szCs w:val="22"/>
          <w:lang w:val="es-MX" w:eastAsia="es-MX"/>
        </w:rPr>
        <w:t>(Énfasis Añadido)</w:t>
      </w:r>
    </w:p>
    <w:p w:rsidR="0029071C" w:rsidRPr="0023383E" w:rsidRDefault="0029071C" w:rsidP="0029071C">
      <w:pPr>
        <w:ind w:right="567"/>
        <w:jc w:val="both"/>
        <w:rPr>
          <w:rFonts w:ascii="Palatino Linotype" w:hAnsi="Palatino Linotype"/>
          <w:i/>
          <w:sz w:val="22"/>
          <w:szCs w:val="22"/>
          <w:lang w:val="es-MX" w:eastAsia="es-MX"/>
        </w:rPr>
      </w:pPr>
    </w:p>
    <w:p w:rsidR="0029071C" w:rsidRPr="0023383E" w:rsidRDefault="0029071C" w:rsidP="0029071C">
      <w:pPr>
        <w:spacing w:line="360" w:lineRule="auto"/>
        <w:ind w:right="-93"/>
        <w:jc w:val="both"/>
        <w:rPr>
          <w:rFonts w:ascii="Palatino Linotype" w:eastAsia="Calibri" w:hAnsi="Palatino Linotype" w:cs="Tahoma"/>
          <w:bCs/>
          <w:szCs w:val="22"/>
          <w:lang w:val="es-MX" w:eastAsia="en-US"/>
        </w:rPr>
      </w:pPr>
      <w:r w:rsidRPr="0023383E">
        <w:rPr>
          <w:rFonts w:ascii="Palatino Linotype" w:eastAsiaTheme="minorHAnsi" w:hAnsi="Palatino Linotype" w:cs="Arial"/>
          <w:lang w:val="es-MX" w:eastAsia="en-US"/>
        </w:rPr>
        <w:t xml:space="preserve">Además, es de destacar que de las constancias que obran en el SAIMEX, del presente recurso de revisión, se observa que </w:t>
      </w:r>
      <w:r w:rsidRPr="0023383E">
        <w:rPr>
          <w:rFonts w:ascii="Palatino Linotype" w:eastAsiaTheme="minorHAnsi" w:hAnsi="Palatino Linotype" w:cs="Arial"/>
          <w:b/>
          <w:bCs/>
          <w:lang w:val="es-MX" w:eastAsia="en-US"/>
        </w:rPr>
        <w:t>El Sujeto Obligado</w:t>
      </w:r>
      <w:r w:rsidRPr="0023383E">
        <w:rPr>
          <w:rFonts w:ascii="Palatino Linotype" w:eastAsiaTheme="minorHAnsi" w:hAnsi="Palatino Linotype" w:cs="Arial"/>
          <w:bCs/>
          <w:lang w:val="es-MX" w:eastAsia="en-US"/>
        </w:rPr>
        <w:t xml:space="preserve"> no está requiriendo a las áreas competentes que pudieran tener en sus archivos la información, motivo por el cual, deberá realizar una búsqueda exhaustiva y razonable en los archivos de las áreas correspondientes para la localización de la información solicitada. </w:t>
      </w:r>
    </w:p>
    <w:p w:rsidR="0029071C" w:rsidRPr="0023383E" w:rsidRDefault="0029071C" w:rsidP="0029071C">
      <w:pPr>
        <w:spacing w:line="360" w:lineRule="auto"/>
        <w:contextualSpacing/>
        <w:jc w:val="both"/>
        <w:rPr>
          <w:rFonts w:ascii="Palatino Linotype" w:hAnsi="Palatino Linotype"/>
          <w:bCs/>
        </w:rPr>
      </w:pP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 xml:space="preserve">Por lo que, aunque las solicitudes de información y las respuestas estén dirigidas y atendidas por un </w:t>
      </w:r>
      <w:r w:rsidRPr="0023383E">
        <w:rPr>
          <w:rFonts w:ascii="Palatino Linotype" w:eastAsiaTheme="minorHAnsi" w:hAnsi="Palatino Linotype" w:cs="Arial"/>
          <w:b/>
          <w:lang w:val="es-MX" w:eastAsia="en-US"/>
        </w:rPr>
        <w:t>Sujeto Obligado</w:t>
      </w:r>
      <w:r w:rsidRPr="0023383E">
        <w:rPr>
          <w:rFonts w:ascii="Palatino Linotype" w:eastAsiaTheme="minorHAnsi" w:hAnsi="Palatino Linotype" w:cs="Arial"/>
          <w:lang w:val="es-MX" w:eastAsia="en-US"/>
        </w:rPr>
        <w:t xml:space="preserve">, lo cierto es que también tienen diversas Unidades Administrativas y cada área cuenta con un </w:t>
      </w:r>
      <w:r w:rsidRPr="0023383E">
        <w:rPr>
          <w:rFonts w:ascii="Palatino Linotype" w:eastAsiaTheme="minorHAnsi" w:hAnsi="Palatino Linotype" w:cs="Arial"/>
          <w:b/>
          <w:lang w:val="es-MX" w:eastAsia="en-US"/>
        </w:rPr>
        <w:t>Servidor Público Habilitado</w:t>
      </w:r>
      <w:r w:rsidRPr="0023383E">
        <w:rPr>
          <w:rFonts w:ascii="Palatino Linotype" w:eastAsiaTheme="minorHAnsi" w:hAnsi="Palatino Linotype" w:cs="Arial"/>
          <w:lang w:val="es-MX" w:eastAsia="en-US"/>
        </w:rPr>
        <w:t xml:space="preserve">, que es la </w:t>
      </w:r>
      <w:r w:rsidRPr="0023383E">
        <w:rPr>
          <w:rFonts w:ascii="Palatino Linotype" w:eastAsiaTheme="minorHAnsi" w:hAnsi="Palatino Linotype" w:cs="Arial"/>
          <w:lang w:val="es-MX" w:eastAsia="en-US"/>
        </w:rPr>
        <w:lastRenderedPageBreak/>
        <w:t>persona encargada de apoyar, gestionar y entregar la información o datos personales que se ubiquen en la misma, a sus respectivas unidades de transparencia; respecto de las solicitudes presentadas y aportar en primera instancia el fundamento y motivación de la clasificación de la información al Titular de la Unidad de Transparencia de los Sujetos Obligados, lo anterior de conformidad con los artículos 3 fracción XXXIX, 58 y 59, de la Ley en la materia, que estipulan lo siguiente:</w:t>
      </w:r>
    </w:p>
    <w:p w:rsidR="0029071C" w:rsidRPr="0023383E" w:rsidRDefault="0029071C" w:rsidP="0029071C">
      <w:pPr>
        <w:rPr>
          <w:lang w:val="es-MX"/>
        </w:rPr>
      </w:pP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Artículo 3.</w:t>
      </w:r>
      <w:r w:rsidRPr="0023383E">
        <w:rPr>
          <w:rFonts w:ascii="Palatino Linotype" w:eastAsiaTheme="minorHAnsi" w:hAnsi="Palatino Linotype" w:cs="Arial"/>
          <w:i/>
          <w:sz w:val="22"/>
          <w:lang w:val="es-MX" w:eastAsia="en-US"/>
        </w:rPr>
        <w:t xml:space="preserve"> Para los efectos de la presente Ley se entenderá por:</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 xml:space="preserve">XXXIX. Servidor público habilitado: </w:t>
      </w:r>
      <w:r w:rsidRPr="0023383E">
        <w:rPr>
          <w:rFonts w:ascii="Palatino Linotype" w:eastAsiaTheme="minorHAnsi" w:hAnsi="Palatino Linotype" w:cs="Arial"/>
          <w:i/>
          <w:sz w:val="22"/>
          <w:lang w:val="es-MX" w:eastAsia="en-US"/>
        </w:rPr>
        <w:t>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b/>
          <w:i/>
          <w:sz w:val="22"/>
          <w:lang w:val="es-MX" w:eastAsia="en-US"/>
        </w:rPr>
      </w:pP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Artículo 58.</w:t>
      </w:r>
      <w:r w:rsidRPr="0023383E">
        <w:rPr>
          <w:rFonts w:ascii="Palatino Linotype" w:eastAsiaTheme="minorHAnsi" w:hAnsi="Palatino Linotype" w:cs="Arial"/>
          <w:i/>
          <w:sz w:val="22"/>
          <w:lang w:val="es-MX" w:eastAsia="en-US"/>
        </w:rPr>
        <w:t xml:space="preserve"> Los servidores públicos habilitados serán designados por el titular del sujeto obligado a propuesta del responsable de la Unidad de Transparencia.</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Artículo 59.</w:t>
      </w:r>
      <w:r w:rsidRPr="0023383E">
        <w:rPr>
          <w:rFonts w:ascii="Palatino Linotype" w:eastAsiaTheme="minorHAnsi" w:hAnsi="Palatino Linotype" w:cs="Arial"/>
          <w:i/>
          <w:sz w:val="22"/>
          <w:lang w:val="es-MX" w:eastAsia="en-US"/>
        </w:rPr>
        <w:t xml:space="preserve"> Los servidores públicos habilitados tendrán las funciones siguientes:</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I. Localizar la información que le solicite la Unidad de Transparencia;</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II. Proporcionar la información que obre en los archivos y que le sea solicitada por la Unidad de Transparencia;</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III. Apoyar a la Unidad de Transparencia en lo que esta le solicite para el cumplimiento de sus funciones;</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IV. Proporcionar a la Unidad de Transparencia, las modificaciones a la información pública de oficio que obre en su poder;</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V. Integrar y presentar al responsable de la Unidad de Transparencia la propuesta de clasificación de información, la cual tendrá los fundamentos y argumentos en que se basa dicha propuesta;</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lastRenderedPageBreak/>
        <w:t>VI. Verificar, una vez analizado el contenido de la información, que no se encuentre en los supuestos de información clasificada; y</w:t>
      </w:r>
    </w:p>
    <w:p w:rsidR="0029071C" w:rsidRPr="0023383E" w:rsidRDefault="0029071C" w:rsidP="0029071C">
      <w:pPr>
        <w:autoSpaceDE w:val="0"/>
        <w:autoSpaceDN w:val="0"/>
        <w:adjustRightInd w:val="0"/>
        <w:spacing w:line="276" w:lineRule="auto"/>
        <w:ind w:left="709" w:right="708"/>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VII. Dar cuenta a la Unidad de Transparencia del vencimiento de los plazos de reserva.</w:t>
      </w:r>
    </w:p>
    <w:p w:rsidR="0029071C" w:rsidRPr="0023383E" w:rsidRDefault="0029071C" w:rsidP="0029071C">
      <w:pPr>
        <w:rPr>
          <w:lang w:val="es-MX"/>
        </w:rPr>
      </w:pPr>
    </w:p>
    <w:p w:rsidR="0029071C" w:rsidRPr="0023383E" w:rsidRDefault="0029071C" w:rsidP="00BB134B">
      <w:pPr>
        <w:spacing w:line="360" w:lineRule="auto"/>
        <w:jc w:val="both"/>
        <w:rPr>
          <w:rFonts w:ascii="Palatino Linotype" w:hAnsi="Palatino Linotype" w:cstheme="minorBidi"/>
          <w:szCs w:val="22"/>
          <w:lang w:val="es-MX" w:eastAsia="es-MX"/>
        </w:rPr>
      </w:pPr>
      <w:r w:rsidRPr="0023383E">
        <w:rPr>
          <w:rFonts w:ascii="Palatino Linotype" w:hAnsi="Palatino Linotype" w:cstheme="minorBidi"/>
          <w:szCs w:val="22"/>
          <w:lang w:val="es-MX" w:eastAsia="es-MX"/>
        </w:rPr>
        <w:t xml:space="preserve">En otras palabras, </w:t>
      </w:r>
      <w:r w:rsidRPr="0023383E">
        <w:rPr>
          <w:rFonts w:ascii="Palatino Linotype" w:hAnsi="Palatino Linotype" w:cstheme="minorBidi"/>
          <w:b/>
          <w:szCs w:val="22"/>
          <w:lang w:val="es-MX" w:eastAsia="es-MX"/>
        </w:rPr>
        <w:t>NO</w:t>
      </w:r>
      <w:r w:rsidRPr="0023383E">
        <w:rPr>
          <w:rFonts w:ascii="Palatino Linotype" w:hAnsi="Palatino Linotype" w:cstheme="minorBidi"/>
          <w:szCs w:val="22"/>
          <w:lang w:val="es-MX" w:eastAsia="es-MX"/>
        </w:rPr>
        <w:t xml:space="preserve"> cumplió con lo que para tal efecto dispone el artículo 162, de la Ley de Transparencia y Acceso a la Información Pública del Estado de México y Municipios, que índica:</w:t>
      </w:r>
    </w:p>
    <w:p w:rsidR="00BB134B" w:rsidRPr="0023383E" w:rsidRDefault="00BB134B" w:rsidP="00BB134B">
      <w:pPr>
        <w:ind w:left="567" w:right="708"/>
        <w:jc w:val="both"/>
        <w:rPr>
          <w:rFonts w:ascii="Palatino Linotype" w:hAnsi="Palatino Linotype" w:cstheme="minorBidi"/>
          <w:i/>
          <w:sz w:val="22"/>
          <w:szCs w:val="20"/>
          <w:lang w:val="es-MX" w:eastAsia="es-MX"/>
        </w:rPr>
      </w:pPr>
    </w:p>
    <w:p w:rsidR="0029071C" w:rsidRPr="0023383E" w:rsidRDefault="0029071C" w:rsidP="00BB134B">
      <w:pPr>
        <w:ind w:left="567" w:right="708"/>
        <w:jc w:val="both"/>
        <w:rPr>
          <w:rFonts w:ascii="Palatino Linotype" w:hAnsi="Palatino Linotype" w:cstheme="minorBidi"/>
          <w:i/>
          <w:sz w:val="22"/>
          <w:szCs w:val="20"/>
          <w:lang w:val="es-MX" w:eastAsia="es-MX"/>
        </w:rPr>
      </w:pPr>
      <w:r w:rsidRPr="0023383E">
        <w:rPr>
          <w:rFonts w:ascii="Palatino Linotype" w:hAnsi="Palatino Linotype" w:cstheme="minorBidi"/>
          <w:i/>
          <w:sz w:val="22"/>
          <w:szCs w:val="20"/>
          <w:lang w:val="es-MX" w:eastAsia="es-MX"/>
        </w:rPr>
        <w:t>“</w:t>
      </w:r>
      <w:r w:rsidRPr="0023383E">
        <w:rPr>
          <w:rFonts w:ascii="Palatino Linotype" w:hAnsi="Palatino Linotype" w:cstheme="minorBidi"/>
          <w:b/>
          <w:bCs/>
          <w:i/>
          <w:sz w:val="22"/>
          <w:szCs w:val="20"/>
          <w:lang w:val="es-MX" w:eastAsia="es-MX"/>
        </w:rPr>
        <w:t xml:space="preserve">Artículo 162. </w:t>
      </w:r>
      <w:r w:rsidRPr="0023383E">
        <w:rPr>
          <w:rFonts w:ascii="Palatino Linotype" w:hAnsi="Palatino Linotype" w:cstheme="minorBidi"/>
          <w:i/>
          <w:sz w:val="22"/>
          <w:szCs w:val="20"/>
          <w:u w:val="single"/>
          <w:lang w:val="es-MX" w:eastAsia="es-MX"/>
        </w:rPr>
        <w:t>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r w:rsidRPr="0023383E">
        <w:rPr>
          <w:rFonts w:ascii="Palatino Linotype" w:hAnsi="Palatino Linotype" w:cstheme="minorBidi"/>
          <w:i/>
          <w:sz w:val="22"/>
          <w:szCs w:val="20"/>
          <w:lang w:val="es-MX" w:eastAsia="es-MX"/>
        </w:rPr>
        <w:t>”</w:t>
      </w:r>
    </w:p>
    <w:p w:rsidR="0029071C" w:rsidRPr="0023383E" w:rsidRDefault="0029071C" w:rsidP="0029071C">
      <w:pPr>
        <w:spacing w:before="240" w:after="240" w:line="259" w:lineRule="auto"/>
        <w:ind w:left="567" w:right="708"/>
        <w:jc w:val="right"/>
        <w:rPr>
          <w:rFonts w:ascii="Palatino Linotype" w:hAnsi="Palatino Linotype" w:cstheme="minorBidi"/>
          <w:b/>
          <w:i/>
          <w:sz w:val="20"/>
          <w:szCs w:val="20"/>
          <w:lang w:val="es-MX" w:eastAsia="es-MX"/>
        </w:rPr>
      </w:pPr>
      <w:r w:rsidRPr="0023383E">
        <w:rPr>
          <w:rFonts w:ascii="Palatino Linotype" w:hAnsi="Palatino Linotype" w:cstheme="minorBidi"/>
          <w:b/>
          <w:i/>
          <w:sz w:val="20"/>
          <w:szCs w:val="20"/>
          <w:lang w:val="es-MX" w:eastAsia="es-MX"/>
        </w:rPr>
        <w:t xml:space="preserve"> [Énfasis añadido]</w:t>
      </w:r>
    </w:p>
    <w:p w:rsidR="00EA46CC" w:rsidRPr="0023383E" w:rsidRDefault="0029071C" w:rsidP="00EA46CC">
      <w:pPr>
        <w:spacing w:line="360" w:lineRule="auto"/>
        <w:jc w:val="both"/>
        <w:rPr>
          <w:rFonts w:ascii="Palatino Linotype" w:eastAsiaTheme="minorHAnsi" w:hAnsi="Palatino Linotype" w:cs="Arial"/>
          <w:bCs/>
          <w:lang w:val="es-MX" w:eastAsia="en-US"/>
        </w:rPr>
      </w:pPr>
      <w:r w:rsidRPr="0023383E">
        <w:rPr>
          <w:rFonts w:ascii="Palatino Linotype" w:eastAsiaTheme="minorHAnsi" w:hAnsi="Palatino Linotype" w:cs="Arial"/>
          <w:bCs/>
          <w:lang w:val="es-MX" w:eastAsia="en-US"/>
        </w:rPr>
        <w:t>Correlativo al párrafo que antecede también le asiste la facultad al servidor público habilitado de localizar y proporcionar la información que se le requiera y que obre en sus archivos de conformidad con el artículo 59, fracciones I y II, de la multicitada Ley de Transparencia.</w:t>
      </w:r>
    </w:p>
    <w:p w:rsidR="00EA46CC" w:rsidRPr="0023383E" w:rsidRDefault="00EA46CC" w:rsidP="00EA46CC">
      <w:pPr>
        <w:spacing w:line="360" w:lineRule="auto"/>
        <w:jc w:val="both"/>
        <w:rPr>
          <w:rFonts w:ascii="Palatino Linotype" w:eastAsiaTheme="minorHAnsi" w:hAnsi="Palatino Linotype" w:cs="Arial"/>
          <w:bCs/>
          <w:lang w:val="es-MX" w:eastAsia="en-US"/>
        </w:rPr>
      </w:pPr>
    </w:p>
    <w:p w:rsidR="000D3AD4" w:rsidRPr="0023383E" w:rsidRDefault="0029071C" w:rsidP="00EA46CC">
      <w:pPr>
        <w:spacing w:line="360" w:lineRule="auto"/>
        <w:jc w:val="both"/>
        <w:rPr>
          <w:rFonts w:ascii="Palatino Linotype" w:eastAsiaTheme="minorHAnsi" w:hAnsi="Palatino Linotype" w:cs="Arial"/>
          <w:szCs w:val="22"/>
          <w:lang w:val="es-MX" w:eastAsia="en-US"/>
        </w:rPr>
      </w:pPr>
      <w:r w:rsidRPr="0023383E">
        <w:rPr>
          <w:rFonts w:ascii="Palatino Linotype" w:eastAsiaTheme="minorHAnsi" w:hAnsi="Palatino Linotype" w:cs="Arial"/>
          <w:bCs/>
          <w:lang w:val="es-MX" w:eastAsia="en-US"/>
        </w:rPr>
        <w:t>Por tal motivo</w:t>
      </w:r>
      <w:r w:rsidRPr="0023383E">
        <w:rPr>
          <w:rFonts w:ascii="Palatino Linotype" w:eastAsiaTheme="minorHAnsi" w:hAnsi="Palatino Linotype" w:cs="Arial"/>
          <w:szCs w:val="22"/>
          <w:lang w:val="es-MX" w:eastAsia="en-US"/>
        </w:rPr>
        <w:t xml:space="preserve">, </w:t>
      </w:r>
      <w:r w:rsidR="000D3AD4" w:rsidRPr="0023383E">
        <w:rPr>
          <w:rFonts w:ascii="Palatino Linotype" w:eastAsiaTheme="minorHAnsi" w:hAnsi="Palatino Linotype" w:cs="Arial"/>
          <w:szCs w:val="22"/>
          <w:lang w:val="es-MX" w:eastAsia="en-US"/>
        </w:rPr>
        <w:t>de acuerdo a lo señalado por el artículo 79, de la Constitución Política de los Estados Unidos Mexicanos</w:t>
      </w:r>
      <w:r w:rsidR="001A6109" w:rsidRPr="0023383E">
        <w:rPr>
          <w:rFonts w:ascii="Palatino Linotype" w:eastAsiaTheme="minorHAnsi" w:hAnsi="Palatino Linotype" w:cs="Arial"/>
          <w:szCs w:val="22"/>
          <w:lang w:val="es-MX" w:eastAsia="en-US"/>
        </w:rPr>
        <w:t>,</w:t>
      </w:r>
      <w:r w:rsidR="000D3AD4" w:rsidRPr="0023383E">
        <w:rPr>
          <w:rFonts w:ascii="Palatino Linotype" w:eastAsiaTheme="minorHAnsi" w:hAnsi="Palatino Linotype" w:cs="Arial"/>
          <w:szCs w:val="22"/>
          <w:lang w:val="es-MX" w:eastAsia="en-US"/>
        </w:rPr>
        <w:t xml:space="preserve"> la Auditoria Superior de la Federación es un órgano de la Cámara de Diputados con autonomía técnica y de gestión en el ejercicio de sus atribuciones y para decidir sobre su organización interna, funcionamiento y resoluciones, que tendrá a su cargo, en lo que interesa a la especie, el fiscalizar en forma posterior los ingresos, egresos y deuda que en su caso otorgue el Gobierno Federal a empréstitos de los Estados y los Municipios, así como fiscalizar directamente los recursos federales que administren o ejerzan las entidades federativas, los municipios </w:t>
      </w:r>
      <w:r w:rsidR="000D3AD4" w:rsidRPr="0023383E">
        <w:rPr>
          <w:rFonts w:ascii="Palatino Linotype" w:eastAsiaTheme="minorHAnsi" w:hAnsi="Palatino Linotype" w:cs="Arial"/>
          <w:szCs w:val="22"/>
          <w:lang w:val="es-MX" w:eastAsia="en-US"/>
        </w:rPr>
        <w:lastRenderedPageBreak/>
        <w:t>y la demarcaciones territoriales de la Ciudad de México, entregando los informes individuales de auditoria correspondientes a la Cámara de Diputados y luego en los diez días posteriores enviarlos a las entidades fiscalizables respectivas con las recomendaciones y acciones concernientes, tal y como se observa de la transcripción que se hace enseguida de dicho artículo en su parte de interés.</w:t>
      </w:r>
    </w:p>
    <w:p w:rsidR="000D3AD4" w:rsidRPr="0023383E" w:rsidRDefault="000D3AD4" w:rsidP="000D3AD4">
      <w:pPr>
        <w:pStyle w:val="Sinespaciado"/>
        <w:rPr>
          <w:rFonts w:eastAsiaTheme="minorHAnsi"/>
          <w:lang w:eastAsia="en-US"/>
        </w:rPr>
      </w:pPr>
    </w:p>
    <w:p w:rsidR="000D3AD4" w:rsidRPr="0023383E" w:rsidRDefault="000D3AD4" w:rsidP="000D3AD4">
      <w:pPr>
        <w:pStyle w:val="NormalWeb"/>
        <w:spacing w:before="0" w:beforeAutospacing="0" w:after="0" w:afterAutospacing="0"/>
        <w:ind w:left="567" w:right="567"/>
        <w:jc w:val="both"/>
        <w:rPr>
          <w:rFonts w:ascii="Palatino Linotype" w:hAnsi="Palatino Linotype"/>
          <w:i/>
          <w:sz w:val="22"/>
          <w:szCs w:val="22"/>
        </w:rPr>
      </w:pPr>
      <w:r w:rsidRPr="0023383E">
        <w:rPr>
          <w:rFonts w:ascii="Palatino Linotype" w:hAnsi="Palatino Linotype"/>
          <w:i/>
          <w:sz w:val="22"/>
          <w:szCs w:val="22"/>
        </w:rPr>
        <w:t>“</w:t>
      </w:r>
      <w:r w:rsidRPr="0023383E">
        <w:rPr>
          <w:rFonts w:ascii="Palatino Linotype" w:hAnsi="Palatino Linotype"/>
          <w:b/>
          <w:i/>
          <w:sz w:val="22"/>
          <w:szCs w:val="22"/>
        </w:rPr>
        <w:t>Artículo 79</w:t>
      </w:r>
      <w:r w:rsidRPr="0023383E">
        <w:rPr>
          <w:rFonts w:ascii="Palatino Linotype" w:hAnsi="Palatino Linotype"/>
          <w:i/>
          <w:sz w:val="22"/>
          <w:szCs w:val="22"/>
        </w:rPr>
        <w:t xml:space="preserve">. La </w:t>
      </w:r>
      <w:r w:rsidRPr="0023383E">
        <w:rPr>
          <w:rFonts w:ascii="Palatino Linotype" w:hAnsi="Palatino Linotype"/>
          <w:b/>
          <w:i/>
          <w:sz w:val="22"/>
          <w:szCs w:val="22"/>
        </w:rPr>
        <w:t>Auditoría Superior de la Federación de la Cámara de Diputados</w:t>
      </w:r>
      <w:r w:rsidRPr="0023383E">
        <w:rPr>
          <w:rFonts w:ascii="Palatino Linotype" w:hAnsi="Palatino Linotype"/>
          <w:i/>
          <w:sz w:val="22"/>
          <w:szCs w:val="22"/>
        </w:rPr>
        <w:t>, tendrá autonomía técnica y de gestión en el ejercicio de sus atribuciones y para decidir sobre su organización interna, funcionamiento y resoluciones, en los términos que disponga la ley.</w:t>
      </w:r>
    </w:p>
    <w:p w:rsidR="000D3AD4" w:rsidRPr="0023383E" w:rsidRDefault="000D3AD4" w:rsidP="000D3AD4">
      <w:pPr>
        <w:pStyle w:val="NormalWeb"/>
        <w:spacing w:before="0" w:beforeAutospacing="0" w:after="0" w:afterAutospacing="0"/>
        <w:ind w:left="567" w:right="567"/>
        <w:jc w:val="both"/>
        <w:rPr>
          <w:rFonts w:ascii="Palatino Linotype" w:hAnsi="Palatino Linotype"/>
          <w:i/>
          <w:sz w:val="22"/>
          <w:szCs w:val="22"/>
        </w:rPr>
      </w:pPr>
      <w:r w:rsidRPr="0023383E">
        <w:rPr>
          <w:rFonts w:ascii="Palatino Linotype" w:hAnsi="Palatino Linotype"/>
          <w:i/>
          <w:sz w:val="22"/>
          <w:szCs w:val="22"/>
        </w:rPr>
        <w:t>(…)</w:t>
      </w:r>
    </w:p>
    <w:p w:rsidR="000D3AD4" w:rsidRPr="0023383E" w:rsidRDefault="000D3AD4" w:rsidP="000D3AD4">
      <w:pPr>
        <w:pStyle w:val="NormalWeb"/>
        <w:spacing w:before="0" w:beforeAutospacing="0" w:after="0" w:afterAutospacing="0"/>
        <w:ind w:left="567" w:right="567"/>
        <w:jc w:val="both"/>
        <w:rPr>
          <w:rFonts w:ascii="Palatino Linotype" w:hAnsi="Palatino Linotype"/>
          <w:i/>
          <w:sz w:val="22"/>
          <w:szCs w:val="22"/>
        </w:rPr>
      </w:pPr>
      <w:r w:rsidRPr="0023383E">
        <w:rPr>
          <w:rFonts w:ascii="Palatino Linotype" w:hAnsi="Palatino Linotype"/>
          <w:i/>
          <w:sz w:val="22"/>
          <w:szCs w:val="22"/>
        </w:rPr>
        <w:t xml:space="preserve">La </w:t>
      </w:r>
      <w:r w:rsidRPr="0023383E">
        <w:rPr>
          <w:rFonts w:ascii="Palatino Linotype" w:hAnsi="Palatino Linotype"/>
          <w:b/>
          <w:i/>
          <w:sz w:val="22"/>
          <w:szCs w:val="22"/>
        </w:rPr>
        <w:t>Auditoría Superior de la Federación tendrá a su cargo</w:t>
      </w:r>
      <w:r w:rsidRPr="0023383E">
        <w:rPr>
          <w:rFonts w:ascii="Palatino Linotype" w:hAnsi="Palatino Linotype"/>
          <w:i/>
          <w:sz w:val="22"/>
          <w:szCs w:val="22"/>
        </w:rPr>
        <w:t xml:space="preserve">: </w:t>
      </w:r>
    </w:p>
    <w:p w:rsidR="000D3AD4" w:rsidRPr="0023383E" w:rsidRDefault="000D3AD4" w:rsidP="000D3AD4">
      <w:pPr>
        <w:pStyle w:val="NormalWeb"/>
        <w:spacing w:before="0" w:beforeAutospacing="0" w:after="0" w:afterAutospacing="0"/>
        <w:ind w:left="567" w:right="567"/>
        <w:jc w:val="both"/>
        <w:rPr>
          <w:rFonts w:ascii="Palatino Linotype" w:hAnsi="Palatino Linotype"/>
          <w:i/>
          <w:sz w:val="22"/>
          <w:szCs w:val="22"/>
        </w:rPr>
      </w:pPr>
    </w:p>
    <w:p w:rsidR="000D3AD4" w:rsidRPr="0023383E" w:rsidRDefault="000D3AD4" w:rsidP="000D3AD4">
      <w:pPr>
        <w:pStyle w:val="NormalWeb"/>
        <w:spacing w:before="0" w:beforeAutospacing="0" w:after="0" w:afterAutospacing="0"/>
        <w:ind w:left="567" w:right="567"/>
        <w:jc w:val="both"/>
        <w:rPr>
          <w:rFonts w:ascii="Palatino Linotype" w:hAnsi="Palatino Linotype"/>
          <w:i/>
          <w:sz w:val="22"/>
          <w:szCs w:val="22"/>
        </w:rPr>
      </w:pPr>
      <w:r w:rsidRPr="0023383E">
        <w:rPr>
          <w:rFonts w:ascii="Palatino Linotype" w:hAnsi="Palatino Linotype"/>
          <w:i/>
          <w:sz w:val="22"/>
          <w:szCs w:val="22"/>
        </w:rPr>
        <w:t xml:space="preserve">I. </w:t>
      </w:r>
      <w:r w:rsidRPr="0023383E">
        <w:rPr>
          <w:rFonts w:ascii="Palatino Linotype" w:hAnsi="Palatino Linotype"/>
          <w:b/>
          <w:i/>
          <w:sz w:val="22"/>
          <w:szCs w:val="22"/>
        </w:rPr>
        <w:t>Fiscalizar en forma posterior los ingresos, egresos y deuda; las garantías que, en su caso, otorgue el Gobierno Federal respecto a empréstitos de los Estados y Municipios;</w:t>
      </w:r>
      <w:r w:rsidRPr="0023383E">
        <w:rPr>
          <w:rFonts w:ascii="Palatino Linotype" w:hAnsi="Palatino Linotype"/>
          <w:i/>
          <w:sz w:val="22"/>
          <w:szCs w:val="22"/>
        </w:rPr>
        <w:t xml:space="preserve"> el manejo, la custodia y la aplicación de fondos y recursos de los Poderes de la Unión y de los entes públicos federales, así como realizar auditorías sobre el desempeño en el cumplimiento de los objetivos contenidos en los programas federales, a través de los informes que se rendirán en los términos que disponga la Ley. </w:t>
      </w:r>
    </w:p>
    <w:p w:rsidR="000D3AD4" w:rsidRPr="0023383E" w:rsidRDefault="000D3AD4" w:rsidP="000D3AD4">
      <w:pPr>
        <w:pStyle w:val="NormalWeb"/>
        <w:spacing w:before="0" w:beforeAutospacing="0" w:after="0" w:afterAutospacing="0"/>
        <w:ind w:left="567" w:right="567"/>
        <w:jc w:val="both"/>
        <w:rPr>
          <w:rFonts w:ascii="Palatino Linotype" w:hAnsi="Palatino Linotype"/>
          <w:b/>
          <w:i/>
          <w:sz w:val="22"/>
          <w:szCs w:val="22"/>
        </w:rPr>
      </w:pPr>
    </w:p>
    <w:p w:rsidR="000D3AD4" w:rsidRPr="0023383E" w:rsidRDefault="000D3AD4" w:rsidP="000D3AD4">
      <w:pPr>
        <w:pStyle w:val="NormalWeb"/>
        <w:spacing w:before="0" w:beforeAutospacing="0" w:after="0" w:afterAutospacing="0"/>
        <w:ind w:left="567" w:right="567"/>
        <w:jc w:val="both"/>
        <w:rPr>
          <w:rFonts w:ascii="Palatino Linotype" w:hAnsi="Palatino Linotype"/>
          <w:i/>
          <w:sz w:val="22"/>
          <w:szCs w:val="22"/>
        </w:rPr>
      </w:pPr>
      <w:r w:rsidRPr="0023383E">
        <w:rPr>
          <w:rFonts w:ascii="Palatino Linotype" w:hAnsi="Palatino Linotype"/>
          <w:i/>
          <w:sz w:val="22"/>
          <w:szCs w:val="22"/>
        </w:rPr>
        <w:t>También fiscalizará directamente los recursos federales que administren o ejerzan las entidades federativas, los municipios y las demarcaciones territoriales de la Ciudad de México. En los términos que establezca la ley fiscalizará, en coordinación con las entidades locales de fiscalización o de manera directa, las participaciones federales. En el caso de los Estados y los Municipios cuyos empréstitos cuenten con la garantía de la Federación, fiscalizará el destino y ejercicio de los recursos correspondientes que hayan realizado los gobiernos locales…</w:t>
      </w:r>
    </w:p>
    <w:p w:rsidR="000D3AD4" w:rsidRPr="0023383E" w:rsidRDefault="000D3AD4" w:rsidP="000D3AD4">
      <w:pPr>
        <w:pStyle w:val="NormalWeb"/>
        <w:spacing w:before="0" w:beforeAutospacing="0" w:after="0" w:afterAutospacing="0"/>
        <w:ind w:left="567" w:right="567"/>
        <w:jc w:val="both"/>
        <w:rPr>
          <w:rFonts w:ascii="Palatino Linotype" w:hAnsi="Palatino Linotype"/>
          <w:i/>
          <w:sz w:val="22"/>
          <w:szCs w:val="22"/>
        </w:rPr>
      </w:pPr>
      <w:r w:rsidRPr="0023383E">
        <w:rPr>
          <w:rFonts w:ascii="Palatino Linotype" w:hAnsi="Palatino Linotype"/>
          <w:i/>
          <w:sz w:val="22"/>
          <w:szCs w:val="22"/>
        </w:rPr>
        <w:t>(…)</w:t>
      </w:r>
    </w:p>
    <w:p w:rsidR="000D3AD4" w:rsidRPr="0023383E" w:rsidRDefault="000D3AD4" w:rsidP="000D3AD4">
      <w:pPr>
        <w:pStyle w:val="NormalWeb"/>
        <w:spacing w:before="0" w:beforeAutospacing="0" w:after="0" w:afterAutospacing="0"/>
        <w:ind w:left="567" w:right="567"/>
        <w:jc w:val="both"/>
        <w:rPr>
          <w:rFonts w:ascii="Palatino Linotype" w:hAnsi="Palatino Linotype"/>
          <w:i/>
          <w:sz w:val="22"/>
          <w:szCs w:val="22"/>
        </w:rPr>
      </w:pPr>
      <w:r w:rsidRPr="0023383E">
        <w:rPr>
          <w:rFonts w:ascii="Palatino Linotype" w:hAnsi="Palatino Linotype"/>
          <w:i/>
          <w:sz w:val="22"/>
          <w:szCs w:val="22"/>
        </w:rPr>
        <w:t xml:space="preserve">II. </w:t>
      </w:r>
      <w:r w:rsidRPr="0023383E">
        <w:rPr>
          <w:rFonts w:ascii="Palatino Linotype" w:hAnsi="Palatino Linotype"/>
          <w:b/>
          <w:i/>
          <w:sz w:val="22"/>
          <w:szCs w:val="22"/>
        </w:rPr>
        <w:t xml:space="preserve">Entregar a la Cámara de Diputados, el último día hábil de los meses de junio y octubre, así como el 20 de febrero del año siguiente al de la presentación de la Cuenta Pública, los </w:t>
      </w:r>
      <w:r w:rsidRPr="0023383E">
        <w:rPr>
          <w:rFonts w:ascii="Palatino Linotype" w:hAnsi="Palatino Linotype"/>
          <w:b/>
          <w:i/>
          <w:sz w:val="22"/>
          <w:szCs w:val="22"/>
          <w:u w:val="single"/>
        </w:rPr>
        <w:t>informes individuales de auditoría</w:t>
      </w:r>
      <w:r w:rsidRPr="0023383E">
        <w:rPr>
          <w:rFonts w:ascii="Palatino Linotype" w:hAnsi="Palatino Linotype"/>
          <w:b/>
          <w:i/>
          <w:sz w:val="22"/>
          <w:szCs w:val="22"/>
        </w:rPr>
        <w:t xml:space="preserve"> que concluya durante el periodo respectivo</w:t>
      </w:r>
      <w:r w:rsidRPr="0023383E">
        <w:rPr>
          <w:rFonts w:ascii="Palatino Linotype" w:hAnsi="Palatino Linotype"/>
          <w:i/>
          <w:sz w:val="22"/>
          <w:szCs w:val="22"/>
        </w:rPr>
        <w:t xml:space="preserve">. Asimismo, en esta última fecha, entregar el Informe General Ejecutivo del Resultado de la Fiscalización Superior de la Cuenta Pública, el cual se someterá a la consideración del Pleno de dicha Cámara. El Informe General Ejecutivo y los informes individuales serán de carácter público y tendrán el contenido que determine la ley; estos </w:t>
      </w:r>
      <w:r w:rsidRPr="0023383E">
        <w:rPr>
          <w:rFonts w:ascii="Palatino Linotype" w:hAnsi="Palatino Linotype"/>
          <w:i/>
          <w:sz w:val="22"/>
          <w:szCs w:val="22"/>
        </w:rPr>
        <w:lastRenderedPageBreak/>
        <w:t xml:space="preserve">últimos incluirán como mínimo el dictamen de su revisión, un apartado específico con las observaciones de la Auditoría Superior de la Federación, así como las justificaciones y aclaraciones que, en su caso, las entidades fiscalizadas hayan presentado sobre las mismas. </w:t>
      </w:r>
    </w:p>
    <w:p w:rsidR="000D3AD4" w:rsidRPr="0023383E" w:rsidRDefault="000D3AD4" w:rsidP="000D3AD4">
      <w:pPr>
        <w:pStyle w:val="NormalWeb"/>
        <w:spacing w:before="0" w:beforeAutospacing="0" w:after="0" w:afterAutospacing="0"/>
        <w:ind w:left="567" w:right="567"/>
        <w:jc w:val="both"/>
        <w:rPr>
          <w:rFonts w:ascii="Palatino Linotype" w:hAnsi="Palatino Linotype"/>
          <w:i/>
          <w:sz w:val="22"/>
          <w:szCs w:val="22"/>
        </w:rPr>
      </w:pPr>
    </w:p>
    <w:p w:rsidR="000D3AD4" w:rsidRPr="0023383E" w:rsidRDefault="000D3AD4" w:rsidP="000D3AD4">
      <w:pPr>
        <w:pStyle w:val="NormalWeb"/>
        <w:spacing w:before="0" w:beforeAutospacing="0" w:after="0" w:afterAutospacing="0"/>
        <w:ind w:left="567" w:right="567"/>
        <w:jc w:val="both"/>
        <w:rPr>
          <w:rFonts w:ascii="Palatino Linotype" w:hAnsi="Palatino Linotype"/>
          <w:b/>
          <w:i/>
          <w:sz w:val="22"/>
          <w:szCs w:val="22"/>
        </w:rPr>
      </w:pPr>
      <w:r w:rsidRPr="0023383E">
        <w:rPr>
          <w:rFonts w:ascii="Palatino Linotype" w:hAnsi="Palatino Linotype"/>
          <w:i/>
          <w:sz w:val="22"/>
          <w:szCs w:val="22"/>
        </w:rPr>
        <w:t xml:space="preserve">Para tal efecto, </w:t>
      </w:r>
      <w:r w:rsidRPr="0023383E">
        <w:rPr>
          <w:rFonts w:ascii="Palatino Linotype" w:hAnsi="Palatino Linotype"/>
          <w:b/>
          <w:i/>
          <w:sz w:val="22"/>
          <w:szCs w:val="22"/>
        </w:rPr>
        <w:t xml:space="preserve">de manera previa a la presentación del Informe General Ejecutivo y de los informes individuales de auditoría, se darán a conocer a las entidades fiscalizadas la parte que les corresponda de los resultados de su revisión, a efecto de que éstas presenten las justificaciones y aclaraciones que correspondan, las cuales deberán ser valoradas por la Auditoría Superior de la Federación </w:t>
      </w:r>
      <w:r w:rsidRPr="0023383E">
        <w:rPr>
          <w:rFonts w:ascii="Palatino Linotype" w:hAnsi="Palatino Linotype"/>
          <w:b/>
          <w:i/>
          <w:sz w:val="22"/>
          <w:szCs w:val="22"/>
          <w:u w:val="single"/>
        </w:rPr>
        <w:t>para la elaboración de los informes individuales de auditoría</w:t>
      </w:r>
      <w:r w:rsidRPr="0023383E">
        <w:rPr>
          <w:rFonts w:ascii="Palatino Linotype" w:hAnsi="Palatino Linotype"/>
          <w:b/>
          <w:i/>
          <w:sz w:val="22"/>
          <w:szCs w:val="22"/>
        </w:rPr>
        <w:t>.</w:t>
      </w:r>
    </w:p>
    <w:p w:rsidR="000D3AD4" w:rsidRPr="0023383E" w:rsidRDefault="000D3AD4" w:rsidP="000D3AD4">
      <w:pPr>
        <w:pStyle w:val="NormalWeb"/>
        <w:spacing w:before="0" w:beforeAutospacing="0" w:after="0" w:afterAutospacing="0"/>
        <w:ind w:left="567" w:right="567"/>
        <w:jc w:val="both"/>
        <w:rPr>
          <w:rFonts w:ascii="Palatino Linotype" w:hAnsi="Palatino Linotype"/>
          <w:b/>
          <w:i/>
          <w:sz w:val="22"/>
          <w:szCs w:val="22"/>
        </w:rPr>
      </w:pPr>
    </w:p>
    <w:p w:rsidR="000D3AD4" w:rsidRPr="0023383E" w:rsidRDefault="000D3AD4" w:rsidP="000D3AD4">
      <w:pPr>
        <w:pStyle w:val="NormalWeb"/>
        <w:spacing w:before="0" w:beforeAutospacing="0" w:after="0" w:afterAutospacing="0"/>
        <w:ind w:left="567" w:right="567"/>
        <w:jc w:val="both"/>
        <w:rPr>
          <w:rFonts w:ascii="Palatino Linotype" w:hAnsi="Palatino Linotype"/>
          <w:i/>
          <w:sz w:val="22"/>
          <w:szCs w:val="22"/>
        </w:rPr>
      </w:pPr>
      <w:r w:rsidRPr="0023383E">
        <w:rPr>
          <w:rFonts w:ascii="Palatino Linotype" w:hAnsi="Palatino Linotype"/>
          <w:i/>
          <w:sz w:val="22"/>
          <w:szCs w:val="22"/>
        </w:rPr>
        <w:t xml:space="preserve">El titular de </w:t>
      </w:r>
      <w:r w:rsidRPr="0023383E">
        <w:rPr>
          <w:rFonts w:ascii="Palatino Linotype" w:hAnsi="Palatino Linotype"/>
          <w:b/>
          <w:i/>
          <w:sz w:val="22"/>
          <w:szCs w:val="22"/>
        </w:rPr>
        <w:t>la Auditoría Superior de la Federación enviará a las entidades fiscalizadas los informes individuales de auditoría que les corresponda</w:t>
      </w:r>
      <w:r w:rsidRPr="0023383E">
        <w:rPr>
          <w:rFonts w:ascii="Palatino Linotype" w:hAnsi="Palatino Linotype"/>
          <w:i/>
          <w:sz w:val="22"/>
          <w:szCs w:val="22"/>
        </w:rPr>
        <w:t xml:space="preserve">, </w:t>
      </w:r>
      <w:r w:rsidRPr="0023383E">
        <w:rPr>
          <w:rFonts w:ascii="Palatino Linotype" w:hAnsi="Palatino Linotype"/>
          <w:b/>
          <w:i/>
          <w:sz w:val="22"/>
          <w:szCs w:val="22"/>
        </w:rPr>
        <w:t>a más tardar a los 10 días hábiles posteriores a que haya sido entregado el informe individual de auditoría respectivo a la Cámara de Diputados</w:t>
      </w:r>
      <w:r w:rsidRPr="0023383E">
        <w:rPr>
          <w:rFonts w:ascii="Palatino Linotype" w:hAnsi="Palatino Linotype"/>
          <w:i/>
          <w:sz w:val="22"/>
          <w:szCs w:val="22"/>
        </w:rPr>
        <w:t>, mismos que contendrán las recomendaciones y acciones que correspondan para que, en un plazo de hasta 30 días hábiles, presenten la información y realicen las consideraciones que estimen pertinentes; en caso de no hacerlo se harán acreedores a las sanciones establecidas en Ley. Lo anterior, no aplicará a las promociones de responsabilidades ante el Tribunal Federal de Justicia Administrativa, las cuales se sujetarán a los procedimientos y términos que establezca la Ley…”</w:t>
      </w:r>
    </w:p>
    <w:p w:rsidR="000D3AD4" w:rsidRPr="0023383E" w:rsidRDefault="000D3AD4" w:rsidP="00EA46CC">
      <w:pPr>
        <w:spacing w:line="360" w:lineRule="auto"/>
        <w:jc w:val="both"/>
        <w:rPr>
          <w:rFonts w:ascii="Palatino Linotype" w:eastAsiaTheme="minorHAnsi" w:hAnsi="Palatino Linotype" w:cs="Arial"/>
          <w:szCs w:val="22"/>
          <w:lang w:val="es-MX" w:eastAsia="en-US"/>
        </w:rPr>
      </w:pPr>
    </w:p>
    <w:p w:rsidR="000D3AD4" w:rsidRPr="0023383E" w:rsidRDefault="000D3AD4" w:rsidP="000D3AD4">
      <w:pPr>
        <w:spacing w:line="360" w:lineRule="auto"/>
        <w:jc w:val="both"/>
        <w:rPr>
          <w:rFonts w:ascii="Palatino Linotype" w:eastAsiaTheme="minorHAnsi" w:hAnsi="Palatino Linotype" w:cs="Arial"/>
          <w:szCs w:val="22"/>
          <w:lang w:val="es-MX" w:eastAsia="en-US"/>
        </w:rPr>
      </w:pPr>
      <w:r w:rsidRPr="0023383E">
        <w:rPr>
          <w:rFonts w:ascii="Palatino Linotype" w:eastAsiaTheme="minorHAnsi" w:hAnsi="Palatino Linotype" w:cs="Arial"/>
          <w:szCs w:val="22"/>
          <w:lang w:val="es-MX" w:eastAsia="en-US"/>
        </w:rPr>
        <w:t xml:space="preserve">Por ende resulta evidente que la Auditoria Superior de la Federación es una de las autoridades que se encuentra facultada para realizar informes de auditoría respecto de los recursos federales que sean entregados a los Municipios y éstos últimos tienen conocimiento de los informes de resultados de las auditorias que se les hayan practicado, toda vez que les son entregados con las recomendaciones y acciones que les correspondan, en consecuencia el </w:t>
      </w:r>
      <w:r w:rsidRPr="0023383E">
        <w:rPr>
          <w:rFonts w:ascii="Palatino Linotype" w:eastAsiaTheme="minorHAnsi" w:hAnsi="Palatino Linotype" w:cs="Arial"/>
          <w:b/>
          <w:szCs w:val="22"/>
          <w:lang w:val="es-MX" w:eastAsia="en-US"/>
        </w:rPr>
        <w:t>Sujeto Obligado</w:t>
      </w:r>
      <w:r w:rsidRPr="0023383E">
        <w:rPr>
          <w:rFonts w:ascii="Palatino Linotype" w:eastAsiaTheme="minorHAnsi" w:hAnsi="Palatino Linotype" w:cs="Arial"/>
          <w:szCs w:val="22"/>
          <w:lang w:val="es-MX" w:eastAsia="en-US"/>
        </w:rPr>
        <w:t xml:space="preserve"> en el presente asunto, se encuentra en posibilidades de dar a conocer la información relativa a las auditorias que la Auditoria Superior de la Federación le haya practicado, siempre y cuando ya tengan </w:t>
      </w:r>
      <w:r w:rsidRPr="0023383E">
        <w:rPr>
          <w:rFonts w:ascii="Palatino Linotype" w:eastAsiaTheme="minorHAnsi" w:hAnsi="Palatino Linotype" w:cs="Arial"/>
          <w:szCs w:val="22"/>
          <w:lang w:val="es-MX" w:eastAsia="en-US"/>
        </w:rPr>
        <w:lastRenderedPageBreak/>
        <w:t xml:space="preserve">el carácter de información pública, lo cual ocurre una vez que ya fueron entregadas a los entes fiscalizables correspondientes. </w:t>
      </w:r>
    </w:p>
    <w:p w:rsidR="000D3AD4" w:rsidRPr="0023383E" w:rsidRDefault="000D3AD4" w:rsidP="000D3AD4">
      <w:pPr>
        <w:spacing w:line="360" w:lineRule="auto"/>
        <w:jc w:val="both"/>
        <w:rPr>
          <w:rFonts w:ascii="Palatino Linotype" w:eastAsiaTheme="minorHAnsi" w:hAnsi="Palatino Linotype" w:cs="Arial"/>
          <w:szCs w:val="22"/>
          <w:lang w:val="es-MX" w:eastAsia="en-US"/>
        </w:rPr>
      </w:pPr>
    </w:p>
    <w:p w:rsidR="000D3AD4" w:rsidRPr="0023383E" w:rsidRDefault="000D3AD4" w:rsidP="000D3AD4">
      <w:pPr>
        <w:spacing w:line="360" w:lineRule="auto"/>
        <w:jc w:val="both"/>
        <w:rPr>
          <w:rFonts w:ascii="Palatino Linotype" w:eastAsiaTheme="minorHAnsi" w:hAnsi="Palatino Linotype" w:cs="Arial"/>
          <w:szCs w:val="22"/>
          <w:lang w:val="es-MX" w:eastAsia="en-US"/>
        </w:rPr>
      </w:pPr>
      <w:r w:rsidRPr="0023383E">
        <w:rPr>
          <w:rFonts w:ascii="Palatino Linotype" w:eastAsiaTheme="minorHAnsi" w:hAnsi="Palatino Linotype" w:cs="Arial"/>
          <w:szCs w:val="22"/>
          <w:lang w:val="es-MX" w:eastAsia="en-US"/>
        </w:rPr>
        <w:t>Por otra parte, la Ley de Fiscalización del Estado de México, misma que de conformidad con su artículo 1</w:t>
      </w:r>
      <w:r w:rsidRPr="0023383E">
        <w:rPr>
          <w:rStyle w:val="Refdenotaalpie"/>
          <w:rFonts w:ascii="Palatino Linotype" w:eastAsiaTheme="minorHAnsi" w:hAnsi="Palatino Linotype" w:cs="Arial"/>
          <w:szCs w:val="22"/>
          <w:lang w:val="es-MX" w:eastAsia="en-US"/>
        </w:rPr>
        <w:footnoteReference w:id="1"/>
      </w:r>
      <w:r w:rsidRPr="0023383E">
        <w:rPr>
          <w:rFonts w:ascii="Palatino Linotype" w:eastAsiaTheme="minorHAnsi" w:hAnsi="Palatino Linotype" w:cs="Arial"/>
          <w:szCs w:val="22"/>
          <w:lang w:val="es-MX" w:eastAsia="en-US"/>
        </w:rPr>
        <w:t>, tiene por objeto establecer las disposiciones para fiscalizar, auditar, revisar, substanciar, revisar y sancionar las cuentas y actos relativos a la aplicación de los fondos públicos del Estado y los Municipios, dispone las atribuciones del Órgano Superior de Fiscalización del Estado de México, que para la materia que nos ocupa, resultan de interés, toda vez que dentro de las cuales se señala lo que a continuación se lee:</w:t>
      </w:r>
    </w:p>
    <w:p w:rsidR="000D3AD4" w:rsidRPr="0023383E" w:rsidRDefault="000D3AD4" w:rsidP="000D3AD4">
      <w:pPr>
        <w:spacing w:line="360" w:lineRule="auto"/>
        <w:jc w:val="both"/>
        <w:rPr>
          <w:rFonts w:ascii="Palatino Linotype" w:eastAsiaTheme="minorHAnsi" w:hAnsi="Palatino Linotype" w:cs="Arial"/>
          <w:szCs w:val="22"/>
          <w:lang w:val="es-MX" w:eastAsia="en-US"/>
        </w:rPr>
      </w:pPr>
    </w:p>
    <w:p w:rsidR="000D3AD4" w:rsidRPr="0023383E" w:rsidRDefault="000D3AD4" w:rsidP="000D3AD4">
      <w:pPr>
        <w:ind w:left="567" w:right="616"/>
        <w:jc w:val="both"/>
        <w:rPr>
          <w:rFonts w:ascii="Palatino Linotype" w:eastAsiaTheme="minorHAnsi" w:hAnsi="Palatino Linotype" w:cs="Arial"/>
          <w:i/>
          <w:sz w:val="22"/>
          <w:szCs w:val="22"/>
          <w:lang w:val="es-MX" w:eastAsia="en-US"/>
        </w:rPr>
      </w:pPr>
      <w:r w:rsidRPr="0023383E">
        <w:rPr>
          <w:rFonts w:ascii="Palatino Linotype" w:eastAsiaTheme="minorHAnsi" w:hAnsi="Palatino Linotype" w:cs="Arial"/>
          <w:i/>
          <w:sz w:val="22"/>
          <w:szCs w:val="22"/>
          <w:lang w:val="es-MX" w:eastAsia="en-US"/>
        </w:rPr>
        <w:t>“</w:t>
      </w:r>
      <w:r w:rsidRPr="0023383E">
        <w:rPr>
          <w:rFonts w:ascii="Palatino Linotype" w:eastAsiaTheme="minorHAnsi" w:hAnsi="Palatino Linotype" w:cs="Arial"/>
          <w:b/>
          <w:i/>
          <w:sz w:val="22"/>
          <w:szCs w:val="22"/>
          <w:lang w:val="es-MX" w:eastAsia="en-US"/>
        </w:rPr>
        <w:t>Artículo 8</w:t>
      </w:r>
      <w:r w:rsidRPr="0023383E">
        <w:rPr>
          <w:rFonts w:ascii="Palatino Linotype" w:eastAsiaTheme="minorHAnsi" w:hAnsi="Palatino Linotype" w:cs="Arial"/>
          <w:i/>
          <w:sz w:val="22"/>
          <w:szCs w:val="22"/>
          <w:lang w:val="es-MX" w:eastAsia="en-US"/>
        </w:rPr>
        <w:t>.- El Órgano Superior tendrá las siguientes atribuciones: (…)</w:t>
      </w:r>
    </w:p>
    <w:p w:rsidR="000D3AD4" w:rsidRPr="0023383E" w:rsidRDefault="000D3AD4" w:rsidP="000D3AD4">
      <w:pPr>
        <w:ind w:left="567" w:right="616"/>
        <w:jc w:val="both"/>
        <w:rPr>
          <w:rFonts w:ascii="Palatino Linotype" w:eastAsiaTheme="minorHAnsi" w:hAnsi="Palatino Linotype" w:cs="Arial"/>
          <w:i/>
          <w:sz w:val="22"/>
          <w:szCs w:val="22"/>
          <w:lang w:val="es-MX" w:eastAsia="en-US"/>
        </w:rPr>
      </w:pPr>
      <w:r w:rsidRPr="0023383E">
        <w:rPr>
          <w:rFonts w:ascii="Palatino Linotype" w:eastAsiaTheme="minorHAnsi" w:hAnsi="Palatino Linotype" w:cs="Arial"/>
          <w:b/>
          <w:i/>
          <w:sz w:val="22"/>
          <w:szCs w:val="22"/>
          <w:lang w:val="es-MX" w:eastAsia="en-US"/>
        </w:rPr>
        <w:t>X.</w:t>
      </w:r>
      <w:r w:rsidRPr="0023383E">
        <w:rPr>
          <w:rFonts w:ascii="Palatino Linotype" w:eastAsiaTheme="minorHAnsi" w:hAnsi="Palatino Linotype" w:cs="Arial"/>
          <w:i/>
          <w:sz w:val="22"/>
          <w:szCs w:val="22"/>
          <w:lang w:val="es-MX" w:eastAsia="en-US"/>
        </w:rPr>
        <w:t xml:space="preserve"> </w:t>
      </w:r>
      <w:r w:rsidRPr="0023383E">
        <w:rPr>
          <w:rFonts w:ascii="Palatino Linotype" w:eastAsiaTheme="minorHAnsi" w:hAnsi="Palatino Linotype" w:cs="Arial"/>
          <w:b/>
          <w:i/>
          <w:sz w:val="22"/>
          <w:szCs w:val="22"/>
          <w:lang w:val="es-MX" w:eastAsia="en-US"/>
        </w:rPr>
        <w:t>Practicar las auditorías</w:t>
      </w:r>
      <w:r w:rsidRPr="0023383E">
        <w:rPr>
          <w:rFonts w:ascii="Palatino Linotype" w:eastAsiaTheme="minorHAnsi" w:hAnsi="Palatino Linotype" w:cs="Arial"/>
          <w:i/>
          <w:sz w:val="22"/>
          <w:szCs w:val="22"/>
          <w:lang w:val="es-MX" w:eastAsia="en-US"/>
        </w:rPr>
        <w:t xml:space="preserve"> y revisiones, conforme a las normas, procedimientos, métodos y sistemas de contabilidad y de archivo </w:t>
      </w:r>
      <w:r w:rsidRPr="0023383E">
        <w:rPr>
          <w:rFonts w:ascii="Palatino Linotype" w:eastAsiaTheme="minorHAnsi" w:hAnsi="Palatino Linotype" w:cs="Arial"/>
          <w:b/>
          <w:i/>
          <w:sz w:val="22"/>
          <w:szCs w:val="22"/>
          <w:lang w:val="es-MX" w:eastAsia="en-US"/>
        </w:rPr>
        <w:t>de los libros y documentos justificativos y comprobatorios del ingreso y del gasto público</w:t>
      </w:r>
      <w:r w:rsidRPr="0023383E">
        <w:rPr>
          <w:rFonts w:ascii="Palatino Linotype" w:eastAsiaTheme="minorHAnsi" w:hAnsi="Palatino Linotype" w:cs="Arial"/>
          <w:i/>
          <w:sz w:val="22"/>
          <w:szCs w:val="22"/>
          <w:lang w:val="es-MX" w:eastAsia="en-US"/>
        </w:rPr>
        <w:t xml:space="preserve">, con apego a las disposiciones legales, reglamentarias y administrativas aplicables, que le permitan la práctica idónea de las auditorías y revisiones; </w:t>
      </w:r>
    </w:p>
    <w:p w:rsidR="000D3AD4" w:rsidRPr="0023383E" w:rsidRDefault="000D3AD4" w:rsidP="000D3AD4">
      <w:pPr>
        <w:ind w:left="567" w:right="616"/>
        <w:jc w:val="both"/>
        <w:rPr>
          <w:rFonts w:ascii="Palatino Linotype" w:eastAsiaTheme="minorHAnsi" w:hAnsi="Palatino Linotype" w:cs="Arial"/>
          <w:i/>
          <w:sz w:val="22"/>
          <w:szCs w:val="22"/>
          <w:lang w:val="es-MX" w:eastAsia="en-US"/>
        </w:rPr>
      </w:pPr>
      <w:r w:rsidRPr="0023383E">
        <w:rPr>
          <w:rFonts w:ascii="Palatino Linotype" w:eastAsiaTheme="minorHAnsi" w:hAnsi="Palatino Linotype" w:cs="Arial"/>
          <w:i/>
          <w:sz w:val="22"/>
          <w:szCs w:val="22"/>
          <w:lang w:val="es-MX" w:eastAsia="en-US"/>
        </w:rPr>
        <w:t>(…)</w:t>
      </w:r>
    </w:p>
    <w:p w:rsidR="000D3AD4" w:rsidRPr="0023383E" w:rsidRDefault="000D3AD4" w:rsidP="000D3AD4">
      <w:pPr>
        <w:ind w:left="567" w:right="616"/>
        <w:jc w:val="both"/>
        <w:rPr>
          <w:rFonts w:ascii="Palatino Linotype" w:eastAsiaTheme="minorHAnsi" w:hAnsi="Palatino Linotype" w:cs="Arial"/>
          <w:i/>
          <w:sz w:val="22"/>
          <w:szCs w:val="22"/>
          <w:lang w:val="es-MX" w:eastAsia="en-US"/>
        </w:rPr>
      </w:pPr>
      <w:r w:rsidRPr="0023383E">
        <w:rPr>
          <w:rFonts w:ascii="Palatino Linotype" w:eastAsiaTheme="minorHAnsi" w:hAnsi="Palatino Linotype" w:cs="Arial"/>
          <w:b/>
          <w:i/>
          <w:sz w:val="22"/>
          <w:szCs w:val="22"/>
          <w:lang w:val="es-MX" w:eastAsia="en-US"/>
        </w:rPr>
        <w:t>XXIV. Conocer y resolver los procedimientos de auditoría</w:t>
      </w:r>
      <w:r w:rsidRPr="0023383E">
        <w:rPr>
          <w:rFonts w:ascii="Palatino Linotype" w:eastAsiaTheme="minorHAnsi" w:hAnsi="Palatino Linotype" w:cs="Arial"/>
          <w:i/>
          <w:sz w:val="22"/>
          <w:szCs w:val="22"/>
          <w:lang w:val="es-MX" w:eastAsia="en-US"/>
        </w:rPr>
        <w:t xml:space="preserve"> por queja o denuncia conforme a lo establecido por la presente Ley y el Reglamento, dando informe del resultado a la Comisión…”</w:t>
      </w:r>
    </w:p>
    <w:p w:rsidR="000D3AD4" w:rsidRPr="0023383E" w:rsidRDefault="000D3AD4" w:rsidP="000D3AD4">
      <w:pPr>
        <w:ind w:left="567" w:right="616"/>
        <w:jc w:val="both"/>
        <w:rPr>
          <w:rFonts w:ascii="Palatino Linotype" w:eastAsiaTheme="minorHAnsi" w:hAnsi="Palatino Linotype" w:cs="Arial"/>
          <w:sz w:val="22"/>
          <w:szCs w:val="22"/>
          <w:lang w:val="es-MX" w:eastAsia="en-US"/>
        </w:rPr>
      </w:pPr>
    </w:p>
    <w:p w:rsidR="000D3AD4" w:rsidRPr="0023383E" w:rsidRDefault="000D3AD4" w:rsidP="000D3AD4">
      <w:pPr>
        <w:pStyle w:val="NormalWeb"/>
        <w:spacing w:before="0" w:beforeAutospacing="0" w:after="0" w:afterAutospacing="0" w:line="360" w:lineRule="auto"/>
        <w:jc w:val="both"/>
        <w:rPr>
          <w:rFonts w:ascii="Palatino Linotype" w:hAnsi="Palatino Linotype"/>
        </w:rPr>
      </w:pPr>
      <w:r w:rsidRPr="0023383E">
        <w:rPr>
          <w:rFonts w:ascii="Palatino Linotype" w:hAnsi="Palatino Linotype"/>
        </w:rPr>
        <w:lastRenderedPageBreak/>
        <w:t>Desprendiéndose del precepto citado que el Órgano Superior de Fiscalización del Estado de México (OSFEM), cuenta con facultades para practicar auditorías a los libros y documentos justificativos y comprobatorios del ingreso y del gasto público, así como conocer y resolver de los procedimientos de auditoría por queja o denuncia, evidentemente ello en relación a los entes fiscalizables que la misma ley determina en su artículo 4</w:t>
      </w:r>
      <w:r w:rsidRPr="0023383E">
        <w:rPr>
          <w:rStyle w:val="Refdenotaalpie"/>
          <w:rFonts w:ascii="Palatino Linotype" w:hAnsi="Palatino Linotype"/>
        </w:rPr>
        <w:footnoteReference w:id="2"/>
      </w:r>
      <w:r w:rsidRPr="0023383E">
        <w:rPr>
          <w:rFonts w:ascii="Palatino Linotype" w:hAnsi="Palatino Linotype"/>
        </w:rPr>
        <w:t>, dentro de los cuales se ubican los Municipios del Estado y por ende el Sujeto Obligado en el presente asunto.</w:t>
      </w:r>
    </w:p>
    <w:p w:rsidR="000D3AD4" w:rsidRPr="0023383E" w:rsidRDefault="000D3AD4" w:rsidP="000D3AD4">
      <w:pPr>
        <w:pStyle w:val="NormalWeb"/>
        <w:spacing w:before="0" w:beforeAutospacing="0" w:after="0" w:afterAutospacing="0" w:line="360" w:lineRule="auto"/>
        <w:jc w:val="both"/>
        <w:rPr>
          <w:rFonts w:ascii="Palatino Linotype" w:hAnsi="Palatino Linotype"/>
        </w:rPr>
      </w:pPr>
    </w:p>
    <w:p w:rsidR="000D3AD4" w:rsidRPr="0023383E" w:rsidRDefault="000D3AD4" w:rsidP="000D3AD4">
      <w:pPr>
        <w:pStyle w:val="NormalWeb"/>
        <w:spacing w:before="0" w:beforeAutospacing="0" w:after="0" w:afterAutospacing="0" w:line="360" w:lineRule="auto"/>
        <w:jc w:val="both"/>
        <w:rPr>
          <w:rFonts w:ascii="Palatino Linotype" w:hAnsi="Palatino Linotype"/>
        </w:rPr>
      </w:pPr>
      <w:r w:rsidRPr="0023383E">
        <w:rPr>
          <w:rFonts w:ascii="Palatino Linotype" w:hAnsi="Palatino Linotype"/>
        </w:rPr>
        <w:t>Ahora bien respecto de dicha información, igualmente el Sujeto Obligado tiene la información relativa a los informes de resultados, en virtud de que los artículos 36 y 37 de la misma ley en consulta, dictan que las cuentas públicas serán remitidas a la Legislatura quien las hará de conocimiento de sus integrantes y de su Comisión de Vigilancia que a su vez las remitirá al Órgano Superior de Fiscalización para su revisión y fiscalización, después el Órgano Superior auditará los conceptos reportados en los informes trimestrales como concluidos realizando observaciones sobre las cuales contará con cuarenta y cinco días hábiles para formular los comentarios que procedan.</w:t>
      </w:r>
    </w:p>
    <w:p w:rsidR="000D3AD4" w:rsidRPr="0023383E" w:rsidRDefault="000D3AD4" w:rsidP="00EA46CC">
      <w:pPr>
        <w:spacing w:line="360" w:lineRule="auto"/>
        <w:jc w:val="both"/>
        <w:rPr>
          <w:rFonts w:ascii="Palatino Linotype" w:eastAsiaTheme="minorHAnsi" w:hAnsi="Palatino Linotype" w:cs="Arial"/>
          <w:szCs w:val="22"/>
          <w:lang w:val="es-MX" w:eastAsia="en-US"/>
        </w:rPr>
      </w:pPr>
    </w:p>
    <w:p w:rsidR="000D3AD4" w:rsidRPr="0023383E" w:rsidRDefault="000D3AD4" w:rsidP="00EA46CC">
      <w:pPr>
        <w:spacing w:line="360" w:lineRule="auto"/>
        <w:jc w:val="both"/>
        <w:rPr>
          <w:rFonts w:ascii="Palatino Linotype" w:eastAsiaTheme="minorHAnsi" w:hAnsi="Palatino Linotype" w:cs="Arial"/>
          <w:szCs w:val="22"/>
          <w:lang w:val="es-MX" w:eastAsia="en-US"/>
        </w:rPr>
      </w:pPr>
      <w:r w:rsidRPr="0023383E">
        <w:rPr>
          <w:rFonts w:ascii="Palatino Linotype" w:eastAsiaTheme="minorHAnsi" w:hAnsi="Palatino Linotype" w:cs="Arial"/>
          <w:szCs w:val="22"/>
          <w:lang w:val="es-MX" w:eastAsia="en-US"/>
        </w:rPr>
        <w:t xml:space="preserve">Así de conformidad al artículo 50, de la Ley en consulta, el Órgano Superior de Fiscalización deberá rendir a la Legislatura por conducto de la Comisión de Vigilancia </w:t>
      </w:r>
      <w:r w:rsidRPr="0023383E">
        <w:rPr>
          <w:rFonts w:ascii="Palatino Linotype" w:eastAsiaTheme="minorHAnsi" w:hAnsi="Palatino Linotype" w:cs="Arial"/>
          <w:szCs w:val="22"/>
          <w:lang w:val="es-MX" w:eastAsia="en-US"/>
        </w:rPr>
        <w:lastRenderedPageBreak/>
        <w:t xml:space="preserve">el informe de resultados, el cual inmediatamente después de su entrega tiene el carácter de público, luego entonces es posible que respecto de las auditorias que hayan sido practicadas por el Órgano </w:t>
      </w:r>
      <w:r w:rsidR="001A6109" w:rsidRPr="0023383E">
        <w:rPr>
          <w:rFonts w:ascii="Palatino Linotype" w:eastAsiaTheme="minorHAnsi" w:hAnsi="Palatino Linotype" w:cs="Arial"/>
          <w:szCs w:val="22"/>
          <w:lang w:val="es-MX" w:eastAsia="en-US"/>
        </w:rPr>
        <w:t>S</w:t>
      </w:r>
      <w:r w:rsidRPr="0023383E">
        <w:rPr>
          <w:rFonts w:ascii="Palatino Linotype" w:eastAsiaTheme="minorHAnsi" w:hAnsi="Palatino Linotype" w:cs="Arial"/>
          <w:szCs w:val="22"/>
          <w:lang w:val="es-MX" w:eastAsia="en-US"/>
        </w:rPr>
        <w:t xml:space="preserve">uperior de Fiscalización al </w:t>
      </w:r>
      <w:r w:rsidRPr="0023383E">
        <w:rPr>
          <w:rFonts w:ascii="Palatino Linotype" w:eastAsiaTheme="minorHAnsi" w:hAnsi="Palatino Linotype" w:cs="Arial"/>
          <w:b/>
          <w:szCs w:val="22"/>
          <w:lang w:val="es-MX" w:eastAsia="en-US"/>
        </w:rPr>
        <w:t>Sujeto Obligado</w:t>
      </w:r>
      <w:r w:rsidRPr="0023383E">
        <w:rPr>
          <w:rFonts w:ascii="Palatino Linotype" w:eastAsiaTheme="minorHAnsi" w:hAnsi="Palatino Linotype" w:cs="Arial"/>
          <w:szCs w:val="22"/>
          <w:lang w:val="es-MX" w:eastAsia="en-US"/>
        </w:rPr>
        <w:t>, éste último, tenga en sus archivos los respectivos informes de resultados.</w:t>
      </w:r>
    </w:p>
    <w:p w:rsidR="000D3AD4" w:rsidRPr="0023383E" w:rsidRDefault="000D3AD4" w:rsidP="00EA46CC">
      <w:pPr>
        <w:spacing w:line="360" w:lineRule="auto"/>
        <w:jc w:val="both"/>
        <w:rPr>
          <w:rFonts w:ascii="Palatino Linotype" w:eastAsiaTheme="minorHAnsi" w:hAnsi="Palatino Linotype" w:cs="Arial"/>
          <w:szCs w:val="22"/>
          <w:lang w:val="es-MX" w:eastAsia="en-US"/>
        </w:rPr>
      </w:pPr>
    </w:p>
    <w:p w:rsidR="001A6109" w:rsidRPr="0023383E" w:rsidRDefault="00BB134B" w:rsidP="00BB134B">
      <w:pPr>
        <w:spacing w:line="360" w:lineRule="auto"/>
        <w:jc w:val="both"/>
        <w:rPr>
          <w:rFonts w:ascii="Palatino Linotype" w:hAnsi="Palatino Linotype"/>
          <w:bCs/>
          <w:szCs w:val="20"/>
        </w:rPr>
      </w:pPr>
      <w:r w:rsidRPr="0023383E">
        <w:rPr>
          <w:rFonts w:ascii="Palatino Linotype" w:eastAsiaTheme="minorHAnsi" w:hAnsi="Palatino Linotype" w:cs="Arial"/>
          <w:szCs w:val="22"/>
          <w:lang w:val="es-MX" w:eastAsia="en-US"/>
        </w:rPr>
        <w:t xml:space="preserve">Finalmente, la Ley Orgánica de la Administración Pública del Estado de México, establece que la Secretaría de la Contraloría del Estado de México, es la dependencia encargada de la vigilancia, fiscalización y control de los ingresos, gastos, recursos y obligaciones de la administración pública estatal y su sector auxiliar, así como lo relativo a la presentación de la declaración patrimonial, de intereses y constancia de presentación de la declaración fiscal, así como de la responsabilidad de los servidores públicos, en términos de lo que disponga la normatividad aplicable en la materia, misma que tiene las siguiente atribuciones, de conformidad con el artículo </w:t>
      </w:r>
      <w:r w:rsidRPr="0023383E">
        <w:rPr>
          <w:rFonts w:ascii="Palatino Linotype" w:hAnsi="Palatino Linotype"/>
          <w:bCs/>
          <w:szCs w:val="20"/>
        </w:rPr>
        <w:t>38 bis:</w:t>
      </w:r>
    </w:p>
    <w:p w:rsidR="00BB134B" w:rsidRPr="0023383E" w:rsidRDefault="00BB134B" w:rsidP="00BB134B">
      <w:pPr>
        <w:spacing w:line="360" w:lineRule="auto"/>
        <w:jc w:val="both"/>
        <w:rPr>
          <w:rFonts w:ascii="Palatino Linotype" w:hAnsi="Palatino Linotype"/>
          <w:bCs/>
          <w:szCs w:val="20"/>
        </w:rPr>
      </w:pPr>
    </w:p>
    <w:p w:rsidR="00BB134B" w:rsidRPr="0023383E" w:rsidRDefault="00BB134B" w:rsidP="00BB134B">
      <w:pPr>
        <w:ind w:left="426" w:right="616"/>
        <w:jc w:val="both"/>
        <w:rPr>
          <w:rFonts w:ascii="Palatino Linotype" w:hAnsi="Palatino Linotype"/>
          <w:bCs/>
          <w:i/>
          <w:sz w:val="22"/>
          <w:szCs w:val="22"/>
        </w:rPr>
      </w:pPr>
      <w:r w:rsidRPr="0023383E">
        <w:rPr>
          <w:rFonts w:ascii="Palatino Linotype" w:hAnsi="Palatino Linotype"/>
          <w:bCs/>
          <w:i/>
          <w:sz w:val="22"/>
          <w:szCs w:val="22"/>
        </w:rPr>
        <w:t>(…)</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i/>
          <w:color w:val="000000"/>
          <w:sz w:val="22"/>
          <w:szCs w:val="22"/>
          <w:lang w:val="es-MX" w:eastAsia="en-US"/>
        </w:rPr>
        <w:t xml:space="preserve">A la propia Secretaría, le corresponde el despacho de los siguientes asuntos: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b/>
          <w:bCs/>
          <w:i/>
          <w:color w:val="000000"/>
          <w:sz w:val="22"/>
          <w:szCs w:val="22"/>
          <w:lang w:val="es-MX" w:eastAsia="en-US"/>
        </w:rPr>
      </w:pP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I. </w:t>
      </w:r>
      <w:r w:rsidRPr="0023383E">
        <w:rPr>
          <w:rFonts w:ascii="Palatino Linotype" w:eastAsiaTheme="minorHAnsi" w:hAnsi="Palatino Linotype" w:cs="Bookman Old Style"/>
          <w:i/>
          <w:color w:val="000000"/>
          <w:sz w:val="22"/>
          <w:szCs w:val="22"/>
          <w:lang w:val="es-MX" w:eastAsia="en-US"/>
        </w:rPr>
        <w:t xml:space="preserve">Planear, programar, organizar y coordinar el sistema de control y evaluación gubernamental.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II</w:t>
      </w:r>
      <w:r w:rsidRPr="0023383E">
        <w:rPr>
          <w:rFonts w:ascii="Palatino Linotype" w:eastAsiaTheme="minorHAnsi" w:hAnsi="Palatino Linotype" w:cs="Bookman Old Style"/>
          <w:i/>
          <w:color w:val="000000"/>
          <w:sz w:val="22"/>
          <w:szCs w:val="22"/>
          <w:lang w:val="es-MX" w:eastAsia="en-US"/>
        </w:rPr>
        <w:t xml:space="preserve">. Fiscalizar e inspeccionar el ejercicio del gasto público estatal y su congruencia con el presupuesto de egresos. </w:t>
      </w:r>
    </w:p>
    <w:p w:rsidR="00BB134B" w:rsidRPr="0023383E" w:rsidRDefault="00BB134B" w:rsidP="00BB134B">
      <w:pPr>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III</w:t>
      </w:r>
      <w:r w:rsidRPr="0023383E">
        <w:rPr>
          <w:rFonts w:ascii="Palatino Linotype" w:eastAsiaTheme="minorHAnsi" w:hAnsi="Palatino Linotype" w:cs="Bookman Old Style"/>
          <w:i/>
          <w:color w:val="000000"/>
          <w:sz w:val="22"/>
          <w:szCs w:val="22"/>
          <w:lang w:val="es-MX" w:eastAsia="en-US"/>
        </w:rPr>
        <w:t>. Formular y expedir las normas y criterios que regulen el funcionamiento de los instrumentos, sistemas y procedimientos de control de la administración pública estatal. La Secretaría discrecionalmente podrá requerir de las dependencias competentes, la instrumentación de normas complementarias para el ejercicio de sus facultades de control.</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IV. </w:t>
      </w:r>
      <w:r w:rsidRPr="0023383E">
        <w:rPr>
          <w:rFonts w:ascii="Palatino Linotype" w:eastAsiaTheme="minorHAnsi" w:hAnsi="Palatino Linotype" w:cs="Bookman Old Style"/>
          <w:i/>
          <w:color w:val="000000"/>
          <w:sz w:val="22"/>
          <w:szCs w:val="22"/>
          <w:u w:val="single"/>
          <w:lang w:val="es-MX" w:eastAsia="en-US"/>
        </w:rPr>
        <w:t>Vigilar y supervisar el cumplimiento de las normas de control y fiscalización, así como asesorar y apoyar a los órganos de control interno de las dependencias, organismos auxiliares y fideicomisos de la administración pública estatal.</w:t>
      </w:r>
      <w:r w:rsidRPr="0023383E">
        <w:rPr>
          <w:rFonts w:ascii="Palatino Linotype" w:eastAsiaTheme="minorHAnsi" w:hAnsi="Palatino Linotype" w:cs="Bookman Old Style"/>
          <w:i/>
          <w:color w:val="000000"/>
          <w:sz w:val="22"/>
          <w:szCs w:val="22"/>
          <w:lang w:val="es-MX" w:eastAsia="en-US"/>
        </w:rPr>
        <w:t xml:space="preserve">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lastRenderedPageBreak/>
        <w:t xml:space="preserve">V. </w:t>
      </w:r>
      <w:r w:rsidRPr="0023383E">
        <w:rPr>
          <w:rFonts w:ascii="Palatino Linotype" w:eastAsiaTheme="minorHAnsi" w:hAnsi="Palatino Linotype" w:cs="Bookman Old Style"/>
          <w:i/>
          <w:color w:val="000000"/>
          <w:sz w:val="22"/>
          <w:szCs w:val="22"/>
          <w:lang w:val="es-MX" w:eastAsia="en-US"/>
        </w:rPr>
        <w:t xml:space="preserve">Establecer y dictar las bases generales para la realización de auditorías e inspecciones en las dependencias, organismos auxiliares y fideicomisos de carácter estatal así como realizar las que se requieran en substitución o apoyo de sus propios órganos de control.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VI. </w:t>
      </w:r>
      <w:r w:rsidRPr="0023383E">
        <w:rPr>
          <w:rFonts w:ascii="Palatino Linotype" w:eastAsiaTheme="minorHAnsi" w:hAnsi="Palatino Linotype" w:cs="Bookman Old Style"/>
          <w:i/>
          <w:color w:val="000000"/>
          <w:sz w:val="22"/>
          <w:szCs w:val="22"/>
          <w:lang w:val="es-MX" w:eastAsia="en-US"/>
        </w:rPr>
        <w:t xml:space="preserve">Comprobar el cumplimiento por parte de las dependencias, organismos auxiliares y fideicomisos de la administración pública estatal; de las obligaciones derivadas de las disposiciones en materia de planeación, presupuestación, ingresos, financiamiento, inversión, deuda, patrimonio y fondos y valores de la propiedad o al cuidado del gobierno estatal.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VII. </w:t>
      </w:r>
      <w:r w:rsidRPr="0023383E">
        <w:rPr>
          <w:rFonts w:ascii="Palatino Linotype" w:eastAsiaTheme="minorHAnsi" w:hAnsi="Palatino Linotype" w:cs="Bookman Old Style"/>
          <w:i/>
          <w:color w:val="000000"/>
          <w:sz w:val="22"/>
          <w:szCs w:val="22"/>
          <w:lang w:val="es-MX" w:eastAsia="en-US"/>
        </w:rPr>
        <w:t xml:space="preserve">Realizar por sí o a solicitud de parte, auditorías, revisiones y evaluaciones a las dependencias, organismos auxiliares y fideicomisos de carácter estatal, con el objeto de controlar, examinar, fiscalizar y promover la eficacia, legalidad y la transparencia en sus operaciones y verificar de acuerdo con su competencia el cumplimiento de los objetivos y metas contenidos en sus programas, de manera trimestral los programas de mejora regulatoria, la actualización del Registro Estatal de Trámites y Servicios, así como a las disposiciones contenidas en la Ley de Gobierno Digital del Estado de México y Municipios y su Reglamento.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VIII. </w:t>
      </w:r>
      <w:r w:rsidRPr="0023383E">
        <w:rPr>
          <w:rFonts w:ascii="Palatino Linotype" w:eastAsiaTheme="minorHAnsi" w:hAnsi="Palatino Linotype" w:cs="Bookman Old Style"/>
          <w:i/>
          <w:color w:val="000000"/>
          <w:sz w:val="22"/>
          <w:szCs w:val="22"/>
          <w:u w:val="single"/>
          <w:lang w:val="es-MX" w:eastAsia="en-US"/>
        </w:rPr>
        <w:t>Inspeccionar y vigilar directamente o a través de los órganos de control que las dependencias, organismos auxiliares y fideicomisos de la Administración Pública Estatal, cumplan con las normas y disposiciones en materia de: sistema de registro y contabilidad, contratación y pago de personal, contratación de servicios, obra pública, adquisiciones, arrendamientos, conservación, uso, destino, afectación, enajenación y baja de bienes y demás activos y recursos materiales de la Administración Pública Estatal.</w:t>
      </w:r>
      <w:r w:rsidRPr="0023383E">
        <w:rPr>
          <w:rFonts w:ascii="Palatino Linotype" w:eastAsiaTheme="minorHAnsi" w:hAnsi="Palatino Linotype" w:cs="Bookman Old Style"/>
          <w:i/>
          <w:color w:val="000000"/>
          <w:sz w:val="22"/>
          <w:szCs w:val="22"/>
          <w:lang w:val="es-MX" w:eastAsia="en-US"/>
        </w:rPr>
        <w:t xml:space="preserve">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IX. </w:t>
      </w:r>
      <w:r w:rsidRPr="0023383E">
        <w:rPr>
          <w:rFonts w:ascii="Palatino Linotype" w:eastAsiaTheme="minorHAnsi" w:hAnsi="Palatino Linotype" w:cs="Bookman Old Style"/>
          <w:i/>
          <w:color w:val="000000"/>
          <w:sz w:val="22"/>
          <w:szCs w:val="22"/>
          <w:lang w:val="es-MX" w:eastAsia="en-US"/>
        </w:rPr>
        <w:t xml:space="preserve">Vigilar en los términos de los convenios respectivos que los recursos federales y estatales que ejerzan directamente los municipios, se apliquen conforme a lo estipulado en los mismos.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 </w:t>
      </w:r>
      <w:r w:rsidRPr="0023383E">
        <w:rPr>
          <w:rFonts w:ascii="Palatino Linotype" w:eastAsiaTheme="minorHAnsi" w:hAnsi="Palatino Linotype" w:cs="Bookman Old Style"/>
          <w:i/>
          <w:color w:val="000000"/>
          <w:sz w:val="22"/>
          <w:szCs w:val="22"/>
          <w:u w:val="single"/>
          <w:lang w:val="es-MX" w:eastAsia="en-US"/>
        </w:rPr>
        <w:t>Fiscalizar los recursos federales derivados de los acuerdos o convenios respectivos, ejercidos por las dependencias y fideicomisos de la administración pública estatal.</w:t>
      </w:r>
      <w:r w:rsidRPr="0023383E">
        <w:rPr>
          <w:rFonts w:ascii="Palatino Linotype" w:eastAsiaTheme="minorHAnsi" w:hAnsi="Palatino Linotype" w:cs="Bookman Old Style"/>
          <w:i/>
          <w:color w:val="000000"/>
          <w:sz w:val="22"/>
          <w:szCs w:val="22"/>
          <w:lang w:val="es-MX" w:eastAsia="en-US"/>
        </w:rPr>
        <w:t xml:space="preserve">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XI. </w:t>
      </w:r>
      <w:r w:rsidRPr="0023383E">
        <w:rPr>
          <w:rFonts w:ascii="Palatino Linotype" w:eastAsiaTheme="minorHAnsi" w:hAnsi="Palatino Linotype" w:cs="Bookman Old Style"/>
          <w:i/>
          <w:color w:val="000000"/>
          <w:sz w:val="22"/>
          <w:szCs w:val="22"/>
          <w:lang w:val="es-MX" w:eastAsia="en-US"/>
        </w:rPr>
        <w:t xml:space="preserve">Vigilar, en la esfera de su competencia, el cumplimiento de las obligaciones de proveedores y contratistas adquiridas con el Ejecutivo del Estado, solicitándoles la información relacionada con las operaciones que realicen, y fincar las deductivas y responsabilidades que en su caso procedan.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XII. </w:t>
      </w:r>
      <w:r w:rsidRPr="0023383E">
        <w:rPr>
          <w:rFonts w:ascii="Palatino Linotype" w:eastAsiaTheme="minorHAnsi" w:hAnsi="Palatino Linotype" w:cs="Bookman Old Style"/>
          <w:i/>
          <w:color w:val="000000"/>
          <w:sz w:val="22"/>
          <w:szCs w:val="22"/>
          <w:lang w:val="es-MX" w:eastAsia="en-US"/>
        </w:rPr>
        <w:t xml:space="preserve">Opinar previamente a su expedición sobre las normas de contabilidad y de control en materia de programación, presupuestación, administración de recursos humanos, materiales y financieros, que elabore la Secretaría de Finanzas del Gobierno del Estado de México, así como sobre las normas en materia de contratación de deuda que formule esta última. </w:t>
      </w:r>
    </w:p>
    <w:p w:rsidR="00BB134B" w:rsidRPr="0023383E" w:rsidRDefault="00BB134B" w:rsidP="00BB134B">
      <w:pPr>
        <w:ind w:left="426" w:right="616"/>
        <w:jc w:val="both"/>
        <w:rPr>
          <w:rFonts w:ascii="Palatino Linotype" w:eastAsiaTheme="minorHAnsi" w:hAnsi="Palatino Linotype" w:cs="Arial"/>
          <w:i/>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XIII. </w:t>
      </w:r>
      <w:r w:rsidRPr="0023383E">
        <w:rPr>
          <w:rFonts w:ascii="Palatino Linotype" w:eastAsiaTheme="minorHAnsi" w:hAnsi="Palatino Linotype" w:cs="Bookman Old Style"/>
          <w:i/>
          <w:color w:val="000000"/>
          <w:sz w:val="22"/>
          <w:szCs w:val="22"/>
          <w:lang w:val="es-MX" w:eastAsia="en-US"/>
        </w:rPr>
        <w:t>Designar y remover a los auditores externos de los organismos auxiliares y fideicomisos, normar y controlar su actividad y proponer al titular del Ejecutivo la</w:t>
      </w:r>
      <w:r w:rsidRPr="0023383E">
        <w:rPr>
          <w:rFonts w:ascii="Palatino Linotype" w:eastAsiaTheme="minorHAnsi" w:hAnsi="Palatino Linotype" w:cs="Arial"/>
          <w:i/>
          <w:sz w:val="22"/>
          <w:szCs w:val="22"/>
          <w:lang w:val="es-MX" w:eastAsia="en-US"/>
        </w:rPr>
        <w:t xml:space="preserve"> </w:t>
      </w:r>
      <w:r w:rsidRPr="0023383E">
        <w:rPr>
          <w:rFonts w:ascii="Palatino Linotype" w:eastAsiaTheme="minorHAnsi" w:hAnsi="Palatino Linotype" w:cs="Bookman Old Style"/>
          <w:i/>
          <w:color w:val="000000"/>
          <w:sz w:val="22"/>
          <w:szCs w:val="22"/>
          <w:lang w:val="es-MX" w:eastAsia="en-US"/>
        </w:rPr>
        <w:t xml:space="preserve">designación y comisarios en los consejos o juntas de Gobierno y administración de los mismos.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lastRenderedPageBreak/>
        <w:t xml:space="preserve">XIV. </w:t>
      </w:r>
      <w:r w:rsidRPr="0023383E">
        <w:rPr>
          <w:rFonts w:ascii="Palatino Linotype" w:eastAsiaTheme="minorHAnsi" w:hAnsi="Palatino Linotype" w:cs="Bookman Old Style"/>
          <w:i/>
          <w:color w:val="000000"/>
          <w:sz w:val="22"/>
          <w:szCs w:val="22"/>
          <w:lang w:val="es-MX" w:eastAsia="en-US"/>
        </w:rPr>
        <w:t xml:space="preserve">Designar y remover a los titulares de los órganos internos de control de las dependencias, organismos auxiliares, fideicomisos de la administración pública estatal y de las unidades administrativas equivalentes de las empresas de participación estatal, sociedades o asociaciones asimiladas a éstas quienes dependerán jerárquica y funcionalmente de la Secretaría de la Contraloría del Estado de México y a los titulares de las áreas de auditoría, quejas y responsabilidades de los citados órganos internos de control.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XV. </w:t>
      </w:r>
      <w:r w:rsidRPr="0023383E">
        <w:rPr>
          <w:rFonts w:ascii="Palatino Linotype" w:eastAsiaTheme="minorHAnsi" w:hAnsi="Palatino Linotype" w:cs="Bookman Old Style"/>
          <w:i/>
          <w:color w:val="000000"/>
          <w:sz w:val="22"/>
          <w:szCs w:val="22"/>
          <w:lang w:val="es-MX" w:eastAsia="en-US"/>
        </w:rPr>
        <w:t xml:space="preserve">Coordinarse con los integrantes de los Comités Coordinadores de los Sistemas Nacional, Estatal y Municipal Anticorrupción, para el establecimiento de los mecanismos necesarios, que permitan el mejor cumplimiento de sus respectivas responsabilidades.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XVI. </w:t>
      </w:r>
      <w:r w:rsidRPr="0023383E">
        <w:rPr>
          <w:rFonts w:ascii="Palatino Linotype" w:eastAsiaTheme="minorHAnsi" w:hAnsi="Palatino Linotype" w:cs="Bookman Old Style"/>
          <w:i/>
          <w:color w:val="000000"/>
          <w:sz w:val="22"/>
          <w:szCs w:val="22"/>
          <w:lang w:val="es-MX" w:eastAsia="en-US"/>
        </w:rPr>
        <w:t xml:space="preserve">Informar periódicamente al Titular del Ejecutivo del Estado y al Comité Coordinador del Sistema Estatal Anticorrupción, respecto del resultado de la evaluación de las dependencias, organismos auxiliares y fideicomisos de la administración pública estatal, que hayan sido objeto de fiscalización, de la revisión del ingreso, manejo, custodia y ejercicio de recursos públicos, promover ante las autoridades competentes las acciones que procedan para corregir las irregularidades detectadas. Asimismo, informar a la Secretaría de la Función Pública sobre la evaluación de los programas que manejen o involucren recursos federales en términos de los acuerdos o convenios respectivos o demás normatividad aplicable.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XVII. </w:t>
      </w:r>
      <w:r w:rsidRPr="0023383E">
        <w:rPr>
          <w:rFonts w:ascii="Palatino Linotype" w:eastAsiaTheme="minorHAnsi" w:hAnsi="Palatino Linotype" w:cs="Bookman Old Style"/>
          <w:i/>
          <w:color w:val="000000"/>
          <w:sz w:val="22"/>
          <w:szCs w:val="22"/>
          <w:lang w:val="es-MX" w:eastAsia="en-US"/>
        </w:rPr>
        <w:t xml:space="preserve">Recibir y registrar la declaración de situación patrimonial, la declaración de intereses, la presentación de la constancia de declaración fiscal y determinar el Conflicto de Intereses de los servidores públicos del Estado y municipios, verificar y practicar las investigaciones que fueren necesarias en términos de la Ley de Responsabilidades Administrativas del Estado de México y Municipios y demás disposiciones legales aplicables, así como registrar la información sobre las sanciones administrativas que, en su caso, les hayan sido impuestas.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XVIII. </w:t>
      </w:r>
      <w:r w:rsidRPr="0023383E">
        <w:rPr>
          <w:rFonts w:ascii="Palatino Linotype" w:eastAsiaTheme="minorHAnsi" w:hAnsi="Palatino Linotype" w:cs="Bookman Old Style"/>
          <w:i/>
          <w:color w:val="000000"/>
          <w:sz w:val="22"/>
          <w:szCs w:val="22"/>
          <w:lang w:val="es-MX" w:eastAsia="en-US"/>
        </w:rPr>
        <w:t xml:space="preserve">Atender y dar seguimiento a las denuncias y quejas que presenten los particulares con motivo de acuerdos, convenios o contratos que celebren con las dependencias, organismos auxiliares y fideicomisos de la administración pública estatal, así como de las empresas de participación estatal, sociedades o asociaciones asimiladas a éstas. </w:t>
      </w:r>
    </w:p>
    <w:p w:rsidR="001A6109" w:rsidRPr="0023383E" w:rsidRDefault="00BB134B" w:rsidP="00BB134B">
      <w:pPr>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XIX. </w:t>
      </w:r>
      <w:r w:rsidRPr="0023383E">
        <w:rPr>
          <w:rFonts w:ascii="Palatino Linotype" w:eastAsiaTheme="minorHAnsi" w:hAnsi="Palatino Linotype" w:cs="Bookman Old Style"/>
          <w:i/>
          <w:color w:val="000000"/>
          <w:sz w:val="22"/>
          <w:szCs w:val="22"/>
          <w:lang w:val="es-MX" w:eastAsia="en-US"/>
        </w:rPr>
        <w:t xml:space="preserve">Conocer e investigar los actos, omisiones o conductas de los servidores públicos que puedan constituir responsabilidades administrativas, substanciar los procedimientos correspondientes en términos de la Ley de Responsabilidades Administrativas del Estado de México y Municipios, por sí, o por conducto de los órganos internos de control que correspondan a cada área de la Administración Pública Estatal aplicando las sanciones en los casos que no sean de la competencia del Tribunal de Justicia Administrativa del Estado de México y cuando se trate de faltas administrativas graves, ejercer la acción de responsabilidad ante ese Tribunal, así como presentar las denuncias correspondientes ante la Fiscalía Especializada en Combate a la Corrupción y ante otras autoridades competentes, en términos de las disposiciones legales aplicables, así como realizar investigaciones, </w:t>
      </w:r>
      <w:r w:rsidRPr="0023383E">
        <w:rPr>
          <w:rFonts w:ascii="Palatino Linotype" w:eastAsiaTheme="minorHAnsi" w:hAnsi="Palatino Linotype" w:cs="Bookman Old Style"/>
          <w:i/>
          <w:color w:val="000000"/>
          <w:sz w:val="22"/>
          <w:szCs w:val="22"/>
          <w:lang w:val="es-MX" w:eastAsia="en-US"/>
        </w:rPr>
        <w:lastRenderedPageBreak/>
        <w:t>inspecciones y supervisiones, a través de acciones encubiertas y usuario simulado, para verificar la legalidad, honradez, eficiencia y oportunidad de la prestación del servicio público.</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XX. </w:t>
      </w:r>
      <w:r w:rsidRPr="0023383E">
        <w:rPr>
          <w:rFonts w:ascii="Palatino Linotype" w:eastAsiaTheme="minorHAnsi" w:hAnsi="Palatino Linotype" w:cs="Bookman Old Style"/>
          <w:i/>
          <w:color w:val="000000"/>
          <w:sz w:val="22"/>
          <w:szCs w:val="22"/>
          <w:lang w:val="es-MX" w:eastAsia="en-US"/>
        </w:rPr>
        <w:t xml:space="preserve">Vigilar el cumplimiento de las normas internas de la Secretaría, constituir las responsabilidades administrativas de su personal, aplicándoles las correcciones que correspondan, así como formular y presentar las denuncias, querellas, acusaciones o quejas de naturaleza administrativa o penal ante la Fiscalía Especializada en Combate a la Corrupción u otras autoridades competentes respectivamente.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XXI. </w:t>
      </w:r>
      <w:r w:rsidRPr="0023383E">
        <w:rPr>
          <w:rFonts w:ascii="Palatino Linotype" w:eastAsiaTheme="minorHAnsi" w:hAnsi="Palatino Linotype" w:cs="Bookman Old Style"/>
          <w:i/>
          <w:color w:val="000000"/>
          <w:sz w:val="22"/>
          <w:szCs w:val="22"/>
          <w:lang w:val="es-MX" w:eastAsia="en-US"/>
        </w:rPr>
        <w:t xml:space="preserve">Intervenir para efectos de verificación en las actas de entrega-recepción de las unidades administrativas de las dependencias, organismos auxiliares y fideicomisos del Ejecutivo.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XXII. </w:t>
      </w:r>
      <w:r w:rsidRPr="0023383E">
        <w:rPr>
          <w:rFonts w:ascii="Palatino Linotype" w:eastAsiaTheme="minorHAnsi" w:hAnsi="Palatino Linotype" w:cs="Bookman Old Style"/>
          <w:i/>
          <w:color w:val="000000"/>
          <w:sz w:val="22"/>
          <w:szCs w:val="22"/>
          <w:lang w:val="es-MX" w:eastAsia="en-US"/>
        </w:rPr>
        <w:t xml:space="preserve">Formular y conducir en apego y de conformidad con las bases de coordinación que establezcan los Comités Coordinadores de los Sistemas Nacional y Estatal Anticorrupción, la política general de la Administración Pública Estatal para establecer medidas y mecanismos, de modernización administrativa tendientes a lograr la eficacia de la vigilancia, fiscalización y control del gasto público estatal, la integridad y la transparencia en la gestión pública, la rendición de cuentas y el acceso por parte de los particulares a la información que aquélla genere, así como promover dichas acciones hacia la sociedad.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XXIII. </w:t>
      </w:r>
      <w:r w:rsidRPr="0023383E">
        <w:rPr>
          <w:rFonts w:ascii="Palatino Linotype" w:eastAsiaTheme="minorHAnsi" w:hAnsi="Palatino Linotype" w:cs="Bookman Old Style"/>
          <w:i/>
          <w:color w:val="000000"/>
          <w:sz w:val="22"/>
          <w:szCs w:val="22"/>
          <w:lang w:val="es-MX" w:eastAsia="en-US"/>
        </w:rPr>
        <w:t xml:space="preserve">Brindar asesoría y apoyo técnico a los órganos internos de control del gasto público municipal, cuando así lo soliciten.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XXIV. </w:t>
      </w:r>
      <w:r w:rsidRPr="0023383E">
        <w:rPr>
          <w:rFonts w:ascii="Palatino Linotype" w:eastAsiaTheme="minorHAnsi" w:hAnsi="Palatino Linotype" w:cs="Bookman Old Style"/>
          <w:i/>
          <w:color w:val="000000"/>
          <w:sz w:val="22"/>
          <w:szCs w:val="22"/>
          <w:lang w:val="es-MX" w:eastAsia="en-US"/>
        </w:rPr>
        <w:t xml:space="preserve">Dirigir, coordinar y operar el Registro Estatal de Inspectores, conforme a las disposiciones correspondientes.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XXV. </w:t>
      </w:r>
      <w:r w:rsidRPr="0023383E">
        <w:rPr>
          <w:rFonts w:ascii="Palatino Linotype" w:eastAsiaTheme="minorHAnsi" w:hAnsi="Palatino Linotype" w:cs="Bookman Old Style"/>
          <w:i/>
          <w:color w:val="000000"/>
          <w:sz w:val="22"/>
          <w:szCs w:val="22"/>
          <w:lang w:val="es-MX" w:eastAsia="en-US"/>
        </w:rPr>
        <w:t xml:space="preserve">Colaborar en el marco de los Sistemas Nacional y Estatal Anticorrupción y de los Sistemas Nacional y Estatal de Fiscalización en el establecimiento de las bases y principios de coordinación necesarios, que permitan el mejor cumplimiento de las responsabilidades de sus integrantes, de conformidad con la legislación aplicable en la materia.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XXVI. </w:t>
      </w:r>
      <w:r w:rsidRPr="0023383E">
        <w:rPr>
          <w:rFonts w:ascii="Palatino Linotype" w:eastAsiaTheme="minorHAnsi" w:hAnsi="Palatino Linotype" w:cs="Bookman Old Style"/>
          <w:i/>
          <w:color w:val="000000"/>
          <w:sz w:val="22"/>
          <w:szCs w:val="22"/>
          <w:lang w:val="es-MX" w:eastAsia="en-US"/>
        </w:rPr>
        <w:t xml:space="preserve">Implementar las políticas de coordinación que promuevan los Comités Coordinadores del Sistema Nacional y Estatal, en materia de combate a la corrupción en la Administración Pública Estatal, en términos de las disposiciones jurídicas aplicables. </w:t>
      </w:r>
    </w:p>
    <w:p w:rsidR="00BB134B" w:rsidRPr="0023383E" w:rsidRDefault="00BB134B" w:rsidP="00BB134B">
      <w:pPr>
        <w:autoSpaceDE w:val="0"/>
        <w:autoSpaceDN w:val="0"/>
        <w:adjustRightInd w:val="0"/>
        <w:ind w:left="426" w:right="616"/>
        <w:jc w:val="both"/>
        <w:rPr>
          <w:rFonts w:ascii="Palatino Linotype" w:eastAsiaTheme="minorHAnsi" w:hAnsi="Palatino Linotype" w:cs="Bookman Old Style"/>
          <w:i/>
          <w:color w:val="000000"/>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XXVII. </w:t>
      </w:r>
      <w:r w:rsidRPr="0023383E">
        <w:rPr>
          <w:rFonts w:ascii="Palatino Linotype" w:eastAsiaTheme="minorHAnsi" w:hAnsi="Palatino Linotype" w:cs="Bookman Old Style"/>
          <w:i/>
          <w:color w:val="000000"/>
          <w:sz w:val="22"/>
          <w:szCs w:val="22"/>
          <w:lang w:val="es-MX" w:eastAsia="en-US"/>
        </w:rPr>
        <w:t xml:space="preserve">Establecer mecanismos para prevenir actos u omisiones constitutivos de responsabilidades administrativas, que fomenten el desarrollo de la cultura de la legalidad. </w:t>
      </w:r>
    </w:p>
    <w:p w:rsidR="00BB134B" w:rsidRPr="0023383E" w:rsidRDefault="00BB134B" w:rsidP="00BB134B">
      <w:pPr>
        <w:ind w:left="426" w:right="616"/>
        <w:jc w:val="both"/>
        <w:rPr>
          <w:rFonts w:ascii="Palatino Linotype" w:eastAsiaTheme="minorHAnsi" w:hAnsi="Palatino Linotype" w:cs="Arial"/>
          <w:i/>
          <w:sz w:val="22"/>
          <w:szCs w:val="22"/>
          <w:lang w:val="es-MX" w:eastAsia="en-US"/>
        </w:rPr>
      </w:pPr>
      <w:r w:rsidRPr="0023383E">
        <w:rPr>
          <w:rFonts w:ascii="Palatino Linotype" w:eastAsiaTheme="minorHAnsi" w:hAnsi="Palatino Linotype" w:cs="Bookman Old Style"/>
          <w:b/>
          <w:bCs/>
          <w:i/>
          <w:color w:val="000000"/>
          <w:sz w:val="22"/>
          <w:szCs w:val="22"/>
          <w:lang w:val="es-MX" w:eastAsia="en-US"/>
        </w:rPr>
        <w:t xml:space="preserve">XXVIII. </w:t>
      </w:r>
      <w:r w:rsidRPr="0023383E">
        <w:rPr>
          <w:rFonts w:ascii="Palatino Linotype" w:eastAsiaTheme="minorHAnsi" w:hAnsi="Palatino Linotype" w:cs="Bookman Old Style"/>
          <w:i/>
          <w:color w:val="000000"/>
          <w:sz w:val="22"/>
          <w:szCs w:val="22"/>
          <w:lang w:val="es-MX" w:eastAsia="en-US"/>
        </w:rPr>
        <w:t>Las demás que le señalen otras disposiciones jurídicas aplicables.</w:t>
      </w:r>
    </w:p>
    <w:p w:rsidR="001A6109" w:rsidRPr="0023383E" w:rsidRDefault="001A6109" w:rsidP="0029071C">
      <w:pPr>
        <w:spacing w:line="360" w:lineRule="auto"/>
        <w:ind w:right="141"/>
        <w:jc w:val="both"/>
        <w:rPr>
          <w:rFonts w:ascii="Palatino Linotype" w:eastAsiaTheme="minorHAnsi" w:hAnsi="Palatino Linotype" w:cs="Arial"/>
          <w:szCs w:val="22"/>
          <w:lang w:val="es-MX" w:eastAsia="en-US"/>
        </w:rPr>
      </w:pPr>
    </w:p>
    <w:p w:rsidR="00BB134B" w:rsidRPr="0023383E" w:rsidRDefault="00BB134B" w:rsidP="0029071C">
      <w:pPr>
        <w:spacing w:line="360" w:lineRule="auto"/>
        <w:ind w:right="141"/>
        <w:jc w:val="both"/>
        <w:rPr>
          <w:rFonts w:ascii="Palatino Linotype" w:eastAsiaTheme="minorHAnsi" w:hAnsi="Palatino Linotype" w:cstheme="minorBidi"/>
          <w:szCs w:val="22"/>
          <w:lang w:val="es-MX" w:eastAsia="en-US"/>
        </w:rPr>
      </w:pPr>
      <w:r w:rsidRPr="0023383E">
        <w:rPr>
          <w:rFonts w:ascii="Palatino Linotype" w:eastAsiaTheme="minorHAnsi" w:hAnsi="Palatino Linotype" w:cstheme="minorBidi"/>
          <w:szCs w:val="22"/>
          <w:lang w:val="es-MX" w:eastAsia="en-US"/>
        </w:rPr>
        <w:t xml:space="preserve">Por lo anterior, se concluye que los Órganos Internos de Control, son las unidades administrativas en las dependencias y organismos auxiliares, encargadas de promover, evaluar y fortalecer el buen funcionamiento del control interno, competentes para aplicar las leyes en materia de responsabilidades de los servidores </w:t>
      </w:r>
      <w:r w:rsidRPr="0023383E">
        <w:rPr>
          <w:rFonts w:ascii="Palatino Linotype" w:eastAsiaTheme="minorHAnsi" w:hAnsi="Palatino Linotype" w:cstheme="minorBidi"/>
          <w:szCs w:val="22"/>
          <w:lang w:val="es-MX" w:eastAsia="en-US"/>
        </w:rPr>
        <w:lastRenderedPageBreak/>
        <w:t xml:space="preserve">públicos, y que dependen jerárquica y funcionalmente de la Secretaría de la Contraloría; asimismo, las </w:t>
      </w:r>
      <w:r w:rsidR="00217E6C" w:rsidRPr="0023383E">
        <w:rPr>
          <w:rFonts w:ascii="Palatino Linotype" w:eastAsiaTheme="minorHAnsi" w:hAnsi="Palatino Linotype" w:cstheme="minorBidi"/>
          <w:szCs w:val="22"/>
          <w:lang w:val="es-MX" w:eastAsia="en-US"/>
        </w:rPr>
        <w:t>a</w:t>
      </w:r>
      <w:r w:rsidRPr="0023383E">
        <w:rPr>
          <w:rFonts w:ascii="Palatino Linotype" w:eastAsiaTheme="minorHAnsi" w:hAnsi="Palatino Linotype" w:cstheme="minorBidi"/>
          <w:szCs w:val="22"/>
          <w:lang w:val="es-MX" w:eastAsia="en-US"/>
        </w:rPr>
        <w:t>uditoría</w:t>
      </w:r>
      <w:r w:rsidR="00217E6C" w:rsidRPr="0023383E">
        <w:rPr>
          <w:rFonts w:ascii="Palatino Linotype" w:eastAsiaTheme="minorHAnsi" w:hAnsi="Palatino Linotype" w:cstheme="minorBidi"/>
          <w:szCs w:val="22"/>
          <w:lang w:val="es-MX" w:eastAsia="en-US"/>
        </w:rPr>
        <w:t>s, son</w:t>
      </w:r>
      <w:r w:rsidRPr="0023383E">
        <w:rPr>
          <w:rFonts w:ascii="Palatino Linotype" w:eastAsiaTheme="minorHAnsi" w:hAnsi="Palatino Linotype" w:cstheme="minorBidi"/>
          <w:szCs w:val="22"/>
          <w:lang w:val="es-MX" w:eastAsia="en-US"/>
        </w:rPr>
        <w:t xml:space="preserve"> </w:t>
      </w:r>
      <w:r w:rsidR="00217E6C" w:rsidRPr="0023383E">
        <w:rPr>
          <w:rFonts w:ascii="Palatino Linotype" w:eastAsiaTheme="minorHAnsi" w:hAnsi="Palatino Linotype" w:cstheme="minorBidi"/>
          <w:szCs w:val="22"/>
          <w:lang w:val="es-MX" w:eastAsia="en-US"/>
        </w:rPr>
        <w:t>e</w:t>
      </w:r>
      <w:r w:rsidRPr="0023383E">
        <w:rPr>
          <w:rFonts w:ascii="Palatino Linotype" w:eastAsiaTheme="minorHAnsi" w:hAnsi="Palatino Linotype" w:cstheme="minorBidi"/>
          <w:szCs w:val="22"/>
          <w:lang w:val="es-MX" w:eastAsia="en-US"/>
        </w:rPr>
        <w:t>l proceso sistemático enfocado al examen objeti</w:t>
      </w:r>
      <w:r w:rsidR="00217E6C" w:rsidRPr="0023383E">
        <w:rPr>
          <w:rFonts w:ascii="Palatino Linotype" w:eastAsiaTheme="minorHAnsi" w:hAnsi="Palatino Linotype" w:cstheme="minorBidi"/>
          <w:szCs w:val="22"/>
          <w:lang w:val="es-MX" w:eastAsia="en-US"/>
        </w:rPr>
        <w:t xml:space="preserve">vo, independiente y evaluatorio </w:t>
      </w:r>
      <w:r w:rsidRPr="0023383E">
        <w:rPr>
          <w:rFonts w:ascii="Palatino Linotype" w:eastAsiaTheme="minorHAnsi" w:hAnsi="Palatino Linotype" w:cstheme="minorBidi"/>
          <w:szCs w:val="22"/>
          <w:lang w:val="es-MX" w:eastAsia="en-US"/>
        </w:rPr>
        <w:t>de las operaciones financieras, administrativas y técnicas realiz</w:t>
      </w:r>
      <w:r w:rsidR="00217E6C" w:rsidRPr="0023383E">
        <w:rPr>
          <w:rFonts w:ascii="Palatino Linotype" w:eastAsiaTheme="minorHAnsi" w:hAnsi="Palatino Linotype" w:cstheme="minorBidi"/>
          <w:szCs w:val="22"/>
          <w:lang w:val="es-MX" w:eastAsia="en-US"/>
        </w:rPr>
        <w:t xml:space="preserve">adas; así como a los objetivos, </w:t>
      </w:r>
      <w:r w:rsidRPr="0023383E">
        <w:rPr>
          <w:rFonts w:ascii="Palatino Linotype" w:eastAsiaTheme="minorHAnsi" w:hAnsi="Palatino Linotype" w:cstheme="minorBidi"/>
          <w:szCs w:val="22"/>
          <w:lang w:val="es-MX" w:eastAsia="en-US"/>
        </w:rPr>
        <w:t>planes, programas y metas alcanzados por las dependencia</w:t>
      </w:r>
      <w:r w:rsidR="00217E6C" w:rsidRPr="0023383E">
        <w:rPr>
          <w:rFonts w:ascii="Palatino Linotype" w:eastAsiaTheme="minorHAnsi" w:hAnsi="Palatino Linotype" w:cstheme="minorBidi"/>
          <w:szCs w:val="22"/>
          <w:lang w:val="es-MX" w:eastAsia="en-US"/>
        </w:rPr>
        <w:t xml:space="preserve">s y organismos auxiliares de la </w:t>
      </w:r>
      <w:r w:rsidRPr="0023383E">
        <w:rPr>
          <w:rFonts w:ascii="Palatino Linotype" w:eastAsiaTheme="minorHAnsi" w:hAnsi="Palatino Linotype" w:cstheme="minorBidi"/>
          <w:szCs w:val="22"/>
          <w:lang w:val="es-MX" w:eastAsia="en-US"/>
        </w:rPr>
        <w:t>Administración Pública Estatal, con el propósito de determina</w:t>
      </w:r>
      <w:r w:rsidR="00217E6C" w:rsidRPr="0023383E">
        <w:rPr>
          <w:rFonts w:ascii="Palatino Linotype" w:eastAsiaTheme="minorHAnsi" w:hAnsi="Palatino Linotype" w:cstheme="minorBidi"/>
          <w:szCs w:val="22"/>
          <w:lang w:val="es-MX" w:eastAsia="en-US"/>
        </w:rPr>
        <w:t xml:space="preserve">r si se realizan de conformidad </w:t>
      </w:r>
      <w:r w:rsidRPr="0023383E">
        <w:rPr>
          <w:rFonts w:ascii="Palatino Linotype" w:eastAsiaTheme="minorHAnsi" w:hAnsi="Palatino Linotype" w:cstheme="minorBidi"/>
          <w:szCs w:val="22"/>
          <w:lang w:val="es-MX" w:eastAsia="en-US"/>
        </w:rPr>
        <w:t>con los principios de economía, eficacia, eficiencia, transparen</w:t>
      </w:r>
      <w:r w:rsidR="00217E6C" w:rsidRPr="0023383E">
        <w:rPr>
          <w:rFonts w:ascii="Palatino Linotype" w:eastAsiaTheme="minorHAnsi" w:hAnsi="Palatino Linotype" w:cstheme="minorBidi"/>
          <w:szCs w:val="22"/>
          <w:lang w:val="es-MX" w:eastAsia="en-US"/>
        </w:rPr>
        <w:t>cia, honestidad y en apego a la normatividad aplicable.</w:t>
      </w:r>
    </w:p>
    <w:p w:rsidR="00217E6C" w:rsidRPr="0023383E" w:rsidRDefault="00217E6C" w:rsidP="0029071C">
      <w:pPr>
        <w:spacing w:line="360" w:lineRule="auto"/>
        <w:ind w:right="141"/>
        <w:jc w:val="both"/>
        <w:rPr>
          <w:rFonts w:ascii="Palatino Linotype" w:eastAsiaTheme="minorHAnsi" w:hAnsi="Palatino Linotype" w:cstheme="minorBidi"/>
          <w:szCs w:val="22"/>
          <w:lang w:val="es-MX" w:eastAsia="en-US"/>
        </w:rPr>
      </w:pPr>
    </w:p>
    <w:p w:rsidR="0029071C" w:rsidRPr="0023383E" w:rsidRDefault="0029071C" w:rsidP="0029071C">
      <w:pPr>
        <w:spacing w:line="360" w:lineRule="auto"/>
        <w:ind w:right="141"/>
        <w:jc w:val="both"/>
        <w:rPr>
          <w:rFonts w:ascii="Palatino Linotype" w:eastAsiaTheme="minorHAnsi" w:hAnsi="Palatino Linotype" w:cs="Tahoma"/>
          <w:szCs w:val="22"/>
          <w:lang w:val="es-MX" w:eastAsia="en-US"/>
        </w:rPr>
      </w:pPr>
      <w:r w:rsidRPr="0023383E">
        <w:rPr>
          <w:rFonts w:ascii="Palatino Linotype" w:eastAsiaTheme="minorHAnsi" w:hAnsi="Palatino Linotype" w:cstheme="minorBidi"/>
          <w:szCs w:val="22"/>
          <w:lang w:val="es-MX" w:eastAsia="en-US"/>
        </w:rPr>
        <w:t xml:space="preserve">Así, y de conformidad con lo establecido en el ya citado artículo 12, de la Ley de Transparencia y Acceso a la Información Pública del Estado de México y Municipios, </w:t>
      </w:r>
      <w:r w:rsidRPr="0023383E">
        <w:rPr>
          <w:rFonts w:ascii="Palatino Linotype" w:eastAsiaTheme="minorHAnsi" w:hAnsi="Palatino Linotype" w:cstheme="minorBidi"/>
          <w:b/>
          <w:szCs w:val="22"/>
          <w:lang w:val="es-MX" w:eastAsia="en-US"/>
        </w:rPr>
        <w:t>El Sujeto Obligado</w:t>
      </w:r>
      <w:r w:rsidRPr="0023383E">
        <w:rPr>
          <w:rFonts w:ascii="Palatino Linotype" w:eastAsiaTheme="minorHAnsi" w:hAnsi="Palatino Linotype" w:cstheme="minorBidi"/>
          <w:szCs w:val="22"/>
          <w:lang w:val="es-MX" w:eastAsia="en-US"/>
        </w:rPr>
        <w:t xml:space="preserve"> sólo proporcionará la información que obra en sus archivos, lo que a</w:t>
      </w:r>
      <w:r w:rsidRPr="0023383E">
        <w:rPr>
          <w:rFonts w:ascii="Palatino Linotype" w:eastAsiaTheme="minorHAnsi" w:hAnsi="Palatino Linotype" w:cstheme="minorBidi"/>
          <w:i/>
          <w:szCs w:val="22"/>
          <w:lang w:val="es-MX" w:eastAsia="en-US"/>
        </w:rPr>
        <w:t xml:space="preserve"> contrario sensu</w:t>
      </w:r>
      <w:r w:rsidRPr="0023383E">
        <w:rPr>
          <w:rFonts w:ascii="Palatino Linotype" w:eastAsiaTheme="minorHAnsi" w:hAnsi="Palatino Linotype" w:cstheme="minorBidi"/>
          <w:szCs w:val="22"/>
          <w:lang w:val="es-MX" w:eastAsia="en-US"/>
        </w:rPr>
        <w:t xml:space="preserve"> significa que no se está obligado a proporcionar lo que no obre en los mismos; </w:t>
      </w:r>
      <w:r w:rsidRPr="0023383E">
        <w:rPr>
          <w:rFonts w:ascii="Palatino Linotype" w:eastAsiaTheme="minorHAnsi" w:hAnsi="Palatino Linotype" w:cs="Arial"/>
          <w:szCs w:val="22"/>
          <w:lang w:val="es-MX" w:eastAsia="en-US"/>
        </w:rPr>
        <w:t>ello con relación al artículo 143, de la Constitución Política del Estado Libre y Soberano de México, pues las autoridades sólo están facultadas para realizar lo que expresamente les faculta la Ley u ordenamientos jurídicos.</w:t>
      </w:r>
    </w:p>
    <w:p w:rsidR="0029071C" w:rsidRPr="0023383E" w:rsidRDefault="0029071C" w:rsidP="0029071C">
      <w:pPr>
        <w:spacing w:line="360" w:lineRule="auto"/>
        <w:ind w:right="141"/>
        <w:jc w:val="both"/>
        <w:rPr>
          <w:rFonts w:ascii="Palatino Linotype" w:eastAsiaTheme="minorHAnsi" w:hAnsi="Palatino Linotype" w:cs="Tahoma"/>
          <w:szCs w:val="22"/>
          <w:lang w:val="es-MX" w:eastAsia="en-US"/>
        </w:rPr>
      </w:pPr>
    </w:p>
    <w:p w:rsidR="0029071C" w:rsidRPr="0023383E" w:rsidRDefault="0029071C" w:rsidP="0029071C">
      <w:pPr>
        <w:spacing w:line="360" w:lineRule="auto"/>
        <w:jc w:val="both"/>
        <w:rPr>
          <w:rFonts w:ascii="Palatino Linotype" w:eastAsiaTheme="minorHAnsi" w:hAnsi="Palatino Linotype" w:cs="Tahoma"/>
          <w:szCs w:val="22"/>
          <w:lang w:val="es-MX" w:eastAsia="en-US"/>
        </w:rPr>
      </w:pPr>
      <w:r w:rsidRPr="0023383E">
        <w:rPr>
          <w:rFonts w:ascii="Palatino Linotype" w:eastAsia="Calibri" w:hAnsi="Palatino Linotype" w:cs="Tahoma"/>
          <w:bCs/>
          <w:szCs w:val="22"/>
          <w:lang w:val="es-MX" w:eastAsia="en-US"/>
        </w:rPr>
        <w:t xml:space="preserve">En conclusión, se puede advertir que el </w:t>
      </w:r>
      <w:r w:rsidRPr="0023383E">
        <w:rPr>
          <w:rFonts w:ascii="Palatino Linotype" w:eastAsia="Calibri" w:hAnsi="Palatino Linotype" w:cs="Tahoma"/>
          <w:b/>
          <w:bCs/>
          <w:szCs w:val="22"/>
          <w:lang w:val="es-MX" w:eastAsia="en-US"/>
        </w:rPr>
        <w:t>Sujeto Obligado</w:t>
      </w:r>
      <w:r w:rsidRPr="0023383E">
        <w:rPr>
          <w:rFonts w:ascii="Palatino Linotype" w:eastAsia="Calibri" w:hAnsi="Palatino Linotype" w:cs="Tahoma"/>
          <w:bCs/>
          <w:szCs w:val="22"/>
          <w:lang w:val="es-MX" w:eastAsia="en-US"/>
        </w:rPr>
        <w:t xml:space="preserve"> no turnó la solicitud de información a las diversas unidades administrativas con las que cuenta, por lo que se concluye, que el </w:t>
      </w:r>
      <w:r w:rsidRPr="0023383E">
        <w:rPr>
          <w:rFonts w:ascii="Palatino Linotype" w:eastAsia="Calibri" w:hAnsi="Palatino Linotype" w:cs="Tahoma"/>
          <w:b/>
          <w:bCs/>
          <w:szCs w:val="22"/>
          <w:lang w:val="es-MX" w:eastAsia="en-US"/>
        </w:rPr>
        <w:t>Sujeto Obligado</w:t>
      </w:r>
      <w:r w:rsidRPr="0023383E">
        <w:rPr>
          <w:rFonts w:ascii="Palatino Linotype" w:eastAsia="Calibri" w:hAnsi="Palatino Linotype" w:cs="Tahoma"/>
          <w:bCs/>
          <w:szCs w:val="22"/>
          <w:lang w:val="es-MX" w:eastAsia="en-US"/>
        </w:rPr>
        <w:t xml:space="preserve"> incumplió con el procedimiento de búsqueda establecido en el artículo 162, de la Ley de Transparencia y Acceso a la Información Pública del Estado de México y Municipios, por lo que no se acreditó que la búsqueda </w:t>
      </w:r>
      <w:r w:rsidRPr="0023383E">
        <w:rPr>
          <w:rFonts w:ascii="Palatino Linotype" w:eastAsia="Calibri" w:hAnsi="Palatino Linotype" w:cs="Tahoma"/>
          <w:bCs/>
          <w:szCs w:val="22"/>
          <w:lang w:val="es-MX" w:eastAsia="en-US"/>
        </w:rPr>
        <w:lastRenderedPageBreak/>
        <w:t>fuera exhaustiva y razonable; para lograr dicha situación</w:t>
      </w:r>
      <w:r w:rsidRPr="0023383E">
        <w:rPr>
          <w:rFonts w:ascii="Palatino Linotype" w:eastAsiaTheme="minorHAnsi" w:hAnsi="Palatino Linotype" w:cs="Tahoma"/>
          <w:szCs w:val="22"/>
          <w:lang w:val="es-MX" w:eastAsia="en-US"/>
        </w:rPr>
        <w:t>, en principio, resulta necesario determinar, que es una investigación con esas características.</w:t>
      </w:r>
    </w:p>
    <w:p w:rsidR="0029071C" w:rsidRPr="0023383E" w:rsidRDefault="0029071C" w:rsidP="0029071C">
      <w:pPr>
        <w:spacing w:line="360" w:lineRule="auto"/>
        <w:jc w:val="both"/>
        <w:rPr>
          <w:rFonts w:ascii="Palatino Linotype" w:eastAsiaTheme="minorHAnsi" w:hAnsi="Palatino Linotype" w:cs="Tahoma"/>
          <w:szCs w:val="22"/>
          <w:lang w:val="es-MX" w:eastAsia="en-US"/>
        </w:rPr>
      </w:pPr>
    </w:p>
    <w:p w:rsidR="0029071C" w:rsidRPr="0023383E" w:rsidRDefault="0029071C" w:rsidP="0029071C">
      <w:pPr>
        <w:spacing w:line="360" w:lineRule="auto"/>
        <w:jc w:val="both"/>
        <w:rPr>
          <w:rFonts w:ascii="Palatino Linotype" w:eastAsiaTheme="minorHAnsi" w:hAnsi="Palatino Linotype" w:cs="Tahoma"/>
          <w:szCs w:val="22"/>
          <w:lang w:val="es-MX" w:eastAsia="en-US"/>
        </w:rPr>
      </w:pPr>
      <w:r w:rsidRPr="0023383E">
        <w:rPr>
          <w:rFonts w:ascii="Palatino Linotype" w:eastAsiaTheme="minorHAnsi" w:hAnsi="Palatino Linotype" w:cs="Tahoma"/>
          <w:szCs w:val="22"/>
          <w:lang w:val="es-MX" w:eastAsia="en-US"/>
        </w:rPr>
        <w:t>Conforme a lo anterior, para poder acreditar el carácter exhaustivo de la búsqueda realizada por los Sujetos Obligados, se deben motivar las razones por las que se buscó la información en determinadas áreas, los criterios de búsqueda utilizados y demás circunstancias que fueron tomadas en cuenta.</w:t>
      </w:r>
    </w:p>
    <w:p w:rsidR="0029071C" w:rsidRPr="0023383E" w:rsidRDefault="0029071C" w:rsidP="0029071C">
      <w:pPr>
        <w:spacing w:line="360" w:lineRule="auto"/>
        <w:jc w:val="both"/>
        <w:rPr>
          <w:rFonts w:ascii="Palatino Linotype" w:eastAsiaTheme="minorHAnsi" w:hAnsi="Palatino Linotype" w:cs="Tahoma"/>
          <w:szCs w:val="22"/>
          <w:lang w:val="es-MX" w:eastAsia="en-US"/>
        </w:rPr>
      </w:pPr>
    </w:p>
    <w:p w:rsidR="0029071C" w:rsidRPr="0023383E" w:rsidRDefault="0029071C" w:rsidP="0029071C">
      <w:pPr>
        <w:spacing w:line="360" w:lineRule="auto"/>
        <w:jc w:val="both"/>
        <w:rPr>
          <w:rFonts w:ascii="Palatino Linotype" w:eastAsiaTheme="minorHAnsi" w:hAnsi="Palatino Linotype" w:cs="Tahoma"/>
          <w:szCs w:val="22"/>
          <w:lang w:val="es-MX" w:eastAsia="en-US"/>
        </w:rPr>
      </w:pPr>
      <w:r w:rsidRPr="0023383E">
        <w:rPr>
          <w:rFonts w:ascii="Palatino Linotype" w:eastAsiaTheme="minorHAnsi" w:hAnsi="Palatino Linotype" w:cs="Tahoma"/>
          <w:szCs w:val="22"/>
          <w:lang w:val="es-MX" w:eastAsia="en-US"/>
        </w:rPr>
        <w:t xml:space="preserve">En ese contexto, de conformidad con los </w:t>
      </w:r>
      <w:r w:rsidRPr="0023383E">
        <w:rPr>
          <w:rFonts w:ascii="Palatino Linotype" w:eastAsiaTheme="minorHAnsi" w:hAnsi="Palatino Linotype" w:cs="Tahoma"/>
          <w:b/>
          <w:szCs w:val="22"/>
          <w:lang w:val="es-MX" w:eastAsia="en-US"/>
        </w:rPr>
        <w:t>criterios 12/10 y 04/19</w:t>
      </w:r>
      <w:r w:rsidRPr="0023383E">
        <w:rPr>
          <w:rFonts w:ascii="Palatino Linotype" w:eastAsiaTheme="minorHAnsi" w:hAnsi="Palatino Linotype" w:cs="Tahoma"/>
          <w:szCs w:val="22"/>
          <w:lang w:val="es-MX" w:eastAsia="en-US"/>
        </w:rPr>
        <w:t>, emitidos por el Instituto Nacional de Transparencia, Acceso a la Información y Protección de Datos Personales, traídos por analogía, se colige que los sujetos obligados para acreditar que se realizó una búsqueda exhaustiva y razonable, deben de proporcionar los elementos suficientes del carácter exhaustivo de la indagación realizada, a saber, los siguientes:</w:t>
      </w:r>
    </w:p>
    <w:p w:rsidR="0029071C" w:rsidRPr="0023383E" w:rsidRDefault="0029071C" w:rsidP="0029071C">
      <w:pPr>
        <w:spacing w:line="360" w:lineRule="auto"/>
        <w:jc w:val="both"/>
        <w:rPr>
          <w:rFonts w:ascii="Palatino Linotype" w:eastAsiaTheme="minorHAnsi" w:hAnsi="Palatino Linotype" w:cs="Tahoma"/>
          <w:szCs w:val="22"/>
          <w:lang w:val="es-MX" w:eastAsia="en-US"/>
        </w:rPr>
      </w:pPr>
    </w:p>
    <w:p w:rsidR="0029071C" w:rsidRPr="0023383E" w:rsidRDefault="0029071C" w:rsidP="0029071C">
      <w:pPr>
        <w:numPr>
          <w:ilvl w:val="0"/>
          <w:numId w:val="17"/>
        </w:numPr>
        <w:spacing w:after="160" w:line="360" w:lineRule="auto"/>
        <w:contextualSpacing/>
        <w:jc w:val="both"/>
        <w:rPr>
          <w:rFonts w:ascii="Palatino Linotype" w:eastAsiaTheme="minorHAnsi" w:hAnsi="Palatino Linotype" w:cs="Tahoma"/>
          <w:szCs w:val="22"/>
          <w:lang w:val="es-MX" w:eastAsia="en-US"/>
        </w:rPr>
      </w:pPr>
      <w:r w:rsidRPr="0023383E">
        <w:rPr>
          <w:rFonts w:ascii="Palatino Linotype" w:eastAsiaTheme="minorHAnsi" w:hAnsi="Palatino Linotype" w:cs="Tahoma"/>
          <w:szCs w:val="22"/>
          <w:lang w:val="es-MX" w:eastAsia="en-US"/>
        </w:rPr>
        <w:t>Motivación por las que se buscó la información, en determinadas unidades administrativas;</w:t>
      </w:r>
    </w:p>
    <w:p w:rsidR="0029071C" w:rsidRPr="0023383E" w:rsidRDefault="0029071C" w:rsidP="0029071C">
      <w:pPr>
        <w:numPr>
          <w:ilvl w:val="0"/>
          <w:numId w:val="17"/>
        </w:numPr>
        <w:spacing w:after="160" w:line="360" w:lineRule="auto"/>
        <w:contextualSpacing/>
        <w:jc w:val="both"/>
        <w:rPr>
          <w:rFonts w:ascii="Palatino Linotype" w:eastAsiaTheme="minorHAnsi" w:hAnsi="Palatino Linotype" w:cs="Tahoma"/>
          <w:szCs w:val="22"/>
          <w:lang w:val="es-MX" w:eastAsia="en-US"/>
        </w:rPr>
      </w:pPr>
      <w:r w:rsidRPr="0023383E">
        <w:rPr>
          <w:rFonts w:ascii="Palatino Linotype" w:eastAsiaTheme="minorHAnsi" w:hAnsi="Palatino Linotype" w:cs="Tahoma"/>
          <w:szCs w:val="22"/>
          <w:lang w:val="es-MX" w:eastAsia="en-US"/>
        </w:rPr>
        <w:t>Los criterios de búsqueda utilizados, y</w:t>
      </w:r>
    </w:p>
    <w:p w:rsidR="0029071C" w:rsidRPr="0023383E" w:rsidRDefault="0029071C" w:rsidP="0029071C">
      <w:pPr>
        <w:numPr>
          <w:ilvl w:val="0"/>
          <w:numId w:val="17"/>
        </w:numPr>
        <w:spacing w:after="160" w:line="360" w:lineRule="auto"/>
        <w:contextualSpacing/>
        <w:jc w:val="both"/>
        <w:rPr>
          <w:rFonts w:ascii="Palatino Linotype" w:eastAsiaTheme="minorHAnsi" w:hAnsi="Palatino Linotype" w:cs="Tahoma"/>
          <w:szCs w:val="22"/>
          <w:lang w:val="es-MX" w:eastAsia="en-US"/>
        </w:rPr>
      </w:pPr>
      <w:r w:rsidRPr="0023383E">
        <w:rPr>
          <w:rFonts w:ascii="Palatino Linotype" w:eastAsiaTheme="minorHAnsi" w:hAnsi="Palatino Linotype" w:cs="Tahoma"/>
          <w:szCs w:val="22"/>
          <w:lang w:val="es-MX" w:eastAsia="en-US"/>
        </w:rPr>
        <w:t>Las circunstancias que fueron tomadas en cuenta.</w:t>
      </w:r>
    </w:p>
    <w:p w:rsidR="0029071C" w:rsidRPr="0023383E" w:rsidRDefault="0029071C" w:rsidP="0029071C">
      <w:pPr>
        <w:rPr>
          <w:lang w:val="es-MX"/>
        </w:rPr>
      </w:pPr>
    </w:p>
    <w:p w:rsidR="0029071C" w:rsidRPr="0023383E" w:rsidRDefault="0029071C" w:rsidP="0057289F">
      <w:pPr>
        <w:spacing w:line="360" w:lineRule="auto"/>
        <w:jc w:val="both"/>
        <w:rPr>
          <w:rFonts w:ascii="Palatino Linotype" w:eastAsiaTheme="minorHAnsi" w:hAnsi="Palatino Linotype" w:cs="Tahoma"/>
          <w:szCs w:val="22"/>
          <w:lang w:val="es-MX" w:eastAsia="en-US"/>
        </w:rPr>
      </w:pPr>
      <w:r w:rsidRPr="0023383E">
        <w:rPr>
          <w:rFonts w:ascii="Palatino Linotype" w:eastAsiaTheme="minorHAnsi" w:hAnsi="Palatino Linotype" w:cs="Tahoma"/>
          <w:szCs w:val="22"/>
          <w:lang w:val="es-MX" w:eastAsia="en-US"/>
        </w:rPr>
        <w:t>De tales circunstancias, se considera que para que los Sujetos Obligado justifiquen que realizaron una búsqueda exhaustiva y razonable, deben indicar de manera clara, lo siguiente:</w:t>
      </w:r>
    </w:p>
    <w:p w:rsidR="0057289F" w:rsidRPr="0023383E" w:rsidRDefault="0057289F" w:rsidP="0057289F">
      <w:pPr>
        <w:pStyle w:val="Sinespaciado"/>
        <w:rPr>
          <w:rFonts w:eastAsiaTheme="minorHAnsi"/>
          <w:lang w:eastAsia="en-US"/>
        </w:rPr>
      </w:pPr>
    </w:p>
    <w:p w:rsidR="0029071C" w:rsidRPr="0023383E" w:rsidRDefault="0029071C" w:rsidP="0057289F">
      <w:pPr>
        <w:numPr>
          <w:ilvl w:val="0"/>
          <w:numId w:val="16"/>
        </w:numPr>
        <w:spacing w:line="360" w:lineRule="auto"/>
        <w:contextualSpacing/>
        <w:jc w:val="both"/>
        <w:rPr>
          <w:rFonts w:ascii="Palatino Linotype" w:eastAsiaTheme="minorHAnsi" w:hAnsi="Palatino Linotype" w:cs="Tahoma"/>
          <w:szCs w:val="22"/>
          <w:lang w:val="es-MX" w:eastAsia="en-US"/>
        </w:rPr>
      </w:pPr>
      <w:r w:rsidRPr="0023383E">
        <w:rPr>
          <w:rFonts w:ascii="Palatino Linotype" w:eastAsiaTheme="minorHAnsi" w:hAnsi="Palatino Linotype" w:cs="Tahoma"/>
          <w:szCs w:val="22"/>
          <w:lang w:val="es-MX" w:eastAsia="en-US"/>
        </w:rPr>
        <w:t>Las áreas donde se buscó la información;</w:t>
      </w:r>
    </w:p>
    <w:p w:rsidR="0029071C" w:rsidRPr="0023383E" w:rsidRDefault="0029071C" w:rsidP="0057289F">
      <w:pPr>
        <w:numPr>
          <w:ilvl w:val="0"/>
          <w:numId w:val="16"/>
        </w:numPr>
        <w:spacing w:line="360" w:lineRule="auto"/>
        <w:contextualSpacing/>
        <w:jc w:val="both"/>
        <w:rPr>
          <w:rFonts w:ascii="Palatino Linotype" w:eastAsiaTheme="minorHAnsi" w:hAnsi="Palatino Linotype" w:cs="Tahoma"/>
          <w:szCs w:val="22"/>
          <w:lang w:val="es-MX" w:eastAsia="en-US"/>
        </w:rPr>
      </w:pPr>
      <w:r w:rsidRPr="0023383E">
        <w:rPr>
          <w:rFonts w:ascii="Palatino Linotype" w:eastAsiaTheme="minorHAnsi" w:hAnsi="Palatino Linotype" w:cs="Tahoma"/>
          <w:szCs w:val="22"/>
          <w:lang w:val="es-MX" w:eastAsia="en-US"/>
        </w:rPr>
        <w:lastRenderedPageBreak/>
        <w:t>Tipo de archivos buscados (físicos o electrónicos);</w:t>
      </w:r>
    </w:p>
    <w:p w:rsidR="0029071C" w:rsidRPr="0023383E" w:rsidRDefault="0029071C" w:rsidP="0057289F">
      <w:pPr>
        <w:numPr>
          <w:ilvl w:val="0"/>
          <w:numId w:val="16"/>
        </w:numPr>
        <w:spacing w:line="360" w:lineRule="auto"/>
        <w:contextualSpacing/>
        <w:jc w:val="both"/>
        <w:rPr>
          <w:rFonts w:ascii="Palatino Linotype" w:eastAsiaTheme="minorHAnsi" w:hAnsi="Palatino Linotype" w:cs="Tahoma"/>
          <w:szCs w:val="22"/>
          <w:lang w:val="es-MX" w:eastAsia="en-US"/>
        </w:rPr>
      </w:pPr>
      <w:r w:rsidRPr="0023383E">
        <w:rPr>
          <w:rFonts w:ascii="Palatino Linotype" w:eastAsiaTheme="minorHAnsi" w:hAnsi="Palatino Linotype" w:cs="Tahoma"/>
          <w:szCs w:val="22"/>
          <w:lang w:val="es-MX" w:eastAsia="en-US"/>
        </w:rPr>
        <w:t xml:space="preserve">Los criterios de búsqueda utilizados, y </w:t>
      </w:r>
    </w:p>
    <w:p w:rsidR="00236CBA" w:rsidRPr="0023383E" w:rsidRDefault="0029071C" w:rsidP="00236CBA">
      <w:pPr>
        <w:numPr>
          <w:ilvl w:val="0"/>
          <w:numId w:val="16"/>
        </w:numPr>
        <w:spacing w:line="360" w:lineRule="auto"/>
        <w:contextualSpacing/>
        <w:jc w:val="both"/>
        <w:rPr>
          <w:rFonts w:ascii="Palatino Linotype" w:eastAsiaTheme="minorHAnsi" w:hAnsi="Palatino Linotype" w:cs="Tahoma"/>
          <w:szCs w:val="22"/>
          <w:lang w:val="es-MX" w:eastAsia="en-US"/>
        </w:rPr>
      </w:pPr>
      <w:r w:rsidRPr="0023383E">
        <w:rPr>
          <w:rFonts w:ascii="Palatino Linotype" w:eastAsiaTheme="minorHAnsi" w:hAnsi="Palatino Linotype" w:cs="Tahoma"/>
          <w:szCs w:val="22"/>
          <w:lang w:val="es-MX" w:eastAsia="en-US"/>
        </w:rPr>
        <w:t>Las circunstancias que fueron tomadas en cuenta.</w:t>
      </w:r>
    </w:p>
    <w:p w:rsidR="00236CBA" w:rsidRPr="0023383E" w:rsidRDefault="00236CBA" w:rsidP="00236CBA">
      <w:pPr>
        <w:pStyle w:val="Sinespaciado"/>
      </w:pPr>
    </w:p>
    <w:p w:rsidR="00236CBA" w:rsidRPr="0023383E" w:rsidRDefault="00236CBA" w:rsidP="00236CBA">
      <w:pPr>
        <w:pStyle w:val="Prrafodelista"/>
        <w:tabs>
          <w:tab w:val="left" w:pos="851"/>
        </w:tabs>
        <w:spacing w:line="360" w:lineRule="auto"/>
        <w:ind w:left="0" w:right="49"/>
        <w:contextualSpacing/>
        <w:jc w:val="both"/>
        <w:rPr>
          <w:rFonts w:ascii="Palatino Linotype" w:hAnsi="Palatino Linotype"/>
        </w:rPr>
      </w:pPr>
      <w:r w:rsidRPr="0023383E">
        <w:rPr>
          <w:rFonts w:ascii="Palatino Linotype" w:hAnsi="Palatino Linotype" w:cs="Arial"/>
          <w:color w:val="000000" w:themeColor="text1"/>
        </w:rPr>
        <w:t xml:space="preserve">Además, es de subrayar que la Ley de Transparencia y Acceso a la Información Pública del Estado de México y Municipios establece entre las obligaciones de transparencia comunes a todos los Sujetos Obligados; es decir, entre la información que deberán poner a disposición del público de manera permanente y actualizada y en forma sencilla, precisa y entendible, en los respectivos medios electrónicos, de acuerdo con sus facultades, atribuciones, funciones u objeto social la información relativa a los informes de resultados de las auditorías al ejercicio presupuestal de cada </w:t>
      </w:r>
      <w:r w:rsidRPr="0023383E">
        <w:rPr>
          <w:rFonts w:ascii="Palatino Linotype" w:hAnsi="Palatino Linotype" w:cs="Arial"/>
          <w:b/>
          <w:color w:val="000000" w:themeColor="text1"/>
        </w:rPr>
        <w:t>Sujeto Obligado</w:t>
      </w:r>
      <w:r w:rsidRPr="0023383E">
        <w:rPr>
          <w:rFonts w:ascii="Palatino Linotype" w:hAnsi="Palatino Linotype" w:cs="Arial"/>
          <w:color w:val="000000" w:themeColor="text1"/>
        </w:rPr>
        <w:t xml:space="preserve"> que se realicen, así como las aclaraciones que correspondan, tal y como se lee de su artículo 92, fracción XXVIII, que enseguida se transcribe para una mejor referencia:</w:t>
      </w:r>
    </w:p>
    <w:p w:rsidR="00236CBA" w:rsidRPr="0023383E" w:rsidRDefault="00236CBA" w:rsidP="00236CBA">
      <w:pPr>
        <w:pStyle w:val="Prrafodelista"/>
        <w:tabs>
          <w:tab w:val="left" w:pos="851"/>
        </w:tabs>
        <w:spacing w:line="360" w:lineRule="auto"/>
        <w:ind w:left="0" w:right="49"/>
        <w:jc w:val="both"/>
        <w:rPr>
          <w:rFonts w:ascii="Palatino Linotype" w:hAnsi="Palatino Linotype"/>
        </w:rPr>
      </w:pPr>
    </w:p>
    <w:p w:rsidR="00236CBA" w:rsidRPr="0023383E" w:rsidRDefault="00236CBA" w:rsidP="00236CBA">
      <w:pPr>
        <w:pStyle w:val="NormalWeb"/>
        <w:spacing w:before="0" w:beforeAutospacing="0" w:after="0" w:afterAutospacing="0"/>
        <w:ind w:left="567" w:right="567"/>
        <w:jc w:val="both"/>
        <w:rPr>
          <w:rFonts w:ascii="Palatino Linotype" w:hAnsi="Palatino Linotype"/>
          <w:i/>
          <w:sz w:val="22"/>
          <w:szCs w:val="22"/>
        </w:rPr>
      </w:pPr>
      <w:r w:rsidRPr="0023383E">
        <w:rPr>
          <w:rFonts w:ascii="Palatino Linotype" w:hAnsi="Palatino Linotype" w:cs="Arial"/>
          <w:i/>
          <w:color w:val="000000" w:themeColor="text1"/>
          <w:sz w:val="22"/>
          <w:szCs w:val="22"/>
        </w:rPr>
        <w:t>“</w:t>
      </w:r>
      <w:r w:rsidRPr="0023383E">
        <w:rPr>
          <w:rFonts w:ascii="Palatino Linotype" w:hAnsi="Palatino Linotype"/>
          <w:b/>
          <w:i/>
          <w:sz w:val="22"/>
          <w:szCs w:val="22"/>
        </w:rPr>
        <w:t>Artículo 92</w:t>
      </w:r>
      <w:r w:rsidRPr="0023383E">
        <w:rPr>
          <w:rFonts w:ascii="Palatino Linotype" w:hAnsi="Palatino Linotype"/>
          <w:i/>
          <w:sz w:val="22"/>
          <w:szCs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236CBA" w:rsidRPr="0023383E" w:rsidRDefault="00236CBA" w:rsidP="00236CBA">
      <w:pPr>
        <w:pStyle w:val="NormalWeb"/>
        <w:spacing w:before="0" w:beforeAutospacing="0" w:after="0" w:afterAutospacing="0"/>
        <w:ind w:left="567" w:right="567"/>
        <w:jc w:val="both"/>
        <w:rPr>
          <w:rFonts w:ascii="Palatino Linotype" w:hAnsi="Palatino Linotype"/>
          <w:i/>
          <w:sz w:val="22"/>
          <w:szCs w:val="22"/>
        </w:rPr>
      </w:pPr>
      <w:r w:rsidRPr="0023383E">
        <w:rPr>
          <w:rFonts w:ascii="Palatino Linotype" w:hAnsi="Palatino Linotype"/>
          <w:i/>
          <w:sz w:val="22"/>
          <w:szCs w:val="22"/>
        </w:rPr>
        <w:t>(…)</w:t>
      </w:r>
    </w:p>
    <w:p w:rsidR="00236CBA" w:rsidRPr="0023383E" w:rsidRDefault="00236CBA" w:rsidP="00236CBA">
      <w:pPr>
        <w:pStyle w:val="NormalWeb"/>
        <w:spacing w:before="0" w:beforeAutospacing="0" w:after="0" w:afterAutospacing="0"/>
        <w:ind w:left="567" w:right="567"/>
        <w:jc w:val="both"/>
        <w:rPr>
          <w:rFonts w:ascii="Palatino Linotype" w:hAnsi="Palatino Linotype"/>
          <w:lang w:val="es-ES"/>
        </w:rPr>
      </w:pPr>
      <w:r w:rsidRPr="0023383E">
        <w:rPr>
          <w:rFonts w:ascii="Palatino Linotype" w:hAnsi="Palatino Linotype"/>
          <w:b/>
          <w:i/>
          <w:sz w:val="22"/>
          <w:szCs w:val="22"/>
        </w:rPr>
        <w:t>XXVIII. Los informes de resultados de las auditorías al ejercicio presupuestal de cada sujeto obligado</w:t>
      </w:r>
      <w:r w:rsidRPr="0023383E">
        <w:rPr>
          <w:rFonts w:ascii="Palatino Linotype" w:hAnsi="Palatino Linotype"/>
          <w:i/>
          <w:sz w:val="22"/>
          <w:szCs w:val="22"/>
        </w:rPr>
        <w:t xml:space="preserve"> que se realicen y, en su caso, las aclaraciones que correspondan…”</w:t>
      </w:r>
    </w:p>
    <w:p w:rsidR="00236CBA" w:rsidRPr="0023383E" w:rsidRDefault="00236CBA" w:rsidP="00236CBA">
      <w:pPr>
        <w:pStyle w:val="Prrafodelista"/>
        <w:tabs>
          <w:tab w:val="left" w:pos="567"/>
        </w:tabs>
        <w:spacing w:line="360" w:lineRule="auto"/>
        <w:ind w:left="0"/>
        <w:contextualSpacing/>
        <w:jc w:val="both"/>
        <w:rPr>
          <w:rFonts w:ascii="Palatino Linotype" w:hAnsi="Palatino Linotype"/>
        </w:rPr>
      </w:pPr>
    </w:p>
    <w:p w:rsidR="00236CBA" w:rsidRPr="0023383E" w:rsidRDefault="00236CBA" w:rsidP="0057289F">
      <w:pPr>
        <w:spacing w:line="360" w:lineRule="auto"/>
        <w:ind w:right="-93"/>
        <w:jc w:val="both"/>
        <w:rPr>
          <w:rFonts w:ascii="Palatino Linotype" w:eastAsia="Calibri" w:hAnsi="Palatino Linotype" w:cs="Tahoma"/>
          <w:bCs/>
          <w:lang w:val="es-MX" w:eastAsia="en-US"/>
        </w:rPr>
      </w:pPr>
      <w:r w:rsidRPr="0023383E">
        <w:rPr>
          <w:rFonts w:ascii="Palatino Linotype" w:eastAsiaTheme="minorHAnsi" w:hAnsi="Palatino Linotype" w:cs="Tahoma"/>
          <w:lang w:val="es-MX" w:eastAsia="en-US"/>
        </w:rPr>
        <w:t xml:space="preserve">Por lo anterior, se advierte que la respuesta otorgada por parte del </w:t>
      </w:r>
      <w:r w:rsidRPr="0023383E">
        <w:rPr>
          <w:rFonts w:ascii="Palatino Linotype" w:eastAsiaTheme="minorHAnsi" w:hAnsi="Palatino Linotype" w:cs="Tahoma"/>
          <w:b/>
          <w:lang w:val="es-MX" w:eastAsia="en-US"/>
        </w:rPr>
        <w:t>Sujeto Obligado</w:t>
      </w:r>
      <w:r w:rsidRPr="0023383E">
        <w:rPr>
          <w:rFonts w:ascii="Palatino Linotype" w:eastAsiaTheme="minorHAnsi" w:hAnsi="Palatino Linotype" w:cs="Tahoma"/>
          <w:lang w:val="es-MX" w:eastAsia="en-US"/>
        </w:rPr>
        <w:t xml:space="preserve">, no colma el derecho de acceso a la información del </w:t>
      </w:r>
      <w:r w:rsidRPr="0023383E">
        <w:rPr>
          <w:rFonts w:ascii="Palatino Linotype" w:eastAsiaTheme="minorHAnsi" w:hAnsi="Palatino Linotype" w:cs="Tahoma"/>
          <w:b/>
          <w:lang w:val="es-MX" w:eastAsia="en-US"/>
        </w:rPr>
        <w:t>Recurrente</w:t>
      </w:r>
      <w:r w:rsidRPr="0023383E">
        <w:rPr>
          <w:rFonts w:ascii="Palatino Linotype" w:eastAsiaTheme="minorHAnsi" w:hAnsi="Palatino Linotype" w:cs="Tahoma"/>
          <w:lang w:val="es-MX" w:eastAsia="en-US"/>
        </w:rPr>
        <w:t xml:space="preserve">, por lo que </w:t>
      </w:r>
      <w:r w:rsidRPr="0023383E">
        <w:rPr>
          <w:rFonts w:ascii="Palatino Linotype" w:eastAsia="Calibri" w:hAnsi="Palatino Linotype" w:cs="Tahoma"/>
          <w:bCs/>
          <w:lang w:val="es-MX" w:eastAsia="en-US"/>
        </w:rPr>
        <w:t xml:space="preserve">resulta dable ordenar al </w:t>
      </w:r>
      <w:r w:rsidRPr="0023383E">
        <w:rPr>
          <w:rFonts w:ascii="Palatino Linotype" w:eastAsia="Calibri" w:hAnsi="Palatino Linotype" w:cs="Tahoma"/>
          <w:b/>
          <w:bCs/>
          <w:lang w:val="es-MX" w:eastAsia="en-US"/>
        </w:rPr>
        <w:t>Sujeto Obligado</w:t>
      </w:r>
      <w:r w:rsidRPr="0023383E">
        <w:rPr>
          <w:rFonts w:ascii="Palatino Linotype" w:eastAsia="Calibri" w:hAnsi="Palatino Linotype" w:cs="Tahoma"/>
          <w:bCs/>
          <w:lang w:val="es-MX" w:eastAsia="en-US"/>
        </w:rPr>
        <w:t xml:space="preserve"> a realizar una búsqueda exhaustiva y razonable de los </w:t>
      </w:r>
      <w:r w:rsidRPr="0023383E">
        <w:rPr>
          <w:rFonts w:ascii="Palatino Linotype" w:eastAsia="Calibri" w:hAnsi="Palatino Linotype" w:cs="Tahoma"/>
          <w:bCs/>
          <w:lang w:val="es-MX" w:eastAsia="en-US"/>
        </w:rPr>
        <w:lastRenderedPageBreak/>
        <w:t xml:space="preserve">documentos y haga entrega a través del Sistema de Acceso a la Información Mexiquense </w:t>
      </w:r>
      <w:r w:rsidRPr="0023383E">
        <w:rPr>
          <w:rFonts w:ascii="Palatino Linotype" w:eastAsia="Calibri" w:hAnsi="Palatino Linotype" w:cs="Tahoma"/>
          <w:b/>
          <w:bCs/>
          <w:lang w:val="es-MX" w:eastAsia="en-US"/>
        </w:rPr>
        <w:t>(SAIMEX)</w:t>
      </w:r>
      <w:r w:rsidRPr="0023383E">
        <w:rPr>
          <w:rFonts w:ascii="Palatino Linotype" w:eastAsia="Calibri" w:hAnsi="Palatino Linotype" w:cs="Tahoma"/>
          <w:bCs/>
          <w:lang w:val="es-MX" w:eastAsia="en-US"/>
        </w:rPr>
        <w:t>.</w:t>
      </w:r>
    </w:p>
    <w:p w:rsidR="00236CBA" w:rsidRPr="0023383E" w:rsidRDefault="00236CBA" w:rsidP="0057289F">
      <w:pPr>
        <w:spacing w:line="360" w:lineRule="auto"/>
        <w:ind w:right="-93"/>
        <w:jc w:val="both"/>
        <w:rPr>
          <w:rFonts w:ascii="Palatino Linotype" w:eastAsia="Calibri" w:hAnsi="Palatino Linotype" w:cs="Tahoma"/>
          <w:bCs/>
          <w:lang w:val="es-MX" w:eastAsia="en-US"/>
        </w:rPr>
      </w:pPr>
    </w:p>
    <w:p w:rsidR="0057289F" w:rsidRPr="0023383E" w:rsidRDefault="0029071C" w:rsidP="0057289F">
      <w:pPr>
        <w:spacing w:line="360" w:lineRule="auto"/>
        <w:ind w:right="-93"/>
        <w:jc w:val="both"/>
        <w:rPr>
          <w:rFonts w:ascii="Palatino Linotype" w:eastAsia="Calibri" w:hAnsi="Palatino Linotype" w:cs="Tahoma"/>
          <w:bCs/>
          <w:lang w:val="es-MX" w:eastAsia="en-US"/>
        </w:rPr>
      </w:pPr>
      <w:r w:rsidRPr="0023383E">
        <w:rPr>
          <w:rFonts w:ascii="Palatino Linotype" w:eastAsiaTheme="minorHAnsi" w:hAnsi="Palatino Linotype" w:cs="Arial"/>
          <w:lang w:val="es-MX" w:eastAsia="en-US"/>
        </w:rPr>
        <w:t>Por otro lado, debe destacarse que debido a la naturaleza de la información solicitada,</w:t>
      </w:r>
      <w:r w:rsidRPr="0023383E">
        <w:rPr>
          <w:rFonts w:ascii="Palatino Linotype" w:eastAsiaTheme="minorHAnsi" w:hAnsi="Palatino Linotype" w:cs="Arial"/>
          <w:szCs w:val="22"/>
          <w:lang w:val="es-MX" w:eastAsia="en-US"/>
        </w:rPr>
        <w:t xml:space="preserve"> </w:t>
      </w:r>
      <w:r w:rsidRPr="0023383E">
        <w:rPr>
          <w:rFonts w:ascii="Palatino Linotype" w:eastAsiaTheme="minorHAnsi" w:hAnsi="Palatino Linotype" w:cs="Arial"/>
          <w:lang w:val="es-MX" w:eastAsia="en-US"/>
        </w:rPr>
        <w:t>eventualmente pudiera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versión pública del documento por las consideraciones que se estimen pertinentes</w:t>
      </w:r>
      <w:r w:rsidRPr="0023383E">
        <w:rPr>
          <w:rFonts w:ascii="Palatino Linotype" w:eastAsia="Calibri" w:hAnsi="Palatino Linotype" w:cs="Tahoma"/>
          <w:bCs/>
          <w:lang w:val="es-MX" w:eastAsia="en-US"/>
        </w:rPr>
        <w:t>, d</w:t>
      </w:r>
      <w:r w:rsidR="0057289F" w:rsidRPr="0023383E">
        <w:rPr>
          <w:rFonts w:ascii="Palatino Linotype" w:eastAsia="Calibri" w:hAnsi="Palatino Linotype" w:cs="Tahoma"/>
          <w:bCs/>
          <w:lang w:val="es-MX" w:eastAsia="en-US"/>
        </w:rPr>
        <w:t>e conformidad con lo siguiente:</w:t>
      </w:r>
    </w:p>
    <w:p w:rsidR="001A6109" w:rsidRPr="0023383E" w:rsidRDefault="001A6109" w:rsidP="0057289F">
      <w:pPr>
        <w:spacing w:line="360" w:lineRule="auto"/>
        <w:ind w:right="-93"/>
        <w:jc w:val="both"/>
        <w:rPr>
          <w:rFonts w:ascii="Palatino Linotype" w:eastAsia="Calibri" w:hAnsi="Palatino Linotype" w:cs="Tahoma"/>
          <w:bCs/>
          <w:lang w:val="es-MX" w:eastAsia="en-US"/>
        </w:rPr>
      </w:pPr>
    </w:p>
    <w:p w:rsidR="0029071C" w:rsidRPr="0023383E" w:rsidRDefault="0029071C" w:rsidP="0029071C">
      <w:pPr>
        <w:numPr>
          <w:ilvl w:val="0"/>
          <w:numId w:val="18"/>
        </w:numPr>
        <w:tabs>
          <w:tab w:val="left" w:pos="709"/>
        </w:tabs>
        <w:spacing w:after="160" w:line="360" w:lineRule="auto"/>
        <w:jc w:val="both"/>
        <w:rPr>
          <w:rFonts w:ascii="Palatino Linotype" w:hAnsi="Palatino Linotype" w:cs="Arial"/>
          <w:b/>
          <w:i/>
          <w:sz w:val="28"/>
        </w:rPr>
      </w:pPr>
      <w:r w:rsidRPr="0023383E">
        <w:rPr>
          <w:rFonts w:ascii="Palatino Linotype" w:hAnsi="Palatino Linotype" w:cs="Arial"/>
          <w:b/>
          <w:i/>
          <w:sz w:val="28"/>
        </w:rPr>
        <w:t>De la versión pública</w:t>
      </w:r>
    </w:p>
    <w:p w:rsidR="0029071C" w:rsidRPr="0023383E" w:rsidRDefault="0029071C" w:rsidP="0029071C">
      <w:pPr>
        <w:autoSpaceDE w:val="0"/>
        <w:autoSpaceDN w:val="0"/>
        <w:adjustRightInd w:val="0"/>
        <w:spacing w:line="360" w:lineRule="auto"/>
        <w:jc w:val="both"/>
        <w:rPr>
          <w:rFonts w:ascii="Palatino Linotype" w:hAnsi="Palatino Linotype" w:cs="Arial"/>
        </w:rPr>
      </w:pPr>
      <w:r w:rsidRPr="0023383E">
        <w:rPr>
          <w:rFonts w:ascii="Palatino Linotype" w:eastAsiaTheme="minorHAnsi" w:hAnsi="Palatino Linotype" w:cs="Arial"/>
          <w:lang w:val="es-MX" w:eastAsia="en-US"/>
        </w:rPr>
        <w:t xml:space="preserve">Debido a que la información requerida se destaca que de acuerdo con la naturaleza de la información, amerita la elaboración de una versión pública, </w:t>
      </w:r>
      <w:r w:rsidRPr="0023383E">
        <w:rPr>
          <w:rFonts w:ascii="Palatino Linotype" w:eastAsia="Arial Unicode MS" w:hAnsi="Palatino Linotype" w:cs="Arial"/>
        </w:rPr>
        <w:t>esto es, omitirá, eliminará o suprimirá la información personal de los servidores públicos sujetos a evaluación, e</w:t>
      </w:r>
      <w:r w:rsidRPr="0023383E">
        <w:rPr>
          <w:rFonts w:ascii="Palatino Linotype" w:hAnsi="Palatino Linotype"/>
        </w:rPr>
        <w:t xml:space="preserve">n el caso específico en dichos documentos pueden obran datos que son considerados confidenciales, cuyo acceso debe ser restringido, los cuales </w:t>
      </w:r>
      <w:r w:rsidRPr="0023383E">
        <w:rPr>
          <w:rFonts w:ascii="Palatino Linotype" w:hAnsi="Palatino Linotype" w:cs="Arial"/>
        </w:rPr>
        <w:t xml:space="preserve">deben testarse al momento de la elaboración de versiones públicas, como es el caso del </w:t>
      </w:r>
      <w:r w:rsidRPr="0023383E">
        <w:rPr>
          <w:rFonts w:ascii="Palatino Linotype" w:hAnsi="Palatino Linotype" w:cs="Arial"/>
          <w:b/>
        </w:rPr>
        <w:t>Registro Federal de Contribuyentes</w:t>
      </w:r>
      <w:r w:rsidRPr="0023383E">
        <w:rPr>
          <w:rFonts w:ascii="Palatino Linotype" w:hAnsi="Palatino Linotype" w:cs="Arial"/>
        </w:rPr>
        <w:t xml:space="preserve"> (RFC), la </w:t>
      </w:r>
      <w:r w:rsidRPr="0023383E">
        <w:rPr>
          <w:rFonts w:ascii="Palatino Linotype" w:hAnsi="Palatino Linotype" w:cs="Arial"/>
          <w:b/>
        </w:rPr>
        <w:t>Clave Única de Registro de Población</w:t>
      </w:r>
      <w:r w:rsidRPr="0023383E">
        <w:rPr>
          <w:rFonts w:ascii="Palatino Linotype" w:hAnsi="Palatino Linotype" w:cs="Arial"/>
        </w:rPr>
        <w:t xml:space="preserve"> (CURP), la </w:t>
      </w:r>
      <w:r w:rsidRPr="0023383E">
        <w:rPr>
          <w:rFonts w:ascii="Palatino Linotype" w:hAnsi="Palatino Linotype" w:cs="Arial"/>
          <w:b/>
        </w:rPr>
        <w:t>Clave de cualquier tipo de seguridad social</w:t>
      </w:r>
      <w:r w:rsidRPr="0023383E">
        <w:rPr>
          <w:rFonts w:ascii="Palatino Linotype" w:hAnsi="Palatino Linotype" w:cs="Arial"/>
        </w:rPr>
        <w:t xml:space="preserve"> (ISSEMYM); </w:t>
      </w:r>
      <w:r w:rsidRPr="0023383E">
        <w:rPr>
          <w:rFonts w:ascii="Palatino Linotype" w:hAnsi="Palatino Linotype" w:cs="Arial"/>
          <w:b/>
        </w:rPr>
        <w:t>préstamos o descuentos</w:t>
      </w:r>
      <w:r w:rsidRPr="0023383E">
        <w:rPr>
          <w:rFonts w:ascii="Palatino Linotype" w:hAnsi="Palatino Linotype" w:cs="Arial"/>
        </w:rPr>
        <w:t xml:space="preserve"> que se les hagan y que no tengan relación con los impuestos o la cuota por seguridad social, así como, firmas y calificaciones, entre otros datos.</w:t>
      </w:r>
    </w:p>
    <w:p w:rsidR="0029071C" w:rsidRPr="0023383E" w:rsidRDefault="0029071C" w:rsidP="0029071C">
      <w:pPr>
        <w:autoSpaceDE w:val="0"/>
        <w:autoSpaceDN w:val="0"/>
        <w:adjustRightInd w:val="0"/>
        <w:spacing w:line="360" w:lineRule="auto"/>
        <w:jc w:val="both"/>
        <w:rPr>
          <w:rFonts w:ascii="Palatino Linotype" w:eastAsiaTheme="minorHAnsi" w:hAnsi="Palatino Linotype" w:cs="Arial"/>
          <w:lang w:val="es-MX" w:eastAsia="en-US"/>
        </w:rPr>
      </w:pPr>
    </w:p>
    <w:p w:rsidR="0029071C" w:rsidRPr="0023383E" w:rsidRDefault="0029071C" w:rsidP="0029071C">
      <w:pPr>
        <w:autoSpaceDE w:val="0"/>
        <w:autoSpaceDN w:val="0"/>
        <w:adjustRightInd w:val="0"/>
        <w:spacing w:after="160" w:line="360" w:lineRule="auto"/>
        <w:ind w:right="-91"/>
        <w:jc w:val="both"/>
        <w:rPr>
          <w:rFonts w:ascii="Palatino Linotype" w:eastAsiaTheme="minorHAnsi" w:hAnsi="Palatino Linotype" w:cstheme="minorBidi"/>
          <w:szCs w:val="22"/>
          <w:lang w:val="es-MX" w:eastAsia="en-US"/>
        </w:rPr>
      </w:pPr>
      <w:r w:rsidRPr="0023383E">
        <w:rPr>
          <w:rFonts w:ascii="Palatino Linotype" w:eastAsiaTheme="minorHAnsi" w:hAnsi="Palatino Linotype" w:cs="Arial"/>
          <w:szCs w:val="22"/>
          <w:lang w:val="es-MX" w:eastAsia="es-MX"/>
        </w:rPr>
        <w:lastRenderedPageBreak/>
        <w:t xml:space="preserve">Por cuanto hace al </w:t>
      </w:r>
      <w:r w:rsidRPr="0023383E">
        <w:rPr>
          <w:rFonts w:ascii="Palatino Linotype" w:eastAsiaTheme="minorHAnsi" w:hAnsi="Palatino Linotype" w:cs="Arial"/>
          <w:b/>
          <w:szCs w:val="22"/>
          <w:lang w:val="es-MX" w:eastAsia="es-MX"/>
        </w:rPr>
        <w:t>Registro Federal de Contribuyentes</w:t>
      </w:r>
      <w:r w:rsidRPr="0023383E">
        <w:rPr>
          <w:rFonts w:ascii="Palatino Linotype" w:eastAsiaTheme="minorHAnsi" w:hAnsi="Palatino Linotype" w:cs="Arial"/>
          <w:szCs w:val="22"/>
          <w:lang w:val="es-MX" w:eastAsia="es-MX"/>
        </w:rPr>
        <w:t xml:space="preserve"> </w:t>
      </w:r>
      <w:r w:rsidRPr="0023383E">
        <w:rPr>
          <w:rFonts w:ascii="Palatino Linotype" w:eastAsiaTheme="minorHAnsi" w:hAnsi="Palatino Linotype" w:cs="Arial"/>
          <w:b/>
          <w:szCs w:val="22"/>
          <w:lang w:val="es-MX" w:eastAsia="es-MX"/>
        </w:rPr>
        <w:t>de las personas físicas</w:t>
      </w:r>
      <w:r w:rsidRPr="0023383E">
        <w:rPr>
          <w:rFonts w:ascii="Palatino Linotype" w:eastAsiaTheme="minorHAnsi" w:hAnsi="Palatino Linotype" w:cs="Arial"/>
          <w:szCs w:val="22"/>
          <w:lang w:val="es-MX" w:eastAsia="es-MX"/>
        </w:rPr>
        <w:t xml:space="preserve"> constituye un dato personal, ya que se genera con caracteres alfanuméricos obtenidos a partir del nombre en mayúsculas sin acentos ni diéresis y la fecha de nacimiento de cada persona; es decir la primera letra del apellido paterno; seguida de la primera letra vocal del primer apellido; seguida de la primera letra del segundo apellido y por último la primera letra del nombre, posterior la fecha de nacimiento año/mes/día</w:t>
      </w:r>
      <w:r w:rsidRPr="0023383E">
        <w:rPr>
          <w:rFonts w:ascii="Palatino Linotype" w:eastAsiaTheme="minorHAnsi" w:hAnsi="Palatino Linotype" w:cstheme="minorBidi"/>
          <w:szCs w:val="22"/>
          <w:lang w:val="es-MX" w:eastAsia="en-US"/>
        </w:rPr>
        <w:t xml:space="preserve"> y finalmente la homoclave; la cual para su obtención es necesario acreditar personalidad, fecha de nacimiento entre otros con documentos oficiales.</w:t>
      </w:r>
    </w:p>
    <w:p w:rsidR="0029071C" w:rsidRPr="0023383E" w:rsidRDefault="0029071C" w:rsidP="0029071C">
      <w:pPr>
        <w:rPr>
          <w:lang w:val="es-MX"/>
        </w:rPr>
      </w:pPr>
    </w:p>
    <w:p w:rsidR="0029071C" w:rsidRPr="0023383E" w:rsidRDefault="0029071C" w:rsidP="0029071C">
      <w:pPr>
        <w:spacing w:after="160" w:line="360" w:lineRule="auto"/>
        <w:ind w:right="-91"/>
        <w:jc w:val="both"/>
        <w:rPr>
          <w:rFonts w:ascii="Palatino Linotype" w:eastAsiaTheme="minorHAnsi" w:hAnsi="Palatino Linotype" w:cs="Arial"/>
          <w:szCs w:val="22"/>
          <w:lang w:val="es-MX" w:eastAsia="es-MX"/>
        </w:rPr>
      </w:pPr>
      <w:r w:rsidRPr="0023383E">
        <w:rPr>
          <w:rFonts w:ascii="Palatino Linotype" w:eastAsiaTheme="minorHAnsi" w:hAnsi="Palatino Linotype" w:cs="Arial"/>
          <w:szCs w:val="22"/>
          <w:lang w:val="es-MX" w:eastAsia="es-MX"/>
        </w:rPr>
        <w:t>Al respecto, el Instituto Nacional de Transparencia, Acceso a la Información y Protección de Datos Personales (INAI) a través del Criterio 19/17, señala literalmente lo siguiente:</w:t>
      </w:r>
    </w:p>
    <w:p w:rsidR="0029071C" w:rsidRPr="0023383E" w:rsidRDefault="0029071C" w:rsidP="0029071C">
      <w:pPr>
        <w:rPr>
          <w:lang w:val="es-MX"/>
        </w:rPr>
      </w:pPr>
    </w:p>
    <w:p w:rsidR="0029071C" w:rsidRPr="0023383E" w:rsidRDefault="0029071C" w:rsidP="0029071C">
      <w:pPr>
        <w:spacing w:after="160" w:line="259" w:lineRule="auto"/>
        <w:ind w:left="851" w:right="902"/>
        <w:jc w:val="both"/>
        <w:rPr>
          <w:rFonts w:ascii="Palatino Linotype" w:eastAsiaTheme="minorHAnsi" w:hAnsi="Palatino Linotype" w:cs="Arial"/>
          <w:b/>
          <w:bCs/>
          <w:i/>
          <w:sz w:val="22"/>
          <w:szCs w:val="22"/>
          <w:lang w:val="es-MX" w:eastAsia="en-US"/>
        </w:rPr>
      </w:pPr>
      <w:r w:rsidRPr="0023383E">
        <w:rPr>
          <w:rFonts w:ascii="Palatino Linotype" w:eastAsiaTheme="minorHAnsi" w:hAnsi="Palatino Linotype" w:cs="Arial"/>
          <w:b/>
          <w:bCs/>
          <w:i/>
          <w:sz w:val="22"/>
          <w:szCs w:val="22"/>
          <w:lang w:val="es-MX" w:eastAsia="en-US"/>
        </w:rPr>
        <w:t xml:space="preserve">“Registro Federal de Contribuyentes (RFC) de personas físicas. </w:t>
      </w:r>
      <w:r w:rsidRPr="0023383E">
        <w:rPr>
          <w:rFonts w:ascii="Palatino Linotype" w:eastAsiaTheme="minorHAnsi" w:hAnsi="Palatino Linotype" w:cs="Arial"/>
          <w:bCs/>
          <w:i/>
          <w:sz w:val="22"/>
          <w:szCs w:val="22"/>
          <w:lang w:val="es-MX" w:eastAsia="en-US"/>
        </w:rPr>
        <w:t>El RFC es una clave de carácter fiscal, única e irrepetible, que permite identificar al titular, su edad y fecha de nacimiento, por lo que es un dato personal de carácter confidencial.</w:t>
      </w:r>
    </w:p>
    <w:p w:rsidR="0029071C" w:rsidRPr="0023383E" w:rsidRDefault="0029071C" w:rsidP="0029071C">
      <w:pPr>
        <w:rPr>
          <w:lang w:val="es-MX"/>
        </w:rPr>
      </w:pPr>
    </w:p>
    <w:p w:rsidR="0029071C" w:rsidRPr="0023383E" w:rsidRDefault="0029071C" w:rsidP="0029071C">
      <w:pPr>
        <w:ind w:left="851" w:right="902"/>
        <w:jc w:val="both"/>
        <w:rPr>
          <w:rFonts w:ascii="Palatino Linotype" w:eastAsiaTheme="minorHAnsi" w:hAnsi="Palatino Linotype" w:cs="Arial"/>
          <w:b/>
          <w:bCs/>
          <w:i/>
          <w:sz w:val="22"/>
          <w:szCs w:val="22"/>
          <w:lang w:val="es-MX" w:eastAsia="en-US"/>
        </w:rPr>
      </w:pPr>
      <w:r w:rsidRPr="0023383E">
        <w:rPr>
          <w:rFonts w:ascii="Palatino Linotype" w:eastAsiaTheme="minorHAnsi" w:hAnsi="Palatino Linotype" w:cs="Arial"/>
          <w:b/>
          <w:bCs/>
          <w:i/>
          <w:sz w:val="22"/>
          <w:szCs w:val="22"/>
          <w:lang w:val="es-MX" w:eastAsia="en-US"/>
        </w:rPr>
        <w:t>Resoluciones:</w:t>
      </w:r>
    </w:p>
    <w:p w:rsidR="0029071C" w:rsidRPr="0023383E" w:rsidRDefault="0029071C" w:rsidP="0029071C">
      <w:pPr>
        <w:ind w:left="851" w:right="902"/>
        <w:jc w:val="both"/>
        <w:rPr>
          <w:rFonts w:ascii="Palatino Linotype" w:eastAsiaTheme="minorHAnsi" w:hAnsi="Palatino Linotype" w:cs="Arial"/>
          <w:bCs/>
          <w:i/>
          <w:sz w:val="22"/>
          <w:szCs w:val="22"/>
          <w:lang w:val="es-MX" w:eastAsia="en-US"/>
        </w:rPr>
      </w:pPr>
      <w:r w:rsidRPr="0023383E">
        <w:rPr>
          <w:rFonts w:ascii="Palatino Linotype" w:eastAsiaTheme="minorHAnsi" w:hAnsi="Palatino Linotype" w:cs="Arial"/>
          <w:b/>
          <w:bCs/>
          <w:i/>
          <w:sz w:val="22"/>
          <w:szCs w:val="22"/>
          <w:lang w:val="es-MX" w:eastAsia="en-US"/>
        </w:rPr>
        <w:t>•</w:t>
      </w:r>
      <w:r w:rsidRPr="0023383E">
        <w:rPr>
          <w:rFonts w:ascii="Palatino Linotype" w:eastAsiaTheme="minorHAnsi" w:hAnsi="Palatino Linotype" w:cs="Arial"/>
          <w:b/>
          <w:bCs/>
          <w:i/>
          <w:sz w:val="22"/>
          <w:szCs w:val="22"/>
          <w:lang w:val="es-MX" w:eastAsia="en-US"/>
        </w:rPr>
        <w:tab/>
        <w:t xml:space="preserve">RRA 0189/17. </w:t>
      </w:r>
      <w:r w:rsidRPr="0023383E">
        <w:rPr>
          <w:rFonts w:ascii="Palatino Linotype" w:eastAsiaTheme="minorHAnsi" w:hAnsi="Palatino Linotype" w:cs="Arial"/>
          <w:bCs/>
          <w:i/>
          <w:sz w:val="22"/>
          <w:szCs w:val="22"/>
          <w:lang w:val="es-MX" w:eastAsia="en-US"/>
        </w:rPr>
        <w:t>Morena. 08 de febrero de 2017. Por unanimidad. Comisionado Ponente Joel Salas Suárez.</w:t>
      </w:r>
    </w:p>
    <w:p w:rsidR="0029071C" w:rsidRPr="0023383E" w:rsidRDefault="0029071C" w:rsidP="0029071C">
      <w:pPr>
        <w:ind w:left="851" w:right="902"/>
        <w:jc w:val="both"/>
        <w:rPr>
          <w:rFonts w:ascii="Palatino Linotype" w:eastAsiaTheme="minorHAnsi" w:hAnsi="Palatino Linotype" w:cs="Arial"/>
          <w:b/>
          <w:bCs/>
          <w:i/>
          <w:sz w:val="22"/>
          <w:szCs w:val="22"/>
          <w:lang w:val="es-MX" w:eastAsia="en-US"/>
        </w:rPr>
      </w:pPr>
      <w:r w:rsidRPr="0023383E">
        <w:rPr>
          <w:rFonts w:ascii="Palatino Linotype" w:eastAsiaTheme="minorHAnsi" w:hAnsi="Palatino Linotype" w:cs="Arial"/>
          <w:b/>
          <w:bCs/>
          <w:i/>
          <w:sz w:val="22"/>
          <w:szCs w:val="22"/>
          <w:lang w:val="es-MX" w:eastAsia="en-US"/>
        </w:rPr>
        <w:t>•</w:t>
      </w:r>
      <w:r w:rsidRPr="0023383E">
        <w:rPr>
          <w:rFonts w:ascii="Palatino Linotype" w:eastAsiaTheme="minorHAnsi" w:hAnsi="Palatino Linotype" w:cs="Arial"/>
          <w:b/>
          <w:bCs/>
          <w:i/>
          <w:sz w:val="22"/>
          <w:szCs w:val="22"/>
          <w:lang w:val="es-MX" w:eastAsia="en-US"/>
        </w:rPr>
        <w:tab/>
        <w:t xml:space="preserve">RRA 0677/17. </w:t>
      </w:r>
      <w:r w:rsidRPr="0023383E">
        <w:rPr>
          <w:rFonts w:ascii="Palatino Linotype" w:eastAsiaTheme="minorHAnsi" w:hAnsi="Palatino Linotype" w:cs="Arial"/>
          <w:bCs/>
          <w:i/>
          <w:sz w:val="22"/>
          <w:szCs w:val="22"/>
          <w:lang w:val="es-MX" w:eastAsia="en-US"/>
        </w:rPr>
        <w:t>Universidad Nacional Autónoma de México. 08 de marzo de 2017. Por unanimidad. Comisionado Ponente Rosendoevgueni Monterrey Chepov.</w:t>
      </w:r>
      <w:r w:rsidRPr="0023383E">
        <w:rPr>
          <w:rFonts w:ascii="Palatino Linotype" w:eastAsiaTheme="minorHAnsi" w:hAnsi="Palatino Linotype" w:cs="Arial"/>
          <w:b/>
          <w:bCs/>
          <w:i/>
          <w:sz w:val="22"/>
          <w:szCs w:val="22"/>
          <w:lang w:val="es-MX" w:eastAsia="en-US"/>
        </w:rPr>
        <w:t xml:space="preserve"> </w:t>
      </w:r>
    </w:p>
    <w:p w:rsidR="0029071C" w:rsidRPr="0023383E" w:rsidRDefault="0029071C" w:rsidP="0029071C">
      <w:pPr>
        <w:ind w:left="851" w:right="900"/>
        <w:jc w:val="both"/>
        <w:rPr>
          <w:rFonts w:ascii="Palatino Linotype" w:eastAsiaTheme="minorHAnsi" w:hAnsi="Palatino Linotype" w:cs="Arial"/>
          <w:sz w:val="22"/>
          <w:szCs w:val="20"/>
          <w:lang w:val="es-MX" w:eastAsia="es-MX"/>
        </w:rPr>
      </w:pPr>
      <w:r w:rsidRPr="0023383E">
        <w:rPr>
          <w:rFonts w:ascii="Palatino Linotype" w:eastAsiaTheme="minorHAnsi" w:hAnsi="Palatino Linotype" w:cs="Arial"/>
          <w:b/>
          <w:bCs/>
          <w:i/>
          <w:sz w:val="22"/>
          <w:szCs w:val="22"/>
          <w:lang w:val="es-MX" w:eastAsia="en-US"/>
        </w:rPr>
        <w:t>•</w:t>
      </w:r>
      <w:r w:rsidRPr="0023383E">
        <w:rPr>
          <w:rFonts w:ascii="Palatino Linotype" w:eastAsiaTheme="minorHAnsi" w:hAnsi="Palatino Linotype" w:cs="Arial"/>
          <w:b/>
          <w:bCs/>
          <w:i/>
          <w:sz w:val="22"/>
          <w:szCs w:val="22"/>
          <w:lang w:val="es-MX" w:eastAsia="en-US"/>
        </w:rPr>
        <w:tab/>
        <w:t xml:space="preserve">RRA 1564/17. </w:t>
      </w:r>
      <w:r w:rsidRPr="0023383E">
        <w:rPr>
          <w:rFonts w:ascii="Palatino Linotype" w:eastAsiaTheme="minorHAnsi" w:hAnsi="Palatino Linotype" w:cs="Arial"/>
          <w:bCs/>
          <w:i/>
          <w:sz w:val="22"/>
          <w:szCs w:val="22"/>
          <w:lang w:val="es-MX" w:eastAsia="en-US"/>
        </w:rPr>
        <w:t>Tribunal Electoral del Poder Judicial de la Federación. 26 de abril de 2017. Por unanimidad. Comisionado Ponente Oscar Mauricio Guerra Ford</w:t>
      </w:r>
      <w:r w:rsidRPr="0023383E">
        <w:rPr>
          <w:rFonts w:ascii="Palatino Linotype" w:eastAsiaTheme="minorHAnsi" w:hAnsi="Palatino Linotype" w:cs="Arial"/>
          <w:i/>
          <w:sz w:val="22"/>
          <w:szCs w:val="22"/>
          <w:lang w:val="es-MX" w:eastAsia="en-US"/>
        </w:rPr>
        <w:t>.”</w:t>
      </w:r>
    </w:p>
    <w:p w:rsidR="0029071C" w:rsidRPr="0023383E" w:rsidRDefault="0029071C" w:rsidP="0029071C">
      <w:pPr>
        <w:spacing w:after="160" w:line="259" w:lineRule="auto"/>
        <w:jc w:val="both"/>
        <w:rPr>
          <w:rFonts w:ascii="Palatino Linotype" w:eastAsiaTheme="minorHAnsi" w:hAnsi="Palatino Linotype" w:cs="Arial"/>
          <w:sz w:val="16"/>
          <w:szCs w:val="16"/>
          <w:lang w:val="es-MX" w:eastAsia="es-MX"/>
        </w:rPr>
      </w:pPr>
    </w:p>
    <w:p w:rsidR="0029071C" w:rsidRPr="0023383E" w:rsidRDefault="0029071C" w:rsidP="0029071C">
      <w:pPr>
        <w:spacing w:after="160" w:line="360" w:lineRule="auto"/>
        <w:jc w:val="both"/>
        <w:rPr>
          <w:rFonts w:ascii="Palatino Linotype" w:eastAsiaTheme="minorHAnsi" w:hAnsi="Palatino Linotype" w:cs="Arial"/>
          <w:szCs w:val="22"/>
          <w:lang w:val="es-MX" w:eastAsia="es-MX"/>
        </w:rPr>
      </w:pPr>
      <w:r w:rsidRPr="0023383E">
        <w:rPr>
          <w:rFonts w:ascii="Palatino Linotype" w:eastAsiaTheme="minorHAnsi" w:hAnsi="Palatino Linotype" w:cs="Arial"/>
          <w:szCs w:val="22"/>
          <w:lang w:val="es-MX" w:eastAsia="es-MX"/>
        </w:rPr>
        <w:t xml:space="preserve">De lo anterior, se desprende que el Registro Federal de Contribuyentes se vincula al nombre de su titular, permitiendo identificar la edad de la persona, fecha de </w:t>
      </w:r>
      <w:r w:rsidRPr="0023383E">
        <w:rPr>
          <w:rFonts w:ascii="Palatino Linotype" w:eastAsiaTheme="minorHAnsi" w:hAnsi="Palatino Linotype" w:cs="Arial"/>
          <w:szCs w:val="22"/>
          <w:lang w:val="es-MX" w:eastAsia="es-MX"/>
        </w:rPr>
        <w:lastRenderedPageBreak/>
        <w:t>nacimiento, así como su homoclave, determinando la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29071C" w:rsidRPr="0023383E" w:rsidRDefault="0029071C" w:rsidP="0029071C">
      <w:pPr>
        <w:spacing w:after="160" w:line="259" w:lineRule="auto"/>
        <w:ind w:right="-93"/>
        <w:jc w:val="both"/>
        <w:rPr>
          <w:rFonts w:ascii="Palatino Linotype" w:eastAsiaTheme="minorHAnsi" w:hAnsi="Palatino Linotype" w:cs="Arial"/>
          <w:sz w:val="16"/>
          <w:szCs w:val="16"/>
          <w:lang w:val="es-MX" w:eastAsia="es-MX"/>
        </w:rPr>
      </w:pPr>
    </w:p>
    <w:p w:rsidR="0029071C" w:rsidRPr="0023383E" w:rsidRDefault="0029071C" w:rsidP="0057289F">
      <w:pPr>
        <w:spacing w:line="360" w:lineRule="auto"/>
        <w:ind w:right="-93"/>
        <w:jc w:val="both"/>
        <w:rPr>
          <w:rFonts w:ascii="Palatino Linotype" w:eastAsiaTheme="minorHAnsi" w:hAnsi="Palatino Linotype" w:cs="Arial"/>
          <w:szCs w:val="22"/>
          <w:lang w:val="es-MX" w:eastAsia="es-MX"/>
        </w:rPr>
      </w:pPr>
      <w:r w:rsidRPr="0023383E">
        <w:rPr>
          <w:rFonts w:ascii="Palatino Linotype" w:eastAsiaTheme="minorHAnsi" w:hAnsi="Palatino Linotype" w:cs="Arial"/>
          <w:szCs w:val="22"/>
          <w:lang w:val="es-MX" w:eastAsia="es-MX"/>
        </w:rPr>
        <w:t xml:space="preserve">De igual manera la </w:t>
      </w:r>
      <w:r w:rsidRPr="0023383E">
        <w:rPr>
          <w:rFonts w:ascii="Palatino Linotype" w:eastAsiaTheme="minorHAnsi" w:hAnsi="Palatino Linotype" w:cs="Arial"/>
          <w:b/>
          <w:szCs w:val="22"/>
          <w:lang w:val="es-MX" w:eastAsia="en-US"/>
        </w:rPr>
        <w:t xml:space="preserve">Clave Única de Registro de Población, </w:t>
      </w:r>
      <w:r w:rsidRPr="0023383E">
        <w:rPr>
          <w:rFonts w:ascii="Palatino Linotype" w:eastAsiaTheme="minorHAnsi" w:hAnsi="Palatino Linotype" w:cs="Arial"/>
          <w:szCs w:val="22"/>
          <w:lang w:val="es-MX" w:eastAsia="es-MX"/>
        </w:rPr>
        <w:t>constituye un dato personal, ya que tiene como finalidad registrar a cada una de las personas que integran la población del país, con los datos que permitan certificar y acreditar fehacientemente su identidad, la cual servirá para iden</w:t>
      </w:r>
      <w:r w:rsidR="0057289F" w:rsidRPr="0023383E">
        <w:rPr>
          <w:rFonts w:ascii="Palatino Linotype" w:eastAsiaTheme="minorHAnsi" w:hAnsi="Palatino Linotype" w:cs="Arial"/>
          <w:szCs w:val="22"/>
          <w:lang w:val="es-MX" w:eastAsia="es-MX"/>
        </w:rPr>
        <w:t>tificarla de manera individual.</w:t>
      </w:r>
    </w:p>
    <w:p w:rsidR="0057289F" w:rsidRPr="0023383E" w:rsidRDefault="0057289F" w:rsidP="0057289F">
      <w:pPr>
        <w:spacing w:line="360" w:lineRule="auto"/>
        <w:ind w:right="-93"/>
        <w:jc w:val="both"/>
        <w:rPr>
          <w:rFonts w:ascii="Palatino Linotype" w:eastAsiaTheme="minorHAnsi" w:hAnsi="Palatino Linotype" w:cs="Arial"/>
          <w:szCs w:val="22"/>
          <w:lang w:val="es-MX" w:eastAsia="es-MX"/>
        </w:rPr>
      </w:pPr>
    </w:p>
    <w:p w:rsidR="0029071C" w:rsidRPr="0023383E" w:rsidRDefault="0029071C" w:rsidP="0057289F">
      <w:pPr>
        <w:spacing w:line="360" w:lineRule="auto"/>
        <w:ind w:right="-93"/>
        <w:jc w:val="both"/>
        <w:rPr>
          <w:rFonts w:ascii="Palatino Linotype" w:eastAsiaTheme="minorHAnsi" w:hAnsi="Palatino Linotype" w:cs="Arial"/>
          <w:szCs w:val="22"/>
          <w:lang w:val="es-MX" w:eastAsia="es-MX"/>
        </w:rPr>
      </w:pPr>
      <w:r w:rsidRPr="0023383E">
        <w:rPr>
          <w:rFonts w:ascii="Palatino Linotype" w:eastAsiaTheme="minorHAnsi" w:hAnsi="Palatino Linotype" w:cs="Arial"/>
          <w:szCs w:val="22"/>
          <w:lang w:val="es-MX" w:eastAsia="es-MX"/>
        </w:rPr>
        <w:t>Lo anterior, tiene sustento en los artículos 86 y 91</w:t>
      </w:r>
      <w:r w:rsidR="0057289F" w:rsidRPr="0023383E">
        <w:rPr>
          <w:rFonts w:ascii="Palatino Linotype" w:eastAsiaTheme="minorHAnsi" w:hAnsi="Palatino Linotype" w:cs="Arial"/>
          <w:szCs w:val="22"/>
          <w:lang w:val="es-MX" w:eastAsia="es-MX"/>
        </w:rPr>
        <w:t>,</w:t>
      </w:r>
      <w:r w:rsidRPr="0023383E">
        <w:rPr>
          <w:rFonts w:ascii="Palatino Linotype" w:eastAsiaTheme="minorHAnsi" w:hAnsi="Palatino Linotype" w:cs="Arial"/>
          <w:szCs w:val="22"/>
          <w:lang w:val="es-MX" w:eastAsia="es-MX"/>
        </w:rPr>
        <w:t xml:space="preserve"> de la Ley General de Población, la cual señala lo siguiente:</w:t>
      </w:r>
    </w:p>
    <w:p w:rsidR="0057289F" w:rsidRPr="0023383E" w:rsidRDefault="0057289F" w:rsidP="0057289F">
      <w:pPr>
        <w:pStyle w:val="Sinespaciado"/>
        <w:rPr>
          <w:rFonts w:eastAsiaTheme="minorHAnsi"/>
          <w:lang w:eastAsia="es-MX"/>
        </w:rPr>
      </w:pPr>
    </w:p>
    <w:p w:rsidR="0029071C" w:rsidRPr="0023383E" w:rsidRDefault="0029071C" w:rsidP="0057289F">
      <w:pPr>
        <w:rPr>
          <w:sz w:val="4"/>
          <w:lang w:val="es-MX" w:eastAsia="es-MX"/>
        </w:rPr>
      </w:pPr>
    </w:p>
    <w:p w:rsidR="0029071C" w:rsidRPr="0023383E" w:rsidRDefault="0029071C" w:rsidP="0057289F">
      <w:pPr>
        <w:spacing w:line="276" w:lineRule="auto"/>
        <w:ind w:left="851" w:right="900"/>
        <w:jc w:val="both"/>
        <w:rPr>
          <w:rFonts w:ascii="Palatino Linotype" w:eastAsiaTheme="minorHAnsi" w:hAnsi="Palatino Linotype" w:cs="Arial"/>
          <w:i/>
          <w:sz w:val="22"/>
          <w:szCs w:val="22"/>
          <w:lang w:val="es-MX" w:eastAsia="es-MX"/>
        </w:rPr>
      </w:pPr>
      <w:r w:rsidRPr="0023383E">
        <w:rPr>
          <w:rFonts w:ascii="Palatino Linotype" w:eastAsiaTheme="minorHAnsi" w:hAnsi="Palatino Linotype" w:cs="Arial,Bold"/>
          <w:b/>
          <w:bCs/>
          <w:i/>
          <w:sz w:val="22"/>
          <w:szCs w:val="22"/>
          <w:lang w:val="es-MX" w:eastAsia="es-MX"/>
        </w:rPr>
        <w:t xml:space="preserve">“Artículo 86. </w:t>
      </w:r>
      <w:r w:rsidRPr="0023383E">
        <w:rPr>
          <w:rFonts w:ascii="Palatino Linotype" w:eastAsiaTheme="minorHAnsi" w:hAnsi="Palatino Linotype" w:cs="Arial"/>
          <w:i/>
          <w:sz w:val="22"/>
          <w:szCs w:val="22"/>
          <w:lang w:val="es-MX" w:eastAsia="es-MX"/>
        </w:rPr>
        <w:t xml:space="preserve">El </w:t>
      </w:r>
      <w:r w:rsidRPr="0023383E">
        <w:rPr>
          <w:rFonts w:ascii="Palatino Linotype" w:eastAsiaTheme="minorHAnsi" w:hAnsi="Palatino Linotype" w:cs="Arial"/>
          <w:i/>
          <w:color w:val="000000"/>
          <w:sz w:val="22"/>
          <w:szCs w:val="22"/>
          <w:lang w:val="es-MX" w:eastAsia="en-US"/>
        </w:rPr>
        <w:t>Registro</w:t>
      </w:r>
      <w:r w:rsidRPr="0023383E">
        <w:rPr>
          <w:rFonts w:ascii="Palatino Linotype" w:eastAsiaTheme="minorHAnsi" w:hAnsi="Palatino Linotype" w:cs="Arial"/>
          <w:i/>
          <w:sz w:val="22"/>
          <w:szCs w:val="22"/>
          <w:lang w:val="es-MX" w:eastAsia="es-MX"/>
        </w:rPr>
        <w:t xml:space="preserve"> Nacional </w:t>
      </w:r>
      <w:r w:rsidRPr="0023383E">
        <w:rPr>
          <w:rFonts w:ascii="Palatino Linotype" w:eastAsiaTheme="minorHAnsi" w:hAnsi="Palatino Linotype" w:cs="Arial"/>
          <w:i/>
          <w:sz w:val="22"/>
          <w:szCs w:val="22"/>
          <w:lang w:val="es-MX" w:eastAsia="en-US"/>
        </w:rPr>
        <w:t>de</w:t>
      </w:r>
      <w:r w:rsidRPr="0023383E">
        <w:rPr>
          <w:rFonts w:ascii="Palatino Linotype" w:eastAsiaTheme="minorHAnsi" w:hAnsi="Palatino Linotype" w:cs="Arial"/>
          <w:i/>
          <w:sz w:val="22"/>
          <w:szCs w:val="22"/>
          <w:lang w:val="es-MX" w:eastAsia="es-MX"/>
        </w:rPr>
        <w:t xml:space="preserve"> Población tiene como finalidad registrar a cada una de las personas que integran la población del país, con los datos que permitan certificar y acreditar fehacientemente su identidad.</w:t>
      </w:r>
    </w:p>
    <w:p w:rsidR="0057289F" w:rsidRPr="0023383E" w:rsidRDefault="0057289F" w:rsidP="0057289F">
      <w:pPr>
        <w:spacing w:line="276" w:lineRule="auto"/>
        <w:ind w:left="851" w:right="900"/>
        <w:jc w:val="both"/>
        <w:rPr>
          <w:rFonts w:ascii="Palatino Linotype" w:eastAsiaTheme="minorHAnsi" w:hAnsi="Palatino Linotype" w:cs="Arial,Bold"/>
          <w:b/>
          <w:bCs/>
          <w:i/>
          <w:sz w:val="22"/>
          <w:szCs w:val="22"/>
          <w:lang w:val="es-MX" w:eastAsia="es-MX"/>
        </w:rPr>
      </w:pPr>
    </w:p>
    <w:p w:rsidR="0029071C" w:rsidRPr="0023383E" w:rsidRDefault="0029071C" w:rsidP="0057289F">
      <w:pPr>
        <w:spacing w:line="276" w:lineRule="auto"/>
        <w:ind w:left="851" w:right="900"/>
        <w:jc w:val="both"/>
        <w:rPr>
          <w:rFonts w:ascii="Palatino Linotype" w:eastAsiaTheme="minorHAnsi" w:hAnsi="Palatino Linotype" w:cs="Arial"/>
          <w:i/>
          <w:sz w:val="22"/>
          <w:szCs w:val="22"/>
          <w:lang w:val="es-MX" w:eastAsia="es-MX"/>
        </w:rPr>
      </w:pPr>
      <w:r w:rsidRPr="0023383E">
        <w:rPr>
          <w:rFonts w:ascii="Palatino Linotype" w:eastAsiaTheme="minorHAnsi" w:hAnsi="Palatino Linotype" w:cs="Arial,Bold"/>
          <w:b/>
          <w:bCs/>
          <w:i/>
          <w:sz w:val="22"/>
          <w:szCs w:val="22"/>
          <w:lang w:val="es-MX" w:eastAsia="es-MX"/>
        </w:rPr>
        <w:t xml:space="preserve">Artículo 91. </w:t>
      </w:r>
      <w:r w:rsidRPr="0023383E">
        <w:rPr>
          <w:rFonts w:ascii="Palatino Linotype" w:eastAsiaTheme="minorHAnsi" w:hAnsi="Palatino Linotype" w:cs="Arial"/>
          <w:i/>
          <w:sz w:val="22"/>
          <w:szCs w:val="22"/>
          <w:lang w:val="es-MX" w:eastAsia="es-MX"/>
        </w:rPr>
        <w:t xml:space="preserve">Al incorporar a una persona en el Registro Nacional de Población, se le asignará una clave que se denominará </w:t>
      </w:r>
      <w:r w:rsidRPr="0023383E">
        <w:rPr>
          <w:rFonts w:ascii="Palatino Linotype" w:eastAsiaTheme="minorHAnsi" w:hAnsi="Palatino Linotype" w:cs="Arial"/>
          <w:i/>
          <w:color w:val="000000"/>
          <w:sz w:val="22"/>
          <w:szCs w:val="22"/>
          <w:lang w:val="es-MX" w:eastAsia="en-US"/>
        </w:rPr>
        <w:t>Clave</w:t>
      </w:r>
      <w:r w:rsidRPr="0023383E">
        <w:rPr>
          <w:rFonts w:ascii="Palatino Linotype" w:eastAsiaTheme="minorHAnsi" w:hAnsi="Palatino Linotype" w:cs="Arial"/>
          <w:i/>
          <w:sz w:val="22"/>
          <w:szCs w:val="22"/>
          <w:lang w:val="es-MX" w:eastAsia="es-MX"/>
        </w:rPr>
        <w:t xml:space="preserve"> Única de Registro de Población. Esta servirá para registrarla e identificarla en forma </w:t>
      </w:r>
      <w:r w:rsidRPr="0023383E">
        <w:rPr>
          <w:rFonts w:ascii="Palatino Linotype" w:eastAsiaTheme="minorHAnsi" w:hAnsi="Palatino Linotype" w:cs="Arial"/>
          <w:i/>
          <w:sz w:val="22"/>
          <w:szCs w:val="22"/>
          <w:lang w:val="es-MX" w:eastAsia="en-US"/>
        </w:rPr>
        <w:t>individual</w:t>
      </w:r>
      <w:r w:rsidR="0057289F" w:rsidRPr="0023383E">
        <w:rPr>
          <w:rFonts w:ascii="Palatino Linotype" w:eastAsiaTheme="minorHAnsi" w:hAnsi="Palatino Linotype" w:cs="Arial"/>
          <w:i/>
          <w:sz w:val="22"/>
          <w:szCs w:val="22"/>
          <w:lang w:val="es-MX" w:eastAsia="es-MX"/>
        </w:rPr>
        <w:t>.”</w:t>
      </w:r>
    </w:p>
    <w:p w:rsidR="0057289F" w:rsidRPr="0023383E" w:rsidRDefault="0057289F" w:rsidP="0057289F">
      <w:pPr>
        <w:spacing w:line="276" w:lineRule="auto"/>
        <w:ind w:left="851" w:right="900"/>
        <w:jc w:val="both"/>
        <w:rPr>
          <w:rFonts w:ascii="Palatino Linotype" w:eastAsiaTheme="minorHAnsi" w:hAnsi="Palatino Linotype" w:cs="Arial"/>
          <w:i/>
          <w:sz w:val="22"/>
          <w:szCs w:val="22"/>
          <w:lang w:val="es-MX" w:eastAsia="es-MX"/>
        </w:rPr>
      </w:pPr>
    </w:p>
    <w:p w:rsidR="0029071C" w:rsidRPr="0023383E" w:rsidRDefault="0029071C" w:rsidP="0057289F">
      <w:pPr>
        <w:shd w:val="clear" w:color="auto" w:fill="FFFFFF"/>
        <w:spacing w:line="360" w:lineRule="auto"/>
        <w:jc w:val="both"/>
        <w:rPr>
          <w:rFonts w:ascii="Palatino Linotype" w:eastAsiaTheme="minorHAnsi" w:hAnsi="Palatino Linotype" w:cstheme="minorBidi"/>
          <w:szCs w:val="22"/>
          <w:lang w:val="es-MX" w:eastAsia="es-MX"/>
        </w:rPr>
      </w:pPr>
      <w:r w:rsidRPr="0023383E">
        <w:rPr>
          <w:rFonts w:ascii="Palatino Linotype" w:eastAsiaTheme="minorHAnsi" w:hAnsi="Palatino Linotype" w:cstheme="minorBidi"/>
          <w:szCs w:val="22"/>
          <w:lang w:val="es-MX" w:eastAsia="es-MX"/>
        </w:rPr>
        <w:t xml:space="preserve">Ahora bien, por cuanto a  la Clave Única de Registro de Población CURP, está integrada por  18 elementos representados por letras y números, que se generan a partir de los datos contenidos en un documento probatorio de identidad (acta de nacimiento, carta </w:t>
      </w:r>
      <w:r w:rsidRPr="0023383E">
        <w:rPr>
          <w:rFonts w:ascii="Palatino Linotype" w:eastAsiaTheme="minorHAnsi" w:hAnsi="Palatino Linotype" w:cstheme="minorBidi"/>
          <w:szCs w:val="22"/>
          <w:lang w:val="es-MX" w:eastAsia="es-MX"/>
        </w:rPr>
        <w:lastRenderedPageBreak/>
        <w:t xml:space="preserve">de naturalización o documento migratorio), la cual se integra con </w:t>
      </w:r>
      <w:r w:rsidRPr="0023383E">
        <w:rPr>
          <w:rFonts w:ascii="Palatino Linotype" w:eastAsiaTheme="minorHAnsi" w:hAnsi="Palatino Linotype" w:cs="Arial"/>
          <w:szCs w:val="22"/>
          <w:lang w:val="es-MX" w:eastAsia="es-MX"/>
        </w:rPr>
        <w:t>la primera letra del apellido paterno; seguida de la primera letra vocal del primer apellido; seguida de la primera letra del segundo apellido y por último la primera letra del nombre; fecha de nacimiento año/mes/día</w:t>
      </w:r>
      <w:r w:rsidRPr="0023383E">
        <w:rPr>
          <w:rFonts w:ascii="Palatino Linotype" w:eastAsiaTheme="minorHAnsi" w:hAnsi="Palatino Linotype" w:cstheme="minorBidi"/>
          <w:szCs w:val="22"/>
          <w:lang w:val="es-MX" w:eastAsia="es-MX"/>
        </w:rPr>
        <w:t xml:space="preserve">; sexo; entidad federativa o lugar de nacimiento; finalmente una homoclave o digito verificador, compuesto de dos elementos, con el que se evitan duplicaciones en la Clave, identifican el cambio de siglo y garantizan la correcta integración. </w:t>
      </w:r>
    </w:p>
    <w:p w:rsidR="00236CBA" w:rsidRPr="0023383E" w:rsidRDefault="00236CBA" w:rsidP="0029071C">
      <w:pPr>
        <w:spacing w:after="160" w:line="360" w:lineRule="auto"/>
        <w:ind w:right="-91"/>
        <w:jc w:val="both"/>
        <w:rPr>
          <w:rFonts w:ascii="Palatino Linotype" w:eastAsiaTheme="minorHAnsi" w:hAnsi="Palatino Linotype" w:cs="Arial"/>
          <w:szCs w:val="22"/>
          <w:lang w:val="es-MX" w:eastAsia="es-MX"/>
        </w:rPr>
      </w:pPr>
    </w:p>
    <w:p w:rsidR="0029071C" w:rsidRPr="0023383E" w:rsidRDefault="0029071C" w:rsidP="0029071C">
      <w:pPr>
        <w:spacing w:after="160" w:line="360" w:lineRule="auto"/>
        <w:ind w:right="-91"/>
        <w:jc w:val="both"/>
        <w:rPr>
          <w:rFonts w:ascii="Palatino Linotype" w:eastAsiaTheme="minorHAnsi" w:hAnsi="Palatino Linotype" w:cs="Arial"/>
          <w:szCs w:val="22"/>
          <w:lang w:val="es-MX" w:eastAsia="es-MX"/>
        </w:rPr>
      </w:pPr>
      <w:r w:rsidRPr="0023383E">
        <w:rPr>
          <w:rFonts w:ascii="Palatino Linotype" w:eastAsiaTheme="minorHAnsi" w:hAnsi="Palatino Linotype" w:cs="Arial"/>
          <w:szCs w:val="22"/>
          <w:lang w:val="es-MX" w:eastAsia="es-MX"/>
        </w:rPr>
        <w:t>Al respecto, el INAI a través del Criterio 18/17, señala literalmente lo siguiente:</w:t>
      </w:r>
    </w:p>
    <w:p w:rsidR="0029071C" w:rsidRPr="0023383E" w:rsidRDefault="0029071C" w:rsidP="0029071C">
      <w:pPr>
        <w:spacing w:before="120" w:after="120" w:line="259" w:lineRule="auto"/>
        <w:ind w:left="851" w:right="900"/>
        <w:jc w:val="both"/>
        <w:rPr>
          <w:rFonts w:ascii="Palatino Linotype" w:eastAsiaTheme="minorHAnsi" w:hAnsi="Palatino Linotype" w:cs="Arial"/>
          <w:i/>
          <w:sz w:val="22"/>
          <w:szCs w:val="22"/>
          <w:lang w:val="es-MX" w:eastAsia="es-MX"/>
        </w:rPr>
      </w:pPr>
      <w:r w:rsidRPr="0023383E">
        <w:rPr>
          <w:rFonts w:ascii="Palatino Linotype" w:eastAsiaTheme="minorHAnsi" w:hAnsi="Palatino Linotype" w:cs="Arial"/>
          <w:b/>
          <w:bCs/>
          <w:i/>
          <w:sz w:val="22"/>
          <w:szCs w:val="22"/>
          <w:lang w:val="es-MX" w:eastAsia="es-MX"/>
        </w:rPr>
        <w:t>“Clave Única de Registro de Población (CURP)</w:t>
      </w:r>
      <w:r w:rsidRPr="0023383E">
        <w:rPr>
          <w:rFonts w:ascii="Palatino Linotype" w:eastAsiaTheme="minorHAnsi" w:hAnsi="Palatino Linotype" w:cs="Arial"/>
          <w:i/>
          <w:sz w:val="22"/>
          <w:szCs w:val="22"/>
          <w:lang w:val="es-MX" w:eastAsia="es-MX"/>
        </w:rPr>
        <w:t>. 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w:t>
      </w:r>
    </w:p>
    <w:p w:rsidR="0029071C" w:rsidRPr="0023383E" w:rsidRDefault="0029071C" w:rsidP="0029071C">
      <w:pPr>
        <w:spacing w:before="120" w:after="120" w:line="259" w:lineRule="auto"/>
        <w:ind w:left="851" w:right="900"/>
        <w:jc w:val="both"/>
        <w:rPr>
          <w:rFonts w:ascii="Palatino Linotype" w:eastAsiaTheme="minorHAnsi" w:hAnsi="Palatino Linotype" w:cs="Arial"/>
          <w:i/>
          <w:sz w:val="22"/>
          <w:szCs w:val="22"/>
          <w:lang w:val="es-MX" w:eastAsia="es-MX"/>
        </w:rPr>
      </w:pPr>
    </w:p>
    <w:p w:rsidR="0029071C" w:rsidRPr="0023383E" w:rsidRDefault="0029071C" w:rsidP="0029071C">
      <w:pPr>
        <w:ind w:left="851" w:right="900"/>
        <w:jc w:val="both"/>
        <w:rPr>
          <w:rFonts w:ascii="Palatino Linotype" w:eastAsiaTheme="minorHAnsi" w:hAnsi="Palatino Linotype" w:cs="Arial"/>
          <w:b/>
          <w:i/>
          <w:sz w:val="22"/>
          <w:szCs w:val="22"/>
          <w:lang w:val="es-MX" w:eastAsia="es-MX"/>
        </w:rPr>
      </w:pPr>
      <w:r w:rsidRPr="0023383E">
        <w:rPr>
          <w:rFonts w:ascii="Palatino Linotype" w:eastAsiaTheme="minorHAnsi" w:hAnsi="Palatino Linotype" w:cs="Arial"/>
          <w:b/>
          <w:i/>
          <w:sz w:val="22"/>
          <w:szCs w:val="22"/>
          <w:lang w:val="es-MX" w:eastAsia="es-MX"/>
        </w:rPr>
        <w:t>Resoluciones:</w:t>
      </w:r>
    </w:p>
    <w:p w:rsidR="0029071C" w:rsidRPr="0023383E" w:rsidRDefault="0029071C" w:rsidP="0029071C">
      <w:pPr>
        <w:ind w:left="851" w:right="900"/>
        <w:jc w:val="both"/>
        <w:rPr>
          <w:rFonts w:ascii="Palatino Linotype" w:eastAsiaTheme="minorHAnsi" w:hAnsi="Palatino Linotype" w:cs="Arial"/>
          <w:i/>
          <w:sz w:val="22"/>
          <w:szCs w:val="22"/>
          <w:lang w:val="es-MX" w:eastAsia="es-MX"/>
        </w:rPr>
      </w:pPr>
      <w:r w:rsidRPr="0023383E">
        <w:rPr>
          <w:rFonts w:ascii="Palatino Linotype" w:eastAsiaTheme="minorHAnsi" w:hAnsi="Palatino Linotype" w:cs="Arial"/>
          <w:i/>
          <w:sz w:val="22"/>
          <w:szCs w:val="22"/>
          <w:lang w:val="es-MX" w:eastAsia="es-MX"/>
        </w:rPr>
        <w:t>•</w:t>
      </w:r>
      <w:r w:rsidRPr="0023383E">
        <w:rPr>
          <w:rFonts w:ascii="Palatino Linotype" w:eastAsiaTheme="minorHAnsi" w:hAnsi="Palatino Linotype" w:cs="Arial"/>
          <w:i/>
          <w:sz w:val="22"/>
          <w:szCs w:val="22"/>
          <w:lang w:val="es-MX" w:eastAsia="es-MX"/>
        </w:rPr>
        <w:tab/>
      </w:r>
      <w:r w:rsidRPr="0023383E">
        <w:rPr>
          <w:rFonts w:ascii="Palatino Linotype" w:eastAsiaTheme="minorHAnsi" w:hAnsi="Palatino Linotype" w:cs="Arial"/>
          <w:b/>
          <w:i/>
          <w:sz w:val="22"/>
          <w:szCs w:val="22"/>
          <w:lang w:val="es-MX" w:eastAsia="es-MX"/>
        </w:rPr>
        <w:t>RRA 3995/16</w:t>
      </w:r>
      <w:r w:rsidRPr="0023383E">
        <w:rPr>
          <w:rFonts w:ascii="Palatino Linotype" w:eastAsiaTheme="minorHAnsi" w:hAnsi="Palatino Linotype" w:cs="Arial"/>
          <w:i/>
          <w:sz w:val="22"/>
          <w:szCs w:val="22"/>
          <w:lang w:val="es-MX" w:eastAsia="es-MX"/>
        </w:rPr>
        <w:t>. Secretaría de la Defensa Nacional. 1 de febrero de 2017. Por unanimidad. Comisionado Ponente Rosendoevgueni Monterrey Chepov.</w:t>
      </w:r>
    </w:p>
    <w:p w:rsidR="0029071C" w:rsidRPr="0023383E" w:rsidRDefault="0029071C" w:rsidP="0029071C">
      <w:pPr>
        <w:ind w:left="851" w:right="900"/>
        <w:jc w:val="both"/>
        <w:rPr>
          <w:rFonts w:ascii="Palatino Linotype" w:eastAsiaTheme="minorHAnsi" w:hAnsi="Palatino Linotype" w:cs="Arial"/>
          <w:i/>
          <w:sz w:val="22"/>
          <w:szCs w:val="22"/>
          <w:lang w:val="es-MX" w:eastAsia="es-MX"/>
        </w:rPr>
      </w:pPr>
      <w:r w:rsidRPr="0023383E">
        <w:rPr>
          <w:rFonts w:ascii="Palatino Linotype" w:eastAsiaTheme="minorHAnsi" w:hAnsi="Palatino Linotype" w:cs="Arial"/>
          <w:i/>
          <w:sz w:val="22"/>
          <w:szCs w:val="22"/>
          <w:lang w:val="es-MX" w:eastAsia="es-MX"/>
        </w:rPr>
        <w:t>•</w:t>
      </w:r>
      <w:r w:rsidRPr="0023383E">
        <w:rPr>
          <w:rFonts w:ascii="Palatino Linotype" w:eastAsiaTheme="minorHAnsi" w:hAnsi="Palatino Linotype" w:cs="Arial"/>
          <w:i/>
          <w:sz w:val="22"/>
          <w:szCs w:val="22"/>
          <w:lang w:val="es-MX" w:eastAsia="es-MX"/>
        </w:rPr>
        <w:tab/>
      </w:r>
      <w:r w:rsidRPr="0023383E">
        <w:rPr>
          <w:rFonts w:ascii="Palatino Linotype" w:eastAsiaTheme="minorHAnsi" w:hAnsi="Palatino Linotype" w:cs="Arial"/>
          <w:b/>
          <w:i/>
          <w:sz w:val="22"/>
          <w:szCs w:val="22"/>
          <w:lang w:val="es-MX" w:eastAsia="es-MX"/>
        </w:rPr>
        <w:t>RRA 0937/17</w:t>
      </w:r>
      <w:r w:rsidRPr="0023383E">
        <w:rPr>
          <w:rFonts w:ascii="Palatino Linotype" w:eastAsiaTheme="minorHAnsi" w:hAnsi="Palatino Linotype" w:cs="Arial"/>
          <w:i/>
          <w:sz w:val="22"/>
          <w:szCs w:val="22"/>
          <w:lang w:val="es-MX" w:eastAsia="es-MX"/>
        </w:rPr>
        <w:t xml:space="preserve">. Senado de la República. 15 de marzo de 2017. Por unanimidad. Comisionada Ponente Ximena Puente de la Mora. </w:t>
      </w:r>
    </w:p>
    <w:p w:rsidR="0029071C" w:rsidRPr="0023383E" w:rsidRDefault="0029071C" w:rsidP="0029071C">
      <w:pPr>
        <w:ind w:left="851" w:right="900"/>
        <w:jc w:val="both"/>
        <w:rPr>
          <w:rFonts w:ascii="Palatino Linotype" w:eastAsiaTheme="minorHAnsi" w:hAnsi="Palatino Linotype" w:cs="Arial"/>
          <w:sz w:val="22"/>
          <w:szCs w:val="22"/>
          <w:lang w:val="es-MX" w:eastAsia="es-MX"/>
        </w:rPr>
      </w:pPr>
      <w:r w:rsidRPr="0023383E">
        <w:rPr>
          <w:rFonts w:ascii="Palatino Linotype" w:eastAsiaTheme="minorHAnsi" w:hAnsi="Palatino Linotype" w:cs="Arial"/>
          <w:i/>
          <w:sz w:val="22"/>
          <w:szCs w:val="22"/>
          <w:lang w:val="es-MX" w:eastAsia="es-MX"/>
        </w:rPr>
        <w:t>•</w:t>
      </w:r>
      <w:r w:rsidRPr="0023383E">
        <w:rPr>
          <w:rFonts w:ascii="Palatino Linotype" w:eastAsiaTheme="minorHAnsi" w:hAnsi="Palatino Linotype" w:cs="Arial"/>
          <w:i/>
          <w:sz w:val="22"/>
          <w:szCs w:val="22"/>
          <w:lang w:val="es-MX" w:eastAsia="es-MX"/>
        </w:rPr>
        <w:tab/>
      </w:r>
      <w:r w:rsidRPr="0023383E">
        <w:rPr>
          <w:rFonts w:ascii="Palatino Linotype" w:eastAsiaTheme="minorHAnsi" w:hAnsi="Palatino Linotype" w:cs="Arial"/>
          <w:b/>
          <w:i/>
          <w:sz w:val="22"/>
          <w:szCs w:val="22"/>
          <w:lang w:val="es-MX" w:eastAsia="es-MX"/>
        </w:rPr>
        <w:t>RRA 0478/17</w:t>
      </w:r>
      <w:r w:rsidRPr="0023383E">
        <w:rPr>
          <w:rFonts w:ascii="Palatino Linotype" w:eastAsiaTheme="minorHAnsi" w:hAnsi="Palatino Linotype" w:cs="Arial"/>
          <w:i/>
          <w:sz w:val="22"/>
          <w:szCs w:val="22"/>
          <w:lang w:val="es-MX" w:eastAsia="es-MX"/>
        </w:rPr>
        <w:t>. Secretaría de Relaciones Exteriores. 26 de abril de 2017. Por unanimidad. Comisionada Ponente Areli Cano Guadiana.</w:t>
      </w:r>
      <w:r w:rsidRPr="0023383E">
        <w:rPr>
          <w:rFonts w:ascii="Palatino Linotype" w:eastAsiaTheme="minorHAnsi" w:hAnsi="Palatino Linotype" w:cs="Arial"/>
          <w:i/>
          <w:sz w:val="22"/>
          <w:szCs w:val="22"/>
          <w:lang w:val="es-MX" w:eastAsia="en-US"/>
        </w:rPr>
        <w:t>”</w:t>
      </w:r>
    </w:p>
    <w:p w:rsidR="0029071C" w:rsidRPr="0023383E" w:rsidRDefault="0029071C" w:rsidP="0029071C">
      <w:pPr>
        <w:spacing w:after="160" w:line="360" w:lineRule="auto"/>
        <w:ind w:left="851" w:right="900"/>
        <w:jc w:val="both"/>
        <w:rPr>
          <w:rFonts w:ascii="Palatino Linotype" w:eastAsiaTheme="minorHAnsi" w:hAnsi="Palatino Linotype" w:cs="Arial"/>
          <w:sz w:val="16"/>
          <w:szCs w:val="16"/>
          <w:lang w:val="es-MX" w:eastAsia="es-MX"/>
        </w:rPr>
      </w:pPr>
    </w:p>
    <w:p w:rsidR="0029071C" w:rsidRPr="0023383E" w:rsidRDefault="0029071C" w:rsidP="0029071C">
      <w:pPr>
        <w:spacing w:after="160" w:line="360" w:lineRule="auto"/>
        <w:ind w:right="-93"/>
        <w:jc w:val="both"/>
        <w:rPr>
          <w:rFonts w:ascii="Palatino Linotype" w:eastAsiaTheme="minorHAnsi" w:hAnsi="Palatino Linotype" w:cs="Arial"/>
          <w:szCs w:val="22"/>
          <w:lang w:val="es-MX" w:eastAsia="es-MX"/>
        </w:rPr>
      </w:pPr>
      <w:r w:rsidRPr="0023383E">
        <w:rPr>
          <w:rFonts w:ascii="Palatino Linotype" w:eastAsiaTheme="minorHAnsi" w:hAnsi="Palatino Linotype" w:cs="Arial"/>
          <w:szCs w:val="22"/>
          <w:lang w:val="es-MX" w:eastAsia="es-MX"/>
        </w:rPr>
        <w:t xml:space="preserve">De lo anterior, se desprende que la </w:t>
      </w:r>
      <w:r w:rsidRPr="0023383E">
        <w:rPr>
          <w:rFonts w:ascii="Palatino Linotype" w:eastAsiaTheme="minorHAnsi" w:hAnsi="Palatino Linotype" w:cstheme="minorBidi"/>
          <w:szCs w:val="22"/>
          <w:lang w:val="es-MX" w:eastAsia="es-MX"/>
        </w:rPr>
        <w:t xml:space="preserve">Clave Única de Registro de Población, </w:t>
      </w:r>
      <w:r w:rsidRPr="0023383E">
        <w:rPr>
          <w:rFonts w:ascii="Palatino Linotype" w:eastAsiaTheme="minorHAnsi" w:hAnsi="Palatino Linotype" w:cs="Arial"/>
          <w:szCs w:val="22"/>
          <w:lang w:val="es-MX" w:eastAsia="es-MX"/>
        </w:rPr>
        <w:t xml:space="preserve">se encuentra vinculado al nombre de la persona, permitiendo identificar la edad, fecha de nacimiento, sexo, lugar de nacimiento, así como su homoclave; datos que únicamente le </w:t>
      </w:r>
      <w:r w:rsidRPr="0023383E">
        <w:rPr>
          <w:rFonts w:ascii="Palatino Linotype" w:eastAsiaTheme="minorHAnsi" w:hAnsi="Palatino Linotype" w:cs="Arial"/>
          <w:szCs w:val="22"/>
          <w:lang w:val="es-MX" w:eastAsia="es-MX"/>
        </w:rPr>
        <w:lastRenderedPageBreak/>
        <w:t>atañen a un particular, por lo que ésta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29071C" w:rsidRPr="0023383E" w:rsidRDefault="0029071C" w:rsidP="0029071C">
      <w:pPr>
        <w:rPr>
          <w:lang w:val="es-MX"/>
        </w:rPr>
      </w:pPr>
    </w:p>
    <w:p w:rsidR="0029071C" w:rsidRPr="0023383E" w:rsidRDefault="0029071C" w:rsidP="0029071C">
      <w:pPr>
        <w:spacing w:line="360" w:lineRule="auto"/>
        <w:ind w:right="-93"/>
        <w:jc w:val="both"/>
        <w:rPr>
          <w:rFonts w:ascii="Palatino Linotype" w:eastAsiaTheme="minorHAnsi" w:hAnsi="Palatino Linotype" w:cs="Arial"/>
          <w:szCs w:val="22"/>
          <w:lang w:val="es-MX" w:eastAsia="es-MX"/>
        </w:rPr>
      </w:pPr>
      <w:r w:rsidRPr="0023383E">
        <w:rPr>
          <w:rFonts w:ascii="Palatino Linotype" w:eastAsiaTheme="minorHAnsi" w:hAnsi="Palatino Linotype" w:cs="Arial"/>
          <w:szCs w:val="22"/>
          <w:lang w:val="es-MX" w:eastAsia="es-MX"/>
        </w:rPr>
        <w:t xml:space="preserve">Por cuanto hace a la </w:t>
      </w:r>
      <w:r w:rsidRPr="0023383E">
        <w:rPr>
          <w:rFonts w:ascii="Palatino Linotype" w:eastAsiaTheme="minorHAnsi" w:hAnsi="Palatino Linotype" w:cs="Arial"/>
          <w:b/>
          <w:szCs w:val="22"/>
          <w:lang w:val="es-MX" w:eastAsia="en-US"/>
        </w:rPr>
        <w:t>Clave de cualquier tipo de seguridad social</w:t>
      </w:r>
      <w:r w:rsidRPr="0023383E">
        <w:rPr>
          <w:rFonts w:ascii="Palatino Linotype" w:eastAsiaTheme="minorHAnsi" w:hAnsi="Palatino Linotype" w:cs="Arial"/>
          <w:szCs w:val="22"/>
          <w:lang w:val="es-MX" w:eastAsia="en-US"/>
        </w:rPr>
        <w:t xml:space="preserve"> (ISSEMYM, u otros), está integrada por una </w:t>
      </w:r>
      <w:r w:rsidRPr="0023383E">
        <w:rPr>
          <w:rFonts w:ascii="Palatino Linotype" w:eastAsiaTheme="minorHAnsi" w:hAnsi="Palatino Linotype" w:cs="Arial"/>
          <w:bCs/>
          <w:szCs w:val="22"/>
          <w:lang w:val="es-MX" w:eastAsia="es-MX"/>
        </w:rPr>
        <w:t xml:space="preserve">secuencia de números con los que se identifica a los trabajadores que cubren las cuotas respectivas, asimismo, lo identifica con la fuente de trabajo; por lo que al ser una clave de identificación de los trabajadores, constituye información confidencial, </w:t>
      </w:r>
      <w:r w:rsidRPr="0023383E">
        <w:rPr>
          <w:rFonts w:ascii="Palatino Linotype" w:eastAsiaTheme="minorHAnsi" w:hAnsi="Palatino Linotype" w:cs="Arial"/>
          <w:szCs w:val="22"/>
          <w:lang w:val="es-MX" w:eastAsia="es-MX"/>
        </w:rPr>
        <w:t>dato que únicamente le atañen al servidor público, por lo que constituye un dato personal que concierne a una persona física identificada e identificable en términos de los artículos 3 fracción IX de la Ley de Transparencia y Acceso a la Información Pública del Estado de México y Municipios y 4 fracción VII de la Ley de Protección de Datos Personales del Estado de México.</w:t>
      </w:r>
    </w:p>
    <w:p w:rsidR="0029071C" w:rsidRPr="0023383E" w:rsidRDefault="0029071C" w:rsidP="0029071C">
      <w:pPr>
        <w:widowControl w:val="0"/>
        <w:autoSpaceDE w:val="0"/>
        <w:autoSpaceDN w:val="0"/>
        <w:adjustRightInd w:val="0"/>
        <w:spacing w:line="360" w:lineRule="auto"/>
        <w:jc w:val="both"/>
        <w:rPr>
          <w:rFonts w:ascii="Palatino Linotype" w:eastAsiaTheme="minorHAnsi" w:hAnsi="Palatino Linotype" w:cs="Arial"/>
          <w:szCs w:val="22"/>
          <w:lang w:val="es-ES_tradnl" w:eastAsia="en-US"/>
        </w:rPr>
      </w:pPr>
    </w:p>
    <w:p w:rsidR="0029071C" w:rsidRPr="0023383E" w:rsidRDefault="0029071C" w:rsidP="0029071C">
      <w:pPr>
        <w:widowControl w:val="0"/>
        <w:autoSpaceDE w:val="0"/>
        <w:autoSpaceDN w:val="0"/>
        <w:adjustRightInd w:val="0"/>
        <w:spacing w:line="360" w:lineRule="auto"/>
        <w:jc w:val="both"/>
        <w:rPr>
          <w:rFonts w:ascii="Palatino Linotype" w:eastAsiaTheme="minorHAnsi" w:hAnsi="Palatino Linotype" w:cstheme="minorBidi"/>
          <w:szCs w:val="22"/>
          <w:lang w:val="es-MX" w:eastAsia="en-US"/>
        </w:rPr>
      </w:pPr>
      <w:r w:rsidRPr="0023383E">
        <w:rPr>
          <w:rFonts w:ascii="Palatino Linotype" w:eastAsiaTheme="minorHAnsi" w:hAnsi="Palatino Linotype" w:cs="Arial"/>
          <w:szCs w:val="22"/>
          <w:lang w:val="es-ES_tradnl" w:eastAsia="en-US"/>
        </w:rPr>
        <w:t>Por lo que hace a la</w:t>
      </w:r>
      <w:r w:rsidRPr="0023383E">
        <w:rPr>
          <w:rFonts w:ascii="Palatino Linotype" w:eastAsiaTheme="minorHAnsi" w:hAnsi="Palatino Linotype" w:cs="Arial"/>
          <w:noProof/>
          <w:szCs w:val="22"/>
          <w:lang w:val="es-MX" w:eastAsia="es-MX"/>
        </w:rPr>
        <w:t xml:space="preserve"> firma y calificaciones, para el caso de que  los documetos a expedir las  contenga, en atención a que constituyen datos personales que hacen identificable a la persona, estos son susceptibles de ser testados con el objeto de protegerlos en términos </w:t>
      </w:r>
      <w:r w:rsidRPr="0023383E">
        <w:rPr>
          <w:rFonts w:ascii="Palatino Linotype" w:eastAsia="Calibri" w:hAnsi="Palatino Linotype" w:cs="Arial"/>
          <w:szCs w:val="22"/>
          <w:lang w:val="es-MX" w:eastAsia="en-US"/>
        </w:rPr>
        <w:t xml:space="preserve">de lo dispuesto en los artículos 3, fracción IX y 143, fracción I de la Ley de Transparencia y Acceso a la Información Pública del Estado de México y Municipios, </w:t>
      </w:r>
      <w:r w:rsidRPr="0023383E">
        <w:rPr>
          <w:rFonts w:ascii="Palatino Linotype" w:eastAsiaTheme="minorHAnsi" w:hAnsi="Palatino Linotype" w:cs="Arial"/>
          <w:bCs/>
          <w:szCs w:val="22"/>
          <w:lang w:val="es-MX" w:eastAsia="es-MX"/>
        </w:rPr>
        <w:t xml:space="preserve">así como en el artículo 4, fracciones XI y XII de </w:t>
      </w:r>
      <w:r w:rsidRPr="0023383E">
        <w:rPr>
          <w:rFonts w:ascii="Palatino Linotype" w:eastAsiaTheme="minorHAnsi" w:hAnsi="Palatino Linotype" w:cstheme="minorBidi"/>
          <w:szCs w:val="22"/>
          <w:lang w:val="es-MX" w:eastAsia="en-US"/>
        </w:rPr>
        <w:t xml:space="preserve">la Ley de Protección de Datos Personales en Posesión de Sujetos Obligados del Estado de México y Municipios, </w:t>
      </w:r>
      <w:r w:rsidRPr="0023383E">
        <w:rPr>
          <w:rFonts w:ascii="Palatino Linotype" w:eastAsiaTheme="minorHAnsi" w:hAnsi="Palatino Linotype" w:cs="Arial"/>
          <w:lang w:val="es-MX" w:eastAsia="en-US"/>
        </w:rPr>
        <w:t>que establecen:</w:t>
      </w:r>
    </w:p>
    <w:p w:rsidR="0029071C" w:rsidRPr="0023383E" w:rsidRDefault="0029071C" w:rsidP="0029071C">
      <w:pPr>
        <w:rPr>
          <w:lang w:val="es-MX"/>
        </w:rPr>
      </w:pP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Artículo 3.</w:t>
      </w:r>
      <w:r w:rsidRPr="0023383E">
        <w:rPr>
          <w:rFonts w:ascii="Palatino Linotype" w:eastAsiaTheme="minorHAnsi" w:hAnsi="Palatino Linotype" w:cs="Arial"/>
          <w:i/>
          <w:sz w:val="22"/>
          <w:lang w:val="es-MX" w:eastAsia="en-US"/>
        </w:rPr>
        <w:t xml:space="preserve"> Para los efectos de la presente Ley se entenderá por:</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IX. Datos personales:</w:t>
      </w:r>
      <w:r w:rsidRPr="0023383E">
        <w:rPr>
          <w:rFonts w:ascii="Palatino Linotype" w:eastAsiaTheme="minorHAnsi" w:hAnsi="Palatino Linotype" w:cs="Arial"/>
          <w:i/>
          <w:sz w:val="22"/>
          <w:lang w:val="es-MX" w:eastAsia="en-US"/>
        </w:rPr>
        <w:t xml:space="preserve"> La información concerniente a una persona, identificada o identificable según lo dispuesto por la Ley de Protección de Datos Personales del Estado de México; </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XX. Información clasificada:</w:t>
      </w:r>
      <w:r w:rsidRPr="0023383E">
        <w:rPr>
          <w:rFonts w:ascii="Palatino Linotype" w:eastAsiaTheme="minorHAnsi" w:hAnsi="Palatino Linotype" w:cs="Arial"/>
          <w:i/>
          <w:sz w:val="22"/>
          <w:lang w:val="es-MX" w:eastAsia="en-US"/>
        </w:rPr>
        <w:t xml:space="preserve"> Aquella considerada por la presente Ley como reservada o confidencial;</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XXI. Información confidencial:</w:t>
      </w:r>
      <w:r w:rsidRPr="0023383E">
        <w:rPr>
          <w:rFonts w:ascii="Palatino Linotype" w:eastAsiaTheme="minorHAnsi" w:hAnsi="Palatino Linotype" w:cs="Arial"/>
          <w:i/>
          <w:sz w:val="22"/>
          <w:lang w:val="es-MX" w:eastAsia="en-US"/>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XLV. Versión pública:</w:t>
      </w:r>
      <w:r w:rsidRPr="0023383E">
        <w:rPr>
          <w:rFonts w:ascii="Palatino Linotype" w:eastAsiaTheme="minorHAnsi" w:hAnsi="Palatino Linotype" w:cs="Arial"/>
          <w:i/>
          <w:sz w:val="22"/>
          <w:lang w:val="es-MX" w:eastAsia="en-US"/>
        </w:rPr>
        <w:t xml:space="preserve"> Documento en el que se elimine, suprime o borra la información clasificada como reservada o confidencial para permitir su acceso.</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Artículo 91.</w:t>
      </w:r>
      <w:r w:rsidRPr="0023383E">
        <w:rPr>
          <w:rFonts w:ascii="Palatino Linotype" w:eastAsiaTheme="minorHAnsi" w:hAnsi="Palatino Linotype" w:cs="Arial"/>
          <w:i/>
          <w:sz w:val="22"/>
          <w:lang w:val="es-MX" w:eastAsia="en-US"/>
        </w:rPr>
        <w:t xml:space="preserve"> El acceso a la información pública será restringido excepcionalmente, cuando ésta sea clasificada como reservada o confidencial.</w:t>
      </w:r>
    </w:p>
    <w:p w:rsidR="0029071C" w:rsidRPr="0023383E" w:rsidRDefault="0029071C" w:rsidP="0029071C">
      <w:pPr>
        <w:ind w:left="851" w:right="851"/>
        <w:jc w:val="both"/>
        <w:rPr>
          <w:rFonts w:ascii="Palatino Linotype" w:eastAsiaTheme="minorHAnsi" w:hAnsi="Palatino Linotype" w:cs="Arial"/>
          <w:i/>
          <w:sz w:val="22"/>
          <w:lang w:val="es-MX" w:eastAsia="en-US"/>
        </w:rPr>
      </w:pP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Artículo 132.</w:t>
      </w:r>
      <w:r w:rsidRPr="0023383E">
        <w:rPr>
          <w:rFonts w:ascii="Palatino Linotype" w:eastAsiaTheme="minorHAnsi" w:hAnsi="Palatino Linotype" w:cs="Arial"/>
          <w:i/>
          <w:sz w:val="22"/>
          <w:lang w:val="es-MX" w:eastAsia="en-US"/>
        </w:rPr>
        <w:t xml:space="preserve"> </w:t>
      </w:r>
      <w:r w:rsidRPr="0023383E">
        <w:rPr>
          <w:rFonts w:ascii="Palatino Linotype" w:eastAsiaTheme="minorHAnsi" w:hAnsi="Palatino Linotype" w:cs="Arial"/>
          <w:i/>
          <w:sz w:val="22"/>
          <w:u w:val="single"/>
          <w:lang w:val="es-MX" w:eastAsia="en-US"/>
        </w:rPr>
        <w:t>La clasificación de la información se llevará a cabo en el momento en que</w:t>
      </w:r>
      <w:r w:rsidRPr="0023383E">
        <w:rPr>
          <w:rFonts w:ascii="Palatino Linotype" w:eastAsiaTheme="minorHAnsi" w:hAnsi="Palatino Linotype" w:cs="Arial"/>
          <w:i/>
          <w:sz w:val="22"/>
          <w:lang w:val="es-MX" w:eastAsia="en-US"/>
        </w:rPr>
        <w:t>:</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I.</w:t>
      </w:r>
      <w:r w:rsidRPr="0023383E">
        <w:rPr>
          <w:rFonts w:ascii="Palatino Linotype" w:eastAsiaTheme="minorHAnsi" w:hAnsi="Palatino Linotype" w:cs="Arial"/>
          <w:i/>
          <w:sz w:val="22"/>
          <w:lang w:val="es-MX" w:eastAsia="en-US"/>
        </w:rPr>
        <w:t xml:space="preserve"> Se reciba una solicitud de acceso a la información;</w:t>
      </w:r>
    </w:p>
    <w:p w:rsidR="0029071C" w:rsidRPr="0023383E" w:rsidRDefault="0029071C" w:rsidP="0029071C">
      <w:pPr>
        <w:ind w:left="851" w:right="851"/>
        <w:jc w:val="both"/>
        <w:rPr>
          <w:rFonts w:ascii="Palatino Linotype" w:eastAsiaTheme="minorHAnsi" w:hAnsi="Palatino Linotype" w:cs="Arial"/>
          <w:i/>
          <w:sz w:val="22"/>
          <w:u w:val="single"/>
          <w:lang w:val="es-MX" w:eastAsia="en-US"/>
        </w:rPr>
      </w:pPr>
      <w:r w:rsidRPr="0023383E">
        <w:rPr>
          <w:rFonts w:ascii="Palatino Linotype" w:eastAsiaTheme="minorHAnsi" w:hAnsi="Palatino Linotype" w:cs="Arial"/>
          <w:b/>
          <w:i/>
          <w:sz w:val="22"/>
          <w:lang w:val="es-MX" w:eastAsia="en-US"/>
        </w:rPr>
        <w:t>II.</w:t>
      </w:r>
      <w:r w:rsidRPr="0023383E">
        <w:rPr>
          <w:rFonts w:ascii="Palatino Linotype" w:eastAsiaTheme="minorHAnsi" w:hAnsi="Palatino Linotype" w:cs="Arial"/>
          <w:i/>
          <w:sz w:val="22"/>
          <w:lang w:val="es-MX" w:eastAsia="en-US"/>
        </w:rPr>
        <w:t xml:space="preserve"> </w:t>
      </w:r>
      <w:r w:rsidRPr="0023383E">
        <w:rPr>
          <w:rFonts w:ascii="Palatino Linotype" w:eastAsiaTheme="minorHAnsi" w:hAnsi="Palatino Linotype" w:cs="Arial"/>
          <w:i/>
          <w:sz w:val="22"/>
          <w:u w:val="single"/>
          <w:lang w:val="es-MX" w:eastAsia="en-US"/>
        </w:rPr>
        <w:t>Se determine mediante resolución de autoridad competente; o</w:t>
      </w:r>
    </w:p>
    <w:p w:rsidR="0029071C" w:rsidRPr="0023383E" w:rsidRDefault="0029071C" w:rsidP="0029071C">
      <w:pPr>
        <w:ind w:left="851" w:right="851"/>
        <w:jc w:val="both"/>
        <w:rPr>
          <w:rFonts w:ascii="Palatino Linotype" w:eastAsiaTheme="minorHAnsi" w:hAnsi="Palatino Linotype" w:cs="Arial"/>
          <w:i/>
          <w:sz w:val="22"/>
          <w:u w:val="single"/>
          <w:lang w:val="es-MX" w:eastAsia="en-US"/>
        </w:rPr>
      </w:pPr>
      <w:r w:rsidRPr="0023383E">
        <w:rPr>
          <w:rFonts w:ascii="Palatino Linotype" w:eastAsiaTheme="minorHAnsi" w:hAnsi="Palatino Linotype" w:cs="Arial"/>
          <w:b/>
          <w:i/>
          <w:sz w:val="22"/>
          <w:lang w:val="es-MX" w:eastAsia="en-US"/>
        </w:rPr>
        <w:t>III.</w:t>
      </w:r>
      <w:r w:rsidRPr="0023383E">
        <w:rPr>
          <w:rFonts w:ascii="Palatino Linotype" w:eastAsiaTheme="minorHAnsi" w:hAnsi="Palatino Linotype" w:cs="Arial"/>
          <w:i/>
          <w:sz w:val="22"/>
          <w:lang w:val="es-MX" w:eastAsia="en-US"/>
        </w:rPr>
        <w:t xml:space="preserve"> </w:t>
      </w:r>
      <w:r w:rsidRPr="0023383E">
        <w:rPr>
          <w:rFonts w:ascii="Palatino Linotype" w:eastAsiaTheme="minorHAnsi" w:hAnsi="Palatino Linotype" w:cs="Arial"/>
          <w:i/>
          <w:sz w:val="22"/>
          <w:u w:val="single"/>
          <w:lang w:val="es-MX" w:eastAsia="en-US"/>
        </w:rPr>
        <w:t>Se generen versiones públicas para dar cumplimiento a las obligaciones de transparencia previstas en esta Ley.</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w:t>
      </w:r>
    </w:p>
    <w:p w:rsidR="0029071C" w:rsidRPr="0023383E" w:rsidRDefault="0029071C" w:rsidP="0029071C">
      <w:pPr>
        <w:ind w:left="851" w:right="851"/>
        <w:jc w:val="both"/>
        <w:rPr>
          <w:rFonts w:ascii="Palatino Linotype" w:eastAsiaTheme="minorHAnsi" w:hAnsi="Palatino Linotype" w:cs="Arial"/>
          <w:i/>
          <w:sz w:val="22"/>
          <w:lang w:val="es-MX" w:eastAsia="en-US"/>
        </w:rPr>
      </w:pP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Artículo 143.</w:t>
      </w:r>
      <w:r w:rsidRPr="0023383E">
        <w:rPr>
          <w:rFonts w:ascii="Palatino Linotype" w:eastAsiaTheme="minorHAnsi" w:hAnsi="Palatino Linotype" w:cs="Arial"/>
          <w:i/>
          <w:sz w:val="22"/>
          <w:lang w:val="es-MX" w:eastAsia="en-US"/>
        </w:rPr>
        <w:t xml:space="preserve"> </w:t>
      </w:r>
      <w:r w:rsidRPr="0023383E">
        <w:rPr>
          <w:rFonts w:ascii="Palatino Linotype" w:eastAsiaTheme="minorHAnsi" w:hAnsi="Palatino Linotype" w:cs="Arial"/>
          <w:i/>
          <w:sz w:val="22"/>
          <w:u w:val="single"/>
          <w:lang w:val="es-MX" w:eastAsia="en-US"/>
        </w:rPr>
        <w:t>Para los efectos de esta Ley se considera información confidencial, la clasificada como tal, de manera permanente, por su naturaleza, cuando</w:t>
      </w:r>
      <w:r w:rsidRPr="0023383E">
        <w:rPr>
          <w:rFonts w:ascii="Palatino Linotype" w:eastAsiaTheme="minorHAnsi" w:hAnsi="Palatino Linotype" w:cs="Arial"/>
          <w:i/>
          <w:sz w:val="22"/>
          <w:lang w:val="es-MX" w:eastAsia="en-US"/>
        </w:rPr>
        <w:t>:</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I.</w:t>
      </w:r>
      <w:r w:rsidRPr="0023383E">
        <w:rPr>
          <w:rFonts w:ascii="Palatino Linotype" w:eastAsiaTheme="minorHAnsi" w:hAnsi="Palatino Linotype" w:cs="Arial"/>
          <w:i/>
          <w:sz w:val="22"/>
          <w:lang w:val="es-MX" w:eastAsia="en-US"/>
        </w:rPr>
        <w:t xml:space="preserve"> </w:t>
      </w:r>
      <w:r w:rsidRPr="0023383E">
        <w:rPr>
          <w:rFonts w:ascii="Palatino Linotype" w:eastAsiaTheme="minorHAnsi" w:hAnsi="Palatino Linotype" w:cs="Arial"/>
          <w:i/>
          <w:sz w:val="22"/>
          <w:u w:val="single"/>
          <w:lang w:val="es-MX" w:eastAsia="en-US"/>
        </w:rPr>
        <w:t>Se refiera a la información privada y los datos personales concernientes a una persona física o jurídico colectiva identificada o identificable</w:t>
      </w:r>
      <w:r w:rsidRPr="0023383E">
        <w:rPr>
          <w:rFonts w:ascii="Palatino Linotype" w:eastAsiaTheme="minorHAnsi" w:hAnsi="Palatino Linotype" w:cs="Arial"/>
          <w:i/>
          <w:sz w:val="22"/>
          <w:lang w:val="es-MX" w:eastAsia="en-US"/>
        </w:rPr>
        <w:t>;</w:t>
      </w:r>
    </w:p>
    <w:p w:rsidR="0029071C" w:rsidRPr="0023383E" w:rsidRDefault="0029071C" w:rsidP="0029071C">
      <w:pPr>
        <w:ind w:left="851" w:right="851"/>
        <w:jc w:val="both"/>
        <w:rPr>
          <w:rFonts w:ascii="Palatino Linotype" w:eastAsiaTheme="minorHAnsi" w:hAnsi="Palatino Linotype" w:cs="Arial"/>
          <w:i/>
          <w:sz w:val="22"/>
          <w:u w:val="single"/>
          <w:lang w:val="es-MX" w:eastAsia="en-US"/>
        </w:rPr>
      </w:pPr>
      <w:r w:rsidRPr="0023383E">
        <w:rPr>
          <w:rFonts w:ascii="Palatino Linotype" w:eastAsiaTheme="minorHAnsi" w:hAnsi="Palatino Linotype" w:cs="Arial"/>
          <w:b/>
          <w:i/>
          <w:sz w:val="22"/>
          <w:lang w:val="es-MX" w:eastAsia="en-US"/>
        </w:rPr>
        <w:t>II.</w:t>
      </w:r>
      <w:r w:rsidRPr="0023383E">
        <w:rPr>
          <w:rFonts w:ascii="Palatino Linotype" w:eastAsiaTheme="minorHAnsi" w:hAnsi="Palatino Linotype" w:cs="Arial"/>
          <w:i/>
          <w:sz w:val="22"/>
          <w:lang w:val="es-MX" w:eastAsia="en-US"/>
        </w:rPr>
        <w:t xml:space="preserve"> </w:t>
      </w:r>
      <w:r w:rsidRPr="0023383E">
        <w:rPr>
          <w:rFonts w:ascii="Palatino Linotype" w:eastAsiaTheme="minorHAnsi" w:hAnsi="Palatino Linotype" w:cs="Arial"/>
          <w:i/>
          <w:sz w:val="22"/>
          <w:u w:val="single"/>
          <w:lang w:val="es-MX" w:eastAsia="en-US"/>
        </w:rPr>
        <w:t>Los secretos bancario, fiduciario, industrial, comercial, fiscal, bursátil y postal, cuya titularidad corresponda a particulares, sujetos de derecho internacional o a sujetos obligados cuando no involucren el ejercicio de recursos públicos; y</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b/>
          <w:i/>
          <w:sz w:val="22"/>
          <w:lang w:val="es-MX" w:eastAsia="en-US"/>
        </w:rPr>
        <w:t>III.</w:t>
      </w:r>
      <w:r w:rsidRPr="0023383E">
        <w:rPr>
          <w:rFonts w:ascii="Palatino Linotype" w:eastAsiaTheme="minorHAnsi" w:hAnsi="Palatino Linotype" w:cs="Arial"/>
          <w:i/>
          <w:sz w:val="22"/>
          <w:lang w:val="es-MX" w:eastAsia="en-US"/>
        </w:rPr>
        <w:t xml:space="preserve"> La que presenten los particulares a los sujetos obligados, de conformidad con lo dispuesto por las leyes o los tratados internacionales.</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t>La información confidencial no estará sujeta a temporalidad alguna y sólo podrán tener acceso a ella los titulares de la misma, sus representantes y los servidores públicos facultados para ello.</w:t>
      </w:r>
    </w:p>
    <w:p w:rsidR="0029071C" w:rsidRPr="0023383E" w:rsidRDefault="0029071C" w:rsidP="0029071C">
      <w:pPr>
        <w:ind w:left="851" w:right="851"/>
        <w:jc w:val="both"/>
        <w:rPr>
          <w:rFonts w:ascii="Palatino Linotype" w:eastAsiaTheme="minorHAnsi" w:hAnsi="Palatino Linotype" w:cs="Arial"/>
          <w:i/>
          <w:sz w:val="22"/>
          <w:lang w:val="es-MX" w:eastAsia="en-US"/>
        </w:rPr>
      </w:pPr>
      <w:r w:rsidRPr="0023383E">
        <w:rPr>
          <w:rFonts w:ascii="Palatino Linotype" w:eastAsiaTheme="minorHAnsi" w:hAnsi="Palatino Linotype" w:cs="Arial"/>
          <w:i/>
          <w:sz w:val="22"/>
          <w:lang w:val="es-MX" w:eastAsia="en-US"/>
        </w:rPr>
        <w:lastRenderedPageBreak/>
        <w:t>No se considerará confidencial la información que se encuentre en los registros públicos o en fuentes de acceso público, ni tampoco la que sea considerada por la presente ley como información pública. [Sic]</w:t>
      </w:r>
    </w:p>
    <w:p w:rsidR="0029071C" w:rsidRPr="0023383E" w:rsidRDefault="0029071C" w:rsidP="0029071C">
      <w:pPr>
        <w:spacing w:line="360" w:lineRule="auto"/>
        <w:ind w:left="851" w:right="851"/>
        <w:jc w:val="both"/>
        <w:rPr>
          <w:rFonts w:ascii="Palatino Linotype" w:eastAsiaTheme="minorHAnsi" w:hAnsi="Palatino Linotype" w:cs="Arial"/>
          <w:i/>
          <w:sz w:val="22"/>
          <w:lang w:val="es-MX" w:eastAsia="en-US"/>
        </w:rPr>
      </w:pPr>
    </w:p>
    <w:p w:rsidR="0029071C" w:rsidRPr="0023383E" w:rsidRDefault="0029071C" w:rsidP="0029071C">
      <w:pPr>
        <w:spacing w:line="360" w:lineRule="auto"/>
        <w:jc w:val="both"/>
        <w:rPr>
          <w:rFonts w:ascii="Palatino Linotype" w:eastAsiaTheme="minorHAnsi" w:hAnsi="Palatino Linotype" w:cstheme="minorBidi"/>
          <w:szCs w:val="22"/>
          <w:lang w:val="es-MX" w:eastAsia="en-US"/>
        </w:rPr>
      </w:pPr>
      <w:r w:rsidRPr="0023383E">
        <w:rPr>
          <w:rFonts w:ascii="Palatino Linotype" w:eastAsiaTheme="minorHAnsi" w:hAnsi="Palatino Linotype" w:cstheme="minorBidi"/>
          <w:szCs w:val="22"/>
          <w:lang w:val="es-MX" w:eastAsia="en-US"/>
        </w:rPr>
        <w:t xml:space="preserve">Igualmente, los </w:t>
      </w:r>
      <w:r w:rsidRPr="0023383E">
        <w:rPr>
          <w:rFonts w:ascii="Palatino Linotype" w:eastAsiaTheme="minorHAnsi" w:hAnsi="Palatino Linotype" w:cstheme="minorBidi"/>
          <w:i/>
          <w:szCs w:val="22"/>
          <w:lang w:val="es-MX" w:eastAsia="en-US"/>
        </w:rPr>
        <w:t>Lineamientos Generales en Materia de Clasificación y Desclasificación de la Información, así como para la elaboración de Versiones Públicas</w:t>
      </w:r>
      <w:r w:rsidRPr="0023383E">
        <w:rPr>
          <w:rFonts w:ascii="Palatino Linotype" w:eastAsiaTheme="minorHAnsi" w:hAnsi="Palatino Linotype" w:cstheme="minorBidi"/>
          <w:szCs w:val="22"/>
          <w:lang w:val="es-MX" w:eastAsia="en-US"/>
        </w:rPr>
        <w:t>, emitidos por el Consejo Nacional del Sistema Nacional de Transparencia, Acceso a la Información Pública y Protección de Datos Personales, publicados en el Diario Oficial de la Federación el día 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rsidR="00217E6C" w:rsidRPr="0023383E" w:rsidRDefault="00217E6C" w:rsidP="00D27727">
      <w:pPr>
        <w:pStyle w:val="Default"/>
        <w:spacing w:line="360" w:lineRule="auto"/>
        <w:jc w:val="both"/>
        <w:rPr>
          <w:szCs w:val="20"/>
        </w:rPr>
      </w:pPr>
    </w:p>
    <w:p w:rsidR="00D27727" w:rsidRPr="0023383E" w:rsidRDefault="00D27727" w:rsidP="00D27727">
      <w:pPr>
        <w:pStyle w:val="Default"/>
        <w:spacing w:line="360" w:lineRule="auto"/>
        <w:jc w:val="both"/>
        <w:rPr>
          <w:szCs w:val="20"/>
        </w:rPr>
      </w:pPr>
      <w:r w:rsidRPr="0023383E">
        <w:rPr>
          <w:szCs w:val="20"/>
        </w:rPr>
        <w:t xml:space="preserve">Es conveniente mencionar que en el caso de dicha información aun siga en sustanciación, lo procedente sería clasificar la información como </w:t>
      </w:r>
      <w:r w:rsidRPr="0023383E">
        <w:rPr>
          <w:b/>
          <w:szCs w:val="20"/>
        </w:rPr>
        <w:t xml:space="preserve">RESERVADA </w:t>
      </w:r>
      <w:r w:rsidRPr="0023383E">
        <w:rPr>
          <w:szCs w:val="20"/>
        </w:rPr>
        <w:t>debido a que pudiera encontrarse en actividades de fiscalización, verificación, inspección, comprobación y auditoría sobre el cumplimiento de las Leyes, lo que actualiza lo previsto en los artículos 91 y artículo 140, fracción V, numeral 1, de la Ley de Transparencia estatal, en los que se estipula lo siguiente:</w:t>
      </w:r>
    </w:p>
    <w:p w:rsidR="00D27727" w:rsidRPr="0023383E" w:rsidRDefault="00D27727" w:rsidP="00D27727">
      <w:pPr>
        <w:pStyle w:val="Default"/>
        <w:spacing w:line="360" w:lineRule="auto"/>
        <w:ind w:left="567"/>
        <w:rPr>
          <w:szCs w:val="20"/>
        </w:rPr>
      </w:pPr>
    </w:p>
    <w:p w:rsidR="00D27727" w:rsidRPr="0023383E" w:rsidRDefault="00D27727" w:rsidP="00D27727">
      <w:pPr>
        <w:pStyle w:val="Default"/>
        <w:ind w:left="567" w:right="709"/>
        <w:jc w:val="both"/>
        <w:rPr>
          <w:i/>
          <w:sz w:val="22"/>
          <w:szCs w:val="22"/>
        </w:rPr>
      </w:pPr>
      <w:r w:rsidRPr="0023383E">
        <w:rPr>
          <w:b/>
          <w:i/>
          <w:sz w:val="22"/>
          <w:szCs w:val="22"/>
        </w:rPr>
        <w:t>Artículo 91.</w:t>
      </w:r>
      <w:r w:rsidRPr="0023383E">
        <w:rPr>
          <w:i/>
          <w:sz w:val="22"/>
          <w:szCs w:val="22"/>
        </w:rPr>
        <w:t xml:space="preserve"> </w:t>
      </w:r>
      <w:r w:rsidRPr="0023383E">
        <w:rPr>
          <w:b/>
          <w:i/>
          <w:sz w:val="22"/>
          <w:szCs w:val="22"/>
          <w:u w:val="single"/>
        </w:rPr>
        <w:t>El acceso a la información pública será restringido excepcionalmente, cuando ésta sea clasificada como reservada</w:t>
      </w:r>
      <w:r w:rsidRPr="0023383E">
        <w:rPr>
          <w:i/>
          <w:sz w:val="22"/>
          <w:szCs w:val="22"/>
        </w:rPr>
        <w:t xml:space="preserve"> o confidencial.</w:t>
      </w:r>
    </w:p>
    <w:p w:rsidR="00D27727" w:rsidRPr="0023383E" w:rsidRDefault="00D27727" w:rsidP="00D27727">
      <w:pPr>
        <w:pStyle w:val="Default"/>
        <w:ind w:left="567" w:right="709"/>
        <w:jc w:val="both"/>
        <w:rPr>
          <w:i/>
          <w:sz w:val="22"/>
          <w:szCs w:val="22"/>
        </w:rPr>
      </w:pPr>
    </w:p>
    <w:p w:rsidR="00D27727" w:rsidRPr="0023383E" w:rsidRDefault="00D27727" w:rsidP="00D27727">
      <w:pPr>
        <w:ind w:left="567" w:right="567"/>
        <w:jc w:val="both"/>
        <w:rPr>
          <w:rFonts w:ascii="Palatino Linotype" w:hAnsi="Palatino Linotype" w:cs="Tahoma"/>
          <w:bCs/>
          <w:i/>
          <w:sz w:val="22"/>
          <w:szCs w:val="22"/>
        </w:rPr>
      </w:pPr>
      <w:r w:rsidRPr="0023383E">
        <w:rPr>
          <w:rFonts w:ascii="Palatino Linotype" w:hAnsi="Palatino Linotype" w:cs="Tahoma"/>
          <w:b/>
          <w:bCs/>
          <w:i/>
          <w:sz w:val="22"/>
          <w:szCs w:val="22"/>
        </w:rPr>
        <w:t>“Artículo 140.</w:t>
      </w:r>
      <w:r w:rsidRPr="0023383E">
        <w:rPr>
          <w:rFonts w:ascii="Palatino Linotype" w:hAnsi="Palatino Linotype" w:cs="Tahoma"/>
          <w:bCs/>
          <w:i/>
          <w:sz w:val="22"/>
          <w:szCs w:val="22"/>
        </w:rPr>
        <w:t xml:space="preserve"> El acceso a la información pública será restringido excepcionalmente, cuando por razones de interés público, ésta sea clasificada como reservada, conforme a los criterios siguientes:</w:t>
      </w:r>
    </w:p>
    <w:p w:rsidR="00D27727" w:rsidRPr="0023383E" w:rsidRDefault="00D27727" w:rsidP="00D27727">
      <w:pPr>
        <w:ind w:left="567" w:right="567"/>
        <w:jc w:val="both"/>
        <w:rPr>
          <w:rFonts w:ascii="Palatino Linotype" w:hAnsi="Palatino Linotype" w:cs="Tahoma"/>
          <w:bCs/>
          <w:i/>
          <w:sz w:val="22"/>
          <w:szCs w:val="22"/>
        </w:rPr>
      </w:pPr>
      <w:r w:rsidRPr="0023383E">
        <w:rPr>
          <w:rFonts w:ascii="Palatino Linotype" w:hAnsi="Palatino Linotype" w:cs="Tahoma"/>
          <w:bCs/>
          <w:i/>
          <w:sz w:val="22"/>
          <w:szCs w:val="22"/>
        </w:rPr>
        <w:t>(…)</w:t>
      </w:r>
    </w:p>
    <w:p w:rsidR="00D27727" w:rsidRPr="0023383E" w:rsidRDefault="00D27727" w:rsidP="00D27727">
      <w:pPr>
        <w:ind w:left="567" w:right="567"/>
        <w:jc w:val="both"/>
        <w:rPr>
          <w:rFonts w:ascii="Palatino Linotype" w:hAnsi="Palatino Linotype" w:cs="Tahoma"/>
          <w:b/>
          <w:bCs/>
          <w:i/>
          <w:sz w:val="22"/>
          <w:szCs w:val="22"/>
        </w:rPr>
      </w:pPr>
      <w:r w:rsidRPr="0023383E">
        <w:rPr>
          <w:rFonts w:ascii="Palatino Linotype" w:hAnsi="Palatino Linotype" w:cs="Tahoma"/>
          <w:b/>
          <w:bCs/>
          <w:i/>
          <w:sz w:val="22"/>
          <w:szCs w:val="22"/>
        </w:rPr>
        <w:lastRenderedPageBreak/>
        <w:t xml:space="preserve">V. </w:t>
      </w:r>
      <w:r w:rsidRPr="0023383E">
        <w:rPr>
          <w:rFonts w:ascii="Palatino Linotype" w:hAnsi="Palatino Linotype" w:cs="Tahoma"/>
          <w:b/>
          <w:bCs/>
          <w:i/>
          <w:sz w:val="22"/>
          <w:szCs w:val="22"/>
          <w:u w:val="single"/>
        </w:rPr>
        <w:t>Aquella cuya divulgación obstruya o pueda causar un serio perjuicio a</w:t>
      </w:r>
      <w:r w:rsidRPr="0023383E">
        <w:rPr>
          <w:rFonts w:ascii="Palatino Linotype" w:hAnsi="Palatino Linotype" w:cs="Tahoma"/>
          <w:b/>
          <w:bCs/>
          <w:i/>
          <w:sz w:val="22"/>
          <w:szCs w:val="22"/>
        </w:rPr>
        <w:t>:</w:t>
      </w:r>
    </w:p>
    <w:p w:rsidR="00D27727" w:rsidRPr="0023383E" w:rsidRDefault="00D27727" w:rsidP="00D27727">
      <w:pPr>
        <w:ind w:left="567" w:right="567"/>
        <w:jc w:val="both"/>
        <w:rPr>
          <w:rFonts w:ascii="Palatino Linotype" w:hAnsi="Palatino Linotype" w:cs="Tahoma"/>
          <w:b/>
          <w:bCs/>
          <w:i/>
          <w:sz w:val="22"/>
          <w:szCs w:val="22"/>
        </w:rPr>
      </w:pPr>
    </w:p>
    <w:p w:rsidR="00D27727" w:rsidRPr="0023383E" w:rsidRDefault="00D27727" w:rsidP="00D27727">
      <w:pPr>
        <w:ind w:left="567" w:right="567"/>
        <w:jc w:val="both"/>
        <w:rPr>
          <w:rFonts w:ascii="Palatino Linotype" w:hAnsi="Palatino Linotype" w:cs="Tahoma"/>
          <w:bCs/>
          <w:i/>
          <w:sz w:val="22"/>
          <w:szCs w:val="22"/>
        </w:rPr>
      </w:pPr>
      <w:r w:rsidRPr="0023383E">
        <w:rPr>
          <w:rFonts w:ascii="Palatino Linotype" w:hAnsi="Palatino Linotype" w:cs="Tahoma"/>
          <w:b/>
          <w:bCs/>
          <w:i/>
          <w:sz w:val="22"/>
          <w:szCs w:val="22"/>
        </w:rPr>
        <w:t xml:space="preserve">1. </w:t>
      </w:r>
      <w:r w:rsidRPr="0023383E">
        <w:rPr>
          <w:rFonts w:ascii="Palatino Linotype" w:hAnsi="Palatino Linotype" w:cs="Tahoma"/>
          <w:b/>
          <w:bCs/>
          <w:i/>
          <w:sz w:val="22"/>
          <w:szCs w:val="22"/>
          <w:u w:val="single"/>
        </w:rPr>
        <w:t>Las actividades de fiscalización, verificación, inspección, comprobación y auditoría sobre el cumplimiento de las Leyes</w:t>
      </w:r>
      <w:r w:rsidRPr="0023383E">
        <w:rPr>
          <w:rFonts w:ascii="Palatino Linotype" w:hAnsi="Palatino Linotype" w:cs="Tahoma"/>
          <w:b/>
          <w:bCs/>
          <w:i/>
          <w:sz w:val="22"/>
          <w:szCs w:val="22"/>
        </w:rPr>
        <w:t>; o</w:t>
      </w:r>
      <w:r w:rsidRPr="0023383E">
        <w:rPr>
          <w:rFonts w:ascii="Palatino Linotype" w:hAnsi="Palatino Linotype" w:cs="Tahoma"/>
          <w:bCs/>
          <w:i/>
          <w:sz w:val="22"/>
          <w:szCs w:val="22"/>
        </w:rPr>
        <w:t>;</w:t>
      </w:r>
    </w:p>
    <w:p w:rsidR="00D27727" w:rsidRPr="0023383E" w:rsidRDefault="00D27727" w:rsidP="00D27727">
      <w:pPr>
        <w:ind w:left="567" w:right="567"/>
        <w:jc w:val="both"/>
        <w:rPr>
          <w:rFonts w:ascii="Palatino Linotype" w:hAnsi="Palatino Linotype" w:cs="Tahoma"/>
          <w:bCs/>
          <w:i/>
          <w:sz w:val="22"/>
          <w:szCs w:val="22"/>
        </w:rPr>
      </w:pPr>
      <w:r w:rsidRPr="0023383E">
        <w:rPr>
          <w:rFonts w:ascii="Palatino Linotype" w:hAnsi="Palatino Linotype" w:cs="Tahoma"/>
          <w:bCs/>
          <w:i/>
          <w:sz w:val="22"/>
          <w:szCs w:val="22"/>
        </w:rPr>
        <w:t xml:space="preserve">(…)” </w:t>
      </w:r>
    </w:p>
    <w:p w:rsidR="00D27727" w:rsidRPr="0023383E" w:rsidRDefault="00D27727" w:rsidP="00D27727">
      <w:pPr>
        <w:pStyle w:val="Default"/>
        <w:spacing w:line="360" w:lineRule="auto"/>
        <w:ind w:right="709"/>
        <w:jc w:val="both"/>
        <w:rPr>
          <w:b/>
          <w:bCs/>
          <w:i/>
          <w:sz w:val="22"/>
          <w:szCs w:val="20"/>
        </w:rPr>
      </w:pPr>
    </w:p>
    <w:p w:rsidR="00D27727" w:rsidRPr="0023383E" w:rsidRDefault="00D27727" w:rsidP="00D27727">
      <w:pPr>
        <w:spacing w:line="360" w:lineRule="auto"/>
        <w:jc w:val="both"/>
        <w:rPr>
          <w:rFonts w:ascii="Palatino Linotype" w:hAnsi="Palatino Linotype" w:cs="Tahoma"/>
          <w:bCs/>
        </w:rPr>
      </w:pPr>
      <w:r w:rsidRPr="0023383E">
        <w:rPr>
          <w:rFonts w:ascii="Palatino Linotype" w:hAnsi="Palatino Linotype" w:cs="Tahoma"/>
          <w:bCs/>
        </w:rPr>
        <w:t>Conforme a lo anterior, se puede corroborar que el procedimiento en cuestión, podría constituir un procedimiento administrativo seguido en forma de juicio; por lo que, la información solicitada podría actualizar una causal de clasificación, en su carácter de reservada, misma que se procede a su análisis.</w:t>
      </w:r>
    </w:p>
    <w:p w:rsidR="00D27727" w:rsidRPr="0023383E" w:rsidRDefault="00D27727" w:rsidP="00D27727">
      <w:pPr>
        <w:pStyle w:val="Sinespaciado"/>
        <w:spacing w:line="360" w:lineRule="auto"/>
        <w:rPr>
          <w:lang w:val="es-ES"/>
        </w:rPr>
      </w:pPr>
    </w:p>
    <w:p w:rsidR="00D27727" w:rsidRPr="0023383E" w:rsidRDefault="00D27727" w:rsidP="00D27727">
      <w:pPr>
        <w:spacing w:line="360" w:lineRule="auto"/>
        <w:ind w:right="-93"/>
        <w:jc w:val="both"/>
        <w:rPr>
          <w:rFonts w:ascii="Palatino Linotype" w:hAnsi="Palatino Linotype" w:cs="Tahoma"/>
          <w:bCs/>
        </w:rPr>
      </w:pPr>
      <w:r w:rsidRPr="0023383E">
        <w:rPr>
          <w:rFonts w:ascii="Palatino Linotype" w:hAnsi="Palatino Linotype" w:cs="Tahoma"/>
          <w:bCs/>
        </w:rPr>
        <w:t>Por su parte, en los Lineamientos Generales en materia de clasificación y desclasificación de la información, así como para la elaboración de versiones públicas, se prevé lo siguiente:</w:t>
      </w:r>
    </w:p>
    <w:p w:rsidR="00217E6C" w:rsidRPr="0023383E" w:rsidRDefault="00217E6C" w:rsidP="00217E6C">
      <w:pPr>
        <w:pStyle w:val="Sinespaciado"/>
      </w:pPr>
    </w:p>
    <w:p w:rsidR="00D27727" w:rsidRPr="0023383E" w:rsidRDefault="00D27727" w:rsidP="00D27727">
      <w:pPr>
        <w:ind w:left="567" w:right="567"/>
        <w:jc w:val="both"/>
        <w:rPr>
          <w:rFonts w:ascii="Palatino Linotype" w:hAnsi="Palatino Linotype" w:cs="Tahoma"/>
          <w:bCs/>
          <w:i/>
          <w:sz w:val="22"/>
        </w:rPr>
      </w:pPr>
      <w:r w:rsidRPr="0023383E">
        <w:rPr>
          <w:rFonts w:ascii="Palatino Linotype" w:hAnsi="Palatino Linotype" w:cs="Tahoma"/>
          <w:bCs/>
          <w:i/>
          <w:sz w:val="22"/>
        </w:rPr>
        <w:t>“</w:t>
      </w:r>
      <w:r w:rsidRPr="0023383E">
        <w:rPr>
          <w:rFonts w:ascii="Palatino Linotype" w:hAnsi="Palatino Linotype" w:cs="Tahoma"/>
          <w:b/>
          <w:bCs/>
          <w:i/>
          <w:sz w:val="22"/>
        </w:rPr>
        <w:t xml:space="preserve">Vigésimo quinto. </w:t>
      </w:r>
      <w:r w:rsidRPr="0023383E">
        <w:rPr>
          <w:rFonts w:ascii="Palatino Linotype" w:hAnsi="Palatino Linotype" w:cs="Tahoma"/>
          <w:bCs/>
          <w:i/>
          <w:sz w:val="22"/>
        </w:rPr>
        <w:t>De conformidad con el artículo 113, fracción VI de la Ley General, podrá considerarse como información reservada, aquella cuya difusión pueda obstruir o impedir el ejercicio de las facultades que llevan a cabo las autoridades competentes para recaudar, fiscalizar y comprobar el cumplimiento de las obligaciones fiscales en términos de las disposiciones normativas aplicables.”</w:t>
      </w:r>
    </w:p>
    <w:p w:rsidR="00D27727" w:rsidRPr="0023383E" w:rsidRDefault="00D27727" w:rsidP="00D27727">
      <w:pPr>
        <w:spacing w:line="360" w:lineRule="auto"/>
        <w:ind w:left="567" w:right="567"/>
        <w:jc w:val="both"/>
        <w:rPr>
          <w:rFonts w:ascii="Palatino Linotype" w:hAnsi="Palatino Linotype" w:cs="Tahoma"/>
          <w:bCs/>
        </w:rPr>
      </w:pPr>
    </w:p>
    <w:p w:rsidR="00D27727" w:rsidRPr="0023383E" w:rsidRDefault="00D27727" w:rsidP="00D27727">
      <w:pPr>
        <w:spacing w:line="360" w:lineRule="auto"/>
        <w:ind w:right="567"/>
        <w:jc w:val="both"/>
        <w:rPr>
          <w:rFonts w:ascii="Palatino Linotype" w:hAnsi="Palatino Linotype" w:cs="Tahoma"/>
          <w:bCs/>
        </w:rPr>
      </w:pPr>
      <w:r w:rsidRPr="0023383E">
        <w:rPr>
          <w:rFonts w:ascii="Palatino Linotype" w:hAnsi="Palatino Linotype" w:cs="Tahoma"/>
          <w:bCs/>
        </w:rPr>
        <w:t xml:space="preserve">Para los efectos del párrafo de este numeral, se considera como información </w:t>
      </w:r>
      <w:r w:rsidRPr="0023383E">
        <w:rPr>
          <w:rFonts w:ascii="Palatino Linotype" w:hAnsi="Palatino Linotype" w:cs="Tahoma"/>
          <w:b/>
          <w:bCs/>
        </w:rPr>
        <w:t xml:space="preserve">RESERVADA </w:t>
      </w:r>
      <w:r w:rsidRPr="0023383E">
        <w:rPr>
          <w:rFonts w:ascii="Palatino Linotype" w:hAnsi="Palatino Linotype" w:cs="Tahoma"/>
          <w:bCs/>
        </w:rPr>
        <w:t xml:space="preserve">podrá clasificarse aquella cuya publicación; esto es, en el que concurran los siguientes elementos: </w:t>
      </w:r>
    </w:p>
    <w:p w:rsidR="00D27727" w:rsidRPr="0023383E" w:rsidRDefault="00D27727" w:rsidP="00D27727">
      <w:pPr>
        <w:pStyle w:val="Sinespaciado"/>
      </w:pPr>
    </w:p>
    <w:p w:rsidR="00D27727" w:rsidRPr="0023383E" w:rsidRDefault="00D27727" w:rsidP="00D27727">
      <w:pPr>
        <w:ind w:left="567" w:right="567"/>
        <w:jc w:val="both"/>
        <w:rPr>
          <w:rFonts w:ascii="Palatino Linotype" w:hAnsi="Palatino Linotype" w:cs="Tahoma"/>
          <w:bCs/>
          <w:i/>
          <w:sz w:val="22"/>
        </w:rPr>
      </w:pPr>
      <w:r w:rsidRPr="0023383E">
        <w:rPr>
          <w:rFonts w:ascii="Palatino Linotype" w:hAnsi="Palatino Linotype" w:cs="Tahoma"/>
          <w:bCs/>
          <w:i/>
          <w:sz w:val="22"/>
        </w:rPr>
        <w:t>“</w:t>
      </w:r>
      <w:r w:rsidRPr="0023383E">
        <w:rPr>
          <w:rFonts w:ascii="Palatino Linotype" w:hAnsi="Palatino Linotype" w:cs="Tahoma"/>
          <w:b/>
          <w:bCs/>
          <w:i/>
          <w:sz w:val="22"/>
        </w:rPr>
        <w:t xml:space="preserve">VI. </w:t>
      </w:r>
      <w:r w:rsidRPr="0023383E">
        <w:rPr>
          <w:rFonts w:ascii="Palatino Linotype" w:hAnsi="Palatino Linotype" w:cs="Tahoma"/>
          <w:bCs/>
          <w:i/>
          <w:sz w:val="22"/>
        </w:rPr>
        <w:t>Obstruya las actividades de verificación, inspección y auditoría relativas al cumplimiento de las leyes o afecte la recaudación de contribuciones”</w:t>
      </w:r>
    </w:p>
    <w:p w:rsidR="00D27727" w:rsidRPr="0023383E" w:rsidRDefault="00D27727" w:rsidP="00D27727">
      <w:pPr>
        <w:ind w:left="567" w:right="567"/>
        <w:jc w:val="both"/>
        <w:rPr>
          <w:rFonts w:ascii="Palatino Linotype" w:hAnsi="Palatino Linotype" w:cs="Tahoma"/>
          <w:bCs/>
          <w:i/>
          <w:sz w:val="22"/>
        </w:rPr>
      </w:pPr>
    </w:p>
    <w:p w:rsidR="00D27727" w:rsidRPr="0023383E" w:rsidRDefault="00D27727" w:rsidP="00D27727">
      <w:pPr>
        <w:spacing w:line="360" w:lineRule="auto"/>
        <w:jc w:val="both"/>
        <w:rPr>
          <w:rFonts w:ascii="Palatino Linotype" w:hAnsi="Palatino Linotype" w:cs="Tahoma"/>
          <w:bCs/>
        </w:rPr>
      </w:pPr>
      <w:r w:rsidRPr="0023383E">
        <w:rPr>
          <w:rFonts w:ascii="Palatino Linotype" w:hAnsi="Palatino Linotype" w:cs="Tahoma"/>
          <w:bCs/>
        </w:rPr>
        <w:lastRenderedPageBreak/>
        <w:t xml:space="preserve">De la normatividad citada, se desprende que el supuesto de clasificación invocado por el </w:t>
      </w:r>
      <w:r w:rsidRPr="0023383E">
        <w:rPr>
          <w:rFonts w:ascii="Palatino Linotype" w:hAnsi="Palatino Linotype" w:cs="Tahoma"/>
          <w:b/>
          <w:bCs/>
        </w:rPr>
        <w:t>Sujeto Obligado</w:t>
      </w:r>
      <w:r w:rsidRPr="0023383E">
        <w:rPr>
          <w:rFonts w:ascii="Palatino Linotype" w:hAnsi="Palatino Linotype" w:cs="Tahoma"/>
          <w:bCs/>
        </w:rPr>
        <w:t xml:space="preserve">, prevé que como información reservada podrá clasificarse aquella que vulnere la conducción de las auditorías relativas al cumplimiento de las leyes. </w:t>
      </w:r>
    </w:p>
    <w:p w:rsidR="00D27727" w:rsidRPr="0023383E" w:rsidRDefault="00D27727" w:rsidP="00D27727">
      <w:pPr>
        <w:spacing w:line="360" w:lineRule="auto"/>
        <w:jc w:val="both"/>
        <w:rPr>
          <w:rFonts w:ascii="Palatino Linotype" w:hAnsi="Palatino Linotype" w:cs="Tahoma"/>
          <w:bCs/>
        </w:rPr>
      </w:pPr>
    </w:p>
    <w:p w:rsidR="00D27727" w:rsidRPr="0023383E" w:rsidRDefault="00D27727" w:rsidP="00D27727">
      <w:pPr>
        <w:spacing w:line="360" w:lineRule="auto"/>
        <w:jc w:val="both"/>
        <w:rPr>
          <w:rFonts w:ascii="Palatino Linotype" w:hAnsi="Palatino Linotype" w:cs="Tahoma"/>
          <w:bCs/>
        </w:rPr>
      </w:pPr>
      <w:r w:rsidRPr="0023383E">
        <w:rPr>
          <w:rFonts w:ascii="Palatino Linotype" w:hAnsi="Palatino Linotype" w:cs="Tahoma"/>
          <w:bCs/>
        </w:rPr>
        <w:t>Por lo cual, para considerar que se actualiza dicha causal es necesario que se configuren los siguientes elementos:</w:t>
      </w:r>
    </w:p>
    <w:p w:rsidR="00D27727" w:rsidRPr="0023383E" w:rsidRDefault="00D27727" w:rsidP="00D27727">
      <w:pPr>
        <w:pStyle w:val="Sinespaciado"/>
        <w:rPr>
          <w:lang w:val="es-ES"/>
        </w:rPr>
      </w:pPr>
    </w:p>
    <w:p w:rsidR="00D27727" w:rsidRPr="0023383E" w:rsidRDefault="00D27727" w:rsidP="00D27727">
      <w:pPr>
        <w:numPr>
          <w:ilvl w:val="0"/>
          <w:numId w:val="24"/>
        </w:numPr>
        <w:ind w:right="567"/>
        <w:jc w:val="both"/>
        <w:rPr>
          <w:rFonts w:ascii="Palatino Linotype" w:hAnsi="Palatino Linotype" w:cs="Tahoma"/>
          <w:bCs/>
          <w:i/>
          <w:sz w:val="22"/>
        </w:rPr>
      </w:pPr>
      <w:r w:rsidRPr="0023383E">
        <w:rPr>
          <w:rFonts w:ascii="Palatino Linotype" w:hAnsi="Palatino Linotype" w:cs="Tahoma"/>
          <w:bCs/>
          <w:i/>
          <w:sz w:val="22"/>
        </w:rPr>
        <w:t>La existencia de un juicio o procedimiento administrativo materialmente jurisdiccional, que se encuentre en trámite, y</w:t>
      </w:r>
    </w:p>
    <w:p w:rsidR="00DC2B31" w:rsidRPr="0023383E" w:rsidRDefault="00DC2B31" w:rsidP="00DC2B31">
      <w:pPr>
        <w:ind w:left="720" w:right="567"/>
        <w:jc w:val="both"/>
        <w:rPr>
          <w:rFonts w:ascii="Palatino Linotype" w:hAnsi="Palatino Linotype" w:cs="Tahoma"/>
          <w:bCs/>
          <w:i/>
          <w:sz w:val="22"/>
        </w:rPr>
      </w:pPr>
    </w:p>
    <w:p w:rsidR="00D27727" w:rsidRPr="0023383E" w:rsidRDefault="00D27727" w:rsidP="00D27727">
      <w:pPr>
        <w:numPr>
          <w:ilvl w:val="0"/>
          <w:numId w:val="24"/>
        </w:numPr>
        <w:ind w:right="567"/>
        <w:jc w:val="both"/>
        <w:rPr>
          <w:rFonts w:ascii="Palatino Linotype" w:hAnsi="Palatino Linotype" w:cs="Tahoma"/>
          <w:bCs/>
          <w:i/>
          <w:sz w:val="22"/>
        </w:rPr>
      </w:pPr>
      <w:r w:rsidRPr="0023383E">
        <w:rPr>
          <w:rFonts w:ascii="Palatino Linotype" w:hAnsi="Palatino Linotype" w:cs="Tahoma"/>
          <w:bCs/>
          <w:i/>
          <w:sz w:val="22"/>
        </w:rPr>
        <w:t>Que la información solicitada se refiera a actuaciones, diligencias o constancias propias del procedimiento.</w:t>
      </w:r>
    </w:p>
    <w:p w:rsidR="00D27727" w:rsidRPr="0023383E" w:rsidRDefault="00D27727" w:rsidP="00D27727">
      <w:pPr>
        <w:pStyle w:val="Sinespaciado"/>
        <w:rPr>
          <w:lang w:val="es-ES"/>
        </w:rPr>
      </w:pPr>
    </w:p>
    <w:p w:rsidR="00D27727" w:rsidRPr="0023383E" w:rsidRDefault="00D27727" w:rsidP="0029071C">
      <w:pPr>
        <w:spacing w:line="360" w:lineRule="auto"/>
        <w:jc w:val="both"/>
        <w:rPr>
          <w:rFonts w:ascii="Palatino Linotype" w:hAnsi="Palatino Linotype" w:cs="Tahoma"/>
          <w:bCs/>
        </w:rPr>
      </w:pPr>
      <w:r w:rsidRPr="0023383E">
        <w:rPr>
          <w:rFonts w:ascii="Palatino Linotype" w:hAnsi="Palatino Linotype" w:cs="Tahoma"/>
          <w:bCs/>
        </w:rPr>
        <w:t xml:space="preserve">Con base en lo expuesto, se advierte que la información susceptible de clasificarse como </w:t>
      </w:r>
      <w:r w:rsidRPr="0023383E">
        <w:rPr>
          <w:rFonts w:ascii="Palatino Linotype" w:hAnsi="Palatino Linotype" w:cs="Tahoma"/>
          <w:b/>
          <w:bCs/>
        </w:rPr>
        <w:t>RESERVADA</w:t>
      </w:r>
      <w:r w:rsidRPr="0023383E">
        <w:rPr>
          <w:rFonts w:ascii="Palatino Linotype" w:hAnsi="Palatino Linotype" w:cs="Tahoma"/>
          <w:bCs/>
        </w:rPr>
        <w:t xml:space="preserve"> bajo el supuesto aludido por el </w:t>
      </w:r>
      <w:r w:rsidRPr="0023383E">
        <w:rPr>
          <w:rFonts w:ascii="Palatino Linotype" w:hAnsi="Palatino Linotype" w:cs="Tahoma"/>
          <w:b/>
          <w:bCs/>
        </w:rPr>
        <w:t>Sujeto Obligado</w:t>
      </w:r>
      <w:r w:rsidRPr="0023383E">
        <w:rPr>
          <w:rFonts w:ascii="Palatino Linotype" w:hAnsi="Palatino Linotype" w:cs="Tahoma"/>
          <w:bCs/>
        </w:rPr>
        <w:t>, es aquella cuya difusión, pueda obstruir o impedir el ejercicio de las facultades que llevan a cabo las autoridades competentes para recaudar, fiscalizar y comprobar el cumplimiento de las obligaciones fiscales en términos de las disposiciones normativas aplicables, en tanto no hayan causado estado.</w:t>
      </w:r>
    </w:p>
    <w:p w:rsidR="00D27727" w:rsidRPr="0023383E" w:rsidRDefault="00D27727" w:rsidP="0029071C">
      <w:pPr>
        <w:spacing w:line="360" w:lineRule="auto"/>
        <w:jc w:val="both"/>
        <w:rPr>
          <w:rFonts w:ascii="Palatino Linotype" w:hAnsi="Palatino Linotype" w:cs="Tahoma"/>
          <w:bCs/>
        </w:rPr>
      </w:pPr>
    </w:p>
    <w:p w:rsidR="0029071C" w:rsidRPr="0023383E" w:rsidRDefault="0029071C" w:rsidP="0029071C">
      <w:pPr>
        <w:spacing w:line="360" w:lineRule="auto"/>
        <w:jc w:val="both"/>
        <w:rPr>
          <w:rFonts w:ascii="Palatino Linotype" w:eastAsiaTheme="minorHAnsi" w:hAnsi="Palatino Linotype" w:cs="Arial"/>
          <w:lang w:val="es-MX" w:eastAsia="es-CO"/>
        </w:rPr>
      </w:pPr>
      <w:r w:rsidRPr="0023383E">
        <w:rPr>
          <w:rFonts w:ascii="Palatino Linotype" w:eastAsiaTheme="minorHAnsi" w:hAnsi="Palatino Linotype" w:cs="Arial"/>
          <w:lang w:val="es-MX" w:eastAsia="es-CO"/>
        </w:rPr>
        <w:t xml:space="preserve">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w:t>
      </w:r>
      <w:r w:rsidRPr="0023383E">
        <w:rPr>
          <w:rFonts w:ascii="Palatino Linotype" w:eastAsiaTheme="minorHAnsi" w:hAnsi="Palatino Linotype" w:cs="Arial"/>
          <w:lang w:val="es-MX" w:eastAsia="es-CO"/>
        </w:rPr>
        <w:lastRenderedPageBreak/>
        <w:t xml:space="preserve">documentación ilegible, incompleta o tachada; ya que el no justificar las causas o motivos por las que no </w:t>
      </w:r>
      <w:r w:rsidR="0023383E">
        <w:rPr>
          <w:rFonts w:ascii="Palatino Linotype" w:eastAsiaTheme="minorHAnsi" w:hAnsi="Palatino Linotype" w:cs="Arial"/>
          <w:lang w:val="es-MX" w:eastAsia="es-CO"/>
        </w:rPr>
        <w:t xml:space="preserve">se aprecian determinados datos </w:t>
      </w:r>
      <w:r w:rsidR="0023383E" w:rsidRPr="0023383E">
        <w:rPr>
          <w:rFonts w:ascii="Palatino Linotype" w:eastAsiaTheme="minorHAnsi" w:hAnsi="Palatino Linotype" w:cs="Arial"/>
          <w:i/>
          <w:lang w:val="es-MX" w:eastAsia="es-CO"/>
        </w:rPr>
        <w:t>-</w:t>
      </w:r>
      <w:r w:rsidRPr="0023383E">
        <w:rPr>
          <w:rFonts w:ascii="Palatino Linotype" w:eastAsiaTheme="minorHAnsi" w:hAnsi="Palatino Linotype" w:cs="Arial"/>
          <w:i/>
          <w:lang w:val="es-MX" w:eastAsia="es-CO"/>
        </w:rPr>
        <w:t>ya sea porque se testan o suprimen</w:t>
      </w:r>
      <w:r w:rsidR="0023383E" w:rsidRPr="0023383E">
        <w:rPr>
          <w:rFonts w:ascii="Palatino Linotype" w:eastAsiaTheme="minorHAnsi" w:hAnsi="Palatino Linotype" w:cs="Arial"/>
          <w:i/>
          <w:lang w:val="es-MX" w:eastAsia="es-CO"/>
        </w:rPr>
        <w:t>-</w:t>
      </w:r>
      <w:r w:rsidRPr="0023383E">
        <w:rPr>
          <w:rFonts w:ascii="Palatino Linotype" w:eastAsiaTheme="minorHAnsi" w:hAnsi="Palatino Linotype" w:cs="Arial"/>
          <w:lang w:val="es-MX" w:eastAsia="es-CO"/>
        </w:rPr>
        <w:t>, deja al solicitante en estado de incertidumbre, al no conocer o comprender porque no aparecen en la documentación respectiva.</w:t>
      </w:r>
    </w:p>
    <w:p w:rsidR="0029071C" w:rsidRPr="0023383E" w:rsidRDefault="0029071C" w:rsidP="0029071C">
      <w:pPr>
        <w:spacing w:line="360" w:lineRule="auto"/>
        <w:jc w:val="both"/>
        <w:rPr>
          <w:rFonts w:ascii="Palatino Linotype" w:eastAsiaTheme="minorHAnsi" w:hAnsi="Palatino Linotype" w:cs="Arial"/>
          <w:lang w:val="es-MX" w:eastAsia="es-CO"/>
        </w:rPr>
      </w:pPr>
    </w:p>
    <w:p w:rsidR="0029071C" w:rsidRPr="0023383E" w:rsidRDefault="0029071C" w:rsidP="0029071C">
      <w:pPr>
        <w:spacing w:line="360" w:lineRule="auto"/>
        <w:jc w:val="both"/>
        <w:rPr>
          <w:rFonts w:ascii="Palatino Linotype" w:eastAsiaTheme="minorHAnsi" w:hAnsi="Palatino Linotype" w:cstheme="minorBidi"/>
          <w:lang w:val="es-MX" w:eastAsia="en-US"/>
        </w:rPr>
      </w:pPr>
      <w:r w:rsidRPr="0023383E">
        <w:rPr>
          <w:rFonts w:ascii="Palatino Linotype" w:eastAsiaTheme="minorHAnsi" w:hAnsi="Palatino Linotype" w:cs="Arial"/>
          <w:lang w:val="es-MX" w:eastAsia="es-MX"/>
        </w:rPr>
        <w:t>Final</w:t>
      </w:r>
      <w:r w:rsidRPr="0023383E">
        <w:rPr>
          <w:rFonts w:ascii="Palatino Linotype" w:eastAsiaTheme="minorHAnsi" w:hAnsi="Palatino Linotype" w:cstheme="minorBidi"/>
          <w:lang w:val="es-MX" w:eastAsia="en-US"/>
        </w:rPr>
        <w:t xml:space="preserve">mente y en mérito de lo expuesto en líneas anteriores, resultan fundados los motivos de inconformidad vertidos por </w:t>
      </w:r>
      <w:r w:rsidRPr="0023383E">
        <w:rPr>
          <w:rFonts w:ascii="Palatino Linotype" w:eastAsiaTheme="minorHAnsi" w:hAnsi="Palatino Linotype" w:cstheme="minorBidi"/>
          <w:b/>
          <w:lang w:val="es-MX" w:eastAsia="en-US"/>
        </w:rPr>
        <w:t>El Recurrente</w:t>
      </w:r>
      <w:r w:rsidRPr="0023383E">
        <w:rPr>
          <w:rFonts w:ascii="Palatino Linotype" w:eastAsiaTheme="minorHAnsi" w:hAnsi="Palatino Linotype" w:cstheme="minorBidi"/>
          <w:lang w:val="es-MX" w:eastAsia="en-US"/>
        </w:rPr>
        <w:t xml:space="preserve">, por ello con fundamento en la </w:t>
      </w:r>
      <w:r w:rsidRPr="0023383E">
        <w:rPr>
          <w:rFonts w:ascii="Palatino Linotype" w:eastAsiaTheme="minorHAnsi" w:hAnsi="Palatino Linotype" w:cstheme="minorBidi"/>
          <w:i/>
          <w:lang w:val="es-MX" w:eastAsia="en-US"/>
        </w:rPr>
        <w:t>primera hipótesis</w:t>
      </w:r>
      <w:r w:rsidRPr="0023383E">
        <w:rPr>
          <w:rFonts w:ascii="Palatino Linotype" w:eastAsiaTheme="minorHAnsi" w:hAnsi="Palatino Linotype" w:cstheme="minorBidi"/>
          <w:lang w:val="es-MX" w:eastAsia="en-US"/>
        </w:rPr>
        <w:t xml:space="preserve"> del artículo 186, fracción III, de la Ley de Transparencia y Acceso a la Información Pública del Estado de México y Municipios, se </w:t>
      </w:r>
      <w:r w:rsidRPr="0023383E">
        <w:rPr>
          <w:rFonts w:ascii="Palatino Linotype" w:eastAsiaTheme="minorHAnsi" w:hAnsi="Palatino Linotype" w:cstheme="minorBidi"/>
          <w:b/>
          <w:lang w:val="es-MX" w:eastAsia="en-US"/>
        </w:rPr>
        <w:t xml:space="preserve">REVOCA </w:t>
      </w:r>
      <w:r w:rsidRPr="0023383E">
        <w:rPr>
          <w:rFonts w:ascii="Palatino Linotype" w:eastAsiaTheme="minorHAnsi" w:hAnsi="Palatino Linotype" w:cstheme="minorBidi"/>
          <w:lang w:val="es-MX" w:eastAsia="en-US"/>
        </w:rPr>
        <w:t xml:space="preserve">la respuesta a la solicitud de información </w:t>
      </w:r>
      <w:r w:rsidR="0057289F" w:rsidRPr="0023383E">
        <w:rPr>
          <w:rFonts w:ascii="Palatino Linotype" w:eastAsiaTheme="minorHAnsi" w:hAnsi="Palatino Linotype" w:cs="Arial"/>
          <w:b/>
          <w:lang w:val="es-MX" w:eastAsia="en-US"/>
        </w:rPr>
        <w:t>00013/IMPIDPD/IP/2021</w:t>
      </w:r>
      <w:r w:rsidRPr="0023383E">
        <w:rPr>
          <w:rFonts w:ascii="Palatino Linotype" w:eastAsiaTheme="minorHAnsi" w:hAnsi="Palatino Linotype" w:cs="Arial"/>
          <w:lang w:val="es-MX" w:eastAsia="en-US"/>
        </w:rPr>
        <w:t xml:space="preserve">, </w:t>
      </w:r>
      <w:r w:rsidRPr="0023383E">
        <w:rPr>
          <w:rFonts w:ascii="Palatino Linotype" w:eastAsiaTheme="minorHAnsi" w:hAnsi="Palatino Linotype" w:cstheme="minorBidi"/>
          <w:lang w:val="es-MX" w:eastAsia="en-US"/>
        </w:rPr>
        <w:t>que ha sido materia del presente fallo.</w:t>
      </w:r>
    </w:p>
    <w:p w:rsidR="0029071C" w:rsidRPr="0023383E" w:rsidRDefault="0029071C" w:rsidP="0029071C">
      <w:pPr>
        <w:spacing w:line="360" w:lineRule="auto"/>
        <w:jc w:val="both"/>
        <w:rPr>
          <w:rFonts w:ascii="Palatino Linotype" w:eastAsiaTheme="minorHAnsi" w:hAnsi="Palatino Linotype" w:cs="Arial"/>
          <w:b/>
          <w:bCs/>
          <w:color w:val="333333"/>
          <w:lang w:val="es-MX" w:eastAsia="en-US"/>
        </w:rPr>
      </w:pPr>
    </w:p>
    <w:p w:rsidR="0029071C" w:rsidRPr="0023383E" w:rsidRDefault="0029071C" w:rsidP="0029071C">
      <w:pPr>
        <w:spacing w:line="360" w:lineRule="auto"/>
        <w:jc w:val="both"/>
        <w:rPr>
          <w:rFonts w:ascii="Palatino Linotype" w:eastAsiaTheme="minorHAnsi" w:hAnsi="Palatino Linotype" w:cstheme="minorBidi"/>
          <w:lang w:val="es-MX" w:eastAsia="en-US"/>
        </w:rPr>
      </w:pPr>
      <w:r w:rsidRPr="0023383E">
        <w:rPr>
          <w:rFonts w:ascii="Palatino Linotype" w:eastAsiaTheme="minorHAnsi" w:hAnsi="Palatino Linotype" w:cstheme="minorBidi"/>
          <w:lang w:val="es-MX" w:eastAsia="en-US"/>
        </w:rPr>
        <w:t xml:space="preserve">Por lo antes expuesto y fundado. </w:t>
      </w:r>
    </w:p>
    <w:p w:rsidR="0057289F" w:rsidRPr="0023383E" w:rsidRDefault="0057289F" w:rsidP="0029071C">
      <w:pPr>
        <w:spacing w:line="360" w:lineRule="auto"/>
        <w:jc w:val="both"/>
        <w:rPr>
          <w:rFonts w:ascii="Palatino Linotype" w:eastAsiaTheme="minorHAnsi" w:hAnsi="Palatino Linotype" w:cstheme="minorBidi"/>
          <w:lang w:val="es-MX" w:eastAsia="en-US"/>
        </w:rPr>
      </w:pPr>
    </w:p>
    <w:p w:rsidR="0029071C" w:rsidRPr="0023383E" w:rsidRDefault="0029071C" w:rsidP="0029071C">
      <w:pPr>
        <w:spacing w:line="360" w:lineRule="auto"/>
        <w:jc w:val="center"/>
        <w:rPr>
          <w:rFonts w:ascii="Palatino Linotype" w:hAnsi="Palatino Linotype" w:cstheme="minorBidi"/>
          <w:b/>
          <w:bCs/>
          <w:spacing w:val="60"/>
          <w:sz w:val="28"/>
          <w:lang w:val="es-ES_tradnl" w:eastAsia="en-US"/>
        </w:rPr>
      </w:pPr>
      <w:r w:rsidRPr="0023383E">
        <w:rPr>
          <w:rFonts w:ascii="Palatino Linotype" w:hAnsi="Palatino Linotype" w:cstheme="minorBidi"/>
          <w:b/>
          <w:bCs/>
          <w:spacing w:val="60"/>
          <w:sz w:val="28"/>
          <w:lang w:val="es-ES_tradnl" w:eastAsia="en-US"/>
        </w:rPr>
        <w:t>SE    RESUELVE</w:t>
      </w:r>
    </w:p>
    <w:p w:rsidR="0029071C" w:rsidRPr="0023383E" w:rsidRDefault="0029071C" w:rsidP="0029071C">
      <w:pPr>
        <w:rPr>
          <w:rFonts w:ascii="Palatino Linotype" w:hAnsi="Palatino Linotype"/>
          <w:lang w:val="es-ES_tradnl"/>
        </w:rPr>
      </w:pPr>
    </w:p>
    <w:p w:rsidR="0029071C" w:rsidRPr="0023383E"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r w:rsidRPr="0023383E">
        <w:rPr>
          <w:rFonts w:ascii="Palatino Linotype" w:eastAsiaTheme="minorHAnsi" w:hAnsi="Palatino Linotype" w:cs="Arial"/>
          <w:b/>
          <w:sz w:val="28"/>
          <w:szCs w:val="28"/>
          <w:lang w:val="es-ES_tradnl" w:eastAsia="en-US"/>
        </w:rPr>
        <w:t>PRIMERO.</w:t>
      </w:r>
      <w:r w:rsidRPr="0023383E">
        <w:rPr>
          <w:rFonts w:ascii="Palatino Linotype" w:eastAsiaTheme="minorHAnsi" w:hAnsi="Palatino Linotype" w:cs="Arial"/>
          <w:lang w:val="es-ES_tradnl" w:eastAsia="en-US"/>
        </w:rPr>
        <w:t xml:space="preserve"> </w:t>
      </w:r>
      <w:r w:rsidRPr="0023383E">
        <w:rPr>
          <w:rFonts w:ascii="Palatino Linotype" w:eastAsiaTheme="minorHAnsi" w:hAnsi="Palatino Linotype" w:cs="Arial"/>
          <w:lang w:val="es-MX" w:eastAsia="en-US"/>
        </w:rPr>
        <w:t>Se</w:t>
      </w:r>
      <w:r w:rsidRPr="0023383E">
        <w:rPr>
          <w:rFonts w:ascii="Palatino Linotype" w:eastAsiaTheme="minorHAnsi" w:hAnsi="Palatino Linotype" w:cs="Arial"/>
          <w:b/>
          <w:lang w:val="es-MX" w:eastAsia="en-US"/>
        </w:rPr>
        <w:t xml:space="preserve"> REVOCA </w:t>
      </w:r>
      <w:r w:rsidRPr="0023383E">
        <w:rPr>
          <w:rFonts w:ascii="Palatino Linotype" w:eastAsia="Arial Unicode MS" w:hAnsi="Palatino Linotype" w:cs="Arial"/>
          <w:lang w:val="es-MX" w:eastAsia="en-US"/>
        </w:rPr>
        <w:t xml:space="preserve">la respuesta entregada por </w:t>
      </w:r>
      <w:r w:rsidRPr="0023383E">
        <w:rPr>
          <w:rFonts w:ascii="Palatino Linotype" w:eastAsia="Arial Unicode MS" w:hAnsi="Palatino Linotype" w:cs="Arial"/>
          <w:b/>
          <w:lang w:val="es-MX" w:eastAsia="en-US"/>
        </w:rPr>
        <w:t xml:space="preserve">El Sujeto Obligado </w:t>
      </w:r>
      <w:r w:rsidRPr="0023383E">
        <w:rPr>
          <w:rFonts w:ascii="Palatino Linotype" w:eastAsia="Arial Unicode MS" w:hAnsi="Palatino Linotype" w:cs="Arial"/>
          <w:lang w:val="es-MX" w:eastAsia="en-US"/>
        </w:rPr>
        <w:t xml:space="preserve">a la solicitud de información número </w:t>
      </w:r>
      <w:r w:rsidR="0057289F" w:rsidRPr="0023383E">
        <w:rPr>
          <w:rFonts w:ascii="Palatino Linotype" w:eastAsiaTheme="minorHAnsi" w:hAnsi="Palatino Linotype" w:cs="Arial"/>
          <w:b/>
          <w:lang w:val="es-MX" w:eastAsia="en-US"/>
        </w:rPr>
        <w:t>00013/IMPIDPD/IP/2021</w:t>
      </w:r>
      <w:r w:rsidRPr="0023383E">
        <w:rPr>
          <w:rFonts w:ascii="Palatino Linotype" w:eastAsiaTheme="minorHAnsi" w:hAnsi="Palatino Linotype" w:cs="Arial"/>
          <w:lang w:val="es-MX" w:eastAsia="en-US"/>
        </w:rPr>
        <w:t>, por resultar fundados los motivos de inconformidad vertidos por el</w:t>
      </w:r>
      <w:r w:rsidRPr="0023383E">
        <w:rPr>
          <w:rFonts w:ascii="Palatino Linotype" w:eastAsiaTheme="minorHAnsi" w:hAnsi="Palatino Linotype" w:cs="Arial"/>
          <w:b/>
          <w:lang w:val="es-MX" w:eastAsia="en-US"/>
        </w:rPr>
        <w:t xml:space="preserve"> Recurrente</w:t>
      </w:r>
      <w:r w:rsidRPr="0023383E">
        <w:rPr>
          <w:rFonts w:ascii="Palatino Linotype" w:eastAsiaTheme="minorHAnsi" w:hAnsi="Palatino Linotype" w:cs="Arial"/>
          <w:lang w:val="es-MX" w:eastAsia="en-US"/>
        </w:rPr>
        <w:t xml:space="preserve">, en términos del Considerando </w:t>
      </w:r>
      <w:r w:rsidRPr="0023383E">
        <w:rPr>
          <w:rFonts w:ascii="Palatino Linotype" w:eastAsiaTheme="minorHAnsi" w:hAnsi="Palatino Linotype" w:cs="Arial"/>
          <w:b/>
          <w:lang w:val="es-MX" w:eastAsia="en-US"/>
        </w:rPr>
        <w:t>QUINTO</w:t>
      </w:r>
      <w:r w:rsidRPr="0023383E">
        <w:rPr>
          <w:rFonts w:ascii="Palatino Linotype" w:eastAsiaTheme="minorHAnsi" w:hAnsi="Palatino Linotype" w:cs="Arial"/>
          <w:lang w:val="es-MX" w:eastAsia="en-US"/>
        </w:rPr>
        <w:t xml:space="preserve"> de ésta resolución.</w:t>
      </w:r>
    </w:p>
    <w:p w:rsidR="0029071C" w:rsidRPr="0023383E"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p>
    <w:p w:rsidR="0029071C" w:rsidRPr="0023383E" w:rsidRDefault="0029071C" w:rsidP="0029071C">
      <w:pPr>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b/>
          <w:sz w:val="28"/>
          <w:szCs w:val="28"/>
          <w:lang w:val="es-MX" w:eastAsia="en-US"/>
        </w:rPr>
        <w:t>SEGUNDO.</w:t>
      </w:r>
      <w:r w:rsidRPr="0023383E">
        <w:rPr>
          <w:rFonts w:ascii="Palatino Linotype" w:eastAsiaTheme="minorHAnsi" w:hAnsi="Palatino Linotype" w:cs="Arial"/>
          <w:lang w:val="es-MX" w:eastAsia="en-US"/>
        </w:rPr>
        <w:t xml:space="preserve"> Se </w:t>
      </w:r>
      <w:r w:rsidRPr="0023383E">
        <w:rPr>
          <w:rFonts w:ascii="Palatino Linotype" w:eastAsiaTheme="minorHAnsi" w:hAnsi="Palatino Linotype" w:cs="Arial"/>
          <w:b/>
          <w:lang w:val="es-MX" w:eastAsia="en-US"/>
        </w:rPr>
        <w:t>ORDENA</w:t>
      </w:r>
      <w:r w:rsidRPr="0023383E">
        <w:rPr>
          <w:rFonts w:ascii="Palatino Linotype" w:eastAsiaTheme="minorHAnsi" w:hAnsi="Palatino Linotype" w:cs="Arial"/>
          <w:lang w:val="es-MX" w:eastAsia="en-US"/>
        </w:rPr>
        <w:t xml:space="preserve"> al </w:t>
      </w:r>
      <w:r w:rsidRPr="0023383E">
        <w:rPr>
          <w:rFonts w:ascii="Palatino Linotype" w:eastAsiaTheme="minorHAnsi" w:hAnsi="Palatino Linotype" w:cs="Arial"/>
          <w:b/>
          <w:lang w:val="es-MX" w:eastAsia="en-US"/>
        </w:rPr>
        <w:t>Sujeto Obligado</w:t>
      </w:r>
      <w:r w:rsidRPr="0023383E">
        <w:rPr>
          <w:rFonts w:ascii="Palatino Linotype" w:eastAsiaTheme="minorHAnsi" w:hAnsi="Palatino Linotype" w:cs="Arial"/>
          <w:lang w:val="es-MX" w:eastAsia="en-US"/>
        </w:rPr>
        <w:t xml:space="preserve"> haga entrega al </w:t>
      </w:r>
      <w:r w:rsidRPr="0023383E">
        <w:rPr>
          <w:rFonts w:ascii="Palatino Linotype" w:eastAsiaTheme="minorHAnsi" w:hAnsi="Palatino Linotype" w:cs="Arial"/>
          <w:b/>
          <w:lang w:val="es-MX" w:eastAsia="en-US"/>
        </w:rPr>
        <w:t xml:space="preserve">Recurrente </w:t>
      </w:r>
      <w:r w:rsidRPr="0023383E">
        <w:rPr>
          <w:rFonts w:ascii="Palatino Linotype" w:eastAsiaTheme="minorHAnsi" w:hAnsi="Palatino Linotype" w:cs="Arial"/>
          <w:lang w:val="es-MX" w:eastAsia="en-US"/>
        </w:rPr>
        <w:t xml:space="preserve">en términos del Considerando </w:t>
      </w:r>
      <w:r w:rsidRPr="0023383E">
        <w:rPr>
          <w:rFonts w:ascii="Palatino Linotype" w:eastAsiaTheme="minorHAnsi" w:hAnsi="Palatino Linotype" w:cs="Arial"/>
          <w:b/>
          <w:lang w:val="es-MX" w:eastAsia="en-US"/>
        </w:rPr>
        <w:t xml:space="preserve">QUINTO </w:t>
      </w:r>
      <w:r w:rsidRPr="0023383E">
        <w:rPr>
          <w:rFonts w:ascii="Palatino Linotype" w:eastAsiaTheme="minorHAnsi" w:hAnsi="Palatino Linotype" w:cs="Arial"/>
          <w:lang w:val="es-MX" w:eastAsia="en-US"/>
        </w:rPr>
        <w:t xml:space="preserve">de esta resolución, previa búsqueda exhaustiva </w:t>
      </w:r>
      <w:r w:rsidRPr="0023383E">
        <w:rPr>
          <w:rFonts w:ascii="Palatino Linotype" w:eastAsiaTheme="minorHAnsi" w:hAnsi="Palatino Linotype" w:cs="Arial"/>
          <w:lang w:val="es-MX" w:eastAsia="en-US"/>
        </w:rPr>
        <w:lastRenderedPageBreak/>
        <w:t>y razonable, a través del</w:t>
      </w:r>
      <w:r w:rsidRPr="0023383E">
        <w:rPr>
          <w:rFonts w:ascii="Palatino Linotype" w:eastAsiaTheme="minorHAnsi" w:hAnsi="Palatino Linotype" w:cs="Arial"/>
          <w:b/>
          <w:lang w:val="es-MX" w:eastAsia="en-US"/>
        </w:rPr>
        <w:t xml:space="preserve"> </w:t>
      </w:r>
      <w:r w:rsidRPr="0023383E">
        <w:rPr>
          <w:rFonts w:ascii="Palatino Linotype" w:eastAsiaTheme="minorHAnsi" w:hAnsi="Palatino Linotype" w:cs="Arial"/>
          <w:szCs w:val="22"/>
          <w:lang w:val="es-MX" w:eastAsia="en-US"/>
        </w:rPr>
        <w:t xml:space="preserve">Sistema de Acceso a la Información Mexiquense </w:t>
      </w:r>
      <w:r w:rsidRPr="0023383E">
        <w:rPr>
          <w:rFonts w:ascii="Palatino Linotype" w:eastAsiaTheme="minorHAnsi" w:hAnsi="Palatino Linotype" w:cs="Arial"/>
          <w:b/>
          <w:szCs w:val="22"/>
          <w:lang w:val="es-MX" w:eastAsia="en-US"/>
        </w:rPr>
        <w:t>(SAIMEX)</w:t>
      </w:r>
      <w:r w:rsidR="002A040B" w:rsidRPr="0023383E">
        <w:rPr>
          <w:rFonts w:ascii="Palatino Linotype" w:eastAsiaTheme="minorHAnsi" w:hAnsi="Palatino Linotype" w:cs="Arial"/>
          <w:lang w:val="es-MX" w:eastAsia="en-US"/>
        </w:rPr>
        <w:t>, correspondiente a los</w:t>
      </w:r>
      <w:r w:rsidRPr="0023383E">
        <w:rPr>
          <w:rFonts w:ascii="Palatino Linotype" w:eastAsiaTheme="minorHAnsi" w:hAnsi="Palatino Linotype" w:cs="Arial"/>
          <w:lang w:val="es-MX" w:eastAsia="en-US"/>
        </w:rPr>
        <w:t xml:space="preserve"> año</w:t>
      </w:r>
      <w:r w:rsidR="002A040B" w:rsidRPr="0023383E">
        <w:rPr>
          <w:rFonts w:ascii="Palatino Linotype" w:eastAsiaTheme="minorHAnsi" w:hAnsi="Palatino Linotype" w:cs="Arial"/>
          <w:lang w:val="es-MX" w:eastAsia="en-US"/>
        </w:rPr>
        <w:t>s</w:t>
      </w:r>
      <w:r w:rsidRPr="0023383E">
        <w:rPr>
          <w:rFonts w:ascii="Palatino Linotype" w:eastAsiaTheme="minorHAnsi" w:hAnsi="Palatino Linotype" w:cs="Arial"/>
          <w:lang w:val="es-MX" w:eastAsia="en-US"/>
        </w:rPr>
        <w:t xml:space="preserve"> </w:t>
      </w:r>
      <w:r w:rsidR="002A040B" w:rsidRPr="0023383E">
        <w:rPr>
          <w:rFonts w:ascii="Palatino Linotype" w:eastAsiaTheme="minorHAnsi" w:hAnsi="Palatino Linotype" w:cs="Arial"/>
          <w:lang w:val="es-MX" w:eastAsia="en-US"/>
        </w:rPr>
        <w:t>2018, 2019, 2020 y septiembre 2021,</w:t>
      </w:r>
      <w:r w:rsidRPr="0023383E">
        <w:rPr>
          <w:rFonts w:ascii="Palatino Linotype" w:eastAsiaTheme="minorHAnsi" w:hAnsi="Palatino Linotype" w:cs="Arial"/>
          <w:lang w:val="es-MX" w:eastAsia="en-US"/>
        </w:rPr>
        <w:t xml:space="preserve"> la versión pública e</w:t>
      </w:r>
      <w:r w:rsidR="002A040B" w:rsidRPr="0023383E">
        <w:rPr>
          <w:rFonts w:ascii="Palatino Linotype" w:eastAsiaTheme="minorHAnsi" w:hAnsi="Palatino Linotype" w:cs="Arial"/>
          <w:lang w:val="es-MX" w:eastAsia="en-US"/>
        </w:rPr>
        <w:t>n los casos que sea procedente, de lo siguiente:</w:t>
      </w:r>
    </w:p>
    <w:p w:rsidR="002A040B" w:rsidRPr="0023383E" w:rsidRDefault="002A040B" w:rsidP="0029071C">
      <w:pPr>
        <w:spacing w:line="360" w:lineRule="auto"/>
        <w:jc w:val="both"/>
        <w:rPr>
          <w:rFonts w:ascii="Palatino Linotype" w:eastAsiaTheme="minorHAnsi" w:hAnsi="Palatino Linotype" w:cs="Arial"/>
          <w:lang w:val="es-MX" w:eastAsia="en-US"/>
        </w:rPr>
      </w:pPr>
    </w:p>
    <w:p w:rsidR="002A040B" w:rsidRPr="0023383E" w:rsidRDefault="002A040B" w:rsidP="002A040B">
      <w:pPr>
        <w:pStyle w:val="Prrafodelista"/>
        <w:numPr>
          <w:ilvl w:val="0"/>
          <w:numId w:val="25"/>
        </w:numPr>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Los Expedientes completos de todas las auditorías concluidas de los entes de Fiscalización, Órganos Internos de Control y/o cualquier otro Organismo con facultades para ejercer auditorías al Instituto Mexiquense para la Protección e Integración al Desarrollo de las Personas con Discapacidad.</w:t>
      </w:r>
    </w:p>
    <w:p w:rsidR="002A040B" w:rsidRPr="0023383E" w:rsidRDefault="002A040B" w:rsidP="0029071C">
      <w:pPr>
        <w:spacing w:line="276" w:lineRule="auto"/>
        <w:ind w:left="567" w:right="567"/>
        <w:jc w:val="both"/>
        <w:rPr>
          <w:rFonts w:ascii="Palatino Linotype" w:eastAsiaTheme="minorHAnsi" w:hAnsi="Palatino Linotype" w:cs="Arial"/>
          <w:i/>
          <w:sz w:val="23"/>
          <w:szCs w:val="23"/>
          <w:lang w:val="es-MX" w:eastAsia="en-US"/>
        </w:rPr>
      </w:pPr>
    </w:p>
    <w:p w:rsidR="002A040B" w:rsidRPr="0023383E" w:rsidRDefault="0029071C" w:rsidP="002A040B">
      <w:pPr>
        <w:spacing w:line="276" w:lineRule="auto"/>
        <w:ind w:left="567" w:right="567"/>
        <w:jc w:val="both"/>
        <w:rPr>
          <w:rFonts w:ascii="Palatino Linotype" w:eastAsiaTheme="minorHAnsi" w:hAnsi="Palatino Linotype" w:cs="Arial"/>
          <w:i/>
          <w:sz w:val="23"/>
          <w:szCs w:val="23"/>
          <w:lang w:val="es-MX" w:eastAsia="en-US"/>
        </w:rPr>
      </w:pPr>
      <w:r w:rsidRPr="0023383E">
        <w:rPr>
          <w:rFonts w:ascii="Palatino Linotype" w:eastAsiaTheme="minorHAnsi" w:hAnsi="Palatino Linotype" w:cs="Arial"/>
          <w:i/>
          <w:sz w:val="23"/>
          <w:szCs w:val="23"/>
          <w:lang w:val="es-MX" w:eastAsia="en-US"/>
        </w:rPr>
        <w:t xml:space="preserve">Para la entrega en versión pública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y se ponga a disposición del </w:t>
      </w:r>
      <w:r w:rsidRPr="0023383E">
        <w:rPr>
          <w:rFonts w:ascii="Palatino Linotype" w:eastAsiaTheme="minorHAnsi" w:hAnsi="Palatino Linotype" w:cs="Arial"/>
          <w:b/>
          <w:i/>
          <w:sz w:val="23"/>
          <w:szCs w:val="23"/>
          <w:lang w:val="es-MX" w:eastAsia="en-US"/>
        </w:rPr>
        <w:t>Recurrente</w:t>
      </w:r>
      <w:r w:rsidRPr="0023383E">
        <w:rPr>
          <w:rFonts w:ascii="Palatino Linotype" w:eastAsiaTheme="minorHAnsi" w:hAnsi="Palatino Linotype" w:cs="Arial"/>
          <w:i/>
          <w:sz w:val="23"/>
          <w:szCs w:val="23"/>
          <w:lang w:val="es-MX" w:eastAsia="en-US"/>
        </w:rPr>
        <w:t>.</w:t>
      </w:r>
    </w:p>
    <w:p w:rsidR="00217E6C" w:rsidRPr="0023383E" w:rsidRDefault="00217E6C" w:rsidP="002A040B">
      <w:pPr>
        <w:spacing w:line="276" w:lineRule="auto"/>
        <w:ind w:left="567" w:right="567"/>
        <w:jc w:val="both"/>
        <w:rPr>
          <w:rFonts w:ascii="Palatino Linotype" w:hAnsi="Palatino Linotype" w:cs="Arial"/>
          <w:i/>
          <w:sz w:val="23"/>
          <w:szCs w:val="23"/>
          <w:lang w:eastAsia="en-US"/>
        </w:rPr>
      </w:pPr>
    </w:p>
    <w:p w:rsidR="002A040B" w:rsidRPr="0023383E" w:rsidRDefault="002A040B" w:rsidP="002A040B">
      <w:pPr>
        <w:spacing w:line="276" w:lineRule="auto"/>
        <w:ind w:left="567" w:right="567"/>
        <w:jc w:val="both"/>
        <w:rPr>
          <w:rFonts w:ascii="Palatino Linotype" w:eastAsiaTheme="minorHAnsi" w:hAnsi="Palatino Linotype" w:cs="Arial"/>
          <w:i/>
          <w:sz w:val="23"/>
          <w:szCs w:val="23"/>
          <w:lang w:val="es-MX" w:eastAsia="en-US"/>
        </w:rPr>
      </w:pPr>
      <w:r w:rsidRPr="0023383E">
        <w:rPr>
          <w:rFonts w:ascii="Palatino Linotype" w:hAnsi="Palatino Linotype" w:cs="Arial"/>
          <w:i/>
          <w:sz w:val="23"/>
          <w:szCs w:val="23"/>
          <w:lang w:eastAsia="en-US"/>
        </w:rPr>
        <w:t xml:space="preserve">Para el caso en el que se cuente con auditorías no concluidas, </w:t>
      </w:r>
      <w:r w:rsidRPr="0023383E">
        <w:rPr>
          <w:rFonts w:ascii="Palatino Linotype" w:hAnsi="Palatino Linotype"/>
          <w:i/>
          <w:sz w:val="23"/>
          <w:szCs w:val="23"/>
        </w:rPr>
        <w:t xml:space="preserve">deberá emitirse el Acuerdo de Clasificación respectivo en el que se funden y motiven las razones de su </w:t>
      </w:r>
      <w:r w:rsidRPr="0023383E">
        <w:rPr>
          <w:rFonts w:ascii="Palatino Linotype" w:hAnsi="Palatino Linotype"/>
          <w:b/>
          <w:i/>
          <w:sz w:val="23"/>
          <w:szCs w:val="23"/>
        </w:rPr>
        <w:t>RESERVA</w:t>
      </w:r>
      <w:r w:rsidRPr="0023383E">
        <w:rPr>
          <w:rFonts w:ascii="Palatino Linotype" w:hAnsi="Palatino Linotype"/>
          <w:i/>
          <w:sz w:val="23"/>
          <w:szCs w:val="23"/>
        </w:rPr>
        <w:t xml:space="preserve">, mismo que se hará del conocimiento </w:t>
      </w:r>
      <w:r w:rsidRPr="0023383E">
        <w:rPr>
          <w:rFonts w:ascii="Palatino Linotype" w:hAnsi="Palatino Linotype"/>
          <w:b/>
          <w:i/>
          <w:sz w:val="23"/>
          <w:szCs w:val="23"/>
        </w:rPr>
        <w:t>del Recurrente</w:t>
      </w:r>
      <w:r w:rsidRPr="0023383E">
        <w:rPr>
          <w:rFonts w:ascii="Palatino Linotype" w:hAnsi="Palatino Linotype"/>
          <w:i/>
          <w:sz w:val="23"/>
          <w:szCs w:val="23"/>
        </w:rPr>
        <w:t>.</w:t>
      </w:r>
    </w:p>
    <w:p w:rsidR="0029071C" w:rsidRPr="0023383E" w:rsidRDefault="0029071C" w:rsidP="002A040B">
      <w:pPr>
        <w:ind w:right="567"/>
        <w:jc w:val="both"/>
        <w:rPr>
          <w:rFonts w:ascii="Palatino Linotype" w:hAnsi="Palatino Linotype" w:cs="Arial"/>
          <w:i/>
          <w:sz w:val="23"/>
          <w:szCs w:val="23"/>
          <w:lang w:val="es-MX"/>
        </w:rPr>
      </w:pPr>
    </w:p>
    <w:p w:rsidR="0029071C" w:rsidRPr="0023383E" w:rsidRDefault="0029071C" w:rsidP="0029071C">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r w:rsidRPr="0023383E">
        <w:rPr>
          <w:rFonts w:ascii="Palatino Linotype" w:eastAsiaTheme="minorHAnsi" w:hAnsi="Palatino Linotype" w:cs="Arial"/>
          <w:b/>
          <w:sz w:val="28"/>
          <w:szCs w:val="28"/>
          <w:lang w:val="es-ES_tradnl" w:eastAsia="en-US"/>
        </w:rPr>
        <w:t xml:space="preserve">TERCERO. </w:t>
      </w:r>
      <w:r w:rsidRPr="0023383E">
        <w:rPr>
          <w:rFonts w:ascii="Palatino Linotype" w:eastAsiaTheme="minorHAnsi" w:hAnsi="Palatino Linotype" w:cs="Arial"/>
          <w:b/>
          <w:szCs w:val="28"/>
          <w:lang w:val="es-ES_tradnl" w:eastAsia="en-US"/>
        </w:rPr>
        <w:t>NOTIFÍQUESE</w:t>
      </w:r>
      <w:r w:rsidRPr="0023383E">
        <w:rPr>
          <w:rFonts w:ascii="Palatino Linotype" w:eastAsiaTheme="minorHAnsi" w:hAnsi="Palatino Linotype" w:cs="Arial"/>
          <w:b/>
          <w:sz w:val="28"/>
          <w:szCs w:val="28"/>
          <w:lang w:val="es-ES_tradnl" w:eastAsia="en-US"/>
        </w:rPr>
        <w:t xml:space="preserve"> </w:t>
      </w:r>
      <w:r w:rsidRPr="0023383E">
        <w:rPr>
          <w:rFonts w:ascii="Palatino Linotype" w:eastAsiaTheme="minorHAnsi" w:hAnsi="Palatino Linotype" w:cs="Arial"/>
          <w:szCs w:val="28"/>
          <w:lang w:val="es-ES_tradnl" w:eastAsia="en-US"/>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w:t>
      </w:r>
    </w:p>
    <w:p w:rsidR="0029071C" w:rsidRPr="0023383E" w:rsidRDefault="0029071C" w:rsidP="0029071C">
      <w:pPr>
        <w:autoSpaceDE w:val="0"/>
        <w:autoSpaceDN w:val="0"/>
        <w:adjustRightInd w:val="0"/>
        <w:spacing w:line="360" w:lineRule="auto"/>
        <w:ind w:right="49"/>
        <w:jc w:val="both"/>
        <w:rPr>
          <w:rFonts w:ascii="Palatino Linotype" w:eastAsiaTheme="minorHAnsi" w:hAnsi="Palatino Linotype" w:cs="Arial"/>
          <w:szCs w:val="28"/>
          <w:lang w:val="es-ES_tradnl" w:eastAsia="en-US"/>
        </w:rPr>
      </w:pPr>
    </w:p>
    <w:p w:rsidR="0029071C" w:rsidRPr="0023383E" w:rsidRDefault="0029071C" w:rsidP="0029071C">
      <w:pPr>
        <w:spacing w:line="360" w:lineRule="auto"/>
        <w:jc w:val="both"/>
        <w:rPr>
          <w:rFonts w:ascii="Palatino Linotype" w:eastAsiaTheme="minorHAnsi" w:hAnsi="Palatino Linotype" w:cs="Arial"/>
          <w:bCs/>
          <w:szCs w:val="28"/>
          <w:lang w:val="es-MX" w:eastAsia="en-US"/>
        </w:rPr>
      </w:pPr>
      <w:r w:rsidRPr="0023383E">
        <w:rPr>
          <w:rFonts w:ascii="Palatino Linotype" w:eastAsiaTheme="minorHAnsi" w:hAnsi="Palatino Linotype" w:cs="Arial"/>
          <w:b/>
          <w:bCs/>
          <w:sz w:val="28"/>
          <w:szCs w:val="28"/>
          <w:lang w:val="es-MX" w:eastAsia="en-US"/>
        </w:rPr>
        <w:lastRenderedPageBreak/>
        <w:t>CUARTO.</w:t>
      </w:r>
      <w:r w:rsidRPr="0023383E">
        <w:rPr>
          <w:rFonts w:ascii="Palatino Linotype" w:eastAsiaTheme="minorHAnsi" w:hAnsi="Palatino Linotype" w:cs="Arial"/>
          <w:bCs/>
          <w:szCs w:val="28"/>
          <w:lang w:val="es-MX" w:eastAsia="en-US"/>
        </w:rPr>
        <w:t xml:space="preserve"> De conformidad con el artículo 198, de la Ley de Transparencia y Acceso a la Información Pública del Estado de México y Municipios, de considerarlo procedente, el </w:t>
      </w:r>
      <w:r w:rsidRPr="0023383E">
        <w:rPr>
          <w:rFonts w:ascii="Palatino Linotype" w:eastAsiaTheme="minorHAnsi" w:hAnsi="Palatino Linotype" w:cs="Arial"/>
          <w:b/>
          <w:bCs/>
          <w:szCs w:val="28"/>
          <w:lang w:val="es-MX" w:eastAsia="en-US"/>
        </w:rPr>
        <w:t>Sujeto Obligado</w:t>
      </w:r>
      <w:r w:rsidRPr="0023383E">
        <w:rPr>
          <w:rFonts w:ascii="Palatino Linotype" w:eastAsiaTheme="minorHAnsi" w:hAnsi="Palatino Linotype" w:cs="Arial"/>
          <w:bCs/>
          <w:szCs w:val="28"/>
          <w:lang w:val="es-MX" w:eastAsia="en-US"/>
        </w:rPr>
        <w:t xml:space="preserve"> de manera fundada y motivada, podrá solicitar una ampliación de plazo para el cumplimiento de la presente resolución.</w:t>
      </w:r>
    </w:p>
    <w:p w:rsidR="0029071C" w:rsidRPr="0023383E" w:rsidRDefault="0029071C" w:rsidP="0029071C">
      <w:pPr>
        <w:autoSpaceDE w:val="0"/>
        <w:autoSpaceDN w:val="0"/>
        <w:adjustRightInd w:val="0"/>
        <w:spacing w:line="360" w:lineRule="auto"/>
        <w:ind w:right="49"/>
        <w:jc w:val="both"/>
        <w:rPr>
          <w:rFonts w:ascii="Palatino Linotype" w:eastAsiaTheme="minorHAnsi" w:hAnsi="Palatino Linotype" w:cs="Arial"/>
          <w:b/>
          <w:szCs w:val="28"/>
          <w:lang w:val="es-MX" w:eastAsia="en-US"/>
        </w:rPr>
      </w:pPr>
    </w:p>
    <w:p w:rsidR="0029071C" w:rsidRPr="0023383E"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r w:rsidRPr="0023383E">
        <w:rPr>
          <w:rFonts w:ascii="Palatino Linotype" w:eastAsiaTheme="minorHAnsi" w:hAnsi="Palatino Linotype" w:cs="Arial"/>
          <w:b/>
          <w:sz w:val="28"/>
          <w:szCs w:val="28"/>
          <w:lang w:val="es-MX" w:eastAsia="en-US"/>
        </w:rPr>
        <w:t>QUINTO.</w:t>
      </w:r>
      <w:r w:rsidRPr="0023383E">
        <w:rPr>
          <w:rFonts w:ascii="Palatino Linotype" w:eastAsiaTheme="minorHAnsi" w:hAnsi="Palatino Linotype" w:cs="Arial"/>
          <w:b/>
          <w:lang w:val="es-MX" w:eastAsia="en-US"/>
        </w:rPr>
        <w:t xml:space="preserve"> NOTIFÍQUESE</w:t>
      </w:r>
      <w:r w:rsidRPr="0023383E">
        <w:rPr>
          <w:rFonts w:ascii="Palatino Linotype" w:eastAsiaTheme="minorHAnsi" w:hAnsi="Palatino Linotype" w:cs="Arial"/>
          <w:lang w:val="es-MX" w:eastAsia="en-US"/>
        </w:rPr>
        <w:t xml:space="preserve"> al </w:t>
      </w:r>
      <w:r w:rsidRPr="0023383E">
        <w:rPr>
          <w:rFonts w:ascii="Palatino Linotype" w:eastAsiaTheme="minorHAnsi" w:hAnsi="Palatino Linotype" w:cs="Arial"/>
          <w:b/>
          <w:lang w:val="es-MX" w:eastAsia="en-US"/>
        </w:rPr>
        <w:t>Recurrente</w:t>
      </w:r>
      <w:r w:rsidRPr="0023383E">
        <w:rPr>
          <w:rFonts w:ascii="Palatino Linotype" w:eastAsiaTheme="minorHAnsi" w:hAnsi="Palatino Linotype" w:cs="Arial"/>
          <w:lang w:val="es-MX" w:eastAsia="en-US"/>
        </w:rPr>
        <w:t xml:space="preserve"> la presente resolución a través del </w:t>
      </w:r>
      <w:r w:rsidRPr="0023383E">
        <w:rPr>
          <w:rFonts w:ascii="Palatino Linotype" w:eastAsiaTheme="minorHAnsi" w:hAnsi="Palatino Linotype" w:cs="Arial"/>
          <w:szCs w:val="22"/>
          <w:lang w:val="es-MX" w:eastAsia="en-US"/>
        </w:rPr>
        <w:t xml:space="preserve">Sistema de Acceso a la Información Mexiquense </w:t>
      </w:r>
      <w:r w:rsidRPr="0023383E">
        <w:rPr>
          <w:rFonts w:ascii="Palatino Linotype" w:eastAsiaTheme="minorHAnsi" w:hAnsi="Palatino Linotype" w:cs="Arial"/>
          <w:b/>
          <w:szCs w:val="22"/>
          <w:lang w:val="es-MX" w:eastAsia="en-US"/>
        </w:rPr>
        <w:t>(SAIMEX)</w:t>
      </w:r>
      <w:r w:rsidRPr="0023383E">
        <w:rPr>
          <w:rFonts w:ascii="Palatino Linotype" w:eastAsiaTheme="minorHAnsi" w:hAnsi="Palatino Linotype" w:cs="Arial"/>
          <w:b/>
          <w:lang w:val="es-MX" w:eastAsia="en-US"/>
        </w:rPr>
        <w:t>,</w:t>
      </w:r>
      <w:r w:rsidRPr="0023383E">
        <w:rPr>
          <w:rFonts w:ascii="Palatino Linotype" w:eastAsiaTheme="minorHAnsi" w:hAnsi="Palatino Linotype" w:cs="Arial"/>
          <w:lang w:val="es-MX" w:eastAsia="en-U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rsidR="0029071C" w:rsidRPr="0023383E" w:rsidRDefault="0029071C" w:rsidP="0029071C">
      <w:pPr>
        <w:autoSpaceDE w:val="0"/>
        <w:autoSpaceDN w:val="0"/>
        <w:adjustRightInd w:val="0"/>
        <w:spacing w:line="360" w:lineRule="auto"/>
        <w:ind w:right="49"/>
        <w:jc w:val="both"/>
        <w:rPr>
          <w:rFonts w:ascii="Palatino Linotype" w:eastAsiaTheme="minorHAnsi" w:hAnsi="Palatino Linotype" w:cs="Arial"/>
          <w:lang w:val="es-MX" w:eastAsia="en-US"/>
        </w:rPr>
      </w:pPr>
    </w:p>
    <w:p w:rsidR="0029071C" w:rsidRPr="00DC2B31" w:rsidRDefault="0029071C" w:rsidP="002A040B">
      <w:pPr>
        <w:spacing w:line="360" w:lineRule="auto"/>
        <w:jc w:val="both"/>
        <w:rPr>
          <w:rFonts w:ascii="Palatino Linotype" w:eastAsiaTheme="minorHAnsi" w:hAnsi="Palatino Linotype" w:cs="Arial"/>
          <w:lang w:val="es-MX" w:eastAsia="en-US"/>
        </w:rPr>
      </w:pPr>
      <w:r w:rsidRPr="0023383E">
        <w:rPr>
          <w:rFonts w:ascii="Palatino Linotype" w:eastAsiaTheme="minorHAnsi" w:hAnsi="Palatino Linotype" w:cs="Arial"/>
          <w:lang w:val="es-MX" w:eastAsia="en-US"/>
        </w:rPr>
        <w:t>ASÍ LO RESUELVE, POR UNANIMIDAD DE VOTOS, EL PLENO DEL</w:t>
      </w:r>
      <w:r w:rsidRPr="0023383E">
        <w:rPr>
          <w:rFonts w:ascii="Palatino Linotype" w:eastAsia="Arial Unicode MS" w:hAnsi="Palatino Linotype" w:cs="Arial"/>
          <w:lang w:val="es-MX" w:eastAsia="en-US"/>
        </w:rPr>
        <w:t xml:space="preserve"> INSTITUTO DE TRANSPARENCIA, ACCESO A LA INFORMACIÓN PÚBLICA Y PROTECCIÓN DE DATOS PERSONALES DEL ESTADO DE MÉXICO Y MUNICIPIOS</w:t>
      </w:r>
      <w:r w:rsidRPr="0023383E">
        <w:rPr>
          <w:rFonts w:ascii="Palatino Linotype" w:eastAsiaTheme="minorHAnsi" w:hAnsi="Palatino Linotype" w:cs="Arial"/>
          <w:lang w:val="es-MX" w:eastAsia="en-US"/>
        </w:rPr>
        <w:t xml:space="preserve">, CONFORMADO POR LOS COMISIONADOS JOSÉ MARTÍNEZ VILCHIS; MARÍA DEL ROSARIO MEJÍA AYALA; SHARON CRISTINA MORALES MARTÍNEZ; LUIS GUSTAVO PARRA NORIEGA Y GUADALUPE RAMÍREZ PEÑA; EN LA </w:t>
      </w:r>
      <w:r w:rsidR="00DC2B31" w:rsidRPr="0023383E">
        <w:rPr>
          <w:rFonts w:ascii="Palatino Linotype" w:eastAsiaTheme="minorHAnsi" w:hAnsi="Palatino Linotype" w:cs="Arial"/>
          <w:lang w:val="es-MX" w:eastAsia="en-US"/>
        </w:rPr>
        <w:t>CUADRA</w:t>
      </w:r>
      <w:r w:rsidRPr="0023383E">
        <w:rPr>
          <w:rFonts w:ascii="Palatino Linotype" w:eastAsiaTheme="minorHAnsi" w:hAnsi="Palatino Linotype" w:cs="Arial"/>
          <w:lang w:val="es-MX" w:eastAsia="en-US"/>
        </w:rPr>
        <w:t xml:space="preserve">GÉSIMA SESIÓN ORDINARIA CELEBRADA EL </w:t>
      </w:r>
      <w:r w:rsidR="00DC2B31" w:rsidRPr="0023383E">
        <w:rPr>
          <w:rFonts w:ascii="Palatino Linotype" w:hAnsi="Palatino Linotype" w:cs="Arial"/>
          <w:color w:val="000000"/>
          <w:lang w:val="es-MX" w:eastAsia="es-MX"/>
        </w:rPr>
        <w:t>DIEZ</w:t>
      </w:r>
      <w:r w:rsidRPr="0023383E">
        <w:rPr>
          <w:rFonts w:ascii="Palatino Linotype" w:hAnsi="Palatino Linotype" w:cs="Arial"/>
          <w:color w:val="000000"/>
          <w:lang w:val="es-MX" w:eastAsia="es-MX"/>
        </w:rPr>
        <w:t xml:space="preserve"> DE NOVIEMBRE DE</w:t>
      </w:r>
      <w:r w:rsidRPr="0023383E">
        <w:rPr>
          <w:rFonts w:ascii="Palatino Linotype" w:eastAsiaTheme="minorHAnsi" w:hAnsi="Palatino Linotype" w:cs="Arial"/>
          <w:lang w:val="es-MX" w:eastAsia="en-US"/>
        </w:rPr>
        <w:t xml:space="preserve"> DOS MIL VEINTIUNO, ANTE EL SECRETARIO TÉCNICO, ALEXIS TAPIA RAMÍREZ.---------------------------------------------------------------------------------------------------------------------------------------------------------------------------------------------------------------------</w:t>
      </w:r>
      <w:r w:rsidR="002A040B" w:rsidRPr="0023383E">
        <w:rPr>
          <w:rFonts w:ascii="Palatino Linotype" w:eastAsiaTheme="minorHAnsi" w:hAnsi="Palatino Linotype" w:cs="Arial"/>
          <w:sz w:val="18"/>
          <w:lang w:val="es-MX" w:eastAsia="en-US"/>
        </w:rPr>
        <w:t xml:space="preserve"> </w:t>
      </w:r>
      <w:r w:rsidRPr="0023383E">
        <w:rPr>
          <w:rFonts w:ascii="Palatino Linotype" w:eastAsiaTheme="minorHAnsi" w:hAnsi="Palatino Linotype" w:cs="Arial"/>
          <w:sz w:val="18"/>
          <w:lang w:val="es-MX" w:eastAsia="en-US"/>
        </w:rPr>
        <w:t>JMV/CCR/jasm</w:t>
      </w:r>
    </w:p>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Default="0029071C" w:rsidP="003E56C9"/>
    <w:p w:rsidR="0029071C" w:rsidRPr="003E56C9" w:rsidRDefault="0029071C" w:rsidP="003E56C9"/>
    <w:sectPr w:rsidR="0029071C" w:rsidRPr="003E56C9" w:rsidSect="0043515A">
      <w:headerReference w:type="even" r:id="rId17"/>
      <w:headerReference w:type="default" r:id="rId18"/>
      <w:footerReference w:type="default" r:id="rId19"/>
      <w:headerReference w:type="first" r:id="rId20"/>
      <w:footerReference w:type="first" r:id="rId21"/>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E3B16" w:rsidRDefault="00FE3B16" w:rsidP="000B5E25">
      <w:r>
        <w:separator/>
      </w:r>
    </w:p>
  </w:endnote>
  <w:endnote w:type="continuationSeparator" w:id="0">
    <w:p w:rsidR="00FE3B16" w:rsidRDefault="00FE3B16" w:rsidP="000B5E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Arial,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C4ADD">
      <w:rPr>
        <w:rFonts w:ascii="Palatino Linotype" w:hAnsi="Palatino Linotype" w:cs="Arial"/>
        <w:bCs/>
        <w:noProof/>
        <w:sz w:val="20"/>
        <w:szCs w:val="20"/>
      </w:rPr>
      <w:t>44</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C4ADD">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4B" w:rsidRPr="000D3AD4" w:rsidRDefault="00BB134B" w:rsidP="0043515A">
    <w:pPr>
      <w:pStyle w:val="Piedepgina"/>
      <w:jc w:val="right"/>
      <w:rPr>
        <w:rFonts w:ascii="Palatino Linotype" w:hAnsi="Palatino Linotype" w:cs="Arial"/>
        <w:sz w:val="20"/>
        <w:szCs w:val="20"/>
      </w:rPr>
    </w:pPr>
    <w:r w:rsidRPr="000D3AD4">
      <w:rPr>
        <w:rFonts w:ascii="Palatino Linotype" w:hAnsi="Palatino Linotype" w:cs="Arial"/>
        <w:bCs/>
        <w:sz w:val="20"/>
        <w:szCs w:val="20"/>
      </w:rPr>
      <w:t xml:space="preserve">Página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PAGE</w:instrText>
    </w:r>
    <w:r w:rsidRPr="000D3AD4">
      <w:rPr>
        <w:rFonts w:ascii="Palatino Linotype" w:hAnsi="Palatino Linotype" w:cs="Arial"/>
        <w:bCs/>
        <w:sz w:val="20"/>
        <w:szCs w:val="20"/>
      </w:rPr>
      <w:fldChar w:fldCharType="separate"/>
    </w:r>
    <w:r w:rsidR="00DC4ADD">
      <w:rPr>
        <w:rFonts w:ascii="Palatino Linotype" w:hAnsi="Palatino Linotype" w:cs="Arial"/>
        <w:bCs/>
        <w:noProof/>
        <w:sz w:val="20"/>
        <w:szCs w:val="20"/>
      </w:rPr>
      <w:t>1</w:t>
    </w:r>
    <w:r w:rsidRPr="000D3AD4">
      <w:rPr>
        <w:rFonts w:ascii="Palatino Linotype" w:hAnsi="Palatino Linotype" w:cs="Arial"/>
        <w:bCs/>
        <w:sz w:val="20"/>
        <w:szCs w:val="20"/>
      </w:rPr>
      <w:fldChar w:fldCharType="end"/>
    </w:r>
    <w:r w:rsidRPr="000D3AD4">
      <w:rPr>
        <w:rFonts w:ascii="Palatino Linotype" w:hAnsi="Palatino Linotype" w:cs="Arial"/>
        <w:sz w:val="20"/>
        <w:szCs w:val="20"/>
      </w:rPr>
      <w:t xml:space="preserve"> de </w:t>
    </w:r>
    <w:r w:rsidRPr="000D3AD4">
      <w:rPr>
        <w:rFonts w:ascii="Palatino Linotype" w:hAnsi="Palatino Linotype" w:cs="Arial"/>
        <w:bCs/>
        <w:sz w:val="20"/>
        <w:szCs w:val="20"/>
      </w:rPr>
      <w:fldChar w:fldCharType="begin"/>
    </w:r>
    <w:r w:rsidRPr="000D3AD4">
      <w:rPr>
        <w:rFonts w:ascii="Palatino Linotype" w:hAnsi="Palatino Linotype" w:cs="Arial"/>
        <w:bCs/>
        <w:sz w:val="20"/>
        <w:szCs w:val="20"/>
      </w:rPr>
      <w:instrText>NUMPAGES</w:instrText>
    </w:r>
    <w:r w:rsidRPr="000D3AD4">
      <w:rPr>
        <w:rFonts w:ascii="Palatino Linotype" w:hAnsi="Palatino Linotype" w:cs="Arial"/>
        <w:bCs/>
        <w:sz w:val="20"/>
        <w:szCs w:val="20"/>
      </w:rPr>
      <w:fldChar w:fldCharType="separate"/>
    </w:r>
    <w:r w:rsidR="00DC4ADD">
      <w:rPr>
        <w:rFonts w:ascii="Palatino Linotype" w:hAnsi="Palatino Linotype" w:cs="Arial"/>
        <w:bCs/>
        <w:noProof/>
        <w:sz w:val="20"/>
        <w:szCs w:val="20"/>
      </w:rPr>
      <w:t>46</w:t>
    </w:r>
    <w:r w:rsidRPr="000D3AD4">
      <w:rPr>
        <w:rFonts w:ascii="Palatino Linotype" w:hAnsi="Palatino Linotype" w:cs="Arial"/>
        <w:bCs/>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E3B16" w:rsidRDefault="00FE3B16" w:rsidP="000B5E25">
      <w:r>
        <w:separator/>
      </w:r>
    </w:p>
  </w:footnote>
  <w:footnote w:type="continuationSeparator" w:id="0">
    <w:p w:rsidR="00FE3B16" w:rsidRDefault="00FE3B16" w:rsidP="000B5E25">
      <w:r>
        <w:continuationSeparator/>
      </w:r>
    </w:p>
  </w:footnote>
  <w:footnote w:id="1">
    <w:p w:rsidR="00BB134B" w:rsidRPr="000D3AD4" w:rsidRDefault="00BB134B" w:rsidP="000D3AD4">
      <w:pPr>
        <w:pStyle w:val="Textonotapie"/>
        <w:jc w:val="both"/>
        <w:rPr>
          <w:rFonts w:ascii="Palatino Linotype" w:hAnsi="Palatino Linotype"/>
          <w:i/>
        </w:rPr>
      </w:pPr>
      <w:r>
        <w:rPr>
          <w:rStyle w:val="Refdenotaalpie"/>
        </w:rPr>
        <w:footnoteRef/>
      </w:r>
      <w:r>
        <w:t xml:space="preserve"> </w:t>
      </w:r>
      <w:r w:rsidRPr="000D3AD4">
        <w:rPr>
          <w:rFonts w:ascii="Palatino Linotype" w:hAnsi="Palatino Linotype"/>
          <w:i/>
        </w:rPr>
        <w:t>“</w:t>
      </w:r>
      <w:r w:rsidRPr="000D3AD4">
        <w:rPr>
          <w:rFonts w:ascii="Palatino Linotype" w:hAnsi="Palatino Linotype"/>
          <w:b/>
          <w:i/>
        </w:rPr>
        <w:t>Artículo 1.-</w:t>
      </w:r>
      <w:r w:rsidRPr="000D3AD4">
        <w:rPr>
          <w:rFonts w:ascii="Palatino Linotype" w:hAnsi="Palatino Linotype"/>
          <w:i/>
        </w:rPr>
        <w:t xml:space="preserve"> La presente Ley es de orden público e interés general y tiene por objeto establecer disposiciones para fiscalizar, auditar, revisar, substanciar, resolver y sancionar las cuentas y actos relativos a la aplicación de los fondos públicos del Estado y de los Municipios; así como los fondos públicos federales en los términos convenidos con dicho ámbito; asimismo, regular la organización, funcionamiento y atribuciones del órgano encargado de la aplicación de esta Ley.”</w:t>
      </w:r>
    </w:p>
    <w:p w:rsidR="00BB134B" w:rsidRPr="000D3AD4" w:rsidRDefault="00BB134B">
      <w:pPr>
        <w:pStyle w:val="Textonotapie"/>
        <w:rPr>
          <w:lang w:val="es-MX"/>
        </w:rPr>
      </w:pPr>
    </w:p>
  </w:footnote>
  <w:footnote w:id="2">
    <w:p w:rsidR="00BB134B" w:rsidRPr="000D3AD4" w:rsidRDefault="00BB134B" w:rsidP="000D3AD4">
      <w:pPr>
        <w:pStyle w:val="Textonotapie"/>
        <w:jc w:val="both"/>
        <w:rPr>
          <w:rFonts w:ascii="Palatino Linotype" w:hAnsi="Palatino Linotype"/>
          <w:i/>
        </w:rPr>
      </w:pPr>
      <w:r>
        <w:rPr>
          <w:rStyle w:val="Refdenotaalpie"/>
        </w:rPr>
        <w:footnoteRef/>
      </w:r>
      <w:r>
        <w:t xml:space="preserve"> </w:t>
      </w:r>
      <w:r w:rsidRPr="000D3AD4">
        <w:rPr>
          <w:rFonts w:ascii="Palatino Linotype" w:hAnsi="Palatino Linotype"/>
          <w:i/>
        </w:rPr>
        <w:t>“</w:t>
      </w:r>
      <w:r w:rsidRPr="000D3AD4">
        <w:rPr>
          <w:rFonts w:ascii="Palatino Linotype" w:hAnsi="Palatino Linotype"/>
          <w:b/>
          <w:i/>
        </w:rPr>
        <w:t>Artículo 4.-</w:t>
      </w:r>
      <w:r w:rsidRPr="000D3AD4">
        <w:rPr>
          <w:rFonts w:ascii="Palatino Linotype" w:hAnsi="Palatino Linotype"/>
          <w:i/>
        </w:rPr>
        <w:t xml:space="preserve"> Son </w:t>
      </w:r>
      <w:r w:rsidRPr="000D3AD4">
        <w:rPr>
          <w:rFonts w:ascii="Palatino Linotype" w:hAnsi="Palatino Linotype"/>
          <w:b/>
          <w:i/>
        </w:rPr>
        <w:t>sujetos de fiscalización</w:t>
      </w:r>
      <w:r w:rsidRPr="000D3AD4">
        <w:rPr>
          <w:rFonts w:ascii="Palatino Linotype" w:hAnsi="Palatino Linotype"/>
          <w:i/>
        </w:rPr>
        <w:t xml:space="preserve">: </w:t>
      </w:r>
      <w:r w:rsidRPr="001A6109">
        <w:rPr>
          <w:rFonts w:ascii="Palatino Linotype" w:hAnsi="Palatino Linotype"/>
          <w:i/>
        </w:rPr>
        <w:t>I. Los Poderes Públicos del Estado</w:t>
      </w:r>
      <w:r w:rsidRPr="000D3AD4">
        <w:rPr>
          <w:rFonts w:ascii="Palatino Linotype" w:hAnsi="Palatino Linotype"/>
          <w:i/>
        </w:rPr>
        <w:t xml:space="preserve">; </w:t>
      </w:r>
      <w:r w:rsidRPr="001A6109">
        <w:rPr>
          <w:rFonts w:ascii="Palatino Linotype" w:hAnsi="Palatino Linotype"/>
          <w:i/>
        </w:rPr>
        <w:t>II. Los municipios del Estado de México</w:t>
      </w:r>
      <w:r w:rsidRPr="000D3AD4">
        <w:rPr>
          <w:rFonts w:ascii="Palatino Linotype" w:hAnsi="Palatino Linotype"/>
          <w:i/>
        </w:rPr>
        <w:t xml:space="preserve">; III. Los organismos autónomos; </w:t>
      </w:r>
      <w:r w:rsidRPr="001A6109">
        <w:rPr>
          <w:rFonts w:ascii="Palatino Linotype" w:hAnsi="Palatino Linotype"/>
          <w:b/>
          <w:i/>
          <w:u w:val="single"/>
        </w:rPr>
        <w:t>IV. Los organismos auxiliares</w:t>
      </w:r>
      <w:r w:rsidRPr="000D3AD4">
        <w:rPr>
          <w:rFonts w:ascii="Palatino Linotype" w:hAnsi="Palatino Linotype"/>
          <w:i/>
        </w:rPr>
        <w:t>; V. Los fideicomisos públicos o privados que manejen recursos del Estado y Municipios, o en su caso de la federación; VI. Cualquier entidad, persona física o jurídica colectiva, pública o privada, mandato, fondo u otra figura análoga que haya captado, recaudado, administrado, manejado, ejercido, cobrado o recibido en pago directo o indirectamente con recursos públicos del Estado o Municipios, o en su caso de la federación.”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134B" w:rsidRDefault="00DC4ADD">
    <w:pPr>
      <w:pStyle w:val="Encabezado"/>
    </w:pPr>
    <w:r>
      <w:rPr>
        <w:noProof/>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3" o:spid="_x0000_s2050" type="#_x0000_t75" style="position:absolute;margin-left:0;margin-top:0;width:609.4pt;height:793.75pt;z-index:-251657216;mso-position-horizontal:center;mso-position-horizontal-relative:margin;mso-position-vertical:center;mso-position-vertical-relative:margin" o:allowincell="f">
          <v:imagedata r:id="rId1" o:title="logo infoem (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237" w:type="dxa"/>
      <w:tblInd w:w="2835" w:type="dxa"/>
      <w:tblLayout w:type="fixed"/>
      <w:tblLook w:val="04A0" w:firstRow="1" w:lastRow="0" w:firstColumn="1" w:lastColumn="0" w:noHBand="0" w:noVBand="1"/>
    </w:tblPr>
    <w:tblGrid>
      <w:gridCol w:w="2552"/>
      <w:gridCol w:w="3685"/>
    </w:tblGrid>
    <w:tr w:rsidR="00BB134B" w:rsidRPr="008F2CCC" w:rsidTr="00732345">
      <w:tc>
        <w:tcPr>
          <w:tcW w:w="2552" w:type="dxa"/>
          <w:shd w:val="clear" w:color="auto" w:fill="auto"/>
        </w:tcPr>
        <w:p w:rsidR="00BB134B" w:rsidRPr="00807CDA" w:rsidRDefault="00BB134B" w:rsidP="0043515A">
          <w:pPr>
            <w:spacing w:line="276" w:lineRule="auto"/>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BB134B" w:rsidRPr="0029071C" w:rsidRDefault="00BB134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04955/INFOEM/IP/RR/2021</w:t>
          </w:r>
        </w:p>
      </w:tc>
    </w:tr>
    <w:tr w:rsidR="00BB134B" w:rsidRPr="008F2CCC" w:rsidTr="00732345">
      <w:tc>
        <w:tcPr>
          <w:tcW w:w="2552" w:type="dxa"/>
          <w:shd w:val="clear" w:color="auto" w:fill="auto"/>
        </w:tcPr>
        <w:p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BB134B" w:rsidRPr="0029071C" w:rsidRDefault="00BB134B" w:rsidP="00E5647F">
          <w:pPr>
            <w:spacing w:line="276" w:lineRule="auto"/>
            <w:jc w:val="right"/>
            <w:rPr>
              <w:rFonts w:ascii="Palatino Linotype" w:hAnsi="Palatino Linotype"/>
              <w:sz w:val="22"/>
              <w:szCs w:val="22"/>
              <w:lang w:val="es-ES_tradnl"/>
            </w:rPr>
          </w:pPr>
          <w:r w:rsidRPr="0029071C">
            <w:rPr>
              <w:rFonts w:ascii="Palatino Linotype" w:hAnsi="Palatino Linotype"/>
              <w:sz w:val="22"/>
              <w:szCs w:val="22"/>
            </w:rPr>
            <w:t>Instituto Mexiquense para la Protección e Integración al Desarrollo de las Personas con Discapacidad</w:t>
          </w:r>
        </w:p>
      </w:tc>
    </w:tr>
    <w:tr w:rsidR="00BB134B" w:rsidRPr="008F2CCC" w:rsidTr="00732345">
      <w:trPr>
        <w:trHeight w:val="228"/>
      </w:trPr>
      <w:tc>
        <w:tcPr>
          <w:tcW w:w="2552" w:type="dxa"/>
          <w:shd w:val="clear" w:color="auto" w:fill="auto"/>
        </w:tcPr>
        <w:p w:rsidR="00BB134B" w:rsidRPr="00807CDA" w:rsidRDefault="00BB134B" w:rsidP="0043515A">
          <w:pPr>
            <w:spacing w:line="276" w:lineRule="auto"/>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BB134B" w:rsidRPr="0029071C" w:rsidRDefault="00BB134B" w:rsidP="0043515A">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BB134B" w:rsidRPr="001779E0" w:rsidRDefault="00DC4ADD" w:rsidP="0043515A">
    <w:pPr>
      <w:pStyle w:val="Encabezado"/>
      <w:tabs>
        <w:tab w:val="clear" w:pos="4252"/>
        <w:tab w:val="clear" w:pos="8504"/>
        <w:tab w:val="left" w:pos="2326"/>
      </w:tabs>
      <w:rPr>
        <w:rFonts w:ascii="Palatino Linotype" w:hAnsi="Palatino Linotype"/>
        <w:sz w:val="20"/>
      </w:rPr>
    </w:pPr>
    <w:r>
      <w:rPr>
        <w:rFonts w:ascii="Palatino Linotype" w:hAnsi="Palatino Linotype"/>
        <w:noProof/>
        <w:sz w:val="2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4" o:spid="_x0000_s2051" type="#_x0000_t75" style="position:absolute;margin-left:-110.35pt;margin-top:-152pt;width:649.35pt;height:845.8pt;z-index:-251656192;mso-position-horizontal-relative:margin;mso-position-vertical-relative:margin" o:allowincell="f">
          <v:imagedata r:id="rId1" o:title="logo infoem (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520" w:type="dxa"/>
      <w:tblInd w:w="2552" w:type="dxa"/>
      <w:tblLayout w:type="fixed"/>
      <w:tblLook w:val="04A0" w:firstRow="1" w:lastRow="0" w:firstColumn="1" w:lastColumn="0" w:noHBand="0" w:noVBand="1"/>
    </w:tblPr>
    <w:tblGrid>
      <w:gridCol w:w="2835"/>
      <w:gridCol w:w="3685"/>
    </w:tblGrid>
    <w:tr w:rsidR="00BB134B" w:rsidRPr="008F2CCC" w:rsidTr="0029071C">
      <w:tc>
        <w:tcPr>
          <w:tcW w:w="2835" w:type="dxa"/>
          <w:shd w:val="clear" w:color="auto" w:fill="auto"/>
        </w:tcPr>
        <w:p w:rsidR="00BB134B" w:rsidRPr="00807CDA" w:rsidRDefault="00BB134B" w:rsidP="0029071C">
          <w:pPr>
            <w:spacing w:line="276" w:lineRule="auto"/>
            <w:jc w:val="both"/>
            <w:rPr>
              <w:rFonts w:ascii="Palatino Linotype" w:hAnsi="Palatino Linotype"/>
              <w:sz w:val="22"/>
              <w:szCs w:val="22"/>
              <w:lang w:val="es-ES_tradnl"/>
            </w:rPr>
          </w:pPr>
          <w:r w:rsidRPr="00807CDA">
            <w:rPr>
              <w:rFonts w:ascii="Palatino Linotype" w:hAnsi="Palatino Linotype"/>
              <w:sz w:val="22"/>
              <w:szCs w:val="22"/>
              <w:lang w:val="es-ES_tradnl"/>
            </w:rPr>
            <w:t>Recurso de revisión:</w:t>
          </w:r>
        </w:p>
      </w:tc>
      <w:tc>
        <w:tcPr>
          <w:tcW w:w="3685" w:type="dxa"/>
          <w:shd w:val="clear" w:color="auto" w:fill="auto"/>
          <w:vAlign w:val="center"/>
        </w:tcPr>
        <w:p w:rsidR="00BB134B" w:rsidRPr="0029071C" w:rsidRDefault="00BB134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04955/INFOEM/IP/RR/2021</w:t>
          </w:r>
        </w:p>
      </w:tc>
    </w:tr>
    <w:tr w:rsidR="00BB134B" w:rsidRPr="008F2CCC" w:rsidTr="0029071C">
      <w:tc>
        <w:tcPr>
          <w:tcW w:w="2835" w:type="dxa"/>
          <w:shd w:val="clear" w:color="auto" w:fill="auto"/>
          <w:vAlign w:val="center"/>
        </w:tcPr>
        <w:p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Recurrente</w:t>
          </w:r>
          <w:r w:rsidRPr="00807CDA">
            <w:rPr>
              <w:rFonts w:ascii="Palatino Linotype" w:hAnsi="Palatino Linotype"/>
              <w:sz w:val="22"/>
              <w:szCs w:val="22"/>
              <w:lang w:val="es-ES_tradnl"/>
            </w:rPr>
            <w:t>:</w:t>
          </w:r>
        </w:p>
      </w:tc>
      <w:tc>
        <w:tcPr>
          <w:tcW w:w="3685" w:type="dxa"/>
          <w:shd w:val="clear" w:color="auto" w:fill="auto"/>
          <w:vAlign w:val="center"/>
        </w:tcPr>
        <w:p w:rsidR="00BB134B" w:rsidRPr="0029071C" w:rsidRDefault="00DC4ADD" w:rsidP="0029071C">
          <w:pPr>
            <w:spacing w:line="276" w:lineRule="auto"/>
            <w:jc w:val="right"/>
            <w:rPr>
              <w:rFonts w:ascii="Palatino Linotype" w:hAnsi="Palatino Linotype"/>
              <w:sz w:val="22"/>
              <w:szCs w:val="22"/>
              <w:lang w:val="es-ES_tradnl"/>
            </w:rPr>
          </w:pPr>
          <w:proofErr w:type="spellStart"/>
          <w:r>
            <w:rPr>
              <w:rFonts w:ascii="Palatino Linotype" w:hAnsi="Palatino Linotype"/>
              <w:sz w:val="22"/>
              <w:szCs w:val="22"/>
              <w:lang w:val="es-ES_tradnl"/>
            </w:rPr>
            <w:t>xxxx</w:t>
          </w:r>
          <w:proofErr w:type="spellEnd"/>
        </w:p>
      </w:tc>
    </w:tr>
    <w:tr w:rsidR="00BB134B" w:rsidRPr="008F2CCC" w:rsidTr="0029071C">
      <w:trPr>
        <w:trHeight w:val="228"/>
      </w:trPr>
      <w:tc>
        <w:tcPr>
          <w:tcW w:w="2835" w:type="dxa"/>
          <w:shd w:val="clear" w:color="auto" w:fill="auto"/>
        </w:tcPr>
        <w:p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Sujeto Obligado</w:t>
          </w:r>
          <w:r w:rsidRPr="00807CDA">
            <w:rPr>
              <w:rFonts w:ascii="Palatino Linotype" w:hAnsi="Palatino Linotype"/>
              <w:sz w:val="22"/>
              <w:szCs w:val="22"/>
              <w:lang w:val="es-ES_tradnl"/>
            </w:rPr>
            <w:t>:</w:t>
          </w:r>
        </w:p>
      </w:tc>
      <w:tc>
        <w:tcPr>
          <w:tcW w:w="3685" w:type="dxa"/>
          <w:shd w:val="clear" w:color="auto" w:fill="auto"/>
          <w:vAlign w:val="center"/>
        </w:tcPr>
        <w:p w:rsidR="00BB134B" w:rsidRPr="0029071C" w:rsidRDefault="00BB134B" w:rsidP="0029071C">
          <w:pPr>
            <w:spacing w:line="276" w:lineRule="auto"/>
            <w:jc w:val="right"/>
            <w:rPr>
              <w:rFonts w:ascii="Palatino Linotype" w:hAnsi="Palatino Linotype"/>
              <w:sz w:val="22"/>
              <w:szCs w:val="22"/>
            </w:rPr>
          </w:pPr>
          <w:r w:rsidRPr="0029071C">
            <w:rPr>
              <w:rFonts w:ascii="Palatino Linotype" w:hAnsi="Palatino Linotype"/>
              <w:sz w:val="22"/>
              <w:szCs w:val="22"/>
            </w:rPr>
            <w:t>Instituto Mexiquense para la Protección e Integración al Desarrollo de las Personas con Discapacidad</w:t>
          </w:r>
        </w:p>
      </w:tc>
    </w:tr>
    <w:tr w:rsidR="00BB134B" w:rsidRPr="008F2CCC" w:rsidTr="0029071C">
      <w:tc>
        <w:tcPr>
          <w:tcW w:w="2835" w:type="dxa"/>
          <w:shd w:val="clear" w:color="auto" w:fill="auto"/>
        </w:tcPr>
        <w:p w:rsidR="00BB134B" w:rsidRPr="00807CDA" w:rsidRDefault="00BB134B" w:rsidP="0029071C">
          <w:pPr>
            <w:spacing w:line="276" w:lineRule="auto"/>
            <w:jc w:val="both"/>
            <w:rPr>
              <w:rFonts w:ascii="Palatino Linotype" w:hAnsi="Palatino Linotype"/>
              <w:sz w:val="22"/>
              <w:szCs w:val="22"/>
              <w:lang w:val="es-ES_tradnl"/>
            </w:rPr>
          </w:pPr>
          <w:r>
            <w:rPr>
              <w:rFonts w:ascii="Palatino Linotype" w:hAnsi="Palatino Linotype"/>
              <w:sz w:val="22"/>
              <w:szCs w:val="22"/>
              <w:lang w:val="es-ES_tradnl"/>
            </w:rPr>
            <w:t>Comisionado</w:t>
          </w:r>
          <w:r w:rsidRPr="00807CDA">
            <w:rPr>
              <w:rFonts w:ascii="Palatino Linotype" w:hAnsi="Palatino Linotype"/>
              <w:sz w:val="22"/>
              <w:szCs w:val="22"/>
              <w:lang w:val="es-ES_tradnl"/>
            </w:rPr>
            <w:t xml:space="preserve"> </w:t>
          </w:r>
          <w:r>
            <w:rPr>
              <w:rFonts w:ascii="Palatino Linotype" w:hAnsi="Palatino Linotype"/>
              <w:sz w:val="22"/>
              <w:szCs w:val="22"/>
              <w:lang w:val="es-ES_tradnl"/>
            </w:rPr>
            <w:t>P</w:t>
          </w:r>
          <w:r w:rsidRPr="00807CDA">
            <w:rPr>
              <w:rFonts w:ascii="Palatino Linotype" w:hAnsi="Palatino Linotype"/>
              <w:sz w:val="22"/>
              <w:szCs w:val="22"/>
              <w:lang w:val="es-ES_tradnl"/>
            </w:rPr>
            <w:t>onente:</w:t>
          </w:r>
        </w:p>
      </w:tc>
      <w:tc>
        <w:tcPr>
          <w:tcW w:w="3685" w:type="dxa"/>
          <w:shd w:val="clear" w:color="auto" w:fill="auto"/>
        </w:tcPr>
        <w:p w:rsidR="00BB134B" w:rsidRPr="0029071C" w:rsidRDefault="00BB134B" w:rsidP="0029071C">
          <w:pPr>
            <w:spacing w:line="276" w:lineRule="auto"/>
            <w:jc w:val="right"/>
            <w:rPr>
              <w:rFonts w:ascii="Palatino Linotype" w:hAnsi="Palatino Linotype"/>
              <w:sz w:val="22"/>
              <w:szCs w:val="22"/>
              <w:lang w:val="es-ES_tradnl"/>
            </w:rPr>
          </w:pPr>
          <w:r w:rsidRPr="0029071C">
            <w:rPr>
              <w:rFonts w:ascii="Palatino Linotype" w:hAnsi="Palatino Linotype"/>
              <w:sz w:val="22"/>
              <w:szCs w:val="22"/>
              <w:lang w:val="es-ES_tradnl"/>
            </w:rPr>
            <w:t>José Martínez Vilchis</w:t>
          </w:r>
        </w:p>
      </w:tc>
    </w:tr>
  </w:tbl>
  <w:p w:rsidR="00BB134B" w:rsidRPr="009F1AB6" w:rsidRDefault="00DC4ADD">
    <w:pPr>
      <w:pStyle w:val="Encabezado"/>
      <w:rPr>
        <w:sz w:val="10"/>
      </w:rPr>
    </w:pPr>
    <w:r>
      <w:rPr>
        <w:noProof/>
        <w:sz w:val="10"/>
        <w:lang w:val="es-MX" w:eastAsia="es-MX"/>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88449312" o:spid="_x0000_s2049" type="#_x0000_t75" style="position:absolute;margin-left:-102.55pt;margin-top:-163.5pt;width:628.7pt;height:818.9pt;z-index:-251658240;mso-position-horizontal-relative:margin;mso-position-vertical-relative:margin" o:allowincell="f">
          <v:imagedata r:id="rId1" o:title="logo infoem (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F04846"/>
    <w:multiLevelType w:val="hybridMultilevel"/>
    <w:tmpl w:val="D166C698"/>
    <w:lvl w:ilvl="0" w:tplc="45983B38">
      <w:start w:val="1"/>
      <w:numFmt w:val="upperRoman"/>
      <w:lvlText w:val="%1."/>
      <w:lvlJc w:val="left"/>
      <w:pPr>
        <w:ind w:left="1425" w:hanging="720"/>
      </w:pPr>
      <w:rPr>
        <w:rFonts w:hint="default"/>
        <w:b/>
        <w:i/>
        <w:color w:val="auto"/>
        <w:sz w:val="24"/>
      </w:rPr>
    </w:lvl>
    <w:lvl w:ilvl="1" w:tplc="080A0019" w:tentative="1">
      <w:start w:val="1"/>
      <w:numFmt w:val="lowerLetter"/>
      <w:lvlText w:val="%2."/>
      <w:lvlJc w:val="left"/>
      <w:pPr>
        <w:ind w:left="1785" w:hanging="360"/>
      </w:pPr>
    </w:lvl>
    <w:lvl w:ilvl="2" w:tplc="080A001B" w:tentative="1">
      <w:start w:val="1"/>
      <w:numFmt w:val="lowerRoman"/>
      <w:lvlText w:val="%3."/>
      <w:lvlJc w:val="right"/>
      <w:pPr>
        <w:ind w:left="2505" w:hanging="180"/>
      </w:pPr>
    </w:lvl>
    <w:lvl w:ilvl="3" w:tplc="080A000F" w:tentative="1">
      <w:start w:val="1"/>
      <w:numFmt w:val="decimal"/>
      <w:lvlText w:val="%4."/>
      <w:lvlJc w:val="left"/>
      <w:pPr>
        <w:ind w:left="3225" w:hanging="360"/>
      </w:pPr>
    </w:lvl>
    <w:lvl w:ilvl="4" w:tplc="080A0019" w:tentative="1">
      <w:start w:val="1"/>
      <w:numFmt w:val="lowerLetter"/>
      <w:lvlText w:val="%5."/>
      <w:lvlJc w:val="left"/>
      <w:pPr>
        <w:ind w:left="3945" w:hanging="360"/>
      </w:pPr>
    </w:lvl>
    <w:lvl w:ilvl="5" w:tplc="080A001B" w:tentative="1">
      <w:start w:val="1"/>
      <w:numFmt w:val="lowerRoman"/>
      <w:lvlText w:val="%6."/>
      <w:lvlJc w:val="right"/>
      <w:pPr>
        <w:ind w:left="4665" w:hanging="180"/>
      </w:pPr>
    </w:lvl>
    <w:lvl w:ilvl="6" w:tplc="080A000F" w:tentative="1">
      <w:start w:val="1"/>
      <w:numFmt w:val="decimal"/>
      <w:lvlText w:val="%7."/>
      <w:lvlJc w:val="left"/>
      <w:pPr>
        <w:ind w:left="5385" w:hanging="360"/>
      </w:pPr>
    </w:lvl>
    <w:lvl w:ilvl="7" w:tplc="080A0019" w:tentative="1">
      <w:start w:val="1"/>
      <w:numFmt w:val="lowerLetter"/>
      <w:lvlText w:val="%8."/>
      <w:lvlJc w:val="left"/>
      <w:pPr>
        <w:ind w:left="6105" w:hanging="360"/>
      </w:pPr>
    </w:lvl>
    <w:lvl w:ilvl="8" w:tplc="080A001B" w:tentative="1">
      <w:start w:val="1"/>
      <w:numFmt w:val="lowerRoman"/>
      <w:lvlText w:val="%9."/>
      <w:lvlJc w:val="right"/>
      <w:pPr>
        <w:ind w:left="6825" w:hanging="180"/>
      </w:pPr>
    </w:lvl>
  </w:abstractNum>
  <w:abstractNum w:abstractNumId="1" w15:restartNumberingAfterBreak="0">
    <w:nsid w:val="0F5728F2"/>
    <w:multiLevelType w:val="hybridMultilevel"/>
    <w:tmpl w:val="BEE60F72"/>
    <w:lvl w:ilvl="0" w:tplc="F286B25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1DC5534"/>
    <w:multiLevelType w:val="hybridMultilevel"/>
    <w:tmpl w:val="FA32176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215631B"/>
    <w:multiLevelType w:val="hybridMultilevel"/>
    <w:tmpl w:val="8CE8374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18621EE4"/>
    <w:multiLevelType w:val="hybridMultilevel"/>
    <w:tmpl w:val="E81E6D1C"/>
    <w:lvl w:ilvl="0" w:tplc="30D85BAE">
      <w:start w:val="1"/>
      <w:numFmt w:val="decimal"/>
      <w:lvlText w:val="%1)"/>
      <w:lvlJc w:val="left"/>
      <w:pPr>
        <w:ind w:left="720" w:hanging="360"/>
      </w:pPr>
      <w:rPr>
        <w:rFonts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910085C"/>
    <w:multiLevelType w:val="hybridMultilevel"/>
    <w:tmpl w:val="D57E042C"/>
    <w:lvl w:ilvl="0" w:tplc="793212E0">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2A4C5947"/>
    <w:multiLevelType w:val="hybridMultilevel"/>
    <w:tmpl w:val="60D4189E"/>
    <w:lvl w:ilvl="0" w:tplc="64769262">
      <w:start w:val="1"/>
      <w:numFmt w:val="upperRoman"/>
      <w:lvlText w:val="%1."/>
      <w:lvlJc w:val="left"/>
      <w:pPr>
        <w:ind w:left="1422" w:hanging="855"/>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7" w15:restartNumberingAfterBreak="0">
    <w:nsid w:val="2CD940A5"/>
    <w:multiLevelType w:val="hybridMultilevel"/>
    <w:tmpl w:val="92765B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2EC62219"/>
    <w:multiLevelType w:val="hybridMultilevel"/>
    <w:tmpl w:val="CB528A48"/>
    <w:lvl w:ilvl="0" w:tplc="080A0001">
      <w:numFmt w:val="bullet"/>
      <w:lvlText w:val=""/>
      <w:lvlJc w:val="left"/>
      <w:pPr>
        <w:ind w:left="720" w:hanging="360"/>
      </w:pPr>
      <w:rPr>
        <w:rFonts w:ascii="Symbol" w:eastAsia="Times New Roman" w:hAnsi="Symbol"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34317490"/>
    <w:multiLevelType w:val="hybridMultilevel"/>
    <w:tmpl w:val="FD30DC42"/>
    <w:lvl w:ilvl="0" w:tplc="92BE0B36">
      <w:start w:val="1"/>
      <w:numFmt w:val="decimal"/>
      <w:lvlText w:val="%1."/>
      <w:lvlJc w:val="left"/>
      <w:pPr>
        <w:ind w:left="4330" w:hanging="360"/>
      </w:pPr>
      <w:rPr>
        <w:rFonts w:ascii="Palatino Linotype" w:hAnsi="Palatino Linotype" w:hint="default"/>
        <w:b/>
        <w:i w:val="0"/>
        <w:color w:val="auto"/>
        <w:sz w:val="24"/>
      </w:rPr>
    </w:lvl>
    <w:lvl w:ilvl="1" w:tplc="689ED1C2">
      <w:start w:val="1"/>
      <w:numFmt w:val="upperRoman"/>
      <w:lvlText w:val="%2."/>
      <w:lvlJc w:val="left"/>
      <w:pPr>
        <w:ind w:left="1800" w:hanging="720"/>
      </w:pPr>
      <w:rPr>
        <w:rFonts w:ascii="Palatino Linotype" w:hAnsi="Palatino Linotype" w:hint="default"/>
        <w:b/>
        <w:color w:val="auto"/>
      </w:rPr>
    </w:lvl>
    <w:lvl w:ilvl="2" w:tplc="080A001B">
      <w:start w:val="1"/>
      <w:numFmt w:val="lowerRoman"/>
      <w:lvlText w:val="%3."/>
      <w:lvlJc w:val="right"/>
      <w:pPr>
        <w:ind w:left="2160" w:hanging="180"/>
      </w:pPr>
    </w:lvl>
    <w:lvl w:ilvl="3" w:tplc="080A0017">
      <w:start w:val="1"/>
      <w:numFmt w:val="lowerLetter"/>
      <w:lvlText w:val="%4)"/>
      <w:lvlJc w:val="left"/>
      <w:pPr>
        <w:ind w:left="2880" w:hanging="360"/>
      </w:pPr>
    </w:lvl>
    <w:lvl w:ilvl="4" w:tplc="080A0019">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37C12F26"/>
    <w:multiLevelType w:val="hybridMultilevel"/>
    <w:tmpl w:val="E4842C56"/>
    <w:lvl w:ilvl="0" w:tplc="3D5A3120">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1" w15:restartNumberingAfterBreak="0">
    <w:nsid w:val="4243357A"/>
    <w:multiLevelType w:val="hybridMultilevel"/>
    <w:tmpl w:val="04209F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47607EF0"/>
    <w:multiLevelType w:val="hybridMultilevel"/>
    <w:tmpl w:val="B4883D9E"/>
    <w:lvl w:ilvl="0" w:tplc="3544DD60">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F7B75DA"/>
    <w:multiLevelType w:val="hybridMultilevel"/>
    <w:tmpl w:val="12DE2018"/>
    <w:lvl w:ilvl="0" w:tplc="818C4DFC">
      <w:start w:val="1"/>
      <w:numFmt w:val="upperRoman"/>
      <w:lvlText w:val="%1."/>
      <w:lvlJc w:val="left"/>
      <w:pPr>
        <w:ind w:left="1287" w:hanging="72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4" w15:restartNumberingAfterBreak="0">
    <w:nsid w:val="59085686"/>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5C1D04B4"/>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A936641"/>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6EE524F3"/>
    <w:multiLevelType w:val="hybridMultilevel"/>
    <w:tmpl w:val="E8A6B3D2"/>
    <w:lvl w:ilvl="0" w:tplc="35D20F66">
      <w:start w:val="1"/>
      <w:numFmt w:val="decimal"/>
      <w:lvlText w:val="%1."/>
      <w:lvlJc w:val="left"/>
      <w:pPr>
        <w:ind w:left="720" w:hanging="360"/>
      </w:pPr>
      <w:rPr>
        <w:rFonts w:ascii="Palatino Linotype" w:hAnsi="Palatino Linotype" w:hint="default"/>
        <w:b/>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760E4230"/>
    <w:multiLevelType w:val="hybridMultilevel"/>
    <w:tmpl w:val="FDC2C9C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7B51F70"/>
    <w:multiLevelType w:val="hybridMultilevel"/>
    <w:tmpl w:val="91DC2F74"/>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78FB0505"/>
    <w:multiLevelType w:val="hybridMultilevel"/>
    <w:tmpl w:val="DF9A960C"/>
    <w:lvl w:ilvl="0" w:tplc="5DA05742">
      <w:start w:val="1"/>
      <w:numFmt w:val="upperRoman"/>
      <w:lvlText w:val="%1."/>
      <w:lvlJc w:val="left"/>
      <w:pPr>
        <w:ind w:left="1287" w:hanging="72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21" w15:restartNumberingAfterBreak="0">
    <w:nsid w:val="797A193D"/>
    <w:multiLevelType w:val="hybridMultilevel"/>
    <w:tmpl w:val="17FC8566"/>
    <w:lvl w:ilvl="0" w:tplc="2A5434D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B084263"/>
    <w:multiLevelType w:val="hybridMultilevel"/>
    <w:tmpl w:val="ACD28BC2"/>
    <w:lvl w:ilvl="0" w:tplc="080A0011">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F065D5B"/>
    <w:multiLevelType w:val="hybridMultilevel"/>
    <w:tmpl w:val="5882C87C"/>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19"/>
  </w:num>
  <w:num w:numId="3">
    <w:abstractNumId w:val="18"/>
  </w:num>
  <w:num w:numId="4">
    <w:abstractNumId w:val="7"/>
  </w:num>
  <w:num w:numId="5">
    <w:abstractNumId w:val="14"/>
  </w:num>
  <w:num w:numId="6">
    <w:abstractNumId w:val="13"/>
  </w:num>
  <w:num w:numId="7">
    <w:abstractNumId w:val="15"/>
  </w:num>
  <w:num w:numId="8">
    <w:abstractNumId w:val="0"/>
  </w:num>
  <w:num w:numId="9">
    <w:abstractNumId w:val="20"/>
  </w:num>
  <w:num w:numId="10">
    <w:abstractNumId w:val="23"/>
  </w:num>
  <w:num w:numId="11">
    <w:abstractNumId w:val="2"/>
  </w:num>
  <w:num w:numId="12">
    <w:abstractNumId w:val="6"/>
  </w:num>
  <w:num w:numId="13">
    <w:abstractNumId w:val="16"/>
  </w:num>
  <w:num w:numId="14">
    <w:abstractNumId w:val="22"/>
  </w:num>
  <w:num w:numId="15">
    <w:abstractNumId w:val="21"/>
  </w:num>
  <w:num w:numId="16">
    <w:abstractNumId w:val="5"/>
  </w:num>
  <w:num w:numId="17">
    <w:abstractNumId w:val="3"/>
  </w:num>
  <w:num w:numId="18">
    <w:abstractNumId w:val="1"/>
  </w:num>
  <w:num w:numId="19">
    <w:abstractNumId w:val="17"/>
  </w:num>
  <w:num w:numId="20">
    <w:abstractNumId w:val="8"/>
  </w:num>
  <w:num w:numId="21">
    <w:abstractNumId w:val="10"/>
  </w:num>
  <w:num w:numId="22">
    <w:abstractNumId w:val="9"/>
  </w:num>
  <w:num w:numId="23">
    <w:abstractNumId w:val="9"/>
    <w:lvlOverride w:ilvl="0">
      <w:startOverride w:val="1"/>
    </w:lvlOverride>
    <w:lvlOverride w:ilvl="1">
      <w:startOverride w:val="1"/>
    </w:lvlOverride>
    <w:lvlOverride w:ilvl="2">
      <w:startOverride w:val="4"/>
    </w:lvlOverride>
    <w:lvlOverride w:ilvl="3">
      <w:startOverride w:val="1"/>
    </w:lvlOverride>
    <w:lvlOverride w:ilvl="4">
      <w:startOverride w:val="104"/>
    </w:lvlOverride>
    <w:lvlOverride w:ilvl="5">
      <w:startOverride w:val="1"/>
    </w:lvlOverride>
    <w:lvlOverride w:ilvl="6">
      <w:startOverride w:val="1"/>
    </w:lvlOverride>
    <w:lvlOverride w:ilvl="7">
      <w:startOverride w:val="1"/>
    </w:lvlOverride>
    <w:lvlOverride w:ilvl="8">
      <w:startOverride w:val="1"/>
    </w:lvlOverride>
  </w:num>
  <w:num w:numId="24">
    <w:abstractNumId w:val="4"/>
  </w:num>
  <w:num w:numId="25">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E25"/>
    <w:rsid w:val="00036F8B"/>
    <w:rsid w:val="000572E9"/>
    <w:rsid w:val="00093AE1"/>
    <w:rsid w:val="000A717C"/>
    <w:rsid w:val="000B5E25"/>
    <w:rsid w:val="000C43CE"/>
    <w:rsid w:val="000D3AD4"/>
    <w:rsid w:val="000F16BA"/>
    <w:rsid w:val="00101AD8"/>
    <w:rsid w:val="00123996"/>
    <w:rsid w:val="0012510D"/>
    <w:rsid w:val="00186CCB"/>
    <w:rsid w:val="0019170F"/>
    <w:rsid w:val="001A6109"/>
    <w:rsid w:val="001D4046"/>
    <w:rsid w:val="001E45B5"/>
    <w:rsid w:val="0020249A"/>
    <w:rsid w:val="002167BB"/>
    <w:rsid w:val="00217E6C"/>
    <w:rsid w:val="00225163"/>
    <w:rsid w:val="0023383E"/>
    <w:rsid w:val="00235936"/>
    <w:rsid w:val="00236CBA"/>
    <w:rsid w:val="00267BB5"/>
    <w:rsid w:val="0029071C"/>
    <w:rsid w:val="00295B3F"/>
    <w:rsid w:val="002A040B"/>
    <w:rsid w:val="002A4B43"/>
    <w:rsid w:val="002A676F"/>
    <w:rsid w:val="002C0BE5"/>
    <w:rsid w:val="002E3085"/>
    <w:rsid w:val="002F3B20"/>
    <w:rsid w:val="00307006"/>
    <w:rsid w:val="0030701F"/>
    <w:rsid w:val="00330FC3"/>
    <w:rsid w:val="00343F0B"/>
    <w:rsid w:val="003520C5"/>
    <w:rsid w:val="003746DE"/>
    <w:rsid w:val="003804E8"/>
    <w:rsid w:val="00380D3E"/>
    <w:rsid w:val="003B1C85"/>
    <w:rsid w:val="003E56C9"/>
    <w:rsid w:val="004018F9"/>
    <w:rsid w:val="00425E0F"/>
    <w:rsid w:val="004344EA"/>
    <w:rsid w:val="0043515A"/>
    <w:rsid w:val="00442FD8"/>
    <w:rsid w:val="00443892"/>
    <w:rsid w:val="004445A1"/>
    <w:rsid w:val="00445CAA"/>
    <w:rsid w:val="004D6F71"/>
    <w:rsid w:val="00524A8D"/>
    <w:rsid w:val="00555C87"/>
    <w:rsid w:val="0057289F"/>
    <w:rsid w:val="0059032F"/>
    <w:rsid w:val="005A6216"/>
    <w:rsid w:val="005B234D"/>
    <w:rsid w:val="005B26AD"/>
    <w:rsid w:val="005B36A8"/>
    <w:rsid w:val="005B5693"/>
    <w:rsid w:val="005C6646"/>
    <w:rsid w:val="005D77CC"/>
    <w:rsid w:val="005E5716"/>
    <w:rsid w:val="006002E0"/>
    <w:rsid w:val="00620280"/>
    <w:rsid w:val="006258FD"/>
    <w:rsid w:val="00632E48"/>
    <w:rsid w:val="00694976"/>
    <w:rsid w:val="006B321A"/>
    <w:rsid w:val="006B418F"/>
    <w:rsid w:val="006D1713"/>
    <w:rsid w:val="006D3A03"/>
    <w:rsid w:val="006E08FA"/>
    <w:rsid w:val="006F5F93"/>
    <w:rsid w:val="00710FED"/>
    <w:rsid w:val="00732345"/>
    <w:rsid w:val="00756F04"/>
    <w:rsid w:val="00770F18"/>
    <w:rsid w:val="007A118C"/>
    <w:rsid w:val="007D2A81"/>
    <w:rsid w:val="007E534B"/>
    <w:rsid w:val="007E7C02"/>
    <w:rsid w:val="007F7462"/>
    <w:rsid w:val="00835035"/>
    <w:rsid w:val="00852668"/>
    <w:rsid w:val="008578BF"/>
    <w:rsid w:val="008660D6"/>
    <w:rsid w:val="008A1A90"/>
    <w:rsid w:val="008C3B24"/>
    <w:rsid w:val="008E01E4"/>
    <w:rsid w:val="00900C9B"/>
    <w:rsid w:val="00901487"/>
    <w:rsid w:val="00926C44"/>
    <w:rsid w:val="0093645B"/>
    <w:rsid w:val="009758CB"/>
    <w:rsid w:val="00980909"/>
    <w:rsid w:val="00993406"/>
    <w:rsid w:val="009A0F77"/>
    <w:rsid w:val="009A5223"/>
    <w:rsid w:val="009B23B7"/>
    <w:rsid w:val="009B2B6B"/>
    <w:rsid w:val="009D2E87"/>
    <w:rsid w:val="009D39B3"/>
    <w:rsid w:val="009E0E89"/>
    <w:rsid w:val="009E1F26"/>
    <w:rsid w:val="009F4FF4"/>
    <w:rsid w:val="009F62C3"/>
    <w:rsid w:val="009F71DC"/>
    <w:rsid w:val="00A0100D"/>
    <w:rsid w:val="00A05133"/>
    <w:rsid w:val="00A05D3A"/>
    <w:rsid w:val="00A5260D"/>
    <w:rsid w:val="00A6692F"/>
    <w:rsid w:val="00A72262"/>
    <w:rsid w:val="00AA26B4"/>
    <w:rsid w:val="00AB15E3"/>
    <w:rsid w:val="00AD33BE"/>
    <w:rsid w:val="00AE1A47"/>
    <w:rsid w:val="00AE5995"/>
    <w:rsid w:val="00B01BD5"/>
    <w:rsid w:val="00B05B83"/>
    <w:rsid w:val="00B17992"/>
    <w:rsid w:val="00B31853"/>
    <w:rsid w:val="00B50B07"/>
    <w:rsid w:val="00B8098B"/>
    <w:rsid w:val="00BB134B"/>
    <w:rsid w:val="00BC0CFA"/>
    <w:rsid w:val="00BD14B3"/>
    <w:rsid w:val="00BD677A"/>
    <w:rsid w:val="00BE233B"/>
    <w:rsid w:val="00BE7A6E"/>
    <w:rsid w:val="00C56DD5"/>
    <w:rsid w:val="00C802FB"/>
    <w:rsid w:val="00CA216C"/>
    <w:rsid w:val="00CC0700"/>
    <w:rsid w:val="00CD024D"/>
    <w:rsid w:val="00D21ECE"/>
    <w:rsid w:val="00D27727"/>
    <w:rsid w:val="00D4431A"/>
    <w:rsid w:val="00D57210"/>
    <w:rsid w:val="00D901D7"/>
    <w:rsid w:val="00D92BFE"/>
    <w:rsid w:val="00DC2B31"/>
    <w:rsid w:val="00DC4ADD"/>
    <w:rsid w:val="00DD1866"/>
    <w:rsid w:val="00DE0A8D"/>
    <w:rsid w:val="00DE562A"/>
    <w:rsid w:val="00E42B2B"/>
    <w:rsid w:val="00E5647F"/>
    <w:rsid w:val="00E65F37"/>
    <w:rsid w:val="00E711DE"/>
    <w:rsid w:val="00E74701"/>
    <w:rsid w:val="00E823B8"/>
    <w:rsid w:val="00E9091C"/>
    <w:rsid w:val="00EA46CC"/>
    <w:rsid w:val="00EA61B9"/>
    <w:rsid w:val="00EA7BF4"/>
    <w:rsid w:val="00EB6C62"/>
    <w:rsid w:val="00EE4D9C"/>
    <w:rsid w:val="00EE6265"/>
    <w:rsid w:val="00EE7518"/>
    <w:rsid w:val="00EF193B"/>
    <w:rsid w:val="00F34A32"/>
    <w:rsid w:val="00F455F1"/>
    <w:rsid w:val="00F570D3"/>
    <w:rsid w:val="00F8513C"/>
    <w:rsid w:val="00FC7CC7"/>
    <w:rsid w:val="00FE2FFB"/>
    <w:rsid w:val="00FE3B16"/>
    <w:rsid w:val="00FF661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4DCA689D-B3D2-4615-9ED2-3676117FBC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B5E25"/>
    <w:pPr>
      <w:spacing w:after="0" w:line="240" w:lineRule="auto"/>
    </w:pPr>
    <w:rPr>
      <w:rFonts w:ascii="Times New Roman" w:eastAsia="Times New Roman" w:hAnsi="Times New Roman" w:cs="Times New Roman"/>
      <w:sz w:val="24"/>
      <w:szCs w:val="24"/>
      <w:lang w:val="es-ES" w:eastAsia="es-ES"/>
    </w:rPr>
  </w:style>
  <w:style w:type="paragraph" w:styleId="Ttulo1">
    <w:name w:val="heading 1"/>
    <w:basedOn w:val="Normal"/>
    <w:next w:val="Normal"/>
    <w:link w:val="Ttulo1Car"/>
    <w:uiPriority w:val="9"/>
    <w:qFormat/>
    <w:rsid w:val="0043515A"/>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43515A"/>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0B5E25"/>
    <w:rPr>
      <w:rFonts w:eastAsiaTheme="minorEastAsia"/>
      <w:sz w:val="24"/>
      <w:szCs w:val="24"/>
      <w:lang w:val="es-ES_tradnl" w:eastAsia="es-ES"/>
    </w:rPr>
  </w:style>
  <w:style w:type="paragraph" w:styleId="Piedepgina">
    <w:name w:val="footer"/>
    <w:basedOn w:val="Normal"/>
    <w:link w:val="PiedepginaCar"/>
    <w:uiPriority w:val="99"/>
    <w:unhideWhenUsed/>
    <w:rsid w:val="000B5E25"/>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0B5E25"/>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0B5E25"/>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0B5E25"/>
    <w:rPr>
      <w:rFonts w:ascii="Times New Roman" w:eastAsia="Times New Roman" w:hAnsi="Times New Roman" w:cs="Times New Roman"/>
      <w:sz w:val="24"/>
      <w:szCs w:val="24"/>
      <w:lang w:val="es-ES" w:eastAsia="es-ES"/>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0B5E25"/>
    <w:rPr>
      <w:vertAlign w:val="superscript"/>
    </w:rPr>
  </w:style>
  <w:style w:type="character" w:customStyle="1" w:styleId="apple-converted-space">
    <w:name w:val="apple-converted-space"/>
    <w:basedOn w:val="Fuentedeprrafopredeter"/>
    <w:rsid w:val="000B5E25"/>
  </w:style>
  <w:style w:type="character" w:styleId="Hipervnculo">
    <w:name w:val="Hyperlink"/>
    <w:basedOn w:val="Fuentedeprrafopredeter"/>
    <w:uiPriority w:val="99"/>
    <w:unhideWhenUsed/>
    <w:rsid w:val="000B5E25"/>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0B5E25"/>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0B5E25"/>
    <w:rPr>
      <w:rFonts w:ascii="Times New Roman" w:eastAsia="Times New Roman" w:hAnsi="Times New Roman" w:cs="Times New Roman"/>
      <w:sz w:val="20"/>
      <w:szCs w:val="20"/>
      <w:lang w:val="es-ES" w:eastAsia="es-ES"/>
    </w:rPr>
  </w:style>
  <w:style w:type="character" w:customStyle="1" w:styleId="Ttulo1Car">
    <w:name w:val="Título 1 Car"/>
    <w:basedOn w:val="Fuentedeprrafopredeter"/>
    <w:link w:val="Ttulo1"/>
    <w:uiPriority w:val="9"/>
    <w:rsid w:val="0043515A"/>
    <w:rPr>
      <w:rFonts w:asciiTheme="majorHAnsi" w:eastAsiaTheme="majorEastAsia" w:hAnsiTheme="majorHAnsi" w:cstheme="majorBidi"/>
      <w:color w:val="2E74B5" w:themeColor="accent1" w:themeShade="BF"/>
      <w:sz w:val="32"/>
      <w:szCs w:val="32"/>
      <w:lang w:val="es-ES" w:eastAsia="es-ES"/>
    </w:rPr>
  </w:style>
  <w:style w:type="character" w:customStyle="1" w:styleId="Ttulo2Car">
    <w:name w:val="Título 2 Car"/>
    <w:basedOn w:val="Fuentedeprrafopredeter"/>
    <w:link w:val="Ttulo2"/>
    <w:uiPriority w:val="9"/>
    <w:rsid w:val="0043515A"/>
    <w:rPr>
      <w:rFonts w:asciiTheme="majorHAnsi" w:eastAsiaTheme="majorEastAsia" w:hAnsiTheme="majorHAnsi" w:cstheme="majorBidi"/>
      <w:color w:val="2E74B5" w:themeColor="accent1" w:themeShade="BF"/>
      <w:sz w:val="26"/>
      <w:szCs w:val="26"/>
    </w:rPr>
  </w:style>
  <w:style w:type="table" w:styleId="Tablaconcuadrcula">
    <w:name w:val="Table Grid"/>
    <w:basedOn w:val="Tablanormal"/>
    <w:uiPriority w:val="39"/>
    <w:rsid w:val="004351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aliases w:val="Francesa,INAI"/>
    <w:link w:val="SinespaciadoCar"/>
    <w:uiPriority w:val="1"/>
    <w:qFormat/>
    <w:rsid w:val="0043515A"/>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43515A"/>
    <w:rPr>
      <w:rFonts w:ascii="Times New Roman" w:eastAsia="Times New Roman" w:hAnsi="Times New Roman" w:cs="Times New Roman"/>
      <w:sz w:val="24"/>
      <w:szCs w:val="24"/>
      <w:lang w:eastAsia="es-ES"/>
    </w:rPr>
  </w:style>
  <w:style w:type="table" w:customStyle="1" w:styleId="Tabladelista1clara-nfasis1115">
    <w:name w:val="Tabla de lista 1 clara - Énfasis 1115"/>
    <w:basedOn w:val="Tablanormal"/>
    <w:next w:val="Tabladelista1clara-nfasis1"/>
    <w:uiPriority w:val="46"/>
    <w:rsid w:val="009A0F77"/>
    <w:pPr>
      <w:spacing w:after="0" w:line="240" w:lineRule="auto"/>
    </w:pPr>
    <w:rPr>
      <w:rFonts w:eastAsia="MS Mincho"/>
      <w:sz w:val="24"/>
      <w:szCs w:val="24"/>
      <w:lang w:val="es-ES_tradnl" w:eastAsia="es-ES"/>
    </w:rPr>
    <w:tblPr>
      <w:tblStyleRowBandSize w:val="1"/>
      <w:tblStyleColBandSize w:val="1"/>
    </w:tblPr>
    <w:tblStylePr w:type="firstRow">
      <w:rPr>
        <w:b/>
        <w:bCs/>
      </w:rPr>
      <w:tblPr/>
      <w:tcPr>
        <w:tcBorders>
          <w:bottom w:val="single" w:sz="4" w:space="0" w:color="95B3D7"/>
        </w:tcBorders>
      </w:tcPr>
    </w:tblStylePr>
    <w:tblStylePr w:type="lastRow">
      <w:rPr>
        <w:b/>
        <w:bCs/>
      </w:rPr>
      <w:tblPr/>
      <w:tcPr>
        <w:tcBorders>
          <w:top w:val="sing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styleId="Tabladelista1clara-nfasis1">
    <w:name w:val="List Table 1 Light Accent 1"/>
    <w:basedOn w:val="Tablanormal"/>
    <w:uiPriority w:val="46"/>
    <w:rsid w:val="009A0F77"/>
    <w:pPr>
      <w:spacing w:after="0" w:line="240" w:lineRule="auto"/>
    </w:pPr>
    <w:tblPr>
      <w:tblStyleRowBandSize w:val="1"/>
      <w:tblStyleColBandSize w:val="1"/>
    </w:tblPr>
    <w:tblStylePr w:type="firstRow">
      <w:rPr>
        <w:b/>
        <w:bCs/>
      </w:rPr>
      <w:tblPr/>
      <w:tcPr>
        <w:tcBorders>
          <w:bottom w:val="single" w:sz="4" w:space="0" w:color="9CC2E5" w:themeColor="accent1" w:themeTint="99"/>
        </w:tcBorders>
      </w:tcPr>
    </w:tblStylePr>
    <w:tblStylePr w:type="lastRow">
      <w:rPr>
        <w:b/>
        <w:bCs/>
      </w:rPr>
      <w:tblPr/>
      <w:tcPr>
        <w:tcBorders>
          <w:top w:val="single" w:sz="4" w:space="0" w:color="9CC2E5" w:themeColor="accent1" w:themeTint="99"/>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NormalWeb">
    <w:name w:val="Normal (Web)"/>
    <w:basedOn w:val="Normal"/>
    <w:uiPriority w:val="99"/>
    <w:unhideWhenUsed/>
    <w:rsid w:val="000D3AD4"/>
    <w:pPr>
      <w:spacing w:before="100" w:beforeAutospacing="1" w:after="100" w:afterAutospacing="1"/>
    </w:pPr>
    <w:rPr>
      <w:lang w:val="es-MX" w:eastAsia="es-MX"/>
    </w:rPr>
  </w:style>
  <w:style w:type="paragraph" w:styleId="Textonotaalfinal">
    <w:name w:val="endnote text"/>
    <w:basedOn w:val="Normal"/>
    <w:link w:val="TextonotaalfinalCar"/>
    <w:uiPriority w:val="99"/>
    <w:semiHidden/>
    <w:unhideWhenUsed/>
    <w:rsid w:val="000D3AD4"/>
    <w:rPr>
      <w:sz w:val="20"/>
      <w:szCs w:val="20"/>
    </w:rPr>
  </w:style>
  <w:style w:type="character" w:customStyle="1" w:styleId="TextonotaalfinalCar">
    <w:name w:val="Texto nota al final Car"/>
    <w:basedOn w:val="Fuentedeprrafopredeter"/>
    <w:link w:val="Textonotaalfinal"/>
    <w:uiPriority w:val="99"/>
    <w:semiHidden/>
    <w:rsid w:val="000D3AD4"/>
    <w:rPr>
      <w:rFonts w:ascii="Times New Roman" w:eastAsia="Times New Roman" w:hAnsi="Times New Roman" w:cs="Times New Roman"/>
      <w:sz w:val="20"/>
      <w:szCs w:val="20"/>
      <w:lang w:val="es-ES" w:eastAsia="es-ES"/>
    </w:rPr>
  </w:style>
  <w:style w:type="character" w:styleId="Refdenotaalfinal">
    <w:name w:val="endnote reference"/>
    <w:basedOn w:val="Fuentedeprrafopredeter"/>
    <w:uiPriority w:val="99"/>
    <w:semiHidden/>
    <w:unhideWhenUsed/>
    <w:rsid w:val="000D3AD4"/>
    <w:rPr>
      <w:vertAlign w:val="superscript"/>
    </w:rPr>
  </w:style>
  <w:style w:type="paragraph" w:customStyle="1" w:styleId="Default">
    <w:name w:val="Default"/>
    <w:rsid w:val="00D27727"/>
    <w:pPr>
      <w:autoSpaceDE w:val="0"/>
      <w:autoSpaceDN w:val="0"/>
      <w:adjustRightInd w:val="0"/>
      <w:spacing w:after="0" w:line="240" w:lineRule="auto"/>
    </w:pPr>
    <w:rPr>
      <w:rFonts w:ascii="Palatino Linotype" w:hAnsi="Palatino Linotype" w:cs="Palatino Linotype"/>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4989142">
      <w:bodyDiv w:val="1"/>
      <w:marLeft w:val="0"/>
      <w:marRight w:val="0"/>
      <w:marTop w:val="0"/>
      <w:marBottom w:val="0"/>
      <w:divBdr>
        <w:top w:val="none" w:sz="0" w:space="0" w:color="auto"/>
        <w:left w:val="none" w:sz="0" w:space="0" w:color="auto"/>
        <w:bottom w:val="none" w:sz="0" w:space="0" w:color="auto"/>
        <w:right w:val="none" w:sz="0" w:space="0" w:color="auto"/>
      </w:divBdr>
    </w:div>
    <w:div w:id="1807121258">
      <w:bodyDiv w:val="1"/>
      <w:marLeft w:val="0"/>
      <w:marRight w:val="0"/>
      <w:marTop w:val="0"/>
      <w:marBottom w:val="0"/>
      <w:divBdr>
        <w:top w:val="none" w:sz="0" w:space="0" w:color="auto"/>
        <w:left w:val="none" w:sz="0" w:space="0" w:color="auto"/>
        <w:bottom w:val="none" w:sz="0" w:space="0" w:color="auto"/>
        <w:right w:val="none" w:sz="0" w:space="0" w:color="auto"/>
      </w:divBdr>
    </w:div>
    <w:div w:id="18731105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oleObject" Target="embeddings/oleObject3.bin"/><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theme" Target="theme/theme1.xml"/><Relationship Id="rId10" Type="http://schemas.openxmlformats.org/officeDocument/2006/relationships/hyperlink" Target="javascript:AbrirModal(2)"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javascript:AbrirModal(1)" TargetMode="External"/><Relationship Id="rId14" Type="http://schemas.openxmlformats.org/officeDocument/2006/relationships/oleObject" Target="embeddings/oleObject2.bin"/><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_rels/header3.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204C6D-8155-4D52-B63C-2B24D593D0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TotalTime>
  <Pages>46</Pages>
  <Words>12416</Words>
  <Characters>68293</Characters>
  <Application>Microsoft Office Word</Application>
  <DocSecurity>0</DocSecurity>
  <Lines>569</Lines>
  <Paragraphs>161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USUARIO</cp:lastModifiedBy>
  <cp:revision>9</cp:revision>
  <dcterms:created xsi:type="dcterms:W3CDTF">2021-10-21T04:29:00Z</dcterms:created>
  <dcterms:modified xsi:type="dcterms:W3CDTF">2021-11-29T21:18:00Z</dcterms:modified>
</cp:coreProperties>
</file>