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bookmarkStart w:id="0" w:name="_GoBack"/>
      <w:bookmarkEnd w:id="0"/>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B06133"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2170494" w:history="1">
            <w:r w:rsidR="00B06133" w:rsidRPr="008672A4">
              <w:rPr>
                <w:rStyle w:val="Hipervnculo"/>
                <w:rFonts w:ascii="Palatino Linotype" w:eastAsiaTheme="majorEastAsia" w:hAnsi="Palatino Linotype" w:cstheme="majorBidi"/>
                <w:b/>
                <w:noProof/>
              </w:rPr>
              <w:t>ANTECEDENTES</w:t>
            </w:r>
            <w:r w:rsidR="00B06133">
              <w:rPr>
                <w:noProof/>
                <w:webHidden/>
              </w:rPr>
              <w:tab/>
            </w:r>
            <w:r w:rsidR="00B06133">
              <w:rPr>
                <w:noProof/>
                <w:webHidden/>
              </w:rPr>
              <w:fldChar w:fldCharType="begin"/>
            </w:r>
            <w:r w:rsidR="00B06133">
              <w:rPr>
                <w:noProof/>
                <w:webHidden/>
              </w:rPr>
              <w:instrText xml:space="preserve"> PAGEREF _Toc82170494 \h </w:instrText>
            </w:r>
            <w:r w:rsidR="00B06133">
              <w:rPr>
                <w:noProof/>
                <w:webHidden/>
              </w:rPr>
            </w:r>
            <w:r w:rsidR="00B06133">
              <w:rPr>
                <w:noProof/>
                <w:webHidden/>
              </w:rPr>
              <w:fldChar w:fldCharType="separate"/>
            </w:r>
            <w:r w:rsidR="00B06133">
              <w:rPr>
                <w:noProof/>
                <w:webHidden/>
              </w:rPr>
              <w:t>2</w:t>
            </w:r>
            <w:r w:rsidR="00B06133">
              <w:rPr>
                <w:noProof/>
                <w:webHidden/>
              </w:rPr>
              <w:fldChar w:fldCharType="end"/>
            </w:r>
          </w:hyperlink>
        </w:p>
        <w:p w:rsidR="00B06133" w:rsidRDefault="002F6EB1">
          <w:pPr>
            <w:pStyle w:val="TDC1"/>
            <w:rPr>
              <w:noProof/>
              <w:sz w:val="22"/>
              <w:szCs w:val="22"/>
              <w:lang w:val="es-MX" w:eastAsia="es-MX"/>
            </w:rPr>
          </w:pPr>
          <w:hyperlink w:anchor="_Toc82170495" w:history="1">
            <w:r w:rsidR="00B06133" w:rsidRPr="008672A4">
              <w:rPr>
                <w:rStyle w:val="Hipervnculo"/>
                <w:rFonts w:ascii="Palatino Linotype" w:eastAsiaTheme="majorEastAsia" w:hAnsi="Palatino Linotype" w:cstheme="majorBidi"/>
                <w:b/>
                <w:noProof/>
              </w:rPr>
              <w:t>CONSIDERANDO</w:t>
            </w:r>
            <w:r w:rsidR="00B06133">
              <w:rPr>
                <w:noProof/>
                <w:webHidden/>
              </w:rPr>
              <w:tab/>
            </w:r>
            <w:r w:rsidR="00B06133">
              <w:rPr>
                <w:noProof/>
                <w:webHidden/>
              </w:rPr>
              <w:fldChar w:fldCharType="begin"/>
            </w:r>
            <w:r w:rsidR="00B06133">
              <w:rPr>
                <w:noProof/>
                <w:webHidden/>
              </w:rPr>
              <w:instrText xml:space="preserve"> PAGEREF _Toc82170495 \h </w:instrText>
            </w:r>
            <w:r w:rsidR="00B06133">
              <w:rPr>
                <w:noProof/>
                <w:webHidden/>
              </w:rPr>
            </w:r>
            <w:r w:rsidR="00B06133">
              <w:rPr>
                <w:noProof/>
                <w:webHidden/>
              </w:rPr>
              <w:fldChar w:fldCharType="separate"/>
            </w:r>
            <w:r w:rsidR="00B06133">
              <w:rPr>
                <w:noProof/>
                <w:webHidden/>
              </w:rPr>
              <w:t>4</w:t>
            </w:r>
            <w:r w:rsidR="00B06133">
              <w:rPr>
                <w:noProof/>
                <w:webHidden/>
              </w:rPr>
              <w:fldChar w:fldCharType="end"/>
            </w:r>
          </w:hyperlink>
        </w:p>
        <w:p w:rsidR="00B06133" w:rsidRDefault="002F6EB1">
          <w:pPr>
            <w:pStyle w:val="TDC2"/>
            <w:rPr>
              <w:noProof/>
              <w:sz w:val="22"/>
              <w:szCs w:val="22"/>
              <w:lang w:val="es-MX" w:eastAsia="es-MX"/>
            </w:rPr>
          </w:pPr>
          <w:hyperlink w:anchor="_Toc82170496" w:history="1">
            <w:r w:rsidR="00B06133" w:rsidRPr="008672A4">
              <w:rPr>
                <w:rStyle w:val="Hipervnculo"/>
                <w:rFonts w:ascii="Palatino Linotype" w:eastAsiaTheme="majorEastAsia" w:hAnsi="Palatino Linotype" w:cstheme="majorBidi"/>
                <w:b/>
                <w:noProof/>
              </w:rPr>
              <w:t>PRIMERO. De la competencia.</w:t>
            </w:r>
            <w:r w:rsidR="00B06133">
              <w:rPr>
                <w:noProof/>
                <w:webHidden/>
              </w:rPr>
              <w:tab/>
            </w:r>
            <w:r w:rsidR="00B06133">
              <w:rPr>
                <w:noProof/>
                <w:webHidden/>
              </w:rPr>
              <w:fldChar w:fldCharType="begin"/>
            </w:r>
            <w:r w:rsidR="00B06133">
              <w:rPr>
                <w:noProof/>
                <w:webHidden/>
              </w:rPr>
              <w:instrText xml:space="preserve"> PAGEREF _Toc82170496 \h </w:instrText>
            </w:r>
            <w:r w:rsidR="00B06133">
              <w:rPr>
                <w:noProof/>
                <w:webHidden/>
              </w:rPr>
            </w:r>
            <w:r w:rsidR="00B06133">
              <w:rPr>
                <w:noProof/>
                <w:webHidden/>
              </w:rPr>
              <w:fldChar w:fldCharType="separate"/>
            </w:r>
            <w:r w:rsidR="00B06133">
              <w:rPr>
                <w:noProof/>
                <w:webHidden/>
              </w:rPr>
              <w:t>4</w:t>
            </w:r>
            <w:r w:rsidR="00B06133">
              <w:rPr>
                <w:noProof/>
                <w:webHidden/>
              </w:rPr>
              <w:fldChar w:fldCharType="end"/>
            </w:r>
          </w:hyperlink>
        </w:p>
        <w:p w:rsidR="00B06133" w:rsidRDefault="002F6EB1">
          <w:pPr>
            <w:pStyle w:val="TDC2"/>
            <w:rPr>
              <w:noProof/>
              <w:sz w:val="22"/>
              <w:szCs w:val="22"/>
              <w:lang w:val="es-MX" w:eastAsia="es-MX"/>
            </w:rPr>
          </w:pPr>
          <w:hyperlink w:anchor="_Toc82170497" w:history="1">
            <w:r w:rsidR="00B06133" w:rsidRPr="008672A4">
              <w:rPr>
                <w:rStyle w:val="Hipervnculo"/>
                <w:rFonts w:ascii="Palatino Linotype" w:eastAsiaTheme="majorEastAsia" w:hAnsi="Palatino Linotype" w:cstheme="majorBidi"/>
                <w:b/>
                <w:noProof/>
              </w:rPr>
              <w:t>SEGUNDO. De la oportunidad y procedencia.</w:t>
            </w:r>
            <w:r w:rsidR="00B06133">
              <w:rPr>
                <w:noProof/>
                <w:webHidden/>
              </w:rPr>
              <w:tab/>
            </w:r>
            <w:r w:rsidR="00B06133">
              <w:rPr>
                <w:noProof/>
                <w:webHidden/>
              </w:rPr>
              <w:fldChar w:fldCharType="begin"/>
            </w:r>
            <w:r w:rsidR="00B06133">
              <w:rPr>
                <w:noProof/>
                <w:webHidden/>
              </w:rPr>
              <w:instrText xml:space="preserve"> PAGEREF _Toc82170497 \h </w:instrText>
            </w:r>
            <w:r w:rsidR="00B06133">
              <w:rPr>
                <w:noProof/>
                <w:webHidden/>
              </w:rPr>
            </w:r>
            <w:r w:rsidR="00B06133">
              <w:rPr>
                <w:noProof/>
                <w:webHidden/>
              </w:rPr>
              <w:fldChar w:fldCharType="separate"/>
            </w:r>
            <w:r w:rsidR="00B06133">
              <w:rPr>
                <w:noProof/>
                <w:webHidden/>
              </w:rPr>
              <w:t>5</w:t>
            </w:r>
            <w:r w:rsidR="00B06133">
              <w:rPr>
                <w:noProof/>
                <w:webHidden/>
              </w:rPr>
              <w:fldChar w:fldCharType="end"/>
            </w:r>
          </w:hyperlink>
        </w:p>
        <w:p w:rsidR="00B06133" w:rsidRDefault="002F6EB1">
          <w:pPr>
            <w:pStyle w:val="TDC1"/>
            <w:rPr>
              <w:noProof/>
              <w:sz w:val="22"/>
              <w:szCs w:val="22"/>
              <w:lang w:val="es-MX" w:eastAsia="es-MX"/>
            </w:rPr>
          </w:pPr>
          <w:hyperlink w:anchor="_Toc82170498" w:history="1">
            <w:r w:rsidR="00B06133" w:rsidRPr="008672A4">
              <w:rPr>
                <w:rStyle w:val="Hipervnculo"/>
                <w:rFonts w:ascii="Palatino Linotype" w:eastAsia="Calibri" w:hAnsi="Palatino Linotype"/>
                <w:b/>
                <w:bCs/>
                <w:noProof/>
                <w:lang w:val="es-ES"/>
              </w:rPr>
              <w:t>TERCERO. Del planteamiento de la Litis.</w:t>
            </w:r>
            <w:r w:rsidR="00B06133">
              <w:rPr>
                <w:noProof/>
                <w:webHidden/>
              </w:rPr>
              <w:tab/>
            </w:r>
            <w:r w:rsidR="00B06133">
              <w:rPr>
                <w:noProof/>
                <w:webHidden/>
              </w:rPr>
              <w:fldChar w:fldCharType="begin"/>
            </w:r>
            <w:r w:rsidR="00B06133">
              <w:rPr>
                <w:noProof/>
                <w:webHidden/>
              </w:rPr>
              <w:instrText xml:space="preserve"> PAGEREF _Toc82170498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2F6EB1">
          <w:pPr>
            <w:pStyle w:val="TDC1"/>
            <w:rPr>
              <w:noProof/>
              <w:sz w:val="22"/>
              <w:szCs w:val="22"/>
              <w:lang w:val="es-MX" w:eastAsia="es-MX"/>
            </w:rPr>
          </w:pPr>
          <w:hyperlink w:anchor="_Toc82170499" w:history="1">
            <w:r w:rsidR="00B06133" w:rsidRPr="008672A4">
              <w:rPr>
                <w:rStyle w:val="Hipervnculo"/>
                <w:rFonts w:ascii="Palatino Linotype" w:eastAsia="MS Gothic" w:hAnsi="Palatino Linotype" w:cstheme="majorBidi"/>
                <w:b/>
                <w:noProof/>
              </w:rPr>
              <w:t xml:space="preserve">CUARTO. </w:t>
            </w:r>
            <w:r w:rsidR="00B06133" w:rsidRPr="008672A4">
              <w:rPr>
                <w:rStyle w:val="Hipervnculo"/>
                <w:rFonts w:ascii="Palatino Linotype" w:eastAsia="MS Gothic" w:hAnsi="Palatino Linotype"/>
                <w:b/>
                <w:noProof/>
              </w:rPr>
              <w:t>Del estudio y resolución del asunto.</w:t>
            </w:r>
            <w:r w:rsidR="00B06133">
              <w:rPr>
                <w:noProof/>
                <w:webHidden/>
              </w:rPr>
              <w:tab/>
            </w:r>
            <w:r w:rsidR="00B06133">
              <w:rPr>
                <w:noProof/>
                <w:webHidden/>
              </w:rPr>
              <w:fldChar w:fldCharType="begin"/>
            </w:r>
            <w:r w:rsidR="00B06133">
              <w:rPr>
                <w:noProof/>
                <w:webHidden/>
              </w:rPr>
              <w:instrText xml:space="preserve"> PAGEREF _Toc82170499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2F6EB1">
          <w:pPr>
            <w:pStyle w:val="TDC2"/>
            <w:rPr>
              <w:noProof/>
              <w:sz w:val="22"/>
              <w:szCs w:val="22"/>
              <w:lang w:val="es-MX" w:eastAsia="es-MX"/>
            </w:rPr>
          </w:pPr>
          <w:hyperlink w:anchor="_Toc82170500" w:history="1">
            <w:r w:rsidR="00B06133" w:rsidRPr="008672A4">
              <w:rPr>
                <w:rStyle w:val="Hipervnculo"/>
                <w:rFonts w:ascii="Palatino Linotype" w:hAnsi="Palatino Linotype"/>
                <w:b/>
                <w:noProof/>
              </w:rPr>
              <w:t>I.</w:t>
            </w:r>
            <w:r w:rsidR="00B06133">
              <w:rPr>
                <w:noProof/>
                <w:sz w:val="22"/>
                <w:szCs w:val="22"/>
                <w:lang w:val="es-MX" w:eastAsia="es-MX"/>
              </w:rPr>
              <w:tab/>
            </w:r>
            <w:r w:rsidR="00B06133" w:rsidRPr="008672A4">
              <w:rPr>
                <w:rStyle w:val="Hipervnculo"/>
                <w:rFonts w:ascii="Palatino Linotype" w:eastAsia="MS Gothic" w:hAnsi="Palatino Linotype"/>
                <w:b/>
                <w:noProof/>
              </w:rPr>
              <w:t>Del Derecho de Acceso a la Información.</w:t>
            </w:r>
            <w:r w:rsidR="00B06133">
              <w:rPr>
                <w:noProof/>
                <w:webHidden/>
              </w:rPr>
              <w:tab/>
            </w:r>
            <w:r w:rsidR="00B06133">
              <w:rPr>
                <w:noProof/>
                <w:webHidden/>
              </w:rPr>
              <w:fldChar w:fldCharType="begin"/>
            </w:r>
            <w:r w:rsidR="00B06133">
              <w:rPr>
                <w:noProof/>
                <w:webHidden/>
              </w:rPr>
              <w:instrText xml:space="preserve"> PAGEREF _Toc82170500 \h </w:instrText>
            </w:r>
            <w:r w:rsidR="00B06133">
              <w:rPr>
                <w:noProof/>
                <w:webHidden/>
              </w:rPr>
            </w:r>
            <w:r w:rsidR="00B06133">
              <w:rPr>
                <w:noProof/>
                <w:webHidden/>
              </w:rPr>
              <w:fldChar w:fldCharType="separate"/>
            </w:r>
            <w:r w:rsidR="00B06133">
              <w:rPr>
                <w:noProof/>
                <w:webHidden/>
              </w:rPr>
              <w:t>9</w:t>
            </w:r>
            <w:r w:rsidR="00B06133">
              <w:rPr>
                <w:noProof/>
                <w:webHidden/>
              </w:rPr>
              <w:fldChar w:fldCharType="end"/>
            </w:r>
          </w:hyperlink>
        </w:p>
        <w:p w:rsidR="00B06133" w:rsidRDefault="002F6EB1">
          <w:pPr>
            <w:pStyle w:val="TDC2"/>
            <w:rPr>
              <w:noProof/>
              <w:sz w:val="22"/>
              <w:szCs w:val="22"/>
              <w:lang w:val="es-MX" w:eastAsia="es-MX"/>
            </w:rPr>
          </w:pPr>
          <w:hyperlink w:anchor="_Toc82170501" w:history="1">
            <w:r w:rsidR="00B06133" w:rsidRPr="008672A4">
              <w:rPr>
                <w:rStyle w:val="Hipervnculo"/>
                <w:rFonts w:ascii="Palatino Linotype" w:hAnsi="Palatino Linotype"/>
                <w:b/>
                <w:noProof/>
              </w:rPr>
              <w:t>I.</w:t>
            </w:r>
            <w:r w:rsidR="00B06133">
              <w:rPr>
                <w:noProof/>
                <w:sz w:val="22"/>
                <w:szCs w:val="22"/>
                <w:lang w:val="es-MX" w:eastAsia="es-MX"/>
              </w:rPr>
              <w:tab/>
            </w:r>
            <w:r w:rsidR="00B06133" w:rsidRPr="008672A4">
              <w:rPr>
                <w:rStyle w:val="Hipervnculo"/>
                <w:rFonts w:ascii="Palatino Linotype" w:eastAsia="MS Gothic" w:hAnsi="Palatino Linotype"/>
                <w:b/>
                <w:noProof/>
              </w:rPr>
              <w:t>Del deber de las autoridades de promover, respetar, proteger y garantizar el derecho de acceso a la información pública.</w:t>
            </w:r>
            <w:r w:rsidR="00B06133">
              <w:rPr>
                <w:noProof/>
                <w:webHidden/>
              </w:rPr>
              <w:tab/>
            </w:r>
            <w:r w:rsidR="00B06133">
              <w:rPr>
                <w:noProof/>
                <w:webHidden/>
              </w:rPr>
              <w:fldChar w:fldCharType="begin"/>
            </w:r>
            <w:r w:rsidR="00B06133">
              <w:rPr>
                <w:noProof/>
                <w:webHidden/>
              </w:rPr>
              <w:instrText xml:space="preserve"> PAGEREF _Toc82170501 \h </w:instrText>
            </w:r>
            <w:r w:rsidR="00B06133">
              <w:rPr>
                <w:noProof/>
                <w:webHidden/>
              </w:rPr>
            </w:r>
            <w:r w:rsidR="00B06133">
              <w:rPr>
                <w:noProof/>
                <w:webHidden/>
              </w:rPr>
              <w:fldChar w:fldCharType="separate"/>
            </w:r>
            <w:r w:rsidR="00B06133">
              <w:rPr>
                <w:noProof/>
                <w:webHidden/>
              </w:rPr>
              <w:t>13</w:t>
            </w:r>
            <w:r w:rsidR="00B06133">
              <w:rPr>
                <w:noProof/>
                <w:webHidden/>
              </w:rPr>
              <w:fldChar w:fldCharType="end"/>
            </w:r>
          </w:hyperlink>
        </w:p>
        <w:p w:rsidR="00B06133" w:rsidRDefault="002F6EB1">
          <w:pPr>
            <w:pStyle w:val="TDC1"/>
            <w:rPr>
              <w:noProof/>
              <w:sz w:val="22"/>
              <w:szCs w:val="22"/>
              <w:lang w:val="es-MX" w:eastAsia="es-MX"/>
            </w:rPr>
          </w:pPr>
          <w:hyperlink w:anchor="_Toc82170502" w:history="1">
            <w:r w:rsidR="00B06133" w:rsidRPr="008672A4">
              <w:rPr>
                <w:rStyle w:val="Hipervnculo"/>
                <w:rFonts w:ascii="Palatino Linotype" w:hAnsi="Palatino Linotype" w:cstheme="majorBidi"/>
                <w:b/>
                <w:noProof/>
              </w:rPr>
              <w:t>II.</w:t>
            </w:r>
            <w:r w:rsidR="00B06133">
              <w:rPr>
                <w:noProof/>
                <w:sz w:val="22"/>
                <w:szCs w:val="22"/>
                <w:lang w:val="es-MX" w:eastAsia="es-MX"/>
              </w:rPr>
              <w:tab/>
            </w:r>
            <w:r w:rsidR="00B06133" w:rsidRPr="008672A4">
              <w:rPr>
                <w:rStyle w:val="Hipervnculo"/>
                <w:rFonts w:ascii="Palatino Linotype" w:hAnsi="Palatino Linotype" w:cstheme="majorBidi"/>
                <w:b/>
                <w:noProof/>
              </w:rPr>
              <w:t>Sobre la respuesta que se emita a la solicitud.</w:t>
            </w:r>
            <w:r w:rsidR="00B06133">
              <w:rPr>
                <w:noProof/>
                <w:webHidden/>
              </w:rPr>
              <w:tab/>
            </w:r>
            <w:r w:rsidR="00B06133">
              <w:rPr>
                <w:noProof/>
                <w:webHidden/>
              </w:rPr>
              <w:fldChar w:fldCharType="begin"/>
            </w:r>
            <w:r w:rsidR="00B06133">
              <w:rPr>
                <w:noProof/>
                <w:webHidden/>
              </w:rPr>
              <w:instrText xml:space="preserve"> PAGEREF _Toc82170502 \h </w:instrText>
            </w:r>
            <w:r w:rsidR="00B06133">
              <w:rPr>
                <w:noProof/>
                <w:webHidden/>
              </w:rPr>
            </w:r>
            <w:r w:rsidR="00B06133">
              <w:rPr>
                <w:noProof/>
                <w:webHidden/>
              </w:rPr>
              <w:fldChar w:fldCharType="separate"/>
            </w:r>
            <w:r w:rsidR="00B06133">
              <w:rPr>
                <w:noProof/>
                <w:webHidden/>
              </w:rPr>
              <w:t>17</w:t>
            </w:r>
            <w:r w:rsidR="00B06133">
              <w:rPr>
                <w:noProof/>
                <w:webHidden/>
              </w:rPr>
              <w:fldChar w:fldCharType="end"/>
            </w:r>
          </w:hyperlink>
        </w:p>
        <w:p w:rsidR="00B06133" w:rsidRDefault="002F6EB1">
          <w:pPr>
            <w:pStyle w:val="TDC2"/>
            <w:rPr>
              <w:noProof/>
              <w:sz w:val="22"/>
              <w:szCs w:val="22"/>
              <w:lang w:val="es-MX" w:eastAsia="es-MX"/>
            </w:rPr>
          </w:pPr>
          <w:hyperlink w:anchor="_Toc82170503" w:history="1">
            <w:r w:rsidR="00B06133" w:rsidRPr="008672A4">
              <w:rPr>
                <w:rStyle w:val="Hipervnculo"/>
                <w:rFonts w:ascii="Palatino Linotype" w:hAnsi="Palatino Linotype" w:cstheme="majorBidi"/>
                <w:b/>
                <w:noProof/>
              </w:rPr>
              <w:t>IV. Análisis al que debe someterse la información antes de su entrega.</w:t>
            </w:r>
            <w:r w:rsidR="00B06133">
              <w:rPr>
                <w:noProof/>
                <w:webHidden/>
              </w:rPr>
              <w:tab/>
            </w:r>
            <w:r w:rsidR="00B06133">
              <w:rPr>
                <w:noProof/>
                <w:webHidden/>
              </w:rPr>
              <w:fldChar w:fldCharType="begin"/>
            </w:r>
            <w:r w:rsidR="00B06133">
              <w:rPr>
                <w:noProof/>
                <w:webHidden/>
              </w:rPr>
              <w:instrText xml:space="preserve"> PAGEREF _Toc82170503 \h </w:instrText>
            </w:r>
            <w:r w:rsidR="00B06133">
              <w:rPr>
                <w:noProof/>
                <w:webHidden/>
              </w:rPr>
            </w:r>
            <w:r w:rsidR="00B06133">
              <w:rPr>
                <w:noProof/>
                <w:webHidden/>
              </w:rPr>
              <w:fldChar w:fldCharType="separate"/>
            </w:r>
            <w:r w:rsidR="00B06133">
              <w:rPr>
                <w:noProof/>
                <w:webHidden/>
              </w:rPr>
              <w:t>23</w:t>
            </w:r>
            <w:r w:rsidR="00B06133">
              <w:rPr>
                <w:noProof/>
                <w:webHidden/>
              </w:rPr>
              <w:fldChar w:fldCharType="end"/>
            </w:r>
          </w:hyperlink>
        </w:p>
        <w:p w:rsidR="00B06133" w:rsidRDefault="002F6EB1">
          <w:pPr>
            <w:pStyle w:val="TDC1"/>
            <w:rPr>
              <w:noProof/>
              <w:sz w:val="22"/>
              <w:szCs w:val="22"/>
              <w:lang w:val="es-MX" w:eastAsia="es-MX"/>
            </w:rPr>
          </w:pPr>
          <w:hyperlink w:anchor="_Toc82170504" w:history="1">
            <w:r w:rsidR="00B06133" w:rsidRPr="008672A4">
              <w:rPr>
                <w:rStyle w:val="Hipervnculo"/>
                <w:rFonts w:ascii="Palatino Linotype" w:hAnsi="Palatino Linotype" w:cstheme="majorBidi"/>
                <w:b/>
                <w:noProof/>
              </w:rPr>
              <w:t>QUINTO. El cumplimiento a esta resolución es susceptible de ser impugnado.</w:t>
            </w:r>
            <w:r w:rsidR="00B06133">
              <w:rPr>
                <w:noProof/>
                <w:webHidden/>
              </w:rPr>
              <w:tab/>
            </w:r>
            <w:r w:rsidR="00B06133">
              <w:rPr>
                <w:noProof/>
                <w:webHidden/>
              </w:rPr>
              <w:fldChar w:fldCharType="begin"/>
            </w:r>
            <w:r w:rsidR="00B06133">
              <w:rPr>
                <w:noProof/>
                <w:webHidden/>
              </w:rPr>
              <w:instrText xml:space="preserve"> PAGEREF _Toc82170504 \h </w:instrText>
            </w:r>
            <w:r w:rsidR="00B06133">
              <w:rPr>
                <w:noProof/>
                <w:webHidden/>
              </w:rPr>
            </w:r>
            <w:r w:rsidR="00B06133">
              <w:rPr>
                <w:noProof/>
                <w:webHidden/>
              </w:rPr>
              <w:fldChar w:fldCharType="separate"/>
            </w:r>
            <w:r w:rsidR="00B06133">
              <w:rPr>
                <w:noProof/>
                <w:webHidden/>
              </w:rPr>
              <w:t>29</w:t>
            </w:r>
            <w:r w:rsidR="00B06133">
              <w:rPr>
                <w:noProof/>
                <w:webHidden/>
              </w:rPr>
              <w:fldChar w:fldCharType="end"/>
            </w:r>
          </w:hyperlink>
        </w:p>
        <w:p w:rsidR="00B06133" w:rsidRDefault="002F6EB1">
          <w:pPr>
            <w:pStyle w:val="TDC1"/>
            <w:rPr>
              <w:noProof/>
              <w:sz w:val="22"/>
              <w:szCs w:val="22"/>
              <w:lang w:val="es-MX" w:eastAsia="es-MX"/>
            </w:rPr>
          </w:pPr>
          <w:hyperlink w:anchor="_Toc82170505" w:history="1">
            <w:r w:rsidR="00B06133" w:rsidRPr="008672A4">
              <w:rPr>
                <w:rStyle w:val="Hipervnculo"/>
                <w:rFonts w:ascii="Palatino Linotype" w:hAnsi="Palatino Linotype" w:cs="Arial"/>
                <w:b/>
                <w:noProof/>
              </w:rPr>
              <w:t>SEXTO</w:t>
            </w:r>
            <w:r w:rsidR="00B06133" w:rsidRPr="008672A4">
              <w:rPr>
                <w:rStyle w:val="Hipervnculo"/>
                <w:rFonts w:ascii="Palatino Linotype" w:eastAsia="MS Gothic" w:hAnsi="Palatino Linotype" w:cstheme="majorBidi"/>
                <w:b/>
                <w:noProof/>
              </w:rPr>
              <w:t>. Vista a los órganos de control interno.</w:t>
            </w:r>
            <w:r w:rsidR="00B06133">
              <w:rPr>
                <w:noProof/>
                <w:webHidden/>
              </w:rPr>
              <w:tab/>
            </w:r>
            <w:r w:rsidR="00B06133">
              <w:rPr>
                <w:noProof/>
                <w:webHidden/>
              </w:rPr>
              <w:fldChar w:fldCharType="begin"/>
            </w:r>
            <w:r w:rsidR="00B06133">
              <w:rPr>
                <w:noProof/>
                <w:webHidden/>
              </w:rPr>
              <w:instrText xml:space="preserve"> PAGEREF _Toc82170505 \h </w:instrText>
            </w:r>
            <w:r w:rsidR="00B06133">
              <w:rPr>
                <w:noProof/>
                <w:webHidden/>
              </w:rPr>
            </w:r>
            <w:r w:rsidR="00B06133">
              <w:rPr>
                <w:noProof/>
                <w:webHidden/>
              </w:rPr>
              <w:fldChar w:fldCharType="separate"/>
            </w:r>
            <w:r w:rsidR="00B06133">
              <w:rPr>
                <w:noProof/>
                <w:webHidden/>
              </w:rPr>
              <w:t>31</w:t>
            </w:r>
            <w:r w:rsidR="00B06133">
              <w:rPr>
                <w:noProof/>
                <w:webHidden/>
              </w:rPr>
              <w:fldChar w:fldCharType="end"/>
            </w:r>
          </w:hyperlink>
        </w:p>
        <w:p w:rsidR="00B06133" w:rsidRDefault="002F6EB1">
          <w:pPr>
            <w:pStyle w:val="TDC2"/>
            <w:rPr>
              <w:noProof/>
              <w:sz w:val="22"/>
              <w:szCs w:val="22"/>
              <w:lang w:val="es-MX" w:eastAsia="es-MX"/>
            </w:rPr>
          </w:pPr>
          <w:hyperlink w:anchor="_Toc82170506" w:history="1">
            <w:r w:rsidR="00B06133" w:rsidRPr="008672A4">
              <w:rPr>
                <w:rStyle w:val="Hipervnculo"/>
                <w:rFonts w:ascii="Palatino Linotype" w:hAnsi="Palatino Linotype"/>
                <w:b/>
                <w:noProof/>
              </w:rPr>
              <w:t>SÉPTIMO. De la versión pública.</w:t>
            </w:r>
            <w:r w:rsidR="00B06133">
              <w:rPr>
                <w:noProof/>
                <w:webHidden/>
              </w:rPr>
              <w:tab/>
            </w:r>
            <w:r w:rsidR="00B06133">
              <w:rPr>
                <w:noProof/>
                <w:webHidden/>
              </w:rPr>
              <w:fldChar w:fldCharType="begin"/>
            </w:r>
            <w:r w:rsidR="00B06133">
              <w:rPr>
                <w:noProof/>
                <w:webHidden/>
              </w:rPr>
              <w:instrText xml:space="preserve"> PAGEREF _Toc82170506 \h </w:instrText>
            </w:r>
            <w:r w:rsidR="00B06133">
              <w:rPr>
                <w:noProof/>
                <w:webHidden/>
              </w:rPr>
            </w:r>
            <w:r w:rsidR="00B06133">
              <w:rPr>
                <w:noProof/>
                <w:webHidden/>
              </w:rPr>
              <w:fldChar w:fldCharType="separate"/>
            </w:r>
            <w:r w:rsidR="00B06133">
              <w:rPr>
                <w:noProof/>
                <w:webHidden/>
              </w:rPr>
              <w:t>33</w:t>
            </w:r>
            <w:r w:rsidR="00B06133">
              <w:rPr>
                <w:noProof/>
                <w:webHidden/>
              </w:rPr>
              <w:fldChar w:fldCharType="end"/>
            </w:r>
          </w:hyperlink>
        </w:p>
        <w:p w:rsidR="00B06133" w:rsidRDefault="002F6EB1">
          <w:pPr>
            <w:pStyle w:val="TDC3"/>
            <w:rPr>
              <w:noProof/>
              <w:sz w:val="22"/>
              <w:szCs w:val="22"/>
              <w:lang w:val="es-MX" w:eastAsia="es-MX"/>
            </w:rPr>
          </w:pPr>
          <w:hyperlink w:anchor="_Toc82170507" w:history="1">
            <w:r w:rsidR="00B06133" w:rsidRPr="008672A4">
              <w:rPr>
                <w:rStyle w:val="Hipervnculo"/>
                <w:rFonts w:ascii="Palatino Linotype" w:hAnsi="Palatino Linotype" w:cs="Arial"/>
                <w:b/>
                <w:noProof/>
              </w:rPr>
              <w:t>I. Requisitos previos.</w:t>
            </w:r>
            <w:r w:rsidR="00B06133">
              <w:rPr>
                <w:noProof/>
                <w:webHidden/>
              </w:rPr>
              <w:tab/>
            </w:r>
            <w:r w:rsidR="00B06133">
              <w:rPr>
                <w:noProof/>
                <w:webHidden/>
              </w:rPr>
              <w:fldChar w:fldCharType="begin"/>
            </w:r>
            <w:r w:rsidR="00B06133">
              <w:rPr>
                <w:noProof/>
                <w:webHidden/>
              </w:rPr>
              <w:instrText xml:space="preserve"> PAGEREF _Toc82170507 \h </w:instrText>
            </w:r>
            <w:r w:rsidR="00B06133">
              <w:rPr>
                <w:noProof/>
                <w:webHidden/>
              </w:rPr>
            </w:r>
            <w:r w:rsidR="00B06133">
              <w:rPr>
                <w:noProof/>
                <w:webHidden/>
              </w:rPr>
              <w:fldChar w:fldCharType="separate"/>
            </w:r>
            <w:r w:rsidR="00B06133">
              <w:rPr>
                <w:noProof/>
                <w:webHidden/>
              </w:rPr>
              <w:t>35</w:t>
            </w:r>
            <w:r w:rsidR="00B06133">
              <w:rPr>
                <w:noProof/>
                <w:webHidden/>
              </w:rPr>
              <w:fldChar w:fldCharType="end"/>
            </w:r>
          </w:hyperlink>
        </w:p>
        <w:p w:rsidR="00B06133" w:rsidRDefault="002F6EB1">
          <w:pPr>
            <w:pStyle w:val="TDC3"/>
            <w:rPr>
              <w:noProof/>
              <w:sz w:val="22"/>
              <w:szCs w:val="22"/>
              <w:lang w:val="es-MX" w:eastAsia="es-MX"/>
            </w:rPr>
          </w:pPr>
          <w:hyperlink w:anchor="_Toc82170508" w:history="1">
            <w:r w:rsidR="00B06133" w:rsidRPr="008672A4">
              <w:rPr>
                <w:rStyle w:val="Hipervnculo"/>
                <w:rFonts w:ascii="Palatino Linotype" w:hAnsi="Palatino Linotype" w:cs="Arial"/>
                <w:b/>
                <w:noProof/>
              </w:rPr>
              <w:t>II. Supuestos de clasificación.</w:t>
            </w:r>
            <w:r w:rsidR="00B06133">
              <w:rPr>
                <w:noProof/>
                <w:webHidden/>
              </w:rPr>
              <w:tab/>
            </w:r>
            <w:r w:rsidR="00B06133">
              <w:rPr>
                <w:noProof/>
                <w:webHidden/>
              </w:rPr>
              <w:fldChar w:fldCharType="begin"/>
            </w:r>
            <w:r w:rsidR="00B06133">
              <w:rPr>
                <w:noProof/>
                <w:webHidden/>
              </w:rPr>
              <w:instrText xml:space="preserve"> PAGEREF _Toc82170508 \h </w:instrText>
            </w:r>
            <w:r w:rsidR="00B06133">
              <w:rPr>
                <w:noProof/>
                <w:webHidden/>
              </w:rPr>
            </w:r>
            <w:r w:rsidR="00B06133">
              <w:rPr>
                <w:noProof/>
                <w:webHidden/>
              </w:rPr>
              <w:fldChar w:fldCharType="separate"/>
            </w:r>
            <w:r w:rsidR="00B06133">
              <w:rPr>
                <w:noProof/>
                <w:webHidden/>
              </w:rPr>
              <w:t>36</w:t>
            </w:r>
            <w:r w:rsidR="00B06133">
              <w:rPr>
                <w:noProof/>
                <w:webHidden/>
              </w:rPr>
              <w:fldChar w:fldCharType="end"/>
            </w:r>
          </w:hyperlink>
        </w:p>
        <w:p w:rsidR="00B06133" w:rsidRDefault="002F6EB1">
          <w:pPr>
            <w:pStyle w:val="TDC3"/>
            <w:rPr>
              <w:noProof/>
              <w:sz w:val="22"/>
              <w:szCs w:val="22"/>
              <w:lang w:val="es-MX" w:eastAsia="es-MX"/>
            </w:rPr>
          </w:pPr>
          <w:hyperlink w:anchor="_Toc82170509" w:history="1">
            <w:r w:rsidR="00B06133" w:rsidRPr="008672A4">
              <w:rPr>
                <w:rStyle w:val="Hipervnculo"/>
                <w:rFonts w:ascii="Palatino Linotype" w:hAnsi="Palatino Linotype" w:cs="Arial"/>
                <w:b/>
                <w:noProof/>
              </w:rPr>
              <w:t>III. La intervención del Comité de Transparencia.</w:t>
            </w:r>
            <w:r w:rsidR="00B06133">
              <w:rPr>
                <w:noProof/>
                <w:webHidden/>
              </w:rPr>
              <w:tab/>
            </w:r>
            <w:r w:rsidR="00B06133">
              <w:rPr>
                <w:noProof/>
                <w:webHidden/>
              </w:rPr>
              <w:fldChar w:fldCharType="begin"/>
            </w:r>
            <w:r w:rsidR="00B06133">
              <w:rPr>
                <w:noProof/>
                <w:webHidden/>
              </w:rPr>
              <w:instrText xml:space="preserve"> PAGEREF _Toc82170509 \h </w:instrText>
            </w:r>
            <w:r w:rsidR="00B06133">
              <w:rPr>
                <w:noProof/>
                <w:webHidden/>
              </w:rPr>
            </w:r>
            <w:r w:rsidR="00B06133">
              <w:rPr>
                <w:noProof/>
                <w:webHidden/>
              </w:rPr>
              <w:fldChar w:fldCharType="separate"/>
            </w:r>
            <w:r w:rsidR="00B06133">
              <w:rPr>
                <w:noProof/>
                <w:webHidden/>
              </w:rPr>
              <w:t>39</w:t>
            </w:r>
            <w:r w:rsidR="00B06133">
              <w:rPr>
                <w:noProof/>
                <w:webHidden/>
              </w:rPr>
              <w:fldChar w:fldCharType="end"/>
            </w:r>
          </w:hyperlink>
        </w:p>
        <w:p w:rsidR="00B06133" w:rsidRDefault="002F6EB1">
          <w:pPr>
            <w:pStyle w:val="TDC1"/>
            <w:rPr>
              <w:noProof/>
              <w:sz w:val="22"/>
              <w:szCs w:val="22"/>
              <w:lang w:val="es-MX" w:eastAsia="es-MX"/>
            </w:rPr>
          </w:pPr>
          <w:hyperlink w:anchor="_Toc82170510" w:history="1">
            <w:r w:rsidR="00B06133" w:rsidRPr="008672A4">
              <w:rPr>
                <w:rStyle w:val="Hipervnculo"/>
                <w:rFonts w:ascii="Palatino Linotype" w:eastAsia="MS Gothic" w:hAnsi="Palatino Linotype" w:cstheme="majorBidi"/>
                <w:b/>
                <w:noProof/>
              </w:rPr>
              <w:t>OCTAVO. De la Decisión</w:t>
            </w:r>
            <w:r w:rsidR="00B06133">
              <w:rPr>
                <w:noProof/>
                <w:webHidden/>
              </w:rPr>
              <w:tab/>
            </w:r>
            <w:r w:rsidR="00B06133">
              <w:rPr>
                <w:noProof/>
                <w:webHidden/>
              </w:rPr>
              <w:fldChar w:fldCharType="begin"/>
            </w:r>
            <w:r w:rsidR="00B06133">
              <w:rPr>
                <w:noProof/>
                <w:webHidden/>
              </w:rPr>
              <w:instrText xml:space="preserve"> PAGEREF _Toc82170510 \h </w:instrText>
            </w:r>
            <w:r w:rsidR="00B06133">
              <w:rPr>
                <w:noProof/>
                <w:webHidden/>
              </w:rPr>
            </w:r>
            <w:r w:rsidR="00B06133">
              <w:rPr>
                <w:noProof/>
                <w:webHidden/>
              </w:rPr>
              <w:fldChar w:fldCharType="separate"/>
            </w:r>
            <w:r w:rsidR="00B06133">
              <w:rPr>
                <w:noProof/>
                <w:webHidden/>
              </w:rPr>
              <w:t>44</w:t>
            </w:r>
            <w:r w:rsidR="00B06133">
              <w:rPr>
                <w:noProof/>
                <w:webHidden/>
              </w:rPr>
              <w:fldChar w:fldCharType="end"/>
            </w:r>
          </w:hyperlink>
        </w:p>
        <w:p w:rsidR="00B06133" w:rsidRDefault="002F6EB1">
          <w:pPr>
            <w:pStyle w:val="TDC1"/>
            <w:rPr>
              <w:noProof/>
              <w:sz w:val="22"/>
              <w:szCs w:val="22"/>
              <w:lang w:val="es-MX" w:eastAsia="es-MX"/>
            </w:rPr>
          </w:pPr>
          <w:hyperlink w:anchor="_Toc82170511" w:history="1">
            <w:r w:rsidR="00B06133" w:rsidRPr="008672A4">
              <w:rPr>
                <w:rStyle w:val="Hipervnculo"/>
                <w:rFonts w:ascii="Palatino Linotype" w:eastAsia="Calibri" w:hAnsi="Palatino Linotype" w:cstheme="majorBidi"/>
                <w:b/>
                <w:noProof/>
                <w:lang w:val="es-ES"/>
              </w:rPr>
              <w:t>R E S O L U T I V O S</w:t>
            </w:r>
            <w:r w:rsidR="00B06133">
              <w:rPr>
                <w:noProof/>
                <w:webHidden/>
              </w:rPr>
              <w:tab/>
            </w:r>
            <w:r w:rsidR="00B06133">
              <w:rPr>
                <w:noProof/>
                <w:webHidden/>
              </w:rPr>
              <w:fldChar w:fldCharType="begin"/>
            </w:r>
            <w:r w:rsidR="00B06133">
              <w:rPr>
                <w:noProof/>
                <w:webHidden/>
              </w:rPr>
              <w:instrText xml:space="preserve"> PAGEREF _Toc82170511 \h </w:instrText>
            </w:r>
            <w:r w:rsidR="00B06133">
              <w:rPr>
                <w:noProof/>
                <w:webHidden/>
              </w:rPr>
            </w:r>
            <w:r w:rsidR="00B06133">
              <w:rPr>
                <w:noProof/>
                <w:webHidden/>
              </w:rPr>
              <w:fldChar w:fldCharType="separate"/>
            </w:r>
            <w:r w:rsidR="00B06133">
              <w:rPr>
                <w:noProof/>
                <w:webHidden/>
              </w:rPr>
              <w:t>45</w:t>
            </w:r>
            <w:r w:rsidR="00B06133">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43A4D">
        <w:rPr>
          <w:rFonts w:ascii="Palatino Linotype" w:eastAsiaTheme="minorEastAsia" w:hAnsi="Palatino Linotype"/>
          <w:lang w:val="es-ES_tradnl" w:eastAsia="es-ES"/>
        </w:rPr>
        <w:t>veintinueve</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E43A4D">
        <w:rPr>
          <w:rFonts w:ascii="Palatino Linotype" w:hAnsi="Palatino Linotype"/>
          <w:b/>
          <w:bCs/>
        </w:rPr>
        <w:t>04328</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5B4C85" w:rsidRPr="00EF5F63">
        <w:rPr>
          <w:rFonts w:ascii="Palatino Linotype" w:eastAsia="MS Mincho" w:hAnsi="Palatino Linotype"/>
          <w:b/>
        </w:rPr>
        <w:t xml:space="preserve">una persona usuaria del Sistema de Acceso a la Información Mexiquense (SAIMEX), quien no proporciono ningún nombre, seudónimo o carácter para poder ser identificado, por lo que en lo sucesivo será identificado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E43A4D">
        <w:rPr>
          <w:rFonts w:ascii="Palatino Linotype" w:eastAsiaTheme="minorEastAsia" w:hAnsi="Palatino Linotype" w:cs="Arial"/>
          <w:lang w:val="es-ES_tradnl" w:eastAsia="es-ES"/>
        </w:rPr>
        <w:t>l</w:t>
      </w:r>
      <w:r w:rsidR="001A7901">
        <w:rPr>
          <w:rFonts w:ascii="Palatino Linotype" w:eastAsiaTheme="minorEastAsia" w:hAnsi="Palatino Linotype" w:cs="Arial"/>
          <w:lang w:val="es-ES_tradnl" w:eastAsia="es-ES"/>
        </w:rPr>
        <w:t xml:space="preserve"> </w:t>
      </w:r>
      <w:r w:rsidR="00E43A4D">
        <w:rPr>
          <w:rFonts w:ascii="Palatino Linotype" w:hAnsi="Palatino Linotype"/>
          <w:b/>
          <w:color w:val="000000" w:themeColor="text1"/>
        </w:rPr>
        <w:t xml:space="preserve">Ayuntamiento de Teoloyucan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2170494"/>
      <w:r w:rsidRPr="000C2086">
        <w:rPr>
          <w:rFonts w:ascii="Palatino Linotype" w:eastAsiaTheme="majorEastAsia" w:hAnsi="Palatino Linotype" w:cstheme="majorBidi"/>
          <w:b/>
        </w:rPr>
        <w:t>ANTECEDENTES</w:t>
      </w:r>
      <w:bookmarkEnd w:id="1"/>
      <w:bookmarkEnd w:id="2"/>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E43A4D">
        <w:rPr>
          <w:rFonts w:ascii="Palatino Linotype" w:eastAsia="Calibri" w:hAnsi="Palatino Linotype" w:cs="Arial"/>
          <w:lang w:val="es-ES" w:eastAsia="es-ES"/>
        </w:rPr>
        <w:t>dos (02) de agosto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E43A4D">
        <w:rPr>
          <w:rFonts w:ascii="Palatino Linotype" w:hAnsi="Palatino Linotype"/>
          <w:b/>
          <w:bCs/>
        </w:rPr>
        <w:t>384</w:t>
      </w:r>
      <w:r w:rsidR="005C370B" w:rsidRPr="007F4863">
        <w:rPr>
          <w:rFonts w:ascii="Palatino Linotype" w:hAnsi="Palatino Linotype"/>
          <w:b/>
          <w:bCs/>
        </w:rPr>
        <w:t>/</w:t>
      </w:r>
      <w:r w:rsidR="00E43A4D">
        <w:rPr>
          <w:rFonts w:ascii="Palatino Linotype" w:hAnsi="Palatino Linotype"/>
          <w:b/>
        </w:rPr>
        <w:t>TEOLOYU</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E43A4D" w:rsidRDefault="00F63C7C" w:rsidP="005B4C85">
      <w:pPr>
        <w:ind w:left="567" w:right="567"/>
        <w:jc w:val="both"/>
        <w:rPr>
          <w:rFonts w:ascii="Palatino Linotype" w:hAnsi="Palatino Linotype"/>
          <w:i/>
          <w:sz w:val="22"/>
          <w:szCs w:val="22"/>
        </w:rPr>
      </w:pPr>
      <w:r w:rsidRPr="00E43A4D">
        <w:rPr>
          <w:rFonts w:ascii="Palatino Linotype" w:hAnsi="Palatino Linotype"/>
          <w:i/>
          <w:color w:val="000000"/>
          <w:sz w:val="22"/>
          <w:szCs w:val="22"/>
        </w:rPr>
        <w:t>“</w:t>
      </w:r>
      <w:r w:rsidR="00E43A4D" w:rsidRPr="00E43A4D">
        <w:rPr>
          <w:rFonts w:ascii="Palatino Linotype" w:hAnsi="Palatino Linotype"/>
          <w:i/>
          <w:color w:val="000000"/>
          <w:sz w:val="22"/>
          <w:szCs w:val="22"/>
        </w:rPr>
        <w:t xml:space="preserve">Solicito en formato abierto: 1. El profesiograma o perfil profesiongráfico que deben cubrir los integrantes de las siguientes áreas: Desarrollo Económico, Unidad de Transparencia, Unidad de Planeación, Tesorería Municipal, Desarrollo Urbano, Obras Públicas, Seguridad Pública, Protección Civil y Bomberos, Secretaría del Ayuntamiento, Agua Potable. 2. La síntesis curricular de las personas que actualmente se desempeñan en las dependencias antes mencionadas. 3. El Tabulador de Sueldos vigente a la fecha de respuesta de la presente. 4. En el formato entregado al OSFEM, la nómina general de los meses comprendidos en el periodo del 1 de enero de 2019 al 2021. 5. Los recibos de pago de nómina de los servidores públicos adscritos a las áreas indicadas </w:t>
      </w:r>
      <w:r w:rsidR="00E43A4D" w:rsidRPr="00E43A4D">
        <w:rPr>
          <w:rFonts w:ascii="Palatino Linotype" w:hAnsi="Palatino Linotype"/>
          <w:i/>
          <w:color w:val="000000"/>
          <w:sz w:val="22"/>
          <w:szCs w:val="22"/>
        </w:rPr>
        <w:lastRenderedPageBreak/>
        <w:t>con la firma de recibido por parte del servidor público. Sin más por el momento, sigo atento a su consideración.</w:t>
      </w:r>
      <w:r w:rsidRPr="00E43A4D">
        <w:rPr>
          <w:rFonts w:ascii="Palatino Linotype" w:hAnsi="Palatino Linotype"/>
          <w:i/>
          <w:color w:val="000000"/>
          <w:sz w:val="22"/>
          <w:szCs w:val="22"/>
        </w:rPr>
        <w:t>” (Sic)</w:t>
      </w:r>
    </w:p>
    <w:p w:rsidR="00FE2FD2" w:rsidRPr="00FE2FD2" w:rsidRDefault="00FE2FD2" w:rsidP="00FE2FD2">
      <w:pPr>
        <w:ind w:left="567" w:right="567"/>
        <w:jc w:val="both"/>
        <w:rPr>
          <w:rFonts w:ascii="Palatino Linotype" w:hAnsi="Palatino Linotype"/>
          <w:i/>
          <w:sz w:val="22"/>
          <w:szCs w:val="22"/>
        </w:rPr>
      </w:pPr>
    </w:p>
    <w:p w:rsidR="00336D21" w:rsidRPr="00B61110" w:rsidRDefault="00595316" w:rsidP="00C263A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w:t>
      </w:r>
      <w:r w:rsidRPr="00B61110">
        <w:rPr>
          <w:rFonts w:ascii="Palatino Linotype" w:eastAsiaTheme="minorEastAsia" w:hAnsi="Palatino Linotype" w:cs="Arial"/>
          <w:lang w:val="es-ES_tradnl" w:eastAsia="es-ES"/>
        </w:rPr>
        <w:t xml:space="preserve">través del Sistema de Acceso a la Información Mexiquense </w:t>
      </w:r>
      <w:r w:rsidRPr="00B61110">
        <w:rPr>
          <w:rFonts w:ascii="Palatino Linotype" w:eastAsiaTheme="minorEastAsia" w:hAnsi="Palatino Linotype" w:cs="Arial"/>
          <w:b/>
          <w:lang w:val="es-ES_tradnl" w:eastAsia="es-ES"/>
        </w:rPr>
        <w:t xml:space="preserve">(SAIMEX). </w:t>
      </w:r>
    </w:p>
    <w:p w:rsidR="00E43A4D" w:rsidRPr="00B61110" w:rsidRDefault="00E43A4D" w:rsidP="00E43A4D">
      <w:pPr>
        <w:spacing w:before="240" w:after="240" w:line="360" w:lineRule="auto"/>
        <w:contextualSpacing/>
        <w:jc w:val="both"/>
        <w:rPr>
          <w:rFonts w:ascii="Palatino Linotype" w:eastAsiaTheme="minorEastAsia" w:hAnsi="Palatino Linotype" w:cs="Arial"/>
          <w:lang w:val="es-ES_tradnl" w:eastAsia="es-ES"/>
        </w:rPr>
      </w:pPr>
    </w:p>
    <w:p w:rsidR="00E43A4D" w:rsidRDefault="00B61110" w:rsidP="00DE0CC7">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61110">
        <w:rPr>
          <w:rFonts w:ascii="Palatino Linotype" w:eastAsiaTheme="minorEastAsia" w:hAnsi="Palatino Linotype" w:cs="Arial"/>
          <w:lang w:val="es-ES_tradnl" w:eastAsia="es-ES"/>
        </w:rPr>
        <w:t>El trece (13) de agosto de dos mil veintiuno, se realizó el requerimiento al servidor público habilitado, el cual quedó con respuesta pendiente, como se muestra en la siguiente imagen:</w:t>
      </w:r>
    </w:p>
    <w:p w:rsidR="00AD4CD5" w:rsidRDefault="0061356A" w:rsidP="0061356A">
      <w:pPr>
        <w:pStyle w:val="Prrafodelista"/>
        <w:ind w:left="0"/>
        <w:jc w:val="center"/>
        <w:rPr>
          <w:rFonts w:ascii="Palatino Linotype" w:hAnsi="Palatino Linotype" w:cs="Arial"/>
        </w:rPr>
      </w:pPr>
      <w:r>
        <w:rPr>
          <w:noProof/>
          <w:lang w:val="es-MX" w:eastAsia="es-MX"/>
        </w:rPr>
        <w:drawing>
          <wp:inline distT="0" distB="0" distL="0" distR="0" wp14:anchorId="403AE0BE" wp14:editId="12176456">
            <wp:extent cx="5431155" cy="457200"/>
            <wp:effectExtent l="19050" t="19050" r="1714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345" t="27334" r="21453" b="64104"/>
                    <a:stretch/>
                  </pic:blipFill>
                  <pic:spPr bwMode="auto">
                    <a:xfrm>
                      <a:off x="0" y="0"/>
                      <a:ext cx="5681569" cy="47828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43A4D" w:rsidRPr="0061356A" w:rsidRDefault="00E43A4D" w:rsidP="0061356A">
      <w:pPr>
        <w:rPr>
          <w:rFonts w:ascii="Palatino Linotype" w:eastAsia="Calibri" w:hAnsi="Palatino Linotype" w:cs="Arial"/>
          <w:lang w:val="es-AR"/>
        </w:rPr>
      </w:pP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D728B2">
        <w:rPr>
          <w:rFonts w:ascii="Palatino Linotype" w:hAnsi="Palatino Linotype" w:cs="Arial"/>
          <w:lang w:val="es-ES" w:eastAsia="es-ES"/>
        </w:rPr>
        <w:t xml:space="preserve"> </w:t>
      </w:r>
      <w:r w:rsidR="00E43A4D">
        <w:rPr>
          <w:rFonts w:ascii="Palatino Linotype" w:hAnsi="Palatino Linotype" w:cs="Arial"/>
          <w:lang w:val="es-ES" w:eastAsia="es-ES"/>
        </w:rPr>
        <w:t>treinta</w:t>
      </w:r>
      <w:r w:rsidR="00F63C7C">
        <w:rPr>
          <w:rFonts w:ascii="Palatino Linotype" w:hAnsi="Palatino Linotype" w:cs="Arial"/>
          <w:lang w:val="es-ES" w:eastAsia="es-ES"/>
        </w:rPr>
        <w:t xml:space="preserve"> </w:t>
      </w:r>
      <w:r w:rsidR="00FE2FD2">
        <w:rPr>
          <w:rFonts w:ascii="Palatino Linotype" w:hAnsi="Palatino Linotype" w:cs="Arial"/>
          <w:lang w:val="es-ES" w:eastAsia="es-ES"/>
        </w:rPr>
        <w:t>(</w:t>
      </w:r>
      <w:r w:rsidR="00E43A4D">
        <w:rPr>
          <w:rFonts w:ascii="Palatino Linotype" w:hAnsi="Palatino Linotype" w:cs="Arial"/>
          <w:lang w:val="es-ES" w:eastAsia="es-ES"/>
        </w:rPr>
        <w:t>30</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372E75" w:rsidRPr="00E43A4D" w:rsidRDefault="00F63C7C" w:rsidP="00E43A4D">
      <w:pPr>
        <w:ind w:left="567" w:right="567"/>
        <w:jc w:val="both"/>
        <w:rPr>
          <w:rFonts w:ascii="Palatino Linotype" w:hAnsi="Palatino Linotype"/>
          <w:i/>
          <w:sz w:val="22"/>
          <w:szCs w:val="22"/>
        </w:rPr>
      </w:pPr>
      <w:r w:rsidRPr="00E43A4D">
        <w:rPr>
          <w:rFonts w:ascii="Palatino Linotype" w:hAnsi="Palatino Linotype"/>
          <w:i/>
          <w:color w:val="000000"/>
          <w:sz w:val="22"/>
          <w:szCs w:val="22"/>
        </w:rPr>
        <w:t>“</w:t>
      </w:r>
      <w:r w:rsidR="00E43A4D" w:rsidRPr="00E43A4D">
        <w:rPr>
          <w:rFonts w:ascii="Palatino Linotype" w:hAnsi="Palatino Linotype"/>
          <w:i/>
          <w:color w:val="000000"/>
          <w:sz w:val="22"/>
          <w:szCs w:val="22"/>
        </w:rPr>
        <w:t>La falta de respuesta a la solicitud número 00384/TEOLOYU/IP/2021, dentro de los plazos establecidos en la Ley de Transparencia y Acceso a la Información Pública del Estado de México y Municipios</w:t>
      </w:r>
      <w:r w:rsidRPr="00E43A4D">
        <w:rPr>
          <w:rFonts w:ascii="Palatino Linotype" w:hAnsi="Palatino Linotype"/>
          <w:i/>
          <w:color w:val="000000"/>
          <w:sz w:val="22"/>
          <w:szCs w:val="22"/>
        </w:rPr>
        <w:t>” (Sic)</w:t>
      </w:r>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FE2FD2" w:rsidRDefault="00372E75" w:rsidP="0061356A">
      <w:pPr>
        <w:ind w:left="567"/>
        <w:jc w:val="both"/>
        <w:rPr>
          <w:rFonts w:ascii="Palatino Linotype" w:hAnsi="Palatino Linotype"/>
          <w:i/>
          <w:color w:val="000000"/>
          <w:sz w:val="22"/>
          <w:szCs w:val="22"/>
        </w:rPr>
      </w:pPr>
      <w:r w:rsidRPr="00E43A4D">
        <w:rPr>
          <w:rFonts w:ascii="Palatino Linotype" w:hAnsi="Palatino Linotype"/>
          <w:i/>
          <w:color w:val="000000"/>
          <w:sz w:val="22"/>
          <w:szCs w:val="22"/>
        </w:rPr>
        <w:t>“</w:t>
      </w:r>
      <w:bookmarkEnd w:id="3"/>
      <w:bookmarkEnd w:id="4"/>
      <w:bookmarkEnd w:id="5"/>
      <w:r w:rsidR="00E43A4D" w:rsidRPr="00E43A4D">
        <w:rPr>
          <w:rFonts w:ascii="Palatino Linotype" w:hAnsi="Palatino Linotype"/>
          <w:i/>
          <w:color w:val="000000"/>
          <w:sz w:val="22"/>
          <w:szCs w:val="22"/>
        </w:rPr>
        <w:t xml:space="preserve">Con fecha 02 de agosto de 2021 se presentó la solicitud de información número 00384/TEOLOYU/IP/2021, por lo que de acuerdo con los plazos y términos legales la fecha límite de respuesta sería el 23 de agosto de 2021; sin embargo, dicho plazo ha sido superado en exceso y hasta el momento la Unidad de Transparencia del Sujeto Obligado se ha mantenido omisa en su respuesta sin que exista causa de justificación para ello; motivo por el cual se violenta el Derecho Humano de Acceso a la Información Pública en posesión de sujetos obligados. Por lo que, con fundamento en lo dispuesto por los artículos 176; 178 párrafo segundo; 179 fracción VII; 186 fracción IV y demás aplicables de la Ley de Transparencia y Acceso a la Información Pública del Estado de México y Municipios, estando en tiempo y forma, interpongo Recurso de Revisión a efecto de que se ordene a la Unidad de Transparencia del sujeto obligado que entregue la información solicitada. Ofrezco como pruebas de mi dicho </w:t>
      </w:r>
      <w:r w:rsidR="00E43A4D" w:rsidRPr="00E43A4D">
        <w:rPr>
          <w:rFonts w:ascii="Palatino Linotype" w:hAnsi="Palatino Linotype"/>
          <w:i/>
          <w:color w:val="000000"/>
          <w:sz w:val="22"/>
          <w:szCs w:val="22"/>
        </w:rPr>
        <w:lastRenderedPageBreak/>
        <w:t>el contenido del expediente electrónico que obra en la plataforma SAIMEX respecto a la solicitud 00384/TEOLOYU/IP/2021 y el Acuse de solicitud generado por la plataforma, mismo que adjunto como documento anexo.</w:t>
      </w:r>
      <w:r w:rsidR="00F63C7C" w:rsidRPr="00E43A4D">
        <w:rPr>
          <w:rFonts w:ascii="Palatino Linotype" w:hAnsi="Palatino Linotype"/>
          <w:i/>
          <w:sz w:val="22"/>
          <w:szCs w:val="22"/>
        </w:rPr>
        <w:t xml:space="preserve">” </w:t>
      </w:r>
      <w:r w:rsidR="00F63C7C" w:rsidRPr="00E43A4D">
        <w:rPr>
          <w:rFonts w:ascii="Palatino Linotype" w:hAnsi="Palatino Linotype"/>
          <w:i/>
          <w:color w:val="000000"/>
          <w:sz w:val="22"/>
          <w:szCs w:val="22"/>
        </w:rPr>
        <w:t>(Sic)</w:t>
      </w:r>
    </w:p>
    <w:p w:rsidR="00D532C9" w:rsidRDefault="00D532C9" w:rsidP="0061356A">
      <w:pPr>
        <w:ind w:left="567"/>
        <w:jc w:val="both"/>
        <w:rPr>
          <w:rFonts w:ascii="Palatino Linotype" w:hAnsi="Palatino Linotype"/>
          <w:i/>
          <w:color w:val="000000"/>
          <w:sz w:val="22"/>
          <w:szCs w:val="22"/>
        </w:rPr>
      </w:pPr>
    </w:p>
    <w:p w:rsidR="00D532C9" w:rsidRDefault="00D532C9" w:rsidP="00D532C9">
      <w:pPr>
        <w:spacing w:line="360" w:lineRule="auto"/>
        <w:jc w:val="both"/>
        <w:rPr>
          <w:rFonts w:ascii="Palatino Linotype" w:hAnsi="Palatino Linotype"/>
          <w:color w:val="000000"/>
          <w:sz w:val="22"/>
          <w:szCs w:val="22"/>
        </w:rPr>
      </w:pPr>
      <w:r w:rsidRPr="00D532C9">
        <w:rPr>
          <w:rFonts w:ascii="Palatino Linotype" w:hAnsi="Palatino Linotype"/>
          <w:color w:val="000000"/>
          <w:sz w:val="22"/>
          <w:szCs w:val="22"/>
        </w:rPr>
        <w:t>Archivo adjunto:</w:t>
      </w:r>
    </w:p>
    <w:p w:rsidR="00D532C9" w:rsidRPr="00D532C9" w:rsidRDefault="00D532C9" w:rsidP="00D532C9">
      <w:pPr>
        <w:ind w:left="567" w:right="567"/>
        <w:jc w:val="both"/>
        <w:rPr>
          <w:rFonts w:ascii="Palatino Linotype" w:hAnsi="Palatino Linotype"/>
          <w:i/>
          <w:sz w:val="22"/>
          <w:szCs w:val="22"/>
        </w:rPr>
      </w:pPr>
      <w:r w:rsidRPr="002F2179">
        <w:rPr>
          <w:rFonts w:ascii="Palatino Linotype" w:hAnsi="Palatino Linotype"/>
          <w:b/>
          <w:color w:val="000000"/>
          <w:sz w:val="22"/>
          <w:szCs w:val="22"/>
        </w:rPr>
        <w:t>Acuse_de_solicitud_00384.TEOLOYU.IP.2021.pdf:</w:t>
      </w:r>
      <w:r w:rsidRPr="00D532C9">
        <w:rPr>
          <w:rFonts w:ascii="Palatino Linotype" w:hAnsi="Palatino Linotype"/>
          <w:i/>
          <w:color w:val="000000"/>
          <w:sz w:val="22"/>
          <w:szCs w:val="22"/>
        </w:rPr>
        <w:t xml:space="preserve"> Acuse de solicitud de información pública número 00384/</w:t>
      </w:r>
      <w:r>
        <w:rPr>
          <w:rFonts w:ascii="Palatino Linotype" w:hAnsi="Palatino Linotype"/>
          <w:i/>
          <w:color w:val="000000"/>
          <w:sz w:val="22"/>
          <w:szCs w:val="22"/>
        </w:rPr>
        <w:t>TEOLOYU/IP/2021.</w:t>
      </w: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w:t>
      </w:r>
      <w:r w:rsidR="00F63C7C">
        <w:rPr>
          <w:rFonts w:ascii="Palatino Linotype" w:hAnsi="Palatino Linotype" w:cs="Arial"/>
          <w:lang w:val="es-ES" w:eastAsia="es-ES"/>
        </w:rPr>
        <w:t>a</w:t>
      </w:r>
      <w:r w:rsidR="00C263AF">
        <w:rPr>
          <w:rFonts w:ascii="Palatino Linotype" w:hAnsi="Palatino Linotype" w:cs="Arial"/>
          <w:lang w:val="es-ES" w:eastAsia="es-ES"/>
        </w:rPr>
        <w:t xml:space="preserve"> </w:t>
      </w:r>
      <w:r w:rsidR="00F63C7C">
        <w:rPr>
          <w:rFonts w:ascii="Palatino Linotype" w:hAnsi="Palatino Linotype" w:cs="Arial"/>
          <w:lang w:val="es-ES" w:eastAsia="es-ES"/>
        </w:rPr>
        <w:t>l</w:t>
      </w:r>
      <w:r w:rsidR="00C263AF">
        <w:rPr>
          <w:rFonts w:ascii="Palatino Linotype" w:hAnsi="Palatino Linotype" w:cs="Arial"/>
          <w:lang w:val="es-ES" w:eastAsia="es-ES"/>
        </w:rPr>
        <w:t>a</w:t>
      </w:r>
      <w:r w:rsidRPr="000C2086">
        <w:rPr>
          <w:rFonts w:ascii="Palatino Linotype" w:hAnsi="Palatino Linotype" w:cs="Arial"/>
          <w:lang w:val="es-ES" w:eastAsia="es-ES"/>
        </w:rPr>
        <w:t xml:space="preserve"> </w:t>
      </w:r>
      <w:r w:rsidR="00C263AF">
        <w:rPr>
          <w:rFonts w:ascii="Palatino Linotype" w:hAnsi="Palatino Linotype" w:cs="Arial"/>
          <w:b/>
          <w:lang w:val="es-ES" w:eastAsia="es-ES"/>
        </w:rPr>
        <w:t>Comisionada</w:t>
      </w:r>
      <w:r w:rsidRPr="000C2086">
        <w:rPr>
          <w:rFonts w:ascii="Palatino Linotype" w:hAnsi="Palatino Linotype" w:cs="Arial"/>
          <w:b/>
          <w:lang w:val="es-ES" w:eastAsia="es-ES"/>
        </w:rPr>
        <w:t xml:space="preserve"> </w:t>
      </w:r>
      <w:r w:rsidR="00E43A4D">
        <w:rPr>
          <w:rFonts w:ascii="Palatino Linotype" w:hAnsi="Palatino Linotype" w:cs="Arial"/>
          <w:b/>
          <w:lang w:val="es-ES" w:eastAsia="es-ES"/>
        </w:rPr>
        <w:t>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5B4C85"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w:t>
      </w:r>
      <w:r w:rsidR="00E43A4D">
        <w:rPr>
          <w:rFonts w:ascii="Palatino Linotype" w:eastAsia="Calibri" w:hAnsi="Palatino Linotype" w:cs="Arial"/>
          <w:lang w:val="es-ES" w:eastAsia="es-ES"/>
        </w:rPr>
        <w:t>el</w:t>
      </w:r>
      <w:r w:rsidR="00595316" w:rsidRPr="000C2086">
        <w:rPr>
          <w:rFonts w:ascii="Palatino Linotype" w:eastAsia="Calibri" w:hAnsi="Palatino Linotype" w:cs="Arial"/>
          <w:lang w:val="es-ES" w:eastAsia="es-ES"/>
        </w:rPr>
        <w:t xml:space="preserve"> </w:t>
      </w:r>
      <w:r w:rsidR="00E43A4D">
        <w:rPr>
          <w:rFonts w:ascii="Palatino Linotype" w:eastAsia="Calibri" w:hAnsi="Palatino Linotype" w:cs="Arial"/>
          <w:lang w:val="es-ES" w:eastAsia="es-ES"/>
        </w:rPr>
        <w:t>dos (02</w:t>
      </w:r>
      <w:r w:rsidR="00D728B2">
        <w:rPr>
          <w:rFonts w:ascii="Palatino Linotype" w:eastAsia="Calibri" w:hAnsi="Palatino Linotype" w:cs="Arial"/>
          <w:lang w:val="es-ES" w:eastAsia="es-ES"/>
        </w:rPr>
        <w:t>)</w:t>
      </w:r>
      <w:r w:rsidR="00595316" w:rsidRPr="000C2086">
        <w:rPr>
          <w:rFonts w:ascii="Palatino Linotype" w:eastAsia="Calibri" w:hAnsi="Palatino Linotype" w:cs="Arial"/>
          <w:lang w:val="es-ES" w:eastAsia="es-ES"/>
        </w:rPr>
        <w:t xml:space="preserve"> de </w:t>
      </w:r>
      <w:r w:rsidR="00E43A4D">
        <w:rPr>
          <w:rFonts w:ascii="Palatino Linotype" w:eastAsia="Calibri" w:hAnsi="Palatino Linotype" w:cs="Arial"/>
          <w:lang w:val="es-ES" w:eastAsia="es-ES"/>
        </w:rPr>
        <w:t>septiembre</w:t>
      </w:r>
      <w:r w:rsidR="00DE0CC7">
        <w:rPr>
          <w:rFonts w:ascii="Palatino Linotype" w:eastAsia="Calibri" w:hAnsi="Palatino Linotype" w:cs="Arial"/>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F3605C" w:rsidRPr="00B61110" w:rsidRDefault="00B61110" w:rsidP="00B61110">
      <w:pPr>
        <w:spacing w:before="240" w:after="240" w:line="360" w:lineRule="auto"/>
        <w:contextualSpacing/>
        <w:jc w:val="center"/>
        <w:rPr>
          <w:noProof/>
          <w:lang w:eastAsia="es-MX"/>
        </w:rPr>
      </w:pPr>
      <w:r>
        <w:rPr>
          <w:noProof/>
          <w:lang w:eastAsia="es-MX"/>
        </w:rPr>
        <w:lastRenderedPageBreak/>
        <w:drawing>
          <wp:inline distT="0" distB="0" distL="0" distR="0" wp14:anchorId="02ECDABD" wp14:editId="6223FA67">
            <wp:extent cx="4991100" cy="1360875"/>
            <wp:effectExtent l="19050" t="19050" r="1905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97" t="26092" r="26784" b="51456"/>
                    <a:stretch/>
                  </pic:blipFill>
                  <pic:spPr bwMode="auto">
                    <a:xfrm>
                      <a:off x="0" y="0"/>
                      <a:ext cx="5019298" cy="13685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63C7C" w:rsidRPr="00D532C9"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B61110">
        <w:rPr>
          <w:rFonts w:ascii="Palatino Linotype" w:hAnsi="Palatino Linotype"/>
        </w:rPr>
        <w:t>catorce (14</w:t>
      </w:r>
      <w:r w:rsidR="00F3605C" w:rsidRPr="00ED374D">
        <w:rPr>
          <w:rFonts w:ascii="Palatino Linotype" w:hAnsi="Palatino Linotype"/>
        </w:rPr>
        <w:t xml:space="preserve">) de </w:t>
      </w:r>
      <w:r w:rsidR="00B61110">
        <w:rPr>
          <w:rFonts w:ascii="Palatino Linotype" w:hAnsi="Palatino Linotype"/>
        </w:rPr>
        <w:t>septiembre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6" w:name="_Toc82170495"/>
      <w:r w:rsidRPr="000C2086">
        <w:rPr>
          <w:rFonts w:ascii="Palatino Linotype" w:eastAsiaTheme="majorEastAsia" w:hAnsi="Palatino Linotype" w:cstheme="majorBidi"/>
          <w:b/>
        </w:rPr>
        <w:t>CONSIDERANDO</w:t>
      </w:r>
      <w:bookmarkEnd w:id="6"/>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2170496"/>
      <w:r w:rsidRPr="000C2086">
        <w:rPr>
          <w:rFonts w:ascii="Palatino Linotype" w:eastAsiaTheme="majorEastAsia" w:hAnsi="Palatino Linotype" w:cstheme="majorBidi"/>
          <w:b/>
        </w:rPr>
        <w:t>PRIMERO. De la competencia.</w:t>
      </w:r>
      <w:bookmarkEnd w:id="7"/>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8" w:name="_Toc82170497"/>
      <w:r w:rsidRPr="000C2086">
        <w:rPr>
          <w:rFonts w:ascii="Palatino Linotype" w:eastAsiaTheme="majorEastAsia" w:hAnsi="Palatino Linotype" w:cstheme="majorBidi"/>
          <w:b/>
        </w:rPr>
        <w:lastRenderedPageBreak/>
        <w:t>SEGUNDO. De la oportunidad y procedencia.</w:t>
      </w:r>
      <w:bookmarkEnd w:id="8"/>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0C2086">
        <w:rPr>
          <w:rFonts w:ascii="Palatino Linotype" w:eastAsia="Calibri" w:hAnsi="Palatino Linotype" w:cs="Arial"/>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0C2086" w:rsidRDefault="00595316" w:rsidP="001C5313">
      <w:pPr>
        <w:contextualSpacing/>
        <w:rPr>
          <w:rFonts w:ascii="Palatino Linotype" w:hAnsi="Palatino Linotype" w:cs="Arial"/>
          <w:lang w:val="es-ES" w:eastAsia="es-MX"/>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w:t>
      </w:r>
      <w:r w:rsidRPr="000C2086">
        <w:rPr>
          <w:rFonts w:ascii="Palatino Linotype" w:eastAsiaTheme="minorEastAsia" w:hAnsi="Palatino Linotype" w:cs="Arial"/>
          <w:lang w:val="es-ES" w:eastAsia="es-ES"/>
        </w:rPr>
        <w:lastRenderedPageBreak/>
        <w:t xml:space="preserve">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9B644B"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B644B" w:rsidRPr="004702A6" w:rsidRDefault="009B644B" w:rsidP="009B644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0C2086">
        <w:rPr>
          <w:rFonts w:ascii="Palatino Linotype" w:eastAsiaTheme="minorEastAsia" w:hAnsi="Palatino Linotype" w:cs="Arial"/>
          <w:lang w:val="es-ES" w:eastAsia="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D532C9"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0C2086">
        <w:rPr>
          <w:rFonts w:ascii="Palatino Linotype" w:eastAsia="Calibri" w:hAnsi="Palatino Linotype" w:cs="Arial"/>
          <w:lang w:val="es-ES_tradnl" w:eastAsia="es-ES"/>
        </w:rPr>
        <w:t>.</w:t>
      </w:r>
    </w:p>
    <w:p w:rsidR="00D532C9" w:rsidRPr="00F63C7C" w:rsidRDefault="00D532C9" w:rsidP="00D532C9">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6" w:name="_Toc82170498"/>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6"/>
      <w:r w:rsidR="00595316" w:rsidRPr="000C2086">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D532C9" w:rsidRPr="00D532C9" w:rsidRDefault="00595316" w:rsidP="00D532C9">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7" w:name="_Toc454968928"/>
      <w:bookmarkStart w:id="18" w:name="_Toc455743517"/>
      <w:bookmarkStart w:id="19" w:name="_Toc458016386"/>
      <w:bookmarkStart w:id="20" w:name="_Toc461555893"/>
      <w:bookmarkStart w:id="21" w:name="_Toc462307690"/>
      <w:bookmarkStart w:id="22"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776A87" w:rsidRPr="00CA7624">
        <w:rPr>
          <w:rFonts w:ascii="Palatino Linotype" w:eastAsiaTheme="minorEastAsia" w:hAnsi="Palatino Linotype" w:cs="Arial"/>
          <w:lang w:val="es-ES_tradnl" w:eastAsia="es-ES"/>
        </w:rPr>
        <w:t xml:space="preserve">el particular solicitó </w:t>
      </w:r>
      <w:r w:rsidR="00D532C9">
        <w:rPr>
          <w:rFonts w:ascii="Palatino Linotype" w:eastAsiaTheme="minorEastAsia" w:hAnsi="Palatino Linotype" w:cs="Arial"/>
          <w:lang w:val="es-ES_tradnl" w:eastAsia="es-ES"/>
        </w:rPr>
        <w:t xml:space="preserve">la siguiente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D532C9">
        <w:rPr>
          <w:rFonts w:ascii="Palatino Linotype" w:eastAsia="MS Mincho" w:hAnsi="Palatino Linotype"/>
        </w:rPr>
        <w:t>, en formato abierto:</w:t>
      </w:r>
    </w:p>
    <w:p w:rsidR="00D532C9" w:rsidRPr="00E6297F" w:rsidRDefault="00D532C9" w:rsidP="00E6297F">
      <w:pPr>
        <w:pStyle w:val="Prrafodelista"/>
        <w:numPr>
          <w:ilvl w:val="0"/>
          <w:numId w:val="39"/>
        </w:numPr>
        <w:spacing w:before="240" w:after="240"/>
        <w:ind w:left="567" w:right="567" w:firstLine="0"/>
        <w:jc w:val="both"/>
        <w:rPr>
          <w:rFonts w:ascii="Palatino Linotype" w:hAnsi="Palatino Linotype"/>
          <w:b/>
          <w:sz w:val="22"/>
          <w:szCs w:val="22"/>
        </w:rPr>
      </w:pPr>
      <w:r w:rsidRPr="00E6297F">
        <w:rPr>
          <w:rFonts w:ascii="Palatino Linotype" w:hAnsi="Palatino Linotype"/>
          <w:b/>
          <w:color w:val="000000"/>
          <w:sz w:val="22"/>
          <w:szCs w:val="22"/>
        </w:rPr>
        <w:t>El perfil profesional</w:t>
      </w:r>
      <w:r w:rsidR="00E6297F">
        <w:rPr>
          <w:rFonts w:ascii="Palatino Linotype" w:hAnsi="Palatino Linotype"/>
          <w:b/>
          <w:color w:val="000000"/>
          <w:sz w:val="22"/>
          <w:szCs w:val="22"/>
        </w:rPr>
        <w:t xml:space="preserve">, la síntesis curricular y los recibos de nómina de </w:t>
      </w:r>
      <w:r w:rsidRPr="00E6297F">
        <w:rPr>
          <w:rFonts w:ascii="Palatino Linotype" w:hAnsi="Palatino Linotype"/>
          <w:b/>
          <w:color w:val="000000"/>
          <w:sz w:val="22"/>
          <w:szCs w:val="22"/>
        </w:rPr>
        <w:t>los integrantes de las siguientes áreas: Desarrollo Económico, Unidad de Transparencia, Unidad de Planeación, Tesorería Municipal, Desarrollo Urbano, Obras Públicas, Seguridad Pública, Protección Civil y Bomberos, Secretaría del Ayuntam</w:t>
      </w:r>
      <w:r w:rsidR="00E6297F">
        <w:rPr>
          <w:rFonts w:ascii="Palatino Linotype" w:hAnsi="Palatino Linotype"/>
          <w:b/>
          <w:color w:val="000000"/>
          <w:sz w:val="22"/>
          <w:szCs w:val="22"/>
        </w:rPr>
        <w:t>iento, Agua Potable;</w:t>
      </w:r>
    </w:p>
    <w:p w:rsidR="00E6297F" w:rsidRPr="00E6297F" w:rsidRDefault="00E6297F" w:rsidP="00E6297F">
      <w:pPr>
        <w:pStyle w:val="Prrafodelista"/>
        <w:spacing w:before="240" w:after="240"/>
        <w:ind w:left="567" w:right="567"/>
        <w:jc w:val="both"/>
        <w:rPr>
          <w:rFonts w:ascii="Palatino Linotype" w:hAnsi="Palatino Linotype"/>
          <w:b/>
          <w:sz w:val="22"/>
          <w:szCs w:val="22"/>
        </w:rPr>
      </w:pPr>
    </w:p>
    <w:p w:rsidR="00E6297F" w:rsidRPr="00E6297F" w:rsidRDefault="00D532C9" w:rsidP="00E6297F">
      <w:pPr>
        <w:pStyle w:val="Prrafodelista"/>
        <w:numPr>
          <w:ilvl w:val="0"/>
          <w:numId w:val="39"/>
        </w:numPr>
        <w:spacing w:before="240" w:after="240"/>
        <w:ind w:left="567" w:right="567" w:firstLine="0"/>
        <w:jc w:val="both"/>
        <w:rPr>
          <w:rFonts w:ascii="Palatino Linotype" w:hAnsi="Palatino Linotype"/>
          <w:b/>
          <w:sz w:val="22"/>
          <w:szCs w:val="22"/>
        </w:rPr>
      </w:pPr>
      <w:r w:rsidRPr="00E6297F">
        <w:rPr>
          <w:rFonts w:ascii="Palatino Linotype" w:hAnsi="Palatino Linotype"/>
          <w:b/>
          <w:color w:val="000000"/>
          <w:sz w:val="22"/>
          <w:szCs w:val="22"/>
        </w:rPr>
        <w:lastRenderedPageBreak/>
        <w:t>El Tabulador d</w:t>
      </w:r>
      <w:r w:rsidR="00E6297F">
        <w:rPr>
          <w:rFonts w:ascii="Palatino Linotype" w:hAnsi="Palatino Linotype"/>
          <w:b/>
          <w:color w:val="000000"/>
          <w:sz w:val="22"/>
          <w:szCs w:val="22"/>
        </w:rPr>
        <w:t>e Sueldos vigente; y</w:t>
      </w:r>
    </w:p>
    <w:p w:rsidR="00E6297F" w:rsidRPr="00E6297F" w:rsidRDefault="00E6297F" w:rsidP="00E6297F">
      <w:pPr>
        <w:pStyle w:val="Prrafodelista"/>
        <w:numPr>
          <w:ilvl w:val="0"/>
          <w:numId w:val="39"/>
        </w:numPr>
        <w:spacing w:before="240" w:after="240"/>
        <w:ind w:left="567" w:right="567" w:firstLine="0"/>
        <w:jc w:val="both"/>
        <w:rPr>
          <w:rFonts w:ascii="Palatino Linotype" w:hAnsi="Palatino Linotype"/>
          <w:b/>
          <w:sz w:val="22"/>
          <w:szCs w:val="22"/>
        </w:rPr>
      </w:pPr>
      <w:r>
        <w:rPr>
          <w:rFonts w:ascii="Palatino Linotype" w:hAnsi="Palatino Linotype"/>
          <w:b/>
          <w:color w:val="000000"/>
          <w:sz w:val="22"/>
          <w:szCs w:val="22"/>
        </w:rPr>
        <w:t>En el formato que se entrega</w:t>
      </w:r>
      <w:r w:rsidRPr="00E6297F">
        <w:rPr>
          <w:rFonts w:ascii="Palatino Linotype" w:hAnsi="Palatino Linotype"/>
          <w:b/>
          <w:color w:val="000000"/>
          <w:sz w:val="22"/>
          <w:szCs w:val="22"/>
        </w:rPr>
        <w:t xml:space="preserve"> al OSFEM, la nómina general de los meses comprendidos en el periodo del 1 de enero de 2019 al 2021.</w:t>
      </w:r>
    </w:p>
    <w:p w:rsidR="00E6297F" w:rsidRPr="00E6297F" w:rsidRDefault="00E6297F" w:rsidP="00E6297F">
      <w:pPr>
        <w:pStyle w:val="Prrafodelista"/>
        <w:spacing w:before="240" w:after="240"/>
        <w:ind w:left="567" w:right="567"/>
        <w:jc w:val="both"/>
        <w:rPr>
          <w:rFonts w:ascii="Palatino Linotype" w:hAnsi="Palatino Linotype"/>
          <w:b/>
          <w:sz w:val="22"/>
          <w:szCs w:val="22"/>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3" w:name="_Toc82170499"/>
      <w:bookmarkStart w:id="24"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3"/>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2170500"/>
      <w:r w:rsidRPr="00632B54">
        <w:rPr>
          <w:rFonts w:ascii="Palatino Linotype" w:eastAsia="MS Gothic" w:hAnsi="Palatino Linotype"/>
          <w:b/>
          <w:lang w:val="es-ES_tradnl" w:eastAsia="es-ES"/>
        </w:rPr>
        <w:t>De</w:t>
      </w:r>
      <w:bookmarkEnd w:id="25"/>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6"/>
      <w:bookmarkEnd w:id="27"/>
    </w:p>
    <w:p w:rsidR="002A0729" w:rsidRPr="00632B54" w:rsidRDefault="002A0729" w:rsidP="004371A1">
      <w:pPr>
        <w:contextualSpacing/>
        <w:rPr>
          <w:rFonts w:ascii="Palatino Linotype" w:eastAsia="MS Mincho" w:hAnsi="Palatino Linotype" w:cs="Arial"/>
          <w:lang w:val="es-ES_tradnl" w:eastAsia="es-ES"/>
        </w:rPr>
      </w:pPr>
      <w:bookmarkStart w:id="28" w:name="_Toc536106972"/>
    </w:p>
    <w:p w:rsidR="002A0729" w:rsidRPr="00BC54B6"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BC54B6" w:rsidRPr="0036119C" w:rsidRDefault="00BC54B6" w:rsidP="00BC54B6">
      <w:pPr>
        <w:spacing w:before="240" w:after="240" w:line="360" w:lineRule="auto"/>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 xml:space="preserve">en posesión de cualquier </w:t>
      </w:r>
      <w:r w:rsidRPr="00632B54">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4371A1" w:rsidRDefault="002A0729" w:rsidP="004371A1">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lastRenderedPageBreak/>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71A1" w:rsidRDefault="002A0729" w:rsidP="004371A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2170501"/>
      <w:r w:rsidRPr="00632B54">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9"/>
      <w:bookmarkEnd w:id="30"/>
      <w:bookmarkEnd w:id="31"/>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lastRenderedPageBreak/>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rsidR="00D436DD" w:rsidRPr="00213A1D" w:rsidRDefault="00BC54B6" w:rsidP="004371A1">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drawing>
          <wp:inline distT="0" distB="0" distL="0" distR="0" wp14:anchorId="7C5D1045" wp14:editId="32232AE9">
            <wp:extent cx="5588713" cy="2338903"/>
            <wp:effectExtent l="19050" t="19050" r="12065" b="234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38" t="28126" r="27508" b="38355"/>
                    <a:stretch/>
                  </pic:blipFill>
                  <pic:spPr bwMode="auto">
                    <a:xfrm>
                      <a:off x="0" y="0"/>
                      <a:ext cx="5696556" cy="2384036"/>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lastRenderedPageBreak/>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4371A1"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lastRenderedPageBreak/>
        <w:t xml:space="preserve">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2170502"/>
      <w:r w:rsidRPr="00213A1D">
        <w:rPr>
          <w:rFonts w:ascii="Palatino Linotype" w:hAnsi="Palatino Linotype" w:cstheme="majorBidi"/>
          <w:b/>
          <w:szCs w:val="32"/>
        </w:rPr>
        <w:t>Sobre la respuesta que se emita a la solicitud.</w:t>
      </w:r>
      <w:bookmarkEnd w:id="28"/>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213A1D">
        <w:rPr>
          <w:rFonts w:ascii="Palatino Linotype" w:eastAsiaTheme="minorEastAsia" w:hAnsi="Palatino Linotype" w:cs="Arial"/>
          <w:lang w:val="es-ES_tradnl" w:eastAsia="es-ES"/>
        </w:rPr>
        <w:lastRenderedPageBreak/>
        <w:t xml:space="preserve">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w:t>
      </w:r>
      <w:r w:rsidRPr="00213A1D">
        <w:rPr>
          <w:rFonts w:ascii="Palatino Linotype" w:hAnsi="Palatino Linotype" w:cs="Arial"/>
          <w:lang w:val="es-ES_tradnl" w:eastAsia="es-ES"/>
        </w:rPr>
        <w:lastRenderedPageBreak/>
        <w:t xml:space="preserve">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 xml:space="preserve">SUJETO </w:t>
      </w:r>
      <w:r w:rsidR="00542876" w:rsidRPr="00542876">
        <w:rPr>
          <w:rFonts w:ascii="Palatino Linotype" w:eastAsiaTheme="minorEastAsia" w:hAnsi="Palatino Linotype" w:cs="Arial"/>
          <w:b/>
          <w:lang w:val="es-ES" w:eastAsia="es-ES"/>
        </w:rPr>
        <w:lastRenderedPageBreak/>
        <w:t>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w:t>
      </w:r>
      <w:r w:rsidRPr="00213A1D">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2170503"/>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13A1D">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lastRenderedPageBreak/>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lastRenderedPageBreak/>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FB2CF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217050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9E7E81">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w:t>
      </w:r>
      <w:r w:rsidRPr="00213A1D">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217050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9E7E81"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FB2CF9" w:rsidRPr="00B638FD" w:rsidRDefault="00FB2CF9"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2170506"/>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2170507"/>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DC4CFA">
        <w:rPr>
          <w:rFonts w:ascii="Palatino Linotype" w:eastAsia="MS Gothic" w:hAnsi="Palatino Linotype" w:cs="Times New Roman"/>
          <w:szCs w:val="26"/>
        </w:rPr>
        <w:lastRenderedPageBreak/>
        <w:t>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un acuerdo para clasificar de manera general todos los documentos de un expediente o área,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2170508"/>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DC4CF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 xml:space="preserve">leyenda de clasificación, los sujetos obligados deberán señalar con números o letras las </w:t>
      </w:r>
      <w:r w:rsidRPr="00A662C3">
        <w:rPr>
          <w:rFonts w:ascii="Palatino Linotype" w:hAnsi="Palatino Linotype" w:cs="Arial"/>
          <w:i/>
          <w:sz w:val="22"/>
          <w:szCs w:val="22"/>
        </w:rPr>
        <w:lastRenderedPageBreak/>
        <w:t>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2170509"/>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w:t>
      </w:r>
      <w:r w:rsidR="002A0729" w:rsidRPr="00303DB8">
        <w:rPr>
          <w:rFonts w:ascii="Palatino Linotype" w:eastAsia="MS Gothic" w:hAnsi="Palatino Linotype" w:cs="Times New Roman"/>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002A0729" w:rsidRPr="00303DB8">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w:t>
      </w:r>
      <w:r w:rsidR="002A0729" w:rsidRPr="00303DB8">
        <w:rPr>
          <w:rFonts w:ascii="Palatino Linotype" w:eastAsia="MS Gothic" w:hAnsi="Palatino Linotype" w:cs="Times New Roman"/>
          <w:szCs w:val="26"/>
        </w:rPr>
        <w:lastRenderedPageBreak/>
        <w:t>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303DB8">
        <w:rPr>
          <w:rFonts w:ascii="Palatino Linotype" w:eastAsia="MS Gothic" w:hAnsi="Palatino Linotype" w:cs="Times New Roman"/>
        </w:rPr>
        <w:lastRenderedPageBreak/>
        <w:t>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FB2CF9" w:rsidRDefault="00DC4CFA" w:rsidP="00B638FD">
      <w:pPr>
        <w:keepNext/>
        <w:keepLines/>
        <w:spacing w:before="240"/>
        <w:outlineLvl w:val="0"/>
        <w:rPr>
          <w:rFonts w:ascii="Palatino Linotype" w:eastAsia="MS Gothic" w:hAnsi="Palatino Linotype" w:cstheme="majorBidi"/>
          <w:b/>
        </w:rPr>
      </w:pPr>
      <w:bookmarkStart w:id="65" w:name="_Toc82170510"/>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FB2CF9" w:rsidRPr="00B638FD" w:rsidRDefault="00FB2CF9" w:rsidP="00B638FD">
      <w:pPr>
        <w:keepNext/>
        <w:keepLines/>
        <w:spacing w:before="240"/>
        <w:outlineLvl w:val="0"/>
        <w:rPr>
          <w:rFonts w:ascii="Palatino Linotype" w:eastAsia="MS Gothic" w:hAnsi="Palatino Linotype" w:cstheme="majorBidi"/>
          <w:b/>
        </w:rPr>
      </w:pPr>
    </w:p>
    <w:p w:rsidR="008C2F4C" w:rsidRP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FA4ADD" w:rsidRPr="00DC4CFA" w:rsidRDefault="00FA4ADD" w:rsidP="00FA4ADD">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FB2CF9">
        <w:rPr>
          <w:rFonts w:ascii="Palatino Linotype" w:eastAsiaTheme="minorHAnsi" w:hAnsi="Palatino Linotype" w:cs="AppleSystemUIFontBold"/>
          <w:b/>
          <w:bCs/>
          <w:lang w:eastAsia="en-US"/>
        </w:rPr>
        <w:t>00384</w:t>
      </w:r>
      <w:r w:rsidR="0079679B" w:rsidRPr="00DC4CFA">
        <w:rPr>
          <w:rFonts w:ascii="Palatino Linotype" w:eastAsiaTheme="minorHAnsi" w:hAnsi="Palatino Linotype" w:cs="AppleSystemUIFontBold"/>
          <w:b/>
          <w:bCs/>
          <w:lang w:eastAsia="en-US"/>
        </w:rPr>
        <w:t>/</w:t>
      </w:r>
      <w:r w:rsidR="00FB2CF9">
        <w:rPr>
          <w:rFonts w:ascii="Palatino Linotype" w:eastAsiaTheme="minorHAnsi" w:hAnsi="Palatino Linotype" w:cs="AppleSystemUIFontBold"/>
          <w:b/>
          <w:bCs/>
          <w:lang w:eastAsia="en-US"/>
        </w:rPr>
        <w:t>TEOLOYU</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9E7E81" w:rsidRPr="00FB2CF9" w:rsidRDefault="00595316" w:rsidP="009E7E81">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2170511"/>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FB2CF9">
        <w:rPr>
          <w:rFonts w:ascii="Palatino Linotype" w:eastAsiaTheme="minorHAnsi" w:hAnsi="Palatino Linotype" w:cs="AppleSystemUIFontBold"/>
          <w:b/>
          <w:bCs/>
          <w:lang w:val="es-ES_tradnl" w:eastAsia="en-US"/>
        </w:rPr>
        <w:t>04328</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FB2CF9">
        <w:rPr>
          <w:rFonts w:ascii="Palatino Linotype" w:eastAsia="Calibri" w:hAnsi="Palatino Linotype" w:cs="Arial"/>
          <w:lang w:val="es-ES" w:eastAsia="es-ES"/>
        </w:rPr>
        <w:t>l</w:t>
      </w:r>
      <w:r w:rsidRPr="0028393C">
        <w:rPr>
          <w:rFonts w:ascii="Palatino Linotype" w:eastAsia="Calibri" w:hAnsi="Palatino Linotype" w:cs="Arial"/>
          <w:lang w:val="es-ES" w:eastAsia="es-ES"/>
        </w:rPr>
        <w:t xml:space="preserve"> </w:t>
      </w:r>
      <w:r w:rsidR="00FB2CF9">
        <w:rPr>
          <w:rFonts w:ascii="Palatino Linotype" w:hAnsi="Palatino Linotype"/>
          <w:b/>
          <w:color w:val="000000" w:themeColor="text1"/>
        </w:rPr>
        <w:t>Ayuntamiento de Teoloyucan</w:t>
      </w:r>
      <w:r w:rsidR="009E7E81" w:rsidRP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FB2CF9">
        <w:rPr>
          <w:rFonts w:ascii="Palatino Linotype" w:hAnsi="Palatino Linotype"/>
          <w:b/>
        </w:rPr>
        <w:t>00384</w:t>
      </w:r>
      <w:r w:rsidR="0028393C" w:rsidRPr="0028393C">
        <w:rPr>
          <w:rFonts w:ascii="Palatino Linotype" w:hAnsi="Palatino Linotype"/>
          <w:b/>
        </w:rPr>
        <w:t>/</w:t>
      </w:r>
      <w:r w:rsidR="00FB2CF9">
        <w:rPr>
          <w:rFonts w:ascii="Palatino Linotype" w:hAnsi="Palatino Linotype"/>
          <w:b/>
        </w:rPr>
        <w:t>TEOLOYU</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w:t>
      </w:r>
      <w:r w:rsidRPr="0076477D">
        <w:rPr>
          <w:rFonts w:ascii="Palatino Linotype" w:eastAsia="Palatino Linotype" w:hAnsi="Palatino Linotype" w:cs="Palatino Linotype"/>
          <w:lang w:val="es-ES_tradnl" w:eastAsia="es-ES"/>
        </w:rPr>
        <w:lastRenderedPageBreak/>
        <w:t xml:space="preserve">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Pr="0076477D"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76477D" w:rsidRDefault="00595316" w:rsidP="00595316">
      <w:pPr>
        <w:spacing w:line="360" w:lineRule="auto"/>
        <w:jc w:val="both"/>
        <w:rPr>
          <w:rFonts w:ascii="Palatino Linotype" w:eastAsia="MS Mincho" w:hAnsi="Palatino Linotype"/>
          <w:b/>
          <w:lang w:val="es-ES_tradnl" w:eastAsia="es-ES"/>
        </w:rPr>
      </w:pPr>
    </w:p>
    <w:p w:rsidR="00276BBE" w:rsidRDefault="007501F2" w:rsidP="00DC4CFA">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w:t>
      </w:r>
      <w:r w:rsidR="00595316" w:rsidRPr="0076477D">
        <w:rPr>
          <w:rFonts w:ascii="Palatino Linotype" w:eastAsia="MS Mincho" w:hAnsi="Palatino Linotype"/>
          <w:b/>
          <w:lang w:val="es-ES_tradnl" w:eastAsia="es-ES"/>
        </w:rPr>
        <w:t>PTIMO.</w:t>
      </w:r>
      <w:r w:rsidR="00595316" w:rsidRPr="0076477D">
        <w:rPr>
          <w:rFonts w:ascii="Palatino Linotype" w:eastAsia="MS Mincho" w:hAnsi="Palatino Linotype"/>
          <w:lang w:val="es-ES_tradnl" w:eastAsia="es-ES"/>
        </w:rPr>
        <w:t xml:space="preserve"> </w:t>
      </w:r>
      <w:r w:rsidR="00276BBE">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00276BBE" w:rsidRPr="00601294">
        <w:rPr>
          <w:rFonts w:ascii="Palatino Linotype" w:eastAsia="MS Mincho" w:hAnsi="Palatino Linotype"/>
          <w:b/>
          <w:lang w:val="es-ES_tradnl" w:eastAsia="es-ES"/>
        </w:rPr>
        <w:t>SUJETO OBLIGADO</w:t>
      </w:r>
      <w:r w:rsidR="00276BBE">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276BBE" w:rsidRDefault="00276BBE" w:rsidP="00DC4CFA">
      <w:pPr>
        <w:spacing w:line="360" w:lineRule="auto"/>
        <w:jc w:val="both"/>
        <w:rPr>
          <w:rFonts w:ascii="Palatino Linotype" w:eastAsia="MS Mincho" w:hAnsi="Palatino Linotype"/>
          <w:lang w:val="es-ES_tradnl" w:eastAsia="es-ES"/>
        </w:rPr>
      </w:pPr>
    </w:p>
    <w:p w:rsidR="007501F2" w:rsidRPr="00DC4CFA" w:rsidRDefault="00276BBE" w:rsidP="00DC4CFA">
      <w:pPr>
        <w:spacing w:line="360" w:lineRule="auto"/>
        <w:jc w:val="both"/>
        <w:rPr>
          <w:rFonts w:ascii="Palatino Linotype" w:eastAsia="MS Mincho" w:hAnsi="Palatino Linotype"/>
          <w:lang w:val="es-ES_tradnl" w:eastAsia="es-ES"/>
        </w:rPr>
      </w:pPr>
      <w:r w:rsidRPr="00276BBE">
        <w:rPr>
          <w:rFonts w:ascii="Palatino Linotype" w:eastAsia="MS Mincho" w:hAnsi="Palatino Linotype"/>
          <w:b/>
          <w:lang w:val="es-ES_tradnl" w:eastAsia="es-ES"/>
        </w:rPr>
        <w:t>OCTAVIO.</w:t>
      </w:r>
      <w:r>
        <w:rPr>
          <w:rFonts w:ascii="Palatino Linotype" w:eastAsia="MS Mincho" w:hAnsi="Palatino Linotype"/>
          <w:lang w:val="es-ES_tradnl" w:eastAsia="es-ES"/>
        </w:rPr>
        <w:t xml:space="preserve"> </w:t>
      </w:r>
      <w:r w:rsidR="00595316" w:rsidRPr="0076477D">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6205F4">
        <w:rPr>
          <w:rFonts w:ascii="Palatino Linotype" w:eastAsiaTheme="minorEastAsia" w:hAnsi="Palatino Linotype"/>
          <w:lang w:val="es-ES_tradnl" w:eastAsia="es-ES"/>
        </w:rPr>
        <w:t>TRIGÉSIMO CUARTA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606376">
        <w:rPr>
          <w:rFonts w:ascii="Palatino Linotype" w:eastAsiaTheme="minorEastAsia" w:hAnsi="Palatino Linotype"/>
          <w:lang w:val="es-ES_tradnl" w:eastAsia="es-ES"/>
        </w:rPr>
        <w:t>VEINTINUEVE (29</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Default="00606376" w:rsidP="0079679B">
      <w:pPr>
        <w:spacing w:before="240" w:after="240" w:line="360" w:lineRule="auto"/>
        <w:jc w:val="both"/>
        <w:rPr>
          <w:rFonts w:ascii="Palatino Linotype" w:eastAsiaTheme="minorEastAsia" w:hAnsi="Palatino Linotype"/>
          <w:lang w:val="es-ES_tradnl" w:eastAsia="es-ES"/>
        </w:rPr>
      </w:pPr>
    </w:p>
    <w:p w:rsidR="00606376" w:rsidRPr="000C2086" w:rsidRDefault="00606376" w:rsidP="0079679B">
      <w:pPr>
        <w:spacing w:before="240" w:after="240" w:line="360" w:lineRule="auto"/>
        <w:jc w:val="both"/>
        <w:rPr>
          <w:rFonts w:ascii="Palatino Linotype" w:eastAsiaTheme="minorEastAsia" w:hAnsi="Palatino Linotype"/>
          <w:lang w:val="es-ES_tradnl" w:eastAsia="es-ES"/>
        </w:rPr>
      </w:pPr>
    </w:p>
    <w:sectPr w:rsidR="00606376"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EB1" w:rsidRDefault="002F6EB1" w:rsidP="00595316">
      <w:r>
        <w:separator/>
      </w:r>
    </w:p>
  </w:endnote>
  <w:endnote w:type="continuationSeparator" w:id="0">
    <w:p w:rsidR="002F6EB1" w:rsidRDefault="002F6EB1"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43A4D" w:rsidRPr="00883450" w:rsidRDefault="00E43A4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3C15">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3C15">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E43A4D" w:rsidRDefault="00E43A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4D" w:rsidRPr="00883450" w:rsidRDefault="00E43A4D"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3C15" w:rsidRPr="00F53C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3C15" w:rsidRPr="00F53C15">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EB1" w:rsidRDefault="002F6EB1" w:rsidP="00595316">
      <w:r>
        <w:separator/>
      </w:r>
    </w:p>
  </w:footnote>
  <w:footnote w:type="continuationSeparator" w:id="0">
    <w:p w:rsidR="002F6EB1" w:rsidRDefault="002F6EB1" w:rsidP="00595316">
      <w:r>
        <w:continuationSeparator/>
      </w:r>
    </w:p>
  </w:footnote>
  <w:footnote w:id="1">
    <w:p w:rsidR="00E43A4D" w:rsidRDefault="00E43A4D" w:rsidP="002A0729">
      <w:pPr>
        <w:pStyle w:val="Textonotapie"/>
      </w:pPr>
      <w:r>
        <w:rPr>
          <w:rStyle w:val="Refdenotaalpie"/>
        </w:rPr>
        <w:footnoteRef/>
      </w:r>
      <w:r>
        <w:t xml:space="preserve"> Convención Americana sobre Derechos Humanos. Artículo 13.</w:t>
      </w:r>
    </w:p>
  </w:footnote>
  <w:footnote w:id="2">
    <w:p w:rsidR="00E43A4D" w:rsidRDefault="00E43A4D" w:rsidP="002A0729">
      <w:pPr>
        <w:pStyle w:val="Textonotapie"/>
      </w:pPr>
      <w:r>
        <w:rPr>
          <w:rStyle w:val="Refdenotaalpie"/>
        </w:rPr>
        <w:footnoteRef/>
      </w:r>
      <w:r>
        <w:t xml:space="preserve"> Constitución Política de los Estados Unidos Mexicanos. Artículo sexto, sección A, fracción I.</w:t>
      </w:r>
    </w:p>
  </w:footnote>
  <w:footnote w:id="3">
    <w:p w:rsidR="00E43A4D" w:rsidRDefault="00E43A4D"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43A4D" w:rsidRDefault="00E43A4D" w:rsidP="002A0729">
      <w:pPr>
        <w:pStyle w:val="Textonotapie"/>
      </w:pPr>
      <w:r>
        <w:rPr>
          <w:rStyle w:val="Refdenotaalpie"/>
        </w:rPr>
        <w:footnoteRef/>
      </w:r>
      <w:r>
        <w:t xml:space="preserve"> Ibídem. Parr. 87.</w:t>
      </w:r>
    </w:p>
  </w:footnote>
  <w:footnote w:id="5">
    <w:p w:rsidR="00E43A4D" w:rsidRDefault="00E43A4D"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43A4D" w:rsidRDefault="00E43A4D"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43A4D" w:rsidRDefault="00E43A4D"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43A4D" w:rsidRDefault="00E43A4D"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43A4D" w:rsidRDefault="00E43A4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43A4D" w:rsidRDefault="00E43A4D"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43A4D" w:rsidRDefault="00E43A4D"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43A4D" w:rsidRDefault="00E43A4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43A4D" w:rsidRDefault="00E43A4D"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43A4D" w:rsidRDefault="00E43A4D" w:rsidP="002A0729">
      <w:pPr>
        <w:pStyle w:val="Textonotapie"/>
        <w:jc w:val="both"/>
        <w:rPr>
          <w:rFonts w:ascii="Palatino Linotype" w:hAnsi="Palatino Linotype"/>
          <w:sz w:val="18"/>
        </w:rPr>
      </w:pPr>
      <w:r>
        <w:rPr>
          <w:rFonts w:ascii="Palatino Linotype" w:hAnsi="Palatino Linotype"/>
          <w:sz w:val="18"/>
        </w:rPr>
        <w:t xml:space="preserve"> (…)</w:t>
      </w:r>
    </w:p>
    <w:p w:rsidR="00E43A4D" w:rsidRDefault="00E43A4D"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4D" w:rsidRDefault="00E43A4D">
    <w:pPr>
      <w:pStyle w:val="Encabezado"/>
    </w:pPr>
  </w:p>
  <w:p w:rsidR="00E43A4D" w:rsidRDefault="00E43A4D">
    <w:pPr>
      <w:pStyle w:val="Encabezado"/>
    </w:pPr>
    <w:r>
      <w:rPr>
        <w:noProof/>
        <w:lang w:val="es-MX" w:eastAsia="es-MX"/>
      </w:rPr>
      <w:drawing>
        <wp:anchor distT="0" distB="0" distL="114300" distR="114300" simplePos="0" relativeHeight="251662336" behindDoc="1" locked="0" layoutInCell="0" allowOverlap="1" wp14:anchorId="552F74F7" wp14:editId="18A71B93">
          <wp:simplePos x="0" y="0"/>
          <wp:positionH relativeFrom="margin">
            <wp:align>center</wp:align>
          </wp:positionH>
          <wp:positionV relativeFrom="margin">
            <wp:posOffset>-226667</wp:posOffset>
          </wp:positionV>
          <wp:extent cx="6858000" cy="9144000"/>
          <wp:effectExtent l="0" t="0" r="0" b="0"/>
          <wp:wrapNone/>
          <wp:docPr id="7" name="Imagen 7"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Pr="0052614B">
      <w:rPr>
        <w:rFonts w:ascii="Palatino Linotype" w:hAnsi="Palatino Linotype"/>
        <w:noProof/>
        <w:sz w:val="28"/>
        <w:szCs w:val="28"/>
        <w:lang w:val="es-MX" w:eastAsia="es-MX"/>
      </w:rPr>
      <w:drawing>
        <wp:anchor distT="0" distB="0" distL="114300" distR="114300" simplePos="0" relativeHeight="251664384" behindDoc="1" locked="0" layoutInCell="1" allowOverlap="1" wp14:anchorId="55AB10E7" wp14:editId="1EB44476">
          <wp:simplePos x="0" y="0"/>
          <wp:positionH relativeFrom="column">
            <wp:posOffset>-162579</wp:posOffset>
          </wp:positionH>
          <wp:positionV relativeFrom="paragraph">
            <wp:posOffset>170426</wp:posOffset>
          </wp:positionV>
          <wp:extent cx="1663440" cy="838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43A4D" w:rsidRPr="00EF13C1" w:rsidTr="00595316">
      <w:trPr>
        <w:trHeight w:val="138"/>
      </w:trPr>
      <w:tc>
        <w:tcPr>
          <w:tcW w:w="2551" w:type="dxa"/>
          <w:vAlign w:val="center"/>
        </w:tcPr>
        <w:p w:rsidR="00E43A4D" w:rsidRPr="005B4C85" w:rsidRDefault="00E43A4D" w:rsidP="0061356A">
          <w:pPr>
            <w:jc w:val="both"/>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E43A4D" w:rsidRPr="005B4C85" w:rsidRDefault="00E43A4D" w:rsidP="0061356A">
          <w:pPr>
            <w:pStyle w:val="Encabezado"/>
            <w:jc w:val="both"/>
            <w:rPr>
              <w:rFonts w:ascii="Palatino Linotype" w:hAnsi="Palatino Linotype"/>
              <w:b/>
              <w:sz w:val="22"/>
              <w:szCs w:val="22"/>
            </w:rPr>
          </w:pPr>
          <w:r>
            <w:rPr>
              <w:rFonts w:ascii="Palatino Linotype" w:hAnsi="Palatino Linotype"/>
              <w:b/>
              <w:sz w:val="22"/>
              <w:szCs w:val="22"/>
            </w:rPr>
            <w:t>04328</w:t>
          </w:r>
          <w:r w:rsidRPr="005B4C85">
            <w:rPr>
              <w:rFonts w:ascii="Palatino Linotype" w:hAnsi="Palatino Linotype"/>
              <w:b/>
              <w:sz w:val="22"/>
              <w:szCs w:val="22"/>
            </w:rPr>
            <w:t>/INFOEM/IP/RR/2021</w:t>
          </w:r>
        </w:p>
      </w:tc>
    </w:tr>
    <w:tr w:rsidR="00E43A4D" w:rsidRPr="003339D0" w:rsidTr="00595316">
      <w:trPr>
        <w:gridAfter w:val="1"/>
        <w:wAfter w:w="284" w:type="dxa"/>
        <w:trHeight w:val="321"/>
      </w:trPr>
      <w:tc>
        <w:tcPr>
          <w:tcW w:w="2551" w:type="dxa"/>
          <w:vAlign w:val="center"/>
        </w:tcPr>
        <w:p w:rsidR="00E43A4D" w:rsidRPr="005B4C85" w:rsidRDefault="00E43A4D" w:rsidP="0061356A">
          <w:pPr>
            <w:jc w:val="both"/>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E43A4D" w:rsidRPr="005B4C85" w:rsidRDefault="00E43A4D" w:rsidP="0061356A">
          <w:pPr>
            <w:pStyle w:val="Encabezado"/>
            <w:ind w:right="21"/>
            <w:jc w:val="both"/>
            <w:rPr>
              <w:rFonts w:ascii="Palatino Linotype" w:hAnsi="Palatino Linotype"/>
              <w:b/>
              <w:sz w:val="22"/>
              <w:szCs w:val="22"/>
            </w:rPr>
          </w:pPr>
          <w:r>
            <w:rPr>
              <w:rFonts w:ascii="Palatino Linotype" w:hAnsi="Palatino Linotype"/>
              <w:b/>
              <w:color w:val="000000" w:themeColor="text1"/>
              <w:sz w:val="22"/>
              <w:szCs w:val="22"/>
            </w:rPr>
            <w:t>Ayuntamiento de Teoloyucan</w:t>
          </w:r>
        </w:p>
      </w:tc>
    </w:tr>
    <w:tr w:rsidR="00E43A4D" w:rsidRPr="00EF13C1" w:rsidTr="00595316">
      <w:trPr>
        <w:trHeight w:val="321"/>
      </w:trPr>
      <w:tc>
        <w:tcPr>
          <w:tcW w:w="2551" w:type="dxa"/>
          <w:vAlign w:val="center"/>
        </w:tcPr>
        <w:p w:rsidR="00E43A4D" w:rsidRPr="005B4C85" w:rsidRDefault="00E43A4D" w:rsidP="0061356A">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E43A4D" w:rsidRPr="005B4C85" w:rsidRDefault="00E43A4D" w:rsidP="0061356A">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E43A4D" w:rsidRDefault="00E43A4D"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4D" w:rsidRDefault="00E43A4D"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14C66D9A">
          <wp:simplePos x="0" y="0"/>
          <wp:positionH relativeFrom="page">
            <wp:posOffset>409575</wp:posOffset>
          </wp:positionH>
          <wp:positionV relativeFrom="margin">
            <wp:posOffset>-377190</wp:posOffset>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Pr="0052614B">
      <w:rPr>
        <w:rFonts w:ascii="Palatino Linotype" w:hAnsi="Palatino Linotype"/>
        <w:noProof/>
        <w:sz w:val="28"/>
        <w:szCs w:val="28"/>
        <w:lang w:val="es-MX" w:eastAsia="es-MX"/>
      </w:rPr>
      <w:drawing>
        <wp:anchor distT="0" distB="0" distL="114300" distR="114300" simplePos="0" relativeHeight="251660288" behindDoc="1" locked="0" layoutInCell="1" allowOverlap="1" wp14:anchorId="37F905F2" wp14:editId="6765D92C">
          <wp:simplePos x="0" y="0"/>
          <wp:positionH relativeFrom="column">
            <wp:posOffset>-459105</wp:posOffset>
          </wp:positionH>
          <wp:positionV relativeFrom="paragraph">
            <wp:posOffset>228154</wp:posOffset>
          </wp:positionV>
          <wp:extent cx="1663440" cy="838200"/>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43A4D" w:rsidRPr="00182113" w:rsidTr="00595316">
      <w:trPr>
        <w:trHeight w:val="138"/>
      </w:trPr>
      <w:tc>
        <w:tcPr>
          <w:tcW w:w="2552" w:type="dxa"/>
          <w:vAlign w:val="center"/>
        </w:tcPr>
        <w:p w:rsidR="00E43A4D" w:rsidRPr="00E43A4D" w:rsidRDefault="00E43A4D" w:rsidP="005B4C85">
          <w:pPr>
            <w:ind w:right="-572"/>
            <w:jc w:val="both"/>
            <w:rPr>
              <w:rFonts w:ascii="Palatino Linotype" w:hAnsi="Palatino Linotype"/>
              <w:b/>
              <w:sz w:val="22"/>
              <w:szCs w:val="22"/>
            </w:rPr>
          </w:pPr>
          <w:r w:rsidRPr="00E43A4D">
            <w:rPr>
              <w:rFonts w:ascii="Palatino Linotype" w:hAnsi="Palatino Linotype"/>
              <w:b/>
              <w:sz w:val="22"/>
              <w:szCs w:val="22"/>
            </w:rPr>
            <w:t>Recurso de revisión:</w:t>
          </w:r>
        </w:p>
      </w:tc>
      <w:tc>
        <w:tcPr>
          <w:tcW w:w="3969" w:type="dxa"/>
          <w:vAlign w:val="center"/>
        </w:tcPr>
        <w:p w:rsidR="00E43A4D" w:rsidRPr="005B4C85" w:rsidRDefault="00E43A4D"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04328</w:t>
          </w:r>
          <w:r w:rsidRPr="005B4C85">
            <w:rPr>
              <w:rFonts w:ascii="Palatino Linotype" w:hAnsi="Palatino Linotype" w:cs="Arial"/>
              <w:b/>
              <w:bCs/>
              <w:sz w:val="22"/>
              <w:szCs w:val="22"/>
              <w:lang w:eastAsia="es-MX"/>
            </w:rPr>
            <w:t>/INFOEM/IP/RR/2021</w:t>
          </w:r>
        </w:p>
      </w:tc>
    </w:tr>
    <w:tr w:rsidR="00E43A4D" w:rsidRPr="00182113" w:rsidTr="00E43A4D">
      <w:trPr>
        <w:trHeight w:val="227"/>
      </w:trPr>
      <w:tc>
        <w:tcPr>
          <w:tcW w:w="2552" w:type="dxa"/>
        </w:tcPr>
        <w:p w:rsidR="00E43A4D" w:rsidRPr="00E43A4D" w:rsidRDefault="00E43A4D" w:rsidP="008A03B8">
          <w:pPr>
            <w:rPr>
              <w:rFonts w:ascii="Palatino Linotype" w:hAnsi="Palatino Linotype"/>
              <w:b/>
            </w:rPr>
          </w:pPr>
          <w:r w:rsidRPr="00E43A4D">
            <w:rPr>
              <w:rFonts w:ascii="Palatino Linotype" w:hAnsi="Palatino Linotype"/>
              <w:b/>
            </w:rPr>
            <w:t>Recurrente:</w:t>
          </w:r>
        </w:p>
      </w:tc>
      <w:tc>
        <w:tcPr>
          <w:tcW w:w="3969" w:type="dxa"/>
        </w:tcPr>
        <w:p w:rsidR="00E43A4D" w:rsidRDefault="00E43A4D" w:rsidP="008A03B8"/>
      </w:tc>
    </w:tr>
    <w:tr w:rsidR="00E43A4D" w:rsidRPr="00182113" w:rsidTr="00595316">
      <w:trPr>
        <w:trHeight w:val="232"/>
      </w:trPr>
      <w:tc>
        <w:tcPr>
          <w:tcW w:w="2552" w:type="dxa"/>
          <w:vAlign w:val="center"/>
        </w:tcPr>
        <w:p w:rsidR="00E43A4D" w:rsidRPr="005B4C85" w:rsidRDefault="00E43A4D" w:rsidP="005B4C85">
          <w:pPr>
            <w:jc w:val="both"/>
            <w:rPr>
              <w:rFonts w:ascii="Palatino Linotype" w:hAnsi="Palatino Linotype"/>
              <w:b/>
              <w:sz w:val="22"/>
              <w:szCs w:val="22"/>
            </w:rPr>
          </w:pPr>
          <w:r w:rsidRPr="005B4C85">
            <w:rPr>
              <w:rFonts w:ascii="Palatino Linotype" w:hAnsi="Palatino Linotype"/>
              <w:b/>
              <w:sz w:val="22"/>
              <w:szCs w:val="22"/>
            </w:rPr>
            <w:t>Sujeto obligado:</w:t>
          </w:r>
        </w:p>
      </w:tc>
      <w:tc>
        <w:tcPr>
          <w:tcW w:w="3969" w:type="dxa"/>
          <w:vAlign w:val="center"/>
        </w:tcPr>
        <w:p w:rsidR="00E43A4D" w:rsidRPr="00E43A4D" w:rsidRDefault="00E43A4D" w:rsidP="00E43A4D">
          <w:pPr>
            <w:pStyle w:val="Encabezado"/>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Teoloyucan</w:t>
          </w:r>
        </w:p>
      </w:tc>
    </w:tr>
    <w:tr w:rsidR="00E43A4D" w:rsidRPr="00182113" w:rsidTr="00595316">
      <w:trPr>
        <w:trHeight w:val="320"/>
      </w:trPr>
      <w:tc>
        <w:tcPr>
          <w:tcW w:w="2552" w:type="dxa"/>
          <w:vAlign w:val="center"/>
        </w:tcPr>
        <w:p w:rsidR="00E43A4D" w:rsidRPr="005B4C85" w:rsidRDefault="00E43A4D" w:rsidP="005B4C85">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3969" w:type="dxa"/>
          <w:vAlign w:val="center"/>
        </w:tcPr>
        <w:p w:rsidR="00E43A4D" w:rsidRPr="005B4C85" w:rsidRDefault="00E43A4D"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E43A4D" w:rsidRDefault="00E43A4D" w:rsidP="008A03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EF5D0C"/>
    <w:multiLevelType w:val="hybridMultilevel"/>
    <w:tmpl w:val="A2681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7"/>
  </w:num>
  <w:num w:numId="4">
    <w:abstractNumId w:val="16"/>
  </w:num>
  <w:num w:numId="5">
    <w:abstractNumId w:val="2"/>
  </w:num>
  <w:num w:numId="6">
    <w:abstractNumId w:val="7"/>
  </w:num>
  <w:num w:numId="7">
    <w:abstractNumId w:val="9"/>
  </w:num>
  <w:num w:numId="8">
    <w:abstractNumId w:val="33"/>
  </w:num>
  <w:num w:numId="9">
    <w:abstractNumId w:val="20"/>
  </w:num>
  <w:num w:numId="10">
    <w:abstractNumId w:val="24"/>
  </w:num>
  <w:num w:numId="11">
    <w:abstractNumId w:val="11"/>
  </w:num>
  <w:num w:numId="12">
    <w:abstractNumId w:val="38"/>
  </w:num>
  <w:num w:numId="13">
    <w:abstractNumId w:val="17"/>
  </w:num>
  <w:num w:numId="14">
    <w:abstractNumId w:val="12"/>
  </w:num>
  <w:num w:numId="15">
    <w:abstractNumId w:val="0"/>
  </w:num>
  <w:num w:numId="16">
    <w:abstractNumId w:val="34"/>
  </w:num>
  <w:num w:numId="17">
    <w:abstractNumId w:val="37"/>
  </w:num>
  <w:num w:numId="18">
    <w:abstractNumId w:val="22"/>
  </w:num>
  <w:num w:numId="19">
    <w:abstractNumId w:val="14"/>
  </w:num>
  <w:num w:numId="20">
    <w:abstractNumId w:val="13"/>
  </w:num>
  <w:num w:numId="21">
    <w:abstractNumId w:val="19"/>
  </w:num>
  <w:num w:numId="22">
    <w:abstractNumId w:val="23"/>
  </w:num>
  <w:num w:numId="23">
    <w:abstractNumId w:val="31"/>
  </w:num>
  <w:num w:numId="24">
    <w:abstractNumId w:val="28"/>
  </w:num>
  <w:num w:numId="25">
    <w:abstractNumId w:val="5"/>
  </w:num>
  <w:num w:numId="26">
    <w:abstractNumId w:val="30"/>
  </w:num>
  <w:num w:numId="27">
    <w:abstractNumId w:val="6"/>
  </w:num>
  <w:num w:numId="28">
    <w:abstractNumId w:val="4"/>
  </w:num>
  <w:num w:numId="29">
    <w:abstractNumId w:val="1"/>
  </w:num>
  <w:num w:numId="30">
    <w:abstractNumId w:val="3"/>
  </w:num>
  <w:num w:numId="31">
    <w:abstractNumId w:val="8"/>
  </w:num>
  <w:num w:numId="32">
    <w:abstractNumId w:val="29"/>
  </w:num>
  <w:num w:numId="33">
    <w:abstractNumId w:val="36"/>
  </w:num>
  <w:num w:numId="34">
    <w:abstractNumId w:val="15"/>
  </w:num>
  <w:num w:numId="35">
    <w:abstractNumId w:val="35"/>
  </w:num>
  <w:num w:numId="36">
    <w:abstractNumId w:val="32"/>
  </w:num>
  <w:num w:numId="37">
    <w:abstractNumId w:val="26"/>
  </w:num>
  <w:num w:numId="38">
    <w:abstractNumId w:val="2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22620"/>
    <w:rsid w:val="00142E0A"/>
    <w:rsid w:val="00154EAC"/>
    <w:rsid w:val="00162103"/>
    <w:rsid w:val="00164AA4"/>
    <w:rsid w:val="0019248F"/>
    <w:rsid w:val="001A3473"/>
    <w:rsid w:val="001A7901"/>
    <w:rsid w:val="001C5313"/>
    <w:rsid w:val="001F04F7"/>
    <w:rsid w:val="001F331C"/>
    <w:rsid w:val="00200913"/>
    <w:rsid w:val="00201683"/>
    <w:rsid w:val="00211005"/>
    <w:rsid w:val="00212C25"/>
    <w:rsid w:val="00243985"/>
    <w:rsid w:val="0026072C"/>
    <w:rsid w:val="00276BBE"/>
    <w:rsid w:val="0028393C"/>
    <w:rsid w:val="00290CBE"/>
    <w:rsid w:val="002A0729"/>
    <w:rsid w:val="002A76F8"/>
    <w:rsid w:val="002C3C16"/>
    <w:rsid w:val="002C5B56"/>
    <w:rsid w:val="002C608B"/>
    <w:rsid w:val="002D466C"/>
    <w:rsid w:val="002F2179"/>
    <w:rsid w:val="002F4E49"/>
    <w:rsid w:val="002F6EB1"/>
    <w:rsid w:val="00303DB8"/>
    <w:rsid w:val="00313561"/>
    <w:rsid w:val="003339D0"/>
    <w:rsid w:val="00336D21"/>
    <w:rsid w:val="00340742"/>
    <w:rsid w:val="00343211"/>
    <w:rsid w:val="0036119C"/>
    <w:rsid w:val="00372E75"/>
    <w:rsid w:val="00385C58"/>
    <w:rsid w:val="003B7ADA"/>
    <w:rsid w:val="003C3403"/>
    <w:rsid w:val="003C4E7A"/>
    <w:rsid w:val="003D36F2"/>
    <w:rsid w:val="004011A2"/>
    <w:rsid w:val="004155B5"/>
    <w:rsid w:val="00430508"/>
    <w:rsid w:val="00431B1C"/>
    <w:rsid w:val="00433312"/>
    <w:rsid w:val="004371A1"/>
    <w:rsid w:val="0044198B"/>
    <w:rsid w:val="00451FCF"/>
    <w:rsid w:val="00452B34"/>
    <w:rsid w:val="004546A0"/>
    <w:rsid w:val="004702A6"/>
    <w:rsid w:val="004A2442"/>
    <w:rsid w:val="004A71FF"/>
    <w:rsid w:val="004A78E7"/>
    <w:rsid w:val="004E19A5"/>
    <w:rsid w:val="004F18FB"/>
    <w:rsid w:val="005001F0"/>
    <w:rsid w:val="00521DBD"/>
    <w:rsid w:val="00542876"/>
    <w:rsid w:val="005447B9"/>
    <w:rsid w:val="00565058"/>
    <w:rsid w:val="00595316"/>
    <w:rsid w:val="005B4C85"/>
    <w:rsid w:val="005C370B"/>
    <w:rsid w:val="005C3DAB"/>
    <w:rsid w:val="005D10E6"/>
    <w:rsid w:val="005D1B8C"/>
    <w:rsid w:val="005E552B"/>
    <w:rsid w:val="00606376"/>
    <w:rsid w:val="0061356A"/>
    <w:rsid w:val="006205F4"/>
    <w:rsid w:val="00624D0E"/>
    <w:rsid w:val="00632B54"/>
    <w:rsid w:val="00660C20"/>
    <w:rsid w:val="006731CA"/>
    <w:rsid w:val="00683AD5"/>
    <w:rsid w:val="006977A5"/>
    <w:rsid w:val="006A698A"/>
    <w:rsid w:val="006C258E"/>
    <w:rsid w:val="006D7837"/>
    <w:rsid w:val="006E0DB7"/>
    <w:rsid w:val="006E2D58"/>
    <w:rsid w:val="006E7034"/>
    <w:rsid w:val="006F6EC5"/>
    <w:rsid w:val="007056F5"/>
    <w:rsid w:val="0071593E"/>
    <w:rsid w:val="007241BE"/>
    <w:rsid w:val="00726460"/>
    <w:rsid w:val="007501F2"/>
    <w:rsid w:val="007547B5"/>
    <w:rsid w:val="0076477D"/>
    <w:rsid w:val="00776A87"/>
    <w:rsid w:val="00790FE5"/>
    <w:rsid w:val="0079679B"/>
    <w:rsid w:val="007A2537"/>
    <w:rsid w:val="007E373A"/>
    <w:rsid w:val="007F4863"/>
    <w:rsid w:val="00810F4C"/>
    <w:rsid w:val="0081485A"/>
    <w:rsid w:val="00840129"/>
    <w:rsid w:val="00846925"/>
    <w:rsid w:val="008540EC"/>
    <w:rsid w:val="008556D5"/>
    <w:rsid w:val="008611D6"/>
    <w:rsid w:val="008A03B8"/>
    <w:rsid w:val="008C2F4C"/>
    <w:rsid w:val="008F0AD0"/>
    <w:rsid w:val="008F1F10"/>
    <w:rsid w:val="008F7350"/>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307F"/>
    <w:rsid w:val="00A17404"/>
    <w:rsid w:val="00A20E34"/>
    <w:rsid w:val="00A234A9"/>
    <w:rsid w:val="00A3209F"/>
    <w:rsid w:val="00A3451E"/>
    <w:rsid w:val="00A662C3"/>
    <w:rsid w:val="00A96C5B"/>
    <w:rsid w:val="00AA48BF"/>
    <w:rsid w:val="00AB3051"/>
    <w:rsid w:val="00AD05E2"/>
    <w:rsid w:val="00AD4CD5"/>
    <w:rsid w:val="00AE5685"/>
    <w:rsid w:val="00B06133"/>
    <w:rsid w:val="00B60FC2"/>
    <w:rsid w:val="00B61110"/>
    <w:rsid w:val="00B638FD"/>
    <w:rsid w:val="00B97B42"/>
    <w:rsid w:val="00BA15AA"/>
    <w:rsid w:val="00BC54B6"/>
    <w:rsid w:val="00BD4C60"/>
    <w:rsid w:val="00BF07A7"/>
    <w:rsid w:val="00BF6D57"/>
    <w:rsid w:val="00BF7E91"/>
    <w:rsid w:val="00C026FE"/>
    <w:rsid w:val="00C0337F"/>
    <w:rsid w:val="00C263AF"/>
    <w:rsid w:val="00C3490C"/>
    <w:rsid w:val="00C35D01"/>
    <w:rsid w:val="00C66033"/>
    <w:rsid w:val="00C9666F"/>
    <w:rsid w:val="00CA1FF4"/>
    <w:rsid w:val="00CA7624"/>
    <w:rsid w:val="00CB2D73"/>
    <w:rsid w:val="00D27C47"/>
    <w:rsid w:val="00D32682"/>
    <w:rsid w:val="00D436DD"/>
    <w:rsid w:val="00D532C9"/>
    <w:rsid w:val="00D547BE"/>
    <w:rsid w:val="00D728B2"/>
    <w:rsid w:val="00D775AD"/>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43A4D"/>
    <w:rsid w:val="00E5674D"/>
    <w:rsid w:val="00E56D86"/>
    <w:rsid w:val="00E6297F"/>
    <w:rsid w:val="00EA1327"/>
    <w:rsid w:val="00EA3882"/>
    <w:rsid w:val="00EA3B13"/>
    <w:rsid w:val="00EA46B5"/>
    <w:rsid w:val="00EB0B2F"/>
    <w:rsid w:val="00EB61D1"/>
    <w:rsid w:val="00EC4E4D"/>
    <w:rsid w:val="00ED374D"/>
    <w:rsid w:val="00F3605C"/>
    <w:rsid w:val="00F46DCB"/>
    <w:rsid w:val="00F52B5F"/>
    <w:rsid w:val="00F53C15"/>
    <w:rsid w:val="00F5451A"/>
    <w:rsid w:val="00F55532"/>
    <w:rsid w:val="00F63C7C"/>
    <w:rsid w:val="00F82FF0"/>
    <w:rsid w:val="00FA4ADD"/>
    <w:rsid w:val="00FA5A9D"/>
    <w:rsid w:val="00FB2CF9"/>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00B6-9D45-4E73-9B17-F2205B7F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11233</Words>
  <Characters>61786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2021-10-07T16:34:00Z</dcterms:created>
  <dcterms:modified xsi:type="dcterms:W3CDTF">2021-10-07T16:34:00Z</dcterms:modified>
</cp:coreProperties>
</file>