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B09B" w14:textId="6FFB6A79" w:rsidR="00C43B1E" w:rsidRPr="000B0EF6" w:rsidRDefault="00C43B1E" w:rsidP="00C43B1E">
      <w:pPr>
        <w:spacing w:before="100" w:beforeAutospacing="1" w:after="100" w:afterAutospacing="1" w:line="360" w:lineRule="auto"/>
        <w:jc w:val="both"/>
        <w:rPr>
          <w:rFonts w:ascii="Palatino Linotype" w:hAnsi="Palatino Linotype"/>
        </w:rPr>
      </w:pPr>
      <w:r w:rsidRPr="000B0EF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D08A1" w:rsidRPr="000B0EF6">
        <w:rPr>
          <w:rFonts w:ascii="Palatino Linotype" w:hAnsi="Palatino Linotype"/>
        </w:rPr>
        <w:t>de fecha veinte</w:t>
      </w:r>
      <w:r w:rsidR="00DE334E" w:rsidRPr="000B0EF6">
        <w:rPr>
          <w:rFonts w:ascii="Palatino Linotype" w:hAnsi="Palatino Linotype"/>
        </w:rPr>
        <w:t xml:space="preserve"> de octubre </w:t>
      </w:r>
      <w:r w:rsidR="00CB1552" w:rsidRPr="000B0EF6">
        <w:rPr>
          <w:rFonts w:ascii="Palatino Linotype" w:hAnsi="Palatino Linotype"/>
        </w:rPr>
        <w:t xml:space="preserve"> </w:t>
      </w:r>
      <w:r w:rsidRPr="000B0EF6">
        <w:rPr>
          <w:rFonts w:ascii="Palatino Linotype" w:hAnsi="Palatino Linotype"/>
        </w:rPr>
        <w:t>de dos mil veintiuno.</w:t>
      </w:r>
    </w:p>
    <w:p w14:paraId="1D0C1635" w14:textId="34B16EE2" w:rsidR="00C43B1E" w:rsidRPr="000B0EF6" w:rsidRDefault="00C43B1E" w:rsidP="00C43B1E">
      <w:pPr>
        <w:spacing w:before="100" w:beforeAutospacing="1" w:after="100" w:afterAutospacing="1" w:line="360" w:lineRule="auto"/>
        <w:jc w:val="both"/>
        <w:rPr>
          <w:rFonts w:ascii="Palatino Linotype" w:hAnsi="Palatino Linotype"/>
        </w:rPr>
      </w:pPr>
      <w:r w:rsidRPr="000B0EF6">
        <w:rPr>
          <w:rFonts w:ascii="Palatino Linotype" w:hAnsi="Palatino Linotype"/>
          <w:b/>
        </w:rPr>
        <w:t>VISTO</w:t>
      </w:r>
      <w:r w:rsidRPr="000B0EF6">
        <w:rPr>
          <w:rFonts w:ascii="Palatino Linotype" w:hAnsi="Palatino Linotype"/>
        </w:rPr>
        <w:t xml:space="preserve"> el expediente formado con motivo del recurso de revisión </w:t>
      </w:r>
      <w:r w:rsidR="00AD08A1" w:rsidRPr="000B0EF6">
        <w:rPr>
          <w:rFonts w:ascii="Palatino Linotype" w:hAnsi="Palatino Linotype"/>
          <w:b/>
        </w:rPr>
        <w:t>04312</w:t>
      </w:r>
      <w:r w:rsidRPr="000B0EF6">
        <w:rPr>
          <w:rFonts w:ascii="Palatino Linotype" w:hAnsi="Palatino Linotype"/>
          <w:b/>
        </w:rPr>
        <w:t>/INFOEM/IP/RR/2021</w:t>
      </w:r>
      <w:r w:rsidRPr="000B0EF6">
        <w:rPr>
          <w:rFonts w:ascii="Palatino Linotype" w:hAnsi="Palatino Linotype"/>
        </w:rPr>
        <w:t>, promovido por</w:t>
      </w:r>
      <w:r w:rsidRPr="000B0EF6">
        <w:rPr>
          <w:rFonts w:ascii="Palatino Linotype" w:hAnsi="Palatino Linotype"/>
          <w:b/>
        </w:rPr>
        <w:t xml:space="preserve"> </w:t>
      </w:r>
      <w:r w:rsidR="00AD08A1" w:rsidRPr="000B0EF6">
        <w:rPr>
          <w:rFonts w:ascii="Palatino Linotype" w:hAnsi="Palatino Linotype"/>
        </w:rPr>
        <w:t xml:space="preserve">un particular </w:t>
      </w:r>
      <w:r w:rsidR="00CA0A25" w:rsidRPr="000B0EF6">
        <w:rPr>
          <w:rFonts w:ascii="Palatino Linotype" w:hAnsi="Palatino Linotype"/>
        </w:rPr>
        <w:t>de manera anónima</w:t>
      </w:r>
      <w:r w:rsidR="00AD08A1" w:rsidRPr="000B0EF6">
        <w:rPr>
          <w:rFonts w:ascii="Palatino Linotype" w:hAnsi="Palatino Linotype"/>
        </w:rPr>
        <w:t xml:space="preserve">, </w:t>
      </w:r>
      <w:r w:rsidRPr="000B0EF6">
        <w:rPr>
          <w:rFonts w:ascii="Palatino Linotype" w:hAnsi="Palatino Linotype"/>
        </w:rPr>
        <w:t xml:space="preserve">a quien en lo sucesivo se le denominará </w:t>
      </w:r>
      <w:r w:rsidRPr="000B0EF6">
        <w:rPr>
          <w:rFonts w:ascii="Palatino Linotype" w:hAnsi="Palatino Linotype"/>
          <w:b/>
        </w:rPr>
        <w:t>EL</w:t>
      </w:r>
      <w:r w:rsidRPr="000B0EF6">
        <w:rPr>
          <w:rFonts w:ascii="Palatino Linotype" w:hAnsi="Palatino Linotype"/>
        </w:rPr>
        <w:t xml:space="preserve"> </w:t>
      </w:r>
      <w:r w:rsidRPr="000B0EF6">
        <w:rPr>
          <w:rFonts w:ascii="Palatino Linotype" w:hAnsi="Palatino Linotype" w:cs="Arial"/>
          <w:b/>
        </w:rPr>
        <w:t>RECURRENTE</w:t>
      </w:r>
      <w:r w:rsidRPr="000B0EF6">
        <w:rPr>
          <w:rFonts w:ascii="Palatino Linotype" w:hAnsi="Palatino Linotype"/>
        </w:rPr>
        <w:t>, en contra de la respuesta emitida por</w:t>
      </w:r>
      <w:r w:rsidR="00AD08A1" w:rsidRPr="000B0EF6">
        <w:rPr>
          <w:rFonts w:ascii="Palatino Linotype" w:hAnsi="Palatino Linotype"/>
        </w:rPr>
        <w:t xml:space="preserve"> el </w:t>
      </w:r>
      <w:r w:rsidR="00AD08A1" w:rsidRPr="000B0EF6">
        <w:rPr>
          <w:rFonts w:ascii="Palatino Linotype" w:hAnsi="Palatino Linotype"/>
          <w:b/>
        </w:rPr>
        <w:t>Ayuntamiento de Ocoyoacac</w:t>
      </w:r>
      <w:r w:rsidRPr="000B0EF6">
        <w:rPr>
          <w:rFonts w:ascii="Palatino Linotype" w:hAnsi="Palatino Linotype"/>
          <w:b/>
        </w:rPr>
        <w:t>,</w:t>
      </w:r>
      <w:r w:rsidRPr="000B0EF6">
        <w:rPr>
          <w:rFonts w:ascii="Palatino Linotype" w:hAnsi="Palatino Linotype" w:cs="Arial"/>
          <w:b/>
        </w:rPr>
        <w:t xml:space="preserve"> </w:t>
      </w:r>
      <w:r w:rsidRPr="000B0EF6">
        <w:rPr>
          <w:rFonts w:ascii="Palatino Linotype" w:hAnsi="Palatino Linotype"/>
        </w:rPr>
        <w:t>en lo subsecuente</w:t>
      </w:r>
      <w:r w:rsidR="00CA0A25" w:rsidRPr="000B0EF6">
        <w:rPr>
          <w:rFonts w:ascii="Palatino Linotype" w:hAnsi="Palatino Linotype"/>
        </w:rPr>
        <w:t xml:space="preserve"> se le denominará </w:t>
      </w:r>
      <w:r w:rsidRPr="000B0EF6">
        <w:rPr>
          <w:rFonts w:ascii="Palatino Linotype" w:hAnsi="Palatino Linotype"/>
        </w:rPr>
        <w:t xml:space="preserve"> </w:t>
      </w:r>
      <w:r w:rsidRPr="000B0EF6">
        <w:rPr>
          <w:rFonts w:ascii="Palatino Linotype" w:hAnsi="Palatino Linotype"/>
          <w:b/>
        </w:rPr>
        <w:t>EL SUJETO OBLIGADO</w:t>
      </w:r>
      <w:r w:rsidRPr="000B0EF6">
        <w:rPr>
          <w:rFonts w:ascii="Palatino Linotype" w:hAnsi="Palatino Linotype"/>
        </w:rPr>
        <w:t>, se procede a dictar la presente resolución con base en lo siguiente:</w:t>
      </w:r>
    </w:p>
    <w:p w14:paraId="73BCB84E" w14:textId="77777777" w:rsidR="00C43B1E" w:rsidRPr="000B0EF6" w:rsidRDefault="00C43B1E" w:rsidP="00C43B1E">
      <w:pPr>
        <w:spacing w:before="100" w:beforeAutospacing="1" w:after="100" w:afterAutospacing="1" w:line="360" w:lineRule="auto"/>
        <w:jc w:val="center"/>
        <w:rPr>
          <w:rFonts w:ascii="Palatino Linotype" w:hAnsi="Palatino Linotype"/>
          <w:b/>
          <w:bCs/>
          <w:spacing w:val="60"/>
          <w:sz w:val="28"/>
        </w:rPr>
      </w:pPr>
      <w:r w:rsidRPr="000B0EF6">
        <w:rPr>
          <w:rFonts w:ascii="Palatino Linotype" w:hAnsi="Palatino Linotype"/>
          <w:b/>
          <w:bCs/>
          <w:spacing w:val="60"/>
          <w:sz w:val="28"/>
        </w:rPr>
        <w:t>RESULTANDO</w:t>
      </w:r>
    </w:p>
    <w:p w14:paraId="29F78C5C" w14:textId="4C0DE159" w:rsidR="00C43B1E" w:rsidRPr="000B0EF6" w:rsidRDefault="00C43B1E" w:rsidP="00C43B1E">
      <w:pPr>
        <w:pStyle w:val="Prrafodelista"/>
        <w:tabs>
          <w:tab w:val="left" w:pos="709"/>
        </w:tabs>
        <w:spacing w:before="100" w:beforeAutospacing="1" w:after="100" w:afterAutospacing="1" w:line="360" w:lineRule="auto"/>
        <w:ind w:left="0"/>
        <w:jc w:val="both"/>
        <w:rPr>
          <w:rFonts w:ascii="Palatino Linotype" w:hAnsi="Palatino Linotype"/>
          <w:b/>
        </w:rPr>
      </w:pPr>
      <w:r w:rsidRPr="000B0EF6">
        <w:rPr>
          <w:rFonts w:ascii="Palatino Linotype" w:hAnsi="Palatino Linotype"/>
          <w:b/>
          <w:sz w:val="28"/>
          <w:szCs w:val="28"/>
        </w:rPr>
        <w:t>I.</w:t>
      </w:r>
      <w:r w:rsidRPr="000B0EF6">
        <w:rPr>
          <w:rFonts w:ascii="Palatino Linotype" w:hAnsi="Palatino Linotype"/>
        </w:rPr>
        <w:t xml:space="preserve"> En </w:t>
      </w:r>
      <w:r w:rsidR="00AD08A1" w:rsidRPr="000B0EF6">
        <w:rPr>
          <w:rFonts w:ascii="Palatino Linotype" w:hAnsi="Palatino Linotype" w:cs="Arial"/>
        </w:rPr>
        <w:t>fecha cuatro</w:t>
      </w:r>
      <w:r w:rsidR="005E2B8A" w:rsidRPr="000B0EF6">
        <w:rPr>
          <w:rFonts w:ascii="Palatino Linotype" w:hAnsi="Palatino Linotype" w:cs="Arial"/>
        </w:rPr>
        <w:t xml:space="preserve"> </w:t>
      </w:r>
      <w:r w:rsidR="00B76384" w:rsidRPr="000B0EF6">
        <w:rPr>
          <w:rFonts w:ascii="Palatino Linotype" w:hAnsi="Palatino Linotype" w:cs="Arial"/>
        </w:rPr>
        <w:t>de agosto</w:t>
      </w:r>
      <w:r w:rsidRPr="000B0EF6">
        <w:rPr>
          <w:rFonts w:ascii="Palatino Linotype" w:hAnsi="Palatino Linotype" w:cs="Arial"/>
        </w:rPr>
        <w:t xml:space="preserve"> </w:t>
      </w:r>
      <w:r w:rsidRPr="000B0EF6">
        <w:rPr>
          <w:rFonts w:ascii="Palatino Linotype" w:hAnsi="Palatino Linotype"/>
        </w:rPr>
        <w:t xml:space="preserve">de dos mil veintiuno, </w:t>
      </w:r>
      <w:r w:rsidRPr="000B0EF6">
        <w:rPr>
          <w:rFonts w:ascii="Palatino Linotype" w:hAnsi="Palatino Linotype" w:cs="Arial"/>
          <w:b/>
        </w:rPr>
        <w:t xml:space="preserve">EL RECURRENTE </w:t>
      </w:r>
      <w:r w:rsidRPr="000B0EF6">
        <w:rPr>
          <w:rFonts w:ascii="Palatino Linotype" w:hAnsi="Palatino Linotype"/>
        </w:rPr>
        <w:t xml:space="preserve">presentó </w:t>
      </w:r>
      <w:r w:rsidRPr="000B0EF6">
        <w:rPr>
          <w:rFonts w:ascii="Palatino Linotype" w:hAnsi="Palatino Linotype" w:cs="Arial"/>
        </w:rPr>
        <w:t xml:space="preserve">a través del Sistema de Acceso a la Información Mexiquense, en lo subsecuente </w:t>
      </w:r>
      <w:r w:rsidRPr="000B0EF6">
        <w:rPr>
          <w:rFonts w:ascii="Palatino Linotype" w:hAnsi="Palatino Linotype" w:cs="Arial"/>
          <w:b/>
        </w:rPr>
        <w:t>EL SAIMEX,</w:t>
      </w:r>
      <w:r w:rsidRPr="000B0EF6">
        <w:rPr>
          <w:rFonts w:ascii="Palatino Linotype" w:hAnsi="Palatino Linotype"/>
        </w:rPr>
        <w:t xml:space="preserve"> ante </w:t>
      </w:r>
      <w:r w:rsidRPr="000B0EF6">
        <w:rPr>
          <w:rFonts w:ascii="Palatino Linotype" w:hAnsi="Palatino Linotype"/>
          <w:b/>
        </w:rPr>
        <w:t>EL SUJETO OBLIGADO</w:t>
      </w:r>
      <w:r w:rsidRPr="000B0EF6">
        <w:rPr>
          <w:rFonts w:ascii="Palatino Linotype" w:hAnsi="Palatino Linotype"/>
        </w:rPr>
        <w:t xml:space="preserve">, la solicitud de acceso a la información pública, a la que se le asignó el número </w:t>
      </w:r>
      <w:r w:rsidR="00AD08A1" w:rsidRPr="000B0EF6">
        <w:rPr>
          <w:rFonts w:ascii="Palatino Linotype" w:hAnsi="Palatino Linotype"/>
          <w:b/>
        </w:rPr>
        <w:t>00318</w:t>
      </w:r>
      <w:r w:rsidRPr="000B0EF6">
        <w:rPr>
          <w:rFonts w:ascii="Palatino Linotype" w:hAnsi="Palatino Linotype"/>
          <w:b/>
        </w:rPr>
        <w:t>/</w:t>
      </w:r>
      <w:r w:rsidR="00AD08A1" w:rsidRPr="000B0EF6">
        <w:rPr>
          <w:rFonts w:ascii="Palatino Linotype" w:hAnsi="Palatino Linotype"/>
          <w:b/>
        </w:rPr>
        <w:t>OCOYOAC</w:t>
      </w:r>
      <w:r w:rsidRPr="000B0EF6">
        <w:rPr>
          <w:rFonts w:ascii="Palatino Linotype" w:hAnsi="Palatino Linotype"/>
          <w:b/>
        </w:rPr>
        <w:t>/IP/2021</w:t>
      </w:r>
      <w:r w:rsidR="00272C01" w:rsidRPr="000B0EF6">
        <w:rPr>
          <w:rFonts w:ascii="Palatino Linotype" w:hAnsi="Palatino Linotype"/>
          <w:b/>
        </w:rPr>
        <w:t xml:space="preserve"> </w:t>
      </w:r>
      <w:r w:rsidRPr="000B0EF6">
        <w:rPr>
          <w:rFonts w:ascii="Palatino Linotype" w:hAnsi="Palatino Linotype"/>
          <w:b/>
        </w:rPr>
        <w:t>,</w:t>
      </w:r>
      <w:r w:rsidRPr="000B0EF6">
        <w:rPr>
          <w:rFonts w:ascii="Palatino Linotype" w:hAnsi="Palatino Linotype"/>
        </w:rPr>
        <w:t xml:space="preserve"> mediante la cual requirió, lo siguiente:</w:t>
      </w:r>
    </w:p>
    <w:p w14:paraId="18D0815D" w14:textId="59E1D8F0" w:rsidR="00C43B1E" w:rsidRPr="000B0EF6" w:rsidRDefault="00C43B1E" w:rsidP="00B76384">
      <w:pPr>
        <w:ind w:left="851" w:right="616"/>
        <w:jc w:val="both"/>
        <w:rPr>
          <w:rFonts w:ascii="Palatino Linotype" w:hAnsi="Palatino Linotype"/>
          <w:i/>
          <w:sz w:val="22"/>
          <w:szCs w:val="22"/>
        </w:rPr>
      </w:pPr>
      <w:r w:rsidRPr="000B0EF6">
        <w:rPr>
          <w:rFonts w:ascii="Palatino Linotype" w:hAnsi="Palatino Linotype"/>
          <w:i/>
          <w:sz w:val="22"/>
          <w:szCs w:val="22"/>
        </w:rPr>
        <w:t>“</w:t>
      </w:r>
      <w:r w:rsidR="00AD08A1" w:rsidRPr="000B0EF6">
        <w:rPr>
          <w:rFonts w:ascii="Palatino Linotype" w:hAnsi="Palatino Linotype"/>
          <w:i/>
          <w:sz w:val="22"/>
          <w:szCs w:val="22"/>
        </w:rPr>
        <w:t xml:space="preserve">con este fundamento de la ley de transparencia del estado de mexico: Artículo 142. Bajo ninguna circunstancia podrá invocarse el carácter de reservado cuando: I. Se trate de violaciones graves de derechos humanos, calificada así por autoridad competente; II. Se trate de la investigación de posibles violaciones graves de derechos humanos aun cuando no exista pronunciamiento previo de autoridad competente, cuando se determine, a partir de criterios cuantitativos y cualitativos la trascendencia social de las violaciones; III. Se trate de delitos de lesa humanidad conforme a los tratados ratificados por el Senado de la República, las resoluciones emitidas por organismos internacionales cuya competencia sea reconocida por el Estado Mexicano, así como en las disposiciones jurídicas aplicables; y IV. Se trate de información relacionada con actos de corrupción de conformidad con las </w:t>
      </w:r>
      <w:r w:rsidR="00AD08A1" w:rsidRPr="000B0EF6">
        <w:rPr>
          <w:rFonts w:ascii="Palatino Linotype" w:hAnsi="Palatino Linotype"/>
          <w:i/>
          <w:sz w:val="22"/>
          <w:szCs w:val="22"/>
        </w:rPr>
        <w:lastRenderedPageBreak/>
        <w:t>disposiciones jurídicas aplicables. solicito saber el o los procedimientos que la contraloría inicio por faltas graves o actos de corrupción o algun delito catalogado como tipo penal</w:t>
      </w:r>
      <w:r w:rsidR="00933FFC" w:rsidRPr="000B0EF6">
        <w:rPr>
          <w:rFonts w:ascii="Palatino Linotype" w:hAnsi="Palatino Linotype"/>
          <w:i/>
          <w:sz w:val="22"/>
          <w:szCs w:val="22"/>
        </w:rPr>
        <w:t>.</w:t>
      </w:r>
      <w:r w:rsidRPr="000B0EF6">
        <w:rPr>
          <w:rFonts w:ascii="Palatino Linotype" w:hAnsi="Palatino Linotype"/>
          <w:i/>
          <w:sz w:val="22"/>
          <w:szCs w:val="22"/>
        </w:rPr>
        <w:t>” (Sic)</w:t>
      </w:r>
    </w:p>
    <w:p w14:paraId="11FF7B65" w14:textId="77777777" w:rsidR="00C43B1E" w:rsidRPr="000B0EF6" w:rsidRDefault="00C43B1E" w:rsidP="00C43B1E">
      <w:pPr>
        <w:spacing w:before="100" w:beforeAutospacing="1" w:after="100" w:afterAutospacing="1"/>
        <w:ind w:right="709"/>
        <w:jc w:val="both"/>
        <w:rPr>
          <w:rFonts w:ascii="Palatino Linotype" w:hAnsi="Palatino Linotype"/>
          <w:b/>
        </w:rPr>
      </w:pPr>
      <w:r w:rsidRPr="000B0EF6">
        <w:rPr>
          <w:rFonts w:ascii="Palatino Linotype" w:hAnsi="Palatino Linotype"/>
          <w:b/>
        </w:rPr>
        <w:t xml:space="preserve">Modalidad de entrega: </w:t>
      </w:r>
      <w:r w:rsidRPr="000B0EF6">
        <w:rPr>
          <w:rFonts w:ascii="Palatino Linotype" w:hAnsi="Palatino Linotype"/>
        </w:rPr>
        <w:t xml:space="preserve">vía </w:t>
      </w:r>
      <w:r w:rsidRPr="000B0EF6">
        <w:rPr>
          <w:rFonts w:ascii="Palatino Linotype" w:hAnsi="Palatino Linotype"/>
          <w:b/>
        </w:rPr>
        <w:t>SAIMEX</w:t>
      </w:r>
    </w:p>
    <w:p w14:paraId="00BD4A69" w14:textId="45CB587D" w:rsidR="00465EB9" w:rsidRPr="000B0EF6" w:rsidRDefault="00B76384" w:rsidP="00933FFC">
      <w:pPr>
        <w:widowControl w:val="0"/>
        <w:autoSpaceDE w:val="0"/>
        <w:autoSpaceDN w:val="0"/>
        <w:adjustRightInd w:val="0"/>
        <w:spacing w:line="360" w:lineRule="auto"/>
        <w:jc w:val="both"/>
        <w:rPr>
          <w:rFonts w:ascii="Palatino Linotype" w:hAnsi="Palatino Linotype"/>
          <w:bCs/>
          <w:color w:val="000000" w:themeColor="text1"/>
        </w:rPr>
      </w:pPr>
      <w:r w:rsidRPr="000B0EF6">
        <w:rPr>
          <w:rFonts w:ascii="Palatino Linotype" w:hAnsi="Palatino Linotype" w:cs="Arial"/>
          <w:b/>
          <w:sz w:val="28"/>
          <w:szCs w:val="28"/>
        </w:rPr>
        <w:t>II.</w:t>
      </w:r>
      <w:r w:rsidRPr="000B0EF6">
        <w:rPr>
          <w:rFonts w:ascii="Palatino Linotype" w:hAnsi="Palatino Linotype" w:cs="Arial"/>
        </w:rPr>
        <w:t xml:space="preserve"> </w:t>
      </w:r>
      <w:r w:rsidR="00933FFC" w:rsidRPr="000B0EF6">
        <w:rPr>
          <w:rFonts w:ascii="Palatino Linotype" w:hAnsi="Palatino Linotype" w:cs="Arial"/>
          <w:color w:val="000000" w:themeColor="text1"/>
        </w:rPr>
        <w:t>En cumplimiento al artículo 162 de la Ley de Transparencia y Acceso a la Información Pública del Estad</w:t>
      </w:r>
      <w:r w:rsidR="005E2B8A" w:rsidRPr="000B0EF6">
        <w:rPr>
          <w:rFonts w:ascii="Palatino Linotype" w:hAnsi="Palatino Linotype" w:cs="Arial"/>
          <w:color w:val="000000" w:themeColor="text1"/>
        </w:rPr>
        <w:t>o de Méxi</w:t>
      </w:r>
      <w:r w:rsidR="00AD08A1" w:rsidRPr="000B0EF6">
        <w:rPr>
          <w:rFonts w:ascii="Palatino Linotype" w:hAnsi="Palatino Linotype" w:cs="Arial"/>
          <w:color w:val="000000" w:themeColor="text1"/>
        </w:rPr>
        <w:t>co y Municipios, el diez</w:t>
      </w:r>
      <w:r w:rsidR="00933FFC" w:rsidRPr="000B0EF6">
        <w:rPr>
          <w:rFonts w:ascii="Palatino Linotype" w:hAnsi="Palatino Linotype" w:cs="Arial"/>
          <w:color w:val="000000" w:themeColor="text1"/>
        </w:rPr>
        <w:t xml:space="preserve"> de agosto de dos mil veintiuno, el Titular de la Unidad de Transparencia del </w:t>
      </w:r>
      <w:r w:rsidR="00933FFC" w:rsidRPr="000B0EF6">
        <w:rPr>
          <w:rFonts w:ascii="Palatino Linotype" w:hAnsi="Palatino Linotype" w:cs="Arial"/>
          <w:b/>
          <w:color w:val="000000" w:themeColor="text1"/>
        </w:rPr>
        <w:t xml:space="preserve">SUJETO OBLIGADO, </w:t>
      </w:r>
      <w:r w:rsidR="00933FFC" w:rsidRPr="000B0EF6">
        <w:rPr>
          <w:rFonts w:ascii="Palatino Linotype" w:hAnsi="Palatino Linotype"/>
          <w:bCs/>
          <w:color w:val="000000" w:themeColor="text1"/>
        </w:rPr>
        <w:t>turnó el r</w:t>
      </w:r>
      <w:r w:rsidR="00D06113" w:rsidRPr="000B0EF6">
        <w:rPr>
          <w:rFonts w:ascii="Palatino Linotype" w:hAnsi="Palatino Linotype"/>
          <w:bCs/>
          <w:color w:val="000000" w:themeColor="text1"/>
        </w:rPr>
        <w:t>equerimiento de información al servidor público h</w:t>
      </w:r>
      <w:r w:rsidR="00933FFC" w:rsidRPr="000B0EF6">
        <w:rPr>
          <w:rFonts w:ascii="Palatino Linotype" w:hAnsi="Palatino Linotype"/>
          <w:bCs/>
          <w:color w:val="000000" w:themeColor="text1"/>
        </w:rPr>
        <w:t xml:space="preserve">abilitado que estimó pertinente, a fin de colmar la solicitud de acceso a la información; tal y como, se aprecia en la </w:t>
      </w:r>
      <w:r w:rsidR="00D06113" w:rsidRPr="000B0EF6">
        <w:rPr>
          <w:rFonts w:ascii="Palatino Linotype" w:hAnsi="Palatino Linotype"/>
          <w:bCs/>
          <w:color w:val="000000" w:themeColor="text1"/>
        </w:rPr>
        <w:t>siguiente imagen:</w:t>
      </w:r>
    </w:p>
    <w:p w14:paraId="5DB92192" w14:textId="437C3F80" w:rsidR="00933FFC" w:rsidRPr="000B0EF6" w:rsidRDefault="00AD08A1" w:rsidP="00933FFC">
      <w:pPr>
        <w:widowControl w:val="0"/>
        <w:autoSpaceDE w:val="0"/>
        <w:autoSpaceDN w:val="0"/>
        <w:adjustRightInd w:val="0"/>
        <w:spacing w:line="360" w:lineRule="auto"/>
        <w:jc w:val="both"/>
        <w:rPr>
          <w:rFonts w:ascii="Palatino Linotype" w:hAnsi="Palatino Linotype"/>
          <w:bCs/>
          <w:color w:val="000000" w:themeColor="text1"/>
        </w:rPr>
      </w:pPr>
      <w:r w:rsidRPr="000B0EF6">
        <w:rPr>
          <w:rFonts w:ascii="Palatino Linotype" w:hAnsi="Palatino Linotype"/>
          <w:bCs/>
          <w:noProof/>
          <w:color w:val="000000" w:themeColor="text1"/>
          <w:lang w:eastAsia="es-MX"/>
        </w:rPr>
        <w:drawing>
          <wp:inline distT="0" distB="0" distL="0" distR="0" wp14:anchorId="109CFD40" wp14:editId="1F130F0F">
            <wp:extent cx="5612130" cy="51752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A8308E.tmp"/>
                    <pic:cNvPicPr/>
                  </pic:nvPicPr>
                  <pic:blipFill>
                    <a:blip r:embed="rId8">
                      <a:extLst>
                        <a:ext uri="{28A0092B-C50C-407E-A947-70E740481C1C}">
                          <a14:useLocalDpi xmlns:a14="http://schemas.microsoft.com/office/drawing/2010/main" val="0"/>
                        </a:ext>
                      </a:extLst>
                    </a:blip>
                    <a:stretch>
                      <a:fillRect/>
                    </a:stretch>
                  </pic:blipFill>
                  <pic:spPr>
                    <a:xfrm>
                      <a:off x="0" y="0"/>
                      <a:ext cx="5612130" cy="517525"/>
                    </a:xfrm>
                    <a:prstGeom prst="rect">
                      <a:avLst/>
                    </a:prstGeom>
                  </pic:spPr>
                </pic:pic>
              </a:graphicData>
            </a:graphic>
          </wp:inline>
        </w:drawing>
      </w:r>
    </w:p>
    <w:p w14:paraId="6A715A2B" w14:textId="58CD7440" w:rsidR="005E2B8A" w:rsidRPr="000B0EF6" w:rsidRDefault="00085FAD" w:rsidP="00C43B1E">
      <w:pPr>
        <w:pStyle w:val="Prrafodelista"/>
        <w:tabs>
          <w:tab w:val="left" w:pos="709"/>
        </w:tabs>
        <w:spacing w:before="100" w:beforeAutospacing="1" w:after="100" w:afterAutospacing="1" w:line="360" w:lineRule="auto"/>
        <w:ind w:left="0"/>
        <w:jc w:val="both"/>
        <w:rPr>
          <w:rFonts w:ascii="Palatino Linotype" w:hAnsi="Palatino Linotype" w:cs="Arial"/>
        </w:rPr>
      </w:pPr>
      <w:r w:rsidRPr="000B0EF6">
        <w:rPr>
          <w:rFonts w:ascii="Palatino Linotype" w:hAnsi="Palatino Linotype" w:cs="Arial"/>
          <w:noProof/>
          <w:lang w:eastAsia="es-MX"/>
        </w:rPr>
        <w:drawing>
          <wp:anchor distT="0" distB="0" distL="114300" distR="114300" simplePos="0" relativeHeight="251658240" behindDoc="0" locked="0" layoutInCell="1" allowOverlap="1" wp14:anchorId="56A933EA" wp14:editId="16639280">
            <wp:simplePos x="0" y="0"/>
            <wp:positionH relativeFrom="margin">
              <wp:align>center</wp:align>
            </wp:positionH>
            <wp:positionV relativeFrom="margin">
              <wp:posOffset>4943475</wp:posOffset>
            </wp:positionV>
            <wp:extent cx="4518025" cy="2753360"/>
            <wp:effectExtent l="0" t="0" r="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A8B56A.tmp"/>
                    <pic:cNvPicPr/>
                  </pic:nvPicPr>
                  <pic:blipFill>
                    <a:blip r:embed="rId9">
                      <a:extLst>
                        <a:ext uri="{28A0092B-C50C-407E-A947-70E740481C1C}">
                          <a14:useLocalDpi xmlns:a14="http://schemas.microsoft.com/office/drawing/2010/main" val="0"/>
                        </a:ext>
                      </a:extLst>
                    </a:blip>
                    <a:stretch>
                      <a:fillRect/>
                    </a:stretch>
                  </pic:blipFill>
                  <pic:spPr>
                    <a:xfrm>
                      <a:off x="0" y="0"/>
                      <a:ext cx="4518025" cy="2753360"/>
                    </a:xfrm>
                    <a:prstGeom prst="rect">
                      <a:avLst/>
                    </a:prstGeom>
                  </pic:spPr>
                </pic:pic>
              </a:graphicData>
            </a:graphic>
          </wp:anchor>
        </w:drawing>
      </w:r>
      <w:r w:rsidR="00465EB9" w:rsidRPr="000B0EF6">
        <w:rPr>
          <w:rFonts w:ascii="Palatino Linotype" w:hAnsi="Palatino Linotype" w:cs="Arial"/>
          <w:b/>
          <w:sz w:val="28"/>
          <w:szCs w:val="28"/>
        </w:rPr>
        <w:t>III.</w:t>
      </w:r>
      <w:r w:rsidR="00465EB9" w:rsidRPr="000B0EF6">
        <w:rPr>
          <w:rFonts w:ascii="Palatino Linotype" w:hAnsi="Palatino Linotype" w:cs="Arial"/>
        </w:rPr>
        <w:t xml:space="preserve"> Posteriormente, el día</w:t>
      </w:r>
      <w:r w:rsidR="00AD08A1" w:rsidRPr="000B0EF6">
        <w:rPr>
          <w:rFonts w:ascii="Palatino Linotype" w:hAnsi="Palatino Linotype" w:cs="Arial"/>
        </w:rPr>
        <w:t xml:space="preserve"> veinticuatro de agosto</w:t>
      </w:r>
      <w:r w:rsidR="00465EB9" w:rsidRPr="000B0EF6">
        <w:rPr>
          <w:rFonts w:ascii="Palatino Linotype" w:hAnsi="Palatino Linotype" w:cs="Arial"/>
        </w:rPr>
        <w:t xml:space="preserve"> de dos mil veintiuno, </w:t>
      </w:r>
      <w:r w:rsidR="00465EB9" w:rsidRPr="000B0EF6">
        <w:rPr>
          <w:rFonts w:ascii="Palatino Linotype" w:hAnsi="Palatino Linotype" w:cs="Arial"/>
          <w:b/>
        </w:rPr>
        <w:t>EL SUJETO OBLIGADO</w:t>
      </w:r>
      <w:r w:rsidR="00465EB9" w:rsidRPr="000B0EF6">
        <w:rPr>
          <w:rFonts w:ascii="Palatino Linotype" w:hAnsi="Palatino Linotype" w:cs="Arial"/>
        </w:rPr>
        <w:t xml:space="preserve"> dio respuesta a la </w:t>
      </w:r>
      <w:r w:rsidR="00465EB9" w:rsidRPr="000B0EF6">
        <w:rPr>
          <w:rFonts w:ascii="Palatino Linotype" w:hAnsi="Palatino Linotype"/>
        </w:rPr>
        <w:t>solicitud</w:t>
      </w:r>
      <w:r w:rsidR="00465EB9" w:rsidRPr="000B0EF6">
        <w:rPr>
          <w:rFonts w:ascii="Palatino Linotype" w:hAnsi="Palatino Linotype" w:cs="Arial"/>
        </w:rPr>
        <w:t xml:space="preserve"> de </w:t>
      </w:r>
      <w:r w:rsidR="00465EB9" w:rsidRPr="000B0EF6">
        <w:rPr>
          <w:rFonts w:ascii="Palatino Linotype" w:hAnsi="Palatino Linotype"/>
        </w:rPr>
        <w:t>acceso</w:t>
      </w:r>
      <w:r w:rsidR="00465EB9" w:rsidRPr="000B0EF6">
        <w:rPr>
          <w:rFonts w:ascii="Palatino Linotype" w:hAnsi="Palatino Linotype" w:cs="Arial"/>
        </w:rPr>
        <w:t xml:space="preserve"> a la información pública requerida por </w:t>
      </w:r>
      <w:r w:rsidR="00465EB9" w:rsidRPr="000B0EF6">
        <w:rPr>
          <w:rFonts w:ascii="Palatino Linotype" w:hAnsi="Palatino Linotype" w:cs="Arial"/>
          <w:b/>
        </w:rPr>
        <w:t>EL RECURRENTE</w:t>
      </w:r>
      <w:r w:rsidR="00465EB9" w:rsidRPr="000B0EF6">
        <w:rPr>
          <w:rFonts w:ascii="Palatino Linotype" w:hAnsi="Palatino Linotype" w:cs="Arial"/>
        </w:rPr>
        <w:t>,</w:t>
      </w:r>
      <w:r w:rsidR="00CA0A25" w:rsidRPr="000B0EF6">
        <w:rPr>
          <w:rFonts w:ascii="Palatino Linotype" w:hAnsi="Palatino Linotype" w:cs="Arial"/>
        </w:rPr>
        <w:t xml:space="preserve"> como se observa en la siguiente imagen</w:t>
      </w:r>
      <w:r w:rsidR="00465EB9" w:rsidRPr="000B0EF6">
        <w:rPr>
          <w:rFonts w:ascii="Palatino Linotype" w:hAnsi="Palatino Linotype" w:cs="Arial"/>
        </w:rPr>
        <w:t>:</w:t>
      </w:r>
      <w:r w:rsidR="00AD08A1" w:rsidRPr="000B0EF6">
        <w:rPr>
          <w:rFonts w:ascii="Palatino Linotype" w:hAnsi="Palatino Linotype" w:cs="Arial"/>
          <w:noProof/>
          <w:lang w:eastAsia="es-MX"/>
        </w:rPr>
        <w:t xml:space="preserve"> </w:t>
      </w:r>
      <w:r w:rsidRPr="000B0EF6">
        <w:rPr>
          <w:rFonts w:ascii="Palatino Linotype" w:hAnsi="Palatino Linotype" w:cs="Arial"/>
          <w:noProof/>
          <w:lang w:eastAsia="es-MX"/>
        </w:rPr>
        <w:t xml:space="preserve">   </w:t>
      </w:r>
    </w:p>
    <w:p w14:paraId="2A52FB3A" w14:textId="2D3DF6B0" w:rsidR="00233845" w:rsidRPr="000B0EF6" w:rsidRDefault="004E44D1" w:rsidP="00233845">
      <w:pPr>
        <w:pStyle w:val="Prrafodelista"/>
        <w:tabs>
          <w:tab w:val="left" w:pos="709"/>
        </w:tabs>
        <w:spacing w:before="100" w:beforeAutospacing="1" w:after="100" w:afterAutospacing="1" w:line="360" w:lineRule="auto"/>
        <w:ind w:left="0"/>
        <w:jc w:val="both"/>
        <w:rPr>
          <w:rFonts w:ascii="Palatino Linotype" w:hAnsi="Palatino Linotype" w:cs="Arial"/>
        </w:rPr>
      </w:pPr>
      <w:r w:rsidRPr="000B0EF6">
        <w:rPr>
          <w:rFonts w:ascii="Palatino Linotype" w:hAnsi="Palatino Linotype" w:cs="Arial"/>
          <w:b/>
          <w:sz w:val="28"/>
          <w:szCs w:val="28"/>
        </w:rPr>
        <w:lastRenderedPageBreak/>
        <w:t>IV</w:t>
      </w:r>
      <w:r w:rsidR="00884BCE" w:rsidRPr="000B0EF6">
        <w:rPr>
          <w:rFonts w:ascii="Palatino Linotype" w:hAnsi="Palatino Linotype" w:cs="Arial"/>
          <w:b/>
          <w:sz w:val="28"/>
          <w:szCs w:val="28"/>
        </w:rPr>
        <w:t>.</w:t>
      </w:r>
      <w:r w:rsidR="00884BCE" w:rsidRPr="000B0EF6">
        <w:rPr>
          <w:rFonts w:ascii="Palatino Linotype" w:hAnsi="Palatino Linotype" w:cs="Arial"/>
        </w:rPr>
        <w:t xml:space="preserve"> </w:t>
      </w:r>
      <w:r w:rsidR="0047609F" w:rsidRPr="000B0EF6">
        <w:rPr>
          <w:rFonts w:ascii="Palatino Linotype" w:hAnsi="Palatino Linotype"/>
        </w:rPr>
        <w:t>I</w:t>
      </w:r>
      <w:r w:rsidR="00233845" w:rsidRPr="000B0EF6">
        <w:rPr>
          <w:rFonts w:ascii="Palatino Linotype" w:hAnsi="Palatino Linotype"/>
        </w:rPr>
        <w:t xml:space="preserve">nconforme con la respuesta del </w:t>
      </w:r>
      <w:r w:rsidR="00233845" w:rsidRPr="000B0EF6">
        <w:rPr>
          <w:rFonts w:ascii="Palatino Linotype" w:hAnsi="Palatino Linotype"/>
          <w:b/>
        </w:rPr>
        <w:t>SUJETO OBLIGADO</w:t>
      </w:r>
      <w:r w:rsidR="0032378D" w:rsidRPr="000B0EF6">
        <w:rPr>
          <w:rFonts w:ascii="Palatino Linotype" w:hAnsi="Palatino Linotype"/>
        </w:rPr>
        <w:t>, el</w:t>
      </w:r>
      <w:r w:rsidR="007F55BB" w:rsidRPr="000B0EF6">
        <w:rPr>
          <w:rFonts w:ascii="Palatino Linotype" w:hAnsi="Palatino Linotype"/>
        </w:rPr>
        <w:t xml:space="preserve"> veintisiete</w:t>
      </w:r>
      <w:r w:rsidR="00233845" w:rsidRPr="000B0EF6">
        <w:rPr>
          <w:rFonts w:ascii="Palatino Linotype" w:hAnsi="Palatino Linotype"/>
        </w:rPr>
        <w:t xml:space="preserve"> </w:t>
      </w:r>
      <w:r w:rsidR="003D5367" w:rsidRPr="000B0EF6">
        <w:rPr>
          <w:rFonts w:ascii="Palatino Linotype" w:hAnsi="Palatino Linotype"/>
        </w:rPr>
        <w:t xml:space="preserve">de </w:t>
      </w:r>
      <w:r w:rsidR="007F55BB" w:rsidRPr="000B0EF6">
        <w:rPr>
          <w:rFonts w:ascii="Palatino Linotype" w:hAnsi="Palatino Linotype"/>
        </w:rPr>
        <w:t xml:space="preserve">agosto </w:t>
      </w:r>
      <w:r w:rsidR="00233845" w:rsidRPr="000B0EF6">
        <w:rPr>
          <w:rFonts w:ascii="Palatino Linotype" w:hAnsi="Palatino Linotype"/>
        </w:rPr>
        <w:t xml:space="preserve">de dos mil veintiuno, </w:t>
      </w:r>
      <w:r w:rsidR="00233845" w:rsidRPr="000B0EF6">
        <w:rPr>
          <w:rFonts w:ascii="Palatino Linotype" w:hAnsi="Palatino Linotype" w:cs="Arial"/>
          <w:b/>
        </w:rPr>
        <w:t xml:space="preserve">EL </w:t>
      </w:r>
      <w:r w:rsidR="003D5367" w:rsidRPr="000B0EF6">
        <w:rPr>
          <w:rFonts w:ascii="Palatino Linotype" w:hAnsi="Palatino Linotype" w:cs="Arial"/>
          <w:b/>
        </w:rPr>
        <w:t>RECURRENTE,</w:t>
      </w:r>
      <w:r w:rsidR="00233845" w:rsidRPr="000B0EF6">
        <w:rPr>
          <w:rFonts w:ascii="Palatino Linotype" w:hAnsi="Palatino Linotype"/>
        </w:rPr>
        <w:t xml:space="preserve"> a través del</w:t>
      </w:r>
      <w:r w:rsidR="00233845" w:rsidRPr="000B0EF6">
        <w:rPr>
          <w:rFonts w:ascii="Palatino Linotype" w:hAnsi="Palatino Linotype"/>
          <w:b/>
        </w:rPr>
        <w:t xml:space="preserve"> SAIMEX, </w:t>
      </w:r>
      <w:r w:rsidR="00233845" w:rsidRPr="000B0EF6">
        <w:rPr>
          <w:rFonts w:ascii="Palatino Linotype" w:hAnsi="Palatino Linotype"/>
        </w:rPr>
        <w:t xml:space="preserve">interpuso el recurso de revisión objeto del </w:t>
      </w:r>
      <w:r w:rsidR="00233845" w:rsidRPr="000B0EF6">
        <w:rPr>
          <w:rFonts w:ascii="Palatino Linotype" w:hAnsi="Palatino Linotype" w:cs="Arial"/>
        </w:rPr>
        <w:t>presente</w:t>
      </w:r>
      <w:r w:rsidR="00233845" w:rsidRPr="000B0EF6">
        <w:rPr>
          <w:rFonts w:ascii="Palatino Linotype" w:hAnsi="Palatino Linotype"/>
        </w:rPr>
        <w:t xml:space="preserve"> estudio, al que se le asignó el </w:t>
      </w:r>
      <w:r w:rsidR="00233845" w:rsidRPr="000B0EF6">
        <w:rPr>
          <w:rFonts w:ascii="Palatino Linotype" w:hAnsi="Palatino Linotype" w:cs="Arial"/>
        </w:rPr>
        <w:t>número al rubro citado, en el que señaló como acto impugnado:</w:t>
      </w:r>
    </w:p>
    <w:p w14:paraId="66F4327E" w14:textId="3DE119FF" w:rsidR="00233845" w:rsidRPr="000B0EF6" w:rsidRDefault="00233845" w:rsidP="00DA2919">
      <w:pPr>
        <w:tabs>
          <w:tab w:val="left" w:pos="7936"/>
        </w:tabs>
        <w:ind w:left="851" w:right="902"/>
        <w:jc w:val="both"/>
        <w:rPr>
          <w:rFonts w:ascii="Palatino Linotype" w:hAnsi="Palatino Linotype" w:cs="Arial"/>
          <w:i/>
          <w:sz w:val="22"/>
          <w:szCs w:val="22"/>
          <w:lang w:eastAsia="es-MX"/>
        </w:rPr>
      </w:pPr>
      <w:r w:rsidRPr="000B0EF6">
        <w:rPr>
          <w:rFonts w:ascii="Palatino Linotype" w:hAnsi="Palatino Linotype" w:cs="Arial"/>
          <w:i/>
          <w:sz w:val="22"/>
          <w:szCs w:val="22"/>
          <w:lang w:eastAsia="es-MX"/>
        </w:rPr>
        <w:t>“</w:t>
      </w:r>
      <w:r w:rsidR="007F55BB" w:rsidRPr="000B0EF6">
        <w:rPr>
          <w:rFonts w:ascii="Palatino Linotype" w:hAnsi="Palatino Linotype" w:cs="Arial"/>
          <w:i/>
          <w:sz w:val="22"/>
          <w:szCs w:val="22"/>
          <w:lang w:eastAsia="es-MX"/>
        </w:rPr>
        <w:t xml:space="preserve">La respuesta”. </w:t>
      </w:r>
      <w:r w:rsidRPr="000B0EF6">
        <w:rPr>
          <w:rFonts w:ascii="Palatino Linotype" w:hAnsi="Palatino Linotype" w:cs="Arial"/>
          <w:i/>
          <w:sz w:val="22"/>
          <w:szCs w:val="22"/>
          <w:lang w:eastAsia="es-MX"/>
        </w:rPr>
        <w:t>(Sic)</w:t>
      </w:r>
    </w:p>
    <w:p w14:paraId="4141FDBD" w14:textId="08F0579E" w:rsidR="00233845" w:rsidRPr="000B0EF6" w:rsidRDefault="00233845" w:rsidP="00233845">
      <w:pPr>
        <w:pStyle w:val="Prrafodelista"/>
        <w:spacing w:before="100" w:beforeAutospacing="1" w:after="100" w:afterAutospacing="1" w:line="360" w:lineRule="auto"/>
        <w:ind w:left="0"/>
        <w:jc w:val="both"/>
        <w:rPr>
          <w:rFonts w:ascii="Palatino Linotype" w:hAnsi="Palatino Linotype"/>
        </w:rPr>
      </w:pPr>
      <w:r w:rsidRPr="000B0EF6">
        <w:rPr>
          <w:rFonts w:ascii="Palatino Linotype" w:hAnsi="Palatino Linotype" w:cs="Arial"/>
        </w:rPr>
        <w:t>Asimismo</w:t>
      </w:r>
      <w:r w:rsidRPr="000B0EF6">
        <w:rPr>
          <w:rFonts w:ascii="Palatino Linotype" w:hAnsi="Palatino Linotype"/>
        </w:rPr>
        <w:t>, indicó como razones o motivos de inconformidad:</w:t>
      </w:r>
    </w:p>
    <w:p w14:paraId="7DF2C6B9" w14:textId="2CD16B83" w:rsidR="00DA2919" w:rsidRPr="000B0EF6" w:rsidRDefault="00233845" w:rsidP="00952193">
      <w:pPr>
        <w:ind w:left="851" w:right="616"/>
        <w:jc w:val="both"/>
        <w:rPr>
          <w:rFonts w:ascii="Palatino Linotype" w:hAnsi="Palatino Linotype" w:cs="Arial"/>
          <w:i/>
          <w:sz w:val="22"/>
          <w:szCs w:val="22"/>
          <w:lang w:eastAsia="es-MX"/>
        </w:rPr>
      </w:pPr>
      <w:r w:rsidRPr="000B0EF6">
        <w:rPr>
          <w:rFonts w:ascii="Palatino Linotype" w:hAnsi="Palatino Linotype" w:cs="Arial"/>
          <w:i/>
          <w:sz w:val="22"/>
          <w:szCs w:val="22"/>
          <w:lang w:eastAsia="es-MX"/>
        </w:rPr>
        <w:t>“</w:t>
      </w:r>
      <w:r w:rsidR="007F55BB" w:rsidRPr="000B0EF6">
        <w:rPr>
          <w:rFonts w:ascii="Palatino Linotype" w:hAnsi="Palatino Linotype" w:cs="Arial"/>
          <w:i/>
          <w:sz w:val="22"/>
          <w:szCs w:val="22"/>
          <w:lang w:eastAsia="es-MX"/>
        </w:rPr>
        <w:t>No quieren trabajar</w:t>
      </w:r>
      <w:r w:rsidR="00DA2919" w:rsidRPr="000B0EF6">
        <w:rPr>
          <w:rFonts w:ascii="Palatino Linotype" w:hAnsi="Palatino Linotype" w:cs="Arial"/>
          <w:i/>
          <w:sz w:val="22"/>
          <w:szCs w:val="22"/>
          <w:lang w:eastAsia="es-MX"/>
        </w:rPr>
        <w:t>.</w:t>
      </w:r>
      <w:r w:rsidRPr="000B0EF6">
        <w:rPr>
          <w:rFonts w:ascii="Palatino Linotype" w:hAnsi="Palatino Linotype" w:cs="Arial"/>
          <w:i/>
          <w:sz w:val="22"/>
          <w:szCs w:val="22"/>
          <w:lang w:eastAsia="es-MX"/>
        </w:rPr>
        <w:t>” (Sic)</w:t>
      </w:r>
    </w:p>
    <w:p w14:paraId="3264C90F" w14:textId="7666113C" w:rsidR="00233845" w:rsidRPr="000B0EF6" w:rsidRDefault="00233845" w:rsidP="00233845">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0B0EF6">
        <w:rPr>
          <w:rFonts w:ascii="Palatino Linotype" w:hAnsi="Palatino Linotype" w:cs="Arial"/>
          <w:b/>
          <w:sz w:val="28"/>
          <w:szCs w:val="28"/>
        </w:rPr>
        <w:t xml:space="preserve">V. </w:t>
      </w:r>
      <w:r w:rsidRPr="000B0EF6">
        <w:rPr>
          <w:rFonts w:ascii="Palatino Linotype" w:hAnsi="Palatino Linotype" w:cs="Arial"/>
        </w:rPr>
        <w:t xml:space="preserve">En </w:t>
      </w:r>
      <w:r w:rsidR="007F55BB" w:rsidRPr="000B0EF6">
        <w:rPr>
          <w:rFonts w:ascii="Palatino Linotype" w:hAnsi="Palatino Linotype" w:cs="Arial"/>
        </w:rPr>
        <w:t>fecha veintisiete</w:t>
      </w:r>
      <w:r w:rsidRPr="000B0EF6">
        <w:rPr>
          <w:rFonts w:ascii="Palatino Linotype" w:hAnsi="Palatino Linotype" w:cs="Arial"/>
        </w:rPr>
        <w:t xml:space="preserve"> de agosto </w:t>
      </w:r>
      <w:r w:rsidRPr="000B0EF6">
        <w:rPr>
          <w:rFonts w:ascii="Palatino Linotype" w:hAnsi="Palatino Linotype"/>
        </w:rPr>
        <w:t>de dos mil veintiuno</w:t>
      </w:r>
      <w:r w:rsidRPr="000B0EF6">
        <w:rPr>
          <w:rFonts w:ascii="Palatino Linotype" w:hAnsi="Palatino Linotype" w:cs="Arial"/>
        </w:rPr>
        <w:t>, el recurso de que se trata se envió electrónicamente al Instituto de Transparencia, Acceso a la Información Pública</w:t>
      </w:r>
      <w:r w:rsidRPr="000B0EF6">
        <w:rPr>
          <w:rFonts w:ascii="Palatino Linotype" w:hAnsi="Palatino Linotype" w:cs="Arial"/>
          <w:lang w:val="es-ES_tradnl"/>
        </w:rPr>
        <w:t xml:space="preserve"> y </w:t>
      </w:r>
      <w:r w:rsidRPr="000B0EF6">
        <w:rPr>
          <w:rFonts w:ascii="Palatino Linotype" w:hAnsi="Palatino Linotype" w:cs="Arial"/>
        </w:rPr>
        <w:t>Protección</w:t>
      </w:r>
      <w:r w:rsidRPr="000B0EF6">
        <w:rPr>
          <w:rFonts w:ascii="Palatino Linotype" w:hAnsi="Palatino Linotype" w:cs="Arial"/>
          <w:lang w:val="es-ES_tradnl"/>
        </w:rPr>
        <w:t xml:space="preserve"> </w:t>
      </w:r>
      <w:r w:rsidRPr="000B0EF6">
        <w:rPr>
          <w:rFonts w:ascii="Palatino Linotype" w:hAnsi="Palatino Linotype" w:cs="Arial"/>
        </w:rPr>
        <w:t>de</w:t>
      </w:r>
      <w:r w:rsidRPr="000B0EF6">
        <w:rPr>
          <w:rFonts w:ascii="Palatino Linotype" w:hAnsi="Palatino Linotype" w:cs="Arial"/>
          <w:lang w:val="es-ES_tradnl"/>
        </w:rPr>
        <w:t xml:space="preserve"> </w:t>
      </w:r>
      <w:r w:rsidRPr="000B0EF6">
        <w:rPr>
          <w:rFonts w:ascii="Palatino Linotype" w:hAnsi="Palatino Linotype"/>
        </w:rPr>
        <w:t>Datos</w:t>
      </w:r>
      <w:r w:rsidRPr="000B0EF6">
        <w:rPr>
          <w:rFonts w:ascii="Palatino Linotype" w:hAnsi="Palatino Linotype" w:cs="Arial"/>
          <w:lang w:val="es-ES_tradnl"/>
        </w:rPr>
        <w:t xml:space="preserve"> </w:t>
      </w:r>
      <w:r w:rsidRPr="000B0EF6">
        <w:rPr>
          <w:rFonts w:ascii="Palatino Linotype" w:hAnsi="Palatino Linotype" w:cs="Arial"/>
        </w:rPr>
        <w:t>Personales</w:t>
      </w:r>
      <w:r w:rsidRPr="000B0EF6">
        <w:rPr>
          <w:rFonts w:ascii="Palatino Linotype" w:hAnsi="Palatino Linotype" w:cs="Arial"/>
          <w:lang w:val="es-ES_tradnl"/>
        </w:rPr>
        <w:t xml:space="preserve"> </w:t>
      </w:r>
      <w:r w:rsidRPr="000B0EF6">
        <w:rPr>
          <w:rFonts w:ascii="Palatino Linotype" w:hAnsi="Palatino Linotype" w:cs="Arial"/>
        </w:rPr>
        <w:t>del</w:t>
      </w:r>
      <w:r w:rsidRPr="000B0EF6">
        <w:rPr>
          <w:rFonts w:ascii="Palatino Linotype" w:hAnsi="Palatino Linotype" w:cs="Arial"/>
          <w:lang w:val="es-ES_tradnl"/>
        </w:rPr>
        <w:t xml:space="preserve"> </w:t>
      </w:r>
      <w:r w:rsidRPr="000B0EF6">
        <w:rPr>
          <w:rFonts w:ascii="Palatino Linotype" w:hAnsi="Palatino Linotype"/>
        </w:rPr>
        <w:t>Estado</w:t>
      </w:r>
      <w:r w:rsidRPr="000B0EF6">
        <w:rPr>
          <w:rFonts w:ascii="Palatino Linotype" w:hAnsi="Palatino Linotype" w:cs="Arial"/>
          <w:lang w:val="es-ES_tradnl"/>
        </w:rPr>
        <w:t xml:space="preserve"> de México y Municipios y con fundamento en el </w:t>
      </w:r>
      <w:r w:rsidRPr="000B0EF6">
        <w:rPr>
          <w:rFonts w:ascii="Palatino Linotype" w:hAnsi="Palatino Linotype" w:cs="Arial"/>
        </w:rPr>
        <w:t>artículo</w:t>
      </w:r>
      <w:r w:rsidRPr="000B0EF6">
        <w:rPr>
          <w:rFonts w:ascii="Palatino Linotype" w:hAnsi="Palatino Linotype" w:cs="Arial"/>
          <w:lang w:val="es-ES_tradnl"/>
        </w:rPr>
        <w:t xml:space="preserve"> 185, </w:t>
      </w:r>
      <w:r w:rsidRPr="000B0EF6">
        <w:rPr>
          <w:rFonts w:ascii="Palatino Linotype" w:hAnsi="Palatino Linotype" w:cs="Arial"/>
        </w:rPr>
        <w:t>fracción</w:t>
      </w:r>
      <w:r w:rsidRPr="000B0EF6">
        <w:rPr>
          <w:rFonts w:ascii="Palatino Linotype" w:hAnsi="Palatino Linotype" w:cs="Arial"/>
          <w:lang w:val="es-ES_tradnl"/>
        </w:rPr>
        <w:t xml:space="preserve"> I de la </w:t>
      </w:r>
      <w:r w:rsidRPr="000B0EF6">
        <w:rPr>
          <w:rFonts w:ascii="Palatino Linotype" w:hAnsi="Palatino Linotype"/>
        </w:rPr>
        <w:t>Ley de Transparencia y Acceso a la Información Pública del Estado de México y Municipios</w:t>
      </w:r>
      <w:r w:rsidRPr="000B0EF6">
        <w:rPr>
          <w:rFonts w:ascii="Palatino Linotype" w:hAnsi="Palatino Linotype" w:cs="Arial"/>
          <w:lang w:val="es-ES_tradnl"/>
        </w:rPr>
        <w:t>, se turnó, a través del</w:t>
      </w:r>
      <w:r w:rsidRPr="000B0EF6">
        <w:rPr>
          <w:rFonts w:ascii="Palatino Linotype" w:eastAsia="Arial Unicode MS" w:hAnsi="Palatino Linotype" w:cs="Arial"/>
          <w:lang w:val="es-ES_tradnl"/>
        </w:rPr>
        <w:t xml:space="preserve"> </w:t>
      </w:r>
      <w:r w:rsidRPr="000B0EF6">
        <w:rPr>
          <w:rFonts w:ascii="Palatino Linotype" w:eastAsia="Arial Unicode MS" w:hAnsi="Palatino Linotype" w:cs="Arial"/>
          <w:b/>
          <w:lang w:val="es-ES_tradnl"/>
        </w:rPr>
        <w:t>SAIMEX</w:t>
      </w:r>
      <w:r w:rsidRPr="000B0EF6">
        <w:rPr>
          <w:rFonts w:ascii="Palatino Linotype" w:hAnsi="Palatino Linotype"/>
        </w:rPr>
        <w:t>, a la</w:t>
      </w:r>
      <w:r w:rsidR="00085FAD" w:rsidRPr="000B0EF6">
        <w:rPr>
          <w:rFonts w:ascii="Palatino Linotype" w:hAnsi="Palatino Linotype"/>
        </w:rPr>
        <w:t xml:space="preserve"> Comisionada</w:t>
      </w:r>
      <w:r w:rsidR="007F55BB" w:rsidRPr="000B0EF6">
        <w:rPr>
          <w:rFonts w:ascii="Palatino Linotype" w:hAnsi="Palatino Linotype"/>
        </w:rPr>
        <w:t xml:space="preserve"> </w:t>
      </w:r>
      <w:r w:rsidR="007F55BB" w:rsidRPr="000B0EF6">
        <w:rPr>
          <w:rFonts w:ascii="Palatino Linotype" w:hAnsi="Palatino Linotype"/>
          <w:b/>
        </w:rPr>
        <w:t>SHARON CRISTINA MORALES MARTÍNEZ</w:t>
      </w:r>
      <w:r w:rsidRPr="000B0EF6">
        <w:rPr>
          <w:rFonts w:ascii="Palatino Linotype" w:hAnsi="Palatino Linotype" w:cs="Arial"/>
          <w:lang w:val="es-ES_tradnl"/>
        </w:rPr>
        <w:t>, a efecto de que decretara su admisión o desechamiento.</w:t>
      </w:r>
    </w:p>
    <w:p w14:paraId="3A6656CD" w14:textId="117FC09D" w:rsidR="00BF649F" w:rsidRPr="000B0EF6" w:rsidRDefault="00BF649F" w:rsidP="008E0F96">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0B0EF6">
        <w:rPr>
          <w:rFonts w:ascii="Palatino Linotype" w:hAnsi="Palatino Linotype" w:cs="Arial"/>
          <w:b/>
          <w:sz w:val="28"/>
          <w:szCs w:val="28"/>
        </w:rPr>
        <w:t>V</w:t>
      </w:r>
      <w:r w:rsidR="004E44D1" w:rsidRPr="000B0EF6">
        <w:rPr>
          <w:rFonts w:ascii="Palatino Linotype" w:hAnsi="Palatino Linotype" w:cs="Arial"/>
          <w:b/>
          <w:sz w:val="28"/>
          <w:szCs w:val="28"/>
        </w:rPr>
        <w:t>I</w:t>
      </w:r>
      <w:r w:rsidRPr="000B0EF6">
        <w:rPr>
          <w:rFonts w:ascii="Palatino Linotype" w:hAnsi="Palatino Linotype" w:cs="Arial"/>
          <w:b/>
          <w:sz w:val="28"/>
          <w:szCs w:val="28"/>
        </w:rPr>
        <w:t>.</w:t>
      </w:r>
      <w:r w:rsidR="0047609F" w:rsidRPr="000B0EF6">
        <w:rPr>
          <w:rFonts w:ascii="Palatino Linotype" w:hAnsi="Palatino Linotype" w:cs="Arial"/>
          <w:b/>
          <w:sz w:val="28"/>
          <w:szCs w:val="28"/>
        </w:rPr>
        <w:t xml:space="preserve"> </w:t>
      </w:r>
      <w:r w:rsidR="0047609F" w:rsidRPr="000B0EF6">
        <w:rPr>
          <w:rFonts w:ascii="Palatino Linotype" w:hAnsi="Palatino Linotype" w:cs="Arial"/>
        </w:rPr>
        <w:t>Posteriormente, e</w:t>
      </w:r>
      <w:r w:rsidRPr="000B0EF6">
        <w:rPr>
          <w:rFonts w:ascii="Palatino Linotype" w:hAnsi="Palatino Linotype" w:cs="Arial"/>
        </w:rPr>
        <w:t xml:space="preserve">n </w:t>
      </w:r>
      <w:r w:rsidR="00952193" w:rsidRPr="000B0EF6">
        <w:rPr>
          <w:rFonts w:ascii="Palatino Linotype" w:hAnsi="Palatino Linotype" w:cs="Arial"/>
        </w:rPr>
        <w:t>fecha</w:t>
      </w:r>
      <w:r w:rsidR="003D5367" w:rsidRPr="000B0EF6">
        <w:rPr>
          <w:rFonts w:ascii="Palatino Linotype" w:hAnsi="Palatino Linotype" w:cs="Arial"/>
        </w:rPr>
        <w:t xml:space="preserve"> </w:t>
      </w:r>
      <w:r w:rsidR="00C12356" w:rsidRPr="000B0EF6">
        <w:rPr>
          <w:rFonts w:ascii="Palatino Linotype" w:hAnsi="Palatino Linotype" w:cs="Arial"/>
        </w:rPr>
        <w:t>dos</w:t>
      </w:r>
      <w:r w:rsidR="004E44D1" w:rsidRPr="000B0EF6">
        <w:rPr>
          <w:rFonts w:ascii="Palatino Linotype" w:hAnsi="Palatino Linotype" w:cs="Arial"/>
        </w:rPr>
        <w:t xml:space="preserve"> </w:t>
      </w:r>
      <w:r w:rsidR="00C12356" w:rsidRPr="000B0EF6">
        <w:rPr>
          <w:rFonts w:ascii="Palatino Linotype" w:hAnsi="Palatino Linotype" w:cs="Arial"/>
        </w:rPr>
        <w:t>de septiembre</w:t>
      </w:r>
      <w:r w:rsidRPr="000B0EF6">
        <w:rPr>
          <w:rFonts w:ascii="Palatino Linotype" w:hAnsi="Palatino Linotype" w:cs="Arial"/>
        </w:rPr>
        <w:t xml:space="preserve"> de dos mil veintiuno, atento a lo dispuesto en el artículo 185, fracciones I, II y IV, de la </w:t>
      </w:r>
      <w:r w:rsidRPr="000B0EF6">
        <w:rPr>
          <w:rFonts w:ascii="Palatino Linotype" w:hAnsi="Palatino Linotype"/>
        </w:rPr>
        <w:t xml:space="preserve">Ley de Transparencia y Acceso a la Información Pública del </w:t>
      </w:r>
      <w:r w:rsidRPr="000B0EF6">
        <w:rPr>
          <w:rFonts w:ascii="Palatino Linotype" w:hAnsi="Palatino Linotype" w:cs="Arial"/>
        </w:rPr>
        <w:t>Estado</w:t>
      </w:r>
      <w:r w:rsidRPr="000B0EF6">
        <w:rPr>
          <w:rFonts w:ascii="Palatino Linotype" w:hAnsi="Palatino Linotype"/>
        </w:rPr>
        <w:t xml:space="preserve"> de México y </w:t>
      </w:r>
      <w:r w:rsidRPr="000B0EF6">
        <w:rPr>
          <w:rFonts w:ascii="Palatino Linotype" w:hAnsi="Palatino Linotype" w:cs="Arial"/>
          <w:lang w:val="es-ES_tradnl"/>
        </w:rPr>
        <w:t>Municipios</w:t>
      </w:r>
      <w:r w:rsidRPr="000B0EF6">
        <w:rPr>
          <w:rFonts w:ascii="Palatino Linotype" w:hAnsi="Palatino Linotype"/>
        </w:rPr>
        <w:t>, se a</w:t>
      </w:r>
      <w:r w:rsidRPr="000B0EF6">
        <w:rPr>
          <w:rFonts w:ascii="Palatino Linotype" w:hAnsi="Palatino Linotype" w:cs="Arial"/>
        </w:rPr>
        <w:t xml:space="preserve">cordó la admisión a trámite del referido recurso de </w:t>
      </w:r>
      <w:r w:rsidRPr="000B0EF6">
        <w:rPr>
          <w:rFonts w:ascii="Palatino Linotype" w:hAnsi="Palatino Linotype" w:cs="Arial"/>
          <w:lang w:val="es-ES_tradnl"/>
        </w:rPr>
        <w:t>revisión;</w:t>
      </w:r>
      <w:r w:rsidRPr="000B0EF6">
        <w:rPr>
          <w:rFonts w:ascii="Palatino Linotype" w:hAnsi="Palatino Linotype" w:cs="Arial"/>
        </w:rPr>
        <w:t xml:space="preserve"> así como, la </w:t>
      </w:r>
      <w:r w:rsidRPr="000B0EF6">
        <w:rPr>
          <w:rFonts w:ascii="Palatino Linotype" w:hAnsi="Palatino Linotype" w:cs="Arial"/>
          <w:lang w:val="es-ES_tradnl"/>
        </w:rPr>
        <w:t>integración</w:t>
      </w:r>
      <w:r w:rsidRPr="000B0EF6">
        <w:rPr>
          <w:rFonts w:ascii="Palatino Linotype" w:hAnsi="Palatino Linotype" w:cs="Arial"/>
        </w:rPr>
        <w:t xml:space="preserve"> del expediente respectivo, mismo que se puso a disposición de las partes, para que en el plazo máximo de siete días hábiles, </w:t>
      </w:r>
      <w:r w:rsidRPr="000B0EF6">
        <w:rPr>
          <w:rFonts w:ascii="Palatino Linotype" w:hAnsi="Palatino Linotype" w:cs="Arial"/>
          <w:b/>
        </w:rPr>
        <w:t xml:space="preserve">EL RECURRENTE </w:t>
      </w:r>
      <w:r w:rsidRPr="000B0EF6">
        <w:rPr>
          <w:rFonts w:ascii="Palatino Linotype" w:hAnsi="Palatino Linotype" w:cs="Arial"/>
        </w:rPr>
        <w:t xml:space="preserve"> realizara manifestaciones, alegatos y ofreciera las pruebas que a su derecho </w:t>
      </w:r>
      <w:r w:rsidRPr="000B0EF6">
        <w:rPr>
          <w:rFonts w:ascii="Palatino Linotype" w:hAnsi="Palatino Linotype" w:cs="Arial"/>
          <w:lang w:val="es-ES_tradnl"/>
        </w:rPr>
        <w:t>conviniera</w:t>
      </w:r>
      <w:r w:rsidRPr="000B0EF6">
        <w:rPr>
          <w:rFonts w:ascii="Palatino Linotype" w:hAnsi="Palatino Linotype" w:cs="Arial"/>
        </w:rPr>
        <w:t xml:space="preserve"> y, en el caso del</w:t>
      </w:r>
      <w:r w:rsidRPr="000B0EF6">
        <w:rPr>
          <w:rFonts w:ascii="Palatino Linotype" w:hAnsi="Palatino Linotype" w:cs="Arial"/>
          <w:b/>
        </w:rPr>
        <w:t xml:space="preserve"> SUJETO OBLIGADO</w:t>
      </w:r>
      <w:r w:rsidRPr="000B0EF6">
        <w:rPr>
          <w:rFonts w:ascii="Palatino Linotype" w:hAnsi="Palatino Linotype" w:cs="Arial"/>
        </w:rPr>
        <w:t>, para que exhibiera el Informe Justificado correspondiente.</w:t>
      </w:r>
    </w:p>
    <w:p w14:paraId="7471AD4E" w14:textId="07971324" w:rsidR="00542307" w:rsidRPr="000B0EF6" w:rsidRDefault="00952193" w:rsidP="00944F6A">
      <w:pPr>
        <w:pStyle w:val="Prrafodelista"/>
        <w:spacing w:before="240" w:after="240" w:line="360" w:lineRule="auto"/>
        <w:ind w:left="0"/>
        <w:jc w:val="both"/>
        <w:rPr>
          <w:rFonts w:ascii="Palatino Linotype" w:hAnsi="Palatino Linotype" w:cs="Arial"/>
        </w:rPr>
      </w:pPr>
      <w:r w:rsidRPr="000B0EF6">
        <w:rPr>
          <w:rFonts w:ascii="Palatino Linotype" w:hAnsi="Palatino Linotype" w:cs="Arial"/>
          <w:b/>
          <w:sz w:val="28"/>
          <w:szCs w:val="28"/>
        </w:rPr>
        <w:lastRenderedPageBreak/>
        <w:t>V</w:t>
      </w:r>
      <w:r w:rsidR="00BF649F" w:rsidRPr="000B0EF6">
        <w:rPr>
          <w:rFonts w:ascii="Palatino Linotype" w:hAnsi="Palatino Linotype" w:cs="Arial"/>
          <w:b/>
          <w:sz w:val="28"/>
          <w:szCs w:val="28"/>
        </w:rPr>
        <w:t>I</w:t>
      </w:r>
      <w:r w:rsidR="004E44D1" w:rsidRPr="000B0EF6">
        <w:rPr>
          <w:rFonts w:ascii="Palatino Linotype" w:hAnsi="Palatino Linotype" w:cs="Arial"/>
          <w:b/>
          <w:sz w:val="28"/>
          <w:szCs w:val="28"/>
        </w:rPr>
        <w:t>I</w:t>
      </w:r>
      <w:r w:rsidRPr="000B0EF6">
        <w:rPr>
          <w:rFonts w:ascii="Palatino Linotype" w:hAnsi="Palatino Linotype" w:cs="Arial"/>
          <w:b/>
          <w:sz w:val="28"/>
          <w:szCs w:val="28"/>
        </w:rPr>
        <w:t>.</w:t>
      </w:r>
      <w:r w:rsidRPr="000B0EF6">
        <w:rPr>
          <w:rFonts w:ascii="Palatino Linotype" w:hAnsi="Palatino Linotype" w:cs="Arial"/>
        </w:rPr>
        <w:t xml:space="preserve"> De las constancias que obran en el </w:t>
      </w:r>
      <w:r w:rsidRPr="000B0EF6">
        <w:rPr>
          <w:rFonts w:ascii="Palatino Linotype" w:hAnsi="Palatino Linotype" w:cs="Arial"/>
          <w:b/>
        </w:rPr>
        <w:t>SAIMEX</w:t>
      </w:r>
      <w:r w:rsidRPr="000B0EF6">
        <w:rPr>
          <w:rFonts w:ascii="Palatino Linotype" w:hAnsi="Palatino Linotype" w:cs="Arial"/>
        </w:rPr>
        <w:t>, se desprende que</w:t>
      </w:r>
      <w:r w:rsidR="00944F6A" w:rsidRPr="000B0EF6">
        <w:rPr>
          <w:rFonts w:ascii="Palatino Linotype" w:hAnsi="Palatino Linotype" w:cs="Arial"/>
        </w:rPr>
        <w:t xml:space="preserve"> tanto </w:t>
      </w:r>
      <w:r w:rsidRPr="000B0EF6">
        <w:rPr>
          <w:rFonts w:ascii="Palatino Linotype" w:hAnsi="Palatino Linotype" w:cs="Arial"/>
        </w:rPr>
        <w:t xml:space="preserve"> </w:t>
      </w:r>
      <w:r w:rsidRPr="000B0EF6">
        <w:rPr>
          <w:rFonts w:ascii="Palatino Linotype" w:hAnsi="Palatino Linotype" w:cs="Arial"/>
          <w:b/>
        </w:rPr>
        <w:t xml:space="preserve">EL SUJETO OBLIGADO </w:t>
      </w:r>
      <w:r w:rsidR="00944F6A" w:rsidRPr="000B0EF6">
        <w:rPr>
          <w:rFonts w:ascii="Palatino Linotype" w:hAnsi="Palatino Linotype" w:cs="Arial"/>
        </w:rPr>
        <w:t xml:space="preserve">como </w:t>
      </w:r>
      <w:r w:rsidR="00944F6A" w:rsidRPr="000B0EF6">
        <w:rPr>
          <w:rFonts w:ascii="Palatino Linotype" w:hAnsi="Palatino Linotype" w:cs="Arial"/>
          <w:b/>
        </w:rPr>
        <w:t>EL RECURRENTE</w:t>
      </w:r>
      <w:r w:rsidR="00944F6A" w:rsidRPr="000B0EF6">
        <w:rPr>
          <w:rFonts w:ascii="Palatino Linotype" w:hAnsi="Palatino Linotype" w:cs="Arial"/>
        </w:rPr>
        <w:t xml:space="preserve"> </w:t>
      </w:r>
      <w:r w:rsidR="00CA0A25" w:rsidRPr="000B0EF6">
        <w:rPr>
          <w:rFonts w:ascii="Palatino Linotype" w:hAnsi="Palatino Linotype" w:cs="Arial"/>
        </w:rPr>
        <w:t>el Informe Justificado ni</w:t>
      </w:r>
      <w:r w:rsidR="00944F6A" w:rsidRPr="000B0EF6">
        <w:rPr>
          <w:rFonts w:ascii="Palatino Linotype" w:hAnsi="Palatino Linotype" w:cs="Arial"/>
        </w:rPr>
        <w:t xml:space="preserve"> las manifestaciones respectivamente. </w:t>
      </w:r>
    </w:p>
    <w:p w14:paraId="25CE20A4" w14:textId="17CA17B0" w:rsidR="004F218B" w:rsidRPr="000B0EF6" w:rsidRDefault="00EA3177" w:rsidP="00542307">
      <w:pPr>
        <w:pStyle w:val="Prrafodelista"/>
        <w:spacing w:before="240" w:after="240" w:line="360" w:lineRule="auto"/>
        <w:ind w:left="0"/>
        <w:jc w:val="both"/>
        <w:rPr>
          <w:rFonts w:ascii="Palatino Linotype" w:hAnsi="Palatino Linotype"/>
        </w:rPr>
      </w:pPr>
      <w:r w:rsidRPr="000B0EF6">
        <w:rPr>
          <w:rFonts w:ascii="Palatino Linotype" w:hAnsi="Palatino Linotype" w:cs="Arial"/>
          <w:b/>
          <w:sz w:val="28"/>
          <w:szCs w:val="28"/>
        </w:rPr>
        <w:t>V</w:t>
      </w:r>
      <w:r w:rsidR="00542307" w:rsidRPr="000B0EF6">
        <w:rPr>
          <w:rFonts w:ascii="Palatino Linotype" w:hAnsi="Palatino Linotype" w:cs="Arial"/>
          <w:b/>
          <w:sz w:val="28"/>
          <w:szCs w:val="28"/>
        </w:rPr>
        <w:t>I</w:t>
      </w:r>
      <w:r w:rsidRPr="000B0EF6">
        <w:rPr>
          <w:rFonts w:ascii="Palatino Linotype" w:hAnsi="Palatino Linotype" w:cs="Arial"/>
          <w:b/>
          <w:sz w:val="28"/>
          <w:szCs w:val="28"/>
        </w:rPr>
        <w:t>I</w:t>
      </w:r>
      <w:r w:rsidR="00BE222C" w:rsidRPr="000B0EF6">
        <w:rPr>
          <w:rFonts w:ascii="Palatino Linotype" w:hAnsi="Palatino Linotype" w:cs="Arial"/>
          <w:b/>
          <w:sz w:val="28"/>
          <w:szCs w:val="28"/>
        </w:rPr>
        <w:t>I</w:t>
      </w:r>
      <w:r w:rsidRPr="000B0EF6">
        <w:rPr>
          <w:rFonts w:ascii="Palatino Linotype" w:hAnsi="Palatino Linotype" w:cs="Arial"/>
          <w:b/>
          <w:sz w:val="28"/>
          <w:szCs w:val="28"/>
        </w:rPr>
        <w:t>.</w:t>
      </w:r>
      <w:r w:rsidRPr="000B0EF6">
        <w:rPr>
          <w:rFonts w:ascii="Palatino Linotype" w:hAnsi="Palatino Linotype" w:cs="Arial"/>
        </w:rPr>
        <w:t xml:space="preserve"> Una vez </w:t>
      </w:r>
      <w:r w:rsidRPr="000B0EF6">
        <w:rPr>
          <w:rFonts w:ascii="Palatino Linotype" w:hAnsi="Palatino Linotype" w:cs="Arial"/>
          <w:color w:val="000000" w:themeColor="text1"/>
        </w:rPr>
        <w:t>analizado</w:t>
      </w:r>
      <w:r w:rsidRPr="000B0EF6">
        <w:rPr>
          <w:rFonts w:ascii="Palatino Linotype" w:hAnsi="Palatino Linotype" w:cs="Arial"/>
        </w:rPr>
        <w:t xml:space="preserve"> el estado pro</w:t>
      </w:r>
      <w:r w:rsidR="000624D8" w:rsidRPr="000B0EF6">
        <w:rPr>
          <w:rFonts w:ascii="Palatino Linotype" w:hAnsi="Palatino Linotype" w:cs="Arial"/>
        </w:rPr>
        <w:t>cesal que guarda</w:t>
      </w:r>
      <w:r w:rsidRPr="000B0EF6">
        <w:rPr>
          <w:rFonts w:ascii="Palatino Linotype" w:hAnsi="Palatino Linotype" w:cs="Arial"/>
        </w:rPr>
        <w:t xml:space="preserve"> el expediente, </w:t>
      </w:r>
      <w:r w:rsidR="00BE222C" w:rsidRPr="000B0EF6">
        <w:rPr>
          <w:rFonts w:ascii="Palatino Linotype" w:hAnsi="Palatino Linotype" w:cs="Arial"/>
        </w:rPr>
        <w:t xml:space="preserve">el </w:t>
      </w:r>
      <w:r w:rsidR="00944F6A" w:rsidRPr="000B0EF6">
        <w:rPr>
          <w:rFonts w:ascii="Palatino Linotype" w:hAnsi="Palatino Linotype" w:cs="Arial"/>
        </w:rPr>
        <w:t>veinti</w:t>
      </w:r>
      <w:r w:rsidR="00CE1E94" w:rsidRPr="000B0EF6">
        <w:rPr>
          <w:rFonts w:ascii="Palatino Linotype" w:hAnsi="Palatino Linotype" w:cs="Arial"/>
        </w:rPr>
        <w:t xml:space="preserve">cuatro </w:t>
      </w:r>
      <w:r w:rsidR="00944F6A" w:rsidRPr="000B0EF6">
        <w:rPr>
          <w:rFonts w:ascii="Palatino Linotype" w:hAnsi="Palatino Linotype" w:cs="Arial"/>
        </w:rPr>
        <w:t>de septiembre</w:t>
      </w:r>
      <w:r w:rsidR="002A4368" w:rsidRPr="000B0EF6">
        <w:rPr>
          <w:rFonts w:ascii="Palatino Linotype" w:hAnsi="Palatino Linotype" w:cs="Arial"/>
        </w:rPr>
        <w:t xml:space="preserve"> </w:t>
      </w:r>
      <w:r w:rsidRPr="000B0EF6">
        <w:rPr>
          <w:rFonts w:ascii="Palatino Linotype" w:hAnsi="Palatino Linotype" w:cs="Arial"/>
        </w:rPr>
        <w:t xml:space="preserve">de dos mil veintiuno, la Comisionada </w:t>
      </w:r>
      <w:r w:rsidR="008E0F96" w:rsidRPr="000B0EF6">
        <w:rPr>
          <w:rFonts w:ascii="Palatino Linotype" w:hAnsi="Palatino Linotype" w:cs="Arial"/>
        </w:rPr>
        <w:t xml:space="preserve">Ponente </w:t>
      </w:r>
      <w:r w:rsidRPr="000B0EF6">
        <w:rPr>
          <w:rFonts w:ascii="Palatino Linotype" w:hAnsi="Palatino Linotype" w:cs="Arial"/>
        </w:rPr>
        <w:t xml:space="preserve">acordó el cierre de instrucción; así </w:t>
      </w:r>
      <w:r w:rsidRPr="000B0EF6">
        <w:rPr>
          <w:rFonts w:ascii="Palatino Linotype" w:hAnsi="Palatino Linotype" w:cs="Arial"/>
          <w:lang w:val="es-ES_tradnl"/>
        </w:rPr>
        <w:t>como,</w:t>
      </w:r>
      <w:r w:rsidRPr="000B0EF6">
        <w:rPr>
          <w:rFonts w:ascii="Palatino Linotype" w:hAnsi="Palatino Linotype" w:cs="Arial"/>
        </w:rPr>
        <w:t xml:space="preserve"> la remisión del mismo a efecto </w:t>
      </w:r>
      <w:r w:rsidRPr="000B0EF6">
        <w:rPr>
          <w:rFonts w:ascii="Palatino Linotype" w:hAnsi="Palatino Linotype" w:cs="Arial"/>
          <w:lang w:val="es-ES_tradnl"/>
        </w:rPr>
        <w:t>de</w:t>
      </w:r>
      <w:r w:rsidRPr="000B0EF6">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4F218B" w:rsidRPr="000B0EF6">
        <w:rPr>
          <w:rFonts w:ascii="Palatino Linotype" w:hAnsi="Palatino Linotype"/>
        </w:rPr>
        <w:t xml:space="preserve">. </w:t>
      </w:r>
    </w:p>
    <w:p w14:paraId="16DC2D7F" w14:textId="0DDA22FC" w:rsidR="004F218B" w:rsidRPr="000B0EF6" w:rsidRDefault="004F218B" w:rsidP="004F218B">
      <w:pPr>
        <w:pStyle w:val="Prrafodelista"/>
        <w:spacing w:before="240" w:after="240" w:line="360" w:lineRule="auto"/>
        <w:ind w:left="0"/>
        <w:jc w:val="both"/>
        <w:rPr>
          <w:rFonts w:ascii="Palatino Linotype" w:hAnsi="Palatino Linotype"/>
        </w:rPr>
      </w:pPr>
      <w:r w:rsidRPr="000B0EF6">
        <w:rPr>
          <w:rFonts w:ascii="Palatino Linotype" w:hAnsi="Palatino Linotype" w:cs="Arial"/>
          <w:b/>
          <w:sz w:val="28"/>
          <w:szCs w:val="28"/>
        </w:rPr>
        <w:t xml:space="preserve">IX. </w:t>
      </w:r>
      <w:r w:rsidRPr="000B0EF6">
        <w:rPr>
          <w:rFonts w:ascii="Palatino Linotype" w:hAnsi="Palatino Linotype"/>
        </w:rPr>
        <w:t>En fecha quince de octubre de dos mil veintiuno, se notificó el acuerdo de ampliación de plazo para resolver el presente Recurso de Revisión, previsto en el artículo 181, tercer párrafo de la Ley de Transparencia y Acceso a la Información Pública del Estado de México y Municipios; y,</w:t>
      </w:r>
    </w:p>
    <w:p w14:paraId="3DFC65DA" w14:textId="77777777" w:rsidR="004F218B" w:rsidRPr="000B0EF6" w:rsidRDefault="004F218B" w:rsidP="00542307">
      <w:pPr>
        <w:pStyle w:val="Prrafodelista"/>
        <w:spacing w:before="240" w:after="240" w:line="360" w:lineRule="auto"/>
        <w:ind w:left="0"/>
        <w:jc w:val="both"/>
        <w:rPr>
          <w:rFonts w:ascii="Palatino Linotype" w:hAnsi="Palatino Linotype"/>
        </w:rPr>
      </w:pPr>
    </w:p>
    <w:p w14:paraId="61F714E9" w14:textId="64CF0DAE" w:rsidR="00EA3177" w:rsidRPr="000B0EF6" w:rsidRDefault="00EA3177" w:rsidP="00542307">
      <w:pPr>
        <w:pStyle w:val="Prrafodelista"/>
        <w:spacing w:before="240" w:after="240" w:line="360" w:lineRule="auto"/>
        <w:ind w:left="0"/>
        <w:jc w:val="center"/>
        <w:rPr>
          <w:rFonts w:ascii="Palatino Linotype" w:hAnsi="Palatino Linotype"/>
        </w:rPr>
      </w:pPr>
      <w:r w:rsidRPr="000B0EF6">
        <w:rPr>
          <w:rFonts w:ascii="Palatino Linotype" w:hAnsi="Palatino Linotype"/>
          <w:b/>
          <w:bCs/>
          <w:spacing w:val="60"/>
          <w:sz w:val="28"/>
        </w:rPr>
        <w:t>CONSIDERANDO</w:t>
      </w:r>
    </w:p>
    <w:p w14:paraId="5EEA210F" w14:textId="77777777" w:rsidR="00EA3177" w:rsidRPr="000B0EF6"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0B0EF6">
        <w:rPr>
          <w:rFonts w:ascii="Palatino Linotype" w:hAnsi="Palatino Linotype"/>
          <w:b/>
          <w:sz w:val="28"/>
          <w:szCs w:val="28"/>
        </w:rPr>
        <w:t>PRIMERO</w:t>
      </w:r>
      <w:r w:rsidRPr="000B0EF6">
        <w:rPr>
          <w:rFonts w:ascii="Palatino Linotype" w:hAnsi="Palatino Linotype"/>
          <w:b/>
        </w:rPr>
        <w:t>. Competencia</w:t>
      </w:r>
      <w:r w:rsidRPr="000B0EF6">
        <w:rPr>
          <w:rFonts w:ascii="Palatino Linotype" w:hAnsi="Palatino Linotype"/>
        </w:rPr>
        <w:t>.</w:t>
      </w:r>
      <w:r w:rsidRPr="000B0EF6">
        <w:rPr>
          <w:rFonts w:ascii="Palatino Linotype" w:hAnsi="Palatino Linotype"/>
          <w:b/>
        </w:rPr>
        <w:t xml:space="preserve"> </w:t>
      </w:r>
      <w:r w:rsidRPr="000B0EF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w:t>
      </w:r>
      <w:r w:rsidRPr="000B0EF6">
        <w:rPr>
          <w:rFonts w:ascii="Palatino Linotype" w:hAnsi="Palatino Linotype"/>
        </w:rPr>
        <w:lastRenderedPageBreak/>
        <w:t>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703244C" w14:textId="183E36A3" w:rsidR="00EA3177" w:rsidRPr="000B0EF6"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0B0EF6">
        <w:rPr>
          <w:rFonts w:ascii="Palatino Linotype" w:hAnsi="Palatino Linotype"/>
        </w:rPr>
        <w:t>Aunado a lo anterior, este Órgano Garante estima pertinente realizar un pronunciamiento ya que cons</w:t>
      </w:r>
      <w:r w:rsidR="007F1FD7" w:rsidRPr="000B0EF6">
        <w:rPr>
          <w:rFonts w:ascii="Palatino Linotype" w:hAnsi="Palatino Linotype"/>
        </w:rPr>
        <w:t>c</w:t>
      </w:r>
      <w:r w:rsidRPr="000B0EF6">
        <w:rPr>
          <w:rFonts w:ascii="Palatino Linotype" w:hAnsi="Palatino Linotype"/>
        </w:rPr>
        <w:t>ientes de la situación que se vive en la actualidad a fin de otorgarle a los ciudadanos herramientas ágiles y accesibles para el ejercicio de los derechos humanos que se tutelan,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E946E5F" w14:textId="77777777" w:rsidR="00EA3177" w:rsidRPr="000B0EF6"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0B0EF6">
        <w:rPr>
          <w:rFonts w:ascii="Palatino Linotype" w:hAnsi="Palatino Linotype" w:cs="Arial"/>
          <w:b/>
          <w:sz w:val="28"/>
          <w:szCs w:val="28"/>
        </w:rPr>
        <w:t>SEGUNDO</w:t>
      </w:r>
      <w:r w:rsidRPr="000B0EF6">
        <w:rPr>
          <w:rFonts w:ascii="Palatino Linotype" w:hAnsi="Palatino Linotype" w:cs="Arial"/>
          <w:b/>
        </w:rPr>
        <w:t>. Interés.</w:t>
      </w:r>
      <w:r w:rsidRPr="000B0EF6">
        <w:rPr>
          <w:rFonts w:ascii="Palatino Linotype" w:hAnsi="Palatino Linotype" w:cs="Arial"/>
        </w:rPr>
        <w:t xml:space="preserve"> El </w:t>
      </w:r>
      <w:r w:rsidRPr="000B0EF6">
        <w:rPr>
          <w:rFonts w:ascii="Palatino Linotype" w:hAnsi="Palatino Linotype"/>
        </w:rPr>
        <w:t>recurso</w:t>
      </w:r>
      <w:r w:rsidRPr="000B0EF6">
        <w:rPr>
          <w:rFonts w:ascii="Palatino Linotype" w:hAnsi="Palatino Linotype" w:cs="Arial"/>
        </w:rPr>
        <w:t xml:space="preserve"> de revisión fue </w:t>
      </w:r>
      <w:r w:rsidRPr="000B0EF6">
        <w:rPr>
          <w:rFonts w:ascii="Palatino Linotype" w:hAnsi="Palatino Linotype"/>
        </w:rPr>
        <w:t>interpuesto</w:t>
      </w:r>
      <w:r w:rsidRPr="000B0EF6">
        <w:rPr>
          <w:rFonts w:ascii="Palatino Linotype" w:hAnsi="Palatino Linotype" w:cs="Arial"/>
        </w:rPr>
        <w:t xml:space="preserve"> por parte legítima en atención a que fue </w:t>
      </w:r>
      <w:r w:rsidRPr="000B0EF6">
        <w:rPr>
          <w:rFonts w:ascii="Palatino Linotype" w:hAnsi="Palatino Linotype"/>
        </w:rPr>
        <w:t>presentado</w:t>
      </w:r>
      <w:r w:rsidRPr="000B0EF6">
        <w:rPr>
          <w:rFonts w:ascii="Palatino Linotype" w:hAnsi="Palatino Linotype" w:cs="Arial"/>
        </w:rPr>
        <w:t xml:space="preserve"> por </w:t>
      </w:r>
      <w:r w:rsidRPr="000B0EF6">
        <w:rPr>
          <w:rFonts w:ascii="Palatino Linotype" w:hAnsi="Palatino Linotype" w:cs="Arial"/>
          <w:b/>
        </w:rPr>
        <w:t>EL RECURRENTE</w:t>
      </w:r>
      <w:r w:rsidRPr="000B0EF6">
        <w:rPr>
          <w:rFonts w:ascii="Palatino Linotype" w:hAnsi="Palatino Linotype" w:cs="Arial"/>
          <w:snapToGrid w:val="0"/>
        </w:rPr>
        <w:t xml:space="preserve">, </w:t>
      </w:r>
      <w:r w:rsidRPr="000B0EF6">
        <w:rPr>
          <w:rFonts w:ascii="Palatino Linotype" w:hAnsi="Palatino Linotype" w:cs="Arial"/>
        </w:rPr>
        <w:t>quien</w:t>
      </w:r>
      <w:r w:rsidRPr="000B0EF6">
        <w:rPr>
          <w:rFonts w:ascii="Palatino Linotype" w:hAnsi="Palatino Linotype" w:cs="Arial"/>
          <w:snapToGrid w:val="0"/>
        </w:rPr>
        <w:t xml:space="preserve"> </w:t>
      </w:r>
      <w:r w:rsidRPr="000B0EF6">
        <w:rPr>
          <w:rFonts w:ascii="Palatino Linotype" w:hAnsi="Palatino Linotype"/>
        </w:rPr>
        <w:t>formuló</w:t>
      </w:r>
      <w:r w:rsidRPr="000B0EF6">
        <w:rPr>
          <w:rFonts w:ascii="Palatino Linotype" w:hAnsi="Palatino Linotype" w:cs="Arial"/>
          <w:snapToGrid w:val="0"/>
        </w:rPr>
        <w:t xml:space="preserve"> la </w:t>
      </w:r>
      <w:r w:rsidRPr="000B0EF6">
        <w:rPr>
          <w:rFonts w:ascii="Palatino Linotype" w:hAnsi="Palatino Linotype" w:cs="Arial"/>
        </w:rPr>
        <w:t>solicitud</w:t>
      </w:r>
      <w:r w:rsidRPr="000B0EF6">
        <w:rPr>
          <w:rFonts w:ascii="Palatino Linotype" w:hAnsi="Palatino Linotype" w:cs="Arial"/>
          <w:snapToGrid w:val="0"/>
        </w:rPr>
        <w:t xml:space="preserve"> de información pública.</w:t>
      </w:r>
    </w:p>
    <w:p w14:paraId="62013E9F" w14:textId="71951F43" w:rsidR="00EA3177" w:rsidRPr="000B0EF6" w:rsidRDefault="00EA3177" w:rsidP="00EA3177">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0B0EF6">
        <w:rPr>
          <w:rFonts w:ascii="Palatino Linotype" w:hAnsi="Palatino Linotype" w:cs="Arial"/>
          <w:b/>
          <w:sz w:val="28"/>
          <w:szCs w:val="28"/>
        </w:rPr>
        <w:t>TERCERO</w:t>
      </w:r>
      <w:r w:rsidRPr="000B0EF6">
        <w:rPr>
          <w:rFonts w:ascii="Palatino Linotype" w:hAnsi="Palatino Linotype" w:cs="Arial"/>
          <w:b/>
        </w:rPr>
        <w:t xml:space="preserve">. Oportunidad. </w:t>
      </w:r>
      <w:r w:rsidRPr="000B0EF6">
        <w:rPr>
          <w:rFonts w:ascii="Palatino Linotype" w:hAnsi="Palatino Linotype" w:cs="Arial"/>
        </w:rPr>
        <w:t xml:space="preserve">El recurso de revisión fue interpuesto dentro del plazo de quince días hábiles, contados a partir del día siguiente al que </w:t>
      </w:r>
      <w:r w:rsidRPr="000B0EF6">
        <w:rPr>
          <w:rFonts w:ascii="Palatino Linotype" w:hAnsi="Palatino Linotype" w:cs="Arial"/>
          <w:b/>
        </w:rPr>
        <w:t xml:space="preserve">EL RECURRENTE </w:t>
      </w:r>
      <w:r w:rsidRPr="000B0EF6">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4CC54DE" w14:textId="77777777" w:rsidR="00EA3177" w:rsidRPr="000B0EF6" w:rsidRDefault="00EA3177" w:rsidP="00F16A52">
      <w:pPr>
        <w:ind w:left="720" w:right="709"/>
        <w:contextualSpacing/>
        <w:jc w:val="both"/>
        <w:rPr>
          <w:rFonts w:ascii="Palatino Linotype" w:hAnsi="Palatino Linotype" w:cs="Arial"/>
          <w:i/>
          <w:sz w:val="22"/>
        </w:rPr>
      </w:pPr>
      <w:r w:rsidRPr="000B0EF6">
        <w:rPr>
          <w:rFonts w:ascii="Palatino Linotype" w:hAnsi="Palatino Linotype" w:cs="Arial"/>
          <w:i/>
          <w:sz w:val="22"/>
        </w:rPr>
        <w:t>“</w:t>
      </w:r>
      <w:r w:rsidRPr="000B0EF6">
        <w:rPr>
          <w:rFonts w:ascii="Palatino Linotype" w:hAnsi="Palatino Linotype" w:cs="Arial"/>
          <w:b/>
          <w:i/>
          <w:sz w:val="22"/>
        </w:rPr>
        <w:t>Artículo 178.</w:t>
      </w:r>
      <w:r w:rsidRPr="000B0EF6">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DE0B333" w14:textId="77777777" w:rsidR="00EA3177" w:rsidRPr="000B0EF6" w:rsidRDefault="00EA3177" w:rsidP="00F16A52">
      <w:pPr>
        <w:ind w:left="720" w:right="709"/>
        <w:contextualSpacing/>
        <w:jc w:val="both"/>
        <w:rPr>
          <w:rFonts w:ascii="Palatino Linotype" w:hAnsi="Palatino Linotype" w:cs="Arial"/>
          <w:i/>
          <w:sz w:val="22"/>
        </w:rPr>
      </w:pPr>
    </w:p>
    <w:p w14:paraId="4EC3A7A3" w14:textId="4BB43718" w:rsidR="00EA3177" w:rsidRPr="000B0EF6" w:rsidRDefault="00EA3177" w:rsidP="00F16A52">
      <w:pPr>
        <w:ind w:left="720" w:right="709"/>
        <w:contextualSpacing/>
        <w:jc w:val="both"/>
        <w:rPr>
          <w:rFonts w:ascii="Palatino Linotype" w:hAnsi="Palatino Linotype" w:cs="Arial"/>
          <w:i/>
          <w:sz w:val="22"/>
        </w:rPr>
      </w:pPr>
      <w:r w:rsidRPr="000B0EF6">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BB269BC" w14:textId="77777777" w:rsidR="00F16A52" w:rsidRPr="000B0EF6" w:rsidRDefault="00F16A52" w:rsidP="00F16A52">
      <w:pPr>
        <w:ind w:left="720" w:right="709"/>
        <w:contextualSpacing/>
        <w:jc w:val="both"/>
        <w:rPr>
          <w:rFonts w:ascii="Palatino Linotype" w:hAnsi="Palatino Linotype" w:cs="Arial"/>
          <w:i/>
          <w:sz w:val="22"/>
        </w:rPr>
      </w:pPr>
    </w:p>
    <w:p w14:paraId="4302ED43" w14:textId="77777777" w:rsidR="00EA3177" w:rsidRPr="000B0EF6" w:rsidRDefault="00EA3177" w:rsidP="00F16A52">
      <w:pPr>
        <w:ind w:left="720" w:right="709"/>
        <w:jc w:val="both"/>
        <w:rPr>
          <w:rFonts w:ascii="Palatino Linotype" w:hAnsi="Palatino Linotype" w:cs="Arial"/>
          <w:i/>
          <w:sz w:val="22"/>
        </w:rPr>
      </w:pPr>
      <w:r w:rsidRPr="000B0EF6">
        <w:rPr>
          <w:rFonts w:ascii="Palatino Linotype" w:hAnsi="Palatino Linotype" w:cs="Arial"/>
          <w:i/>
          <w:sz w:val="22"/>
        </w:rPr>
        <w:t xml:space="preserve">En el caso de que se interponga ante la Unidad de Transparencia, ésta deberá remitir el recurso de revisión al Instituto a más tardar al día </w:t>
      </w:r>
      <w:r w:rsidRPr="000B0EF6">
        <w:rPr>
          <w:rFonts w:ascii="Palatino Linotype" w:hAnsi="Palatino Linotype" w:cs="Arial"/>
          <w:i/>
          <w:sz w:val="22"/>
          <w:lang w:eastAsia="es-MX"/>
        </w:rPr>
        <w:t>siguiente</w:t>
      </w:r>
      <w:r w:rsidRPr="000B0EF6">
        <w:rPr>
          <w:rFonts w:ascii="Palatino Linotype" w:hAnsi="Palatino Linotype" w:cs="Arial"/>
          <w:i/>
          <w:sz w:val="22"/>
        </w:rPr>
        <w:t xml:space="preserve"> de haberlo recibido.” (Sic)</w:t>
      </w:r>
    </w:p>
    <w:p w14:paraId="6254EB6B" w14:textId="546E7348" w:rsidR="00EA3177" w:rsidRPr="000B0EF6" w:rsidRDefault="00EA3177" w:rsidP="00EA3177">
      <w:pPr>
        <w:spacing w:before="240" w:after="100" w:afterAutospacing="1" w:line="360" w:lineRule="auto"/>
        <w:jc w:val="both"/>
        <w:rPr>
          <w:rFonts w:ascii="Palatino Linotype" w:hAnsi="Palatino Linotype" w:cs="Arial"/>
          <w:b/>
        </w:rPr>
      </w:pPr>
      <w:r w:rsidRPr="000B0EF6">
        <w:rPr>
          <w:rFonts w:ascii="Palatino Linotype" w:hAnsi="Palatino Linotype" w:cs="Arial"/>
        </w:rPr>
        <w:t xml:space="preserve">En esa tesitura, atendiendo a que </w:t>
      </w:r>
      <w:r w:rsidRPr="000B0EF6">
        <w:rPr>
          <w:rFonts w:ascii="Palatino Linotype" w:hAnsi="Palatino Linotype" w:cs="Arial"/>
          <w:b/>
        </w:rPr>
        <w:t>EL SUJETO OBLIGADO</w:t>
      </w:r>
      <w:r w:rsidRPr="000B0EF6">
        <w:rPr>
          <w:rFonts w:ascii="Palatino Linotype" w:hAnsi="Palatino Linotype" w:cs="Arial"/>
        </w:rPr>
        <w:t xml:space="preserve"> notificó la respuesta a la solicitud de acceso a la información pública el día</w:t>
      </w:r>
      <w:r w:rsidRPr="000B0EF6">
        <w:rPr>
          <w:rFonts w:ascii="Palatino Linotype" w:hAnsi="Palatino Linotype" w:cs="Arial"/>
          <w:b/>
        </w:rPr>
        <w:t xml:space="preserve"> </w:t>
      </w:r>
      <w:r w:rsidR="00944F6A" w:rsidRPr="000B0EF6">
        <w:rPr>
          <w:rFonts w:ascii="Palatino Linotype" w:hAnsi="Palatino Linotype" w:cs="Arial"/>
          <w:b/>
        </w:rPr>
        <w:t>veinticuatro de agosto</w:t>
      </w:r>
      <w:r w:rsidR="002A4368" w:rsidRPr="000B0EF6">
        <w:rPr>
          <w:rFonts w:ascii="Palatino Linotype" w:hAnsi="Palatino Linotype" w:cs="Arial"/>
          <w:b/>
        </w:rPr>
        <w:t xml:space="preserve"> </w:t>
      </w:r>
      <w:r w:rsidRPr="000B0EF6">
        <w:rPr>
          <w:rFonts w:ascii="Palatino Linotype" w:hAnsi="Palatino Linotype" w:cs="Arial"/>
          <w:b/>
        </w:rPr>
        <w:t>de dos mil veintiuno</w:t>
      </w:r>
      <w:r w:rsidRPr="000B0EF6">
        <w:rPr>
          <w:rFonts w:ascii="Palatino Linotype" w:hAnsi="Palatino Linotype" w:cs="Arial"/>
        </w:rPr>
        <w:t xml:space="preserve">; así, el plazo de quince días hábiles que el artículo 178 </w:t>
      </w:r>
      <w:r w:rsidR="000624D8" w:rsidRPr="000B0EF6">
        <w:rPr>
          <w:rFonts w:ascii="Palatino Linotype" w:hAnsi="Palatino Linotype" w:cs="Arial"/>
        </w:rPr>
        <w:t xml:space="preserve">citado otorga </w:t>
      </w:r>
      <w:r w:rsidRPr="000B0EF6">
        <w:rPr>
          <w:rFonts w:ascii="Palatino Linotype" w:hAnsi="Palatino Linotype" w:cs="Arial"/>
        </w:rPr>
        <w:t>al hoy</w:t>
      </w:r>
      <w:r w:rsidRPr="000B0EF6">
        <w:rPr>
          <w:rFonts w:ascii="Palatino Linotype" w:hAnsi="Palatino Linotype" w:cs="Arial"/>
          <w:b/>
        </w:rPr>
        <w:t xml:space="preserve"> RECURRENTE</w:t>
      </w:r>
      <w:r w:rsidRPr="000B0EF6">
        <w:rPr>
          <w:rFonts w:ascii="Palatino Linotype" w:hAnsi="Palatino Linotype" w:cs="Arial"/>
        </w:rPr>
        <w:t xml:space="preserve"> para presentar el respectivo recurso de revisión, </w:t>
      </w:r>
      <w:r w:rsidR="000624D8" w:rsidRPr="000B0EF6">
        <w:rPr>
          <w:rFonts w:ascii="Palatino Linotype" w:hAnsi="Palatino Linotype" w:cs="Arial"/>
        </w:rPr>
        <w:t xml:space="preserve">abarca </w:t>
      </w:r>
      <w:r w:rsidRPr="000B0EF6">
        <w:rPr>
          <w:rFonts w:ascii="Palatino Linotype" w:hAnsi="Palatino Linotype" w:cs="Arial"/>
        </w:rPr>
        <w:t xml:space="preserve">del </w:t>
      </w:r>
      <w:r w:rsidR="00944F6A" w:rsidRPr="000B0EF6">
        <w:rPr>
          <w:rFonts w:ascii="Palatino Linotype" w:hAnsi="Palatino Linotype" w:cs="Arial"/>
          <w:b/>
        </w:rPr>
        <w:t>veinticinco de agosto al catorce</w:t>
      </w:r>
      <w:r w:rsidRPr="000B0EF6">
        <w:rPr>
          <w:rFonts w:ascii="Palatino Linotype" w:hAnsi="Palatino Linotype" w:cs="Arial"/>
          <w:b/>
        </w:rPr>
        <w:t xml:space="preserve"> de</w:t>
      </w:r>
      <w:r w:rsidR="00986BB9" w:rsidRPr="000B0EF6">
        <w:rPr>
          <w:rFonts w:ascii="Palatino Linotype" w:hAnsi="Palatino Linotype" w:cs="Arial"/>
          <w:b/>
        </w:rPr>
        <w:t xml:space="preserve"> septiembre de</w:t>
      </w:r>
      <w:r w:rsidRPr="000B0EF6">
        <w:rPr>
          <w:rFonts w:ascii="Palatino Linotype" w:hAnsi="Palatino Linotype" w:cs="Arial"/>
          <w:b/>
        </w:rPr>
        <w:t xml:space="preserve"> dos mil veintiuno, </w:t>
      </w:r>
      <w:r w:rsidRPr="000B0EF6">
        <w:rPr>
          <w:rFonts w:ascii="Palatino Linotype" w:hAnsi="Palatino Linotype" w:cs="Arial"/>
        </w:rPr>
        <w:t xml:space="preserve">sin contemplar en el cómputo los </w:t>
      </w:r>
      <w:r w:rsidR="00542307" w:rsidRPr="000B0EF6">
        <w:rPr>
          <w:rFonts w:ascii="Palatino Linotype" w:hAnsi="Palatino Linotype" w:cs="Arial"/>
        </w:rPr>
        <w:t>días</w:t>
      </w:r>
      <w:r w:rsidR="00EE32E7" w:rsidRPr="000B0EF6">
        <w:rPr>
          <w:rFonts w:ascii="Palatino Linotype" w:hAnsi="Palatino Linotype" w:cs="Arial"/>
        </w:rPr>
        <w:t xml:space="preserve">, </w:t>
      </w:r>
      <w:r w:rsidR="00944F6A" w:rsidRPr="000B0EF6">
        <w:rPr>
          <w:rFonts w:ascii="Palatino Linotype" w:hAnsi="Palatino Linotype" w:cs="Arial"/>
        </w:rPr>
        <w:t xml:space="preserve">veintiocho y veintinueve de agosto, así como cuatro, cinco, once y doce  </w:t>
      </w:r>
      <w:r w:rsidR="00EE32E7" w:rsidRPr="000B0EF6">
        <w:rPr>
          <w:rFonts w:ascii="Palatino Linotype" w:hAnsi="Palatino Linotype" w:cs="Arial"/>
        </w:rPr>
        <w:t>de septiembre</w:t>
      </w:r>
      <w:r w:rsidR="002A4368" w:rsidRPr="000B0EF6">
        <w:rPr>
          <w:rFonts w:ascii="Palatino Linotype" w:hAnsi="Palatino Linotype" w:cs="Arial"/>
        </w:rPr>
        <w:t xml:space="preserve"> </w:t>
      </w:r>
      <w:r w:rsidRPr="000B0EF6">
        <w:rPr>
          <w:rFonts w:ascii="Palatino Linotype" w:hAnsi="Palatino Linotype" w:cs="Arial"/>
        </w:rPr>
        <w:t xml:space="preserve">de la anualidad, por corresponder a sábados y domingos, considerados como días inhábiles, en términos del artículo 3, fracción X de la </w:t>
      </w:r>
      <w:r w:rsidRPr="000B0EF6">
        <w:rPr>
          <w:rFonts w:ascii="Palatino Linotype" w:hAnsi="Palatino Linotype"/>
        </w:rPr>
        <w:t>Ley de Transparencia y Acceso a la Información Pública del Estado de México y Mun</w:t>
      </w:r>
      <w:r w:rsidR="008E0F96" w:rsidRPr="000B0EF6">
        <w:rPr>
          <w:rFonts w:ascii="Palatino Linotype" w:hAnsi="Palatino Linotype"/>
        </w:rPr>
        <w:t xml:space="preserve">icipios. </w:t>
      </w:r>
    </w:p>
    <w:p w14:paraId="3A245AFF" w14:textId="40488632" w:rsidR="00944F6A" w:rsidRPr="000B0EF6" w:rsidRDefault="00944F6A" w:rsidP="00EA3177">
      <w:pPr>
        <w:spacing w:before="240" w:after="100" w:afterAutospacing="1" w:line="360" w:lineRule="auto"/>
        <w:jc w:val="both"/>
        <w:rPr>
          <w:rFonts w:ascii="Palatino Linotype" w:hAnsi="Palatino Linotype" w:cs="Arial"/>
        </w:rPr>
      </w:pPr>
      <w:r w:rsidRPr="000B0EF6">
        <w:rPr>
          <w:rFonts w:ascii="Palatino Linotype" w:hAnsi="Palatino Linotype"/>
          <w:color w:val="000000"/>
        </w:rPr>
        <w:t xml:space="preserve">En ese tenor, </w:t>
      </w:r>
      <w:r w:rsidRPr="000B0EF6">
        <w:rPr>
          <w:rFonts w:ascii="Palatino Linotype" w:hAnsi="Palatino Linotype" w:cs="Arial"/>
        </w:rPr>
        <w:t>si el recurso de revisión que nos ocupa, se interpuso el</w:t>
      </w:r>
      <w:r w:rsidRPr="000B0EF6">
        <w:rPr>
          <w:rFonts w:ascii="Palatino Linotype" w:hAnsi="Palatino Linotype" w:cs="Arial"/>
          <w:b/>
        </w:rPr>
        <w:t xml:space="preserve"> veintisiete de agosto de dos mil veintiuno, </w:t>
      </w:r>
      <w:r w:rsidRPr="000B0EF6">
        <w:rPr>
          <w:rFonts w:ascii="Palatino Linotype" w:hAnsi="Palatino Linotype" w:cs="Arial"/>
        </w:rPr>
        <w:t>éste se encuentra dentro de los márgenes temporales previstos en el precepto legal citado en el párrafo anterior y, por tanto, su interposición se considera oportuna.</w:t>
      </w:r>
    </w:p>
    <w:p w14:paraId="5BC8324C" w14:textId="78B82DC9" w:rsidR="0032378D" w:rsidRPr="000B0EF6" w:rsidRDefault="0032378D" w:rsidP="0032378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lang w:val="es-ES"/>
        </w:rPr>
      </w:pPr>
      <w:r w:rsidRPr="000B0EF6">
        <w:rPr>
          <w:rFonts w:ascii="Palatino Linotype" w:hAnsi="Palatino Linotype" w:cs="Arial"/>
          <w:b/>
          <w:sz w:val="28"/>
          <w:szCs w:val="28"/>
        </w:rPr>
        <w:t>CUARTO</w:t>
      </w:r>
      <w:r w:rsidRPr="000B0EF6">
        <w:rPr>
          <w:rFonts w:ascii="Palatino Linotype" w:hAnsi="Palatino Linotype" w:cs="Arial"/>
        </w:rPr>
        <w:t xml:space="preserve">. </w:t>
      </w:r>
      <w:r w:rsidRPr="000B0EF6">
        <w:rPr>
          <w:rFonts w:ascii="Palatino Linotype" w:hAnsi="Palatino Linotype" w:cs="Arial"/>
          <w:b/>
        </w:rPr>
        <w:t>Procedibilidad</w:t>
      </w:r>
      <w:r w:rsidRPr="000B0EF6">
        <w:rPr>
          <w:rFonts w:ascii="Palatino Linotype" w:hAnsi="Palatino Linotype" w:cs="Arial"/>
        </w:rPr>
        <w:t xml:space="preserve">. </w:t>
      </w:r>
      <w:r w:rsidRPr="000B0EF6">
        <w:rPr>
          <w:rFonts w:ascii="Palatino Linotype" w:hAnsi="Palatino Linotype" w:cs="Arial"/>
          <w:lang w:val="es-ES"/>
        </w:rPr>
        <w:t xml:space="preserve">Esta Ponencia considera importante abordar el análisis de los requisitos de procedibilidad del recurso de revisión, así el artículo 180 de la </w:t>
      </w:r>
      <w:r w:rsidRPr="000B0EF6">
        <w:rPr>
          <w:rFonts w:ascii="Palatino Linotype" w:hAnsi="Palatino Linotype" w:cs="Arial"/>
          <w:lang w:val="es-ES" w:eastAsia="es-MX"/>
        </w:rPr>
        <w:t xml:space="preserve">Ley de Transparencia y Acceso a la </w:t>
      </w:r>
      <w:r w:rsidRPr="000B0EF6">
        <w:rPr>
          <w:rFonts w:ascii="Palatino Linotype" w:hAnsi="Palatino Linotype" w:cs="Arial"/>
          <w:lang w:val="es-ES"/>
        </w:rPr>
        <w:t>Información</w:t>
      </w:r>
      <w:r w:rsidRPr="000B0EF6">
        <w:rPr>
          <w:rFonts w:ascii="Palatino Linotype" w:hAnsi="Palatino Linotype" w:cs="Arial"/>
          <w:lang w:val="es-ES" w:eastAsia="es-MX"/>
        </w:rPr>
        <w:t xml:space="preserve"> Pública del Estado de </w:t>
      </w:r>
      <w:r w:rsidRPr="000B0EF6">
        <w:rPr>
          <w:rFonts w:ascii="Palatino Linotype" w:hAnsi="Palatino Linotype" w:cs="Arial"/>
          <w:lang w:val="es-ES" w:eastAsia="es-MX"/>
        </w:rPr>
        <w:lastRenderedPageBreak/>
        <w:t xml:space="preserve">México y Municipios, que </w:t>
      </w:r>
      <w:r w:rsidRPr="000B0EF6">
        <w:rPr>
          <w:rFonts w:ascii="Palatino Linotype" w:hAnsi="Palatino Linotype" w:cs="Arial"/>
          <w:lang w:val="es-ES"/>
        </w:rPr>
        <w:t>establece lo siguiente:</w:t>
      </w:r>
    </w:p>
    <w:p w14:paraId="2A3E8486" w14:textId="77777777" w:rsidR="0032378D" w:rsidRPr="000B0EF6" w:rsidRDefault="0032378D" w:rsidP="0032378D">
      <w:pPr>
        <w:autoSpaceDE w:val="0"/>
        <w:autoSpaceDN w:val="0"/>
        <w:adjustRightInd w:val="0"/>
        <w:ind w:right="49"/>
        <w:jc w:val="both"/>
        <w:rPr>
          <w:rFonts w:ascii="Palatino Linotype" w:hAnsi="Palatino Linotype" w:cs="Arial"/>
          <w:lang w:val="es-ES"/>
        </w:rPr>
      </w:pPr>
    </w:p>
    <w:p w14:paraId="3B6EC645" w14:textId="77777777" w:rsidR="0032378D" w:rsidRPr="000B0EF6" w:rsidRDefault="0032378D" w:rsidP="0032378D">
      <w:pPr>
        <w:tabs>
          <w:tab w:val="left" w:pos="851"/>
        </w:tabs>
        <w:ind w:left="851" w:right="901"/>
        <w:jc w:val="both"/>
        <w:rPr>
          <w:rFonts w:ascii="Palatino Linotype" w:hAnsi="Palatino Linotype"/>
          <w:b/>
          <w:i/>
          <w:sz w:val="22"/>
          <w:szCs w:val="22"/>
          <w:lang w:val="es-ES"/>
        </w:rPr>
      </w:pPr>
      <w:r w:rsidRPr="000B0EF6">
        <w:rPr>
          <w:rFonts w:ascii="Palatino Linotype" w:hAnsi="Palatino Linotype"/>
          <w:b/>
          <w:i/>
          <w:sz w:val="22"/>
          <w:szCs w:val="22"/>
          <w:lang w:val="es-ES"/>
        </w:rPr>
        <w:t xml:space="preserve">“Artículo 180. </w:t>
      </w:r>
      <w:r w:rsidRPr="000B0EF6">
        <w:rPr>
          <w:rFonts w:ascii="Palatino Linotype" w:hAnsi="Palatino Linotype"/>
          <w:i/>
          <w:sz w:val="22"/>
          <w:szCs w:val="22"/>
          <w:lang w:val="es-ES"/>
        </w:rPr>
        <w:t xml:space="preserve">El </w:t>
      </w:r>
      <w:r w:rsidRPr="000B0EF6">
        <w:rPr>
          <w:rFonts w:ascii="Palatino Linotype" w:hAnsi="Palatino Linotype" w:cs="Arial"/>
          <w:i/>
          <w:sz w:val="22"/>
          <w:szCs w:val="22"/>
          <w:lang w:val="es-ES"/>
        </w:rPr>
        <w:t>recurso</w:t>
      </w:r>
      <w:r w:rsidRPr="000B0EF6">
        <w:rPr>
          <w:rFonts w:ascii="Palatino Linotype" w:hAnsi="Palatino Linotype"/>
          <w:i/>
          <w:sz w:val="22"/>
          <w:szCs w:val="22"/>
          <w:lang w:val="es-ES"/>
        </w:rPr>
        <w:t xml:space="preserve"> </w:t>
      </w:r>
      <w:r w:rsidRPr="000B0EF6">
        <w:rPr>
          <w:rFonts w:ascii="Palatino Linotype" w:hAnsi="Palatino Linotype" w:cs="Arial"/>
          <w:i/>
          <w:color w:val="222222"/>
          <w:sz w:val="22"/>
          <w:szCs w:val="22"/>
          <w:lang w:val="es-ES" w:eastAsia="es-MX"/>
        </w:rPr>
        <w:t>de</w:t>
      </w:r>
      <w:r w:rsidRPr="000B0EF6">
        <w:rPr>
          <w:rFonts w:ascii="Palatino Linotype" w:hAnsi="Palatino Linotype"/>
          <w:i/>
          <w:sz w:val="22"/>
          <w:szCs w:val="22"/>
          <w:lang w:val="es-ES"/>
        </w:rPr>
        <w:t xml:space="preserve"> revisión contendrá:</w:t>
      </w:r>
      <w:r w:rsidRPr="000B0EF6">
        <w:rPr>
          <w:rFonts w:ascii="Palatino Linotype" w:hAnsi="Palatino Linotype"/>
          <w:b/>
          <w:i/>
          <w:sz w:val="22"/>
          <w:szCs w:val="22"/>
          <w:lang w:val="es-ES"/>
        </w:rPr>
        <w:t xml:space="preserve"> </w:t>
      </w:r>
    </w:p>
    <w:p w14:paraId="23B92ABF" w14:textId="77777777" w:rsidR="0032378D" w:rsidRPr="000B0EF6" w:rsidRDefault="0032378D" w:rsidP="0032378D">
      <w:pPr>
        <w:tabs>
          <w:tab w:val="left" w:pos="851"/>
        </w:tabs>
        <w:ind w:left="851" w:right="901"/>
        <w:jc w:val="both"/>
        <w:rPr>
          <w:rFonts w:ascii="Palatino Linotype" w:hAnsi="Palatino Linotype"/>
          <w:b/>
          <w:i/>
          <w:sz w:val="22"/>
          <w:szCs w:val="22"/>
          <w:lang w:val="es-ES"/>
        </w:rPr>
      </w:pPr>
      <w:r w:rsidRPr="000B0EF6">
        <w:rPr>
          <w:rFonts w:ascii="Palatino Linotype" w:hAnsi="Palatino Linotype"/>
          <w:b/>
          <w:i/>
          <w:sz w:val="22"/>
          <w:szCs w:val="22"/>
          <w:lang w:val="es-ES"/>
        </w:rPr>
        <w:t xml:space="preserve">I. </w:t>
      </w:r>
      <w:r w:rsidRPr="000B0EF6">
        <w:rPr>
          <w:rFonts w:ascii="Palatino Linotype" w:hAnsi="Palatino Linotype"/>
          <w:i/>
          <w:sz w:val="22"/>
          <w:szCs w:val="22"/>
          <w:lang w:val="es-ES"/>
        </w:rPr>
        <w:t xml:space="preserve">El sujeto obligado ante </w:t>
      </w:r>
      <w:r w:rsidRPr="000B0EF6">
        <w:rPr>
          <w:rFonts w:ascii="Palatino Linotype" w:hAnsi="Palatino Linotype" w:cs="Arial"/>
          <w:i/>
          <w:sz w:val="22"/>
          <w:szCs w:val="22"/>
          <w:lang w:val="es-ES"/>
        </w:rPr>
        <w:t>la</w:t>
      </w:r>
      <w:r w:rsidRPr="000B0EF6">
        <w:rPr>
          <w:rFonts w:ascii="Palatino Linotype" w:hAnsi="Palatino Linotype"/>
          <w:i/>
          <w:sz w:val="22"/>
          <w:szCs w:val="22"/>
          <w:lang w:val="es-ES"/>
        </w:rPr>
        <w:t xml:space="preserve"> cual </w:t>
      </w:r>
      <w:r w:rsidRPr="000B0EF6">
        <w:rPr>
          <w:rFonts w:ascii="Palatino Linotype" w:hAnsi="Palatino Linotype" w:cs="Arial"/>
          <w:i/>
          <w:color w:val="222222"/>
          <w:sz w:val="22"/>
          <w:szCs w:val="22"/>
          <w:lang w:val="es-ES" w:eastAsia="es-MX"/>
        </w:rPr>
        <w:t>se</w:t>
      </w:r>
      <w:r w:rsidRPr="000B0EF6">
        <w:rPr>
          <w:rFonts w:ascii="Palatino Linotype" w:hAnsi="Palatino Linotype"/>
          <w:i/>
          <w:sz w:val="22"/>
          <w:szCs w:val="22"/>
          <w:lang w:val="es-ES"/>
        </w:rPr>
        <w:t xml:space="preserve"> presentó la solicitud;</w:t>
      </w:r>
      <w:r w:rsidRPr="000B0EF6">
        <w:rPr>
          <w:rFonts w:ascii="Palatino Linotype" w:hAnsi="Palatino Linotype"/>
          <w:b/>
          <w:i/>
          <w:sz w:val="22"/>
          <w:szCs w:val="22"/>
          <w:lang w:val="es-ES"/>
        </w:rPr>
        <w:t xml:space="preserve"> </w:t>
      </w:r>
    </w:p>
    <w:p w14:paraId="11A9A786" w14:textId="77777777" w:rsidR="0032378D" w:rsidRPr="000B0EF6" w:rsidRDefault="0032378D" w:rsidP="0032378D">
      <w:pPr>
        <w:tabs>
          <w:tab w:val="left" w:pos="851"/>
        </w:tabs>
        <w:ind w:left="851" w:right="901"/>
        <w:jc w:val="both"/>
        <w:rPr>
          <w:rFonts w:ascii="Palatino Linotype" w:hAnsi="Palatino Linotype"/>
          <w:b/>
          <w:i/>
          <w:sz w:val="22"/>
          <w:szCs w:val="22"/>
          <w:lang w:val="es-ES"/>
        </w:rPr>
      </w:pPr>
      <w:r w:rsidRPr="000B0EF6">
        <w:rPr>
          <w:rFonts w:ascii="Palatino Linotype" w:hAnsi="Palatino Linotype"/>
          <w:b/>
          <w:i/>
          <w:sz w:val="22"/>
          <w:szCs w:val="22"/>
          <w:lang w:val="es-ES"/>
        </w:rPr>
        <w:t xml:space="preserve">II. </w:t>
      </w:r>
      <w:r w:rsidRPr="000B0EF6">
        <w:rPr>
          <w:rFonts w:ascii="Palatino Linotype" w:hAnsi="Palatino Linotype"/>
          <w:b/>
          <w:i/>
          <w:sz w:val="22"/>
          <w:szCs w:val="22"/>
          <w:u w:val="single"/>
          <w:lang w:val="es-ES"/>
        </w:rPr>
        <w:t xml:space="preserve">El nombre del solicitante </w:t>
      </w:r>
      <w:r w:rsidRPr="000B0EF6">
        <w:rPr>
          <w:rFonts w:ascii="Palatino Linotype" w:hAnsi="Palatino Linotype" w:cs="Arial"/>
          <w:b/>
          <w:i/>
          <w:color w:val="222222"/>
          <w:sz w:val="22"/>
          <w:szCs w:val="22"/>
          <w:u w:val="single"/>
          <w:lang w:val="es-ES" w:eastAsia="es-MX"/>
        </w:rPr>
        <w:t>que</w:t>
      </w:r>
      <w:r w:rsidRPr="000B0EF6">
        <w:rPr>
          <w:rFonts w:ascii="Palatino Linotype" w:hAnsi="Palatino Linotype"/>
          <w:b/>
          <w:i/>
          <w:sz w:val="22"/>
          <w:szCs w:val="22"/>
          <w:u w:val="single"/>
          <w:lang w:val="es-ES"/>
        </w:rPr>
        <w:t xml:space="preserve"> recurre </w:t>
      </w:r>
      <w:r w:rsidRPr="000B0EF6">
        <w:rPr>
          <w:rFonts w:ascii="Palatino Linotype" w:hAnsi="Palatino Linotype"/>
          <w:i/>
          <w:sz w:val="22"/>
          <w:szCs w:val="22"/>
          <w:lang w:val="es-ES"/>
        </w:rPr>
        <w:t>o de su representante y, en su caso, del tercero interesado, así como la dirección o medio que señale para recibir notificaciones;</w:t>
      </w:r>
      <w:r w:rsidRPr="000B0EF6">
        <w:rPr>
          <w:rFonts w:ascii="Palatino Linotype" w:hAnsi="Palatino Linotype"/>
          <w:b/>
          <w:i/>
          <w:sz w:val="22"/>
          <w:szCs w:val="22"/>
          <w:lang w:val="es-ES"/>
        </w:rPr>
        <w:t xml:space="preserve"> </w:t>
      </w:r>
    </w:p>
    <w:p w14:paraId="348C73C2" w14:textId="77777777" w:rsidR="0032378D" w:rsidRPr="000B0EF6" w:rsidRDefault="0032378D" w:rsidP="0032378D">
      <w:pPr>
        <w:tabs>
          <w:tab w:val="left" w:pos="851"/>
        </w:tabs>
        <w:ind w:left="851" w:right="901"/>
        <w:jc w:val="both"/>
        <w:rPr>
          <w:rFonts w:ascii="Palatino Linotype" w:hAnsi="Palatino Linotype"/>
          <w:b/>
          <w:i/>
          <w:sz w:val="22"/>
          <w:szCs w:val="22"/>
          <w:lang w:val="es-ES"/>
        </w:rPr>
      </w:pPr>
      <w:r w:rsidRPr="000B0EF6">
        <w:rPr>
          <w:rFonts w:ascii="Palatino Linotype" w:hAnsi="Palatino Linotype"/>
          <w:b/>
          <w:i/>
          <w:sz w:val="22"/>
          <w:szCs w:val="22"/>
          <w:lang w:val="es-ES"/>
        </w:rPr>
        <w:t xml:space="preserve">III. </w:t>
      </w:r>
      <w:r w:rsidRPr="000B0EF6">
        <w:rPr>
          <w:rFonts w:ascii="Palatino Linotype" w:hAnsi="Palatino Linotype"/>
          <w:i/>
          <w:sz w:val="22"/>
          <w:szCs w:val="22"/>
          <w:lang w:val="es-ES"/>
        </w:rPr>
        <w:t xml:space="preserve">El número de folio de </w:t>
      </w:r>
      <w:r w:rsidRPr="000B0EF6">
        <w:rPr>
          <w:rFonts w:ascii="Palatino Linotype" w:hAnsi="Palatino Linotype" w:cs="Arial"/>
          <w:i/>
          <w:color w:val="222222"/>
          <w:sz w:val="22"/>
          <w:szCs w:val="22"/>
          <w:lang w:val="es-ES" w:eastAsia="es-MX"/>
        </w:rPr>
        <w:t>respuesta</w:t>
      </w:r>
      <w:r w:rsidRPr="000B0EF6">
        <w:rPr>
          <w:rFonts w:ascii="Palatino Linotype" w:hAnsi="Palatino Linotype"/>
          <w:i/>
          <w:sz w:val="22"/>
          <w:szCs w:val="22"/>
          <w:lang w:val="es-ES"/>
        </w:rPr>
        <w:t xml:space="preserve"> de la solicitud de acceso; </w:t>
      </w:r>
    </w:p>
    <w:p w14:paraId="0B41962C" w14:textId="77777777" w:rsidR="0032378D" w:rsidRPr="000B0EF6" w:rsidRDefault="0032378D" w:rsidP="0032378D">
      <w:pPr>
        <w:tabs>
          <w:tab w:val="left" w:pos="851"/>
        </w:tabs>
        <w:ind w:left="851" w:right="901"/>
        <w:jc w:val="both"/>
        <w:rPr>
          <w:rFonts w:ascii="Palatino Linotype" w:hAnsi="Palatino Linotype"/>
          <w:b/>
          <w:i/>
          <w:sz w:val="22"/>
          <w:szCs w:val="22"/>
          <w:lang w:val="es-ES"/>
        </w:rPr>
      </w:pPr>
      <w:r w:rsidRPr="000B0EF6">
        <w:rPr>
          <w:rFonts w:ascii="Palatino Linotype" w:hAnsi="Palatino Linotype"/>
          <w:b/>
          <w:i/>
          <w:sz w:val="22"/>
          <w:szCs w:val="22"/>
          <w:lang w:val="es-ES"/>
        </w:rPr>
        <w:t xml:space="preserve">IV. </w:t>
      </w:r>
      <w:r w:rsidRPr="000B0EF6">
        <w:rPr>
          <w:rFonts w:ascii="Palatino Linotype" w:hAnsi="Palatino Linotype"/>
          <w:i/>
          <w:sz w:val="22"/>
          <w:szCs w:val="22"/>
          <w:lang w:val="es-ES"/>
        </w:rPr>
        <w:t xml:space="preserve">La fecha en que fue </w:t>
      </w:r>
      <w:r w:rsidRPr="000B0EF6">
        <w:rPr>
          <w:rFonts w:ascii="Palatino Linotype" w:hAnsi="Palatino Linotype" w:cs="Arial"/>
          <w:i/>
          <w:color w:val="222222"/>
          <w:sz w:val="22"/>
          <w:szCs w:val="22"/>
          <w:lang w:val="es-ES" w:eastAsia="es-MX"/>
        </w:rPr>
        <w:t>notificada</w:t>
      </w:r>
      <w:r w:rsidRPr="000B0EF6">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B0EF6">
        <w:rPr>
          <w:rFonts w:ascii="Palatino Linotype" w:hAnsi="Palatino Linotype"/>
          <w:b/>
          <w:i/>
          <w:sz w:val="22"/>
          <w:szCs w:val="22"/>
          <w:lang w:val="es-ES"/>
        </w:rPr>
        <w:t xml:space="preserve"> </w:t>
      </w:r>
    </w:p>
    <w:p w14:paraId="6E2ACE67" w14:textId="77777777" w:rsidR="0032378D" w:rsidRPr="000B0EF6" w:rsidRDefault="0032378D" w:rsidP="0032378D">
      <w:pPr>
        <w:tabs>
          <w:tab w:val="left" w:pos="851"/>
        </w:tabs>
        <w:ind w:left="851" w:right="901"/>
        <w:jc w:val="both"/>
        <w:rPr>
          <w:rFonts w:ascii="Palatino Linotype" w:hAnsi="Palatino Linotype"/>
          <w:b/>
          <w:i/>
          <w:sz w:val="22"/>
          <w:szCs w:val="22"/>
          <w:lang w:val="es-ES"/>
        </w:rPr>
      </w:pPr>
      <w:r w:rsidRPr="000B0EF6">
        <w:rPr>
          <w:rFonts w:ascii="Palatino Linotype" w:hAnsi="Palatino Linotype"/>
          <w:b/>
          <w:i/>
          <w:sz w:val="22"/>
          <w:szCs w:val="22"/>
          <w:lang w:val="es-ES"/>
        </w:rPr>
        <w:t xml:space="preserve">V. </w:t>
      </w:r>
      <w:r w:rsidRPr="000B0EF6">
        <w:rPr>
          <w:rFonts w:ascii="Palatino Linotype" w:hAnsi="Palatino Linotype"/>
          <w:i/>
          <w:sz w:val="22"/>
          <w:szCs w:val="22"/>
          <w:lang w:val="es-ES"/>
        </w:rPr>
        <w:t xml:space="preserve">El acto que se </w:t>
      </w:r>
      <w:r w:rsidRPr="000B0EF6">
        <w:rPr>
          <w:rFonts w:ascii="Palatino Linotype" w:hAnsi="Palatino Linotype" w:cs="Arial"/>
          <w:i/>
          <w:color w:val="222222"/>
          <w:sz w:val="22"/>
          <w:szCs w:val="22"/>
          <w:lang w:val="es-ES" w:eastAsia="es-MX"/>
        </w:rPr>
        <w:t>recurre</w:t>
      </w:r>
      <w:r w:rsidRPr="000B0EF6">
        <w:rPr>
          <w:rFonts w:ascii="Palatino Linotype" w:hAnsi="Palatino Linotype"/>
          <w:i/>
          <w:sz w:val="22"/>
          <w:szCs w:val="22"/>
          <w:lang w:val="es-ES"/>
        </w:rPr>
        <w:t>;</w:t>
      </w:r>
      <w:r w:rsidRPr="000B0EF6">
        <w:rPr>
          <w:rFonts w:ascii="Palatino Linotype" w:hAnsi="Palatino Linotype"/>
          <w:b/>
          <w:i/>
          <w:sz w:val="22"/>
          <w:szCs w:val="22"/>
          <w:lang w:val="es-ES"/>
        </w:rPr>
        <w:t xml:space="preserve"> </w:t>
      </w:r>
    </w:p>
    <w:p w14:paraId="7B3D3D00" w14:textId="77777777" w:rsidR="0032378D" w:rsidRPr="000B0EF6" w:rsidRDefault="0032378D" w:rsidP="0032378D">
      <w:pPr>
        <w:tabs>
          <w:tab w:val="left" w:pos="851"/>
        </w:tabs>
        <w:ind w:left="851" w:right="901"/>
        <w:jc w:val="both"/>
        <w:rPr>
          <w:rFonts w:ascii="Palatino Linotype" w:hAnsi="Palatino Linotype"/>
          <w:b/>
          <w:i/>
          <w:sz w:val="22"/>
          <w:szCs w:val="22"/>
          <w:lang w:val="es-ES"/>
        </w:rPr>
      </w:pPr>
      <w:r w:rsidRPr="000B0EF6">
        <w:rPr>
          <w:rFonts w:ascii="Palatino Linotype" w:hAnsi="Palatino Linotype"/>
          <w:b/>
          <w:i/>
          <w:sz w:val="22"/>
          <w:szCs w:val="22"/>
          <w:lang w:val="es-ES"/>
        </w:rPr>
        <w:t xml:space="preserve">VI. </w:t>
      </w:r>
      <w:r w:rsidRPr="000B0EF6">
        <w:rPr>
          <w:rFonts w:ascii="Palatino Linotype" w:hAnsi="Palatino Linotype"/>
          <w:i/>
          <w:sz w:val="22"/>
          <w:szCs w:val="22"/>
          <w:lang w:val="es-ES"/>
        </w:rPr>
        <w:t xml:space="preserve">Las razones o </w:t>
      </w:r>
      <w:r w:rsidRPr="000B0EF6">
        <w:rPr>
          <w:rFonts w:ascii="Palatino Linotype" w:hAnsi="Palatino Linotype" w:cs="Arial"/>
          <w:i/>
          <w:color w:val="222222"/>
          <w:sz w:val="22"/>
          <w:szCs w:val="22"/>
          <w:lang w:val="es-ES" w:eastAsia="es-MX"/>
        </w:rPr>
        <w:t>motivos</w:t>
      </w:r>
      <w:r w:rsidRPr="000B0EF6">
        <w:rPr>
          <w:rFonts w:ascii="Palatino Linotype" w:hAnsi="Palatino Linotype"/>
          <w:i/>
          <w:sz w:val="22"/>
          <w:szCs w:val="22"/>
          <w:lang w:val="es-ES"/>
        </w:rPr>
        <w:t xml:space="preserve"> de inconformidad;</w:t>
      </w:r>
      <w:r w:rsidRPr="000B0EF6">
        <w:rPr>
          <w:rFonts w:ascii="Palatino Linotype" w:hAnsi="Palatino Linotype"/>
          <w:b/>
          <w:i/>
          <w:sz w:val="22"/>
          <w:szCs w:val="22"/>
          <w:lang w:val="es-ES"/>
        </w:rPr>
        <w:t xml:space="preserve"> </w:t>
      </w:r>
    </w:p>
    <w:p w14:paraId="775A254E" w14:textId="77777777" w:rsidR="0032378D" w:rsidRPr="000B0EF6" w:rsidRDefault="0032378D" w:rsidP="0032378D">
      <w:pPr>
        <w:tabs>
          <w:tab w:val="left" w:pos="851"/>
        </w:tabs>
        <w:ind w:left="851" w:right="901"/>
        <w:jc w:val="both"/>
        <w:rPr>
          <w:rFonts w:ascii="Palatino Linotype" w:hAnsi="Palatino Linotype"/>
          <w:b/>
          <w:i/>
          <w:sz w:val="22"/>
          <w:szCs w:val="22"/>
          <w:lang w:val="es-ES"/>
        </w:rPr>
      </w:pPr>
      <w:r w:rsidRPr="000B0EF6">
        <w:rPr>
          <w:rFonts w:ascii="Palatino Linotype" w:hAnsi="Palatino Linotype"/>
          <w:b/>
          <w:i/>
          <w:sz w:val="22"/>
          <w:szCs w:val="22"/>
          <w:lang w:val="es-ES"/>
        </w:rPr>
        <w:t xml:space="preserve">VII. </w:t>
      </w:r>
      <w:r w:rsidRPr="000B0EF6">
        <w:rPr>
          <w:rFonts w:ascii="Palatino Linotype" w:hAnsi="Palatino Linotype"/>
          <w:i/>
          <w:sz w:val="22"/>
          <w:szCs w:val="22"/>
          <w:lang w:val="es-ES"/>
        </w:rPr>
        <w:t>La copia de la respuesta que se impugna y, en su caso, de la notificación correspondiente, en el caso de respuesta de la solicitud; y</w:t>
      </w:r>
      <w:r w:rsidRPr="000B0EF6">
        <w:rPr>
          <w:rFonts w:ascii="Palatino Linotype" w:hAnsi="Palatino Linotype"/>
          <w:b/>
          <w:i/>
          <w:sz w:val="22"/>
          <w:szCs w:val="22"/>
          <w:lang w:val="es-ES"/>
        </w:rPr>
        <w:t xml:space="preserve"> </w:t>
      </w:r>
    </w:p>
    <w:p w14:paraId="5856085C" w14:textId="77777777" w:rsidR="0032378D" w:rsidRPr="000B0EF6" w:rsidRDefault="0032378D" w:rsidP="0032378D">
      <w:pPr>
        <w:tabs>
          <w:tab w:val="left" w:pos="851"/>
        </w:tabs>
        <w:ind w:left="851" w:right="901"/>
        <w:jc w:val="both"/>
        <w:rPr>
          <w:rFonts w:ascii="Palatino Linotype" w:hAnsi="Palatino Linotype"/>
          <w:i/>
          <w:sz w:val="22"/>
          <w:szCs w:val="22"/>
          <w:lang w:val="es-ES"/>
        </w:rPr>
      </w:pPr>
      <w:r w:rsidRPr="000B0EF6">
        <w:rPr>
          <w:rFonts w:ascii="Palatino Linotype" w:hAnsi="Palatino Linotype"/>
          <w:b/>
          <w:i/>
          <w:sz w:val="22"/>
          <w:szCs w:val="22"/>
          <w:lang w:val="es-ES"/>
        </w:rPr>
        <w:t xml:space="preserve">VIII. </w:t>
      </w:r>
      <w:r w:rsidRPr="000B0EF6">
        <w:rPr>
          <w:rFonts w:ascii="Palatino Linotype" w:hAnsi="Palatino Linotype"/>
          <w:i/>
          <w:sz w:val="22"/>
          <w:szCs w:val="22"/>
          <w:lang w:val="es-ES"/>
        </w:rPr>
        <w:t>Firma del recurrente, en su caso, cuando se presente por escrito, requisito sin el cual se dará trámite al recurso.</w:t>
      </w:r>
    </w:p>
    <w:p w14:paraId="778BA854" w14:textId="77777777" w:rsidR="0032378D" w:rsidRPr="000B0EF6" w:rsidRDefault="0032378D" w:rsidP="0032378D">
      <w:pPr>
        <w:tabs>
          <w:tab w:val="left" w:pos="851"/>
        </w:tabs>
        <w:ind w:left="851" w:right="901"/>
        <w:jc w:val="both"/>
        <w:rPr>
          <w:rFonts w:ascii="Palatino Linotype" w:hAnsi="Palatino Linotype"/>
          <w:i/>
          <w:sz w:val="22"/>
          <w:szCs w:val="22"/>
          <w:lang w:val="es-ES"/>
        </w:rPr>
      </w:pPr>
      <w:r w:rsidRPr="000B0EF6">
        <w:rPr>
          <w:rFonts w:ascii="Palatino Linotype" w:hAnsi="Palatino Linotype"/>
          <w:i/>
          <w:sz w:val="22"/>
          <w:szCs w:val="22"/>
          <w:lang w:val="es-ES"/>
        </w:rPr>
        <w:t xml:space="preserve">Adicionalmente, se podrán anexar las pruebas y demás elementos que considere procedentes someter a juicio del Instituto. </w:t>
      </w:r>
    </w:p>
    <w:p w14:paraId="43C5A8D5" w14:textId="77777777" w:rsidR="0032378D" w:rsidRPr="000B0EF6" w:rsidRDefault="0032378D" w:rsidP="0032378D">
      <w:pPr>
        <w:tabs>
          <w:tab w:val="left" w:pos="851"/>
        </w:tabs>
        <w:ind w:left="851" w:right="901"/>
        <w:jc w:val="both"/>
        <w:rPr>
          <w:rFonts w:ascii="Palatino Linotype" w:hAnsi="Palatino Linotype"/>
          <w:i/>
          <w:sz w:val="22"/>
          <w:szCs w:val="22"/>
          <w:lang w:val="es-ES"/>
        </w:rPr>
      </w:pPr>
      <w:r w:rsidRPr="000B0EF6">
        <w:rPr>
          <w:rFonts w:ascii="Palatino Linotype" w:hAnsi="Palatino Linotype"/>
          <w:i/>
          <w:sz w:val="22"/>
          <w:szCs w:val="22"/>
          <w:lang w:val="es-ES"/>
        </w:rPr>
        <w:t xml:space="preserve">En ningún caso será necesario que el particular ratifique el recurso de revisión interpuesto. </w:t>
      </w:r>
    </w:p>
    <w:p w14:paraId="10EAD936" w14:textId="77777777" w:rsidR="0032378D" w:rsidRPr="000B0EF6" w:rsidRDefault="0032378D" w:rsidP="0032378D">
      <w:pPr>
        <w:tabs>
          <w:tab w:val="left" w:pos="851"/>
        </w:tabs>
        <w:ind w:left="851" w:right="901"/>
        <w:jc w:val="both"/>
        <w:rPr>
          <w:rFonts w:ascii="Palatino Linotype" w:hAnsi="Palatino Linotype"/>
          <w:b/>
          <w:i/>
          <w:sz w:val="22"/>
          <w:szCs w:val="22"/>
          <w:lang w:val="es-ES"/>
        </w:rPr>
      </w:pPr>
      <w:r w:rsidRPr="000B0EF6">
        <w:rPr>
          <w:rFonts w:ascii="Palatino Linotype" w:hAnsi="Palatino Linotype"/>
          <w:b/>
          <w:i/>
          <w:sz w:val="22"/>
          <w:szCs w:val="22"/>
          <w:u w:val="single"/>
          <w:lang w:val="es-ES"/>
        </w:rPr>
        <w:t xml:space="preserve">En caso de </w:t>
      </w:r>
      <w:r w:rsidRPr="000B0EF6">
        <w:rPr>
          <w:rFonts w:ascii="Palatino Linotype" w:hAnsi="Palatino Linotype" w:cs="Arial"/>
          <w:b/>
          <w:i/>
          <w:color w:val="222222"/>
          <w:sz w:val="22"/>
          <w:szCs w:val="22"/>
          <w:u w:val="single"/>
          <w:lang w:val="es-ES" w:eastAsia="es-MX"/>
        </w:rPr>
        <w:t>que</w:t>
      </w:r>
      <w:r w:rsidRPr="000B0EF6">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0B0EF6">
        <w:rPr>
          <w:rFonts w:ascii="Palatino Linotype" w:hAnsi="Palatino Linotype"/>
          <w:i/>
          <w:sz w:val="22"/>
          <w:szCs w:val="22"/>
          <w:lang w:val="es-ES"/>
        </w:rPr>
        <w:t>, IV, VII y VIII.</w:t>
      </w:r>
      <w:r w:rsidRPr="000B0EF6">
        <w:rPr>
          <w:rFonts w:ascii="Palatino Linotype" w:hAnsi="Palatino Linotype"/>
          <w:b/>
          <w:i/>
          <w:sz w:val="22"/>
          <w:szCs w:val="22"/>
          <w:lang w:val="es-ES"/>
        </w:rPr>
        <w:t>”</w:t>
      </w:r>
    </w:p>
    <w:p w14:paraId="1C9B9A53" w14:textId="77777777" w:rsidR="0032378D" w:rsidRPr="000B0EF6" w:rsidRDefault="0032378D" w:rsidP="0032378D">
      <w:pPr>
        <w:tabs>
          <w:tab w:val="left" w:pos="851"/>
        </w:tabs>
        <w:ind w:left="851" w:right="901"/>
        <w:jc w:val="both"/>
        <w:rPr>
          <w:rFonts w:ascii="Palatino Linotype" w:hAnsi="Palatino Linotype"/>
          <w:i/>
          <w:sz w:val="22"/>
          <w:szCs w:val="22"/>
          <w:lang w:val="es-ES"/>
        </w:rPr>
      </w:pPr>
      <w:r w:rsidRPr="000B0EF6">
        <w:rPr>
          <w:rFonts w:ascii="Palatino Linotype" w:hAnsi="Palatino Linotype"/>
          <w:i/>
          <w:sz w:val="22"/>
          <w:szCs w:val="22"/>
          <w:lang w:val="es-ES"/>
        </w:rPr>
        <w:t>(Énfasis añadido)</w:t>
      </w:r>
    </w:p>
    <w:p w14:paraId="187C345A" w14:textId="77777777" w:rsidR="0032378D" w:rsidRPr="000B0EF6" w:rsidRDefault="0032378D" w:rsidP="0032378D">
      <w:pPr>
        <w:tabs>
          <w:tab w:val="left" w:pos="851"/>
        </w:tabs>
        <w:ind w:left="851" w:right="901"/>
        <w:jc w:val="both"/>
        <w:rPr>
          <w:rFonts w:ascii="Palatino Linotype" w:hAnsi="Palatino Linotype"/>
          <w:i/>
          <w:sz w:val="22"/>
          <w:szCs w:val="22"/>
          <w:lang w:val="es-ES"/>
        </w:rPr>
      </w:pPr>
    </w:p>
    <w:p w14:paraId="6FF11E22" w14:textId="7ECFB60C" w:rsidR="0032378D" w:rsidRPr="000B0EF6" w:rsidRDefault="0032378D" w:rsidP="0032378D">
      <w:pPr>
        <w:spacing w:line="360" w:lineRule="auto"/>
        <w:jc w:val="both"/>
        <w:rPr>
          <w:rFonts w:ascii="Palatino Linotype" w:hAnsi="Palatino Linotype"/>
          <w:lang w:val="es-ES"/>
        </w:rPr>
      </w:pPr>
      <w:r w:rsidRPr="000B0EF6">
        <w:rPr>
          <w:rFonts w:ascii="Palatino Linotype" w:hAnsi="Palatino Linotype"/>
          <w:lang w:val="es-ES"/>
        </w:rPr>
        <w:t xml:space="preserve">Como se puede apreciar </w:t>
      </w:r>
      <w:r w:rsidR="003331D1" w:rsidRPr="000B0EF6">
        <w:rPr>
          <w:rFonts w:ascii="Palatino Linotype" w:hAnsi="Palatino Linotype"/>
          <w:lang w:val="es-ES"/>
        </w:rPr>
        <w:t xml:space="preserve">del contenido del artículo anterior, </w:t>
      </w:r>
      <w:r w:rsidRPr="000B0EF6">
        <w:rPr>
          <w:rFonts w:ascii="Palatino Linotype" w:hAnsi="Palatino Linotype"/>
          <w:lang w:val="es-ES"/>
        </w:rPr>
        <w:t>enlista los requisitos de procedibilidad</w:t>
      </w:r>
      <w:r w:rsidR="003331D1" w:rsidRPr="000B0EF6">
        <w:rPr>
          <w:rFonts w:ascii="Palatino Linotype" w:hAnsi="Palatino Linotype"/>
          <w:lang w:val="es-ES"/>
        </w:rPr>
        <w:t>, lo cual,</w:t>
      </w:r>
      <w:r w:rsidRPr="000B0EF6">
        <w:rPr>
          <w:rFonts w:ascii="Palatino Linotype" w:hAnsi="Palatino Linotype"/>
          <w:lang w:val="es-ES"/>
        </w:rPr>
        <w:t xml:space="preserve"> incluye el nombre del solicitante como uno de ellos; sin embargo, también contempla la posibilidad de que en caso de que el recurso se interponga de manera electrónica el nombre no será indispensable, y al ser este recurso interpuesto por la plataforma digital especializada para ello </w:t>
      </w:r>
      <w:r w:rsidRPr="000B0EF6">
        <w:rPr>
          <w:rFonts w:ascii="Palatino Linotype" w:hAnsi="Palatino Linotype"/>
          <w:b/>
          <w:lang w:val="es-ES"/>
        </w:rPr>
        <w:t>(SAIMEX),</w:t>
      </w:r>
      <w:r w:rsidRPr="000B0EF6">
        <w:rPr>
          <w:rFonts w:ascii="Palatino Linotype" w:hAnsi="Palatino Linotype"/>
          <w:lang w:val="es-ES"/>
        </w:rPr>
        <w:t xml:space="preserve"> es que puede ser declarado procedente sin necesidad de que se acredite el nombre de quien lo interpone. </w:t>
      </w:r>
    </w:p>
    <w:p w14:paraId="101DFC76" w14:textId="77777777" w:rsidR="0032378D" w:rsidRPr="000B0EF6" w:rsidRDefault="0032378D" w:rsidP="0032378D">
      <w:pPr>
        <w:spacing w:line="360" w:lineRule="auto"/>
        <w:jc w:val="both"/>
        <w:rPr>
          <w:rFonts w:ascii="Palatino Linotype" w:hAnsi="Palatino Linotype"/>
          <w:lang w:val="es-ES"/>
        </w:rPr>
      </w:pPr>
      <w:r w:rsidRPr="000B0EF6">
        <w:rPr>
          <w:rFonts w:ascii="Palatino Linotype" w:hAnsi="Palatino Linotype"/>
          <w:lang w:val="es-ES"/>
        </w:rPr>
        <w:t xml:space="preserve"> </w:t>
      </w:r>
    </w:p>
    <w:p w14:paraId="696AE2F4" w14:textId="77777777" w:rsidR="0032378D" w:rsidRPr="000B0EF6" w:rsidRDefault="0032378D" w:rsidP="0032378D">
      <w:pPr>
        <w:spacing w:line="360" w:lineRule="auto"/>
        <w:jc w:val="both"/>
        <w:rPr>
          <w:rFonts w:ascii="Palatino Linotype" w:hAnsi="Palatino Linotype"/>
          <w:lang w:val="es-ES"/>
        </w:rPr>
      </w:pPr>
      <w:r w:rsidRPr="000B0EF6">
        <w:rPr>
          <w:rFonts w:ascii="Palatino Linotype" w:hAnsi="Palatino Linotype"/>
          <w:lang w:val="es-ES"/>
        </w:rPr>
        <w:lastRenderedPageBreak/>
        <w:t xml:space="preserve">Esto en virtud, de una interpretación sistemática, armónica y progresiva del derecho humano de acceso a la información pública la cual dispone que toda persona, sin necesidad de acreditar interés </w:t>
      </w:r>
      <w:r w:rsidRPr="000B0EF6">
        <w:rPr>
          <w:rFonts w:ascii="Palatino Linotype" w:hAnsi="Palatino Linotype" w:cs="Arial"/>
          <w:lang w:val="es-ES"/>
        </w:rPr>
        <w:t>alguno</w:t>
      </w:r>
      <w:r w:rsidRPr="000B0EF6">
        <w:rPr>
          <w:rFonts w:ascii="Palatino Linotype" w:hAnsi="Palatino Linotype"/>
          <w:lang w:val="es-ES"/>
        </w:rPr>
        <w:t xml:space="preserve"> o justificar su utilización, deberá tener acceso a la información pública, es decir, dicho </w:t>
      </w:r>
      <w:r w:rsidRPr="000B0EF6">
        <w:rPr>
          <w:rFonts w:ascii="Palatino Linotype" w:hAnsi="Palatino Linotype" w:cs="Arial"/>
          <w:lang w:val="es-ES"/>
        </w:rPr>
        <w:t>derecho</w:t>
      </w:r>
      <w:r w:rsidRPr="000B0EF6">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4918B4C" w14:textId="77777777" w:rsidR="0032378D" w:rsidRPr="000B0EF6" w:rsidRDefault="0032378D" w:rsidP="0032378D">
      <w:pPr>
        <w:spacing w:line="360" w:lineRule="auto"/>
        <w:jc w:val="both"/>
        <w:rPr>
          <w:rFonts w:ascii="Palatino Linotype" w:hAnsi="Palatino Linotype"/>
          <w:lang w:val="es-ES"/>
        </w:rPr>
      </w:pPr>
    </w:p>
    <w:p w14:paraId="1E99C897" w14:textId="1ECFFAB0" w:rsidR="0032378D" w:rsidRPr="000B0EF6" w:rsidRDefault="0032378D" w:rsidP="0032378D">
      <w:pPr>
        <w:spacing w:line="360" w:lineRule="auto"/>
        <w:jc w:val="both"/>
        <w:rPr>
          <w:rFonts w:ascii="Palatino Linotype" w:hAnsi="Palatino Linotype"/>
          <w:lang w:val="es-ES"/>
        </w:rPr>
      </w:pPr>
      <w:r w:rsidRPr="000B0EF6">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0B0EF6">
        <w:rPr>
          <w:rFonts w:ascii="Palatino Linotype" w:hAnsi="Palatino Linotype" w:cs="Arial"/>
          <w:lang w:val="es-ES"/>
        </w:rPr>
        <w:t>Constitución</w:t>
      </w:r>
      <w:r w:rsidR="003331D1" w:rsidRPr="000B0EF6">
        <w:rPr>
          <w:rFonts w:ascii="Palatino Linotype" w:hAnsi="Palatino Linotype"/>
          <w:lang w:val="es-ES"/>
        </w:rPr>
        <w:t xml:space="preserve"> Política de los Estados Unidos Mexicanos</w:t>
      </w:r>
      <w:r w:rsidRPr="000B0EF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además de la existencia de un precepto legal que lo permite, resulta ocioso realizar dicho análisis. </w:t>
      </w:r>
    </w:p>
    <w:p w14:paraId="0CB10480" w14:textId="77777777" w:rsidR="0032378D" w:rsidRPr="000B0EF6" w:rsidRDefault="0032378D" w:rsidP="0032378D">
      <w:pPr>
        <w:spacing w:line="360" w:lineRule="auto"/>
        <w:jc w:val="both"/>
        <w:rPr>
          <w:rFonts w:ascii="Palatino Linotype" w:hAnsi="Palatino Linotype"/>
          <w:lang w:val="es-ES"/>
        </w:rPr>
      </w:pPr>
    </w:p>
    <w:p w14:paraId="7E066C73" w14:textId="77777777" w:rsidR="0032378D" w:rsidRPr="000B0EF6" w:rsidRDefault="0032378D" w:rsidP="0032378D">
      <w:pPr>
        <w:spacing w:line="360" w:lineRule="auto"/>
        <w:jc w:val="both"/>
        <w:rPr>
          <w:rFonts w:ascii="Palatino Linotype" w:hAnsi="Palatino Linotype"/>
          <w:lang w:val="es-ES"/>
        </w:rPr>
      </w:pPr>
      <w:r w:rsidRPr="000B0EF6">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577B82B1" w14:textId="77777777" w:rsidR="0032378D" w:rsidRPr="000B0EF6" w:rsidRDefault="0032378D" w:rsidP="0032378D">
      <w:pPr>
        <w:tabs>
          <w:tab w:val="left" w:pos="851"/>
        </w:tabs>
        <w:ind w:left="851" w:right="901"/>
        <w:jc w:val="both"/>
        <w:rPr>
          <w:rFonts w:ascii="Palatino Linotype" w:hAnsi="Palatino Linotype" w:cs="Arial"/>
          <w:b/>
          <w:i/>
          <w:sz w:val="22"/>
          <w:szCs w:val="22"/>
          <w:lang w:val="es-ES"/>
        </w:rPr>
      </w:pPr>
    </w:p>
    <w:p w14:paraId="3851B783" w14:textId="77777777" w:rsidR="0032378D" w:rsidRPr="000B0EF6" w:rsidRDefault="0032378D" w:rsidP="0032378D">
      <w:pPr>
        <w:tabs>
          <w:tab w:val="left" w:pos="851"/>
        </w:tabs>
        <w:ind w:left="851" w:right="901"/>
        <w:jc w:val="both"/>
        <w:rPr>
          <w:rFonts w:ascii="Palatino Linotype" w:hAnsi="Palatino Linotype" w:cs="Arial"/>
          <w:i/>
          <w:sz w:val="22"/>
          <w:szCs w:val="22"/>
          <w:lang w:val="es-ES"/>
        </w:rPr>
      </w:pPr>
      <w:r w:rsidRPr="000B0EF6">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0B0EF6">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w:t>
      </w:r>
      <w:r w:rsidRPr="000B0EF6">
        <w:rPr>
          <w:rFonts w:ascii="Palatino Linotype" w:hAnsi="Palatino Linotype" w:cs="Arial"/>
          <w:i/>
          <w:sz w:val="22"/>
          <w:szCs w:val="22"/>
          <w:lang w:val="es-ES"/>
        </w:rPr>
        <w:lastRenderedPageBreak/>
        <w:t>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1F9F60E" w14:textId="77777777" w:rsidR="0032378D" w:rsidRPr="000B0EF6" w:rsidRDefault="0032378D" w:rsidP="0032378D">
      <w:pPr>
        <w:spacing w:line="360" w:lineRule="auto"/>
        <w:jc w:val="both"/>
        <w:rPr>
          <w:rFonts w:ascii="Palatino Linotype" w:hAnsi="Palatino Linotype"/>
          <w:lang w:val="es-ES"/>
        </w:rPr>
      </w:pPr>
    </w:p>
    <w:p w14:paraId="7EC28212" w14:textId="33288BBC" w:rsidR="00EA3177" w:rsidRPr="000B0EF6" w:rsidRDefault="0032378D" w:rsidP="0032378D">
      <w:pPr>
        <w:spacing w:line="360" w:lineRule="auto"/>
        <w:jc w:val="both"/>
        <w:rPr>
          <w:rFonts w:ascii="Palatino Linotype" w:hAnsi="Palatino Linotype"/>
          <w:lang w:val="es-ES"/>
        </w:rPr>
      </w:pPr>
      <w:r w:rsidRPr="000B0EF6">
        <w:rPr>
          <w:rFonts w:ascii="Palatino Linotype" w:hAnsi="Palatino Linotype"/>
          <w:lang w:val="es-ES"/>
        </w:rPr>
        <w:t xml:space="preserve">Asimismo, se estima que el requisito relativo al nombre del </w:t>
      </w:r>
      <w:r w:rsidRPr="000B0EF6">
        <w:rPr>
          <w:rFonts w:ascii="Palatino Linotype" w:hAnsi="Palatino Linotype" w:cs="Arial"/>
          <w:b/>
          <w:lang w:val="es-ES"/>
        </w:rPr>
        <w:t>RECURRENTE</w:t>
      </w:r>
      <w:r w:rsidRPr="000B0EF6">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B0EF6">
        <w:rPr>
          <w:rFonts w:ascii="Palatino Linotype" w:hAnsi="Palatino Linotype" w:cs="Arial"/>
          <w:b/>
          <w:lang w:val="es-ES"/>
        </w:rPr>
        <w:t>EL RECURRENTE</w:t>
      </w:r>
      <w:r w:rsidRPr="000B0EF6">
        <w:rPr>
          <w:rFonts w:ascii="Palatino Linotype" w:hAnsi="Palatino Linotype"/>
          <w:lang w:val="es-ES"/>
        </w:rPr>
        <w:t xml:space="preserve"> es la misma persona que realizó la solicitud de acceso a la información pública que ahora se impugna.</w:t>
      </w:r>
    </w:p>
    <w:p w14:paraId="4C4A5267" w14:textId="44F5A6C2" w:rsidR="00D06096" w:rsidRPr="000B0EF6" w:rsidRDefault="00247F83" w:rsidP="001B0F51">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rPr>
      </w:pPr>
      <w:r w:rsidRPr="000B0EF6">
        <w:rPr>
          <w:rFonts w:ascii="Palatino Linotype" w:hAnsi="Palatino Linotype" w:cs="Arial"/>
          <w:b/>
          <w:sz w:val="28"/>
          <w:szCs w:val="28"/>
        </w:rPr>
        <w:t>QUINTO.</w:t>
      </w:r>
      <w:r w:rsidR="00D23A60" w:rsidRPr="000B0EF6">
        <w:rPr>
          <w:rFonts w:ascii="Palatino Linotype" w:hAnsi="Palatino Linotype" w:cs="Arial"/>
          <w:b/>
          <w:sz w:val="28"/>
          <w:szCs w:val="28"/>
        </w:rPr>
        <w:t xml:space="preserve"> </w:t>
      </w:r>
      <w:r w:rsidR="002A4368" w:rsidRPr="000B0EF6">
        <w:rPr>
          <w:rFonts w:ascii="Palatino Linotype" w:hAnsi="Palatino Linotype" w:cs="Arial"/>
          <w:b/>
        </w:rPr>
        <w:t>Estudio y análisis del asunto</w:t>
      </w:r>
      <w:r w:rsidRPr="000B0EF6">
        <w:rPr>
          <w:rFonts w:ascii="Palatino Linotype" w:hAnsi="Palatino Linotype"/>
          <w:b/>
        </w:rPr>
        <w:t>.</w:t>
      </w:r>
      <w:r w:rsidR="008A0022" w:rsidRPr="000B0EF6">
        <w:rPr>
          <w:rFonts w:ascii="Palatino Linotype" w:hAnsi="Palatino Linotype" w:cs="Arial"/>
          <w:lang w:val="es-ES" w:eastAsia="es-MX"/>
        </w:rPr>
        <w:t xml:space="preserve"> </w:t>
      </w:r>
      <w:r w:rsidR="007B10F1" w:rsidRPr="000B0EF6">
        <w:rPr>
          <w:rFonts w:ascii="Palatino Linotype" w:hAnsi="Palatino Linotype" w:cs="Arial"/>
          <w:color w:val="000000" w:themeColor="text1"/>
        </w:rPr>
        <w:t xml:space="preserve">Una vez determinada la vía sobre la que versará el </w:t>
      </w:r>
      <w:r w:rsidR="007B10F1" w:rsidRPr="000B0EF6">
        <w:rPr>
          <w:rFonts w:ascii="Palatino Linotype" w:hAnsi="Palatino Linotype" w:cs="Arial"/>
        </w:rPr>
        <w:t>presente</w:t>
      </w:r>
      <w:r w:rsidR="007B10F1" w:rsidRPr="000B0EF6">
        <w:rPr>
          <w:rFonts w:ascii="Palatino Linotype" w:hAnsi="Palatino Linotype" w:cs="Arial"/>
          <w:color w:val="000000" w:themeColor="text1"/>
        </w:rPr>
        <w:t xml:space="preserve"> recurso y previa revisión del expediente electrónico, se advierte que </w:t>
      </w:r>
      <w:r w:rsidR="007B10F1" w:rsidRPr="000B0EF6">
        <w:rPr>
          <w:rFonts w:ascii="Palatino Linotype" w:hAnsi="Palatino Linotype"/>
          <w:b/>
          <w:color w:val="000000"/>
        </w:rPr>
        <w:t xml:space="preserve">EL RECURRENTE </w:t>
      </w:r>
      <w:r w:rsidR="00D06096" w:rsidRPr="000B0EF6">
        <w:rPr>
          <w:rFonts w:ascii="Palatino Linotype" w:eastAsiaTheme="minorEastAsia" w:hAnsi="Palatino Linotype" w:cs="Arial"/>
          <w:lang w:val="es-ES_tradnl"/>
        </w:rPr>
        <w:t>estableció como acto impugnado el siguiente:</w:t>
      </w:r>
    </w:p>
    <w:p w14:paraId="3AE81B5E" w14:textId="53D2BDE2" w:rsidR="00546C02" w:rsidRPr="000B0EF6" w:rsidRDefault="00D06096" w:rsidP="00546C02">
      <w:pPr>
        <w:tabs>
          <w:tab w:val="left" w:pos="7936"/>
        </w:tabs>
        <w:ind w:left="851" w:right="902"/>
        <w:jc w:val="both"/>
        <w:rPr>
          <w:rFonts w:ascii="Palatino Linotype" w:hAnsi="Palatino Linotype" w:cs="Arial"/>
          <w:i/>
          <w:sz w:val="22"/>
          <w:szCs w:val="22"/>
          <w:lang w:eastAsia="es-MX"/>
        </w:rPr>
      </w:pPr>
      <w:r w:rsidRPr="000B0EF6">
        <w:rPr>
          <w:rFonts w:ascii="Palatino Linotype" w:eastAsiaTheme="minorEastAsia" w:hAnsi="Palatino Linotype" w:cs="Arial"/>
          <w:i/>
          <w:lang w:val="es-ES_tradnl"/>
        </w:rPr>
        <w:t xml:space="preserve"> </w:t>
      </w:r>
      <w:r w:rsidRPr="000B0EF6">
        <w:rPr>
          <w:rFonts w:ascii="Palatino Linotype" w:hAnsi="Palatino Linotype" w:cs="Arial"/>
          <w:i/>
          <w:sz w:val="22"/>
          <w:szCs w:val="22"/>
          <w:lang w:eastAsia="es-MX"/>
        </w:rPr>
        <w:t>“</w:t>
      </w:r>
      <w:r w:rsidR="00B367B8" w:rsidRPr="000B0EF6">
        <w:rPr>
          <w:rFonts w:ascii="Palatino Linotype" w:hAnsi="Palatino Linotype" w:cs="Arial"/>
          <w:i/>
          <w:sz w:val="22"/>
          <w:szCs w:val="22"/>
          <w:lang w:eastAsia="es-MX"/>
        </w:rPr>
        <w:t>La respuesta</w:t>
      </w:r>
      <w:r w:rsidRPr="000B0EF6">
        <w:rPr>
          <w:rFonts w:ascii="Palatino Linotype" w:hAnsi="Palatino Linotype" w:cs="Arial"/>
          <w:i/>
          <w:sz w:val="22"/>
          <w:szCs w:val="22"/>
          <w:lang w:eastAsia="es-MX"/>
        </w:rPr>
        <w:t>.” (Sic)</w:t>
      </w:r>
    </w:p>
    <w:p w14:paraId="6A10710A" w14:textId="77777777" w:rsidR="006F0CCC" w:rsidRPr="000B0EF6" w:rsidRDefault="006F0CCC" w:rsidP="00546C02">
      <w:pPr>
        <w:tabs>
          <w:tab w:val="left" w:pos="7936"/>
        </w:tabs>
        <w:ind w:left="851" w:right="902"/>
        <w:jc w:val="both"/>
        <w:rPr>
          <w:rFonts w:ascii="Palatino Linotype" w:hAnsi="Palatino Linotype" w:cs="Arial"/>
          <w:i/>
          <w:sz w:val="22"/>
          <w:szCs w:val="22"/>
          <w:lang w:eastAsia="es-MX"/>
        </w:rPr>
      </w:pPr>
    </w:p>
    <w:p w14:paraId="6EE6F9F9" w14:textId="49633243" w:rsidR="00546C02" w:rsidRPr="000B0EF6" w:rsidRDefault="000105B8" w:rsidP="00546C02">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0B0EF6">
        <w:rPr>
          <w:rFonts w:ascii="Palatino Linotype" w:eastAsiaTheme="minorEastAsia" w:hAnsi="Palatino Linotype" w:cs="Arial"/>
          <w:lang w:val="es-ES_tradnl"/>
        </w:rPr>
        <w:t>Asimismo</w:t>
      </w:r>
      <w:r w:rsidR="001B0F51" w:rsidRPr="000B0EF6">
        <w:rPr>
          <w:rFonts w:ascii="Palatino Linotype" w:eastAsiaTheme="minorEastAsia" w:hAnsi="Palatino Linotype" w:cs="Arial"/>
          <w:lang w:val="es-ES_tradnl"/>
        </w:rPr>
        <w:t xml:space="preserve"> manifestó </w:t>
      </w:r>
      <w:r w:rsidR="00546C02" w:rsidRPr="000B0EF6">
        <w:rPr>
          <w:rFonts w:ascii="Palatino Linotype" w:eastAsiaTheme="minorEastAsia" w:hAnsi="Palatino Linotype" w:cs="Arial"/>
          <w:lang w:val="es-ES_tradnl"/>
        </w:rPr>
        <w:t xml:space="preserve">como razones o motivos de inconformidad, lo que enseguida </w:t>
      </w:r>
      <w:r w:rsidR="00546C02" w:rsidRPr="000B0EF6">
        <w:rPr>
          <w:rFonts w:ascii="Palatino Linotype" w:eastAsiaTheme="minorEastAsia" w:hAnsi="Palatino Linotype" w:cs="Arial"/>
          <w:lang w:val="es-ES_tradnl"/>
        </w:rPr>
        <w:lastRenderedPageBreak/>
        <w:t xml:space="preserve">se trascribe: </w:t>
      </w:r>
    </w:p>
    <w:p w14:paraId="29BD4093" w14:textId="72AEAC6F" w:rsidR="0004025A" w:rsidRPr="000B0EF6" w:rsidRDefault="00546C02" w:rsidP="0032378D">
      <w:pPr>
        <w:widowControl w:val="0"/>
        <w:tabs>
          <w:tab w:val="left" w:pos="1701"/>
          <w:tab w:val="left" w:pos="1843"/>
        </w:tabs>
        <w:autoSpaceDE w:val="0"/>
        <w:autoSpaceDN w:val="0"/>
        <w:adjustRightInd w:val="0"/>
        <w:ind w:left="709" w:right="618"/>
        <w:jc w:val="both"/>
        <w:rPr>
          <w:rFonts w:ascii="Palatino Linotype" w:hAnsi="Palatino Linotype" w:cs="Arial"/>
          <w:i/>
          <w:sz w:val="22"/>
          <w:szCs w:val="22"/>
          <w:lang w:eastAsia="es-MX"/>
        </w:rPr>
      </w:pPr>
      <w:r w:rsidRPr="000B0EF6">
        <w:rPr>
          <w:rFonts w:ascii="Palatino Linotype" w:hAnsi="Palatino Linotype" w:cs="Arial"/>
          <w:i/>
          <w:sz w:val="22"/>
          <w:szCs w:val="22"/>
          <w:lang w:eastAsia="es-MX"/>
        </w:rPr>
        <w:t>“</w:t>
      </w:r>
      <w:r w:rsidR="00B367B8" w:rsidRPr="000B0EF6">
        <w:rPr>
          <w:rFonts w:ascii="Palatino Linotype" w:hAnsi="Palatino Linotype" w:cs="Arial"/>
          <w:i/>
          <w:sz w:val="22"/>
          <w:szCs w:val="22"/>
          <w:lang w:eastAsia="es-MX"/>
        </w:rPr>
        <w:t>No quieren trabajar</w:t>
      </w:r>
      <w:r w:rsidRPr="000B0EF6">
        <w:rPr>
          <w:rFonts w:ascii="Palatino Linotype" w:hAnsi="Palatino Linotype" w:cs="Arial"/>
          <w:i/>
          <w:sz w:val="22"/>
          <w:szCs w:val="22"/>
          <w:lang w:eastAsia="es-MX"/>
        </w:rPr>
        <w:t xml:space="preserve"> </w:t>
      </w:r>
      <w:r w:rsidR="0081088F" w:rsidRPr="000B0EF6">
        <w:rPr>
          <w:rFonts w:ascii="Palatino Linotype" w:hAnsi="Palatino Linotype" w:cs="Arial"/>
          <w:i/>
          <w:sz w:val="22"/>
          <w:szCs w:val="22"/>
          <w:lang w:eastAsia="es-MX"/>
        </w:rPr>
        <w:t>“</w:t>
      </w:r>
      <w:r w:rsidRPr="000B0EF6">
        <w:rPr>
          <w:rFonts w:ascii="Palatino Linotype" w:hAnsi="Palatino Linotype" w:cs="Arial"/>
          <w:i/>
          <w:sz w:val="22"/>
          <w:szCs w:val="22"/>
          <w:lang w:eastAsia="es-MX"/>
        </w:rPr>
        <w:t>(Sic)</w:t>
      </w:r>
    </w:p>
    <w:p w14:paraId="36E90595" w14:textId="43162ECD" w:rsidR="00CA0FB1" w:rsidRPr="000B0EF6" w:rsidRDefault="00DF6431" w:rsidP="00CA0FB1">
      <w:pPr>
        <w:shd w:val="clear" w:color="auto" w:fill="FFFFFF"/>
        <w:spacing w:before="240" w:line="360" w:lineRule="auto"/>
        <w:jc w:val="both"/>
        <w:rPr>
          <w:rFonts w:ascii="Palatino Linotype" w:hAnsi="Palatino Linotype"/>
          <w:color w:val="222222"/>
          <w:lang w:eastAsia="es-MX"/>
        </w:rPr>
      </w:pPr>
      <w:r w:rsidRPr="000B0EF6">
        <w:rPr>
          <w:rFonts w:ascii="Palatino Linotype" w:eastAsiaTheme="minorEastAsia" w:hAnsi="Palatino Linotype" w:cs="Arial"/>
          <w:lang w:val="es-ES_tradnl"/>
        </w:rPr>
        <w:t xml:space="preserve">En atención a lo anterior, </w:t>
      </w:r>
      <w:r w:rsidR="00B367B8" w:rsidRPr="000B0EF6">
        <w:rPr>
          <w:rFonts w:ascii="Palatino Linotype" w:eastAsiaTheme="minorEastAsia" w:hAnsi="Palatino Linotype" w:cs="Arial"/>
          <w:lang w:val="es-ES_tradnl"/>
        </w:rPr>
        <w:t xml:space="preserve">lo procedente es declararlos </w:t>
      </w:r>
      <w:r w:rsidR="00CA0FB1" w:rsidRPr="000B0EF6">
        <w:rPr>
          <w:rFonts w:ascii="Palatino Linotype" w:eastAsiaTheme="minorEastAsia" w:hAnsi="Palatino Linotype" w:cs="Arial"/>
          <w:lang w:val="es-ES_tradnl"/>
        </w:rPr>
        <w:t xml:space="preserve">como manifestaciones subjetivas </w:t>
      </w:r>
      <w:r w:rsidR="00CA0FB1" w:rsidRPr="000B0EF6">
        <w:rPr>
          <w:rFonts w:ascii="Palatino Linotype" w:hAnsi="Palatino Linotype"/>
          <w:color w:val="222222"/>
          <w:lang w:eastAsia="es-MX"/>
        </w:rPr>
        <w:t xml:space="preserve">en ejercicio al derecho de libertad de expresión, </w:t>
      </w:r>
      <w:r w:rsidR="00B96EAC" w:rsidRPr="000B0EF6">
        <w:rPr>
          <w:rFonts w:ascii="Palatino Linotype" w:hAnsi="Palatino Linotype"/>
          <w:color w:val="222222"/>
          <w:lang w:eastAsia="es-MX"/>
        </w:rPr>
        <w:t xml:space="preserve">mismas que no son </w:t>
      </w:r>
      <w:r w:rsidR="00CA0FB1" w:rsidRPr="000B0EF6">
        <w:rPr>
          <w:rFonts w:ascii="Palatino Linotype" w:hAnsi="Palatino Linotype"/>
          <w:color w:val="222222"/>
          <w:lang w:eastAsia="es-MX"/>
        </w:rPr>
        <w:t xml:space="preserve">materia del derecho al acceso a la información pública </w:t>
      </w:r>
      <w:r w:rsidR="00B96EAC" w:rsidRPr="000B0EF6">
        <w:rPr>
          <w:rFonts w:ascii="Palatino Linotype" w:hAnsi="Palatino Linotype"/>
          <w:color w:val="222222"/>
          <w:lang w:eastAsia="es-MX"/>
        </w:rPr>
        <w:t xml:space="preserve">y por tanto </w:t>
      </w:r>
      <w:r w:rsidR="00CA0FB1" w:rsidRPr="000B0EF6">
        <w:rPr>
          <w:rFonts w:ascii="Palatino Linotype" w:hAnsi="Palatino Linotype"/>
          <w:color w:val="222222"/>
          <w:lang w:eastAsia="es-MX"/>
        </w:rPr>
        <w:t>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0F5EAC81" w14:textId="5967D052" w:rsidR="00CA0FB1" w:rsidRPr="000B0EF6" w:rsidRDefault="00CA0FB1" w:rsidP="007E2A13">
      <w:pPr>
        <w:shd w:val="clear" w:color="auto" w:fill="FFFFFF"/>
        <w:ind w:left="709" w:right="1134"/>
        <w:jc w:val="both"/>
        <w:rPr>
          <w:rFonts w:ascii="Palatino Linotype" w:hAnsi="Palatino Linotype"/>
          <w:i/>
          <w:color w:val="222222"/>
          <w:sz w:val="22"/>
          <w:lang w:eastAsia="es-MX"/>
        </w:rPr>
      </w:pPr>
      <w:r w:rsidRPr="000B0EF6">
        <w:rPr>
          <w:rFonts w:ascii="Palatino Linotype" w:hAnsi="Palatino Linotype"/>
          <w:i/>
          <w:color w:val="222222"/>
          <w:sz w:val="22"/>
          <w:lang w:eastAsia="es-MX"/>
        </w:rPr>
        <w:t>“</w:t>
      </w:r>
      <w:r w:rsidRPr="000B0EF6">
        <w:rPr>
          <w:rFonts w:ascii="Palatino Linotype" w:hAnsi="Palatino Linotype"/>
          <w:b/>
          <w:i/>
          <w:color w:val="222222"/>
          <w:sz w:val="22"/>
          <w:lang w:eastAsia="es-MX"/>
        </w:rPr>
        <w:t xml:space="preserve">ACCESO A LA INFORMACIÓN PÚBLICA. LA CONSULTA RELATIVA QUE AL EFECTO PRESENTEN LOS SOLICITANTES, DEBE CUMPLIR CON LOS REQUISITOS CONSTITUCIONALES PARA EJERCER EL DERECHO DE PETICIÓN. </w:t>
      </w:r>
      <w:r w:rsidRPr="000B0EF6">
        <w:rPr>
          <w:rFonts w:ascii="Palatino Linotype" w:hAnsi="Palatino Linotype"/>
          <w:i/>
          <w:color w:val="222222"/>
          <w:sz w:val="22"/>
          <w:lang w:eastAsia="es-MX"/>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3E0C80AB" w14:textId="77777777" w:rsidR="00CA0FB1" w:rsidRPr="000B0EF6" w:rsidRDefault="00CA0FB1" w:rsidP="00CA0FB1">
      <w:pPr>
        <w:shd w:val="clear" w:color="auto" w:fill="FFFFFF"/>
        <w:ind w:left="709" w:right="1134"/>
        <w:jc w:val="both"/>
        <w:rPr>
          <w:rFonts w:ascii="Palatino Linotype" w:hAnsi="Palatino Linotype"/>
          <w:i/>
          <w:color w:val="222222"/>
          <w:sz w:val="22"/>
          <w:lang w:eastAsia="es-MX"/>
        </w:rPr>
      </w:pPr>
      <w:r w:rsidRPr="000B0EF6">
        <w:rPr>
          <w:rFonts w:ascii="Palatino Linotype" w:hAnsi="Palatino Linotype"/>
          <w:i/>
          <w:color w:val="222222"/>
          <w:sz w:val="22"/>
          <w:lang w:eastAsia="es-MX"/>
        </w:rPr>
        <w:t>(Énfasis añadido)</w:t>
      </w:r>
    </w:p>
    <w:p w14:paraId="7F4FD2F6" w14:textId="049AF7FC" w:rsidR="00CA0FB1" w:rsidRPr="000B0EF6" w:rsidRDefault="00CA0FB1" w:rsidP="00CA0FB1">
      <w:pPr>
        <w:shd w:val="clear" w:color="auto" w:fill="FFFFFF"/>
        <w:spacing w:before="240" w:line="360" w:lineRule="auto"/>
        <w:jc w:val="both"/>
        <w:rPr>
          <w:rFonts w:ascii="Palatino Linotype" w:hAnsi="Palatino Linotype"/>
          <w:color w:val="000000"/>
          <w:lang w:eastAsia="es-MX"/>
        </w:rPr>
      </w:pPr>
      <w:r w:rsidRPr="000B0EF6">
        <w:rPr>
          <w:rFonts w:ascii="Palatino Linotype" w:hAnsi="Palatino Linotype"/>
          <w:color w:val="000000"/>
          <w:lang w:eastAsia="es-MX"/>
        </w:rPr>
        <w:t xml:space="preserve">Así, </w:t>
      </w:r>
      <w:r w:rsidR="00B96EAC" w:rsidRPr="000B0EF6">
        <w:rPr>
          <w:rFonts w:ascii="Palatino Linotype" w:hAnsi="Palatino Linotype"/>
          <w:color w:val="000000"/>
          <w:lang w:eastAsia="es-MX"/>
        </w:rPr>
        <w:t xml:space="preserve">de conformidad con el artículo séptimo </w:t>
      </w:r>
      <w:r w:rsidRPr="000B0EF6">
        <w:rPr>
          <w:rFonts w:ascii="Palatino Linotype" w:hAnsi="Palatino Linotype"/>
          <w:color w:val="000000"/>
          <w:lang w:eastAsia="es-MX"/>
        </w:rPr>
        <w:t xml:space="preserve">Constitucional, ninguna ley ni autoridad puede establecer la previa censura, ni coartar la libertad de difusión, que no tiene más límites que </w:t>
      </w:r>
      <w:r w:rsidR="00D3448A" w:rsidRPr="000B0EF6">
        <w:rPr>
          <w:rFonts w:ascii="Palatino Linotype" w:hAnsi="Palatino Linotype"/>
          <w:color w:val="000000"/>
          <w:lang w:eastAsia="es-MX"/>
        </w:rPr>
        <w:t xml:space="preserve">el </w:t>
      </w:r>
      <w:r w:rsidRPr="000B0EF6">
        <w:rPr>
          <w:rFonts w:ascii="Palatino Linotype" w:hAnsi="Palatino Linotype"/>
          <w:color w:val="000000"/>
          <w:lang w:eastAsia="es-MX"/>
        </w:rPr>
        <w:t xml:space="preserve">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w:t>
      </w:r>
      <w:r w:rsidRPr="000B0EF6">
        <w:rPr>
          <w:rFonts w:ascii="Palatino Linotype" w:hAnsi="Palatino Linotype"/>
          <w:color w:val="000000"/>
          <w:lang w:eastAsia="es-MX"/>
        </w:rPr>
        <w:lastRenderedPageBreak/>
        <w:t>este Instituto declara como i</w:t>
      </w:r>
      <w:r w:rsidR="00D3448A" w:rsidRPr="000B0EF6">
        <w:rPr>
          <w:rFonts w:ascii="Palatino Linotype" w:hAnsi="Palatino Linotype"/>
          <w:color w:val="000000"/>
          <w:lang w:eastAsia="es-MX"/>
        </w:rPr>
        <w:t xml:space="preserve">natendibles las manifestaciones expresadas en las razones o motivos de inconformidad </w:t>
      </w:r>
      <w:r w:rsidRPr="000B0EF6">
        <w:rPr>
          <w:rFonts w:ascii="Palatino Linotype" w:hAnsi="Palatino Linotype"/>
          <w:color w:val="000000"/>
          <w:lang w:eastAsia="es-MX"/>
        </w:rPr>
        <w:t>mencionadas en líneas precedentes; máxime que, de conformidad con el artículo 36 de la Ley de Transparencia y Acceso a la Información del Estado de México y Municipios este Órgano Garante no está facultado para pronunciarse al respecto.</w:t>
      </w:r>
    </w:p>
    <w:p w14:paraId="58E7638C" w14:textId="77777777" w:rsidR="00B367B8" w:rsidRPr="000B0EF6" w:rsidRDefault="00B367B8" w:rsidP="00B367B8">
      <w:pPr>
        <w:spacing w:line="360" w:lineRule="auto"/>
        <w:jc w:val="both"/>
        <w:rPr>
          <w:rFonts w:ascii="Palatino Linotype" w:eastAsiaTheme="minorEastAsia" w:hAnsi="Palatino Linotype" w:cs="Arial"/>
          <w:lang w:val="es-ES_tradnl"/>
        </w:rPr>
      </w:pPr>
    </w:p>
    <w:p w14:paraId="7111EEBD" w14:textId="7739A177" w:rsidR="001B0F51" w:rsidRPr="000B0EF6" w:rsidRDefault="001B0F51" w:rsidP="00B367B8">
      <w:pPr>
        <w:spacing w:line="360" w:lineRule="auto"/>
        <w:jc w:val="both"/>
        <w:rPr>
          <w:rFonts w:ascii="Palatino Linotype" w:eastAsiaTheme="minorEastAsia" w:hAnsi="Palatino Linotype" w:cs="Arial"/>
          <w:lang w:val="es-ES_tradnl"/>
        </w:rPr>
      </w:pPr>
      <w:r w:rsidRPr="000B0EF6">
        <w:rPr>
          <w:rFonts w:ascii="Palatino Linotype" w:eastAsiaTheme="minorEastAsia" w:hAnsi="Palatino Linotype" w:cs="Arial"/>
          <w:lang w:val="es-ES_tradnl"/>
        </w:rPr>
        <w:t xml:space="preserve">Sin embargo, al haber existido un pronunciamiento del </w:t>
      </w:r>
      <w:r w:rsidRPr="000B0EF6">
        <w:rPr>
          <w:rFonts w:ascii="Palatino Linotype" w:eastAsiaTheme="minorEastAsia" w:hAnsi="Palatino Linotype" w:cs="Arial"/>
          <w:b/>
          <w:lang w:val="es-ES_tradnl"/>
        </w:rPr>
        <w:t>RECURRENTE</w:t>
      </w:r>
      <w:r w:rsidR="00D3448A" w:rsidRPr="000B0EF6">
        <w:rPr>
          <w:rFonts w:ascii="Palatino Linotype" w:eastAsiaTheme="minorEastAsia" w:hAnsi="Palatino Linotype" w:cs="Arial"/>
          <w:lang w:val="es-ES_tradnl"/>
        </w:rPr>
        <w:t xml:space="preserve"> para impugnar el acto y en atención a lo establecido por la Ley de Transparencia y Acceso a la Información Pública del Estado de México y Municipios en sus artículos 13 y 181 párrafo cuarto que señalan lo que a continuación se trascribe, </w:t>
      </w:r>
      <w:r w:rsidRPr="000B0EF6">
        <w:rPr>
          <w:rFonts w:ascii="Palatino Linotype" w:eastAsiaTheme="minorEastAsia" w:hAnsi="Palatino Linotype" w:cs="Arial"/>
          <w:lang w:val="es-ES_tradnl"/>
        </w:rPr>
        <w:t xml:space="preserve">es que ahora la Ponencia Resolutora entrará al estudio del recurso. </w:t>
      </w:r>
    </w:p>
    <w:p w14:paraId="482840EF" w14:textId="77777777" w:rsidR="00D3448A" w:rsidRPr="000B0EF6" w:rsidRDefault="00D3448A" w:rsidP="00B367B8">
      <w:pPr>
        <w:spacing w:line="360" w:lineRule="auto"/>
        <w:jc w:val="both"/>
        <w:rPr>
          <w:rFonts w:ascii="Palatino Linotype" w:eastAsiaTheme="minorEastAsia" w:hAnsi="Palatino Linotype" w:cs="Arial"/>
          <w:lang w:val="es-ES_tradnl"/>
        </w:rPr>
      </w:pPr>
    </w:p>
    <w:p w14:paraId="4B4FE81E" w14:textId="7D4EE47C" w:rsidR="00D3448A" w:rsidRPr="000B0EF6" w:rsidRDefault="00D3448A" w:rsidP="00D3448A">
      <w:pPr>
        <w:ind w:left="851" w:right="616"/>
        <w:jc w:val="both"/>
        <w:rPr>
          <w:rFonts w:ascii="Palatino Linotype" w:hAnsi="Palatino Linotype"/>
          <w:i/>
          <w:sz w:val="22"/>
        </w:rPr>
      </w:pPr>
      <w:r w:rsidRPr="000B0EF6">
        <w:rPr>
          <w:rFonts w:ascii="Palatino Linotype" w:hAnsi="Palatino Linotype"/>
          <w:b/>
          <w:i/>
          <w:sz w:val="22"/>
        </w:rPr>
        <w:t>“Artículo 13</w:t>
      </w:r>
      <w:r w:rsidRPr="000B0EF6">
        <w:rPr>
          <w:rFonts w:ascii="Palatino Linotype" w:hAnsi="Palatino Linotype"/>
          <w:i/>
          <w:sz w:val="22"/>
        </w:rPr>
        <w:t>. El Instituto, en el ámbito de sus atribuciones, deberá suplir cualquier deficiencia para garantizar el ejercicio del derecho de acceso a la información</w:t>
      </w:r>
    </w:p>
    <w:p w14:paraId="59D0B8A7" w14:textId="77777777" w:rsidR="00D3448A" w:rsidRPr="000B0EF6" w:rsidRDefault="00D3448A" w:rsidP="00D3448A">
      <w:pPr>
        <w:ind w:left="851" w:right="616"/>
        <w:jc w:val="both"/>
        <w:rPr>
          <w:rFonts w:ascii="Palatino Linotype" w:hAnsi="Palatino Linotype"/>
          <w:i/>
          <w:sz w:val="22"/>
        </w:rPr>
      </w:pPr>
    </w:p>
    <w:p w14:paraId="131B7144" w14:textId="75DB6737" w:rsidR="00D3448A" w:rsidRPr="000B0EF6" w:rsidRDefault="00D3448A" w:rsidP="00D3448A">
      <w:pPr>
        <w:ind w:left="851" w:right="616"/>
        <w:jc w:val="both"/>
        <w:rPr>
          <w:rFonts w:ascii="Palatino Linotype" w:hAnsi="Palatino Linotype"/>
          <w:i/>
          <w:sz w:val="22"/>
        </w:rPr>
      </w:pPr>
      <w:r w:rsidRPr="000B0EF6">
        <w:rPr>
          <w:rFonts w:ascii="Palatino Linotype" w:hAnsi="Palatino Linotype"/>
          <w:b/>
          <w:i/>
          <w:sz w:val="22"/>
        </w:rPr>
        <w:t>Artículo 181.</w:t>
      </w:r>
      <w:r w:rsidRPr="000B0EF6">
        <w:rPr>
          <w:rFonts w:ascii="Palatino Linotype" w:hAnsi="Palatino Linotype"/>
          <w:i/>
          <w:sz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3748B9B5" w14:textId="364FB7B7" w:rsidR="00D3448A" w:rsidRPr="000B0EF6" w:rsidRDefault="00D3448A" w:rsidP="00D3448A">
      <w:pPr>
        <w:ind w:left="851" w:right="616"/>
        <w:jc w:val="both"/>
        <w:rPr>
          <w:rFonts w:ascii="Palatino Linotype" w:hAnsi="Palatino Linotype"/>
          <w:i/>
          <w:sz w:val="22"/>
        </w:rPr>
      </w:pPr>
      <w:r w:rsidRPr="000B0EF6">
        <w:rPr>
          <w:rFonts w:ascii="Palatino Linotype" w:hAnsi="Palatino Linotype"/>
          <w:i/>
          <w:sz w:val="22"/>
        </w:rPr>
        <w:t>(…)</w:t>
      </w:r>
    </w:p>
    <w:p w14:paraId="56A0644E" w14:textId="76A09AC1" w:rsidR="00D3448A" w:rsidRPr="000B0EF6" w:rsidRDefault="00D3448A" w:rsidP="00D3448A">
      <w:pPr>
        <w:ind w:left="851" w:right="616"/>
        <w:jc w:val="both"/>
        <w:rPr>
          <w:rFonts w:ascii="Palatino Linotype" w:hAnsi="Palatino Linotype"/>
          <w:b/>
          <w:i/>
          <w:sz w:val="22"/>
        </w:rPr>
      </w:pPr>
      <w:r w:rsidRPr="000B0EF6">
        <w:rPr>
          <w:rFonts w:ascii="Palatino Linotype" w:hAnsi="Palatino Linotype"/>
          <w:b/>
          <w:i/>
          <w:sz w:val="22"/>
        </w:rPr>
        <w:t>Durante el procedimiento deberá aplicarse la suplencia de la queja a favor del recurrente, sin cambiar los hechos expuestos, asegurándose de que las partes puedan presentar, de manera oral o escrita, los argumentos que funden y motiven sus pretensiones.”(Sic)</w:t>
      </w:r>
    </w:p>
    <w:p w14:paraId="0A5DE4D7" w14:textId="2D4B3756" w:rsidR="00D3448A" w:rsidRPr="000B0EF6" w:rsidRDefault="00D3448A" w:rsidP="00D3448A">
      <w:pPr>
        <w:ind w:left="851" w:right="616"/>
        <w:jc w:val="both"/>
        <w:rPr>
          <w:rFonts w:ascii="Palatino Linotype" w:hAnsi="Palatino Linotype"/>
          <w:b/>
          <w:i/>
          <w:sz w:val="22"/>
        </w:rPr>
      </w:pPr>
      <w:r w:rsidRPr="000B0EF6">
        <w:rPr>
          <w:rFonts w:ascii="Palatino Linotype" w:hAnsi="Palatino Linotype"/>
          <w:b/>
          <w:i/>
          <w:sz w:val="22"/>
        </w:rPr>
        <w:t>(Énfasis añadido)</w:t>
      </w:r>
    </w:p>
    <w:p w14:paraId="1A4974C5" w14:textId="2EF9EA63" w:rsidR="00D3448A" w:rsidRPr="000B0EF6" w:rsidRDefault="00D3448A" w:rsidP="001B0F51">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olor w:val="000000"/>
        </w:rPr>
      </w:pPr>
      <w:r w:rsidRPr="000B0EF6">
        <w:rPr>
          <w:rFonts w:ascii="Palatino Linotype" w:hAnsi="Palatino Linotype"/>
          <w:color w:val="000000"/>
        </w:rPr>
        <w:t xml:space="preserve">De los preceptos anteriores se desprende la obligación de este instituto como </w:t>
      </w:r>
      <w:r w:rsidR="00F6476A" w:rsidRPr="000B0EF6">
        <w:rPr>
          <w:rFonts w:ascii="Palatino Linotype" w:hAnsi="Palatino Linotype"/>
          <w:color w:val="000000"/>
        </w:rPr>
        <w:t>Ó</w:t>
      </w:r>
      <w:r w:rsidRPr="000B0EF6">
        <w:rPr>
          <w:rFonts w:ascii="Palatino Linotype" w:hAnsi="Palatino Linotype"/>
          <w:color w:val="000000"/>
        </w:rPr>
        <w:t xml:space="preserve">rgano Garante de suplir las deficiencias que pudieran mermar el debido ejercicio </w:t>
      </w:r>
      <w:r w:rsidRPr="000B0EF6">
        <w:rPr>
          <w:rFonts w:ascii="Palatino Linotype" w:hAnsi="Palatino Linotype"/>
          <w:color w:val="000000"/>
        </w:rPr>
        <w:lastRenderedPageBreak/>
        <w:t>del derecho de acceso a la información, es por ello que, a pesar de que en los motivos o razones de inconformidad no hay materia sobre la cual se pueda pronunciar este Instituto, al haber señalado como acto impugnado la respuesta en la interposición del presente</w:t>
      </w:r>
      <w:r w:rsidR="00F6476A" w:rsidRPr="000B0EF6">
        <w:rPr>
          <w:rFonts w:ascii="Palatino Linotype" w:hAnsi="Palatino Linotype"/>
          <w:color w:val="000000"/>
        </w:rPr>
        <w:t xml:space="preserve"> recurso, </w:t>
      </w:r>
      <w:r w:rsidRPr="000B0EF6">
        <w:rPr>
          <w:rFonts w:ascii="Palatino Linotype" w:hAnsi="Palatino Linotype"/>
          <w:color w:val="000000"/>
        </w:rPr>
        <w:t xml:space="preserve">se entiende la inconformidad del </w:t>
      </w:r>
      <w:r w:rsidRPr="000B0EF6">
        <w:rPr>
          <w:rFonts w:ascii="Palatino Linotype" w:hAnsi="Palatino Linotype"/>
          <w:b/>
          <w:color w:val="000000"/>
        </w:rPr>
        <w:t xml:space="preserve">RECURRENTE </w:t>
      </w:r>
      <w:r w:rsidRPr="000B0EF6">
        <w:rPr>
          <w:rFonts w:ascii="Palatino Linotype" w:hAnsi="Palatino Linotype"/>
          <w:color w:val="000000"/>
        </w:rPr>
        <w:t xml:space="preserve">ante la respuesta otorgada por </w:t>
      </w:r>
      <w:r w:rsidRPr="000B0EF6">
        <w:rPr>
          <w:rFonts w:ascii="Palatino Linotype" w:hAnsi="Palatino Linotype"/>
          <w:b/>
          <w:color w:val="000000"/>
        </w:rPr>
        <w:t>EL S</w:t>
      </w:r>
      <w:r w:rsidR="00261938" w:rsidRPr="000B0EF6">
        <w:rPr>
          <w:rFonts w:ascii="Palatino Linotype" w:hAnsi="Palatino Linotype"/>
          <w:b/>
          <w:color w:val="000000"/>
        </w:rPr>
        <w:t xml:space="preserve">UJETO OBLIGADO, </w:t>
      </w:r>
      <w:r w:rsidR="00261938" w:rsidRPr="000B0EF6">
        <w:rPr>
          <w:rFonts w:ascii="Palatino Linotype" w:hAnsi="Palatino Linotype"/>
          <w:color w:val="000000"/>
        </w:rPr>
        <w:t xml:space="preserve">misma que será el objeto de estudio de esta resolución. </w:t>
      </w:r>
    </w:p>
    <w:p w14:paraId="1F0B3752" w14:textId="27A2125B" w:rsidR="001B0F51" w:rsidRPr="000B0EF6" w:rsidRDefault="001B0F51" w:rsidP="001B0F51">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rPr>
      </w:pPr>
      <w:r w:rsidRPr="000B0EF6">
        <w:rPr>
          <w:rFonts w:ascii="Palatino Linotype" w:hAnsi="Palatino Linotype"/>
          <w:color w:val="000000"/>
        </w:rPr>
        <w:t xml:space="preserve">Habiendo precisado lo anterior, conviene recordar que </w:t>
      </w:r>
      <w:r w:rsidRPr="000B0EF6">
        <w:rPr>
          <w:rFonts w:ascii="Palatino Linotype" w:hAnsi="Palatino Linotype"/>
          <w:b/>
          <w:color w:val="000000"/>
        </w:rPr>
        <w:t xml:space="preserve">EL RECURRENTE </w:t>
      </w:r>
      <w:r w:rsidRPr="000B0EF6">
        <w:rPr>
          <w:rFonts w:ascii="Palatino Linotype" w:hAnsi="Palatino Linotype"/>
          <w:color w:val="000000"/>
        </w:rPr>
        <w:t xml:space="preserve">solicitó </w:t>
      </w:r>
      <w:r w:rsidRPr="000B0EF6">
        <w:rPr>
          <w:rFonts w:ascii="Palatino Linotype" w:hAnsi="Palatino Linotype" w:cs="Arial"/>
        </w:rPr>
        <w:t>del</w:t>
      </w:r>
      <w:r w:rsidRPr="000B0EF6">
        <w:rPr>
          <w:rFonts w:ascii="Palatino Linotype" w:hAnsi="Palatino Linotype"/>
          <w:color w:val="000000"/>
        </w:rPr>
        <w:t xml:space="preserve"> </w:t>
      </w:r>
      <w:r w:rsidRPr="000B0EF6">
        <w:rPr>
          <w:rFonts w:ascii="Palatino Linotype" w:hAnsi="Palatino Linotype" w:cs="Arial"/>
          <w:b/>
          <w:color w:val="000000"/>
        </w:rPr>
        <w:t>SUJETO OBLIGADO</w:t>
      </w:r>
      <w:r w:rsidRPr="000B0EF6">
        <w:rPr>
          <w:rFonts w:ascii="Palatino Linotype" w:hAnsi="Palatino Linotype" w:cs="Arial"/>
        </w:rPr>
        <w:t xml:space="preserve">, </w:t>
      </w:r>
      <w:r w:rsidRPr="000B0EF6">
        <w:rPr>
          <w:rFonts w:ascii="Palatino Linotype" w:hAnsi="Palatino Linotype"/>
        </w:rPr>
        <w:t xml:space="preserve">vía </w:t>
      </w:r>
      <w:r w:rsidRPr="000B0EF6">
        <w:rPr>
          <w:rFonts w:ascii="Palatino Linotype" w:hAnsi="Palatino Linotype"/>
          <w:b/>
        </w:rPr>
        <w:t>EL</w:t>
      </w:r>
      <w:r w:rsidRPr="000B0EF6">
        <w:rPr>
          <w:rFonts w:ascii="Palatino Linotype" w:hAnsi="Palatino Linotype"/>
        </w:rPr>
        <w:t xml:space="preserve"> </w:t>
      </w:r>
      <w:r w:rsidRPr="000B0EF6">
        <w:rPr>
          <w:rFonts w:ascii="Palatino Linotype" w:hAnsi="Palatino Linotype"/>
          <w:b/>
        </w:rPr>
        <w:t xml:space="preserve">SAIMEX, </w:t>
      </w:r>
      <w:r w:rsidRPr="000B0EF6">
        <w:rPr>
          <w:rFonts w:ascii="Palatino Linotype" w:hAnsi="Palatino Linotype"/>
        </w:rPr>
        <w:t>lo siguiente:</w:t>
      </w:r>
    </w:p>
    <w:p w14:paraId="0C560C46" w14:textId="77777777" w:rsidR="001B0F51" w:rsidRPr="000B0EF6" w:rsidRDefault="001B0F51" w:rsidP="001B0F51">
      <w:pPr>
        <w:ind w:left="851" w:right="618"/>
        <w:jc w:val="both"/>
        <w:rPr>
          <w:rFonts w:ascii="Palatino Linotype" w:hAnsi="Palatino Linotype"/>
          <w:i/>
          <w:sz w:val="22"/>
          <w:szCs w:val="22"/>
        </w:rPr>
      </w:pPr>
      <w:r w:rsidRPr="000B0EF6">
        <w:rPr>
          <w:rFonts w:ascii="Palatino Linotype" w:hAnsi="Palatino Linotype"/>
          <w:i/>
          <w:sz w:val="22"/>
          <w:szCs w:val="22"/>
        </w:rPr>
        <w:t>“(...) los procedimientos que la contraloría inicio por faltas graves o actos de corrupción o algun delito catalogado como tipo penal.” (Sic)</w:t>
      </w:r>
    </w:p>
    <w:p w14:paraId="5C2197D8" w14:textId="77777777" w:rsidR="001B0F51" w:rsidRPr="000B0EF6" w:rsidRDefault="001B0F51" w:rsidP="001B0F51">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rPr>
      </w:pPr>
      <w:r w:rsidRPr="000B0EF6">
        <w:rPr>
          <w:rFonts w:ascii="Palatino Linotype" w:hAnsi="Palatino Linotype"/>
        </w:rPr>
        <w:t xml:space="preserve">En su respuesta </w:t>
      </w:r>
      <w:r w:rsidRPr="000B0EF6">
        <w:rPr>
          <w:rFonts w:ascii="Palatino Linotype" w:hAnsi="Palatino Linotype"/>
          <w:b/>
        </w:rPr>
        <w:t>EL SUJETO OBLIGADO</w:t>
      </w:r>
      <w:r w:rsidRPr="000B0EF6">
        <w:rPr>
          <w:rFonts w:ascii="Palatino Linotype" w:hAnsi="Palatino Linotype"/>
        </w:rPr>
        <w:t xml:space="preserve"> remitió la tabla que se reproduce a continuación:</w:t>
      </w:r>
    </w:p>
    <w:tbl>
      <w:tblPr>
        <w:tblStyle w:val="Tabladecuadrcula4-nfasis1"/>
        <w:tblW w:w="0" w:type="auto"/>
        <w:tblLook w:val="04A0" w:firstRow="1" w:lastRow="0" w:firstColumn="1" w:lastColumn="0" w:noHBand="0" w:noVBand="1"/>
      </w:tblPr>
      <w:tblGrid>
        <w:gridCol w:w="2929"/>
        <w:gridCol w:w="2930"/>
        <w:gridCol w:w="2930"/>
      </w:tblGrid>
      <w:tr w:rsidR="001B0F51" w:rsidRPr="000B0EF6" w14:paraId="70248420" w14:textId="77777777" w:rsidTr="006B34CC">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929" w:type="dxa"/>
          </w:tcPr>
          <w:p w14:paraId="0FCB1F13" w14:textId="77777777" w:rsidR="001B0F51" w:rsidRPr="000B0EF6" w:rsidRDefault="001B0F51" w:rsidP="006B34CC">
            <w:pPr>
              <w:tabs>
                <w:tab w:val="left" w:pos="2422"/>
              </w:tabs>
              <w:autoSpaceDE w:val="0"/>
              <w:autoSpaceDN w:val="0"/>
              <w:adjustRightInd w:val="0"/>
              <w:spacing w:before="100" w:beforeAutospacing="1" w:after="100" w:afterAutospacing="1"/>
              <w:ind w:right="51"/>
              <w:jc w:val="center"/>
              <w:rPr>
                <w:rFonts w:ascii="Palatino Linotype" w:hAnsi="Palatino Linotype"/>
                <w:sz w:val="22"/>
              </w:rPr>
            </w:pPr>
            <w:r w:rsidRPr="000B0EF6">
              <w:rPr>
                <w:rFonts w:ascii="Palatino Linotype" w:hAnsi="Palatino Linotype"/>
                <w:sz w:val="22"/>
              </w:rPr>
              <w:t>Año</w:t>
            </w:r>
          </w:p>
        </w:tc>
        <w:tc>
          <w:tcPr>
            <w:tcW w:w="2930" w:type="dxa"/>
          </w:tcPr>
          <w:p w14:paraId="7E73DB10" w14:textId="77777777" w:rsidR="001B0F51" w:rsidRPr="000B0EF6" w:rsidRDefault="001B0F51" w:rsidP="006B34CC">
            <w:pPr>
              <w:tabs>
                <w:tab w:val="left" w:pos="2422"/>
              </w:tabs>
              <w:autoSpaceDE w:val="0"/>
              <w:autoSpaceDN w:val="0"/>
              <w:adjustRightInd w:val="0"/>
              <w:spacing w:before="100" w:beforeAutospacing="1" w:after="100" w:afterAutospacing="1"/>
              <w:ind w:right="51"/>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0B0EF6">
              <w:rPr>
                <w:rFonts w:ascii="Palatino Linotype" w:hAnsi="Palatino Linotype"/>
                <w:sz w:val="22"/>
              </w:rPr>
              <w:t>Número de procedimientos</w:t>
            </w:r>
          </w:p>
        </w:tc>
        <w:tc>
          <w:tcPr>
            <w:tcW w:w="2930" w:type="dxa"/>
          </w:tcPr>
          <w:p w14:paraId="3DA7F9BC" w14:textId="77777777" w:rsidR="001B0F51" w:rsidRPr="000B0EF6" w:rsidRDefault="001B0F51" w:rsidP="006B34CC">
            <w:pPr>
              <w:tabs>
                <w:tab w:val="left" w:pos="2422"/>
              </w:tabs>
              <w:autoSpaceDE w:val="0"/>
              <w:autoSpaceDN w:val="0"/>
              <w:adjustRightInd w:val="0"/>
              <w:spacing w:before="100" w:beforeAutospacing="1" w:after="100" w:afterAutospacing="1"/>
              <w:ind w:right="51"/>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0B0EF6">
              <w:rPr>
                <w:rFonts w:ascii="Palatino Linotype" w:hAnsi="Palatino Linotype"/>
                <w:sz w:val="22"/>
              </w:rPr>
              <w:t>Tipo de falta</w:t>
            </w:r>
          </w:p>
        </w:tc>
      </w:tr>
      <w:tr w:rsidR="001B0F51" w:rsidRPr="000B0EF6" w14:paraId="1179B356" w14:textId="77777777" w:rsidTr="006B34C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929" w:type="dxa"/>
          </w:tcPr>
          <w:p w14:paraId="43EDAFDE" w14:textId="77777777" w:rsidR="001B0F51" w:rsidRPr="000B0EF6" w:rsidRDefault="001B0F51" w:rsidP="006B34CC">
            <w:pPr>
              <w:tabs>
                <w:tab w:val="left" w:pos="2422"/>
              </w:tabs>
              <w:autoSpaceDE w:val="0"/>
              <w:autoSpaceDN w:val="0"/>
              <w:adjustRightInd w:val="0"/>
              <w:spacing w:before="100" w:beforeAutospacing="1" w:after="100" w:afterAutospacing="1" w:line="360" w:lineRule="auto"/>
              <w:ind w:right="49"/>
              <w:jc w:val="center"/>
              <w:rPr>
                <w:rFonts w:ascii="Palatino Linotype" w:hAnsi="Palatino Linotype"/>
                <w:sz w:val="20"/>
              </w:rPr>
            </w:pPr>
            <w:r w:rsidRPr="000B0EF6">
              <w:rPr>
                <w:rFonts w:ascii="Palatino Linotype" w:hAnsi="Palatino Linotype"/>
                <w:sz w:val="20"/>
              </w:rPr>
              <w:t>2019</w:t>
            </w:r>
          </w:p>
        </w:tc>
        <w:tc>
          <w:tcPr>
            <w:tcW w:w="2930" w:type="dxa"/>
          </w:tcPr>
          <w:p w14:paraId="1080B563" w14:textId="77777777" w:rsidR="001B0F51" w:rsidRPr="000B0EF6" w:rsidRDefault="001B0F51" w:rsidP="006B34CC">
            <w:pPr>
              <w:tabs>
                <w:tab w:val="left" w:pos="2422"/>
              </w:tabs>
              <w:autoSpaceDE w:val="0"/>
              <w:autoSpaceDN w:val="0"/>
              <w:adjustRightInd w:val="0"/>
              <w:spacing w:before="100" w:beforeAutospacing="1" w:after="100" w:afterAutospacing="1" w:line="360" w:lineRule="auto"/>
              <w:ind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0B0EF6">
              <w:rPr>
                <w:rFonts w:ascii="Palatino Linotype" w:hAnsi="Palatino Linotype"/>
                <w:sz w:val="20"/>
              </w:rPr>
              <w:t>1</w:t>
            </w:r>
          </w:p>
        </w:tc>
        <w:tc>
          <w:tcPr>
            <w:tcW w:w="2930" w:type="dxa"/>
          </w:tcPr>
          <w:p w14:paraId="34BB535C" w14:textId="77777777" w:rsidR="001B0F51" w:rsidRPr="000B0EF6" w:rsidRDefault="001B0F51" w:rsidP="006B34CC">
            <w:pPr>
              <w:tabs>
                <w:tab w:val="left" w:pos="2422"/>
              </w:tabs>
              <w:autoSpaceDE w:val="0"/>
              <w:autoSpaceDN w:val="0"/>
              <w:adjustRightInd w:val="0"/>
              <w:spacing w:before="100" w:beforeAutospacing="1" w:after="100" w:afterAutospacing="1" w:line="360" w:lineRule="auto"/>
              <w:ind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0B0EF6">
              <w:rPr>
                <w:rFonts w:ascii="Palatino Linotype" w:hAnsi="Palatino Linotype"/>
                <w:sz w:val="20"/>
              </w:rPr>
              <w:t>Penal</w:t>
            </w:r>
          </w:p>
        </w:tc>
      </w:tr>
      <w:tr w:rsidR="001B0F51" w:rsidRPr="000B0EF6" w14:paraId="2AC1F57C" w14:textId="77777777" w:rsidTr="006B34CC">
        <w:trPr>
          <w:trHeight w:val="370"/>
        </w:trPr>
        <w:tc>
          <w:tcPr>
            <w:cnfStyle w:val="001000000000" w:firstRow="0" w:lastRow="0" w:firstColumn="1" w:lastColumn="0" w:oddVBand="0" w:evenVBand="0" w:oddHBand="0" w:evenHBand="0" w:firstRowFirstColumn="0" w:firstRowLastColumn="0" w:lastRowFirstColumn="0" w:lastRowLastColumn="0"/>
            <w:tcW w:w="2929" w:type="dxa"/>
          </w:tcPr>
          <w:p w14:paraId="04E1A597" w14:textId="77777777" w:rsidR="001B0F51" w:rsidRPr="000B0EF6" w:rsidRDefault="001B0F51" w:rsidP="006B34CC">
            <w:pPr>
              <w:tabs>
                <w:tab w:val="left" w:pos="2422"/>
              </w:tabs>
              <w:autoSpaceDE w:val="0"/>
              <w:autoSpaceDN w:val="0"/>
              <w:adjustRightInd w:val="0"/>
              <w:spacing w:before="100" w:beforeAutospacing="1" w:after="100" w:afterAutospacing="1" w:line="360" w:lineRule="auto"/>
              <w:ind w:right="49"/>
              <w:jc w:val="center"/>
              <w:rPr>
                <w:rFonts w:ascii="Palatino Linotype" w:hAnsi="Palatino Linotype"/>
                <w:sz w:val="20"/>
              </w:rPr>
            </w:pPr>
            <w:r w:rsidRPr="000B0EF6">
              <w:rPr>
                <w:rFonts w:ascii="Palatino Linotype" w:hAnsi="Palatino Linotype"/>
                <w:sz w:val="20"/>
              </w:rPr>
              <w:t>2020</w:t>
            </w:r>
          </w:p>
        </w:tc>
        <w:tc>
          <w:tcPr>
            <w:tcW w:w="2930" w:type="dxa"/>
          </w:tcPr>
          <w:p w14:paraId="5F9A3FEF" w14:textId="77777777" w:rsidR="001B0F51" w:rsidRPr="000B0EF6" w:rsidRDefault="001B0F51" w:rsidP="006B34CC">
            <w:pPr>
              <w:tabs>
                <w:tab w:val="left" w:pos="2422"/>
              </w:tabs>
              <w:autoSpaceDE w:val="0"/>
              <w:autoSpaceDN w:val="0"/>
              <w:adjustRightInd w:val="0"/>
              <w:spacing w:before="100" w:beforeAutospacing="1" w:after="100" w:afterAutospacing="1" w:line="360" w:lineRule="auto"/>
              <w:ind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0B0EF6">
              <w:rPr>
                <w:rFonts w:ascii="Palatino Linotype" w:hAnsi="Palatino Linotype"/>
                <w:sz w:val="20"/>
              </w:rPr>
              <w:t>2</w:t>
            </w:r>
          </w:p>
        </w:tc>
        <w:tc>
          <w:tcPr>
            <w:tcW w:w="2930" w:type="dxa"/>
          </w:tcPr>
          <w:p w14:paraId="3B93A8DD" w14:textId="77777777" w:rsidR="001B0F51" w:rsidRPr="000B0EF6" w:rsidRDefault="001B0F51" w:rsidP="006B34CC">
            <w:pPr>
              <w:tabs>
                <w:tab w:val="left" w:pos="2422"/>
              </w:tabs>
              <w:autoSpaceDE w:val="0"/>
              <w:autoSpaceDN w:val="0"/>
              <w:adjustRightInd w:val="0"/>
              <w:spacing w:before="100" w:beforeAutospacing="1" w:after="100" w:afterAutospacing="1" w:line="360" w:lineRule="auto"/>
              <w:ind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0B0EF6">
              <w:rPr>
                <w:rFonts w:ascii="Palatino Linotype" w:hAnsi="Palatino Linotype"/>
                <w:sz w:val="20"/>
              </w:rPr>
              <w:t>Penal y Falta grave</w:t>
            </w:r>
          </w:p>
        </w:tc>
      </w:tr>
      <w:tr w:rsidR="001B0F51" w:rsidRPr="000B0EF6" w14:paraId="7D8EB24B" w14:textId="77777777" w:rsidTr="006B34CC">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929" w:type="dxa"/>
          </w:tcPr>
          <w:p w14:paraId="6DF36FA9" w14:textId="77777777" w:rsidR="001B0F51" w:rsidRPr="000B0EF6" w:rsidRDefault="001B0F51" w:rsidP="006B34CC">
            <w:pPr>
              <w:tabs>
                <w:tab w:val="left" w:pos="2422"/>
              </w:tabs>
              <w:autoSpaceDE w:val="0"/>
              <w:autoSpaceDN w:val="0"/>
              <w:adjustRightInd w:val="0"/>
              <w:spacing w:before="100" w:beforeAutospacing="1" w:after="100" w:afterAutospacing="1" w:line="360" w:lineRule="auto"/>
              <w:ind w:right="49"/>
              <w:jc w:val="center"/>
              <w:rPr>
                <w:rFonts w:ascii="Palatino Linotype" w:hAnsi="Palatino Linotype"/>
                <w:sz w:val="20"/>
              </w:rPr>
            </w:pPr>
            <w:r w:rsidRPr="000B0EF6">
              <w:rPr>
                <w:rFonts w:ascii="Palatino Linotype" w:hAnsi="Palatino Linotype"/>
                <w:sz w:val="20"/>
              </w:rPr>
              <w:t>2021</w:t>
            </w:r>
          </w:p>
        </w:tc>
        <w:tc>
          <w:tcPr>
            <w:tcW w:w="2930" w:type="dxa"/>
          </w:tcPr>
          <w:p w14:paraId="2F0F8987" w14:textId="77777777" w:rsidR="001B0F51" w:rsidRPr="000B0EF6" w:rsidRDefault="001B0F51" w:rsidP="006B34CC">
            <w:pPr>
              <w:tabs>
                <w:tab w:val="left" w:pos="2422"/>
              </w:tabs>
              <w:autoSpaceDE w:val="0"/>
              <w:autoSpaceDN w:val="0"/>
              <w:adjustRightInd w:val="0"/>
              <w:spacing w:before="100" w:beforeAutospacing="1" w:after="100" w:afterAutospacing="1" w:line="360" w:lineRule="auto"/>
              <w:ind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0B0EF6">
              <w:rPr>
                <w:rFonts w:ascii="Palatino Linotype" w:hAnsi="Palatino Linotype"/>
                <w:sz w:val="20"/>
              </w:rPr>
              <w:t>4</w:t>
            </w:r>
          </w:p>
        </w:tc>
        <w:tc>
          <w:tcPr>
            <w:tcW w:w="2930" w:type="dxa"/>
          </w:tcPr>
          <w:p w14:paraId="021BBF83" w14:textId="77777777" w:rsidR="001B0F51" w:rsidRPr="000B0EF6" w:rsidRDefault="001B0F51" w:rsidP="006B34CC">
            <w:pPr>
              <w:tabs>
                <w:tab w:val="left" w:pos="2422"/>
              </w:tabs>
              <w:autoSpaceDE w:val="0"/>
              <w:autoSpaceDN w:val="0"/>
              <w:adjustRightInd w:val="0"/>
              <w:spacing w:before="100" w:beforeAutospacing="1" w:after="100" w:afterAutospacing="1" w:line="360" w:lineRule="auto"/>
              <w:ind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0B0EF6">
              <w:rPr>
                <w:rFonts w:ascii="Palatino Linotype" w:hAnsi="Palatino Linotype"/>
                <w:sz w:val="20"/>
              </w:rPr>
              <w:t>Falta grave</w:t>
            </w:r>
          </w:p>
        </w:tc>
      </w:tr>
    </w:tbl>
    <w:p w14:paraId="0BE610C6" w14:textId="77777777" w:rsidR="001B0F51" w:rsidRPr="000B0EF6" w:rsidRDefault="001B0F51" w:rsidP="00B367B8">
      <w:pPr>
        <w:spacing w:line="360" w:lineRule="auto"/>
        <w:jc w:val="both"/>
        <w:rPr>
          <w:rFonts w:ascii="Palatino Linotype" w:eastAsiaTheme="minorEastAsia" w:hAnsi="Palatino Linotype" w:cs="Arial"/>
          <w:lang w:val="es-ES_tradnl"/>
        </w:rPr>
      </w:pPr>
    </w:p>
    <w:p w14:paraId="533D2ABE" w14:textId="534230BC" w:rsidR="00851D8D" w:rsidRPr="000B0EF6" w:rsidRDefault="00851D8D" w:rsidP="00B367B8">
      <w:pPr>
        <w:spacing w:line="360" w:lineRule="auto"/>
        <w:jc w:val="both"/>
        <w:rPr>
          <w:rFonts w:ascii="Palatino Linotype" w:eastAsiaTheme="minorEastAsia" w:hAnsi="Palatino Linotype" w:cs="Arial"/>
          <w:lang w:val="es-ES_tradnl"/>
        </w:rPr>
      </w:pPr>
      <w:r w:rsidRPr="000B0EF6">
        <w:rPr>
          <w:rFonts w:ascii="Palatino Linotype" w:eastAsiaTheme="minorEastAsia" w:hAnsi="Palatino Linotype" w:cs="Arial"/>
          <w:lang w:val="es-ES_tradnl"/>
        </w:rPr>
        <w:t xml:space="preserve">Misma que como se puede apreciar señala el número de procedimientos por año y el tipo de falta, para los años 2019, 2020 y 2021. Si bien de la solicitud no se puede apreciar que  </w:t>
      </w:r>
      <w:r w:rsidRPr="000B0EF6">
        <w:rPr>
          <w:rFonts w:ascii="Palatino Linotype" w:eastAsiaTheme="minorEastAsia" w:hAnsi="Palatino Linotype" w:cs="Arial"/>
          <w:b/>
          <w:lang w:val="es-ES_tradnl"/>
        </w:rPr>
        <w:t>EL RECURRENTE</w:t>
      </w:r>
      <w:r w:rsidRPr="000B0EF6">
        <w:rPr>
          <w:rFonts w:ascii="Palatino Linotype" w:eastAsiaTheme="minorEastAsia" w:hAnsi="Palatino Linotype" w:cs="Arial"/>
          <w:lang w:val="es-ES_tradnl"/>
        </w:rPr>
        <w:t xml:space="preserve">  haya marcado una temporalidad o plazo específicos para la búsqueda. El INAI</w:t>
      </w:r>
      <w:r w:rsidR="00261938" w:rsidRPr="000B0EF6">
        <w:rPr>
          <w:rStyle w:val="Refdenotaalpie"/>
          <w:rFonts w:ascii="Palatino Linotype" w:eastAsiaTheme="minorEastAsia" w:hAnsi="Palatino Linotype" w:cs="Arial"/>
          <w:lang w:val="es-ES_tradnl"/>
        </w:rPr>
        <w:footnoteReference w:id="1"/>
      </w:r>
      <w:r w:rsidRPr="000B0EF6">
        <w:rPr>
          <w:rFonts w:ascii="Palatino Linotype" w:eastAsiaTheme="minorEastAsia" w:hAnsi="Palatino Linotype" w:cs="Arial"/>
          <w:lang w:val="es-ES_tradnl"/>
        </w:rPr>
        <w:t xml:space="preserve"> </w:t>
      </w:r>
      <w:r w:rsidR="002F0EA5" w:rsidRPr="000B0EF6">
        <w:rPr>
          <w:rFonts w:ascii="Palatino Linotype" w:eastAsiaTheme="minorEastAsia" w:hAnsi="Palatino Linotype" w:cs="Arial"/>
          <w:lang w:val="es-ES_tradnl"/>
        </w:rPr>
        <w:t>en su criterio 09/13 hace referencia a ello en el tenor que a continuación se muestra:</w:t>
      </w:r>
    </w:p>
    <w:p w14:paraId="769B93FF" w14:textId="5B069DD7" w:rsidR="003C68F1" w:rsidRPr="000B0EF6" w:rsidRDefault="002F0EA5" w:rsidP="002F0EA5">
      <w:pPr>
        <w:ind w:left="851" w:right="618"/>
        <w:jc w:val="both"/>
        <w:rPr>
          <w:rFonts w:ascii="Palatino Linotype" w:eastAsiaTheme="minorEastAsia" w:hAnsi="Palatino Linotype" w:cs="Arial"/>
          <w:i/>
          <w:sz w:val="22"/>
          <w:lang w:val="es-ES_tradnl"/>
        </w:rPr>
      </w:pPr>
      <w:r w:rsidRPr="000B0EF6">
        <w:rPr>
          <w:rFonts w:ascii="Palatino Linotype" w:eastAsiaTheme="minorEastAsia" w:hAnsi="Palatino Linotype" w:cs="Arial"/>
          <w:b/>
          <w:i/>
          <w:sz w:val="22"/>
          <w:lang w:val="es-ES_tradnl"/>
        </w:rPr>
        <w:lastRenderedPageBreak/>
        <w:t>“</w:t>
      </w:r>
      <w:r w:rsidR="00B367B8" w:rsidRPr="000B0EF6">
        <w:rPr>
          <w:rFonts w:ascii="Palatino Linotype" w:eastAsiaTheme="minorEastAsia" w:hAnsi="Palatino Linotype" w:cs="Arial"/>
          <w:b/>
          <w:i/>
          <w:sz w:val="22"/>
          <w:lang w:val="es-ES_tradnl"/>
        </w:rPr>
        <w:t>Periodo de búsqueda de la información, cuando no se precisa en la solicitud de información.</w:t>
      </w:r>
      <w:r w:rsidR="00B367B8" w:rsidRPr="000B0EF6">
        <w:rPr>
          <w:rFonts w:ascii="Palatino Linotype" w:eastAsiaTheme="minorEastAsia" w:hAnsi="Palatino Linotype" w:cs="Arial"/>
          <w:i/>
          <w:sz w:val="22"/>
          <w:lang w:val="es-ES_tradnl"/>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00B367B8" w:rsidRPr="000B0EF6">
        <w:rPr>
          <w:rFonts w:ascii="Palatino Linotype" w:eastAsiaTheme="minorEastAsia" w:hAnsi="Palatino Linotype" w:cs="Arial"/>
          <w:b/>
          <w:i/>
          <w:sz w:val="22"/>
          <w:lang w:val="es-ES_tradnl"/>
        </w:rPr>
        <w:t>deberá interpretarse que su requerimiento se refiere al del año inmediato anterior contado a partir de la fecha en que se presentó la solicitud</w:t>
      </w:r>
      <w:r w:rsidR="00B367B8" w:rsidRPr="000B0EF6">
        <w:rPr>
          <w:rFonts w:ascii="Palatino Linotype" w:eastAsiaTheme="minorEastAsia" w:hAnsi="Palatino Linotype" w:cs="Arial"/>
          <w:i/>
          <w:sz w:val="22"/>
          <w:lang w:val="es-ES_tradnl"/>
        </w:rPr>
        <w:t>. Lo anterior permite que los sujetos obligados cuenten con mayores elementos para precisar y localizar la información solicitada</w:t>
      </w:r>
      <w:r w:rsidRPr="000B0EF6">
        <w:rPr>
          <w:rFonts w:ascii="Palatino Linotype" w:eastAsiaTheme="minorEastAsia" w:hAnsi="Palatino Linotype" w:cs="Arial"/>
          <w:i/>
          <w:sz w:val="22"/>
          <w:lang w:val="es-ES_tradnl"/>
        </w:rPr>
        <w:t>.”(Sic)</w:t>
      </w:r>
    </w:p>
    <w:p w14:paraId="48B9ABA9" w14:textId="27BD8CC3" w:rsidR="00B367B8" w:rsidRPr="000B0EF6" w:rsidRDefault="00B367B8" w:rsidP="00B367B8">
      <w:pPr>
        <w:spacing w:line="360" w:lineRule="auto"/>
        <w:jc w:val="both"/>
        <w:rPr>
          <w:rFonts w:ascii="Palatino Linotype" w:eastAsiaTheme="minorEastAsia" w:hAnsi="Palatino Linotype" w:cs="Arial"/>
          <w:lang w:val="es-ES_tradnl"/>
        </w:rPr>
      </w:pPr>
    </w:p>
    <w:p w14:paraId="2DCDD342" w14:textId="6013EFEC" w:rsidR="002F0EA5" w:rsidRPr="000B0EF6" w:rsidRDefault="00261938" w:rsidP="00B367B8">
      <w:pPr>
        <w:spacing w:line="360" w:lineRule="auto"/>
        <w:jc w:val="both"/>
        <w:rPr>
          <w:rFonts w:ascii="Palatino Linotype" w:eastAsiaTheme="minorEastAsia" w:hAnsi="Palatino Linotype" w:cs="Arial"/>
          <w:lang w:val="es-ES_tradnl"/>
        </w:rPr>
      </w:pPr>
      <w:r w:rsidRPr="000B0EF6">
        <w:rPr>
          <w:rFonts w:ascii="Palatino Linotype" w:eastAsiaTheme="minorEastAsia" w:hAnsi="Palatino Linotype" w:cs="Arial"/>
          <w:lang w:val="es-ES_tradnl"/>
        </w:rPr>
        <w:t>De</w:t>
      </w:r>
      <w:r w:rsidR="00F6476A" w:rsidRPr="000B0EF6">
        <w:rPr>
          <w:rFonts w:ascii="Palatino Linotype" w:eastAsiaTheme="minorEastAsia" w:hAnsi="Palatino Linotype" w:cs="Arial"/>
          <w:lang w:val="es-ES_tradnl"/>
        </w:rPr>
        <w:t xml:space="preserve">l criterio citado se deriva </w:t>
      </w:r>
      <w:r w:rsidRPr="000B0EF6">
        <w:rPr>
          <w:rFonts w:ascii="Palatino Linotype" w:eastAsiaTheme="minorEastAsia" w:hAnsi="Palatino Linotype" w:cs="Arial"/>
          <w:lang w:val="es-ES_tradnl"/>
        </w:rPr>
        <w:t>que en el caso de no existir un plazo específico mencionado en la solicitud, este se entenderá como un año anterior a la fecha de lo solicitud</w:t>
      </w:r>
      <w:r w:rsidR="002F0EA5" w:rsidRPr="000B0EF6">
        <w:rPr>
          <w:rFonts w:ascii="Palatino Linotype" w:eastAsiaTheme="minorEastAsia" w:hAnsi="Palatino Linotype" w:cs="Arial"/>
          <w:lang w:val="es-ES_tradnl"/>
        </w:rPr>
        <w:t xml:space="preserve">. Con esa consideración en mente, se puede observar que la respuesta emitida por </w:t>
      </w:r>
      <w:r w:rsidR="002F0EA5" w:rsidRPr="000B0EF6">
        <w:rPr>
          <w:rFonts w:ascii="Palatino Linotype" w:eastAsiaTheme="minorEastAsia" w:hAnsi="Palatino Linotype" w:cs="Arial"/>
          <w:b/>
          <w:lang w:val="es-ES_tradnl"/>
        </w:rPr>
        <w:t>EL SUJETO OBLIGADO</w:t>
      </w:r>
      <w:r w:rsidR="002F0EA5" w:rsidRPr="000B0EF6">
        <w:rPr>
          <w:rFonts w:ascii="Palatino Linotype" w:eastAsiaTheme="minorEastAsia" w:hAnsi="Palatino Linotype" w:cs="Arial"/>
          <w:lang w:val="es-ES_tradnl"/>
        </w:rPr>
        <w:t xml:space="preserve"> contempla desde el año 2019 hasta lo conducente del 2021, por tanto aquel requerimiento se tiene por colmado. </w:t>
      </w:r>
    </w:p>
    <w:p w14:paraId="2B6A9167" w14:textId="77777777" w:rsidR="002F0EA5" w:rsidRPr="000B0EF6" w:rsidRDefault="002F0EA5" w:rsidP="00B367B8">
      <w:pPr>
        <w:spacing w:line="360" w:lineRule="auto"/>
        <w:jc w:val="both"/>
        <w:rPr>
          <w:rFonts w:ascii="Palatino Linotype" w:eastAsiaTheme="minorEastAsia" w:hAnsi="Palatino Linotype" w:cs="Arial"/>
          <w:lang w:val="es-ES_tradnl"/>
        </w:rPr>
      </w:pPr>
    </w:p>
    <w:p w14:paraId="701D1C6A" w14:textId="77777777" w:rsidR="00DF6431" w:rsidRPr="000B0EF6" w:rsidRDefault="002F0EA5" w:rsidP="00C846F3">
      <w:pPr>
        <w:spacing w:line="360" w:lineRule="auto"/>
        <w:jc w:val="both"/>
        <w:rPr>
          <w:rFonts w:ascii="Palatino Linotype" w:eastAsiaTheme="minorEastAsia" w:hAnsi="Palatino Linotype" w:cs="Arial"/>
          <w:lang w:val="es-ES_tradnl"/>
        </w:rPr>
      </w:pPr>
      <w:r w:rsidRPr="000B0EF6">
        <w:rPr>
          <w:rFonts w:ascii="Palatino Linotype" w:eastAsiaTheme="minorEastAsia" w:hAnsi="Palatino Linotype" w:cs="Arial"/>
          <w:lang w:val="es-ES_tradnl"/>
        </w:rPr>
        <w:t xml:space="preserve">Por otro lado, de la solicitud, tampoco se advierte que </w:t>
      </w:r>
      <w:r w:rsidR="00F441F5" w:rsidRPr="000B0EF6">
        <w:rPr>
          <w:rFonts w:ascii="Palatino Linotype" w:eastAsiaTheme="minorEastAsia" w:hAnsi="Palatino Linotype" w:cs="Arial"/>
          <w:b/>
          <w:lang w:val="es-ES_tradnl"/>
        </w:rPr>
        <w:t xml:space="preserve">EL RECURRENTE </w:t>
      </w:r>
      <w:r w:rsidR="00F441F5" w:rsidRPr="000B0EF6">
        <w:rPr>
          <w:rFonts w:ascii="Palatino Linotype" w:eastAsiaTheme="minorEastAsia" w:hAnsi="Palatino Linotype" w:cs="Arial"/>
          <w:lang w:val="es-ES_tradnl"/>
        </w:rPr>
        <w:t xml:space="preserve">haga alguna mención sobre información específica de los procedimientos; </w:t>
      </w:r>
      <w:r w:rsidR="00DF6431" w:rsidRPr="000B0EF6">
        <w:rPr>
          <w:rFonts w:ascii="Palatino Linotype" w:eastAsiaTheme="minorEastAsia" w:hAnsi="Palatino Linotype" w:cs="Arial"/>
          <w:lang w:val="es-ES_tradnl"/>
        </w:rPr>
        <w:t xml:space="preserve">solo </w:t>
      </w:r>
      <w:r w:rsidR="00F441F5" w:rsidRPr="000B0EF6">
        <w:rPr>
          <w:rFonts w:ascii="Palatino Linotype" w:eastAsiaTheme="minorEastAsia" w:hAnsi="Palatino Linotype" w:cs="Arial"/>
          <w:lang w:val="es-ES_tradnl"/>
        </w:rPr>
        <w:t xml:space="preserve">se limita a solicitar de forma genérica los procedimientos iniciados por la contraloría del Municipio, con la única consideración de que estos sean por faltas graves, corrupción o algún delito que pueda encuadrar en un tipo penal. </w:t>
      </w:r>
      <w:r w:rsidR="00C846F3" w:rsidRPr="000B0EF6">
        <w:rPr>
          <w:rFonts w:ascii="Palatino Linotype" w:eastAsiaTheme="minorEastAsia" w:hAnsi="Palatino Linotype" w:cs="Arial"/>
          <w:lang w:val="es-ES_tradnl"/>
        </w:rPr>
        <w:t xml:space="preserve">De esta manera, al </w:t>
      </w:r>
      <w:r w:rsidR="00DF6431" w:rsidRPr="000B0EF6">
        <w:rPr>
          <w:rFonts w:ascii="Palatino Linotype" w:eastAsiaTheme="minorEastAsia" w:hAnsi="Palatino Linotype" w:cs="Arial"/>
          <w:lang w:val="es-ES_tradnl"/>
        </w:rPr>
        <w:t xml:space="preserve">advertirse que </w:t>
      </w:r>
      <w:r w:rsidR="00C846F3" w:rsidRPr="000B0EF6">
        <w:rPr>
          <w:rFonts w:ascii="Palatino Linotype" w:eastAsiaTheme="minorEastAsia" w:hAnsi="Palatino Linotype" w:cs="Arial"/>
          <w:lang w:val="es-ES_tradnl"/>
        </w:rPr>
        <w:t>la solicitud</w:t>
      </w:r>
      <w:r w:rsidR="00DF6431" w:rsidRPr="000B0EF6">
        <w:rPr>
          <w:rFonts w:ascii="Palatino Linotype" w:eastAsiaTheme="minorEastAsia" w:hAnsi="Palatino Linotype" w:cs="Arial"/>
          <w:lang w:val="es-ES_tradnl"/>
        </w:rPr>
        <w:t xml:space="preserve"> es muy amplia</w:t>
      </w:r>
      <w:r w:rsidR="00C846F3" w:rsidRPr="000B0EF6">
        <w:rPr>
          <w:rFonts w:ascii="Palatino Linotype" w:eastAsiaTheme="minorEastAsia" w:hAnsi="Palatino Linotype" w:cs="Arial"/>
          <w:lang w:val="es-ES_tradnl"/>
        </w:rPr>
        <w:t xml:space="preserve">, la respuesta debe otorgarse en los mismos términos sin ser necesario una mayor precisión de la que pide el solicitante. </w:t>
      </w:r>
    </w:p>
    <w:p w14:paraId="234C7563" w14:textId="77777777" w:rsidR="00DF6431" w:rsidRPr="000B0EF6" w:rsidRDefault="00DF6431" w:rsidP="00C846F3">
      <w:pPr>
        <w:spacing w:line="360" w:lineRule="auto"/>
        <w:jc w:val="both"/>
        <w:rPr>
          <w:rFonts w:ascii="Palatino Linotype" w:eastAsiaTheme="minorEastAsia" w:hAnsi="Palatino Linotype" w:cs="Arial"/>
          <w:lang w:val="es-ES_tradnl"/>
        </w:rPr>
      </w:pPr>
    </w:p>
    <w:p w14:paraId="1A77D57B" w14:textId="47400EDC" w:rsidR="00C846F3" w:rsidRPr="000B0EF6" w:rsidRDefault="00C846F3" w:rsidP="00C846F3">
      <w:pPr>
        <w:spacing w:line="360" w:lineRule="auto"/>
        <w:jc w:val="both"/>
        <w:rPr>
          <w:rFonts w:ascii="Palatino Linotype" w:eastAsiaTheme="minorEastAsia" w:hAnsi="Palatino Linotype" w:cs="Arial"/>
          <w:lang w:val="es-ES_tradnl"/>
        </w:rPr>
      </w:pPr>
      <w:r w:rsidRPr="000B0EF6">
        <w:rPr>
          <w:rFonts w:ascii="Palatino Linotype" w:eastAsiaTheme="minorEastAsia" w:hAnsi="Palatino Linotype" w:cs="Arial"/>
          <w:lang w:val="es-ES_tradnl"/>
        </w:rPr>
        <w:t>Sobre este tema sirve de apoyo el cirterio 02/17 del INAI</w:t>
      </w:r>
      <w:r w:rsidR="00DF6431" w:rsidRPr="000B0EF6">
        <w:rPr>
          <w:rStyle w:val="Refdenotaalpie"/>
          <w:rFonts w:ascii="Palatino Linotype" w:eastAsiaTheme="minorEastAsia" w:hAnsi="Palatino Linotype" w:cs="Arial"/>
          <w:lang w:val="es-ES_tradnl"/>
        </w:rPr>
        <w:footnoteReference w:id="2"/>
      </w:r>
      <w:r w:rsidRPr="000B0EF6">
        <w:rPr>
          <w:rFonts w:ascii="Palatino Linotype" w:eastAsiaTheme="minorEastAsia" w:hAnsi="Palatino Linotype" w:cs="Arial"/>
          <w:lang w:val="es-ES_tradnl"/>
        </w:rPr>
        <w:t xml:space="preserve"> sobre la congruencia y la exhaustividad que a la letra dice: </w:t>
      </w:r>
    </w:p>
    <w:p w14:paraId="024588DC" w14:textId="77777777" w:rsidR="00C846F3" w:rsidRPr="000B0EF6" w:rsidRDefault="00C846F3" w:rsidP="009B6020">
      <w:pPr>
        <w:spacing w:line="360" w:lineRule="auto"/>
        <w:ind w:left="709" w:right="616"/>
        <w:jc w:val="both"/>
        <w:rPr>
          <w:rFonts w:ascii="Palatino Linotype" w:hAnsi="Palatino Linotype" w:cs="Arial"/>
          <w:i/>
          <w:sz w:val="22"/>
        </w:rPr>
      </w:pPr>
      <w:r w:rsidRPr="000B0EF6">
        <w:rPr>
          <w:rFonts w:ascii="Palatino Linotype" w:eastAsiaTheme="minorEastAsia" w:hAnsi="Palatino Linotype" w:cs="Arial"/>
          <w:b/>
          <w:i/>
          <w:sz w:val="22"/>
          <w:lang w:val="es-ES_tradnl"/>
        </w:rPr>
        <w:lastRenderedPageBreak/>
        <w:t>“Congruencia</w:t>
      </w:r>
      <w:r w:rsidRPr="000B0EF6">
        <w:rPr>
          <w:rFonts w:ascii="Palatino Linotype" w:hAnsi="Palatino Linotype" w:cs="Arial"/>
          <w:b/>
          <w:i/>
          <w:sz w:val="22"/>
        </w:rPr>
        <w:t xml:space="preserve"> y exhaustividad. Sus alcances para garantizar el derecho de acceso a la información. </w:t>
      </w:r>
      <w:r w:rsidRPr="000B0EF6">
        <w:rPr>
          <w:rFonts w:ascii="Palatino Linotype" w:hAnsi="Palatino Linotype" w:cs="Arial"/>
          <w:i/>
          <w:sz w:val="22"/>
        </w:rPr>
        <w:t xml:space="preserve">De conformidad con el artículo </w:t>
      </w:r>
      <w:r w:rsidRPr="000B0EF6">
        <w:rPr>
          <w:rFonts w:ascii="Palatino Linotype" w:hAnsi="Palatino Linotype"/>
          <w:i/>
          <w:sz w:val="22"/>
          <w:lang w:val="es-ES_tradnl"/>
        </w:rPr>
        <w:t>3 de la Ley Federal de Procedimiento Administrativo</w:t>
      </w:r>
      <w:r w:rsidRPr="000B0EF6">
        <w:rPr>
          <w:rFonts w:ascii="Palatino Linotype" w:hAnsi="Palatino Linotype" w:cs="Arial"/>
          <w:i/>
          <w:sz w:val="22"/>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40A003BD" w14:textId="77777777" w:rsidR="00C846F3" w:rsidRPr="000B0EF6" w:rsidRDefault="00C846F3" w:rsidP="009B6020">
      <w:pPr>
        <w:spacing w:line="360" w:lineRule="auto"/>
        <w:ind w:left="709" w:right="616"/>
        <w:jc w:val="both"/>
        <w:rPr>
          <w:rFonts w:ascii="Palatino Linotype" w:hAnsi="Palatino Linotype" w:cs="Arial"/>
          <w:i/>
          <w:sz w:val="22"/>
          <w:szCs w:val="22"/>
          <w:lang w:eastAsia="en-US"/>
        </w:rPr>
      </w:pPr>
      <w:r w:rsidRPr="000B0EF6">
        <w:rPr>
          <w:rFonts w:ascii="Palatino Linotype" w:eastAsiaTheme="minorEastAsia" w:hAnsi="Palatino Linotype" w:cs="Arial"/>
          <w:i/>
          <w:sz w:val="22"/>
          <w:lang w:val="es-ES_tradnl"/>
        </w:rPr>
        <w:t>(Énfasis añadido)</w:t>
      </w:r>
    </w:p>
    <w:p w14:paraId="7947A5FE" w14:textId="4765D65D" w:rsidR="009B6020" w:rsidRPr="000B0EF6" w:rsidRDefault="009B6020" w:rsidP="00B367B8">
      <w:pPr>
        <w:spacing w:line="360" w:lineRule="auto"/>
        <w:jc w:val="both"/>
        <w:rPr>
          <w:rFonts w:ascii="Palatino Linotype" w:eastAsiaTheme="minorEastAsia" w:hAnsi="Palatino Linotype" w:cs="Arial"/>
          <w:lang w:val="es-ES_tradnl"/>
        </w:rPr>
      </w:pPr>
    </w:p>
    <w:p w14:paraId="37E3346B" w14:textId="77777777" w:rsidR="00F6476A" w:rsidRPr="000B0EF6" w:rsidRDefault="009B6020" w:rsidP="009B6020">
      <w:pPr>
        <w:spacing w:line="360" w:lineRule="auto"/>
        <w:jc w:val="both"/>
        <w:rPr>
          <w:rFonts w:ascii="Palatino Linotype" w:eastAsiaTheme="minorEastAsia" w:hAnsi="Palatino Linotype" w:cs="Arial"/>
          <w:lang w:val="es-ES_tradnl"/>
        </w:rPr>
      </w:pPr>
      <w:r w:rsidRPr="000B0EF6">
        <w:rPr>
          <w:rFonts w:ascii="Palatino Linotype" w:eastAsiaTheme="minorEastAsia" w:hAnsi="Palatino Linotype" w:cs="Arial"/>
          <w:lang w:val="es-ES_tradnl"/>
        </w:rPr>
        <w:t xml:space="preserve">De ahí que si el hoy </w:t>
      </w:r>
      <w:r w:rsidRPr="000B0EF6">
        <w:rPr>
          <w:rFonts w:ascii="Palatino Linotype" w:eastAsiaTheme="minorEastAsia" w:hAnsi="Palatino Linotype" w:cs="Arial"/>
          <w:b/>
          <w:lang w:val="es-ES_tradnl"/>
        </w:rPr>
        <w:t xml:space="preserve">RECURRENTE </w:t>
      </w:r>
      <w:r w:rsidRPr="000B0EF6">
        <w:rPr>
          <w:rFonts w:ascii="Palatino Linotype" w:eastAsiaTheme="minorEastAsia" w:hAnsi="Palatino Linotype" w:cs="Arial"/>
          <w:lang w:val="es-ES_tradnl"/>
        </w:rPr>
        <w:t xml:space="preserve">elabora una solicitud con especificaciones mínimas, </w:t>
      </w:r>
      <w:r w:rsidRPr="000B0EF6">
        <w:rPr>
          <w:rFonts w:ascii="Palatino Linotype" w:eastAsiaTheme="minorEastAsia" w:hAnsi="Palatino Linotype" w:cs="Arial"/>
          <w:b/>
          <w:lang w:val="es-ES_tradnl"/>
        </w:rPr>
        <w:t>EL SUJETO OBLIGADO</w:t>
      </w:r>
      <w:r w:rsidRPr="000B0EF6">
        <w:rPr>
          <w:rFonts w:ascii="Palatino Linotype" w:eastAsiaTheme="minorEastAsia" w:hAnsi="Palatino Linotype" w:cs="Arial"/>
          <w:lang w:val="es-ES_tradnl"/>
        </w:rPr>
        <w:t xml:space="preserve"> cumple al pronunciarse sobre cada u</w:t>
      </w:r>
      <w:r w:rsidR="00F6476A" w:rsidRPr="000B0EF6">
        <w:rPr>
          <w:rFonts w:ascii="Palatino Linotype" w:eastAsiaTheme="minorEastAsia" w:hAnsi="Palatino Linotype" w:cs="Arial"/>
          <w:lang w:val="es-ES_tradnl"/>
        </w:rPr>
        <w:t>na</w:t>
      </w:r>
      <w:r w:rsidRPr="000B0EF6">
        <w:rPr>
          <w:rFonts w:ascii="Palatino Linotype" w:eastAsiaTheme="minorEastAsia" w:hAnsi="Palatino Linotype" w:cs="Arial"/>
          <w:lang w:val="es-ES_tradnl"/>
        </w:rPr>
        <w:t xml:space="preserve"> de ellas lo que en este caso </w:t>
      </w:r>
      <w:r w:rsidR="00F6476A" w:rsidRPr="000B0EF6">
        <w:rPr>
          <w:rFonts w:ascii="Palatino Linotype" w:eastAsiaTheme="minorEastAsia" w:hAnsi="Palatino Linotype" w:cs="Arial"/>
          <w:lang w:val="es-ES_tradnl"/>
        </w:rPr>
        <w:t xml:space="preserve">se verifica, </w:t>
      </w:r>
      <w:r w:rsidRPr="000B0EF6">
        <w:rPr>
          <w:rFonts w:ascii="Palatino Linotype" w:eastAsiaTheme="minorEastAsia" w:hAnsi="Palatino Linotype" w:cs="Arial"/>
          <w:lang w:val="es-ES_tradnl"/>
        </w:rPr>
        <w:t>pues la información remitida en respuesta corresponde a lo reque</w:t>
      </w:r>
      <w:r w:rsidR="00F6476A" w:rsidRPr="000B0EF6">
        <w:rPr>
          <w:rFonts w:ascii="Palatino Linotype" w:eastAsiaTheme="minorEastAsia" w:hAnsi="Palatino Linotype" w:cs="Arial"/>
          <w:lang w:val="es-ES_tradnl"/>
        </w:rPr>
        <w:t xml:space="preserve">rido en la solicitud de origen. </w:t>
      </w:r>
    </w:p>
    <w:p w14:paraId="24EF3459" w14:textId="77777777" w:rsidR="00F6476A" w:rsidRPr="000B0EF6" w:rsidRDefault="00F6476A" w:rsidP="009B6020">
      <w:pPr>
        <w:spacing w:line="360" w:lineRule="auto"/>
        <w:jc w:val="both"/>
        <w:rPr>
          <w:rFonts w:ascii="Palatino Linotype" w:eastAsiaTheme="minorEastAsia" w:hAnsi="Palatino Linotype" w:cs="Arial"/>
          <w:lang w:val="es-ES_tradnl"/>
        </w:rPr>
      </w:pPr>
    </w:p>
    <w:p w14:paraId="050D4CE3" w14:textId="61FC6346" w:rsidR="009B6020" w:rsidRPr="000B0EF6" w:rsidRDefault="00F6476A" w:rsidP="009B6020">
      <w:pPr>
        <w:spacing w:line="360" w:lineRule="auto"/>
        <w:jc w:val="both"/>
        <w:rPr>
          <w:rFonts w:ascii="Palatino Linotype" w:eastAsiaTheme="minorEastAsia" w:hAnsi="Palatino Linotype" w:cs="Arial"/>
          <w:lang w:val="es-ES_tradnl"/>
        </w:rPr>
      </w:pPr>
      <w:r w:rsidRPr="000B0EF6">
        <w:rPr>
          <w:rFonts w:ascii="Palatino Linotype" w:hAnsi="Palatino Linotype" w:cs="Arial"/>
          <w:bCs/>
          <w:szCs w:val="22"/>
          <w:lang w:val="es-ES"/>
        </w:rPr>
        <w:t xml:space="preserve">Sobre este punto se debe agregar también que </w:t>
      </w:r>
      <w:r w:rsidR="009B6020" w:rsidRPr="000B0EF6">
        <w:rPr>
          <w:rFonts w:ascii="Palatino Linotype" w:hAnsi="Palatino Linotype" w:cs="Arial"/>
          <w:bCs/>
          <w:szCs w:val="22"/>
          <w:lang w:val="es-ES"/>
        </w:rPr>
        <w:t xml:space="preserve">al haber existido un pronunciamiento por parte del </w:t>
      </w:r>
      <w:r w:rsidR="009B6020" w:rsidRPr="000B0EF6">
        <w:rPr>
          <w:rFonts w:ascii="Palatino Linotype" w:hAnsi="Palatino Linotype" w:cs="Arial"/>
          <w:b/>
          <w:bCs/>
          <w:szCs w:val="22"/>
          <w:lang w:val="es-ES"/>
        </w:rPr>
        <w:t>SUJETO OBLIGADO</w:t>
      </w:r>
      <w:r w:rsidR="009B6020" w:rsidRPr="000B0EF6">
        <w:rPr>
          <w:rFonts w:ascii="Palatino Linotype" w:hAnsi="Palatino Linotype" w:cs="Arial"/>
          <w:bCs/>
          <w:szCs w:val="22"/>
          <w:lang w:val="es-ES"/>
        </w:rPr>
        <w:t xml:space="preserve">, </w:t>
      </w:r>
      <w:r w:rsidR="009B6020" w:rsidRPr="000B0EF6">
        <w:rPr>
          <w:rFonts w:ascii="Palatino Linotype" w:hAnsi="Palatino Linotype"/>
        </w:rPr>
        <w:t>a fin de dar respuesta a la solicitud planteada,</w:t>
      </w:r>
      <w:r w:rsidR="009B6020" w:rsidRPr="000B0EF6">
        <w:rPr>
          <w:rFonts w:ascii="Palatino Linotype" w:hAnsi="Palatino Linotype" w:cs="Arial"/>
          <w:bCs/>
          <w:szCs w:val="22"/>
          <w:lang w:val="es-ES"/>
        </w:rPr>
        <w:t xml:space="preserve"> esta Ponencia Resultara no está facultada para manifestarse sobre la veracidad de la misma, pues no existe precepto alguno en su marco legal que faculte a este Instituto para que vía recurso de revisión pueda pronunciarse al respecto. </w:t>
      </w:r>
    </w:p>
    <w:p w14:paraId="6A4B6459" w14:textId="77777777" w:rsidR="009B6020" w:rsidRPr="000B0EF6" w:rsidRDefault="009B6020" w:rsidP="009B6020">
      <w:pPr>
        <w:spacing w:line="360" w:lineRule="auto"/>
        <w:jc w:val="both"/>
        <w:rPr>
          <w:rFonts w:ascii="Palatino Linotype" w:hAnsi="Palatino Linotype" w:cs="Arial"/>
          <w:bCs/>
          <w:szCs w:val="22"/>
          <w:lang w:val="es-ES"/>
        </w:rPr>
      </w:pPr>
    </w:p>
    <w:p w14:paraId="695599E6" w14:textId="13376750" w:rsidR="009B6020" w:rsidRPr="000B0EF6" w:rsidRDefault="00DF6431" w:rsidP="009B6020">
      <w:pPr>
        <w:spacing w:line="360" w:lineRule="auto"/>
        <w:jc w:val="both"/>
        <w:rPr>
          <w:rFonts w:ascii="Palatino Linotype" w:hAnsi="Palatino Linotype" w:cs="Arial"/>
          <w:bCs/>
          <w:szCs w:val="22"/>
          <w:lang w:val="es-ES"/>
        </w:rPr>
      </w:pPr>
      <w:r w:rsidRPr="000B0EF6">
        <w:rPr>
          <w:rFonts w:ascii="Palatino Linotype" w:hAnsi="Palatino Linotype" w:cs="Arial"/>
          <w:bCs/>
          <w:szCs w:val="22"/>
          <w:lang w:val="es-ES"/>
        </w:rPr>
        <w:lastRenderedPageBreak/>
        <w:t xml:space="preserve">Aplicando al caso </w:t>
      </w:r>
      <w:r w:rsidR="009B6020" w:rsidRPr="000B0EF6">
        <w:rPr>
          <w:rFonts w:ascii="Palatino Linotype" w:hAnsi="Palatino Linotype" w:cs="Arial"/>
          <w:bCs/>
          <w:szCs w:val="22"/>
          <w:lang w:val="es-ES"/>
        </w:rPr>
        <w:t>el criterio 31-10 emitido por el entonces Instituto Federal de Acceso a la Información ahora Instituto Nacional de Transparencia, Acceso a la Información y Protección de Datos Personales (INAI) que a la letra dice:</w:t>
      </w:r>
    </w:p>
    <w:p w14:paraId="13FDF828" w14:textId="77777777" w:rsidR="009B6020" w:rsidRPr="000B0EF6" w:rsidRDefault="009B6020" w:rsidP="009B6020">
      <w:pPr>
        <w:tabs>
          <w:tab w:val="left" w:pos="1140"/>
        </w:tabs>
        <w:jc w:val="both"/>
        <w:rPr>
          <w:rFonts w:ascii="Palatino Linotype" w:hAnsi="Palatino Linotype" w:cs="Arial"/>
          <w:bCs/>
          <w:szCs w:val="22"/>
          <w:lang w:val="es-ES"/>
        </w:rPr>
      </w:pPr>
      <w:r w:rsidRPr="000B0EF6">
        <w:rPr>
          <w:rFonts w:ascii="Palatino Linotype" w:hAnsi="Palatino Linotype" w:cs="Arial"/>
          <w:bCs/>
          <w:szCs w:val="22"/>
          <w:lang w:val="es-ES"/>
        </w:rPr>
        <w:tab/>
      </w:r>
    </w:p>
    <w:p w14:paraId="1125C3B7" w14:textId="3E94B389" w:rsidR="009B6020" w:rsidRPr="000B0EF6" w:rsidRDefault="009B6020" w:rsidP="009B6020">
      <w:pPr>
        <w:tabs>
          <w:tab w:val="left" w:pos="709"/>
        </w:tabs>
        <w:ind w:left="851" w:right="899"/>
        <w:jc w:val="both"/>
        <w:rPr>
          <w:rFonts w:ascii="Palatino Linotype" w:hAnsi="Palatino Linotype" w:cs="Arial"/>
          <w:b/>
          <w:bCs/>
          <w:i/>
          <w:sz w:val="22"/>
          <w:szCs w:val="22"/>
          <w:lang w:val="es-ES"/>
        </w:rPr>
      </w:pPr>
      <w:r w:rsidRPr="000B0EF6">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0B0EF6">
        <w:rPr>
          <w:rFonts w:ascii="Palatino Linotype" w:hAnsi="Palatino Linotype" w:cs="Arial"/>
          <w:bCs/>
          <w:i/>
          <w:sz w:val="22"/>
          <w:szCs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0B0EF6">
        <w:rPr>
          <w:rFonts w:ascii="Palatino Linotype" w:hAnsi="Palatino Linotype" w:cs="Arial"/>
          <w:b/>
          <w:bCs/>
          <w:i/>
          <w:sz w:val="22"/>
          <w:szCs w:val="22"/>
          <w:lang w:val="es-ES"/>
        </w:rPr>
        <w:t>no está facultado para pronunciarse sobre la veracidad de la información proporcionada por las autoridades en respuesta a las solicitudes</w:t>
      </w:r>
      <w:r w:rsidRPr="000B0EF6">
        <w:rPr>
          <w:rFonts w:ascii="Palatino Linotype" w:hAnsi="Palatino Linotype" w:cs="Arial"/>
          <w:bCs/>
          <w:i/>
          <w:sz w:val="22"/>
          <w:szCs w:val="22"/>
          <w:lang w:val="es-ES"/>
        </w:rPr>
        <w:t xml:space="preserve"> </w:t>
      </w:r>
      <w:r w:rsidRPr="000B0EF6">
        <w:rPr>
          <w:rFonts w:ascii="Palatino Linotype" w:hAnsi="Palatino Linotype" w:cs="Arial"/>
          <w:b/>
          <w:bCs/>
          <w:i/>
          <w:sz w:val="22"/>
          <w:szCs w:val="22"/>
          <w:lang w:val="es-ES"/>
        </w:rPr>
        <w:t>de información</w:t>
      </w:r>
      <w:r w:rsidRPr="000B0EF6">
        <w:rPr>
          <w:rFonts w:ascii="Palatino Linotype" w:hAnsi="Palatino Linotype" w:cs="Arial"/>
          <w:bCs/>
          <w:i/>
          <w:sz w:val="22"/>
          <w:szCs w:val="22"/>
          <w:lang w:val="es-ES"/>
        </w:rPr>
        <w:t xml:space="preserve">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B0EF6">
        <w:rPr>
          <w:rFonts w:ascii="Palatino Linotype" w:hAnsi="Palatino Linotype" w:cs="Arial"/>
          <w:b/>
          <w:bCs/>
          <w:i/>
          <w:sz w:val="22"/>
          <w:szCs w:val="22"/>
          <w:lang w:val="es-ES"/>
        </w:rPr>
        <w:t>”</w:t>
      </w:r>
      <w:r w:rsidR="00D64968" w:rsidRPr="000B0EF6">
        <w:rPr>
          <w:rFonts w:ascii="Palatino Linotype" w:hAnsi="Palatino Linotype" w:cs="Arial"/>
          <w:b/>
          <w:bCs/>
          <w:i/>
          <w:sz w:val="22"/>
          <w:szCs w:val="22"/>
          <w:lang w:val="es-ES"/>
        </w:rPr>
        <w:t>(Sic)</w:t>
      </w:r>
    </w:p>
    <w:p w14:paraId="69B87438" w14:textId="26DAE041" w:rsidR="00D64968" w:rsidRPr="000B0EF6" w:rsidRDefault="00D64968" w:rsidP="009B6020">
      <w:pPr>
        <w:tabs>
          <w:tab w:val="left" w:pos="709"/>
        </w:tabs>
        <w:ind w:left="851" w:right="899"/>
        <w:jc w:val="both"/>
        <w:rPr>
          <w:rFonts w:ascii="Palatino Linotype" w:hAnsi="Palatino Linotype" w:cs="Arial"/>
          <w:bCs/>
          <w:i/>
          <w:sz w:val="22"/>
          <w:szCs w:val="22"/>
          <w:lang w:val="es-ES"/>
        </w:rPr>
      </w:pPr>
      <w:r w:rsidRPr="000B0EF6">
        <w:rPr>
          <w:rFonts w:ascii="Palatino Linotype" w:hAnsi="Palatino Linotype" w:cs="Arial"/>
          <w:b/>
          <w:bCs/>
          <w:i/>
          <w:sz w:val="22"/>
          <w:szCs w:val="22"/>
          <w:lang w:val="es-ES"/>
        </w:rPr>
        <w:t>(</w:t>
      </w:r>
      <w:r w:rsidRPr="000B0EF6">
        <w:rPr>
          <w:rFonts w:ascii="Palatino Linotype" w:hAnsi="Palatino Linotype" w:cs="Arial"/>
          <w:bCs/>
          <w:i/>
          <w:sz w:val="22"/>
          <w:szCs w:val="22"/>
          <w:lang w:val="es-ES"/>
        </w:rPr>
        <w:t>Énfasis añadido)</w:t>
      </w:r>
    </w:p>
    <w:p w14:paraId="70D20B42" w14:textId="77777777" w:rsidR="009B6020" w:rsidRPr="000B0EF6" w:rsidRDefault="009B6020" w:rsidP="009B6020">
      <w:pPr>
        <w:widowControl w:val="0"/>
        <w:tabs>
          <w:tab w:val="left" w:pos="1701"/>
          <w:tab w:val="left" w:pos="1843"/>
        </w:tabs>
        <w:autoSpaceDE w:val="0"/>
        <w:autoSpaceDN w:val="0"/>
        <w:adjustRightInd w:val="0"/>
        <w:spacing w:line="360" w:lineRule="auto"/>
        <w:ind w:right="616"/>
        <w:jc w:val="both"/>
        <w:rPr>
          <w:rFonts w:ascii="Palatino Linotype" w:eastAsiaTheme="minorEastAsia" w:hAnsi="Palatino Linotype" w:cs="Arial"/>
          <w:lang w:val="es-ES_tradnl"/>
        </w:rPr>
      </w:pPr>
    </w:p>
    <w:p w14:paraId="4506E3A1" w14:textId="79CD6A6B" w:rsidR="009B6020" w:rsidRPr="000B0EF6" w:rsidRDefault="009B6020" w:rsidP="009B6020">
      <w:pPr>
        <w:widowControl w:val="0"/>
        <w:tabs>
          <w:tab w:val="left" w:pos="1701"/>
          <w:tab w:val="left" w:pos="1843"/>
        </w:tabs>
        <w:autoSpaceDE w:val="0"/>
        <w:autoSpaceDN w:val="0"/>
        <w:adjustRightInd w:val="0"/>
        <w:spacing w:line="360" w:lineRule="auto"/>
        <w:ind w:right="49"/>
        <w:jc w:val="both"/>
        <w:rPr>
          <w:rFonts w:ascii="Palatino Linotype" w:eastAsiaTheme="minorEastAsia" w:hAnsi="Palatino Linotype" w:cs="Arial"/>
          <w:lang w:val="es-ES_tradnl"/>
        </w:rPr>
      </w:pPr>
      <w:r w:rsidRPr="000B0EF6">
        <w:rPr>
          <w:rFonts w:ascii="Palatino Linotype" w:eastAsiaTheme="minorEastAsia" w:hAnsi="Palatino Linotype" w:cs="Arial"/>
          <w:lang w:val="es-ES_tradnl"/>
        </w:rPr>
        <w:t>De la Tesis citada</w:t>
      </w:r>
      <w:r w:rsidR="00DF6431" w:rsidRPr="000B0EF6">
        <w:rPr>
          <w:rFonts w:ascii="Palatino Linotype" w:eastAsiaTheme="minorEastAsia" w:hAnsi="Palatino Linotype" w:cs="Arial"/>
          <w:lang w:val="es-ES_tradnl"/>
        </w:rPr>
        <w:t>, s</w:t>
      </w:r>
      <w:r w:rsidRPr="000B0EF6">
        <w:rPr>
          <w:rFonts w:ascii="Palatino Linotype" w:eastAsiaTheme="minorEastAsia" w:hAnsi="Palatino Linotype" w:cs="Arial"/>
          <w:lang w:val="es-ES_tradnl"/>
        </w:rPr>
        <w:t>e</w:t>
      </w:r>
      <w:r w:rsidR="00DF6431" w:rsidRPr="000B0EF6">
        <w:rPr>
          <w:rFonts w:ascii="Palatino Linotype" w:eastAsiaTheme="minorEastAsia" w:hAnsi="Palatino Linotype" w:cs="Arial"/>
          <w:lang w:val="es-ES_tradnl"/>
        </w:rPr>
        <w:t xml:space="preserve"> advierte</w:t>
      </w:r>
      <w:r w:rsidRPr="000B0EF6">
        <w:rPr>
          <w:rFonts w:ascii="Palatino Linotype" w:eastAsiaTheme="minorEastAsia" w:hAnsi="Palatino Linotype" w:cs="Arial"/>
          <w:lang w:val="es-ES_tradnl"/>
        </w:rPr>
        <w:t xml:space="preserve"> que dentro de las facultades conferidas a este Instituto</w:t>
      </w:r>
      <w:r w:rsidRPr="000B0EF6">
        <w:rPr>
          <w:rStyle w:val="Refdenotaalpie"/>
          <w:rFonts w:ascii="Palatino Linotype" w:eastAsiaTheme="minorEastAsia" w:hAnsi="Palatino Linotype" w:cs="Arial"/>
          <w:lang w:val="es-ES_tradnl"/>
        </w:rPr>
        <w:footnoteReference w:id="3"/>
      </w:r>
      <w:r w:rsidRPr="000B0EF6">
        <w:rPr>
          <w:rFonts w:ascii="Palatino Linotype" w:eastAsiaTheme="minorEastAsia" w:hAnsi="Palatino Linotype" w:cs="Arial"/>
          <w:lang w:val="es-ES_tradnl"/>
        </w:rPr>
        <w:t>, no se encuentra alguna que le permita decidir sobre si la información que emiten los sujetos obligados es verdadera o no.</w:t>
      </w:r>
    </w:p>
    <w:p w14:paraId="2FE12A00" w14:textId="77777777" w:rsidR="00F441F5" w:rsidRPr="000B0EF6" w:rsidRDefault="00F441F5" w:rsidP="00B367B8">
      <w:pPr>
        <w:spacing w:line="360" w:lineRule="auto"/>
        <w:jc w:val="both"/>
        <w:rPr>
          <w:rFonts w:ascii="Palatino Linotype" w:eastAsiaTheme="minorEastAsia" w:hAnsi="Palatino Linotype" w:cs="Arial"/>
          <w:lang w:val="es-ES_tradnl"/>
        </w:rPr>
      </w:pPr>
    </w:p>
    <w:p w14:paraId="15CF9494" w14:textId="1E58488B" w:rsidR="001F19BC" w:rsidRPr="000B0EF6" w:rsidRDefault="001F19BC" w:rsidP="001F19BC">
      <w:pPr>
        <w:spacing w:line="360" w:lineRule="auto"/>
        <w:jc w:val="both"/>
        <w:rPr>
          <w:rFonts w:ascii="Palatino Linotype" w:hAnsi="Palatino Linotype" w:cs="Arial"/>
          <w:lang w:val="es-ES" w:eastAsia="es-MX"/>
        </w:rPr>
      </w:pPr>
      <w:r w:rsidRPr="000B0EF6">
        <w:rPr>
          <w:rFonts w:ascii="Palatino Linotype" w:hAnsi="Palatino Linotype" w:cs="Arial"/>
          <w:lang w:val="es-ES" w:eastAsia="es-MX"/>
        </w:rPr>
        <w:t xml:space="preserve">Por lo tanto, bajo los principios de certeza, eficacia y objetividad, establecidos en el artículo 9 </w:t>
      </w:r>
      <w:r w:rsidR="009B6020" w:rsidRPr="000B0EF6">
        <w:rPr>
          <w:rFonts w:ascii="Palatino Linotype" w:hAnsi="Palatino Linotype" w:cs="Arial"/>
          <w:lang w:val="es-ES" w:eastAsia="es-MX"/>
        </w:rPr>
        <w:t xml:space="preserve">fracciones I, II y VIII </w:t>
      </w:r>
      <w:r w:rsidRPr="000B0EF6">
        <w:rPr>
          <w:rFonts w:ascii="Palatino Linotype" w:hAnsi="Palatino Linotype" w:cs="Arial"/>
          <w:lang w:val="es-ES" w:eastAsia="es-MX"/>
        </w:rPr>
        <w:t xml:space="preserve">de la Ley de Transparencia y Acceso a la Información Pública del Estado de México y Municipios, este Instituto como </w:t>
      </w:r>
      <w:r w:rsidR="00DE6F14" w:rsidRPr="000B0EF6">
        <w:rPr>
          <w:rFonts w:ascii="Palatino Linotype" w:hAnsi="Palatino Linotype" w:cs="Arial"/>
          <w:lang w:val="es-ES" w:eastAsia="es-MX"/>
        </w:rPr>
        <w:t xml:space="preserve">Órgano Garante </w:t>
      </w:r>
      <w:r w:rsidR="00DE6F14" w:rsidRPr="000B0EF6">
        <w:rPr>
          <w:rFonts w:ascii="Palatino Linotype" w:hAnsi="Palatino Linotype" w:cs="Arial"/>
          <w:lang w:val="es-ES" w:eastAsia="es-MX"/>
        </w:rPr>
        <w:lastRenderedPageBreak/>
        <w:t xml:space="preserve">determina que </w:t>
      </w:r>
      <w:r w:rsidR="00536DC7" w:rsidRPr="000B0EF6">
        <w:rPr>
          <w:rFonts w:ascii="Palatino Linotype" w:hAnsi="Palatino Linotype" w:cs="Arial"/>
          <w:lang w:val="es-ES" w:eastAsia="es-MX"/>
        </w:rPr>
        <w:t xml:space="preserve">se </w:t>
      </w:r>
      <w:r w:rsidRPr="000B0EF6">
        <w:rPr>
          <w:rFonts w:ascii="Palatino Linotype" w:hAnsi="Palatino Linotype" w:cs="Arial"/>
          <w:lang w:val="es-ES" w:eastAsia="es-MX"/>
        </w:rPr>
        <w:t xml:space="preserve">atendió el derecho </w:t>
      </w:r>
      <w:r w:rsidR="00DF6431" w:rsidRPr="000B0EF6">
        <w:rPr>
          <w:rFonts w:ascii="Palatino Linotype" w:hAnsi="Palatino Linotype" w:cs="Arial"/>
          <w:lang w:val="es-ES" w:eastAsia="es-MX"/>
        </w:rPr>
        <w:t xml:space="preserve">de acceso a la información solicitado </w:t>
      </w:r>
      <w:r w:rsidRPr="000B0EF6">
        <w:rPr>
          <w:rFonts w:ascii="Palatino Linotype" w:hAnsi="Palatino Linotype" w:cs="Arial"/>
          <w:lang w:val="es-ES" w:eastAsia="es-MX"/>
        </w:rPr>
        <w:t xml:space="preserve">por el particular. </w:t>
      </w:r>
    </w:p>
    <w:p w14:paraId="4C25A57E" w14:textId="77777777" w:rsidR="001F19BC" w:rsidRPr="000B0EF6" w:rsidRDefault="001F19BC" w:rsidP="001F19BC">
      <w:pPr>
        <w:spacing w:line="360" w:lineRule="auto"/>
        <w:jc w:val="both"/>
        <w:rPr>
          <w:rFonts w:ascii="Palatino Linotype" w:eastAsia="Arial Unicode MS" w:hAnsi="Palatino Linotype" w:cs="Arial"/>
          <w:lang w:val="es-ES"/>
        </w:rPr>
      </w:pPr>
    </w:p>
    <w:p w14:paraId="5B4AAB90" w14:textId="1FB6C10D" w:rsidR="001F19BC" w:rsidRPr="000B0EF6" w:rsidRDefault="00DF5C8B" w:rsidP="001F19BC">
      <w:pPr>
        <w:spacing w:line="360" w:lineRule="auto"/>
        <w:jc w:val="both"/>
        <w:rPr>
          <w:rFonts w:ascii="Palatino Linotype" w:eastAsia="Calibri" w:hAnsi="Palatino Linotype"/>
          <w:b/>
          <w:lang w:val="es-ES"/>
        </w:rPr>
      </w:pPr>
      <w:r w:rsidRPr="000B0EF6">
        <w:rPr>
          <w:rFonts w:ascii="Palatino Linotype" w:eastAsia="Calibri" w:hAnsi="Palatino Linotype"/>
          <w:lang w:val="es-ES"/>
        </w:rPr>
        <w:t>Llegado a este punto y d</w:t>
      </w:r>
      <w:r w:rsidR="00E90349" w:rsidRPr="000B0EF6">
        <w:rPr>
          <w:rFonts w:ascii="Palatino Linotype" w:eastAsia="Calibri" w:hAnsi="Palatino Linotype"/>
          <w:lang w:val="es-ES"/>
        </w:rPr>
        <w:t>adas las razones a lo largo del presente estudio</w:t>
      </w:r>
      <w:r w:rsidR="00536DC7" w:rsidRPr="000B0EF6">
        <w:rPr>
          <w:rFonts w:ascii="Palatino Linotype" w:eastAsia="Calibri" w:hAnsi="Palatino Linotype"/>
          <w:lang w:val="es-ES"/>
        </w:rPr>
        <w:t xml:space="preserve">, se concluye que </w:t>
      </w:r>
      <w:r w:rsidR="009B6020" w:rsidRPr="000B0EF6">
        <w:rPr>
          <w:rFonts w:ascii="Palatino Linotype" w:eastAsia="Calibri" w:hAnsi="Palatino Linotype"/>
          <w:lang w:val="es-ES"/>
        </w:rPr>
        <w:t>la impugnación del acto es</w:t>
      </w:r>
      <w:r w:rsidR="009B6020" w:rsidRPr="000B0EF6">
        <w:rPr>
          <w:rFonts w:ascii="Palatino Linotype" w:eastAsia="Calibri" w:hAnsi="Palatino Linotype"/>
          <w:b/>
          <w:lang w:val="es-ES"/>
        </w:rPr>
        <w:t xml:space="preserve"> infundada</w:t>
      </w:r>
      <w:r w:rsidR="009B6020" w:rsidRPr="000B0EF6">
        <w:rPr>
          <w:rFonts w:ascii="Palatino Linotype" w:eastAsia="Calibri" w:hAnsi="Palatino Linotype"/>
          <w:lang w:val="es-ES"/>
        </w:rPr>
        <w:t xml:space="preserve"> </w:t>
      </w:r>
      <w:r w:rsidR="00DE6F14" w:rsidRPr="000B0EF6">
        <w:rPr>
          <w:rFonts w:ascii="Palatino Linotype" w:hAnsi="Palatino Linotype" w:cs="Arial"/>
          <w:lang w:val="es-ES"/>
        </w:rPr>
        <w:t xml:space="preserve">, debido a que </w:t>
      </w:r>
      <w:r w:rsidR="00DE6F14" w:rsidRPr="000B0EF6">
        <w:rPr>
          <w:rFonts w:ascii="Palatino Linotype" w:hAnsi="Palatino Linotype" w:cs="Arial"/>
          <w:b/>
          <w:lang w:val="es-ES"/>
        </w:rPr>
        <w:t xml:space="preserve">EL SUJETO OBLIGADO </w:t>
      </w:r>
      <w:r w:rsidR="00DE6F14" w:rsidRPr="000B0EF6">
        <w:rPr>
          <w:rFonts w:ascii="Palatino Linotype" w:hAnsi="Palatino Linotype" w:cs="Arial"/>
          <w:lang w:val="es-ES"/>
        </w:rPr>
        <w:t xml:space="preserve">atendió el derecho </w:t>
      </w:r>
      <w:r w:rsidR="00DF6431" w:rsidRPr="000B0EF6">
        <w:rPr>
          <w:rFonts w:ascii="Palatino Linotype" w:hAnsi="Palatino Linotype" w:cs="Arial"/>
          <w:lang w:val="es-ES"/>
        </w:rPr>
        <w:t xml:space="preserve">de acceso a la información del </w:t>
      </w:r>
      <w:r w:rsidR="00DF6431" w:rsidRPr="000B0EF6">
        <w:rPr>
          <w:rFonts w:ascii="Palatino Linotype" w:hAnsi="Palatino Linotype" w:cs="Arial"/>
          <w:b/>
          <w:lang w:val="es-ES"/>
        </w:rPr>
        <w:t>RECURRENTE</w:t>
      </w:r>
      <w:r w:rsidR="00DE6F14" w:rsidRPr="000B0EF6">
        <w:rPr>
          <w:rFonts w:ascii="Palatino Linotype" w:hAnsi="Palatino Linotype" w:cs="Arial"/>
          <w:lang w:val="es-ES"/>
        </w:rPr>
        <w:t xml:space="preserve">,  </w:t>
      </w:r>
      <w:r w:rsidR="001F19BC" w:rsidRPr="000B0EF6">
        <w:rPr>
          <w:rFonts w:ascii="Palatino Linotype" w:eastAsia="Calibri" w:hAnsi="Palatino Linotype"/>
          <w:lang w:val="es-ES"/>
        </w:rPr>
        <w:t xml:space="preserve">en consecuencia, este Órgano Garante determina </w:t>
      </w:r>
      <w:r w:rsidR="001F19BC" w:rsidRPr="000B0EF6">
        <w:rPr>
          <w:rFonts w:ascii="Palatino Linotype" w:eastAsia="Calibri" w:hAnsi="Palatino Linotype"/>
          <w:b/>
          <w:lang w:val="es-ES"/>
        </w:rPr>
        <w:t xml:space="preserve">CONFIRMAR </w:t>
      </w:r>
      <w:r w:rsidR="001F19BC" w:rsidRPr="000B0EF6">
        <w:rPr>
          <w:rFonts w:ascii="Palatino Linotype" w:eastAsia="Calibri" w:hAnsi="Palatino Linotype"/>
          <w:lang w:val="es-ES"/>
        </w:rPr>
        <w:t xml:space="preserve">la respuesta otorgada por el </w:t>
      </w:r>
      <w:r w:rsidR="001F19BC" w:rsidRPr="000B0EF6">
        <w:rPr>
          <w:rFonts w:ascii="Palatino Linotype" w:eastAsia="Calibri" w:hAnsi="Palatino Linotype"/>
          <w:b/>
          <w:lang w:val="es-ES"/>
        </w:rPr>
        <w:t xml:space="preserve">SUJETO OBLIGADO </w:t>
      </w:r>
      <w:r w:rsidR="001F19BC" w:rsidRPr="000B0EF6">
        <w:rPr>
          <w:rFonts w:ascii="Palatino Linotype" w:eastAsia="Calibri" w:hAnsi="Palatino Linotype"/>
          <w:lang w:val="es-ES"/>
        </w:rPr>
        <w:t>en la solicitud</w:t>
      </w:r>
      <w:r w:rsidR="002A19C2" w:rsidRPr="000B0EF6">
        <w:rPr>
          <w:rFonts w:ascii="Palatino Linotype" w:eastAsia="Calibri" w:hAnsi="Palatino Linotype"/>
          <w:lang w:val="es-ES"/>
        </w:rPr>
        <w:t xml:space="preserve"> </w:t>
      </w:r>
      <w:r w:rsidR="005941C3" w:rsidRPr="000B0EF6">
        <w:rPr>
          <w:rFonts w:ascii="Palatino Linotype" w:hAnsi="Palatino Linotype"/>
          <w:b/>
        </w:rPr>
        <w:t>00318/OCOYOAC/IP/2021</w:t>
      </w:r>
      <w:r w:rsidR="001F19BC" w:rsidRPr="000B0EF6">
        <w:rPr>
          <w:rFonts w:ascii="Palatino Linotype" w:hAnsi="Palatino Linotype"/>
          <w:b/>
        </w:rPr>
        <w:t>.</w:t>
      </w:r>
    </w:p>
    <w:p w14:paraId="5AA49684" w14:textId="77777777" w:rsidR="001F19BC" w:rsidRPr="000B0EF6" w:rsidRDefault="001F19BC" w:rsidP="001F19BC">
      <w:pPr>
        <w:suppressAutoHyphens/>
        <w:spacing w:line="360" w:lineRule="auto"/>
        <w:ind w:right="757"/>
        <w:jc w:val="both"/>
        <w:rPr>
          <w:rFonts w:ascii="Palatino Linotype" w:eastAsia="Batang" w:hAnsi="Palatino Linotype" w:cs="Arial"/>
          <w:iCs/>
          <w:lang w:val="es-AR"/>
        </w:rPr>
      </w:pPr>
    </w:p>
    <w:p w14:paraId="69CBBDD5" w14:textId="3F48F56C" w:rsidR="00A31AF6" w:rsidRPr="000B0EF6" w:rsidRDefault="001F19BC" w:rsidP="001F19BC">
      <w:pPr>
        <w:widowControl w:val="0"/>
        <w:autoSpaceDE w:val="0"/>
        <w:autoSpaceDN w:val="0"/>
        <w:adjustRightInd w:val="0"/>
        <w:spacing w:line="360" w:lineRule="auto"/>
        <w:jc w:val="both"/>
        <w:rPr>
          <w:rFonts w:ascii="Palatino Linotype" w:eastAsia="Calibri" w:hAnsi="Palatino Linotype" w:cs="Arial"/>
          <w:color w:val="000000" w:themeColor="text1"/>
        </w:rPr>
      </w:pPr>
      <w:r w:rsidRPr="000B0EF6">
        <w:rPr>
          <w:rFonts w:ascii="Palatino Linotype" w:eastAsia="Calibri" w:hAnsi="Palatino Linotype" w:cs="Arial"/>
          <w:color w:val="000000" w:themeColor="text1"/>
        </w:rPr>
        <w:t xml:space="preserve">Así, con </w:t>
      </w:r>
      <w:r w:rsidRPr="000B0EF6">
        <w:rPr>
          <w:rFonts w:ascii="Palatino Linotype" w:hAnsi="Palatino Linotype" w:cs="Arial"/>
          <w:color w:val="000000" w:themeColor="text1"/>
        </w:rPr>
        <w:t>fundamento</w:t>
      </w:r>
      <w:r w:rsidRPr="000B0EF6">
        <w:rPr>
          <w:rFonts w:ascii="Palatino Linotype" w:eastAsia="Calibri" w:hAnsi="Palatino Linotype" w:cs="Arial"/>
          <w:color w:val="000000" w:themeColor="text1"/>
        </w:rPr>
        <w:t xml:space="preserve"> en lo prescrito en los artículos 5, </w:t>
      </w:r>
      <w:r w:rsidRPr="000B0EF6">
        <w:rPr>
          <w:rFonts w:ascii="Palatino Linotype" w:eastAsia="Calibri" w:hAnsi="Palatino Linotype" w:cs="Arial"/>
          <w:color w:val="000000" w:themeColor="text1"/>
          <w:lang w:val="es-ES_tradnl"/>
        </w:rPr>
        <w:t xml:space="preserve">párrafos </w:t>
      </w:r>
      <w:bookmarkStart w:id="0" w:name="_Hlk65874252"/>
      <w:r w:rsidRPr="000B0EF6">
        <w:rPr>
          <w:rFonts w:ascii="Palatino Linotype" w:eastAsia="Calibri" w:hAnsi="Palatino Linotype" w:cs="Arial"/>
          <w:color w:val="000000" w:themeColor="text1"/>
          <w:lang w:val="es-ES_tradnl"/>
        </w:rPr>
        <w:t>trigésimo, trigésimo primero y trigésimo segundo</w:t>
      </w:r>
      <w:bookmarkEnd w:id="0"/>
      <w:r w:rsidRPr="000B0EF6">
        <w:rPr>
          <w:rFonts w:ascii="Palatino Linotype" w:hAnsi="Palatino Linotype" w:cs="Arial"/>
          <w:color w:val="000000" w:themeColor="text1"/>
        </w:rPr>
        <w:t>,</w:t>
      </w:r>
      <w:r w:rsidRPr="000B0EF6">
        <w:rPr>
          <w:rFonts w:ascii="Palatino Linotype" w:hAnsi="Palatino Linotype"/>
          <w:color w:val="000000" w:themeColor="text1"/>
        </w:rPr>
        <w:t xml:space="preserve"> fracciones IV y V,</w:t>
      </w:r>
      <w:r w:rsidRPr="000B0EF6">
        <w:rPr>
          <w:rFonts w:ascii="Palatino Linotype" w:eastAsia="Calibri" w:hAnsi="Palatino Linotype" w:cs="Arial"/>
          <w:color w:val="000000" w:themeColor="text1"/>
        </w:rPr>
        <w:t xml:space="preserve"> de la Constitución Política del Estado Libre y Soberano de </w:t>
      </w:r>
      <w:r w:rsidRPr="000B0EF6">
        <w:rPr>
          <w:rFonts w:ascii="Palatino Linotype" w:hAnsi="Palatino Linotype" w:cs="Arial"/>
          <w:color w:val="000000" w:themeColor="text1"/>
          <w:lang w:val="es-ES_tradnl"/>
        </w:rPr>
        <w:t>México</w:t>
      </w:r>
      <w:r w:rsidRPr="000B0EF6">
        <w:rPr>
          <w:rFonts w:ascii="Palatino Linotype" w:eastAsia="Calibri" w:hAnsi="Palatino Linotype" w:cs="Arial"/>
          <w:color w:val="000000" w:themeColor="text1"/>
        </w:rPr>
        <w:t xml:space="preserve">, y los artículos </w:t>
      </w:r>
      <w:r w:rsidRPr="000B0EF6">
        <w:rPr>
          <w:rFonts w:ascii="Palatino Linotype" w:hAnsi="Palatino Linotype"/>
          <w:color w:val="000000" w:themeColor="text1"/>
        </w:rPr>
        <w:t xml:space="preserve">2, </w:t>
      </w:r>
      <w:r w:rsidRPr="000B0EF6">
        <w:rPr>
          <w:rFonts w:ascii="Palatino Linotype" w:hAnsi="Palatino Linotype" w:cs="Arial"/>
          <w:color w:val="000000" w:themeColor="text1"/>
        </w:rPr>
        <w:t>fracción</w:t>
      </w:r>
      <w:r w:rsidRPr="000B0EF6">
        <w:rPr>
          <w:rFonts w:ascii="Palatino Linotype" w:hAnsi="Palatino Linotype"/>
          <w:color w:val="000000" w:themeColor="text1"/>
        </w:rPr>
        <w:t xml:space="preserve"> II, 9, </w:t>
      </w:r>
      <w:r w:rsidRPr="000B0EF6">
        <w:rPr>
          <w:rFonts w:ascii="Palatino Linotype" w:hAnsi="Palatino Linotype" w:cs="Arial"/>
          <w:color w:val="000000" w:themeColor="text1"/>
          <w:lang w:val="es-ES_tradnl"/>
        </w:rPr>
        <w:t>29</w:t>
      </w:r>
      <w:r w:rsidRPr="000B0EF6">
        <w:rPr>
          <w:rFonts w:ascii="Palatino Linotype" w:hAnsi="Palatino Linotype"/>
          <w:color w:val="000000" w:themeColor="text1"/>
        </w:rPr>
        <w:t>, 36, fracciones I y II, 176, 178, 179, 181, 185, fracción I, 186 y 188,</w:t>
      </w:r>
      <w:r w:rsidRPr="000B0EF6">
        <w:rPr>
          <w:rFonts w:ascii="Palatino Linotype" w:eastAsia="Calibri" w:hAnsi="Palatino Linotype" w:cs="Arial"/>
          <w:color w:val="000000" w:themeColor="text1"/>
        </w:rPr>
        <w:t xml:space="preserve"> de la Ley de Transparencia y Acceso a la Información Pública del Estado de México y </w:t>
      </w:r>
      <w:r w:rsidRPr="000B0EF6">
        <w:rPr>
          <w:rFonts w:ascii="Palatino Linotype" w:hAnsi="Palatino Linotype" w:cs="Arial"/>
          <w:color w:val="000000" w:themeColor="text1"/>
        </w:rPr>
        <w:t>Municipios</w:t>
      </w:r>
      <w:r w:rsidRPr="000B0EF6">
        <w:rPr>
          <w:rFonts w:ascii="Palatino Linotype" w:eastAsia="Calibri" w:hAnsi="Palatino Linotype" w:cs="Arial"/>
          <w:color w:val="000000" w:themeColor="text1"/>
        </w:rPr>
        <w:t xml:space="preserve">, </w:t>
      </w:r>
      <w:r w:rsidRPr="000B0EF6">
        <w:rPr>
          <w:rFonts w:ascii="Palatino Linotype" w:hAnsi="Palatino Linotype"/>
          <w:color w:val="000000" w:themeColor="text1"/>
        </w:rPr>
        <w:t>este</w:t>
      </w:r>
      <w:r w:rsidR="00A31AF6" w:rsidRPr="000B0EF6">
        <w:rPr>
          <w:rFonts w:ascii="Palatino Linotype" w:eastAsia="Calibri" w:hAnsi="Palatino Linotype" w:cs="Arial"/>
          <w:color w:val="000000" w:themeColor="text1"/>
        </w:rPr>
        <w:t xml:space="preserve"> Pleno:</w:t>
      </w:r>
    </w:p>
    <w:p w14:paraId="68B7DFD3" w14:textId="77777777" w:rsidR="001F19BC" w:rsidRPr="000B0EF6" w:rsidRDefault="001F19BC" w:rsidP="001F19BC">
      <w:pPr>
        <w:jc w:val="center"/>
        <w:rPr>
          <w:rFonts w:ascii="Palatino Linotype" w:hAnsi="Palatino Linotype" w:cs="Arial"/>
          <w:b/>
          <w:spacing w:val="44"/>
          <w:sz w:val="28"/>
        </w:rPr>
      </w:pPr>
    </w:p>
    <w:p w14:paraId="72652567" w14:textId="55C65668" w:rsidR="001F19BC" w:rsidRPr="000B0EF6" w:rsidRDefault="001F19BC" w:rsidP="00912B8F">
      <w:pPr>
        <w:jc w:val="center"/>
        <w:rPr>
          <w:rFonts w:ascii="Palatino Linotype" w:hAnsi="Palatino Linotype" w:cs="Arial"/>
          <w:b/>
          <w:spacing w:val="44"/>
          <w:sz w:val="28"/>
        </w:rPr>
      </w:pPr>
      <w:r w:rsidRPr="000B0EF6">
        <w:rPr>
          <w:rFonts w:ascii="Palatino Linotype" w:hAnsi="Palatino Linotype" w:cs="Arial"/>
          <w:b/>
          <w:spacing w:val="44"/>
          <w:sz w:val="28"/>
        </w:rPr>
        <w:t>RESUELVE</w:t>
      </w:r>
    </w:p>
    <w:p w14:paraId="2D58C559" w14:textId="4C3DF63F" w:rsidR="001F19BC" w:rsidRPr="000B0EF6" w:rsidRDefault="001F19BC" w:rsidP="001F19BC">
      <w:pPr>
        <w:spacing w:before="240" w:line="360" w:lineRule="auto"/>
        <w:jc w:val="both"/>
        <w:rPr>
          <w:rFonts w:ascii="Palatino Linotype" w:eastAsiaTheme="minorEastAsia" w:hAnsi="Palatino Linotype" w:cs="Arial"/>
          <w:bCs/>
          <w:lang w:val="es-ES_tradnl"/>
        </w:rPr>
      </w:pPr>
      <w:r w:rsidRPr="000B0EF6">
        <w:rPr>
          <w:rFonts w:ascii="Palatino Linotype" w:hAnsi="Palatino Linotype" w:cs="Arial"/>
          <w:b/>
          <w:sz w:val="28"/>
          <w:lang w:val="es-ES_tradnl"/>
        </w:rPr>
        <w:t>PRIMERO</w:t>
      </w:r>
      <w:r w:rsidRPr="000B0EF6">
        <w:rPr>
          <w:rFonts w:ascii="Palatino Linotype" w:hAnsi="Palatino Linotype" w:cs="Arial"/>
          <w:b/>
          <w:lang w:val="es-ES_tradnl"/>
        </w:rPr>
        <w:t xml:space="preserve">. </w:t>
      </w:r>
      <w:r w:rsidR="00134A11" w:rsidRPr="000B0EF6">
        <w:rPr>
          <w:rFonts w:ascii="Palatino Linotype" w:hAnsi="Palatino Linotype" w:cs="Arial"/>
          <w:lang w:val="es-ES_tradnl"/>
        </w:rPr>
        <w:t>Resulta</w:t>
      </w:r>
      <w:r w:rsidRPr="000B0EF6">
        <w:rPr>
          <w:rFonts w:ascii="Palatino Linotype" w:hAnsi="Palatino Linotype" w:cs="Arial"/>
          <w:lang w:val="es-ES_tradnl"/>
        </w:rPr>
        <w:t xml:space="preserve"> </w:t>
      </w:r>
      <w:r w:rsidR="00134A11" w:rsidRPr="000B0EF6">
        <w:rPr>
          <w:rFonts w:ascii="Palatino Linotype" w:hAnsi="Palatino Linotype" w:cs="Arial"/>
          <w:b/>
          <w:lang w:val="es-ES_tradnl"/>
        </w:rPr>
        <w:t>infundada</w:t>
      </w:r>
      <w:r w:rsidRPr="000B0EF6">
        <w:rPr>
          <w:rFonts w:ascii="Palatino Linotype" w:hAnsi="Palatino Linotype" w:cs="Arial"/>
          <w:lang w:val="es-ES_tradnl"/>
        </w:rPr>
        <w:t xml:space="preserve"> </w:t>
      </w:r>
      <w:r w:rsidR="00134A11" w:rsidRPr="000B0EF6">
        <w:rPr>
          <w:rFonts w:ascii="Palatino Linotype" w:hAnsi="Palatino Linotype" w:cs="Arial"/>
          <w:lang w:val="es-ES_tradnl"/>
        </w:rPr>
        <w:t>la impugnación al acto</w:t>
      </w:r>
      <w:r w:rsidRPr="000B0EF6">
        <w:rPr>
          <w:rFonts w:ascii="Palatino Linotype" w:hAnsi="Palatino Linotype" w:cs="Arial"/>
          <w:lang w:val="es-ES"/>
        </w:rPr>
        <w:t xml:space="preserve"> </w:t>
      </w:r>
      <w:r w:rsidRPr="000B0EF6">
        <w:rPr>
          <w:rFonts w:ascii="Palatino Linotype" w:eastAsia="Calibri" w:hAnsi="Palatino Linotype" w:cs="Arial"/>
          <w:lang w:val="es-ES"/>
        </w:rPr>
        <w:t xml:space="preserve">en el recurso de revisión </w:t>
      </w:r>
      <w:r w:rsidR="000C52DE" w:rsidRPr="000B0EF6">
        <w:rPr>
          <w:rFonts w:ascii="Palatino Linotype" w:eastAsia="Calibri" w:hAnsi="Palatino Linotype" w:cs="Arial"/>
          <w:b/>
          <w:lang w:val="es-ES"/>
        </w:rPr>
        <w:t>0</w:t>
      </w:r>
      <w:r w:rsidR="00F441F5" w:rsidRPr="000B0EF6">
        <w:rPr>
          <w:rFonts w:ascii="Palatino Linotype" w:eastAsia="Calibri" w:hAnsi="Palatino Linotype" w:cs="Arial"/>
          <w:b/>
          <w:bCs/>
          <w:lang w:val="es-ES"/>
        </w:rPr>
        <w:t>4312</w:t>
      </w:r>
      <w:r w:rsidRPr="000B0EF6">
        <w:rPr>
          <w:rFonts w:ascii="Palatino Linotype" w:eastAsiaTheme="minorEastAsia" w:hAnsi="Palatino Linotype" w:cs="Arial"/>
          <w:b/>
          <w:bCs/>
          <w:lang w:val="es-ES_tradnl"/>
        </w:rPr>
        <w:t xml:space="preserve">/INFOEM/IP/RR/2021, </w:t>
      </w:r>
      <w:r w:rsidRPr="000B0EF6">
        <w:rPr>
          <w:rFonts w:ascii="Palatino Linotype" w:eastAsiaTheme="minorEastAsia" w:hAnsi="Palatino Linotype" w:cs="Arial"/>
          <w:bCs/>
          <w:lang w:val="es-ES_tradnl"/>
        </w:rPr>
        <w:t xml:space="preserve">en términos del Considerando </w:t>
      </w:r>
      <w:r w:rsidRPr="000B0EF6">
        <w:rPr>
          <w:rFonts w:ascii="Palatino Linotype" w:eastAsiaTheme="minorEastAsia" w:hAnsi="Palatino Linotype" w:cs="Arial"/>
          <w:b/>
          <w:bCs/>
          <w:lang w:val="es-ES_tradnl"/>
        </w:rPr>
        <w:t>QUINTO</w:t>
      </w:r>
      <w:r w:rsidRPr="000B0EF6">
        <w:rPr>
          <w:rFonts w:ascii="Palatino Linotype" w:eastAsiaTheme="minorEastAsia" w:hAnsi="Palatino Linotype" w:cs="Arial"/>
          <w:bCs/>
          <w:sz w:val="28"/>
          <w:lang w:val="es-ES_tradnl"/>
        </w:rPr>
        <w:t xml:space="preserve"> </w:t>
      </w:r>
      <w:r w:rsidRPr="000B0EF6">
        <w:rPr>
          <w:rFonts w:ascii="Palatino Linotype" w:eastAsiaTheme="minorEastAsia" w:hAnsi="Palatino Linotype" w:cs="Arial"/>
          <w:bCs/>
          <w:lang w:val="es-ES_tradnl"/>
        </w:rPr>
        <w:t>de la presente resolución.</w:t>
      </w:r>
    </w:p>
    <w:p w14:paraId="4197B495" w14:textId="77777777" w:rsidR="001F19BC" w:rsidRPr="000B0EF6" w:rsidRDefault="001F19BC" w:rsidP="001F19BC">
      <w:pPr>
        <w:spacing w:before="240" w:line="360" w:lineRule="auto"/>
        <w:jc w:val="both"/>
        <w:rPr>
          <w:rFonts w:ascii="Palatino Linotype" w:hAnsi="Palatino Linotype"/>
          <w:sz w:val="6"/>
          <w:lang w:val="es-ES_tradnl"/>
        </w:rPr>
      </w:pPr>
    </w:p>
    <w:p w14:paraId="73F79C61" w14:textId="13FBB0AE" w:rsidR="001F19BC" w:rsidRPr="000B0EF6" w:rsidRDefault="001F19BC" w:rsidP="001F19BC">
      <w:pPr>
        <w:widowControl w:val="0"/>
        <w:autoSpaceDE w:val="0"/>
        <w:autoSpaceDN w:val="0"/>
        <w:adjustRightInd w:val="0"/>
        <w:spacing w:line="360" w:lineRule="auto"/>
        <w:jc w:val="both"/>
        <w:rPr>
          <w:rFonts w:ascii="Palatino Linotype" w:hAnsi="Palatino Linotype" w:cs="Arial"/>
          <w:color w:val="000000" w:themeColor="text1"/>
        </w:rPr>
      </w:pPr>
      <w:r w:rsidRPr="000B0EF6">
        <w:rPr>
          <w:rFonts w:ascii="Palatino Linotype" w:eastAsiaTheme="minorEastAsia" w:hAnsi="Palatino Linotype" w:cstheme="minorBidi"/>
          <w:b/>
          <w:sz w:val="28"/>
          <w:lang w:val="es-ES_tradnl"/>
        </w:rPr>
        <w:t>SEGUNDO</w:t>
      </w:r>
      <w:r w:rsidRPr="000B0EF6">
        <w:rPr>
          <w:rFonts w:ascii="Palatino Linotype" w:eastAsiaTheme="minorEastAsia" w:hAnsi="Palatino Linotype" w:cstheme="minorBidi"/>
          <w:b/>
          <w:lang w:val="es-ES_tradnl"/>
        </w:rPr>
        <w:t>.</w:t>
      </w:r>
      <w:r w:rsidRPr="000B0EF6">
        <w:rPr>
          <w:rFonts w:ascii="Palatino Linotype" w:eastAsiaTheme="majorEastAsia" w:hAnsi="Palatino Linotype" w:cstheme="majorBidi"/>
          <w:b/>
          <w:color w:val="2E74B5" w:themeColor="accent1" w:themeShade="BF"/>
          <w:lang w:val="es-ES_tradnl" w:eastAsia="en-US"/>
        </w:rPr>
        <w:t xml:space="preserve"> </w:t>
      </w:r>
      <w:r w:rsidRPr="000B0EF6">
        <w:rPr>
          <w:rFonts w:ascii="Palatino Linotype" w:eastAsia="Calibri" w:hAnsi="Palatino Linotype" w:cs="Arial"/>
          <w:lang w:val="es-ES"/>
        </w:rPr>
        <w:t>Se</w:t>
      </w:r>
      <w:r w:rsidRPr="000B0EF6">
        <w:rPr>
          <w:rFonts w:ascii="Palatino Linotype" w:eastAsia="Calibri" w:hAnsi="Palatino Linotype" w:cs="Arial"/>
          <w:b/>
          <w:lang w:val="es-ES"/>
        </w:rPr>
        <w:t xml:space="preserve"> CONFIRMA </w:t>
      </w:r>
      <w:r w:rsidRPr="000B0EF6">
        <w:rPr>
          <w:rFonts w:ascii="Palatino Linotype" w:hAnsi="Palatino Linotype" w:cs="Arial"/>
          <w:color w:val="000000" w:themeColor="text1"/>
        </w:rPr>
        <w:t xml:space="preserve">la respuesta del </w:t>
      </w:r>
      <w:r w:rsidRPr="000B0EF6">
        <w:rPr>
          <w:rFonts w:ascii="Palatino Linotype" w:hAnsi="Palatino Linotype" w:cs="Arial"/>
          <w:b/>
          <w:color w:val="000000" w:themeColor="text1"/>
        </w:rPr>
        <w:t xml:space="preserve">SUJETO OBLIGADO </w:t>
      </w:r>
      <w:r w:rsidRPr="000B0EF6">
        <w:rPr>
          <w:rFonts w:ascii="Palatino Linotype" w:hAnsi="Palatino Linotype" w:cs="Arial"/>
          <w:color w:val="000000" w:themeColor="text1"/>
        </w:rPr>
        <w:t>otorgada a la solicitud de acceso a la información pública número</w:t>
      </w:r>
      <w:r w:rsidR="00F467C4" w:rsidRPr="000B0EF6">
        <w:rPr>
          <w:rFonts w:ascii="Palatino Linotype" w:hAnsi="Palatino Linotype" w:cs="Arial"/>
          <w:color w:val="000000" w:themeColor="text1"/>
        </w:rPr>
        <w:t xml:space="preserve"> </w:t>
      </w:r>
      <w:r w:rsidR="00F441F5" w:rsidRPr="000B0EF6">
        <w:rPr>
          <w:rFonts w:ascii="Palatino Linotype" w:hAnsi="Palatino Linotype"/>
          <w:b/>
        </w:rPr>
        <w:t>00318</w:t>
      </w:r>
      <w:r w:rsidR="00125FCE" w:rsidRPr="000B0EF6">
        <w:rPr>
          <w:rFonts w:ascii="Palatino Linotype" w:hAnsi="Palatino Linotype"/>
          <w:b/>
        </w:rPr>
        <w:t>/</w:t>
      </w:r>
      <w:r w:rsidR="00F441F5" w:rsidRPr="000B0EF6">
        <w:rPr>
          <w:rFonts w:ascii="Palatino Linotype" w:hAnsi="Palatino Linotype"/>
          <w:b/>
        </w:rPr>
        <w:t>OCOYOAC</w:t>
      </w:r>
      <w:r w:rsidR="00125FCE" w:rsidRPr="000B0EF6">
        <w:rPr>
          <w:rFonts w:ascii="Palatino Linotype" w:hAnsi="Palatino Linotype"/>
          <w:b/>
        </w:rPr>
        <w:t>/IP/2021</w:t>
      </w:r>
      <w:r w:rsidRPr="000B0EF6">
        <w:rPr>
          <w:rFonts w:ascii="Palatino Linotype" w:hAnsi="Palatino Linotype" w:cs="Arial"/>
          <w:color w:val="000000" w:themeColor="text1"/>
        </w:rPr>
        <w:t xml:space="preserve">, en términos del Considerando </w:t>
      </w:r>
      <w:r w:rsidRPr="000B0EF6">
        <w:rPr>
          <w:rFonts w:ascii="Palatino Linotype" w:hAnsi="Palatino Linotype" w:cs="Arial"/>
          <w:b/>
          <w:color w:val="000000" w:themeColor="text1"/>
        </w:rPr>
        <w:t>QUINTO</w:t>
      </w:r>
      <w:r w:rsidRPr="000B0EF6">
        <w:rPr>
          <w:rFonts w:ascii="Palatino Linotype" w:hAnsi="Palatino Linotype" w:cs="Arial"/>
          <w:color w:val="000000" w:themeColor="text1"/>
        </w:rPr>
        <w:t>.</w:t>
      </w:r>
    </w:p>
    <w:p w14:paraId="7D3736C9" w14:textId="77777777" w:rsidR="001F19BC" w:rsidRPr="000B0EF6" w:rsidRDefault="001F19BC" w:rsidP="001F19BC">
      <w:pPr>
        <w:widowControl w:val="0"/>
        <w:autoSpaceDE w:val="0"/>
        <w:autoSpaceDN w:val="0"/>
        <w:adjustRightInd w:val="0"/>
        <w:spacing w:line="360" w:lineRule="auto"/>
        <w:jc w:val="both"/>
        <w:rPr>
          <w:rFonts w:ascii="Palatino Linotype" w:hAnsi="Palatino Linotype" w:cs="Arial"/>
          <w:color w:val="000000" w:themeColor="text1"/>
        </w:rPr>
      </w:pPr>
    </w:p>
    <w:p w14:paraId="4A3DBF78" w14:textId="77777777" w:rsidR="001F19BC" w:rsidRPr="000B0EF6" w:rsidRDefault="001F19BC" w:rsidP="001F19BC">
      <w:pPr>
        <w:tabs>
          <w:tab w:val="left" w:pos="8080"/>
        </w:tabs>
        <w:spacing w:line="360" w:lineRule="auto"/>
        <w:ind w:right="49"/>
        <w:contextualSpacing/>
        <w:jc w:val="both"/>
        <w:rPr>
          <w:rFonts w:ascii="Palatino Linotype" w:eastAsia="Palatino Linotype" w:hAnsi="Palatino Linotype" w:cs="Palatino Linotype"/>
          <w:b/>
          <w:lang w:val="es-ES_tradnl"/>
        </w:rPr>
      </w:pPr>
      <w:r w:rsidRPr="000B0EF6">
        <w:rPr>
          <w:rFonts w:ascii="Palatino Linotype" w:eastAsia="Palatino Linotype" w:hAnsi="Palatino Linotype" w:cs="Palatino Linotype"/>
          <w:b/>
          <w:sz w:val="28"/>
          <w:lang w:val="es-ES_tradnl"/>
        </w:rPr>
        <w:lastRenderedPageBreak/>
        <w:t>TERCERO</w:t>
      </w:r>
      <w:r w:rsidRPr="000B0EF6">
        <w:rPr>
          <w:rFonts w:ascii="Palatino Linotype" w:eastAsia="Palatino Linotype" w:hAnsi="Palatino Linotype" w:cs="Palatino Linotype"/>
          <w:b/>
          <w:lang w:val="es-ES_tradnl"/>
        </w:rPr>
        <w:t xml:space="preserve">. </w:t>
      </w:r>
      <w:r w:rsidRPr="000B0EF6">
        <w:rPr>
          <w:rFonts w:ascii="Palatino Linotype" w:hAnsi="Palatino Linotype" w:cs="Arial"/>
          <w:b/>
          <w:color w:val="000000" w:themeColor="text1"/>
          <w:lang w:val="es-ES_tradnl"/>
        </w:rPr>
        <w:t xml:space="preserve">Notifíquese </w:t>
      </w:r>
      <w:r w:rsidRPr="000B0EF6">
        <w:rPr>
          <w:rFonts w:ascii="Palatino Linotype" w:hAnsi="Palatino Linotype" w:cs="Arial"/>
          <w:color w:val="000000" w:themeColor="text1"/>
          <w:lang w:val="es-ES_tradnl"/>
        </w:rPr>
        <w:t xml:space="preserve">la presente resolución al Titular de la Unidad de Transparencia del </w:t>
      </w:r>
      <w:r w:rsidRPr="000B0EF6">
        <w:rPr>
          <w:rFonts w:ascii="Palatino Linotype" w:hAnsi="Palatino Linotype" w:cs="Arial"/>
          <w:b/>
          <w:color w:val="000000" w:themeColor="text1"/>
          <w:lang w:val="es-ES_tradnl"/>
        </w:rPr>
        <w:t>SUJETO OBLIGADO</w:t>
      </w:r>
      <w:r w:rsidRPr="000B0EF6">
        <w:rPr>
          <w:rFonts w:ascii="Palatino Linotype" w:hAnsi="Palatino Linotype" w:cs="Arial"/>
          <w:color w:val="000000" w:themeColor="text1"/>
          <w:lang w:val="es-ES_tradnl"/>
        </w:rPr>
        <w:t xml:space="preserve"> para su conocimiento</w:t>
      </w:r>
      <w:r w:rsidRPr="000B0EF6">
        <w:rPr>
          <w:rFonts w:ascii="Palatino Linotype" w:hAnsi="Palatino Linotype" w:cs="Arial"/>
          <w:b/>
          <w:color w:val="000000" w:themeColor="text1"/>
          <w:lang w:val="es-ES_tradnl"/>
        </w:rPr>
        <w:t>.</w:t>
      </w:r>
      <w:r w:rsidRPr="000B0EF6">
        <w:rPr>
          <w:rFonts w:ascii="Palatino Linotype" w:eastAsia="Palatino Linotype" w:hAnsi="Palatino Linotype" w:cs="Palatino Linotype"/>
          <w:b/>
          <w:lang w:val="es-ES_tradnl"/>
        </w:rPr>
        <w:t xml:space="preserve"> </w:t>
      </w:r>
    </w:p>
    <w:p w14:paraId="3DE74193" w14:textId="25AEBD47" w:rsidR="001F19BC" w:rsidRPr="000B0EF6" w:rsidRDefault="001F19BC" w:rsidP="001F19BC">
      <w:pPr>
        <w:shd w:val="clear" w:color="auto" w:fill="FFFFFF"/>
        <w:spacing w:before="240" w:line="360" w:lineRule="auto"/>
        <w:jc w:val="both"/>
        <w:rPr>
          <w:rFonts w:ascii="Palatino Linotype" w:eastAsiaTheme="minorEastAsia" w:hAnsi="Palatino Linotype" w:cstheme="minorBidi"/>
          <w:lang w:val="es-ES_tradnl"/>
        </w:rPr>
      </w:pPr>
      <w:r w:rsidRPr="000B0EF6">
        <w:rPr>
          <w:rFonts w:ascii="Palatino Linotype" w:hAnsi="Palatino Linotype" w:cs="Arial"/>
          <w:b/>
          <w:sz w:val="28"/>
          <w:lang w:val="es-ES_tradnl"/>
        </w:rPr>
        <w:t>CUARTO</w:t>
      </w:r>
      <w:r w:rsidRPr="000B0EF6">
        <w:rPr>
          <w:rFonts w:ascii="Palatino Linotype" w:hAnsi="Palatino Linotype" w:cs="Arial"/>
          <w:b/>
          <w:lang w:val="es-ES_tradnl"/>
        </w:rPr>
        <w:t xml:space="preserve">. </w:t>
      </w:r>
      <w:r w:rsidRPr="000B0EF6">
        <w:rPr>
          <w:rFonts w:ascii="Palatino Linotype" w:hAnsi="Palatino Linotype"/>
          <w:b/>
          <w:bCs/>
          <w:color w:val="222222"/>
          <w:lang w:val="es-ES"/>
        </w:rPr>
        <w:t xml:space="preserve">Notifíquese </w:t>
      </w:r>
      <w:r w:rsidRPr="000B0EF6">
        <w:rPr>
          <w:rFonts w:ascii="Palatino Linotype" w:hAnsi="Palatino Linotype"/>
          <w:color w:val="222222"/>
          <w:lang w:val="es-ES"/>
        </w:rPr>
        <w:t>a</w:t>
      </w:r>
      <w:r w:rsidRPr="000B0EF6">
        <w:rPr>
          <w:rFonts w:ascii="Palatino Linotype" w:eastAsiaTheme="minorEastAsia" w:hAnsi="Palatino Linotype" w:cstheme="minorBidi"/>
          <w:lang w:val="es-ES_tradnl"/>
        </w:rPr>
        <w:t>l</w:t>
      </w:r>
      <w:r w:rsidRPr="000B0EF6">
        <w:rPr>
          <w:rFonts w:ascii="Palatino Linotype" w:eastAsiaTheme="minorEastAsia" w:hAnsi="Palatino Linotype" w:cstheme="minorBidi"/>
          <w:b/>
          <w:lang w:val="es-ES_tradnl"/>
        </w:rPr>
        <w:t xml:space="preserve"> RECURRENTE </w:t>
      </w:r>
      <w:r w:rsidR="00F441F5" w:rsidRPr="000B0EF6">
        <w:rPr>
          <w:rFonts w:ascii="Palatino Linotype" w:eastAsiaTheme="minorEastAsia" w:hAnsi="Palatino Linotype" w:cstheme="minorBidi"/>
          <w:b/>
          <w:lang w:val="es-ES_tradnl"/>
        </w:rPr>
        <w:t xml:space="preserve">vía SAIMEX </w:t>
      </w:r>
      <w:r w:rsidRPr="000B0EF6">
        <w:rPr>
          <w:rFonts w:ascii="Palatino Linotype" w:eastAsiaTheme="minorEastAsia" w:hAnsi="Palatino Linotype" w:cstheme="minorBidi"/>
          <w:lang w:val="es-ES_tradnl"/>
        </w:rPr>
        <w:t xml:space="preserve">la presente resolución. </w:t>
      </w:r>
    </w:p>
    <w:p w14:paraId="3B087004" w14:textId="70F0898E" w:rsidR="005A71F6" w:rsidRPr="000B0EF6" w:rsidRDefault="001F19BC" w:rsidP="001F19BC">
      <w:pPr>
        <w:spacing w:before="240" w:after="240" w:line="360" w:lineRule="auto"/>
        <w:jc w:val="both"/>
        <w:rPr>
          <w:rFonts w:ascii="Palatino Linotype" w:eastAsia="MS Mincho" w:hAnsi="Palatino Linotype"/>
          <w:lang w:val="es-ES"/>
        </w:rPr>
      </w:pPr>
      <w:r w:rsidRPr="000B0EF6">
        <w:rPr>
          <w:rFonts w:ascii="Palatino Linotype" w:eastAsia="MS Mincho" w:hAnsi="Palatino Linotype"/>
          <w:b/>
          <w:sz w:val="28"/>
        </w:rPr>
        <w:t>QUINTO</w:t>
      </w:r>
      <w:r w:rsidRPr="000B0EF6">
        <w:rPr>
          <w:rFonts w:ascii="Palatino Linotype" w:eastAsia="MS Mincho" w:hAnsi="Palatino Linotype"/>
          <w:b/>
        </w:rPr>
        <w:t>.</w:t>
      </w:r>
      <w:r w:rsidRPr="000B0EF6">
        <w:rPr>
          <w:rFonts w:ascii="Palatino Linotype" w:eastAsia="MS Mincho" w:hAnsi="Palatino Linotype"/>
        </w:rPr>
        <w:t xml:space="preserve"> </w:t>
      </w:r>
      <w:r w:rsidRPr="000B0EF6">
        <w:rPr>
          <w:rFonts w:ascii="Palatino Linotype" w:eastAsia="MS Mincho" w:hAnsi="Palatino Linotype"/>
          <w:lang w:val="es-ES"/>
        </w:rPr>
        <w:t>Se hace del conocimiento del</w:t>
      </w:r>
      <w:r w:rsidRPr="000B0EF6">
        <w:rPr>
          <w:rFonts w:ascii="Palatino Linotype" w:eastAsiaTheme="minorEastAsia" w:hAnsi="Palatino Linotype" w:cstheme="minorBidi"/>
          <w:b/>
          <w:lang w:val="es-ES_tradnl"/>
        </w:rPr>
        <w:t xml:space="preserve"> RECURRENTE</w:t>
      </w:r>
      <w:r w:rsidRPr="000B0EF6">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B0EF6">
        <w:rPr>
          <w:rFonts w:ascii="Palatino Linotype" w:eastAsia="MS Mincho" w:hAnsi="Palatino Linotype"/>
          <w:bCs/>
          <w:lang w:val="es-ES"/>
        </w:rPr>
        <w:t>vía juicio de amparo</w:t>
      </w:r>
      <w:r w:rsidRPr="000B0EF6">
        <w:rPr>
          <w:rFonts w:ascii="Palatino Linotype" w:eastAsia="MS Mincho" w:hAnsi="Palatino Linotype"/>
          <w:lang w:val="es-ES"/>
        </w:rPr>
        <w:t xml:space="preserve"> en los términos de las leyes aplicables.</w:t>
      </w:r>
    </w:p>
    <w:p w14:paraId="61904B69" w14:textId="4B24333B" w:rsidR="003505EC" w:rsidRPr="000B0EF6" w:rsidRDefault="007C3064" w:rsidP="002F0CE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B0EF6">
        <w:rPr>
          <w:rFonts w:ascii="Palatino Linotype" w:hAnsi="Palatino Linotype" w:cs="Arial"/>
        </w:rPr>
        <w:t>ASÍ LO RESUELVE, POR UNANIMIDAD DE VOTOS EL PLENO DEL</w:t>
      </w:r>
      <w:r w:rsidRPr="000B0EF6">
        <w:rPr>
          <w:rFonts w:ascii="Palatino Linotype" w:eastAsia="Arial Unicode MS" w:hAnsi="Palatino Linotype" w:cs="Arial"/>
        </w:rPr>
        <w:t xml:space="preserve"> INSTITUTO DE </w:t>
      </w:r>
      <w:r w:rsidRPr="000B0EF6">
        <w:rPr>
          <w:rFonts w:ascii="Palatino Linotype" w:hAnsi="Palatino Linotype"/>
          <w:lang w:eastAsia="en-US"/>
        </w:rPr>
        <w:t>TRANSPARENCIA</w:t>
      </w:r>
      <w:r w:rsidRPr="000B0EF6">
        <w:rPr>
          <w:rFonts w:ascii="Palatino Linotype" w:eastAsia="Arial Unicode MS" w:hAnsi="Palatino Linotype" w:cs="Arial"/>
        </w:rPr>
        <w:t>, ACCESO A LA INFORMACIÓN PÚBLICA Y PROTECCIÓN DE DATOS PERSONALES DEL ESTADO DE MÉXICO Y MUNICIPIOS</w:t>
      </w:r>
      <w:r w:rsidRPr="000B0EF6">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F441F5" w:rsidRPr="000B0EF6">
        <w:rPr>
          <w:rFonts w:ascii="Palatino Linotype" w:hAnsi="Palatino Linotype" w:cs="Arial"/>
        </w:rPr>
        <w:t>TRIGÉSIMA SÉPTIMA</w:t>
      </w:r>
      <w:r w:rsidRPr="000B0EF6">
        <w:rPr>
          <w:rFonts w:ascii="Palatino Linotype" w:hAnsi="Palatino Linotype" w:cs="Arial"/>
        </w:rPr>
        <w:t xml:space="preserve"> SESIÓN ORDINARIA CELEBRADA EL </w:t>
      </w:r>
      <w:r w:rsidR="00F441F5" w:rsidRPr="000B0EF6">
        <w:rPr>
          <w:rFonts w:ascii="Palatino Linotype" w:hAnsi="Palatino Linotype" w:cs="Arial"/>
        </w:rPr>
        <w:t>VEINTE</w:t>
      </w:r>
      <w:r w:rsidR="00DE334E" w:rsidRPr="000B0EF6">
        <w:rPr>
          <w:rFonts w:ascii="Palatino Linotype" w:hAnsi="Palatino Linotype" w:cs="Arial"/>
        </w:rPr>
        <w:t xml:space="preserve"> DE OCTUBRE</w:t>
      </w:r>
      <w:r w:rsidRPr="000B0EF6">
        <w:rPr>
          <w:rFonts w:ascii="Palatino Linotype" w:hAnsi="Palatino Linotype" w:cs="Arial"/>
        </w:rPr>
        <w:t xml:space="preserve"> DE DOS MIL VEINTIUNO, ANTE EL SECRETARIO TÉCNICO DEL PLENO, ALEXIS TAPIA RAMÍREZ.</w:t>
      </w:r>
    </w:p>
    <w:p w14:paraId="2854C53B" w14:textId="70E8BF87" w:rsidR="0066320D" w:rsidRDefault="0066320D" w:rsidP="001F19BC">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r w:rsidRPr="000B0EF6">
        <w:rPr>
          <w:rFonts w:ascii="Palatino Linotype" w:hAnsi="Palatino Linotype" w:cs="Arial"/>
          <w:sz w:val="20"/>
        </w:rPr>
        <w:t>SCMM/BLA/DEMF/AMV/PMRE</w:t>
      </w:r>
      <w:bookmarkStart w:id="1" w:name="_GoBack"/>
      <w:bookmarkEnd w:id="1"/>
      <w:r>
        <w:rPr>
          <w:rFonts w:ascii="Palatino Linotype" w:hAnsi="Palatino Linotype" w:cs="Arial"/>
          <w:sz w:val="20"/>
        </w:rPr>
        <w:br w:type="page"/>
      </w:r>
    </w:p>
    <w:p w14:paraId="7DD5CDD1" w14:textId="77777777" w:rsidR="0066320D" w:rsidRPr="0066320D" w:rsidRDefault="0066320D" w:rsidP="002F0CEC">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127E0D5B" w14:textId="77777777" w:rsidR="0066320D" w:rsidRPr="002F0CEC" w:rsidRDefault="0066320D" w:rsidP="002F0CEC">
      <w:pPr>
        <w:widowControl w:val="0"/>
        <w:autoSpaceDE w:val="0"/>
        <w:autoSpaceDN w:val="0"/>
        <w:adjustRightInd w:val="0"/>
        <w:spacing w:before="100" w:beforeAutospacing="1" w:after="100" w:afterAutospacing="1" w:line="360" w:lineRule="auto"/>
        <w:jc w:val="both"/>
        <w:rPr>
          <w:rFonts w:ascii="Palatino Linotype" w:hAnsi="Palatino Linotype" w:cs="Arial"/>
        </w:rPr>
      </w:pPr>
    </w:p>
    <w:sectPr w:rsidR="0066320D" w:rsidRPr="002F0CEC" w:rsidSect="00580276">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181EE" w14:textId="77777777" w:rsidR="00957BBA" w:rsidRDefault="00957BBA" w:rsidP="00C43B1E">
      <w:r>
        <w:separator/>
      </w:r>
    </w:p>
  </w:endnote>
  <w:endnote w:type="continuationSeparator" w:id="0">
    <w:p w14:paraId="0B55B38C" w14:textId="77777777" w:rsidR="00957BBA" w:rsidRDefault="00957BBA" w:rsidP="00C4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E2099" w14:textId="77777777" w:rsidR="00990133" w:rsidRPr="0010196A" w:rsidRDefault="00990133" w:rsidP="00990133">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B0EF6">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B0EF6">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p w14:paraId="14F4C9F1" w14:textId="77777777" w:rsidR="00990133" w:rsidRDefault="009901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032A5" w14:textId="77777777" w:rsidR="00AC6088" w:rsidRPr="0010196A" w:rsidRDefault="00AC6088" w:rsidP="00AC608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B0EF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B0EF6">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p w14:paraId="291CA067" w14:textId="77777777" w:rsidR="00AC6088" w:rsidRDefault="00AC60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0CFD3" w14:textId="77777777" w:rsidR="00957BBA" w:rsidRDefault="00957BBA" w:rsidP="00C43B1E">
      <w:r>
        <w:separator/>
      </w:r>
    </w:p>
  </w:footnote>
  <w:footnote w:type="continuationSeparator" w:id="0">
    <w:p w14:paraId="38215737" w14:textId="77777777" w:rsidR="00957BBA" w:rsidRDefault="00957BBA" w:rsidP="00C43B1E">
      <w:r>
        <w:continuationSeparator/>
      </w:r>
    </w:p>
  </w:footnote>
  <w:footnote w:id="1">
    <w:p w14:paraId="2D54740A" w14:textId="60232CDE" w:rsidR="00261938" w:rsidRDefault="00261938">
      <w:pPr>
        <w:pStyle w:val="Textonotapie"/>
      </w:pPr>
      <w:r>
        <w:rPr>
          <w:rStyle w:val="Refdenotaalpie"/>
        </w:rPr>
        <w:footnoteRef/>
      </w:r>
      <w:r>
        <w:t xml:space="preserve"> Instituto Nacional de Transparencia Acceso a la Información y Protección de Datos Personales.</w:t>
      </w:r>
    </w:p>
  </w:footnote>
  <w:footnote w:id="2">
    <w:p w14:paraId="7F86FB17" w14:textId="4CF04A97" w:rsidR="00DF6431" w:rsidRDefault="00DF6431">
      <w:pPr>
        <w:pStyle w:val="Textonotapie"/>
      </w:pPr>
      <w:r>
        <w:rPr>
          <w:rStyle w:val="Refdenotaalpie"/>
        </w:rPr>
        <w:footnoteRef/>
      </w:r>
      <w:r>
        <w:t xml:space="preserve"> Instituto Nacional de Transparencia, Acceso a la Información y Protección de Datos Personales. </w:t>
      </w:r>
    </w:p>
  </w:footnote>
  <w:footnote w:id="3">
    <w:p w14:paraId="18F13D35" w14:textId="77777777" w:rsidR="009B6020" w:rsidRDefault="009B6020" w:rsidP="009B6020">
      <w:pPr>
        <w:pStyle w:val="Textonotapie"/>
      </w:pPr>
      <w:r>
        <w:rPr>
          <w:rStyle w:val="Refdenotaalpie"/>
        </w:rPr>
        <w:footnoteRef/>
      </w:r>
      <w:r>
        <w:t xml:space="preserve"> Facultades establecidas por el artículo 36 de la Ley de Transparencia y Acceso a la Información Pública del Estado de México y sus Municipios.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C43B1E" w:rsidRPr="008F2CCC" w14:paraId="7D081D9C" w14:textId="77777777" w:rsidTr="00D409FF">
      <w:tc>
        <w:tcPr>
          <w:tcW w:w="3403" w:type="dxa"/>
          <w:vMerge w:val="restart"/>
          <w:shd w:val="clear" w:color="auto" w:fill="auto"/>
        </w:tcPr>
        <w:p w14:paraId="21595BF8" w14:textId="77777777" w:rsidR="00C43B1E" w:rsidRPr="008F2CCC" w:rsidRDefault="00C43B1E" w:rsidP="00C43B1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0892B24" wp14:editId="6948C830">
                <wp:extent cx="1663440" cy="8382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C2A0ECF" w14:textId="77777777" w:rsidR="00C43B1E" w:rsidRPr="008F2CCC" w:rsidRDefault="00C43B1E" w:rsidP="00C43B1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7487139B" w14:textId="1611EA55" w:rsidR="00C43B1E" w:rsidRPr="00B335A1" w:rsidRDefault="00AD08A1" w:rsidP="00C43B1E">
          <w:pPr>
            <w:jc w:val="both"/>
            <w:rPr>
              <w:rFonts w:ascii="Palatino Linotype" w:hAnsi="Palatino Linotype"/>
              <w:b/>
              <w:sz w:val="22"/>
              <w:szCs w:val="22"/>
              <w:lang w:val="es-ES_tradnl"/>
            </w:rPr>
          </w:pPr>
          <w:r>
            <w:rPr>
              <w:rFonts w:ascii="Palatino Linotype" w:hAnsi="Palatino Linotype"/>
              <w:b/>
              <w:sz w:val="22"/>
              <w:szCs w:val="22"/>
              <w:lang w:val="es-ES_tradnl"/>
            </w:rPr>
            <w:t>04312</w:t>
          </w:r>
          <w:r w:rsidR="00C43B1E" w:rsidRPr="00B335A1">
            <w:rPr>
              <w:rFonts w:ascii="Palatino Linotype" w:hAnsi="Palatino Linotype"/>
              <w:b/>
              <w:sz w:val="22"/>
              <w:szCs w:val="22"/>
              <w:lang w:val="es-ES_tradnl"/>
            </w:rPr>
            <w:t>/INFOEM/IP/RR/2021</w:t>
          </w:r>
        </w:p>
      </w:tc>
    </w:tr>
    <w:tr w:rsidR="00C43B1E" w:rsidRPr="008F2CCC" w14:paraId="4341FF46" w14:textId="77777777" w:rsidTr="00D409FF">
      <w:trPr>
        <w:trHeight w:val="228"/>
      </w:trPr>
      <w:tc>
        <w:tcPr>
          <w:tcW w:w="3403" w:type="dxa"/>
          <w:vMerge/>
          <w:shd w:val="clear" w:color="auto" w:fill="auto"/>
        </w:tcPr>
        <w:p w14:paraId="75B0BFB7" w14:textId="77777777" w:rsidR="00C43B1E" w:rsidRPr="008F2CCC" w:rsidRDefault="00C43B1E" w:rsidP="00C43B1E">
          <w:pPr>
            <w:rPr>
              <w:rFonts w:ascii="Palatino Linotype" w:hAnsi="Palatino Linotype"/>
              <w:b/>
              <w:sz w:val="22"/>
              <w:szCs w:val="22"/>
              <w:lang w:val="es-ES_tradnl"/>
            </w:rPr>
          </w:pPr>
        </w:p>
      </w:tc>
      <w:tc>
        <w:tcPr>
          <w:tcW w:w="2552" w:type="dxa"/>
          <w:shd w:val="clear" w:color="auto" w:fill="auto"/>
        </w:tcPr>
        <w:p w14:paraId="18B7D049" w14:textId="77777777" w:rsidR="00C43B1E" w:rsidRPr="008F2CCC" w:rsidRDefault="00C43B1E" w:rsidP="00C43B1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EBE3D49" w14:textId="7B003C44" w:rsidR="00C43B1E" w:rsidRPr="00B335A1" w:rsidRDefault="00AD08A1" w:rsidP="00933FFC">
          <w:pPr>
            <w:jc w:val="both"/>
            <w:rPr>
              <w:rFonts w:ascii="Palatino Linotype" w:hAnsi="Palatino Linotype"/>
              <w:b/>
              <w:sz w:val="22"/>
              <w:szCs w:val="22"/>
              <w:lang w:val="es-ES_tradnl"/>
            </w:rPr>
          </w:pPr>
          <w:r>
            <w:rPr>
              <w:rFonts w:ascii="Palatino Linotype" w:hAnsi="Palatino Linotype"/>
              <w:b/>
              <w:sz w:val="22"/>
              <w:szCs w:val="22"/>
              <w:lang w:val="es-ES_tradnl"/>
            </w:rPr>
            <w:t>Ayuntamiento de Ocoyoacac</w:t>
          </w:r>
        </w:p>
      </w:tc>
    </w:tr>
    <w:tr w:rsidR="00C43B1E" w:rsidRPr="008F2CCC" w14:paraId="697BC47A" w14:textId="77777777" w:rsidTr="00D409FF">
      <w:tc>
        <w:tcPr>
          <w:tcW w:w="3403" w:type="dxa"/>
          <w:vMerge/>
          <w:shd w:val="clear" w:color="auto" w:fill="auto"/>
        </w:tcPr>
        <w:p w14:paraId="55EAED88" w14:textId="77777777" w:rsidR="00C43B1E" w:rsidRPr="008F2CCC" w:rsidRDefault="00C43B1E" w:rsidP="00C43B1E">
          <w:pPr>
            <w:rPr>
              <w:rFonts w:ascii="Palatino Linotype" w:hAnsi="Palatino Linotype"/>
              <w:b/>
              <w:sz w:val="22"/>
              <w:szCs w:val="22"/>
              <w:lang w:val="es-ES_tradnl"/>
            </w:rPr>
          </w:pPr>
        </w:p>
      </w:tc>
      <w:tc>
        <w:tcPr>
          <w:tcW w:w="2552" w:type="dxa"/>
          <w:shd w:val="clear" w:color="auto" w:fill="auto"/>
        </w:tcPr>
        <w:p w14:paraId="30A750BA" w14:textId="77777777" w:rsidR="00C43B1E" w:rsidRPr="008F2CCC" w:rsidRDefault="00C43B1E" w:rsidP="00C43B1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1DD0ACA4" w14:textId="77777777" w:rsidR="00C43B1E" w:rsidRPr="008F2CCC" w:rsidRDefault="00C43B1E" w:rsidP="00C43B1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C2D5F4D" w14:textId="77777777" w:rsidR="00C43B1E" w:rsidRDefault="00C43B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580276" w:rsidRPr="008F2CCC" w14:paraId="346BE54B" w14:textId="77777777" w:rsidTr="007522F9">
      <w:tc>
        <w:tcPr>
          <w:tcW w:w="3403" w:type="dxa"/>
          <w:vMerge w:val="restart"/>
          <w:shd w:val="clear" w:color="auto" w:fill="auto"/>
        </w:tcPr>
        <w:p w14:paraId="75D927DA" w14:textId="77777777" w:rsidR="00580276" w:rsidRPr="008F2CCC" w:rsidRDefault="00580276" w:rsidP="0058027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FE5FCEE" wp14:editId="65252521">
                <wp:extent cx="1663440" cy="838200"/>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6DADFC4"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35C72890" w14:textId="0011D669" w:rsidR="00580276" w:rsidRPr="00B335A1" w:rsidRDefault="00AD08A1" w:rsidP="00580276">
          <w:pPr>
            <w:jc w:val="both"/>
            <w:rPr>
              <w:rFonts w:ascii="Palatino Linotype" w:hAnsi="Palatino Linotype"/>
              <w:b/>
              <w:sz w:val="22"/>
              <w:szCs w:val="22"/>
              <w:lang w:val="es-ES_tradnl"/>
            </w:rPr>
          </w:pPr>
          <w:r>
            <w:rPr>
              <w:rFonts w:ascii="Palatino Linotype" w:hAnsi="Palatino Linotype"/>
              <w:b/>
              <w:sz w:val="22"/>
              <w:szCs w:val="22"/>
              <w:lang w:val="es-ES_tradnl"/>
            </w:rPr>
            <w:t>04312</w:t>
          </w:r>
          <w:r w:rsidR="00580276" w:rsidRPr="00B335A1">
            <w:rPr>
              <w:rFonts w:ascii="Palatino Linotype" w:hAnsi="Palatino Linotype"/>
              <w:b/>
              <w:sz w:val="22"/>
              <w:szCs w:val="22"/>
              <w:lang w:val="es-ES_tradnl"/>
            </w:rPr>
            <w:t>/INFOEM/IP/RR/2021</w:t>
          </w:r>
        </w:p>
      </w:tc>
    </w:tr>
    <w:tr w:rsidR="00580276" w:rsidRPr="008F2CCC" w14:paraId="0984AB84" w14:textId="77777777" w:rsidTr="007522F9">
      <w:tc>
        <w:tcPr>
          <w:tcW w:w="3403" w:type="dxa"/>
          <w:vMerge/>
          <w:shd w:val="clear" w:color="auto" w:fill="auto"/>
        </w:tcPr>
        <w:p w14:paraId="2A4844F1" w14:textId="77777777" w:rsidR="00580276" w:rsidRPr="008F2CCC" w:rsidRDefault="00580276" w:rsidP="00580276">
          <w:pPr>
            <w:rPr>
              <w:rFonts w:ascii="Palatino Linotype" w:hAnsi="Palatino Linotype"/>
              <w:b/>
              <w:sz w:val="22"/>
              <w:szCs w:val="22"/>
              <w:lang w:val="es-ES_tradnl"/>
            </w:rPr>
          </w:pPr>
        </w:p>
      </w:tc>
      <w:tc>
        <w:tcPr>
          <w:tcW w:w="2552" w:type="dxa"/>
          <w:shd w:val="clear" w:color="auto" w:fill="auto"/>
        </w:tcPr>
        <w:p w14:paraId="31898B19"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04AA04BE" w14:textId="475B3351" w:rsidR="00580276" w:rsidRPr="00B335A1" w:rsidRDefault="00580276" w:rsidP="00580276">
          <w:pPr>
            <w:jc w:val="both"/>
            <w:rPr>
              <w:rFonts w:ascii="Palatino Linotype" w:hAnsi="Palatino Linotype"/>
              <w:b/>
              <w:sz w:val="22"/>
              <w:szCs w:val="22"/>
              <w:lang w:val="es-ES_tradnl"/>
            </w:rPr>
          </w:pPr>
        </w:p>
      </w:tc>
    </w:tr>
    <w:tr w:rsidR="00580276" w:rsidRPr="008F2CCC" w14:paraId="608A8270" w14:textId="77777777" w:rsidTr="007522F9">
      <w:trPr>
        <w:trHeight w:val="228"/>
      </w:trPr>
      <w:tc>
        <w:tcPr>
          <w:tcW w:w="3403" w:type="dxa"/>
          <w:vMerge/>
          <w:shd w:val="clear" w:color="auto" w:fill="auto"/>
        </w:tcPr>
        <w:p w14:paraId="41B4AD29" w14:textId="77777777" w:rsidR="00580276" w:rsidRPr="008F2CCC" w:rsidRDefault="00580276" w:rsidP="00580276">
          <w:pPr>
            <w:rPr>
              <w:rFonts w:ascii="Palatino Linotype" w:hAnsi="Palatino Linotype"/>
              <w:b/>
              <w:sz w:val="22"/>
              <w:szCs w:val="22"/>
              <w:lang w:val="es-ES_tradnl"/>
            </w:rPr>
          </w:pPr>
        </w:p>
      </w:tc>
      <w:tc>
        <w:tcPr>
          <w:tcW w:w="2552" w:type="dxa"/>
          <w:shd w:val="clear" w:color="auto" w:fill="auto"/>
        </w:tcPr>
        <w:p w14:paraId="4B63DF4D"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17A6BE8" w14:textId="60E8E122" w:rsidR="00580276" w:rsidRPr="00B335A1" w:rsidRDefault="00AD08A1" w:rsidP="00AD08A1">
          <w:pPr>
            <w:jc w:val="both"/>
            <w:rPr>
              <w:rFonts w:ascii="Palatino Linotype" w:hAnsi="Palatino Linotype"/>
              <w:b/>
              <w:sz w:val="22"/>
              <w:szCs w:val="22"/>
              <w:lang w:val="es-ES_tradnl"/>
            </w:rPr>
          </w:pPr>
          <w:r>
            <w:rPr>
              <w:rFonts w:ascii="Palatino Linotype" w:hAnsi="Palatino Linotype"/>
              <w:b/>
              <w:sz w:val="22"/>
              <w:szCs w:val="22"/>
              <w:lang w:val="es-ES_tradnl"/>
            </w:rPr>
            <w:t>Ayuntamiento de Ocoyoacac</w:t>
          </w:r>
          <w:r w:rsidR="005E2B8A">
            <w:rPr>
              <w:rFonts w:ascii="Palatino Linotype" w:hAnsi="Palatino Linotype"/>
              <w:b/>
              <w:sz w:val="22"/>
              <w:szCs w:val="22"/>
              <w:lang w:val="es-ES_tradnl"/>
            </w:rPr>
            <w:t xml:space="preserve"> </w:t>
          </w:r>
        </w:p>
      </w:tc>
    </w:tr>
    <w:tr w:rsidR="00580276" w:rsidRPr="008F2CCC" w14:paraId="1BB7A948" w14:textId="77777777" w:rsidTr="007522F9">
      <w:tc>
        <w:tcPr>
          <w:tcW w:w="3403" w:type="dxa"/>
          <w:vMerge/>
          <w:shd w:val="clear" w:color="auto" w:fill="auto"/>
        </w:tcPr>
        <w:p w14:paraId="3CBAF6C0" w14:textId="77777777" w:rsidR="00580276" w:rsidRPr="008F2CCC" w:rsidRDefault="00580276" w:rsidP="00580276">
          <w:pPr>
            <w:rPr>
              <w:rFonts w:ascii="Palatino Linotype" w:hAnsi="Palatino Linotype"/>
              <w:b/>
              <w:sz w:val="22"/>
              <w:szCs w:val="22"/>
              <w:lang w:val="es-ES_tradnl"/>
            </w:rPr>
          </w:pPr>
        </w:p>
      </w:tc>
      <w:tc>
        <w:tcPr>
          <w:tcW w:w="2552" w:type="dxa"/>
          <w:shd w:val="clear" w:color="auto" w:fill="auto"/>
        </w:tcPr>
        <w:p w14:paraId="6B990B73"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959239A" w14:textId="13AC8CE4" w:rsidR="00580276" w:rsidRPr="008F2CCC" w:rsidRDefault="00580276" w:rsidP="00580276">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CF3657D" w14:textId="77777777" w:rsidR="00580276" w:rsidRDefault="005802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3B3"/>
    <w:multiLevelType w:val="hybridMultilevel"/>
    <w:tmpl w:val="3410B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26074F"/>
    <w:multiLevelType w:val="hybridMultilevel"/>
    <w:tmpl w:val="01FC6C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5F2805"/>
    <w:multiLevelType w:val="hybridMultilevel"/>
    <w:tmpl w:val="F2D80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005031"/>
    <w:multiLevelType w:val="hybridMultilevel"/>
    <w:tmpl w:val="6B726D42"/>
    <w:lvl w:ilvl="0" w:tplc="080A0015">
      <w:start w:val="1"/>
      <w:numFmt w:val="upp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503F3ACC"/>
    <w:multiLevelType w:val="hybridMultilevel"/>
    <w:tmpl w:val="B88444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3E7028C"/>
    <w:multiLevelType w:val="hybridMultilevel"/>
    <w:tmpl w:val="DA62A0A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61D5098"/>
    <w:multiLevelType w:val="hybridMultilevel"/>
    <w:tmpl w:val="55D43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7F63D70"/>
    <w:multiLevelType w:val="hybridMultilevel"/>
    <w:tmpl w:val="2CDC8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B653547"/>
    <w:multiLevelType w:val="hybridMultilevel"/>
    <w:tmpl w:val="21BEFFBC"/>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6"/>
  </w:num>
  <w:num w:numId="2">
    <w:abstractNumId w:val="1"/>
  </w:num>
  <w:num w:numId="3">
    <w:abstractNumId w:val="5"/>
  </w:num>
  <w:num w:numId="4">
    <w:abstractNumId w:val="8"/>
  </w:num>
  <w:num w:numId="5">
    <w:abstractNumId w:val="7"/>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1E"/>
    <w:rsid w:val="000105B8"/>
    <w:rsid w:val="0004025A"/>
    <w:rsid w:val="00041978"/>
    <w:rsid w:val="00045659"/>
    <w:rsid w:val="000624D8"/>
    <w:rsid w:val="00066D3B"/>
    <w:rsid w:val="00085FAD"/>
    <w:rsid w:val="000B0EF6"/>
    <w:rsid w:val="000C3450"/>
    <w:rsid w:val="000C52DE"/>
    <w:rsid w:val="00125FCE"/>
    <w:rsid w:val="00134A11"/>
    <w:rsid w:val="00167586"/>
    <w:rsid w:val="0017092F"/>
    <w:rsid w:val="001744A5"/>
    <w:rsid w:val="00174780"/>
    <w:rsid w:val="001B0F51"/>
    <w:rsid w:val="001B132A"/>
    <w:rsid w:val="001B5A83"/>
    <w:rsid w:val="001D0908"/>
    <w:rsid w:val="001F064A"/>
    <w:rsid w:val="001F19BC"/>
    <w:rsid w:val="00207B7E"/>
    <w:rsid w:val="002105B3"/>
    <w:rsid w:val="00210BA2"/>
    <w:rsid w:val="00222F3B"/>
    <w:rsid w:val="00233845"/>
    <w:rsid w:val="00247F83"/>
    <w:rsid w:val="002618A6"/>
    <w:rsid w:val="00261938"/>
    <w:rsid w:val="00272C01"/>
    <w:rsid w:val="0029629F"/>
    <w:rsid w:val="002A19C2"/>
    <w:rsid w:val="002A4368"/>
    <w:rsid w:val="002B2BA7"/>
    <w:rsid w:val="002D25F5"/>
    <w:rsid w:val="002F039D"/>
    <w:rsid w:val="002F0CEC"/>
    <w:rsid w:val="002F0EA5"/>
    <w:rsid w:val="0030563E"/>
    <w:rsid w:val="0032378D"/>
    <w:rsid w:val="00325A8E"/>
    <w:rsid w:val="00325DCE"/>
    <w:rsid w:val="00330DA7"/>
    <w:rsid w:val="003331D1"/>
    <w:rsid w:val="0035047F"/>
    <w:rsid w:val="003505EC"/>
    <w:rsid w:val="003576B0"/>
    <w:rsid w:val="00365D29"/>
    <w:rsid w:val="0038462C"/>
    <w:rsid w:val="00395D79"/>
    <w:rsid w:val="00396041"/>
    <w:rsid w:val="003A154E"/>
    <w:rsid w:val="003A7315"/>
    <w:rsid w:val="003C5706"/>
    <w:rsid w:val="003C68F1"/>
    <w:rsid w:val="003D11A8"/>
    <w:rsid w:val="003D5367"/>
    <w:rsid w:val="003D770B"/>
    <w:rsid w:val="003D7B24"/>
    <w:rsid w:val="00403898"/>
    <w:rsid w:val="0040750B"/>
    <w:rsid w:val="004324D0"/>
    <w:rsid w:val="00445E80"/>
    <w:rsid w:val="00465EB9"/>
    <w:rsid w:val="0047609F"/>
    <w:rsid w:val="00483C7B"/>
    <w:rsid w:val="00493069"/>
    <w:rsid w:val="00493C69"/>
    <w:rsid w:val="004A1318"/>
    <w:rsid w:val="004A7989"/>
    <w:rsid w:val="004D6A78"/>
    <w:rsid w:val="004E44D1"/>
    <w:rsid w:val="004F218B"/>
    <w:rsid w:val="00536DC7"/>
    <w:rsid w:val="00540882"/>
    <w:rsid w:val="00542307"/>
    <w:rsid w:val="00546C02"/>
    <w:rsid w:val="0057110F"/>
    <w:rsid w:val="00572754"/>
    <w:rsid w:val="00580276"/>
    <w:rsid w:val="0058552F"/>
    <w:rsid w:val="005941C3"/>
    <w:rsid w:val="00595897"/>
    <w:rsid w:val="005A71F6"/>
    <w:rsid w:val="005E2B8A"/>
    <w:rsid w:val="005F4443"/>
    <w:rsid w:val="0063196F"/>
    <w:rsid w:val="0066320D"/>
    <w:rsid w:val="006727EA"/>
    <w:rsid w:val="00672D80"/>
    <w:rsid w:val="006B0652"/>
    <w:rsid w:val="006B4898"/>
    <w:rsid w:val="006F0CCC"/>
    <w:rsid w:val="00740D1F"/>
    <w:rsid w:val="00753F3B"/>
    <w:rsid w:val="00760803"/>
    <w:rsid w:val="007938EF"/>
    <w:rsid w:val="007A2186"/>
    <w:rsid w:val="007B10F1"/>
    <w:rsid w:val="007C0158"/>
    <w:rsid w:val="007C3064"/>
    <w:rsid w:val="007E2A13"/>
    <w:rsid w:val="007F1FD7"/>
    <w:rsid w:val="007F55BB"/>
    <w:rsid w:val="0081088F"/>
    <w:rsid w:val="0081109C"/>
    <w:rsid w:val="008149C6"/>
    <w:rsid w:val="00844CEC"/>
    <w:rsid w:val="00850D7E"/>
    <w:rsid w:val="00851D8D"/>
    <w:rsid w:val="00867F3D"/>
    <w:rsid w:val="00880F1C"/>
    <w:rsid w:val="00884BCE"/>
    <w:rsid w:val="00892ED1"/>
    <w:rsid w:val="00896F4F"/>
    <w:rsid w:val="008A0022"/>
    <w:rsid w:val="008A47EE"/>
    <w:rsid w:val="008A5EB8"/>
    <w:rsid w:val="008D7919"/>
    <w:rsid w:val="008E0F96"/>
    <w:rsid w:val="008E1AB6"/>
    <w:rsid w:val="008E7C80"/>
    <w:rsid w:val="00912B8F"/>
    <w:rsid w:val="009253A8"/>
    <w:rsid w:val="00933FFC"/>
    <w:rsid w:val="00944F6A"/>
    <w:rsid w:val="009459E1"/>
    <w:rsid w:val="00946832"/>
    <w:rsid w:val="00952193"/>
    <w:rsid w:val="00957BBA"/>
    <w:rsid w:val="00962821"/>
    <w:rsid w:val="0097734B"/>
    <w:rsid w:val="00983C1E"/>
    <w:rsid w:val="00986BB9"/>
    <w:rsid w:val="00990133"/>
    <w:rsid w:val="009B6020"/>
    <w:rsid w:val="009F44C4"/>
    <w:rsid w:val="00A0109C"/>
    <w:rsid w:val="00A16B7A"/>
    <w:rsid w:val="00A31AF6"/>
    <w:rsid w:val="00A7401E"/>
    <w:rsid w:val="00A86CA4"/>
    <w:rsid w:val="00A927A1"/>
    <w:rsid w:val="00AB2162"/>
    <w:rsid w:val="00AB5732"/>
    <w:rsid w:val="00AC45AE"/>
    <w:rsid w:val="00AC6088"/>
    <w:rsid w:val="00AD08A1"/>
    <w:rsid w:val="00AD2E00"/>
    <w:rsid w:val="00B04CE2"/>
    <w:rsid w:val="00B3033A"/>
    <w:rsid w:val="00B367B8"/>
    <w:rsid w:val="00B432A7"/>
    <w:rsid w:val="00B62AE2"/>
    <w:rsid w:val="00B76384"/>
    <w:rsid w:val="00B96EAC"/>
    <w:rsid w:val="00B97D64"/>
    <w:rsid w:val="00B97DD8"/>
    <w:rsid w:val="00BA1B0E"/>
    <w:rsid w:val="00BE058B"/>
    <w:rsid w:val="00BE222C"/>
    <w:rsid w:val="00BF649F"/>
    <w:rsid w:val="00C012CA"/>
    <w:rsid w:val="00C12356"/>
    <w:rsid w:val="00C1373F"/>
    <w:rsid w:val="00C1498B"/>
    <w:rsid w:val="00C43B1E"/>
    <w:rsid w:val="00C7224A"/>
    <w:rsid w:val="00C83D4F"/>
    <w:rsid w:val="00C846F3"/>
    <w:rsid w:val="00CA0A25"/>
    <w:rsid w:val="00CA0FB1"/>
    <w:rsid w:val="00CA4A0A"/>
    <w:rsid w:val="00CA6783"/>
    <w:rsid w:val="00CA7014"/>
    <w:rsid w:val="00CB1552"/>
    <w:rsid w:val="00CB371E"/>
    <w:rsid w:val="00CD3913"/>
    <w:rsid w:val="00CD5530"/>
    <w:rsid w:val="00CE1E94"/>
    <w:rsid w:val="00CE7F4B"/>
    <w:rsid w:val="00D01046"/>
    <w:rsid w:val="00D06096"/>
    <w:rsid w:val="00D06113"/>
    <w:rsid w:val="00D23A60"/>
    <w:rsid w:val="00D3448A"/>
    <w:rsid w:val="00D5690F"/>
    <w:rsid w:val="00D64968"/>
    <w:rsid w:val="00D84E1E"/>
    <w:rsid w:val="00DA2919"/>
    <w:rsid w:val="00DC78FE"/>
    <w:rsid w:val="00DE334E"/>
    <w:rsid w:val="00DE6F14"/>
    <w:rsid w:val="00DF5C8B"/>
    <w:rsid w:val="00DF6431"/>
    <w:rsid w:val="00E06329"/>
    <w:rsid w:val="00E457B6"/>
    <w:rsid w:val="00E82AD5"/>
    <w:rsid w:val="00E90349"/>
    <w:rsid w:val="00E9408E"/>
    <w:rsid w:val="00EA3177"/>
    <w:rsid w:val="00EC09F5"/>
    <w:rsid w:val="00EC2E4A"/>
    <w:rsid w:val="00ED0287"/>
    <w:rsid w:val="00EE32E7"/>
    <w:rsid w:val="00EF3AB1"/>
    <w:rsid w:val="00EF6E28"/>
    <w:rsid w:val="00F06BCF"/>
    <w:rsid w:val="00F16A52"/>
    <w:rsid w:val="00F422C4"/>
    <w:rsid w:val="00F441F5"/>
    <w:rsid w:val="00F467C4"/>
    <w:rsid w:val="00F61304"/>
    <w:rsid w:val="00F6476A"/>
    <w:rsid w:val="00F94CF8"/>
    <w:rsid w:val="00FB4757"/>
    <w:rsid w:val="00FB53B9"/>
    <w:rsid w:val="00FD060B"/>
    <w:rsid w:val="00FF26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25519"/>
  <w15:chartTrackingRefBased/>
  <w15:docId w15:val="{52A7A44B-9F5C-4099-B3EA-8115BA13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B1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B1E"/>
    <w:pPr>
      <w:tabs>
        <w:tab w:val="center" w:pos="4419"/>
        <w:tab w:val="right" w:pos="8838"/>
      </w:tabs>
    </w:pPr>
  </w:style>
  <w:style w:type="character" w:customStyle="1" w:styleId="EncabezadoCar">
    <w:name w:val="Encabezado Car"/>
    <w:basedOn w:val="Fuentedeprrafopredeter"/>
    <w:link w:val="Encabezado"/>
    <w:uiPriority w:val="99"/>
    <w:rsid w:val="00C43B1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43B1E"/>
    <w:pPr>
      <w:tabs>
        <w:tab w:val="center" w:pos="4419"/>
        <w:tab w:val="right" w:pos="8838"/>
      </w:tabs>
    </w:pPr>
  </w:style>
  <w:style w:type="character" w:customStyle="1" w:styleId="PiedepginaCar">
    <w:name w:val="Pie de página Car"/>
    <w:basedOn w:val="Fuentedeprrafopredeter"/>
    <w:link w:val="Piedepgina"/>
    <w:uiPriority w:val="99"/>
    <w:rsid w:val="00C43B1E"/>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B1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43B1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0563E"/>
    <w:rPr>
      <w:sz w:val="16"/>
      <w:szCs w:val="16"/>
    </w:rPr>
  </w:style>
  <w:style w:type="paragraph" w:styleId="Textocomentario">
    <w:name w:val="annotation text"/>
    <w:basedOn w:val="Normal"/>
    <w:link w:val="TextocomentarioCar"/>
    <w:uiPriority w:val="99"/>
    <w:semiHidden/>
    <w:unhideWhenUsed/>
    <w:rsid w:val="0030563E"/>
    <w:rPr>
      <w:sz w:val="20"/>
      <w:szCs w:val="20"/>
    </w:rPr>
  </w:style>
  <w:style w:type="character" w:customStyle="1" w:styleId="TextocomentarioCar">
    <w:name w:val="Texto comentario Car"/>
    <w:basedOn w:val="Fuentedeprrafopredeter"/>
    <w:link w:val="Textocomentario"/>
    <w:uiPriority w:val="99"/>
    <w:semiHidden/>
    <w:rsid w:val="0030563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0563E"/>
    <w:rPr>
      <w:b/>
      <w:bCs/>
    </w:rPr>
  </w:style>
  <w:style w:type="character" w:customStyle="1" w:styleId="AsuntodelcomentarioCar">
    <w:name w:val="Asunto del comentario Car"/>
    <w:basedOn w:val="TextocomentarioCar"/>
    <w:link w:val="Asuntodelcomentario"/>
    <w:uiPriority w:val="99"/>
    <w:semiHidden/>
    <w:rsid w:val="0030563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3056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563E"/>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84BCE"/>
    <w:rPr>
      <w:color w:val="0563C1" w:themeColor="hyperlink"/>
      <w:u w:val="single"/>
    </w:rPr>
  </w:style>
  <w:style w:type="paragraph" w:styleId="Textonotapie">
    <w:name w:val="footnote text"/>
    <w:basedOn w:val="Normal"/>
    <w:link w:val="TextonotapieCar"/>
    <w:uiPriority w:val="99"/>
    <w:semiHidden/>
    <w:unhideWhenUsed/>
    <w:rsid w:val="00247F83"/>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247F83"/>
    <w:rPr>
      <w:sz w:val="20"/>
      <w:szCs w:val="20"/>
    </w:rPr>
  </w:style>
  <w:style w:type="character" w:styleId="Refdenotaalpie">
    <w:name w:val="footnote reference"/>
    <w:basedOn w:val="Fuentedeprrafopredeter"/>
    <w:uiPriority w:val="99"/>
    <w:semiHidden/>
    <w:unhideWhenUsed/>
    <w:rsid w:val="00247F83"/>
    <w:rPr>
      <w:vertAlign w:val="superscript"/>
    </w:rPr>
  </w:style>
  <w:style w:type="paragraph" w:styleId="Textonotaalfinal">
    <w:name w:val="endnote text"/>
    <w:basedOn w:val="Normal"/>
    <w:link w:val="TextonotaalfinalCar"/>
    <w:uiPriority w:val="99"/>
    <w:semiHidden/>
    <w:unhideWhenUsed/>
    <w:rsid w:val="00850D7E"/>
    <w:rPr>
      <w:sz w:val="20"/>
      <w:szCs w:val="20"/>
    </w:rPr>
  </w:style>
  <w:style w:type="character" w:customStyle="1" w:styleId="TextonotaalfinalCar">
    <w:name w:val="Texto nota al final Car"/>
    <w:basedOn w:val="Fuentedeprrafopredeter"/>
    <w:link w:val="Textonotaalfinal"/>
    <w:uiPriority w:val="99"/>
    <w:semiHidden/>
    <w:rsid w:val="00850D7E"/>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50D7E"/>
    <w:rPr>
      <w:vertAlign w:val="superscript"/>
    </w:rPr>
  </w:style>
  <w:style w:type="paragraph" w:styleId="NormalWeb">
    <w:name w:val="Normal (Web)"/>
    <w:basedOn w:val="Normal"/>
    <w:uiPriority w:val="99"/>
    <w:unhideWhenUsed/>
    <w:rsid w:val="004A1318"/>
    <w:pPr>
      <w:spacing w:before="100" w:beforeAutospacing="1" w:after="100" w:afterAutospacing="1"/>
    </w:pPr>
    <w:rPr>
      <w:lang w:eastAsia="es-MX"/>
    </w:rPr>
  </w:style>
  <w:style w:type="table" w:styleId="Tablaconcuadrcula">
    <w:name w:val="Table Grid"/>
    <w:basedOn w:val="Tablanormal"/>
    <w:uiPriority w:val="39"/>
    <w:rsid w:val="003C6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1">
    <w:name w:val="Grid Table 4 Accent 1"/>
    <w:basedOn w:val="Tablanormal"/>
    <w:uiPriority w:val="49"/>
    <w:rsid w:val="003C68F1"/>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2413">
      <w:bodyDiv w:val="1"/>
      <w:marLeft w:val="0"/>
      <w:marRight w:val="0"/>
      <w:marTop w:val="0"/>
      <w:marBottom w:val="0"/>
      <w:divBdr>
        <w:top w:val="none" w:sz="0" w:space="0" w:color="auto"/>
        <w:left w:val="none" w:sz="0" w:space="0" w:color="auto"/>
        <w:bottom w:val="none" w:sz="0" w:space="0" w:color="auto"/>
        <w:right w:val="none" w:sz="0" w:space="0" w:color="auto"/>
      </w:divBdr>
    </w:div>
    <w:div w:id="199901076">
      <w:bodyDiv w:val="1"/>
      <w:marLeft w:val="0"/>
      <w:marRight w:val="0"/>
      <w:marTop w:val="0"/>
      <w:marBottom w:val="0"/>
      <w:divBdr>
        <w:top w:val="none" w:sz="0" w:space="0" w:color="auto"/>
        <w:left w:val="none" w:sz="0" w:space="0" w:color="auto"/>
        <w:bottom w:val="none" w:sz="0" w:space="0" w:color="auto"/>
        <w:right w:val="none" w:sz="0" w:space="0" w:color="auto"/>
      </w:divBdr>
    </w:div>
    <w:div w:id="258637135">
      <w:bodyDiv w:val="1"/>
      <w:marLeft w:val="0"/>
      <w:marRight w:val="0"/>
      <w:marTop w:val="0"/>
      <w:marBottom w:val="0"/>
      <w:divBdr>
        <w:top w:val="none" w:sz="0" w:space="0" w:color="auto"/>
        <w:left w:val="none" w:sz="0" w:space="0" w:color="auto"/>
        <w:bottom w:val="none" w:sz="0" w:space="0" w:color="auto"/>
        <w:right w:val="none" w:sz="0" w:space="0" w:color="auto"/>
      </w:divBdr>
    </w:div>
    <w:div w:id="455219813">
      <w:bodyDiv w:val="1"/>
      <w:marLeft w:val="0"/>
      <w:marRight w:val="0"/>
      <w:marTop w:val="0"/>
      <w:marBottom w:val="0"/>
      <w:divBdr>
        <w:top w:val="none" w:sz="0" w:space="0" w:color="auto"/>
        <w:left w:val="none" w:sz="0" w:space="0" w:color="auto"/>
        <w:bottom w:val="none" w:sz="0" w:space="0" w:color="auto"/>
        <w:right w:val="none" w:sz="0" w:space="0" w:color="auto"/>
      </w:divBdr>
    </w:div>
    <w:div w:id="607276543">
      <w:bodyDiv w:val="1"/>
      <w:marLeft w:val="0"/>
      <w:marRight w:val="0"/>
      <w:marTop w:val="0"/>
      <w:marBottom w:val="0"/>
      <w:divBdr>
        <w:top w:val="none" w:sz="0" w:space="0" w:color="auto"/>
        <w:left w:val="none" w:sz="0" w:space="0" w:color="auto"/>
        <w:bottom w:val="none" w:sz="0" w:space="0" w:color="auto"/>
        <w:right w:val="none" w:sz="0" w:space="0" w:color="auto"/>
      </w:divBdr>
    </w:div>
    <w:div w:id="1175144219">
      <w:bodyDiv w:val="1"/>
      <w:marLeft w:val="0"/>
      <w:marRight w:val="0"/>
      <w:marTop w:val="0"/>
      <w:marBottom w:val="0"/>
      <w:divBdr>
        <w:top w:val="none" w:sz="0" w:space="0" w:color="auto"/>
        <w:left w:val="none" w:sz="0" w:space="0" w:color="auto"/>
        <w:bottom w:val="none" w:sz="0" w:space="0" w:color="auto"/>
        <w:right w:val="none" w:sz="0" w:space="0" w:color="auto"/>
      </w:divBdr>
    </w:div>
    <w:div w:id="1895190334">
      <w:bodyDiv w:val="1"/>
      <w:marLeft w:val="0"/>
      <w:marRight w:val="0"/>
      <w:marTop w:val="0"/>
      <w:marBottom w:val="0"/>
      <w:divBdr>
        <w:top w:val="none" w:sz="0" w:space="0" w:color="auto"/>
        <w:left w:val="none" w:sz="0" w:space="0" w:color="auto"/>
        <w:bottom w:val="none" w:sz="0" w:space="0" w:color="auto"/>
        <w:right w:val="none" w:sz="0" w:space="0" w:color="auto"/>
      </w:divBdr>
    </w:div>
    <w:div w:id="19423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75EA-BC28-423F-87DE-2BC36CE6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1576</TotalTime>
  <Pages>18</Pages>
  <Words>4235</Words>
  <Characters>23298</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66</cp:revision>
  <cp:lastPrinted>2021-10-13T15:01:00Z</cp:lastPrinted>
  <dcterms:created xsi:type="dcterms:W3CDTF">2021-09-21T17:38:00Z</dcterms:created>
  <dcterms:modified xsi:type="dcterms:W3CDTF">2021-10-22T18:04:00Z</dcterms:modified>
</cp:coreProperties>
</file>