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C16923">
        <w:rPr>
          <w:rStyle w:val="apple-converted-space"/>
          <w:rFonts w:ascii="Palatino Linotype" w:hAnsi="Palatino Linotype" w:cs="Arial"/>
        </w:rPr>
        <w:t>ocho</w:t>
      </w:r>
      <w:r w:rsidR="000B6E12">
        <w:rPr>
          <w:rStyle w:val="apple-converted-space"/>
          <w:rFonts w:ascii="Palatino Linotype" w:hAnsi="Palatino Linotype" w:cs="Arial"/>
        </w:rPr>
        <w:t xml:space="preserve"> de diciembre</w:t>
      </w:r>
      <w:r w:rsidR="002A6F11">
        <w:rPr>
          <w:rStyle w:val="normaltextrun"/>
          <w:rFonts w:ascii="Palatino Linotype" w:hAnsi="Palatino Linotype" w:cs="Arial"/>
        </w:rPr>
        <w:t xml:space="preserve"> del dos mil veintiuno</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el expediente relativo al recurso de revisión </w:t>
      </w:r>
      <w:r w:rsidR="0079175F">
        <w:rPr>
          <w:rFonts w:ascii="Palatino Linotype" w:hAnsi="Palatino Linotype" w:cs="Arial"/>
          <w:b/>
          <w:bCs/>
        </w:rPr>
        <w:t>0</w:t>
      </w:r>
      <w:r w:rsidR="001A51C8">
        <w:rPr>
          <w:rFonts w:ascii="Palatino Linotype" w:hAnsi="Palatino Linotype" w:cs="Arial"/>
          <w:b/>
          <w:bCs/>
        </w:rPr>
        <w:t>5029</w:t>
      </w:r>
      <w:r w:rsidR="002A6F11">
        <w:rPr>
          <w:rFonts w:ascii="Palatino Linotype" w:hAnsi="Palatino Linotype" w:cs="Arial"/>
          <w:b/>
          <w:bCs/>
        </w:rPr>
        <w:t>/INFOEM/IP/RR/2021</w:t>
      </w:r>
      <w:r w:rsidRPr="00080788">
        <w:rPr>
          <w:rFonts w:ascii="Palatino Linotype" w:hAnsi="Palatino Linotype" w:cs="Arial"/>
        </w:rPr>
        <w:t xml:space="preserve">, interpuesto por </w:t>
      </w:r>
      <w:r w:rsidR="00C900F5">
        <w:rPr>
          <w:rFonts w:ascii="Palatino Linotype" w:hAnsi="Palatino Linotype" w:cs="Arial"/>
          <w:b/>
        </w:rPr>
        <w:t>XXXXX XXXXX XXXXX XXXXX XXXXXX</w:t>
      </w:r>
      <w:r w:rsidR="000B6E12">
        <w:rPr>
          <w:rFonts w:ascii="Palatino Linotype" w:hAnsi="Palatino Linotype" w:cs="Arial"/>
          <w:b/>
        </w:rPr>
        <w:t xml:space="preserve"> </w:t>
      </w:r>
      <w:r w:rsidR="00116785">
        <w:rPr>
          <w:rFonts w:ascii="Palatino Linotype" w:hAnsi="Palatino Linotype" w:cs="Arial"/>
        </w:rPr>
        <w:t xml:space="preserve">en lo sucesivo </w:t>
      </w:r>
      <w:r w:rsidR="00C16923">
        <w:rPr>
          <w:rFonts w:ascii="Palatino Linotype" w:hAnsi="Palatino Linotype" w:cs="Arial"/>
        </w:rPr>
        <w:t>el R</w:t>
      </w:r>
      <w:r w:rsidR="00C6202E">
        <w:rPr>
          <w:rFonts w:ascii="Palatino Linotype" w:hAnsi="Palatino Linotype" w:cs="Arial"/>
        </w:rPr>
        <w:t>ecurrente</w:t>
      </w:r>
      <w:r w:rsidRPr="00080788">
        <w:rPr>
          <w:rFonts w:ascii="Palatino Linotype" w:hAnsi="Palatino Linotype" w:cs="Arial"/>
        </w:rPr>
        <w:t xml:space="preserve"> en contra de la respuesta a su solicitud de </w:t>
      </w:r>
      <w:r w:rsidR="003F2267">
        <w:rPr>
          <w:rFonts w:ascii="Palatino Linotype" w:hAnsi="Palatino Linotype" w:cs="Arial"/>
        </w:rPr>
        <w:t>información con número de folio</w:t>
      </w:r>
      <w:r w:rsidR="003F2267">
        <w:rPr>
          <w:rFonts w:ascii="Verdana" w:hAnsi="Verdana"/>
          <w:b/>
          <w:bCs/>
          <w:color w:val="FF0000"/>
        </w:rPr>
        <w:t> </w:t>
      </w:r>
      <w:r w:rsidR="001A51C8" w:rsidRPr="001A51C8">
        <w:rPr>
          <w:rFonts w:ascii="Palatino Linotype" w:hAnsi="Palatino Linotype" w:cs="Arial"/>
          <w:b/>
        </w:rPr>
        <w:t>00061/SIMOGUER/IP/2021</w:t>
      </w:r>
      <w:r w:rsidR="00116785">
        <w:rPr>
          <w:rFonts w:ascii="Palatino Linotype" w:hAnsi="Palatino Linotype" w:cs="Arial"/>
        </w:rPr>
        <w:t xml:space="preserve">, </w:t>
      </w:r>
      <w:r w:rsidR="000B6E12">
        <w:rPr>
          <w:rFonts w:ascii="Palatino Linotype" w:hAnsi="Palatino Linotype" w:cs="Arial"/>
        </w:rPr>
        <w:t xml:space="preserve">por parte del </w:t>
      </w:r>
      <w:r w:rsidR="000B6E12" w:rsidRPr="000B6E12">
        <w:rPr>
          <w:rFonts w:ascii="Palatino Linotype" w:hAnsi="Palatino Linotype" w:cs="Arial"/>
          <w:b/>
        </w:rPr>
        <w:t>Ayuntam</w:t>
      </w:r>
      <w:bookmarkStart w:id="0" w:name="_GoBack"/>
      <w:bookmarkEnd w:id="0"/>
      <w:r w:rsidR="000B6E12" w:rsidRPr="000B6E12">
        <w:rPr>
          <w:rFonts w:ascii="Palatino Linotype" w:hAnsi="Palatino Linotype" w:cs="Arial"/>
          <w:b/>
        </w:rPr>
        <w:t xml:space="preserve">iento de </w:t>
      </w:r>
      <w:r w:rsidR="001A51C8">
        <w:rPr>
          <w:rFonts w:ascii="Palatino Linotype" w:hAnsi="Palatino Linotype" w:cs="Arial"/>
          <w:b/>
        </w:rPr>
        <w:t>San Simón de Guerrero</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presente resolución, con base en los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0B6E12" w:rsidRDefault="002E5396" w:rsidP="000B6E12">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sidR="00CE169F">
        <w:rPr>
          <w:rFonts w:ascii="Palatino Linotype" w:hAnsi="Palatino Linotype" w:cs="Arial"/>
        </w:rPr>
        <w:t xml:space="preserve">Con fecha </w:t>
      </w:r>
      <w:r w:rsidR="000B6E12">
        <w:rPr>
          <w:rFonts w:ascii="Palatino Linotype" w:hAnsi="Palatino Linotype" w:cs="Arial"/>
        </w:rPr>
        <w:t>veinte de septiembre</w:t>
      </w:r>
      <w:r w:rsidR="009A47D5">
        <w:rPr>
          <w:rFonts w:ascii="Palatino Linotype" w:hAnsi="Palatino Linotype" w:cs="Arial"/>
        </w:rPr>
        <w:t xml:space="preserve"> de dos mi</w:t>
      </w:r>
      <w:r w:rsidR="00C6202E">
        <w:rPr>
          <w:rFonts w:ascii="Palatino Linotype" w:hAnsi="Palatino Linotype" w:cs="Arial"/>
        </w:rPr>
        <w:t>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w:t>
      </w:r>
      <w:r w:rsidRPr="00EC5F74">
        <w:rPr>
          <w:rFonts w:ascii="Palatino Linotype" w:hAnsi="Palatino Linotype" w:cs="Arial"/>
        </w:rPr>
        <w:t>requiriéndole lo siguiente:</w:t>
      </w:r>
    </w:p>
    <w:p w:rsidR="002E5396" w:rsidRDefault="002E5396" w:rsidP="000B6E12">
      <w:pPr>
        <w:spacing w:before="240" w:after="240"/>
        <w:ind w:left="851" w:right="902"/>
        <w:contextualSpacing/>
        <w:jc w:val="both"/>
        <w:rPr>
          <w:rFonts w:ascii="Palatino Linotype" w:hAnsi="Palatino Linotype"/>
          <w:i/>
          <w:color w:val="000000"/>
          <w:sz w:val="22"/>
          <w:szCs w:val="22"/>
        </w:rPr>
      </w:pPr>
      <w:r w:rsidRPr="00966DD3">
        <w:rPr>
          <w:rFonts w:ascii="Palatino Linotype" w:hAnsi="Palatino Linotype"/>
          <w:i/>
          <w:color w:val="000000"/>
          <w:sz w:val="22"/>
          <w:szCs w:val="22"/>
        </w:rPr>
        <w:t>“</w:t>
      </w:r>
      <w:r w:rsidR="001A51C8" w:rsidRPr="001A51C8">
        <w:rPr>
          <w:rFonts w:ascii="Palatino Linotype" w:hAnsi="Palatino Linotype"/>
          <w:i/>
          <w:color w:val="000000"/>
          <w:sz w:val="22"/>
          <w:szCs w:val="22"/>
        </w:rPr>
        <w:t>Solicito me informen cuánto se le debe a cada proveedor del Ayuntamiento.</w:t>
      </w:r>
      <w:r w:rsidR="000B6E12">
        <w:rPr>
          <w:rFonts w:ascii="Palatino Linotype" w:hAnsi="Palatino Linotype"/>
          <w:i/>
          <w:color w:val="000000"/>
          <w:sz w:val="22"/>
          <w:szCs w:val="22"/>
        </w:rPr>
        <w:t>”</w:t>
      </w:r>
      <w:r w:rsidRPr="00966DD3">
        <w:rPr>
          <w:rFonts w:ascii="Palatino Linotype" w:hAnsi="Palatino Linotype"/>
          <w:i/>
          <w:color w:val="000000"/>
          <w:sz w:val="22"/>
          <w:szCs w:val="22"/>
        </w:rPr>
        <w:t>(Sic)</w:t>
      </w:r>
    </w:p>
    <w:p w:rsidR="003F2267" w:rsidRDefault="003F2267" w:rsidP="00966DD3">
      <w:pPr>
        <w:spacing w:before="240" w:after="240"/>
        <w:ind w:left="851" w:right="902"/>
        <w:contextualSpacing/>
        <w:jc w:val="both"/>
        <w:rPr>
          <w:rFonts w:ascii="Palatino Linotype" w:hAnsi="Palatino Linotype"/>
          <w:i/>
          <w:color w:val="000000"/>
          <w:sz w:val="22"/>
          <w:szCs w:val="22"/>
        </w:rPr>
      </w:pP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lastRenderedPageBreak/>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1A51C8" w:rsidRPr="00AE3757" w:rsidRDefault="002E5396" w:rsidP="001A51C8">
      <w:pPr>
        <w:spacing w:before="240" w:after="240" w:line="360" w:lineRule="auto"/>
        <w:jc w:val="both"/>
        <w:rPr>
          <w:rFonts w:ascii="Palatino Linotype" w:hAnsi="Palatino Linotype" w:cs="Arial"/>
          <w:b/>
        </w:rPr>
      </w:pPr>
      <w:r w:rsidRPr="00AA3766">
        <w:rPr>
          <w:rFonts w:ascii="Palatino Linotype" w:hAnsi="Palatino Linotype" w:cs="Arial"/>
          <w:b/>
        </w:rPr>
        <w:t xml:space="preserve">2. Respuesta. </w:t>
      </w:r>
      <w:r w:rsidR="001A51C8" w:rsidRPr="00AE3757">
        <w:rPr>
          <w:rFonts w:ascii="Palatino Linotype" w:hAnsi="Palatino Linotype" w:cs="Arial"/>
        </w:rPr>
        <w:t xml:space="preserve">De las constancias que obran en </w:t>
      </w:r>
      <w:r w:rsidR="001A51C8" w:rsidRPr="00AE3757">
        <w:rPr>
          <w:rFonts w:ascii="Palatino Linotype" w:hAnsi="Palatino Linotype" w:cs="Arial"/>
          <w:b/>
        </w:rPr>
        <w:t>SAIMEX</w:t>
      </w:r>
      <w:r w:rsidR="001A51C8" w:rsidRPr="00AE3757">
        <w:rPr>
          <w:rFonts w:ascii="Palatino Linotype" w:hAnsi="Palatino Linotype" w:cs="Arial"/>
        </w:rPr>
        <w:t xml:space="preserve">, se observa que </w:t>
      </w:r>
      <w:r w:rsidR="001A51C8" w:rsidRPr="00AE3757">
        <w:rPr>
          <w:rFonts w:ascii="Palatino Linotype" w:hAnsi="Palatino Linotype" w:cs="Arial"/>
          <w:b/>
        </w:rPr>
        <w:t xml:space="preserve">el Sujeto Obligado </w:t>
      </w:r>
      <w:r w:rsidR="001A51C8" w:rsidRPr="00AE3757">
        <w:rPr>
          <w:rFonts w:ascii="Palatino Linotype" w:hAnsi="Palatino Linotype" w:cs="Arial"/>
        </w:rPr>
        <w:t>no emitió respuesta a la solicitud de información formulada por el hoy recurrente.</w:t>
      </w:r>
    </w:p>
    <w:p w:rsidR="002E5396" w:rsidRPr="00080788" w:rsidRDefault="00EC5F74" w:rsidP="002E5396">
      <w:pPr>
        <w:spacing w:before="240" w:after="240" w:line="360" w:lineRule="auto"/>
        <w:jc w:val="both"/>
        <w:rPr>
          <w:rFonts w:ascii="Palatino Linotype" w:hAnsi="Palatino Linotype" w:cs="Arial"/>
        </w:rPr>
      </w:pPr>
      <w:r>
        <w:rPr>
          <w:rFonts w:ascii="Palatino Linotype" w:hAnsi="Palatino Linotype" w:cs="Arial"/>
          <w:b/>
        </w:rPr>
        <w:t>3</w:t>
      </w:r>
      <w:r w:rsidR="002E5396" w:rsidRPr="00080788">
        <w:rPr>
          <w:rFonts w:ascii="Palatino Linotype" w:hAnsi="Palatino Linotype" w:cs="Arial"/>
          <w:b/>
        </w:rPr>
        <w:t xml:space="preserve">. Interposición del recurso de revisión. </w:t>
      </w:r>
      <w:r w:rsidR="00E578F2">
        <w:rPr>
          <w:rFonts w:ascii="Palatino Linotype" w:hAnsi="Palatino Linotype" w:cs="Arial"/>
        </w:rPr>
        <w:t>Inconforme el</w:t>
      </w:r>
      <w:r w:rsidR="002E5396" w:rsidRPr="00080788">
        <w:rPr>
          <w:rFonts w:ascii="Palatino Linotype" w:hAnsi="Palatino Linotype" w:cs="Arial"/>
        </w:rPr>
        <w:t xml:space="preserve"> solicitante con la </w:t>
      </w:r>
      <w:r w:rsidR="00C16923">
        <w:rPr>
          <w:rFonts w:ascii="Palatino Linotype" w:hAnsi="Palatino Linotype" w:cs="Arial"/>
        </w:rPr>
        <w:t xml:space="preserve">falta de </w:t>
      </w:r>
      <w:r w:rsidR="002E5396" w:rsidRPr="00080788">
        <w:rPr>
          <w:rFonts w:ascii="Palatino Linotype" w:hAnsi="Palatino Linotype" w:cs="Arial"/>
        </w:rPr>
        <w:t xml:space="preserve">respuesta del </w:t>
      </w:r>
      <w:r w:rsidR="002E5396" w:rsidRPr="00080788">
        <w:rPr>
          <w:rFonts w:ascii="Palatino Linotype" w:hAnsi="Palatino Linotype" w:cs="Arial"/>
          <w:b/>
        </w:rPr>
        <w:t>Sujeto Obligado</w:t>
      </w:r>
      <w:r w:rsidR="002E5396" w:rsidRPr="00080788">
        <w:rPr>
          <w:rFonts w:ascii="Palatino Linotype" w:hAnsi="Palatino Linotype" w:cs="Arial"/>
        </w:rPr>
        <w:t xml:space="preserve"> interpuso recurso de revisión a t</w:t>
      </w:r>
      <w:r w:rsidR="00AA3766">
        <w:rPr>
          <w:rFonts w:ascii="Palatino Linotype" w:hAnsi="Palatino Linotype" w:cs="Arial"/>
        </w:rPr>
        <w:t>ravés d</w:t>
      </w:r>
      <w:r w:rsidR="001A51C8">
        <w:rPr>
          <w:rFonts w:ascii="Palatino Linotype" w:hAnsi="Palatino Linotype" w:cs="Arial"/>
        </w:rPr>
        <w:t>el SAIMEX en fecha doce</w:t>
      </w:r>
      <w:r w:rsidR="00E578F2">
        <w:rPr>
          <w:rFonts w:ascii="Palatino Linotype" w:hAnsi="Palatino Linotype" w:cs="Arial"/>
        </w:rPr>
        <w:t xml:space="preserve"> de octubre</w:t>
      </w:r>
      <w:r w:rsidR="00205EF0">
        <w:rPr>
          <w:rFonts w:ascii="Palatino Linotype" w:hAnsi="Palatino Linotype" w:cs="Arial"/>
        </w:rPr>
        <w:t xml:space="preserve"> del dos mil veintiuno</w:t>
      </w:r>
      <w:r w:rsidR="002E5396" w:rsidRPr="00080788">
        <w:rPr>
          <w:rFonts w:ascii="Palatino Linotype" w:hAnsi="Palatino Linotype" w:cs="Arial"/>
        </w:rPr>
        <w:t>, a través del cual expresó lo siguiente:</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2F081A" w:rsidRDefault="002E5396" w:rsidP="002E5396">
      <w:pPr>
        <w:spacing w:after="240"/>
        <w:ind w:left="851" w:right="900"/>
        <w:jc w:val="both"/>
        <w:rPr>
          <w:rFonts w:ascii="Palatino Linotype" w:hAnsi="Palatino Linotype"/>
          <w:i/>
          <w:color w:val="000000"/>
          <w:sz w:val="22"/>
          <w:szCs w:val="22"/>
        </w:rPr>
      </w:pPr>
      <w:r w:rsidRPr="002F081A">
        <w:rPr>
          <w:rFonts w:ascii="Palatino Linotype" w:hAnsi="Palatino Linotype"/>
          <w:i/>
          <w:color w:val="000000"/>
          <w:sz w:val="22"/>
          <w:szCs w:val="22"/>
        </w:rPr>
        <w:t>“</w:t>
      </w:r>
      <w:r w:rsidR="001A51C8" w:rsidRPr="001A51C8">
        <w:rPr>
          <w:rFonts w:ascii="Palatino Linotype" w:hAnsi="Palatino Linotype"/>
          <w:i/>
          <w:color w:val="000000"/>
          <w:sz w:val="22"/>
          <w:szCs w:val="22"/>
        </w:rPr>
        <w:t>La falta de respuesta</w:t>
      </w:r>
      <w:r w:rsidRPr="002F081A">
        <w:rPr>
          <w:rFonts w:ascii="Palatino Linotype" w:hAnsi="Palatino Linotype"/>
          <w:i/>
          <w:color w:val="000000"/>
          <w:sz w:val="22"/>
          <w:szCs w:val="22"/>
        </w:rPr>
        <w:t>” (Sic)</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2E5396" w:rsidRPr="002F081A" w:rsidRDefault="00EC5F74" w:rsidP="00BF5449">
      <w:pPr>
        <w:spacing w:after="240"/>
        <w:ind w:left="851" w:right="900"/>
        <w:jc w:val="both"/>
        <w:rPr>
          <w:rFonts w:ascii="Palatino Linotype" w:hAnsi="Palatino Linotype"/>
          <w:i/>
          <w:color w:val="000000"/>
          <w:sz w:val="22"/>
          <w:szCs w:val="22"/>
        </w:rPr>
      </w:pPr>
      <w:r w:rsidRPr="002F081A">
        <w:rPr>
          <w:rFonts w:ascii="Palatino Linotype" w:hAnsi="Palatino Linotype"/>
          <w:i/>
          <w:color w:val="000000"/>
          <w:sz w:val="22"/>
          <w:szCs w:val="22"/>
        </w:rPr>
        <w:t>“</w:t>
      </w:r>
      <w:r w:rsidR="001A51C8" w:rsidRPr="001A51C8">
        <w:rPr>
          <w:rFonts w:ascii="Palatino Linotype" w:hAnsi="Palatino Linotype"/>
          <w:i/>
          <w:color w:val="000000"/>
          <w:sz w:val="22"/>
          <w:szCs w:val="22"/>
        </w:rPr>
        <w:t>El sujeto obligado no me entregó la información solicitada y ya se venció el término para el efecto. Lo que pedí se encuentra en su BALANZA DE COMPROBACION DETALLADA actualizada al mes de septiembre de 2021.</w:t>
      </w:r>
      <w:r w:rsidRPr="002F081A">
        <w:rPr>
          <w:rFonts w:ascii="Palatino Linotype" w:hAnsi="Palatino Linotype"/>
          <w:i/>
          <w:color w:val="000000"/>
          <w:sz w:val="22"/>
          <w:szCs w:val="22"/>
        </w:rPr>
        <w:t>”</w:t>
      </w:r>
      <w:r w:rsidR="002E5396" w:rsidRPr="002F081A">
        <w:rPr>
          <w:rFonts w:ascii="Palatino Linotype" w:hAnsi="Palatino Linotype"/>
          <w:i/>
          <w:color w:val="000000"/>
          <w:sz w:val="22"/>
          <w:szCs w:val="22"/>
        </w:rPr>
        <w:t xml:space="preserve"> (Sic)</w:t>
      </w:r>
    </w:p>
    <w:p w:rsidR="003B19DA" w:rsidRDefault="00EC5F74" w:rsidP="003B19DA">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2E5396" w:rsidRPr="00080788">
        <w:rPr>
          <w:rFonts w:ascii="Palatino Linotype" w:hAnsi="Palatino Linotype"/>
          <w:b/>
        </w:rPr>
        <w:t xml:space="preserve">. Turno. </w:t>
      </w:r>
      <w:r w:rsidR="003B19DA" w:rsidRPr="00911351">
        <w:rPr>
          <w:rFonts w:ascii="Palatino Linotype" w:hAnsi="Palatino Linotype"/>
        </w:rPr>
        <w:t xml:space="preserve">De conformidad con el artículo 185, fracción I de la </w:t>
      </w:r>
      <w:r w:rsidR="003B19DA" w:rsidRPr="00911351">
        <w:rPr>
          <w:rFonts w:ascii="Palatino Linotype" w:hAnsi="Palatino Linotype" w:cs="Arial"/>
        </w:rPr>
        <w:t xml:space="preserve">Ley de Transparencia y Acceso a la Información Pública del Estado de México y Municipios, el recurso de revisión número </w:t>
      </w:r>
      <w:r>
        <w:rPr>
          <w:rFonts w:ascii="Palatino Linotype" w:hAnsi="Palatino Linotype" w:cs="Arial"/>
          <w:b/>
        </w:rPr>
        <w:t>0</w:t>
      </w:r>
      <w:r w:rsidR="001A51C8">
        <w:rPr>
          <w:rFonts w:ascii="Palatino Linotype" w:hAnsi="Palatino Linotype" w:cs="Arial"/>
          <w:b/>
        </w:rPr>
        <w:t>5029</w:t>
      </w:r>
      <w:r w:rsidR="002A6F11">
        <w:rPr>
          <w:rFonts w:ascii="Palatino Linotype" w:hAnsi="Palatino Linotype" w:cs="Arial"/>
          <w:b/>
        </w:rPr>
        <w:t>/INFOEM/IP/RR/2021</w:t>
      </w:r>
      <w:r w:rsidR="003B19DA">
        <w:rPr>
          <w:rFonts w:ascii="Palatino Linotype" w:hAnsi="Palatino Linotype" w:cs="Arial"/>
          <w:b/>
        </w:rPr>
        <w:t xml:space="preserve">, </w:t>
      </w:r>
      <w:r w:rsidR="003B19DA"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C6202E">
        <w:rPr>
          <w:rFonts w:ascii="Palatino Linotype" w:hAnsi="Palatino Linotype" w:cs="Arial"/>
        </w:rPr>
        <w:t xml:space="preserve">a la </w:t>
      </w:r>
      <w:r w:rsidR="00C6202E">
        <w:rPr>
          <w:rFonts w:ascii="Palatino Linotype" w:eastAsia="Calibri" w:hAnsi="Palatino Linotype" w:cs="Arial"/>
        </w:rPr>
        <w:t>Comisionada</w:t>
      </w:r>
      <w:r w:rsidR="003B19DA" w:rsidRPr="00553FFC">
        <w:rPr>
          <w:rFonts w:ascii="Palatino Linotype" w:eastAsia="Calibri" w:hAnsi="Palatino Linotype" w:cs="Arial"/>
        </w:rPr>
        <w:t xml:space="preserve"> </w:t>
      </w:r>
      <w:r w:rsidR="00C6202E">
        <w:rPr>
          <w:rFonts w:ascii="Palatino Linotype" w:eastAsia="Calibri" w:hAnsi="Palatino Linotype" w:cs="Arial"/>
          <w:b/>
        </w:rPr>
        <w:t>Guadalupe Ramírez Peña</w:t>
      </w:r>
      <w:r w:rsidR="003B19DA" w:rsidRPr="00911351">
        <w:rPr>
          <w:rFonts w:ascii="Palatino Linotype" w:hAnsi="Palatino Linotype"/>
        </w:rPr>
        <w:t xml:space="preserve">, </w:t>
      </w:r>
      <w:r w:rsidR="003B19DA" w:rsidRPr="009F7D9F">
        <w:rPr>
          <w:rFonts w:ascii="Palatino Linotype" w:hAnsi="Palatino Linotype" w:cs="Arial"/>
        </w:rPr>
        <w:t xml:space="preserve">para su análisis, estudio, elaboración del proyecto y </w:t>
      </w:r>
      <w:r w:rsidR="003B19DA" w:rsidRPr="009F7D9F">
        <w:rPr>
          <w:rFonts w:ascii="Palatino Linotype" w:eastAsia="Calibri" w:hAnsi="Palatino Linotype" w:cs="Arial"/>
        </w:rPr>
        <w:t xml:space="preserve">presentación </w:t>
      </w:r>
      <w:r w:rsidR="003B19DA">
        <w:rPr>
          <w:rFonts w:ascii="Palatino Linotype" w:eastAsia="Calibri" w:hAnsi="Palatino Linotype" w:cs="Arial"/>
        </w:rPr>
        <w:t>ante el Pleno de este Instituto.</w:t>
      </w:r>
    </w:p>
    <w:p w:rsidR="00E4481D" w:rsidRDefault="00E4481D" w:rsidP="002E5396">
      <w:pPr>
        <w:spacing w:before="240" w:after="240" w:line="360" w:lineRule="auto"/>
        <w:contextualSpacing/>
        <w:jc w:val="both"/>
        <w:rPr>
          <w:rFonts w:ascii="Palatino Linotype" w:hAnsi="Palatino Linotype"/>
        </w:rPr>
      </w:pPr>
    </w:p>
    <w:p w:rsidR="002E5396" w:rsidRPr="00080788" w:rsidRDefault="00EC5F74" w:rsidP="002E5396">
      <w:pPr>
        <w:spacing w:before="240" w:after="240" w:line="360" w:lineRule="auto"/>
        <w:contextualSpacing/>
        <w:jc w:val="both"/>
        <w:rPr>
          <w:rFonts w:ascii="Palatino Linotype" w:hAnsi="Palatino Linotype" w:cs="Arial"/>
        </w:rPr>
      </w:pPr>
      <w:r>
        <w:rPr>
          <w:rFonts w:ascii="Palatino Linotype" w:hAnsi="Palatino Linotype" w:cs="Arial"/>
          <w:b/>
        </w:rPr>
        <w:lastRenderedPageBreak/>
        <w:t>5</w:t>
      </w:r>
      <w:r w:rsidR="002E5396" w:rsidRPr="00080788">
        <w:rPr>
          <w:rFonts w:ascii="Palatino Linotype" w:hAnsi="Palatino Linotype" w:cs="Arial"/>
          <w:b/>
        </w:rPr>
        <w:t xml:space="preserve">. Admisión del recurso de revisión: </w:t>
      </w:r>
      <w:r>
        <w:rPr>
          <w:rFonts w:ascii="Palatino Linotype" w:hAnsi="Palatino Linotype" w:cs="Arial"/>
        </w:rPr>
        <w:t xml:space="preserve">En fecha </w:t>
      </w:r>
      <w:r w:rsidR="001A51C8">
        <w:rPr>
          <w:rFonts w:ascii="Palatino Linotype" w:hAnsi="Palatino Linotype" w:cs="Arial"/>
        </w:rPr>
        <w:t>dieciocho</w:t>
      </w:r>
      <w:r w:rsidR="00763D10">
        <w:rPr>
          <w:rFonts w:ascii="Palatino Linotype" w:hAnsi="Palatino Linotype" w:cs="Arial"/>
        </w:rPr>
        <w:t xml:space="preserve"> de </w:t>
      </w:r>
      <w:r w:rsidR="00E578F2">
        <w:rPr>
          <w:rFonts w:ascii="Palatino Linotype" w:hAnsi="Palatino Linotype" w:cs="Arial"/>
        </w:rPr>
        <w:t>octubre</w:t>
      </w:r>
      <w:r w:rsidR="00763D10">
        <w:rPr>
          <w:rFonts w:ascii="Palatino Linotype" w:hAnsi="Palatino Linotype" w:cs="Arial"/>
        </w:rPr>
        <w:t xml:space="preserve"> de</w:t>
      </w:r>
      <w:r w:rsidR="00E97D16">
        <w:rPr>
          <w:rFonts w:ascii="Palatino Linotype" w:hAnsi="Palatino Linotype" w:cs="Arial"/>
        </w:rPr>
        <w:t>l dos mil veintiuno</w:t>
      </w:r>
      <w:r w:rsidR="00E578F2">
        <w:rPr>
          <w:rFonts w:ascii="Palatino Linotype" w:hAnsi="Palatino Linotype" w:cs="Arial"/>
        </w:rPr>
        <w:t>, la Comisionada</w:t>
      </w:r>
      <w:r w:rsidR="002E5396" w:rsidRPr="00080788">
        <w:rPr>
          <w:rFonts w:ascii="Palatino Linotype" w:hAnsi="Palatino Linotype" w:cs="Arial"/>
        </w:rPr>
        <w:t xml:space="preserve">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1A51C8" w:rsidRDefault="001A51C8" w:rsidP="001A51C8">
      <w:pPr>
        <w:spacing w:after="240" w:line="360" w:lineRule="auto"/>
        <w:contextualSpacing/>
        <w:jc w:val="both"/>
        <w:rPr>
          <w:rFonts w:ascii="Palatino Linotype" w:hAnsi="Palatino Linotype" w:cs="Arial"/>
          <w:b/>
        </w:rPr>
      </w:pPr>
    </w:p>
    <w:p w:rsidR="001A51C8" w:rsidRDefault="00EC5F74" w:rsidP="001A51C8">
      <w:pPr>
        <w:spacing w:after="240" w:line="360" w:lineRule="auto"/>
        <w:contextualSpacing/>
        <w:jc w:val="both"/>
        <w:rPr>
          <w:rFonts w:ascii="Palatino Linotype" w:hAnsi="Palatino Linotype" w:cs="Arial"/>
        </w:rPr>
      </w:pPr>
      <w:r>
        <w:rPr>
          <w:rFonts w:ascii="Palatino Linotype" w:hAnsi="Palatino Linotype" w:cs="Arial"/>
          <w:b/>
        </w:rPr>
        <w:t>6</w:t>
      </w:r>
      <w:r w:rsidR="002E5396" w:rsidRPr="00080788">
        <w:rPr>
          <w:rFonts w:ascii="Palatino Linotype" w:hAnsi="Palatino Linotype" w:cs="Arial"/>
          <w:b/>
        </w:rPr>
        <w:t>. Manifestaciones</w:t>
      </w:r>
      <w:r w:rsidR="002E5396" w:rsidRPr="00080788">
        <w:rPr>
          <w:rFonts w:ascii="Palatino Linotype" w:hAnsi="Palatino Linotype" w:cs="Arial"/>
        </w:rPr>
        <w:t>:</w:t>
      </w:r>
      <w:r w:rsidR="002F081A">
        <w:rPr>
          <w:rFonts w:ascii="Palatino Linotype" w:hAnsi="Palatino Linotype" w:cs="Arial"/>
        </w:rPr>
        <w:t xml:space="preserve"> </w:t>
      </w:r>
      <w:r w:rsidR="001A51C8">
        <w:rPr>
          <w:rFonts w:ascii="Palatino Linotype" w:hAnsi="Palatino Linotype" w:cs="Arial"/>
        </w:rPr>
        <w:t>De las constancias que integran el expediente en que se actúa se advierte que la parte recurrente fue omisa en presentar alegatos o manifestación alguna.</w:t>
      </w:r>
    </w:p>
    <w:p w:rsidR="001A51C8" w:rsidRDefault="001A51C8" w:rsidP="001A51C8">
      <w:pPr>
        <w:spacing w:after="240" w:line="360" w:lineRule="auto"/>
        <w:contextualSpacing/>
        <w:jc w:val="both"/>
        <w:rPr>
          <w:rFonts w:ascii="Palatino Linotype" w:hAnsi="Palatino Linotype" w:cs="Arial"/>
        </w:rPr>
      </w:pPr>
    </w:p>
    <w:p w:rsidR="001A51C8" w:rsidRPr="00A659D6" w:rsidRDefault="001A51C8" w:rsidP="001A51C8">
      <w:pPr>
        <w:spacing w:after="240" w:line="360" w:lineRule="auto"/>
        <w:contextualSpacing/>
        <w:jc w:val="both"/>
        <w:rPr>
          <w:rFonts w:ascii="Palatino Linotype" w:hAnsi="Palatino Linotype" w:cs="Arial"/>
        </w:rPr>
      </w:pPr>
      <w:r w:rsidRPr="00A659D6">
        <w:rPr>
          <w:rFonts w:ascii="Palatino Linotype" w:hAnsi="Palatino Linotype" w:cs="Arial"/>
        </w:rPr>
        <w:t xml:space="preserve">Por su parte el Sujeto Obligado en fecha </w:t>
      </w:r>
      <w:r>
        <w:rPr>
          <w:rFonts w:ascii="Palatino Linotype" w:hAnsi="Palatino Linotype" w:cs="Arial"/>
        </w:rPr>
        <w:t>veintisiete</w:t>
      </w:r>
      <w:r w:rsidRPr="00A659D6">
        <w:rPr>
          <w:rFonts w:ascii="Palatino Linotype" w:hAnsi="Palatino Linotype" w:cs="Arial"/>
        </w:rPr>
        <w:t xml:space="preserve"> </w:t>
      </w:r>
      <w:r>
        <w:rPr>
          <w:rFonts w:ascii="Palatino Linotype" w:hAnsi="Palatino Linotype" w:cs="Arial"/>
        </w:rPr>
        <w:t xml:space="preserve">de octubre </w:t>
      </w:r>
      <w:r w:rsidRPr="00A659D6">
        <w:rPr>
          <w:rFonts w:ascii="Palatino Linotype" w:hAnsi="Palatino Linotype" w:cs="Arial"/>
        </w:rPr>
        <w:t>del año dos mil veintiuno,</w:t>
      </w:r>
      <w:r>
        <w:rPr>
          <w:rFonts w:ascii="Palatino Linotype" w:hAnsi="Palatino Linotype" w:cs="Arial"/>
        </w:rPr>
        <w:t xml:space="preserve"> remitió por duplicado el archivo electrónico siguiente</w:t>
      </w:r>
      <w:r w:rsidRPr="00A659D6">
        <w:rPr>
          <w:rFonts w:ascii="Palatino Linotype" w:hAnsi="Palatino Linotype" w:cs="Arial"/>
        </w:rPr>
        <w:t>: “</w:t>
      </w:r>
      <w:hyperlink r:id="rId8" w:history="1">
        <w:r w:rsidRPr="001A51C8">
          <w:rPr>
            <w:rFonts w:ascii="Palatino Linotype" w:hAnsi="Palatino Linotype"/>
          </w:rPr>
          <w:t>05029.PDF</w:t>
        </w:r>
      </w:hyperlink>
      <w:r w:rsidRPr="00A659D6">
        <w:rPr>
          <w:rFonts w:ascii="Palatino Linotype" w:hAnsi="Palatino Linotype" w:cs="Arial"/>
        </w:rPr>
        <w:t xml:space="preserve">”, </w:t>
      </w:r>
      <w:r>
        <w:rPr>
          <w:rFonts w:ascii="Palatino Linotype" w:hAnsi="Palatino Linotype" w:cs="Arial"/>
        </w:rPr>
        <w:t xml:space="preserve">archivo electrónico que en fecha </w:t>
      </w:r>
      <w:r w:rsidR="00C8268C">
        <w:rPr>
          <w:rFonts w:ascii="Palatino Linotype" w:hAnsi="Palatino Linotype" w:cs="Arial"/>
        </w:rPr>
        <w:t>treinta</w:t>
      </w:r>
      <w:r>
        <w:rPr>
          <w:rFonts w:ascii="Palatino Linotype" w:hAnsi="Palatino Linotype" w:cs="Arial"/>
        </w:rPr>
        <w:t xml:space="preserve"> de noviembre del dos mil veintiuno, se puso a la vista del recurrente, </w:t>
      </w:r>
      <w:r w:rsidRPr="00A659D6">
        <w:rPr>
          <w:rFonts w:ascii="Palatino Linotype" w:hAnsi="Palatino Linotype" w:cs="Arial"/>
        </w:rPr>
        <w:t>en términos de la fracción III del artículo 185 de la Ley de Transparencia y Acceso a la Información Pública del Estado de México y Municipios</w:t>
      </w:r>
      <w:r>
        <w:rPr>
          <w:rFonts w:ascii="Palatino Linotype" w:hAnsi="Palatino Linotype" w:cs="Arial"/>
        </w:rPr>
        <w:t>; para que en el término de tres días manifestara lo que a su derecho convenga respecto de la modificación a la falta de respuesta; sin que el recurrente hiciera manifestación alguna.</w:t>
      </w:r>
    </w:p>
    <w:p w:rsidR="003B19DA" w:rsidRDefault="00205EF0" w:rsidP="001A51C8">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b/>
          <w:sz w:val="24"/>
          <w:szCs w:val="24"/>
        </w:rPr>
        <w:t>7</w:t>
      </w:r>
      <w:r w:rsidR="003B19DA" w:rsidRPr="006A7EE4">
        <w:rPr>
          <w:rFonts w:ascii="Palatino Linotype" w:hAnsi="Palatino Linotype" w:cs="Arial"/>
          <w:b/>
          <w:sz w:val="24"/>
          <w:szCs w:val="24"/>
        </w:rPr>
        <w:t>. Cierre de instrucción</w:t>
      </w:r>
      <w:r w:rsidR="003B19DA" w:rsidRPr="006A7EE4">
        <w:rPr>
          <w:rFonts w:ascii="Palatino Linotype" w:hAnsi="Palatino Linotype" w:cs="Arial"/>
          <w:sz w:val="24"/>
          <w:szCs w:val="24"/>
        </w:rPr>
        <w:t xml:space="preserve">. En </w:t>
      </w:r>
      <w:r w:rsidR="00771004" w:rsidRPr="006A7EE4">
        <w:rPr>
          <w:rFonts w:ascii="Palatino Linotype" w:hAnsi="Palatino Linotype" w:cs="Arial"/>
          <w:sz w:val="24"/>
          <w:szCs w:val="24"/>
        </w:rPr>
        <w:t xml:space="preserve">fecha </w:t>
      </w:r>
      <w:r w:rsidR="00AE2FE4">
        <w:rPr>
          <w:rFonts w:ascii="Palatino Linotype" w:hAnsi="Palatino Linotype" w:cs="Arial"/>
          <w:sz w:val="24"/>
          <w:szCs w:val="24"/>
        </w:rPr>
        <w:t>seis de diciembre</w:t>
      </w:r>
      <w:r w:rsidR="003347C3">
        <w:rPr>
          <w:rFonts w:ascii="Palatino Linotype" w:hAnsi="Palatino Linotype" w:cs="Arial"/>
          <w:sz w:val="24"/>
          <w:szCs w:val="24"/>
        </w:rPr>
        <w:t xml:space="preserve"> del dos mil veintiuno</w:t>
      </w:r>
      <w:r w:rsidR="00AE2FE4">
        <w:rPr>
          <w:rFonts w:ascii="Palatino Linotype" w:hAnsi="Palatino Linotype" w:cs="Arial"/>
          <w:sz w:val="24"/>
          <w:szCs w:val="24"/>
        </w:rPr>
        <w:t xml:space="preserve"> la Comisionada</w:t>
      </w:r>
      <w:r w:rsidR="003B19DA" w:rsidRPr="006A7EE4">
        <w:rPr>
          <w:rFonts w:ascii="Palatino Linotype" w:hAnsi="Palatino Linotype" w:cs="Arial"/>
          <w:sz w:val="24"/>
          <w:szCs w:val="24"/>
        </w:rPr>
        <w:t xml:space="preserve"> ponente determinó el cierre de instrucción en términos de la fracción VI del artículo 185 de la Ley de Transparencia y Acceso a la Información Pública del </w:t>
      </w:r>
      <w:r w:rsidR="003B19DA" w:rsidRPr="00763D10">
        <w:rPr>
          <w:rFonts w:ascii="Palatino Linotype" w:hAnsi="Palatino Linotype" w:cs="Arial"/>
          <w:sz w:val="24"/>
          <w:szCs w:val="24"/>
        </w:rPr>
        <w:t>Estado de México y Municipios.</w:t>
      </w:r>
    </w:p>
    <w:p w:rsidR="0071726B" w:rsidRPr="004E377A" w:rsidRDefault="0071726B" w:rsidP="0071726B">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sz w:val="24"/>
          <w:szCs w:val="24"/>
        </w:rPr>
      </w:pPr>
      <w:r w:rsidRPr="004E377A">
        <w:rPr>
          <w:rFonts w:ascii="Palatino Linotype" w:hAnsi="Palatino Linotype" w:cs="Arial"/>
          <w:b/>
          <w:sz w:val="24"/>
          <w:szCs w:val="24"/>
        </w:rPr>
        <w:t>8.-</w:t>
      </w:r>
      <w:r w:rsidRPr="004E377A">
        <w:rPr>
          <w:rFonts w:ascii="Palatino Linotype" w:hAnsi="Palatino Linotype" w:cs="Arial"/>
          <w:sz w:val="24"/>
          <w:szCs w:val="24"/>
        </w:rPr>
        <w:t xml:space="preserve"> </w:t>
      </w:r>
      <w:r w:rsidRPr="004E377A">
        <w:rPr>
          <w:rFonts w:ascii="Palatino Linotype" w:hAnsi="Palatino Linotype" w:cs="Arial"/>
          <w:b/>
          <w:sz w:val="24"/>
          <w:szCs w:val="24"/>
        </w:rPr>
        <w:t>Ampliación del plazo.</w:t>
      </w:r>
      <w:r w:rsidRPr="004E377A">
        <w:rPr>
          <w:rFonts w:ascii="Palatino Linotype" w:hAnsi="Palatino Linotype" w:cs="Arial"/>
          <w:sz w:val="24"/>
          <w:szCs w:val="24"/>
        </w:rPr>
        <w:t xml:space="preserve"> En fecha</w:t>
      </w:r>
      <w:r>
        <w:rPr>
          <w:rFonts w:ascii="Palatino Linotype" w:hAnsi="Palatino Linotype" w:cs="Arial"/>
          <w:sz w:val="24"/>
          <w:szCs w:val="24"/>
        </w:rPr>
        <w:t xml:space="preserve"> nueve de diciembre</w:t>
      </w:r>
      <w:r w:rsidRPr="004E377A">
        <w:rPr>
          <w:rFonts w:ascii="Palatino Linotype" w:hAnsi="Palatino Linotype" w:cs="Arial"/>
          <w:sz w:val="24"/>
          <w:szCs w:val="24"/>
        </w:rPr>
        <w:t xml:space="preserve"> del año dos mil </w:t>
      </w:r>
      <w:r w:rsidRPr="004E377A">
        <w:rPr>
          <w:rFonts w:ascii="Palatino Linotype" w:hAnsi="Palatino Linotype" w:cs="Arial"/>
          <w:bCs/>
          <w:sz w:val="24"/>
          <w:szCs w:val="24"/>
        </w:rPr>
        <w:t>veintiuno,</w:t>
      </w:r>
      <w:r w:rsidRPr="004E377A">
        <w:rPr>
          <w:rFonts w:ascii="Palatino Linotype" w:hAnsi="Palatino Linotype" w:cs="Arial"/>
          <w:sz w:val="24"/>
          <w:szCs w:val="24"/>
        </w:rPr>
        <w:t xml:space="preserve"> con fundamento en el artículo 181, párrafo tercero de la Ley de Transparencia y </w:t>
      </w:r>
      <w:r w:rsidRPr="004E377A">
        <w:rPr>
          <w:rFonts w:ascii="Palatino Linotype" w:hAnsi="Palatino Linotype" w:cs="Arial"/>
          <w:sz w:val="24"/>
          <w:szCs w:val="24"/>
        </w:rPr>
        <w:lastRenderedPageBreak/>
        <w:t>Acceso a la Información Pública del Estado de México y Municipios, se acordó la ampliación del plazo para su resolución</w:t>
      </w:r>
      <w:r>
        <w:rPr>
          <w:rFonts w:ascii="Palatino Linotype" w:hAnsi="Palatino Linotype" w:cs="Arial"/>
          <w:sz w:val="24"/>
          <w:szCs w:val="24"/>
        </w:rPr>
        <w:t>.</w:t>
      </w:r>
    </w:p>
    <w:p w:rsidR="002E5396" w:rsidRPr="00080788" w:rsidRDefault="002E5396" w:rsidP="00266653">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266653">
        <w:rPr>
          <w:rFonts w:ascii="Palatino Linotype" w:hAnsi="Palatino Linotype"/>
          <w:shd w:val="clear" w:color="auto" w:fill="FFFFFF"/>
        </w:rPr>
        <w:t>trigésimo, trigésimo primero y trigésimo segundo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1A51C8" w:rsidRPr="008A328B" w:rsidRDefault="002E5396" w:rsidP="001A51C8">
      <w:pPr>
        <w:spacing w:before="240" w:after="240" w:line="360" w:lineRule="auto"/>
        <w:jc w:val="both"/>
        <w:rPr>
          <w:rFonts w:ascii="Palatino Linotype" w:eastAsia="Calibri" w:hAnsi="Palatino Linotype" w:cs="Arial"/>
          <w:lang w:val="es-MX" w:eastAsia="en-US"/>
        </w:rPr>
      </w:pPr>
      <w:r w:rsidRPr="00080788">
        <w:rPr>
          <w:rFonts w:ascii="Palatino Linotype" w:hAnsi="Palatino Linotype" w:cs="Arial"/>
          <w:b/>
        </w:rPr>
        <w:t>Segundo. Oportunidad y Procedibilidad del Recurso de Revisión</w:t>
      </w:r>
      <w:r w:rsidR="001A51C8" w:rsidRPr="001A51C8">
        <w:rPr>
          <w:rFonts w:ascii="Palatino Linotype" w:hAnsi="Palatino Linotype" w:cs="Arial"/>
        </w:rPr>
        <w:t xml:space="preserve"> </w:t>
      </w:r>
      <w:r w:rsidR="001A51C8" w:rsidRPr="008A328B">
        <w:rPr>
          <w:rFonts w:ascii="Palatino Linotype" w:hAnsi="Palatino Linotype" w:cs="Arial"/>
        </w:rPr>
        <w:t>Por</w:t>
      </w:r>
      <w:r w:rsidR="001A51C8">
        <w:rPr>
          <w:rFonts w:ascii="Palatino Linotype" w:hAnsi="Palatino Linotype" w:cs="Arial"/>
        </w:rPr>
        <w:t xml:space="preserve"> cuanto hace a la oportunidad del </w:t>
      </w:r>
      <w:r w:rsidR="001A51C8" w:rsidRPr="008A328B">
        <w:rPr>
          <w:rFonts w:ascii="Palatino Linotype" w:hAnsi="Palatino Linotype" w:cs="Arial"/>
        </w:rPr>
        <w:t>recurso de revisión</w:t>
      </w:r>
      <w:r w:rsidR="001A51C8" w:rsidRPr="008A328B">
        <w:rPr>
          <w:rFonts w:ascii="Palatino Linotype" w:hAnsi="Palatino Linotype" w:cs="Arial"/>
          <w:b/>
        </w:rPr>
        <w:t xml:space="preserve"> </w:t>
      </w:r>
      <w:r w:rsidR="001A51C8" w:rsidRPr="008A328B">
        <w:rPr>
          <w:rFonts w:ascii="Palatino Linotype" w:eastAsia="Calibri" w:hAnsi="Palatino Linotype" w:cs="Arial"/>
          <w:lang w:val="es-MX" w:eastAsia="en-US"/>
        </w:rPr>
        <w:t xml:space="preserve">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w:t>
      </w:r>
      <w:r w:rsidR="001A51C8" w:rsidRPr="008A328B">
        <w:rPr>
          <w:rFonts w:ascii="Palatino Linotype" w:eastAsia="Calibri" w:hAnsi="Palatino Linotype" w:cs="Arial"/>
          <w:lang w:val="es-MX" w:eastAsia="en-US"/>
        </w:rPr>
        <w:lastRenderedPageBreak/>
        <w:t xml:space="preserve">negada; por lo que al solicitante le asiste el derecho para presentar el recurso de </w:t>
      </w:r>
      <w:r w:rsidR="001A51C8">
        <w:rPr>
          <w:rFonts w:ascii="Palatino Linotype" w:eastAsia="Calibri" w:hAnsi="Palatino Linotype" w:cs="Arial"/>
          <w:lang w:val="es-MX" w:eastAsia="en-US"/>
        </w:rPr>
        <w:t>revisión en cualquier momento.</w:t>
      </w:r>
    </w:p>
    <w:p w:rsidR="001A51C8" w:rsidRPr="008A328B" w:rsidRDefault="001A51C8" w:rsidP="001A51C8">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Derivado de lo anterior, se constituye la figura jurídica de la </w:t>
      </w:r>
      <w:r w:rsidRPr="008A328B">
        <w:rPr>
          <w:rFonts w:ascii="Palatino Linotype" w:eastAsia="Calibri" w:hAnsi="Palatino Linotype" w:cs="Arial"/>
          <w:b/>
          <w:lang w:val="es-MX" w:eastAsia="en-US"/>
        </w:rPr>
        <w:t>NEGATIVA FICTA</w:t>
      </w:r>
      <w:r w:rsidRPr="008A328B">
        <w:rPr>
          <w:rFonts w:ascii="Palatino Linotype" w:eastAsia="Calibri" w:hAnsi="Palatino Linotype" w:cs="Arial"/>
          <w:lang w:val="es-MX" w:eastAsia="en-US"/>
        </w:rPr>
        <w:t>, cuya esencia consiste en atribuir un efecto negativo al silencio de la autoridad administrativa frente a las instancias y solicitudes que hagan los particulares.</w:t>
      </w:r>
    </w:p>
    <w:p w:rsidR="001A51C8" w:rsidRPr="008A328B" w:rsidRDefault="001A51C8" w:rsidP="001A51C8">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 xml:space="preserve">De tal manera, en </w:t>
      </w:r>
      <w:r>
        <w:rPr>
          <w:rFonts w:ascii="Palatino Linotype" w:eastAsia="Calibri" w:hAnsi="Palatino Linotype" w:cs="Arial"/>
          <w:lang w:val="es-MX" w:eastAsia="en-US"/>
        </w:rPr>
        <w:t xml:space="preserve">el </w:t>
      </w:r>
      <w:r w:rsidRPr="008A328B">
        <w:rPr>
          <w:rFonts w:ascii="Palatino Linotype" w:eastAsia="Calibri" w:hAnsi="Palatino Linotype" w:cs="Arial"/>
          <w:lang w:val="es-MX" w:eastAsia="en-US"/>
        </w:rPr>
        <w:t xml:space="preserve">presente recurso de revisión se actualizó la negativa ficta por parte del </w:t>
      </w:r>
      <w:r w:rsidRPr="008A328B">
        <w:rPr>
          <w:rFonts w:ascii="Palatino Linotype" w:eastAsia="Calibri" w:hAnsi="Palatino Linotype" w:cs="Arial"/>
          <w:b/>
          <w:lang w:val="es-MX" w:eastAsia="en-US"/>
        </w:rPr>
        <w:t>SUJETO OBLIGADO</w:t>
      </w:r>
      <w:r w:rsidRPr="008A328B">
        <w:rPr>
          <w:rFonts w:ascii="Palatino Linotype" w:eastAsia="Calibri" w:hAnsi="Palatino Linotype" w:cs="Arial"/>
          <w:lang w:val="es-MX" w:eastAsia="en-US"/>
        </w:rPr>
        <w:t xml:space="preserve"> al no haber respondido a</w:t>
      </w:r>
      <w:r>
        <w:rPr>
          <w:rFonts w:ascii="Palatino Linotype" w:eastAsia="Calibri" w:hAnsi="Palatino Linotype" w:cs="Arial"/>
          <w:lang w:val="es-MX" w:eastAsia="en-US"/>
        </w:rPr>
        <w:t xml:space="preserve">l </w:t>
      </w:r>
      <w:r w:rsidRPr="00612C03">
        <w:rPr>
          <w:rFonts w:ascii="Palatino Linotype" w:eastAsia="Calibri" w:hAnsi="Palatino Linotype" w:cs="Arial"/>
          <w:b/>
          <w:lang w:val="es-MX" w:eastAsia="en-US"/>
        </w:rPr>
        <w:t>RECURRENTE</w:t>
      </w:r>
      <w:r>
        <w:rPr>
          <w:rFonts w:ascii="Palatino Linotype" w:eastAsia="Calibri" w:hAnsi="Palatino Linotype" w:cs="Arial"/>
          <w:lang w:val="es-MX" w:eastAsia="en-US"/>
        </w:rPr>
        <w:t xml:space="preserve"> </w:t>
      </w:r>
      <w:r w:rsidRPr="008A328B">
        <w:rPr>
          <w:rFonts w:ascii="Palatino Linotype" w:eastAsia="Calibri" w:hAnsi="Palatino Linotype" w:cs="Arial"/>
          <w:lang w:val="es-MX" w:eastAsia="en-US"/>
        </w:rPr>
        <w:t>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rsidR="001A51C8" w:rsidRDefault="001A51C8" w:rsidP="001A51C8">
      <w:pPr>
        <w:spacing w:before="240" w:after="240" w:line="360" w:lineRule="auto"/>
        <w:jc w:val="both"/>
        <w:rPr>
          <w:rFonts w:ascii="Palatino Linotype" w:eastAsia="Calibri" w:hAnsi="Palatino Linotype" w:cs="Arial"/>
          <w:lang w:val="es-MX" w:eastAsia="en-US"/>
        </w:rPr>
      </w:pPr>
      <w:r w:rsidRPr="008A328B">
        <w:rPr>
          <w:rFonts w:ascii="Palatino Linotype" w:eastAsia="Calibri" w:hAnsi="Palatino Linotype" w:cs="Arial"/>
          <w:lang w:val="es-MX" w:eastAsia="en-US"/>
        </w:rPr>
        <w:t>Si a ello se le suma lo previsto en el párrafo segundo del artículo 178, párrafo segundo</w:t>
      </w:r>
      <w:r>
        <w:rPr>
          <w:rStyle w:val="Refdenotaalpie"/>
          <w:rFonts w:ascii="Palatino Linotype" w:eastAsia="Calibri" w:hAnsi="Palatino Linotype" w:cs="Arial"/>
          <w:lang w:val="es-MX" w:eastAsia="en-US"/>
        </w:rPr>
        <w:footnoteReference w:id="1"/>
      </w:r>
      <w:r w:rsidRPr="008A328B">
        <w:rPr>
          <w:rFonts w:ascii="Palatino Linotype" w:eastAsia="Calibri" w:hAnsi="Palatino Linotype" w:cs="Arial"/>
          <w:lang w:val="es-MX" w:eastAsia="en-US"/>
        </w:rPr>
        <w:t xml:space="preserve"> de la Ley de Transparencia y Acceso a la Información Pública vigente en la entidad.</w:t>
      </w:r>
    </w:p>
    <w:p w:rsidR="001A51C8" w:rsidRPr="008A328B" w:rsidRDefault="001A51C8" w:rsidP="001A51C8">
      <w:pPr>
        <w:spacing w:before="240" w:after="360" w:line="360" w:lineRule="auto"/>
        <w:jc w:val="both"/>
        <w:rPr>
          <w:rFonts w:eastAsia="Calibri"/>
          <w:i/>
          <w:szCs w:val="22"/>
          <w:lang w:val="es-MX"/>
        </w:rPr>
      </w:pPr>
      <w:r w:rsidRPr="008A328B">
        <w:rPr>
          <w:rFonts w:ascii="Palatino Linotype" w:eastAsia="Calibri" w:hAnsi="Palatino Linotype" w:cs="Arial"/>
          <w:szCs w:val="22"/>
        </w:rPr>
        <w:t xml:space="preserve">Lo anterior encuentra sustento en el CRITERIO número 0001-15, aprobado por unanimidad del Pleno del Instituto de Transparencia, Acceso a la Información Pública y Protección de Datos Personales del Estado de México y Municipios, </w:t>
      </w:r>
      <w:r w:rsidRPr="008A328B">
        <w:rPr>
          <w:rFonts w:ascii="Palatino Linotype" w:eastAsia="Calibri" w:hAnsi="Palatino Linotype" w:cs="Arial"/>
          <w:szCs w:val="22"/>
        </w:rPr>
        <w:lastRenderedPageBreak/>
        <w:t>publicado en el Periódico Oficial del Estado de México “Gaceta del Gobierno”, el veintitrés de abril de dos mil quince, que establece:</w:t>
      </w:r>
    </w:p>
    <w:p w:rsidR="001A51C8" w:rsidRPr="008A328B" w:rsidRDefault="001A51C8" w:rsidP="001A51C8">
      <w:pPr>
        <w:spacing w:before="240" w:after="360"/>
        <w:ind w:left="851" w:right="851"/>
        <w:jc w:val="both"/>
        <w:rPr>
          <w:rFonts w:ascii="Palatino Linotype" w:eastAsia="Calibri" w:hAnsi="Palatino Linotype"/>
          <w:b/>
          <w:i/>
          <w:sz w:val="22"/>
          <w:szCs w:val="22"/>
          <w:lang w:val="es-MX"/>
        </w:rPr>
      </w:pPr>
      <w:r w:rsidRPr="008A328B">
        <w:rPr>
          <w:rFonts w:ascii="Palatino Linotype" w:eastAsia="Calibri" w:hAnsi="Palatino Linotype"/>
          <w:i/>
          <w:sz w:val="22"/>
          <w:szCs w:val="22"/>
          <w:lang w:val="es-MX"/>
        </w:rPr>
        <w:t>“</w:t>
      </w:r>
      <w:r w:rsidRPr="008A328B">
        <w:rPr>
          <w:rFonts w:ascii="Palatino Linotype" w:eastAsia="Calibri" w:hAnsi="Palatino Linotype"/>
          <w:b/>
          <w:i/>
          <w:sz w:val="22"/>
          <w:szCs w:val="22"/>
          <w:lang w:val="es-MX"/>
        </w:rPr>
        <w:t xml:space="preserve">CRITERIO 0001-15 </w:t>
      </w:r>
    </w:p>
    <w:p w:rsidR="001A51C8" w:rsidRPr="008A328B" w:rsidRDefault="001A51C8" w:rsidP="001A51C8">
      <w:pPr>
        <w:spacing w:before="240" w:after="360"/>
        <w:ind w:left="851" w:right="851"/>
        <w:jc w:val="both"/>
        <w:rPr>
          <w:rFonts w:ascii="Palatino Linotype" w:eastAsia="Calibri" w:hAnsi="Palatino Linotype"/>
          <w:i/>
          <w:sz w:val="22"/>
          <w:szCs w:val="22"/>
          <w:lang w:val="es-ES_tradnl"/>
        </w:rPr>
      </w:pPr>
      <w:r w:rsidRPr="008A328B">
        <w:rPr>
          <w:rFonts w:ascii="Palatino Linotype" w:eastAsia="Calibri" w:hAnsi="Palatino Linotype"/>
          <w:b/>
          <w:i/>
          <w:sz w:val="22"/>
          <w:szCs w:val="22"/>
          <w:lang w:val="es-MX"/>
        </w:rPr>
        <w:t>NEGATIVA FICTA. PLAZO PARA INTERPONER EL RECURSO DE REVISIÓN TRATÁNDOSE DE</w:t>
      </w:r>
      <w:r w:rsidRPr="008A328B">
        <w:rPr>
          <w:rFonts w:ascii="Palatino Linotype" w:eastAsia="Calibri" w:hAnsi="Palatino Linotype"/>
          <w:i/>
          <w:sz w:val="22"/>
          <w:szCs w:val="22"/>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D049F6" w:rsidRDefault="00D049F6" w:rsidP="001A51C8">
      <w:pPr>
        <w:spacing w:before="240" w:after="240" w:line="360" w:lineRule="auto"/>
        <w:jc w:val="both"/>
        <w:rPr>
          <w:rFonts w:ascii="Palatino Linotype" w:hAnsi="Palatino Linotype"/>
          <w:color w:val="000000"/>
        </w:rPr>
      </w:pPr>
      <w:r>
        <w:rPr>
          <w:rFonts w:ascii="Palatino Linotype" w:hAnsi="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1A51C8" w:rsidRDefault="001A51C8" w:rsidP="001A51C8">
      <w:pPr>
        <w:spacing w:before="240" w:after="240" w:line="360" w:lineRule="auto"/>
        <w:jc w:val="both"/>
        <w:rPr>
          <w:rFonts w:ascii="Segoe UI" w:hAnsi="Segoe UI" w:cs="Segoe UI"/>
          <w:lang w:val="es-MX" w:eastAsia="es-MX"/>
        </w:rPr>
      </w:pPr>
      <w:r>
        <w:rPr>
          <w:rStyle w:val="normaltextrun"/>
          <w:rFonts w:ascii="Palatino Linotype" w:hAnsi="Palatino Linotype" w:cs="Segoe UI"/>
        </w:rPr>
        <w:t xml:space="preserve">Ahora bien, </w:t>
      </w:r>
      <w:r>
        <w:rPr>
          <w:rFonts w:ascii="Palatino Linotype" w:hAnsi="Palatino Linotype" w:cs="Segoe UI"/>
          <w:lang w:val="es-MX" w:eastAsia="es-MX"/>
        </w:rPr>
        <w:t xml:space="preserve">resulta procedente la interposición de los recursos de revisión, según lo aducido por el </w:t>
      </w:r>
      <w:r>
        <w:rPr>
          <w:rFonts w:ascii="Palatino Linotype" w:hAnsi="Palatino Linotype" w:cs="Segoe UI"/>
          <w:b/>
          <w:lang w:val="es-MX" w:eastAsia="es-MX"/>
        </w:rPr>
        <w:t>RECURRENTE</w:t>
      </w:r>
      <w:r>
        <w:rPr>
          <w:rFonts w:ascii="Palatino Linotype" w:hAnsi="Palatino Linotype" w:cs="Segoe UI"/>
          <w:lang w:val="es-MX" w:eastAsia="es-MX"/>
        </w:rPr>
        <w:t>, en términos del artículo</w:t>
      </w:r>
      <w:r>
        <w:rPr>
          <w:rFonts w:ascii="Palatino Linotype" w:eastAsia="Cambria" w:hAnsi="Palatino Linotype" w:cs="Segoe UI"/>
          <w:lang w:val="es-MX" w:eastAsia="es-MX"/>
        </w:rPr>
        <w:t xml:space="preserve"> 179</w:t>
      </w:r>
      <w:r>
        <w:rPr>
          <w:rFonts w:ascii="Palatino Linotype" w:hAnsi="Palatino Linotype" w:cs="Segoe UI"/>
          <w:lang w:val="es-MX" w:eastAsia="es-MX"/>
        </w:rPr>
        <w:t>, fracción VII del ordenamiento legal de la materia, que a la letra dice:</w:t>
      </w:r>
    </w:p>
    <w:p w:rsidR="001A51C8" w:rsidRDefault="001A51C8" w:rsidP="001A51C8">
      <w:pPr>
        <w:spacing w:before="240" w:after="240"/>
        <w:ind w:left="992" w:right="1043"/>
        <w:contextualSpacing/>
        <w:jc w:val="both"/>
        <w:textAlignment w:val="baseline"/>
        <w:rPr>
          <w:rFonts w:ascii="Palatino Linotype" w:eastAsia="MS Gothic" w:hAnsi="Palatino Linotype" w:cs="Segoe UI"/>
          <w:sz w:val="22"/>
          <w:szCs w:val="22"/>
          <w:lang w:val="es-MX" w:eastAsia="es-MX"/>
        </w:rPr>
      </w:pPr>
      <w:r w:rsidRPr="008A328B">
        <w:rPr>
          <w:rFonts w:ascii="Palatino Linotype" w:hAnsi="Palatino Linotype" w:cs="Segoe UI"/>
          <w:bCs/>
          <w:i/>
          <w:iCs/>
          <w:sz w:val="22"/>
          <w:szCs w:val="22"/>
          <w:lang w:val="es-MX" w:eastAsia="es-MX"/>
        </w:rPr>
        <w:lastRenderedPageBreak/>
        <w:t>“</w:t>
      </w:r>
      <w:r w:rsidRPr="008A328B">
        <w:rPr>
          <w:rFonts w:ascii="Palatino Linotype" w:hAnsi="Palatino Linotype" w:cs="Segoe UI"/>
          <w:b/>
          <w:bCs/>
          <w:sz w:val="22"/>
          <w:szCs w:val="22"/>
          <w:lang w:val="es-MX" w:eastAsia="es-MX"/>
        </w:rPr>
        <w:t>Artículo 179.</w:t>
      </w:r>
      <w:r w:rsidRPr="008A328B">
        <w:rPr>
          <w:rFonts w:ascii="Palatino Linotype" w:eastAsia="Cambria" w:hAnsi="Palatino Linotype" w:cs="Segoe UI"/>
          <w:i/>
          <w:iCs/>
          <w:sz w:val="22"/>
          <w:szCs w:val="22"/>
          <w:lang w:val="es-MX" w:eastAsia="es-MX"/>
        </w:rPr>
        <w:t xml:space="preserve">El recurso de revisión es un medio de protección que la Ley otorga a los particulares, para hacer valer su derecho de acceso a la información pública, y procederá en contra de las siguientes causas: </w:t>
      </w:r>
      <w:r w:rsidRPr="008A328B">
        <w:rPr>
          <w:rFonts w:ascii="Palatino Linotype" w:eastAsia="MS Gothic" w:hAnsi="Palatino Linotype" w:cs="Segoe UI"/>
          <w:sz w:val="22"/>
          <w:szCs w:val="22"/>
          <w:lang w:val="es-MX" w:eastAsia="es-MX"/>
        </w:rPr>
        <w:t> </w:t>
      </w:r>
    </w:p>
    <w:p w:rsidR="001A51C8" w:rsidRPr="008A328B" w:rsidRDefault="001A51C8" w:rsidP="001A51C8">
      <w:pPr>
        <w:spacing w:before="240" w:after="240"/>
        <w:ind w:left="992" w:right="1043"/>
        <w:contextualSpacing/>
        <w:jc w:val="both"/>
        <w:textAlignment w:val="baseline"/>
        <w:rPr>
          <w:rFonts w:ascii="Palatino Linotype" w:eastAsia="MS Gothic" w:hAnsi="Palatino Linotype" w:cs="Segoe UI"/>
          <w:sz w:val="22"/>
          <w:szCs w:val="22"/>
          <w:lang w:val="es-MX" w:eastAsia="es-MX"/>
        </w:rPr>
      </w:pPr>
      <w:r>
        <w:rPr>
          <w:rFonts w:ascii="Palatino Linotype" w:hAnsi="Palatino Linotype" w:cs="Segoe UI"/>
          <w:bCs/>
          <w:i/>
          <w:iCs/>
          <w:sz w:val="22"/>
          <w:szCs w:val="22"/>
          <w:lang w:val="es-MX" w:eastAsia="es-MX"/>
        </w:rPr>
        <w:t>…</w:t>
      </w:r>
    </w:p>
    <w:p w:rsidR="001A51C8" w:rsidRPr="001A51C8" w:rsidRDefault="001A51C8" w:rsidP="001A51C8">
      <w:pPr>
        <w:spacing w:before="240" w:after="240"/>
        <w:ind w:left="992" w:right="1043"/>
        <w:contextualSpacing/>
        <w:jc w:val="both"/>
        <w:textAlignment w:val="baseline"/>
        <w:rPr>
          <w:rFonts w:ascii="Palatino Linotype" w:eastAsia="Cambria" w:hAnsi="Palatino Linotype" w:cs="Segoe UI"/>
          <w:i/>
          <w:iCs/>
          <w:sz w:val="22"/>
          <w:szCs w:val="22"/>
          <w:lang w:val="es-MX" w:eastAsia="es-MX"/>
        </w:rPr>
      </w:pPr>
      <w:r>
        <w:rPr>
          <w:rFonts w:ascii="Palatino Linotype" w:eastAsia="Cambria" w:hAnsi="Palatino Linotype" w:cs="Segoe UI"/>
          <w:i/>
          <w:iCs/>
          <w:sz w:val="22"/>
          <w:szCs w:val="22"/>
          <w:lang w:val="es-MX" w:eastAsia="es-MX"/>
        </w:rPr>
        <w:t xml:space="preserve">VII. </w:t>
      </w:r>
      <w:r w:rsidRPr="001A51C8">
        <w:rPr>
          <w:rFonts w:ascii="Palatino Linotype" w:eastAsia="Cambria" w:hAnsi="Palatino Linotype" w:cs="Segoe UI"/>
          <w:i/>
          <w:iCs/>
          <w:sz w:val="22"/>
          <w:szCs w:val="22"/>
          <w:lang w:val="es-MX" w:eastAsia="es-MX"/>
        </w:rPr>
        <w:t>La falta de respuesta a una solicitud de acceso a la información…</w:t>
      </w:r>
      <w:r w:rsidR="00600AFE">
        <w:rPr>
          <w:rFonts w:ascii="Palatino Linotype" w:eastAsia="Cambria" w:hAnsi="Palatino Linotype" w:cs="Segoe UI"/>
          <w:i/>
          <w:iCs/>
          <w:sz w:val="22"/>
          <w:szCs w:val="22"/>
          <w:lang w:val="es-MX" w:eastAsia="es-MX"/>
        </w:rPr>
        <w:t>” (</w:t>
      </w:r>
      <w:r>
        <w:rPr>
          <w:rFonts w:ascii="Palatino Linotype" w:eastAsia="Cambria" w:hAnsi="Palatino Linotype" w:cs="Segoe UI"/>
          <w:i/>
          <w:iCs/>
          <w:sz w:val="22"/>
          <w:szCs w:val="22"/>
          <w:lang w:val="es-MX" w:eastAsia="es-MX"/>
        </w:rPr>
        <w:t>Sic)</w:t>
      </w:r>
    </w:p>
    <w:p w:rsidR="00C8268C" w:rsidRDefault="00C8268C" w:rsidP="001A51C8">
      <w:pPr>
        <w:spacing w:before="240" w:after="240" w:line="360" w:lineRule="auto"/>
        <w:jc w:val="both"/>
        <w:rPr>
          <w:rFonts w:ascii="Palatino Linotype" w:hAnsi="Palatino Linotype"/>
          <w:b/>
        </w:rPr>
      </w:pPr>
    </w:p>
    <w:p w:rsidR="00DC6C96" w:rsidRDefault="001A51C8" w:rsidP="00DC6C96">
      <w:pPr>
        <w:spacing w:before="240" w:after="240" w:line="360" w:lineRule="auto"/>
        <w:contextualSpacing/>
        <w:jc w:val="both"/>
        <w:rPr>
          <w:rFonts w:ascii="Palatino Linotype" w:hAnsi="Palatino Linotype" w:cs="Arial"/>
        </w:rPr>
      </w:pPr>
      <w:r w:rsidRPr="00C8268C">
        <w:rPr>
          <w:rFonts w:ascii="Palatino Linotype" w:hAnsi="Palatino Linotype"/>
          <w:b/>
        </w:rPr>
        <w:t xml:space="preserve">Tercero. </w:t>
      </w:r>
      <w:r w:rsidRPr="00C8268C">
        <w:rPr>
          <w:rFonts w:ascii="Palatino Linotype" w:hAnsi="Palatino Linotype" w:cs="Arial"/>
          <w:b/>
        </w:rPr>
        <w:t>Análisis de las causales de sobreseimiento.</w:t>
      </w:r>
      <w:r w:rsidRPr="00C8268C">
        <w:rPr>
          <w:rFonts w:ascii="Palatino Linotype" w:hAnsi="Palatino Linotype"/>
          <w:b/>
        </w:rPr>
        <w:t xml:space="preserve"> </w:t>
      </w:r>
      <w:r w:rsidR="00DC6C96">
        <w:rPr>
          <w:rFonts w:ascii="Palatino Linotype" w:hAnsi="Palatino Linotype" w:cs="Arial"/>
        </w:rPr>
        <w:t>C</w:t>
      </w:r>
      <w:r w:rsidR="00DC6C96" w:rsidRPr="00AE71CA">
        <w:rPr>
          <w:rFonts w:ascii="Palatino Linotype" w:hAnsi="Palatino Linotype" w:cs="Arial"/>
        </w:rPr>
        <w:t xml:space="preserve">omo se puede observar en los antecedentes de la presente resolución, el </w:t>
      </w:r>
      <w:r w:rsidR="00DC6C96" w:rsidRPr="00AE71CA">
        <w:rPr>
          <w:rFonts w:ascii="Palatino Linotype" w:hAnsi="Palatino Linotype" w:cs="Arial"/>
          <w:b/>
        </w:rPr>
        <w:t>SUJETO OBLIGADO</w:t>
      </w:r>
      <w:r w:rsidR="00DC6C96" w:rsidRPr="00AE71CA">
        <w:rPr>
          <w:rFonts w:ascii="Palatino Linotype" w:hAnsi="Palatino Linotype" w:cs="Arial"/>
        </w:rPr>
        <w:t xml:space="preserve"> fue </w:t>
      </w:r>
      <w:r w:rsidR="00DC6C96" w:rsidRPr="00CD3065">
        <w:rPr>
          <w:rFonts w:ascii="Palatino Linotype" w:hAnsi="Palatino Linotype" w:cs="Arial"/>
        </w:rPr>
        <w:t xml:space="preserve">omiso en emitir respuesta a la solicitud de información, por lo que se advierte que los motivos de inconformidad aducidos por el </w:t>
      </w:r>
      <w:r w:rsidR="00DC6C96" w:rsidRPr="00CD3065">
        <w:rPr>
          <w:rFonts w:ascii="Palatino Linotype" w:hAnsi="Palatino Linotype" w:cs="Arial"/>
          <w:b/>
        </w:rPr>
        <w:t>RECURRENTE</w:t>
      </w:r>
      <w:r w:rsidR="00DC6C96" w:rsidRPr="00CD3065">
        <w:rPr>
          <w:rFonts w:ascii="Palatino Linotype" w:hAnsi="Palatino Linotype" w:cs="Arial"/>
        </w:rPr>
        <w:t xml:space="preserve"> resultan fundados, pues efectivamente transcurrió el plazo </w:t>
      </w:r>
      <w:r w:rsidR="00DC6C96" w:rsidRPr="00815CEB">
        <w:rPr>
          <w:rFonts w:ascii="Palatino Linotype" w:hAnsi="Palatino Linotype" w:cs="Arial"/>
        </w:rPr>
        <w:t xml:space="preserve">para dar respuesta determinado por la Ley de la Materia, sin que el </w:t>
      </w:r>
      <w:r w:rsidR="00DC6C96" w:rsidRPr="00815CEB">
        <w:rPr>
          <w:rFonts w:ascii="Palatino Linotype" w:hAnsi="Palatino Linotype" w:cs="Arial"/>
          <w:b/>
        </w:rPr>
        <w:t>SUJETO OBLIGADO</w:t>
      </w:r>
      <w:r w:rsidR="00DC6C96" w:rsidRPr="00815CEB">
        <w:rPr>
          <w:rFonts w:ascii="Palatino Linotype" w:hAnsi="Palatino Linotype" w:cs="Arial"/>
        </w:rPr>
        <w:t xml:space="preserve"> atendiera la solicitud de información; por lo tanto, es evidente que se vulneró su derecho constitucional de acceso a la información pública </w:t>
      </w:r>
      <w:r w:rsidR="00DC6C96" w:rsidRPr="00815CEB">
        <w:rPr>
          <w:rFonts w:ascii="Palatino Linotype" w:hAnsi="Palatino Linotype"/>
        </w:rPr>
        <w:t xml:space="preserve">previsto en el artículo 6 de la </w:t>
      </w:r>
      <w:r w:rsidR="00DC6C96" w:rsidRPr="000D0897">
        <w:rPr>
          <w:rFonts w:ascii="Palatino Linotype" w:hAnsi="Palatino Linotype"/>
          <w:color w:val="000000"/>
        </w:rPr>
        <w:t>Constitución Política de los Estados Unidos Mexicanos y el artículo 5 de la Constitución Política del Estado Libre y Soberano de México</w:t>
      </w:r>
      <w:r w:rsidR="00DC6C96" w:rsidRPr="000D0897">
        <w:rPr>
          <w:rFonts w:ascii="Palatino Linotype" w:hAnsi="Palatino Linotype" w:cs="Arial"/>
        </w:rPr>
        <w:t>.</w:t>
      </w:r>
    </w:p>
    <w:p w:rsidR="00DC6C96" w:rsidRPr="000D0897" w:rsidRDefault="00DC6C96" w:rsidP="00DC6C96">
      <w:pPr>
        <w:spacing w:before="240" w:after="240" w:line="360" w:lineRule="auto"/>
        <w:contextualSpacing/>
        <w:jc w:val="both"/>
        <w:rPr>
          <w:rFonts w:ascii="Palatino Linotype" w:hAnsi="Palatino Linotype" w:cs="Arial"/>
        </w:rPr>
      </w:pPr>
    </w:p>
    <w:p w:rsidR="00DC6C96" w:rsidRDefault="00DC6C96" w:rsidP="00DC6C96">
      <w:pPr>
        <w:spacing w:before="240" w:after="240" w:line="360" w:lineRule="auto"/>
        <w:jc w:val="both"/>
        <w:rPr>
          <w:rFonts w:ascii="Palatino Linotype" w:hAnsi="Palatino Linotype" w:cs="Arial"/>
        </w:rPr>
      </w:pPr>
      <w:r>
        <w:rPr>
          <w:rFonts w:ascii="Palatino Linotype" w:hAnsi="Palatino Linotype" w:cs="Arial"/>
        </w:rPr>
        <w:t xml:space="preserve">Esto es, que cualquier persona tiene el derecho al acceso de la información pública, información que consiste en aquella </w:t>
      </w:r>
      <w:r w:rsidRPr="000534DD">
        <w:rPr>
          <w:rFonts w:ascii="Palatino Linotype" w:hAnsi="Palatino Linotype" w:cs="Arial"/>
        </w:rPr>
        <w:t>que sea generada, obtenida, adquirida, transformada, administrada o en posesión de los Sujetos Obligados,</w:t>
      </w:r>
      <w:r>
        <w:rPr>
          <w:rFonts w:ascii="Palatino Linotype" w:hAnsi="Palatino Linotype" w:cs="Arial"/>
        </w:rPr>
        <w:t xml:space="preserve"> como así también lo señala la </w:t>
      </w:r>
      <w:r w:rsidRPr="000534DD">
        <w:rPr>
          <w:rFonts w:ascii="Palatino Linotype" w:hAnsi="Palatino Linotype" w:cs="Arial"/>
        </w:rPr>
        <w:t>Ley</w:t>
      </w:r>
      <w:r>
        <w:rPr>
          <w:rFonts w:ascii="Palatino Linotype" w:hAnsi="Palatino Linotype" w:cs="Arial"/>
        </w:rPr>
        <w:t xml:space="preserve"> </w:t>
      </w:r>
      <w:r w:rsidRPr="00B6113B">
        <w:rPr>
          <w:rFonts w:ascii="Palatino Linotype" w:hAnsi="Palatino Linotype" w:cs="Arial"/>
        </w:rPr>
        <w:t>de Transparencia y Acceso a la Información Pública del Estado de México y Municipios</w:t>
      </w:r>
      <w:r>
        <w:rPr>
          <w:rFonts w:ascii="Palatino Linotype" w:hAnsi="Palatino Linotype" w:cs="Arial"/>
        </w:rPr>
        <w:t xml:space="preserve"> en su artículo 4, que toda la información </w:t>
      </w:r>
      <w:r w:rsidRPr="004B2697">
        <w:rPr>
          <w:rFonts w:ascii="Palatino Linotype" w:hAnsi="Palatino Linotype" w:cs="Arial"/>
        </w:rPr>
        <w:t>generada, obtenida, adquirida, transformada, administrada o en posesión de los sujetos obligados</w:t>
      </w:r>
      <w:r>
        <w:rPr>
          <w:rFonts w:ascii="Palatino Linotype" w:hAnsi="Palatino Linotype" w:cs="Arial"/>
        </w:rPr>
        <w:t>,</w:t>
      </w:r>
      <w:r w:rsidRPr="004B2697">
        <w:rPr>
          <w:rFonts w:ascii="Palatino Linotype" w:hAnsi="Palatino Linotype" w:cs="Arial"/>
        </w:rPr>
        <w:t xml:space="preserve"> es pública y accesible</w:t>
      </w:r>
      <w:r>
        <w:rPr>
          <w:rFonts w:ascii="Palatino Linotype" w:hAnsi="Palatino Linotype" w:cs="Arial"/>
        </w:rPr>
        <w:t>,</w:t>
      </w:r>
      <w:r w:rsidRPr="004B2697">
        <w:rPr>
          <w:rFonts w:ascii="Palatino Linotype" w:hAnsi="Palatino Linotype" w:cs="Arial"/>
        </w:rPr>
        <w:t xml:space="preserve"> de manera permanente a cualquier persona</w:t>
      </w:r>
      <w:r w:rsidRPr="000534DD">
        <w:rPr>
          <w:rFonts w:ascii="Palatino Linotype" w:hAnsi="Palatino Linotype" w:cs="Arial"/>
        </w:rPr>
        <w:t xml:space="preserve">, privilegiando el principio de máxima publicidad, como </w:t>
      </w:r>
      <w:r>
        <w:rPr>
          <w:rFonts w:ascii="Palatino Linotype" w:hAnsi="Palatino Linotype" w:cs="Arial"/>
        </w:rPr>
        <w:t>así lo establece dicha determinación, que a continuación se trascribe para un mejor entendimiento:</w:t>
      </w:r>
    </w:p>
    <w:p w:rsidR="00DC6C96" w:rsidRDefault="00DC6C96" w:rsidP="00DC6C96">
      <w:pPr>
        <w:spacing w:before="240" w:after="240"/>
        <w:ind w:left="709" w:right="760"/>
        <w:contextualSpacing/>
        <w:jc w:val="both"/>
        <w:rPr>
          <w:rFonts w:ascii="Palatino Linotype" w:hAnsi="Palatino Linotype" w:cs="Arial"/>
          <w:i/>
          <w:sz w:val="22"/>
          <w:szCs w:val="22"/>
        </w:rPr>
      </w:pPr>
      <w:r>
        <w:rPr>
          <w:rFonts w:ascii="Palatino Linotype" w:hAnsi="Palatino Linotype" w:cs="Arial"/>
          <w:i/>
          <w:sz w:val="22"/>
          <w:szCs w:val="22"/>
        </w:rPr>
        <w:lastRenderedPageBreak/>
        <w:t>“</w:t>
      </w:r>
      <w:r>
        <w:rPr>
          <w:rFonts w:ascii="Palatino Linotype" w:hAnsi="Palatino Linotype" w:cs="Arial"/>
          <w:b/>
          <w:i/>
          <w:sz w:val="22"/>
          <w:szCs w:val="22"/>
        </w:rPr>
        <w:t xml:space="preserve">Artículo </w:t>
      </w:r>
      <w:r w:rsidRPr="00935E29">
        <w:rPr>
          <w:rFonts w:ascii="Palatino Linotype" w:hAnsi="Palatino Linotype" w:cs="Arial"/>
          <w:b/>
          <w:i/>
          <w:sz w:val="22"/>
          <w:szCs w:val="22"/>
        </w:rPr>
        <w:t>4</w:t>
      </w:r>
      <w:r w:rsidRPr="004B269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DC6C96" w:rsidRPr="00903A6F" w:rsidRDefault="00DC6C96" w:rsidP="00DC6C96">
      <w:pPr>
        <w:spacing w:before="240" w:after="240"/>
        <w:ind w:left="709" w:right="760"/>
        <w:contextualSpacing/>
        <w:jc w:val="both"/>
        <w:rPr>
          <w:rFonts w:ascii="Palatino Linotype" w:hAnsi="Palatino Linotype" w:cs="Arial"/>
          <w:b/>
          <w:i/>
          <w:sz w:val="22"/>
          <w:szCs w:val="22"/>
        </w:rPr>
      </w:pPr>
      <w:r w:rsidRPr="00903A6F">
        <w:rPr>
          <w:rFonts w:ascii="Palatino Linotype" w:hAnsi="Palatino Linotype" w:cs="Arial"/>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DC6C96" w:rsidRDefault="00DC6C96" w:rsidP="00DC6C96">
      <w:pPr>
        <w:spacing w:before="240" w:after="240"/>
        <w:ind w:left="709" w:right="760"/>
        <w:contextualSpacing/>
        <w:jc w:val="both"/>
        <w:rPr>
          <w:rFonts w:ascii="Palatino Linotype" w:hAnsi="Palatino Linotype" w:cs="Arial"/>
          <w:i/>
          <w:sz w:val="22"/>
          <w:szCs w:val="22"/>
        </w:rPr>
      </w:pPr>
      <w:r w:rsidRPr="004B2697">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cs="Arial"/>
          <w:i/>
          <w:sz w:val="22"/>
          <w:szCs w:val="22"/>
        </w:rPr>
        <w:t>”(Sic)</w:t>
      </w:r>
    </w:p>
    <w:p w:rsidR="00B84CB3" w:rsidRDefault="00B84CB3" w:rsidP="00B84CB3">
      <w:pPr>
        <w:spacing w:before="240" w:after="240"/>
        <w:contextualSpacing/>
        <w:jc w:val="both"/>
        <w:rPr>
          <w:rFonts w:ascii="Palatino Linotype" w:hAnsi="Palatino Linotype" w:cs="Arial"/>
        </w:rPr>
      </w:pPr>
    </w:p>
    <w:p w:rsidR="00DC6C96" w:rsidRDefault="00DC6C96" w:rsidP="00B84CB3">
      <w:pPr>
        <w:spacing w:before="240" w:after="240" w:line="360" w:lineRule="auto"/>
        <w:contextualSpacing/>
        <w:jc w:val="both"/>
        <w:rPr>
          <w:rFonts w:ascii="Palatino Linotype" w:hAnsi="Palatino Linotype" w:cs="Arial"/>
        </w:rPr>
      </w:pPr>
      <w:r>
        <w:rPr>
          <w:rFonts w:ascii="Palatino Linotype" w:hAnsi="Palatino Linotype" w:cs="Arial"/>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935E29">
        <w:rPr>
          <w:rFonts w:ascii="Palatino Linotype" w:hAnsi="Palatino Linotype" w:cs="Arial"/>
          <w:b/>
        </w:rPr>
        <w:t>artículo 12</w:t>
      </w:r>
      <w:r>
        <w:rPr>
          <w:rFonts w:ascii="Palatino Linotype" w:hAnsi="Palatino Linotype" w:cs="Arial"/>
        </w:rPr>
        <w:t xml:space="preserve"> de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 el cual a la letra dice:</w:t>
      </w:r>
    </w:p>
    <w:p w:rsidR="00B84CB3" w:rsidRDefault="00B84CB3" w:rsidP="00B84CB3">
      <w:pPr>
        <w:spacing w:before="240" w:after="240"/>
        <w:contextualSpacing/>
        <w:jc w:val="both"/>
        <w:rPr>
          <w:rFonts w:ascii="Palatino Linotype" w:hAnsi="Palatino Linotype" w:cs="Arial"/>
        </w:rPr>
      </w:pPr>
    </w:p>
    <w:p w:rsidR="00DC6C96" w:rsidRDefault="00DC6C96" w:rsidP="00DC6C96">
      <w:pPr>
        <w:spacing w:before="240" w:after="240"/>
        <w:ind w:left="567" w:right="758"/>
        <w:contextualSpacing/>
        <w:jc w:val="both"/>
        <w:rPr>
          <w:rFonts w:ascii="Palatino Linotype" w:hAnsi="Palatino Linotype" w:cs="Arial"/>
          <w:i/>
          <w:sz w:val="22"/>
          <w:szCs w:val="22"/>
        </w:rPr>
      </w:pPr>
      <w:r w:rsidRPr="00786FA3">
        <w:rPr>
          <w:rFonts w:ascii="Palatino Linotype" w:hAnsi="Palatino Linotype" w:cs="Arial"/>
          <w:i/>
          <w:sz w:val="22"/>
          <w:szCs w:val="22"/>
        </w:rPr>
        <w:t>“</w:t>
      </w:r>
      <w:r w:rsidRPr="00903A6F">
        <w:rPr>
          <w:rFonts w:ascii="Palatino Linotype" w:hAnsi="Palatino Linotype" w:cs="Arial"/>
          <w:b/>
          <w:i/>
          <w:sz w:val="22"/>
          <w:szCs w:val="22"/>
        </w:rPr>
        <w:t>Artículo 12</w:t>
      </w:r>
      <w:r>
        <w:rPr>
          <w:rFonts w:ascii="Palatino Linotype" w:hAnsi="Palatino Linotype" w:cs="Arial"/>
          <w:i/>
          <w:sz w:val="22"/>
          <w:szCs w:val="22"/>
        </w:rPr>
        <w:t xml:space="preserve">. </w:t>
      </w:r>
      <w:r w:rsidRPr="00B11B43">
        <w:rPr>
          <w:rFonts w:ascii="Palatino Linotype" w:hAnsi="Palatino Linotype" w:cs="Arial"/>
          <w:i/>
          <w:sz w:val="22"/>
          <w:szCs w:val="22"/>
        </w:rPr>
        <w:t xml:space="preserve">Quienes generen, recopilen, administren, manejen, procesen, archiven o conserven información pública serán responsables de la misma en los términos de las disposiciones jurídicas aplicables. </w:t>
      </w:r>
    </w:p>
    <w:p w:rsidR="00DC6C96" w:rsidRDefault="00DC6C96" w:rsidP="00DC6C96">
      <w:pPr>
        <w:spacing w:before="240" w:after="240"/>
        <w:ind w:left="567" w:right="758"/>
        <w:contextualSpacing/>
        <w:jc w:val="both"/>
        <w:rPr>
          <w:rFonts w:ascii="Palatino Linotype" w:hAnsi="Palatino Linotype" w:cs="Arial"/>
          <w:i/>
          <w:sz w:val="22"/>
          <w:szCs w:val="22"/>
        </w:rPr>
      </w:pPr>
    </w:p>
    <w:p w:rsidR="00DC6C96" w:rsidRPr="00B11B43" w:rsidRDefault="00DC6C96" w:rsidP="00DC6C96">
      <w:pPr>
        <w:spacing w:before="240" w:after="240"/>
        <w:ind w:left="567" w:right="758"/>
        <w:contextualSpacing/>
        <w:jc w:val="both"/>
        <w:rPr>
          <w:rFonts w:ascii="Palatino Linotype" w:hAnsi="Palatino Linotype" w:cs="Arial"/>
          <w:i/>
          <w:sz w:val="22"/>
          <w:szCs w:val="22"/>
        </w:rPr>
      </w:pPr>
      <w:r w:rsidRPr="00B11B43">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cs="Arial"/>
          <w:i/>
          <w:sz w:val="22"/>
          <w:szCs w:val="22"/>
        </w:rPr>
        <w:t>” (Sic)</w:t>
      </w:r>
    </w:p>
    <w:p w:rsidR="00DC6C96" w:rsidRDefault="00DC6C96" w:rsidP="00DC6C96">
      <w:pPr>
        <w:spacing w:line="360" w:lineRule="auto"/>
        <w:jc w:val="both"/>
        <w:rPr>
          <w:rFonts w:ascii="Palatino Linotype" w:hAnsi="Palatino Linotype" w:cs="Arial"/>
        </w:rPr>
      </w:pPr>
    </w:p>
    <w:p w:rsidR="00DC6C96" w:rsidRPr="00A8729B" w:rsidRDefault="00DC6C96" w:rsidP="00DC6C96">
      <w:pPr>
        <w:spacing w:line="360" w:lineRule="auto"/>
        <w:jc w:val="both"/>
        <w:rPr>
          <w:rFonts w:ascii="Palatino Linotype" w:hAnsi="Palatino Linotype" w:cs="Arial"/>
          <w:color w:val="000000"/>
        </w:rPr>
      </w:pPr>
      <w:r>
        <w:rPr>
          <w:rFonts w:ascii="Palatino Linotype" w:hAnsi="Palatino Linotype" w:cs="Arial"/>
          <w:color w:val="000000"/>
        </w:rPr>
        <w:lastRenderedPageBreak/>
        <w:t>Es decir, que</w:t>
      </w:r>
      <w:r w:rsidRPr="009E12B6">
        <w:rPr>
          <w:rFonts w:ascii="Palatino Linotype" w:hAnsi="Palatino Linotype" w:cs="Arial"/>
          <w:color w:val="000000"/>
        </w:rPr>
        <w:t xml:space="preserve"> el derecho de acceso a la información pública se satisface en aquellos casos en que</w:t>
      </w:r>
      <w:r>
        <w:rPr>
          <w:rFonts w:ascii="Palatino Linotype" w:hAnsi="Palatino Linotype" w:cs="Arial"/>
          <w:color w:val="000000"/>
        </w:rPr>
        <w:t xml:space="preserve"> se entregue documento</w:t>
      </w:r>
      <w:r w:rsidRPr="009E12B6">
        <w:rPr>
          <w:rFonts w:ascii="Palatino Linotype" w:hAnsi="Palatino Linotype" w:cs="Arial"/>
          <w:color w:val="000000"/>
        </w:rPr>
        <w:t xml:space="preserve"> en q</w:t>
      </w:r>
      <w:r>
        <w:rPr>
          <w:rFonts w:ascii="Palatino Linotype" w:hAnsi="Palatino Linotype" w:cs="Arial"/>
          <w:color w:val="000000"/>
        </w:rPr>
        <w:t>ue conste la información requerida</w:t>
      </w:r>
      <w:r w:rsidRPr="009E12B6">
        <w:rPr>
          <w:rFonts w:ascii="Palatino Linotype" w:hAnsi="Palatino Linotype" w:cs="Arial"/>
          <w:color w:val="000000"/>
        </w:rPr>
        <w:t>, toda vez que, los Sujetos Obligados</w:t>
      </w:r>
      <w:r w:rsidRPr="009E12B6">
        <w:rPr>
          <w:rFonts w:ascii="Palatino Linotype" w:hAnsi="Palatino Linotype" w:cs="Arial"/>
          <w:b/>
          <w:color w:val="000000"/>
        </w:rPr>
        <w:t xml:space="preserve"> </w:t>
      </w:r>
      <w:r w:rsidRPr="009E12B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9E12B6">
        <w:rPr>
          <w:rFonts w:ascii="Palatino Linotype" w:hAnsi="Palatino Linotype" w:cs="Arial"/>
          <w:i/>
          <w:color w:val="000000"/>
        </w:rPr>
        <w:t>ad hoc</w:t>
      </w:r>
      <w:r w:rsidRPr="009E12B6">
        <w:rPr>
          <w:rFonts w:ascii="Palatino Linotype" w:hAnsi="Palatino Linotype" w:cs="Arial"/>
          <w:color w:val="000000"/>
        </w:rPr>
        <w:t>, para satisfacer el derecho de acceso a</w:t>
      </w:r>
      <w:r>
        <w:rPr>
          <w:rFonts w:ascii="Palatino Linotype" w:hAnsi="Palatino Linotype" w:cs="Arial"/>
          <w:color w:val="000000"/>
        </w:rPr>
        <w:t xml:space="preserve"> la información pública, </w:t>
      </w:r>
      <w:r>
        <w:rPr>
          <w:rFonts w:ascii="Palatino Linotype" w:hAnsi="Palatino Linotype" w:cs="Arial"/>
        </w:rPr>
        <w:t>como</w:t>
      </w:r>
      <w:r w:rsidRPr="00DB74D3">
        <w:rPr>
          <w:rFonts w:ascii="Palatino Linotype" w:hAnsi="Palatino Linotype" w:cs="Arial"/>
        </w:rPr>
        <w:t xml:space="preserve"> </w:t>
      </w:r>
      <w:r>
        <w:rPr>
          <w:rFonts w:ascii="Palatino Linotype" w:hAnsi="Palatino Linotype" w:cs="Arial"/>
        </w:rPr>
        <w:t xml:space="preserve">así lo establece </w:t>
      </w:r>
      <w:r w:rsidRPr="00DB74D3">
        <w:rPr>
          <w:rFonts w:ascii="Palatino Linotype" w:hAnsi="Palatino Linotype" w:cs="Arial"/>
        </w:rPr>
        <w:t>los criterios 09/10 y 03/17 emitidos por el Instituto Nacional de Transparencia, Acceso a la Información Pública y Protección de Datos</w:t>
      </w:r>
      <w:r>
        <w:rPr>
          <w:rFonts w:ascii="Palatino Linotype" w:hAnsi="Palatino Linotype" w:cs="Arial"/>
        </w:rPr>
        <w:t xml:space="preserve"> Personales, los cuales señalan lo siguiente</w:t>
      </w:r>
      <w:r w:rsidRPr="00DB74D3">
        <w:rPr>
          <w:rFonts w:ascii="Palatino Linotype" w:hAnsi="Palatino Linotype" w:cs="Arial"/>
        </w:rPr>
        <w:t>:</w:t>
      </w:r>
    </w:p>
    <w:p w:rsidR="00DC6C96" w:rsidRPr="00D97A57" w:rsidRDefault="00DC6C96" w:rsidP="00DC6C96">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09/10</w:t>
      </w:r>
    </w:p>
    <w:p w:rsidR="00DC6C96" w:rsidRPr="00D97A57" w:rsidRDefault="00DC6C96" w:rsidP="00DC6C96">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"LAS DEPENDENCIAS Y ENTIDADES NO ESTÁN OBLIGADAS A GENERAR DOCUMENTOS AD HOC PARA RESPONDER UNA SOLICITUD DE ACC ESO A LA INFORMACIÓN.</w:t>
      </w:r>
    </w:p>
    <w:p w:rsidR="00DC6C96" w:rsidRDefault="00DC6C96" w:rsidP="00DC6C96">
      <w:pPr>
        <w:spacing w:before="120" w:after="240"/>
        <w:ind w:left="1134" w:right="902"/>
        <w:jc w:val="both"/>
        <w:rPr>
          <w:rFonts w:ascii="Palatino Linotype" w:hAnsi="Palatino Linotype"/>
          <w:i/>
          <w:sz w:val="20"/>
          <w:szCs w:val="20"/>
        </w:rPr>
      </w:pPr>
      <w:r w:rsidRPr="005F724F">
        <w:rPr>
          <w:rFonts w:ascii="Palatino Linotype" w:hAnsi="Palatino Linotype"/>
          <w:i/>
          <w:sz w:val="20"/>
          <w:szCs w:val="20"/>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r>
        <w:rPr>
          <w:rFonts w:ascii="Palatino Linotype" w:hAnsi="Palatino Linotype"/>
          <w:i/>
          <w:sz w:val="20"/>
          <w:szCs w:val="20"/>
        </w:rPr>
        <w:t>”</w:t>
      </w:r>
    </w:p>
    <w:p w:rsidR="00DC6C96" w:rsidRPr="00D97A57" w:rsidRDefault="00DC6C96" w:rsidP="00DC6C96">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03/17</w:t>
      </w:r>
    </w:p>
    <w:p w:rsidR="00DC6C96" w:rsidRPr="00D97A57" w:rsidRDefault="00DC6C96" w:rsidP="00DC6C96">
      <w:pPr>
        <w:spacing w:before="120" w:after="240"/>
        <w:ind w:left="1134" w:right="902"/>
        <w:jc w:val="both"/>
        <w:rPr>
          <w:rFonts w:ascii="Palatino Linotype" w:hAnsi="Palatino Linotype"/>
          <w:b/>
          <w:i/>
          <w:sz w:val="20"/>
          <w:szCs w:val="20"/>
        </w:rPr>
      </w:pPr>
      <w:r w:rsidRPr="00D97A57">
        <w:rPr>
          <w:rFonts w:ascii="Palatino Linotype" w:hAnsi="Palatino Linotype"/>
          <w:b/>
          <w:i/>
          <w:sz w:val="20"/>
          <w:szCs w:val="20"/>
        </w:rPr>
        <w:t>“NO EXISTE OBLIGACIÓN DE ELABORAR DOCUM ENTOS AD HOC PARA ATENDER LAS SOLICITUDES DE ACCESO A LA INFORM ACIÓN.</w:t>
      </w:r>
    </w:p>
    <w:p w:rsidR="00DC6C96" w:rsidRPr="00003BBD" w:rsidRDefault="00DC6C96" w:rsidP="00DC6C96">
      <w:pPr>
        <w:spacing w:before="120" w:after="240"/>
        <w:ind w:left="1134" w:right="902"/>
        <w:jc w:val="both"/>
        <w:rPr>
          <w:rFonts w:ascii="Palatino Linotype" w:hAnsi="Palatino Linotype"/>
          <w:i/>
          <w:sz w:val="20"/>
          <w:szCs w:val="20"/>
        </w:rPr>
      </w:pPr>
      <w:r w:rsidRPr="005F724F">
        <w:rPr>
          <w:rFonts w:ascii="Palatino Linotype" w:hAnsi="Palatino Linotype"/>
          <w:i/>
          <w:sz w:val="20"/>
          <w:szCs w:val="20"/>
        </w:rPr>
        <w:t>Los artículos 129 de la Ley General de Transparencia y Acceso a la Información Pública y 130, párrafo cuarto, de la Ley Federal de</w:t>
      </w:r>
      <w:r>
        <w:rPr>
          <w:rFonts w:ascii="Palatino Linotype" w:hAnsi="Palatino Linotype"/>
          <w:i/>
          <w:sz w:val="20"/>
          <w:szCs w:val="20"/>
        </w:rPr>
        <w:t xml:space="preserve"> </w:t>
      </w:r>
      <w:r w:rsidRPr="00003BBD">
        <w:rPr>
          <w:rFonts w:ascii="Palatino Linotype" w:hAnsi="Palatino Linotype"/>
          <w:i/>
          <w:sz w:val="20"/>
          <w:szCs w:val="20"/>
        </w:rPr>
        <w:t>Transparencia y Acceso a la Información Pública, señalan que los sujetos</w:t>
      </w:r>
      <w:r>
        <w:rPr>
          <w:rFonts w:ascii="Palatino Linotype" w:hAnsi="Palatino Linotype"/>
          <w:i/>
          <w:sz w:val="20"/>
          <w:szCs w:val="20"/>
        </w:rPr>
        <w:t xml:space="preserve"> </w:t>
      </w:r>
      <w:r w:rsidRPr="00003BBD">
        <w:rPr>
          <w:rFonts w:ascii="Palatino Linotype" w:hAnsi="Palatino Linotype"/>
          <w:i/>
          <w:sz w:val="20"/>
          <w:szCs w:val="20"/>
        </w:rPr>
        <w:t>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w:t>
      </w:r>
      <w:r>
        <w:rPr>
          <w:rFonts w:ascii="Palatino Linotype" w:hAnsi="Palatino Linotype"/>
          <w:i/>
          <w:sz w:val="20"/>
          <w:szCs w:val="20"/>
        </w:rPr>
        <w:t>licitudes de información."(Sic)</w:t>
      </w:r>
    </w:p>
    <w:p w:rsidR="00DC6C96" w:rsidRPr="009E12B6" w:rsidRDefault="00DC6C96" w:rsidP="00DC6C96">
      <w:pPr>
        <w:spacing w:line="360" w:lineRule="auto"/>
        <w:jc w:val="both"/>
        <w:rPr>
          <w:rFonts w:ascii="Palatino Linotype" w:hAnsi="Palatino Linotype" w:cs="Arial"/>
          <w:color w:val="000000"/>
        </w:rPr>
      </w:pPr>
    </w:p>
    <w:p w:rsidR="00DC6C96" w:rsidRDefault="00DC6C96" w:rsidP="00DC6C96">
      <w:pPr>
        <w:spacing w:line="360" w:lineRule="auto"/>
        <w:jc w:val="both"/>
        <w:rPr>
          <w:rFonts w:ascii="Palatino Linotype" w:hAnsi="Palatino Linotype" w:cs="Arial"/>
          <w:color w:val="000000" w:themeColor="text1"/>
        </w:rPr>
      </w:pPr>
      <w:r w:rsidRPr="004975CB">
        <w:rPr>
          <w:rFonts w:ascii="Palatino Linotype" w:hAnsi="Palatino Linotype" w:cs="Arial"/>
        </w:rPr>
        <w:t>Por otra parte, y aunado a lo antepuesto</w:t>
      </w:r>
      <w:r>
        <w:rPr>
          <w:rFonts w:ascii="Palatino Linotype" w:hAnsi="Palatino Linotype" w:cs="Arial"/>
        </w:rPr>
        <w:t>,</w:t>
      </w:r>
      <w:r w:rsidRPr="004975CB">
        <w:rPr>
          <w:rFonts w:ascii="Palatino Linotype" w:hAnsi="Palatino Linotype" w:cs="Arial"/>
        </w:rPr>
        <w:t xml:space="preserve"> el </w:t>
      </w:r>
      <w:r>
        <w:rPr>
          <w:rFonts w:ascii="Palatino Linotype" w:hAnsi="Palatino Linotype" w:cs="Arial"/>
        </w:rPr>
        <w:t xml:space="preserve">último párrafo del </w:t>
      </w:r>
      <w:r w:rsidRPr="004975CB">
        <w:rPr>
          <w:rFonts w:ascii="Palatino Linotype" w:hAnsi="Palatino Linotype" w:cs="Arial"/>
        </w:rPr>
        <w:t xml:space="preserve">artículo 24 de la Ley de la materia, dispone que los Sujetos Obligados </w:t>
      </w:r>
      <w:r w:rsidRPr="009E12B6">
        <w:rPr>
          <w:rFonts w:ascii="Palatino Linotype" w:hAnsi="Palatino Linotype" w:cs="Arial"/>
          <w:color w:val="000000" w:themeColor="text1"/>
        </w:rPr>
        <w:t xml:space="preserve">sólo proporcionarán la información pública que </w:t>
      </w:r>
      <w:r w:rsidRPr="009E12B6">
        <w:rPr>
          <w:rFonts w:ascii="Palatino Linotype" w:hAnsi="Palatino Linotype" w:cs="Arial"/>
        </w:rPr>
        <w:t>generen</w:t>
      </w:r>
      <w:r w:rsidRPr="009E12B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w:t>
      </w:r>
      <w:r>
        <w:rPr>
          <w:rFonts w:ascii="Palatino Linotype" w:hAnsi="Palatino Linotype" w:cs="Arial"/>
          <w:color w:val="000000" w:themeColor="text1"/>
        </w:rPr>
        <w:t>jetos Obligados, garantizar el Derecho de Acceso a la Información P</w:t>
      </w:r>
      <w:r w:rsidRPr="009E12B6">
        <w:rPr>
          <w:rFonts w:ascii="Palatino Linotype" w:hAnsi="Palatino Linotype" w:cs="Arial"/>
          <w:color w:val="000000" w:themeColor="text1"/>
        </w:rPr>
        <w:t>ública.</w:t>
      </w:r>
    </w:p>
    <w:p w:rsidR="00DC6C96" w:rsidRDefault="00DC6C96" w:rsidP="00DC6C96">
      <w:pPr>
        <w:spacing w:line="360" w:lineRule="auto"/>
        <w:jc w:val="both"/>
        <w:rPr>
          <w:rFonts w:ascii="Palatino Linotype" w:hAnsi="Palatino Linotype" w:cs="Arial"/>
          <w:color w:val="000000" w:themeColor="text1"/>
        </w:rPr>
      </w:pPr>
    </w:p>
    <w:p w:rsidR="00DC6C96" w:rsidRDefault="00DC6C96" w:rsidP="00DC6C96">
      <w:pPr>
        <w:spacing w:before="240" w:after="240" w:line="360" w:lineRule="auto"/>
        <w:ind w:right="49"/>
        <w:contextualSpacing/>
        <w:jc w:val="both"/>
        <w:rPr>
          <w:rFonts w:ascii="Palatino Linotype" w:hAnsi="Palatino Linotype" w:cs="Arial"/>
        </w:rPr>
      </w:pPr>
      <w:r w:rsidRPr="00FC1F16">
        <w:rPr>
          <w:rFonts w:ascii="Palatino Linotype" w:hAnsi="Palatino Linotype" w:cs="Arial"/>
        </w:rPr>
        <w:t xml:space="preserve">Siempre </w:t>
      </w:r>
      <w:r>
        <w:rPr>
          <w:rFonts w:ascii="Palatino Linotype" w:hAnsi="Palatino Linotype" w:cs="Arial"/>
        </w:rPr>
        <w:t xml:space="preserve">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B6113B">
        <w:rPr>
          <w:rFonts w:ascii="Palatino Linotype" w:hAnsi="Palatino Linotype" w:cs="Arial"/>
        </w:rPr>
        <w:t>de Transparencia y Acceso a la Información Pública del Estado de México y Municipios</w:t>
      </w:r>
      <w:r>
        <w:rPr>
          <w:rFonts w:ascii="Palatino Linotype" w:hAnsi="Palatino Linotype" w:cs="Arial"/>
        </w:rPr>
        <w:t>.</w:t>
      </w:r>
    </w:p>
    <w:p w:rsidR="00DC6C96" w:rsidRPr="009E12B6" w:rsidRDefault="00DC6C96" w:rsidP="00DC6C96">
      <w:pPr>
        <w:jc w:val="both"/>
        <w:rPr>
          <w:rFonts w:ascii="Palatino Linotype" w:hAnsi="Palatino Linotype" w:cs="Arial"/>
          <w:color w:val="000000" w:themeColor="text1"/>
        </w:rPr>
      </w:pPr>
    </w:p>
    <w:p w:rsidR="00DC6C96" w:rsidRPr="004975CB" w:rsidRDefault="00DC6C96" w:rsidP="00DC6C96">
      <w:pPr>
        <w:spacing w:line="360" w:lineRule="auto"/>
        <w:jc w:val="both"/>
        <w:rPr>
          <w:rFonts w:ascii="Palatino Linotype" w:hAnsi="Palatino Linotype" w:cs="Arial"/>
        </w:rPr>
      </w:pPr>
      <w:r w:rsidRPr="004975CB">
        <w:rPr>
          <w:rFonts w:ascii="Palatino Linotype" w:hAnsi="Palatino Linotype" w:cs="Arial"/>
        </w:rPr>
        <w:t>En conclusión</w:t>
      </w:r>
      <w:r>
        <w:rPr>
          <w:rFonts w:ascii="Palatino Linotype" w:hAnsi="Palatino Linotype" w:cs="Arial"/>
        </w:rPr>
        <w:t>,</w:t>
      </w:r>
      <w:r w:rsidRPr="004975CB">
        <w:rPr>
          <w:rFonts w:ascii="Palatino Linotype" w:hAnsi="Palatino Linotype" w:cs="Arial"/>
        </w:rPr>
        <w:t xml:space="preserv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DC6C96" w:rsidRPr="004975CB" w:rsidRDefault="00DC6C96" w:rsidP="00DC6C96">
      <w:pPr>
        <w:ind w:left="1134" w:right="899"/>
        <w:jc w:val="both"/>
        <w:rPr>
          <w:rFonts w:ascii="Palatino Linotype" w:hAnsi="Palatino Linotype" w:cs="Arial"/>
          <w:i/>
          <w:sz w:val="22"/>
          <w:szCs w:val="22"/>
        </w:rPr>
      </w:pPr>
    </w:p>
    <w:p w:rsidR="00DC6C96" w:rsidRPr="004975CB" w:rsidRDefault="00DC6C96" w:rsidP="00DC6C96">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r w:rsidRPr="004975CB">
        <w:rPr>
          <w:rFonts w:ascii="Palatino Linotype" w:hAnsi="Palatino Linotype" w:cs="Arial"/>
          <w:b/>
          <w:i/>
          <w:sz w:val="22"/>
          <w:szCs w:val="22"/>
        </w:rPr>
        <w:t xml:space="preserve">Artículo 3. </w:t>
      </w:r>
      <w:r w:rsidRPr="004975CB">
        <w:rPr>
          <w:rFonts w:ascii="Palatino Linotype" w:hAnsi="Palatino Linotype" w:cs="Arial"/>
          <w:i/>
          <w:sz w:val="22"/>
          <w:szCs w:val="22"/>
        </w:rPr>
        <w:t>Para los efectos de la presente Ley se entenderá por:</w:t>
      </w:r>
    </w:p>
    <w:p w:rsidR="00DC6C96" w:rsidRPr="004975CB" w:rsidRDefault="00DC6C96" w:rsidP="00DC6C96">
      <w:pPr>
        <w:ind w:left="1134" w:right="899"/>
        <w:jc w:val="both"/>
        <w:rPr>
          <w:rFonts w:ascii="Palatino Linotype" w:hAnsi="Palatino Linotype" w:cs="Arial"/>
          <w:i/>
          <w:sz w:val="22"/>
          <w:szCs w:val="22"/>
        </w:rPr>
      </w:pPr>
      <w:r w:rsidRPr="004975CB">
        <w:rPr>
          <w:rFonts w:ascii="Palatino Linotype" w:hAnsi="Palatino Linotype" w:cs="Arial"/>
          <w:i/>
          <w:sz w:val="22"/>
          <w:szCs w:val="22"/>
        </w:rPr>
        <w:t>…</w:t>
      </w:r>
    </w:p>
    <w:p w:rsidR="00DC6C96" w:rsidRDefault="00DC6C96" w:rsidP="00DC6C96">
      <w:pPr>
        <w:ind w:left="1134" w:right="899"/>
        <w:jc w:val="both"/>
        <w:rPr>
          <w:rFonts w:ascii="Palatino Linotype" w:hAnsi="Palatino Linotype" w:cs="Arial"/>
          <w:i/>
          <w:color w:val="000000"/>
          <w:sz w:val="22"/>
          <w:szCs w:val="22"/>
        </w:rPr>
      </w:pPr>
      <w:r w:rsidRPr="009E12B6">
        <w:rPr>
          <w:rFonts w:ascii="Palatino Linotype" w:hAnsi="Palatino Linotype" w:cs="Arial"/>
          <w:b/>
          <w:i/>
          <w:color w:val="000000"/>
          <w:sz w:val="22"/>
          <w:szCs w:val="22"/>
        </w:rPr>
        <w:t>XI. Documento:</w:t>
      </w:r>
      <w:r w:rsidRPr="009E12B6">
        <w:rPr>
          <w:rFonts w:ascii="Palatino Linotype" w:hAnsi="Palatino Linotype" w:cs="Arial"/>
          <w:i/>
          <w:color w:val="000000"/>
          <w:sz w:val="22"/>
          <w:szCs w:val="22"/>
        </w:rPr>
        <w:t xml:space="preserve"> Los expedientes, reportes, estudios, </w:t>
      </w:r>
      <w:r w:rsidRPr="0005622E">
        <w:rPr>
          <w:rFonts w:ascii="Palatino Linotype" w:hAnsi="Palatino Linotype" w:cs="Arial"/>
          <w:b/>
          <w:i/>
          <w:color w:val="000000"/>
          <w:sz w:val="22"/>
          <w:szCs w:val="22"/>
        </w:rPr>
        <w:t>actas,</w:t>
      </w:r>
      <w:r w:rsidRPr="009E12B6">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w:t>
      </w:r>
      <w:r>
        <w:rPr>
          <w:rFonts w:ascii="Palatino Linotype" w:hAnsi="Palatino Linotype" w:cs="Arial"/>
          <w:i/>
          <w:color w:val="000000"/>
          <w:sz w:val="22"/>
          <w:szCs w:val="22"/>
        </w:rPr>
        <w:t>nico, informático u holográfico</w:t>
      </w:r>
      <w:r w:rsidRPr="009E12B6">
        <w:rPr>
          <w:rFonts w:ascii="Palatino Linotype" w:hAnsi="Palatino Linotype" w:cs="Arial"/>
          <w:b/>
          <w:i/>
          <w:color w:val="000000"/>
          <w:sz w:val="22"/>
          <w:szCs w:val="22"/>
        </w:rPr>
        <w:t>…</w:t>
      </w:r>
      <w:r w:rsidRPr="009E12B6">
        <w:rPr>
          <w:rFonts w:ascii="Palatino Linotype" w:hAnsi="Palatino Linotype" w:cs="Arial"/>
          <w:i/>
          <w:color w:val="000000"/>
          <w:sz w:val="22"/>
          <w:szCs w:val="22"/>
        </w:rPr>
        <w:t>”</w:t>
      </w:r>
      <w:r>
        <w:rPr>
          <w:rFonts w:ascii="Palatino Linotype" w:hAnsi="Palatino Linotype" w:cs="Arial"/>
          <w:i/>
          <w:color w:val="000000"/>
          <w:sz w:val="22"/>
          <w:szCs w:val="22"/>
        </w:rPr>
        <w:t xml:space="preserve"> (Sic)</w:t>
      </w:r>
    </w:p>
    <w:p w:rsidR="00DC6C96" w:rsidRPr="009E12B6" w:rsidRDefault="00DC6C96" w:rsidP="00DC6C96">
      <w:pPr>
        <w:ind w:left="851" w:right="899"/>
        <w:jc w:val="both"/>
        <w:rPr>
          <w:rFonts w:ascii="Palatino Linotype" w:hAnsi="Palatino Linotype" w:cs="Arial"/>
          <w:i/>
          <w:color w:val="000000"/>
          <w:sz w:val="22"/>
          <w:szCs w:val="22"/>
        </w:rPr>
      </w:pPr>
    </w:p>
    <w:p w:rsidR="00DC6C96" w:rsidRPr="009E12B6" w:rsidRDefault="00DC6C96" w:rsidP="00DC6C96">
      <w:pPr>
        <w:autoSpaceDE w:val="0"/>
        <w:autoSpaceDN w:val="0"/>
        <w:adjustRightInd w:val="0"/>
        <w:spacing w:line="360" w:lineRule="auto"/>
        <w:jc w:val="both"/>
        <w:rPr>
          <w:rFonts w:ascii="Palatino Linotype" w:hAnsi="Palatino Linotype" w:cs="Arial"/>
        </w:rPr>
      </w:pPr>
      <w:r w:rsidRPr="009E12B6">
        <w:rPr>
          <w:rFonts w:ascii="Palatino Linotype" w:hAnsi="Palatino Linotype" w:cs="Arial"/>
        </w:rPr>
        <w:t xml:space="preserve">Siendo aplicable, el Criterio </w:t>
      </w:r>
      <w:r w:rsidRPr="009E12B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E12B6">
        <w:rPr>
          <w:rFonts w:ascii="Palatino Linotype" w:hAnsi="Palatino Linotype" w:cs="Arial"/>
        </w:rPr>
        <w:t>cuyo rubro y texto refieren lo siguiente:</w:t>
      </w:r>
    </w:p>
    <w:p w:rsidR="00DC6C96" w:rsidRPr="009E12B6" w:rsidRDefault="00DC6C96" w:rsidP="00DC6C96">
      <w:pPr>
        <w:ind w:left="851" w:right="899"/>
        <w:jc w:val="both"/>
        <w:rPr>
          <w:rFonts w:ascii="Palatino Linotype" w:hAnsi="Palatino Linotype" w:cs="Arial"/>
        </w:rPr>
      </w:pPr>
    </w:p>
    <w:p w:rsidR="00DC6C96" w:rsidRPr="004B675A" w:rsidRDefault="00DC6C96" w:rsidP="00DC6C96">
      <w:pPr>
        <w:ind w:left="1134" w:right="899"/>
        <w:jc w:val="both"/>
        <w:rPr>
          <w:rFonts w:ascii="Palatino Linotype" w:hAnsi="Palatino Linotype" w:cs="Arial"/>
          <w:b/>
          <w:i/>
          <w:sz w:val="22"/>
          <w:szCs w:val="22"/>
          <w:lang w:eastAsia="es-MX"/>
        </w:rPr>
      </w:pPr>
      <w:r w:rsidRPr="009E12B6">
        <w:rPr>
          <w:rFonts w:ascii="Palatino Linotype" w:hAnsi="Palatino Linotype" w:cs="Arial"/>
          <w:b/>
          <w:sz w:val="22"/>
          <w:szCs w:val="22"/>
          <w:lang w:eastAsia="es-MX"/>
        </w:rPr>
        <w:t>“</w:t>
      </w:r>
      <w:r w:rsidRPr="004B675A">
        <w:rPr>
          <w:rFonts w:ascii="Palatino Linotype" w:hAnsi="Palatino Linotype" w:cs="Arial"/>
          <w:b/>
          <w:i/>
          <w:sz w:val="22"/>
          <w:szCs w:val="22"/>
          <w:lang w:eastAsia="es-MX"/>
        </w:rPr>
        <w:t>CRITERIO 0002-11</w:t>
      </w:r>
    </w:p>
    <w:p w:rsidR="00DC6C96" w:rsidRPr="009E12B6" w:rsidRDefault="00DC6C96" w:rsidP="00DC6C96">
      <w:pPr>
        <w:ind w:left="1134" w:right="899"/>
        <w:jc w:val="both"/>
        <w:rPr>
          <w:rFonts w:ascii="Palatino Linotype" w:hAnsi="Palatino Linotype" w:cs="Arial"/>
          <w:i/>
          <w:sz w:val="22"/>
          <w:szCs w:val="22"/>
          <w:lang w:eastAsia="es-MX"/>
        </w:rPr>
      </w:pPr>
      <w:r w:rsidRPr="004B675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4B675A">
        <w:rPr>
          <w:rFonts w:ascii="Palatino Linotype" w:hAnsi="Palatino Linotype" w:cs="Arial"/>
          <w:b/>
          <w:bCs/>
          <w:i/>
          <w:sz w:val="22"/>
          <w:szCs w:val="22"/>
          <w:lang w:eastAsia="es-MX"/>
        </w:rPr>
        <w:t xml:space="preserve">V, XV, Y XVI, </w:t>
      </w:r>
      <w:r w:rsidRPr="004B675A">
        <w:rPr>
          <w:rFonts w:ascii="Palatino Linotype" w:hAnsi="Palatino Linotype" w:cs="Arial"/>
          <w:b/>
          <w:i/>
          <w:sz w:val="22"/>
          <w:szCs w:val="22"/>
          <w:lang w:eastAsia="es-MX"/>
        </w:rPr>
        <w:t>3°, 4°, 11 Y 41.</w:t>
      </w:r>
      <w:r w:rsidRPr="004B675A">
        <w:rPr>
          <w:rFonts w:ascii="Palatino Linotype" w:hAnsi="Palatino Linotype" w:cs="Arial"/>
          <w:i/>
          <w:sz w:val="22"/>
          <w:szCs w:val="22"/>
          <w:lang w:eastAsia="es-MX"/>
        </w:rPr>
        <w:t xml:space="preserve"> De conformidad con los artículos antes referidos, el derecho de acceso a la información pública</w:t>
      </w:r>
      <w:r w:rsidRPr="009E12B6">
        <w:rPr>
          <w:rFonts w:ascii="Palatino Linotype" w:hAnsi="Palatino Linotype" w:cs="Arial"/>
          <w:i/>
          <w:sz w:val="22"/>
          <w:szCs w:val="22"/>
          <w:lang w:eastAsia="es-MX"/>
        </w:rPr>
        <w:t>,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C6C96" w:rsidRPr="009E12B6" w:rsidRDefault="00DC6C96" w:rsidP="00DC6C96">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En consecuencia el acceso a la información se refiere a que se cumplan cualquiera de los siguientes tres supuestos:</w:t>
      </w:r>
    </w:p>
    <w:p w:rsidR="00DC6C96" w:rsidRPr="009E12B6" w:rsidRDefault="00DC6C96" w:rsidP="00DC6C96">
      <w:pPr>
        <w:ind w:left="1134" w:right="899"/>
        <w:jc w:val="both"/>
        <w:rPr>
          <w:rFonts w:ascii="Palatino Linotype" w:hAnsi="Palatino Linotype" w:cs="Arial"/>
          <w:b/>
          <w:i/>
          <w:sz w:val="22"/>
          <w:szCs w:val="22"/>
          <w:lang w:eastAsia="es-MX"/>
        </w:rPr>
      </w:pPr>
      <w:r w:rsidRPr="009E12B6">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DC6C96" w:rsidRPr="009E12B6" w:rsidRDefault="00DC6C96" w:rsidP="00DC6C96">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lastRenderedPageBreak/>
        <w:t>2) Que se trate de información registrada en cualquier soporte documental, que en ejercicio de las atribuciones conferidas, sea administrada por los Sujetos Obligados, y</w:t>
      </w:r>
    </w:p>
    <w:p w:rsidR="00DC6C96" w:rsidRPr="009E12B6" w:rsidRDefault="00DC6C96" w:rsidP="00DC6C96">
      <w:pPr>
        <w:ind w:left="1134" w:right="899"/>
        <w:jc w:val="both"/>
        <w:rPr>
          <w:rFonts w:ascii="Palatino Linotype" w:hAnsi="Palatino Linotype" w:cs="Arial"/>
          <w:i/>
          <w:sz w:val="22"/>
          <w:szCs w:val="22"/>
          <w:lang w:eastAsia="es-MX"/>
        </w:rPr>
      </w:pPr>
      <w:r w:rsidRPr="009E12B6">
        <w:rPr>
          <w:rFonts w:ascii="Palatino Linotype" w:hAnsi="Palatino Linotype" w:cs="Arial"/>
          <w:i/>
          <w:sz w:val="22"/>
          <w:szCs w:val="22"/>
          <w:lang w:eastAsia="es-MX"/>
        </w:rPr>
        <w:t>3) Que se trate de información registrada en cualquier soporte documental, que en ejercicio de las atribuciones conferidas, se encuentre en pose</w:t>
      </w:r>
      <w:r>
        <w:rPr>
          <w:rFonts w:ascii="Palatino Linotype" w:hAnsi="Palatino Linotype" w:cs="Arial"/>
          <w:i/>
          <w:sz w:val="22"/>
          <w:szCs w:val="22"/>
          <w:lang w:eastAsia="es-MX"/>
        </w:rPr>
        <w:t>sión de los Sujetos Obligados.”(Sic)</w:t>
      </w:r>
    </w:p>
    <w:p w:rsidR="00DC6C96" w:rsidRPr="00C51126" w:rsidRDefault="00DC6C96" w:rsidP="00DC6C96">
      <w:pPr>
        <w:ind w:left="1134" w:right="1041"/>
        <w:jc w:val="both"/>
        <w:rPr>
          <w:rFonts w:ascii="Palatino Linotype" w:hAnsi="Palatino Linotype"/>
          <w:sz w:val="22"/>
          <w:szCs w:val="22"/>
        </w:rPr>
      </w:pPr>
    </w:p>
    <w:p w:rsidR="00DC6C96" w:rsidRDefault="00DC6C96" w:rsidP="00DC6C96">
      <w:pPr>
        <w:spacing w:before="100" w:beforeAutospacing="1" w:after="100" w:afterAutospacing="1" w:line="360" w:lineRule="auto"/>
        <w:jc w:val="both"/>
        <w:rPr>
          <w:rFonts w:ascii="Palatino Linotype" w:hAnsi="Palatino Linotype" w:cs="Arial"/>
          <w:lang w:val="es-MX" w:eastAsia="es-MX"/>
        </w:rPr>
      </w:pPr>
      <w:r w:rsidRPr="00C51126">
        <w:rPr>
          <w:rFonts w:ascii="Palatino Linotype" w:hAnsi="Palatino Linotype" w:cs="Arial"/>
          <w:lang w:val="es-MX" w:eastAsia="es-MX"/>
        </w:rPr>
        <w:t>De ahí que</w:t>
      </w:r>
      <w:r w:rsidRPr="000D0897">
        <w:rPr>
          <w:rFonts w:ascii="Palatino Linotype" w:hAnsi="Palatino Linotype" w:cs="Arial"/>
          <w:lang w:val="es-MX" w:eastAsia="es-MX"/>
        </w:rPr>
        <w:t xml:space="preserve"> el </w:t>
      </w:r>
      <w:r w:rsidRPr="002F03D3">
        <w:rPr>
          <w:rFonts w:ascii="Palatino Linotype" w:hAnsi="Palatino Linotype" w:cs="Arial"/>
          <w:b/>
          <w:lang w:val="es-MX" w:eastAsia="es-MX"/>
        </w:rPr>
        <w:t>SUJETO OBLIGADO</w:t>
      </w:r>
      <w:r w:rsidRPr="002F03D3">
        <w:rPr>
          <w:rFonts w:ascii="Palatino Linotype" w:hAnsi="Palatino Linotype" w:cs="Arial"/>
          <w:lang w:val="es-MX" w:eastAsia="es-MX"/>
        </w:rPr>
        <w:t xml:space="preserve"> </w:t>
      </w:r>
      <w:r w:rsidRPr="000D0897">
        <w:rPr>
          <w:rFonts w:ascii="Palatino Linotype" w:hAnsi="Palatino Linotype" w:cs="Arial"/>
          <w:lang w:val="es-MX" w:eastAsia="es-MX"/>
        </w:rPr>
        <w:t>cuenta con el deber de satisfacer las solicitudes de acceso a la inf</w:t>
      </w:r>
      <w:r w:rsidRPr="002F03D3">
        <w:rPr>
          <w:rFonts w:ascii="Palatino Linotype" w:hAnsi="Palatino Linotype" w:cs="Arial"/>
          <w:lang w:val="es-MX" w:eastAsia="es-MX"/>
        </w:rPr>
        <w:t xml:space="preserve">ormación que le sean formuladas y </w:t>
      </w:r>
      <w:r w:rsidRPr="000D0897">
        <w:rPr>
          <w:rFonts w:ascii="Palatino Linotype" w:hAnsi="Palatino Linotype" w:cs="Arial"/>
          <w:lang w:val="es-MX" w:eastAsia="es-MX"/>
        </w:rPr>
        <w:t xml:space="preserve">entregar la información pública que obre en sus archivos; más aún si la misma se trata de información pública de oficio la cual se relaciona con aquella que se genere de acuerdo con sus facultades, atribuciones señaladas por la Ley en </w:t>
      </w:r>
      <w:r w:rsidRPr="002F03D3">
        <w:rPr>
          <w:rFonts w:ascii="Palatino Linotype" w:hAnsi="Palatino Linotype" w:cs="Arial"/>
          <w:lang w:val="es-MX" w:eastAsia="es-MX"/>
        </w:rPr>
        <w:t xml:space="preserve">la </w:t>
      </w:r>
      <w:r w:rsidRPr="000D0897">
        <w:rPr>
          <w:rFonts w:ascii="Palatino Linotype" w:hAnsi="Palatino Linotype" w:cs="Arial"/>
          <w:lang w:val="es-MX" w:eastAsia="es-MX"/>
        </w:rPr>
        <w:t>materia</w:t>
      </w:r>
      <w:r w:rsidRPr="002F03D3">
        <w:rPr>
          <w:rFonts w:ascii="Palatino Linotype" w:hAnsi="Palatino Linotype" w:cs="Arial"/>
          <w:vertAlign w:val="superscript"/>
          <w:lang w:val="es-MX" w:eastAsia="es-MX"/>
        </w:rPr>
        <w:footnoteReference w:id="2"/>
      </w:r>
      <w:r w:rsidRPr="000D0897">
        <w:rPr>
          <w:rFonts w:ascii="Palatino Linotype" w:hAnsi="Palatino Linotype" w:cs="Arial"/>
          <w:lang w:val="es-MX" w:eastAsia="es-MX"/>
        </w:rPr>
        <w:t>, así como de interés público, es decir, aquella que resulta relevante o beneficiosa para la sociedad y no si</w:t>
      </w:r>
      <w:r>
        <w:rPr>
          <w:rFonts w:ascii="Palatino Linotype" w:hAnsi="Palatino Linotype" w:cs="Arial"/>
          <w:lang w:val="es-MX" w:eastAsia="es-MX"/>
        </w:rPr>
        <w:t xml:space="preserve">mplemente de interés individual, </w:t>
      </w:r>
      <w:r w:rsidRPr="000D0897">
        <w:rPr>
          <w:rFonts w:ascii="Palatino Linotype" w:hAnsi="Palatino Linotype" w:cs="Arial"/>
          <w:lang w:val="es-MX" w:eastAsia="es-MX"/>
        </w:rPr>
        <w:t>y cuya divulgación resulta útil para que el público</w:t>
      </w:r>
      <w:r>
        <w:rPr>
          <w:rFonts w:ascii="Palatino Linotype" w:hAnsi="Palatino Linotype" w:cs="Arial"/>
          <w:lang w:val="es-MX" w:eastAsia="es-MX"/>
        </w:rPr>
        <w:t xml:space="preserve"> </w:t>
      </w:r>
      <w:r w:rsidRPr="000D0897">
        <w:rPr>
          <w:rFonts w:ascii="Palatino Linotype" w:hAnsi="Palatino Linotype" w:cs="Arial"/>
          <w:lang w:val="es-MX" w:eastAsia="es-MX"/>
        </w:rPr>
        <w:t>comprenda las actividades que llevan a cabo los Sujetos Obligados</w:t>
      </w:r>
      <w:r w:rsidRPr="00AD359A">
        <w:rPr>
          <w:rFonts w:ascii="Palatino Linotype" w:hAnsi="Palatino Linotype" w:cs="Arial"/>
          <w:vertAlign w:val="superscript"/>
          <w:lang w:val="es-MX" w:eastAsia="es-MX"/>
        </w:rPr>
        <w:footnoteReference w:id="3"/>
      </w:r>
      <w:r w:rsidRPr="00AD359A">
        <w:rPr>
          <w:rFonts w:ascii="Palatino Linotype" w:hAnsi="Palatino Linotype" w:cs="Arial"/>
          <w:lang w:val="es-MX" w:eastAsia="es-MX"/>
        </w:rPr>
        <w:t xml:space="preserve">, como pudiera tratarse de aquella relacionada con </w:t>
      </w:r>
      <w:r>
        <w:rPr>
          <w:rFonts w:ascii="Palatino Linotype" w:hAnsi="Palatino Linotype" w:cs="Arial"/>
          <w:lang w:val="es-MX" w:eastAsia="es-MX"/>
        </w:rPr>
        <w:t>la deuda pública.</w:t>
      </w:r>
    </w:p>
    <w:p w:rsidR="001A51C8" w:rsidRPr="002579FA" w:rsidRDefault="00B84CB3" w:rsidP="001A51C8">
      <w:pPr>
        <w:spacing w:before="240" w:after="240" w:line="360" w:lineRule="auto"/>
        <w:jc w:val="both"/>
        <w:rPr>
          <w:rFonts w:ascii="Palatino Linotype" w:hAnsi="Palatino Linotype"/>
        </w:rPr>
      </w:pPr>
      <w:r>
        <w:rPr>
          <w:rFonts w:ascii="Palatino Linotype" w:hAnsi="Palatino Linotype"/>
        </w:rPr>
        <w:t>Ahora bien,</w:t>
      </w:r>
      <w:r w:rsidR="001A51C8" w:rsidRPr="00C8268C">
        <w:rPr>
          <w:rFonts w:ascii="Palatino Linotype" w:hAnsi="Palatino Linotype"/>
        </w:rPr>
        <w:t xml:space="preserve"> </w:t>
      </w:r>
      <w:r w:rsidR="001A51C8">
        <w:rPr>
          <w:rFonts w:ascii="Palatino Linotype" w:hAnsi="Palatino Linotype"/>
        </w:rPr>
        <w:t>del</w:t>
      </w:r>
      <w:r w:rsidR="001A51C8" w:rsidRPr="002579FA">
        <w:rPr>
          <w:rFonts w:ascii="Palatino Linotype" w:hAnsi="Palatino Linotype"/>
        </w:rPr>
        <w:t xml:space="preserve"> análisis del recurso de revisión materia del presente estudio, es pertinente recordar que el </w:t>
      </w:r>
      <w:r w:rsidR="001A51C8" w:rsidRPr="002579FA">
        <w:rPr>
          <w:rFonts w:ascii="Palatino Linotype" w:hAnsi="Palatino Linotype"/>
          <w:b/>
        </w:rPr>
        <w:t>RECURRENTE</w:t>
      </w:r>
      <w:r w:rsidR="001A51C8" w:rsidRPr="002579FA">
        <w:rPr>
          <w:rFonts w:ascii="Palatino Linotype" w:hAnsi="Palatino Linotype"/>
        </w:rPr>
        <w:t xml:space="preserve"> solicitó al Ayuntamiento de </w:t>
      </w:r>
      <w:r w:rsidR="00394387">
        <w:rPr>
          <w:rFonts w:ascii="Palatino Linotype" w:hAnsi="Palatino Linotype"/>
        </w:rPr>
        <w:t>San Simón de Guerrero</w:t>
      </w:r>
      <w:r w:rsidR="001A51C8" w:rsidRPr="002579FA">
        <w:rPr>
          <w:rFonts w:ascii="Palatino Linotype" w:hAnsi="Palatino Linotype"/>
        </w:rPr>
        <w:t>, lo siguiente:</w:t>
      </w:r>
    </w:p>
    <w:p w:rsidR="001A51C8" w:rsidRPr="00394387" w:rsidRDefault="00394387" w:rsidP="00394387">
      <w:pPr>
        <w:pStyle w:val="Prrafodelista"/>
        <w:numPr>
          <w:ilvl w:val="0"/>
          <w:numId w:val="20"/>
        </w:numPr>
        <w:spacing w:before="240" w:after="240" w:line="360" w:lineRule="auto"/>
        <w:jc w:val="both"/>
        <w:rPr>
          <w:rFonts w:ascii="Palatino Linotype" w:hAnsi="Palatino Linotype"/>
        </w:rPr>
      </w:pPr>
      <w:r w:rsidRPr="00394387">
        <w:rPr>
          <w:rFonts w:ascii="Palatino Linotype" w:hAnsi="Palatino Linotype"/>
        </w:rPr>
        <w:t>Que se le informe cuánto se le debe a cada proveedor del Ayuntamiento.</w:t>
      </w:r>
    </w:p>
    <w:p w:rsidR="001A51C8" w:rsidRPr="00B85C31" w:rsidRDefault="001A51C8" w:rsidP="001A51C8">
      <w:pPr>
        <w:widowControl w:val="0"/>
        <w:autoSpaceDE w:val="0"/>
        <w:autoSpaceDN w:val="0"/>
        <w:adjustRightInd w:val="0"/>
        <w:spacing w:line="360" w:lineRule="auto"/>
        <w:jc w:val="both"/>
        <w:rPr>
          <w:rFonts w:ascii="Palatino Linotype" w:hAnsi="Palatino Linotype"/>
        </w:rPr>
      </w:pPr>
      <w:r>
        <w:rPr>
          <w:rFonts w:ascii="Palatino Linotype" w:hAnsi="Palatino Linotype"/>
        </w:rPr>
        <w:t xml:space="preserve">Por su parte, </w:t>
      </w:r>
      <w:r w:rsidRPr="00B85C31">
        <w:rPr>
          <w:rFonts w:ascii="Palatino Linotype" w:hAnsi="Palatino Linotype"/>
        </w:rPr>
        <w:t xml:space="preserve">el </w:t>
      </w:r>
      <w:r w:rsidRPr="00B85C31">
        <w:rPr>
          <w:rFonts w:ascii="Palatino Linotype" w:hAnsi="Palatino Linotype"/>
          <w:b/>
        </w:rPr>
        <w:t>SUJETO OBLIGADO</w:t>
      </w:r>
      <w:r w:rsidRPr="00B85C31">
        <w:rPr>
          <w:rFonts w:ascii="Palatino Linotype" w:hAnsi="Palatino Linotype"/>
        </w:rPr>
        <w:t xml:space="preserve"> omitió dar respuesta a</w:t>
      </w:r>
      <w:r>
        <w:rPr>
          <w:rFonts w:ascii="Palatino Linotype" w:hAnsi="Palatino Linotype"/>
        </w:rPr>
        <w:t xml:space="preserve">l </w:t>
      </w:r>
      <w:r w:rsidRPr="00B85C31">
        <w:rPr>
          <w:rFonts w:ascii="Palatino Linotype" w:hAnsi="Palatino Linotype"/>
        </w:rPr>
        <w:t>requerimiento</w:t>
      </w:r>
      <w:r>
        <w:rPr>
          <w:rFonts w:ascii="Palatino Linotype" w:hAnsi="Palatino Linotype"/>
        </w:rPr>
        <w:t xml:space="preserve"> del </w:t>
      </w:r>
      <w:r>
        <w:rPr>
          <w:rFonts w:ascii="Palatino Linotype" w:hAnsi="Palatino Linotype"/>
        </w:rPr>
        <w:lastRenderedPageBreak/>
        <w:t>particular.</w:t>
      </w:r>
    </w:p>
    <w:p w:rsidR="001A51C8" w:rsidRDefault="001A51C8" w:rsidP="001A51C8">
      <w:pPr>
        <w:spacing w:before="240" w:after="240" w:line="360" w:lineRule="auto"/>
        <w:jc w:val="both"/>
        <w:rPr>
          <w:rFonts w:ascii="Palatino Linotype" w:hAnsi="Palatino Linotype"/>
        </w:rPr>
      </w:pPr>
      <w:r w:rsidRPr="00B85C31">
        <w:rPr>
          <w:rFonts w:ascii="Palatino Linotype" w:hAnsi="Palatino Linotype"/>
        </w:rPr>
        <w:t>Inconforme por la falta de</w:t>
      </w:r>
      <w:r>
        <w:rPr>
          <w:rFonts w:ascii="Palatino Linotype" w:hAnsi="Palatino Linotype"/>
        </w:rPr>
        <w:t xml:space="preserve"> respuesta, el </w:t>
      </w:r>
      <w:r w:rsidRPr="00B85C31">
        <w:rPr>
          <w:rFonts w:ascii="Palatino Linotype" w:hAnsi="Palatino Linotype"/>
        </w:rPr>
        <w:t xml:space="preserve">hoy </w:t>
      </w:r>
      <w:r w:rsidRPr="00B85C31">
        <w:rPr>
          <w:rFonts w:ascii="Palatino Linotype" w:hAnsi="Palatino Linotype"/>
          <w:b/>
        </w:rPr>
        <w:t>RECURRENTE</w:t>
      </w:r>
      <w:r w:rsidRPr="00B85C31">
        <w:rPr>
          <w:rFonts w:ascii="Palatino Linotype" w:hAnsi="Palatino Linotype"/>
        </w:rPr>
        <w:t xml:space="preserve"> interpuso </w:t>
      </w:r>
      <w:r>
        <w:rPr>
          <w:rFonts w:ascii="Palatino Linotype" w:hAnsi="Palatino Linotype"/>
        </w:rPr>
        <w:t xml:space="preserve">el </w:t>
      </w:r>
      <w:r w:rsidRPr="00B85C31">
        <w:rPr>
          <w:rFonts w:ascii="Palatino Linotype" w:hAnsi="Palatino Linotype"/>
        </w:rPr>
        <w:t xml:space="preserve">presente recurso de </w:t>
      </w:r>
      <w:r>
        <w:rPr>
          <w:rFonts w:ascii="Palatino Linotype" w:hAnsi="Palatino Linotype"/>
        </w:rPr>
        <w:t xml:space="preserve">revisión en el que señaló medularmente la falta de respuesta. </w:t>
      </w:r>
    </w:p>
    <w:p w:rsidR="001A51C8" w:rsidRDefault="001A51C8" w:rsidP="001A51C8">
      <w:pPr>
        <w:spacing w:before="240" w:after="240" w:line="360" w:lineRule="auto"/>
        <w:jc w:val="both"/>
        <w:rPr>
          <w:rFonts w:ascii="Palatino Linotype" w:hAnsi="Palatino Linotype"/>
        </w:rPr>
      </w:pPr>
      <w:r>
        <w:rPr>
          <w:rFonts w:ascii="Palatino Linotype" w:hAnsi="Palatino Linotype"/>
        </w:rPr>
        <w:t>Una vez notificado el recurso de revisión a</w:t>
      </w:r>
      <w:r w:rsidRPr="00B0231C">
        <w:rPr>
          <w:rFonts w:ascii="Palatino Linotype" w:hAnsi="Palatino Linotype"/>
        </w:rPr>
        <w:t xml:space="preserve">l </w:t>
      </w:r>
      <w:r w:rsidRPr="00B0231C">
        <w:rPr>
          <w:rFonts w:ascii="Palatino Linotype" w:hAnsi="Palatino Linotype"/>
          <w:b/>
        </w:rPr>
        <w:t>SUJETO OBLIGADO</w:t>
      </w:r>
      <w:r>
        <w:rPr>
          <w:rFonts w:ascii="Palatino Linotype" w:hAnsi="Palatino Linotype"/>
        </w:rPr>
        <w:t>, éste a través del apartado de manifestaciones del Sistema del Acceso a la Información Mexiquense</w:t>
      </w:r>
      <w:r w:rsidR="00394387">
        <w:rPr>
          <w:rFonts w:ascii="Palatino Linotype" w:hAnsi="Palatino Linotype"/>
        </w:rPr>
        <w:t>, remitió el siguiente archivo electrónico</w:t>
      </w:r>
      <w:r>
        <w:rPr>
          <w:rFonts w:ascii="Palatino Linotype" w:hAnsi="Palatino Linotype"/>
        </w:rPr>
        <w:t xml:space="preserve">: </w:t>
      </w:r>
    </w:p>
    <w:p w:rsidR="001A51C8" w:rsidRPr="00394387" w:rsidRDefault="001A51C8" w:rsidP="001A51C8">
      <w:pPr>
        <w:spacing w:before="240" w:after="240" w:line="360" w:lineRule="auto"/>
        <w:jc w:val="both"/>
        <w:rPr>
          <w:rFonts w:ascii="Palatino Linotype" w:hAnsi="Palatino Linotype"/>
        </w:rPr>
      </w:pPr>
      <w:r w:rsidRPr="00FB52DF">
        <w:rPr>
          <w:rFonts w:ascii="Palatino Linotype" w:hAnsi="Palatino Linotype"/>
        </w:rPr>
        <w:t>“</w:t>
      </w:r>
      <w:hyperlink r:id="rId9" w:history="1">
        <w:r w:rsidR="00394387" w:rsidRPr="001A51C8">
          <w:rPr>
            <w:rFonts w:ascii="Palatino Linotype" w:hAnsi="Palatino Linotype"/>
          </w:rPr>
          <w:t>05029.PDF</w:t>
        </w:r>
      </w:hyperlink>
      <w:r w:rsidRPr="00FB52DF">
        <w:rPr>
          <w:rFonts w:ascii="Palatino Linotype" w:hAnsi="Palatino Linotype"/>
        </w:rPr>
        <w:t xml:space="preserve">”, </w:t>
      </w:r>
      <w:r>
        <w:rPr>
          <w:rFonts w:ascii="Palatino Linotype" w:hAnsi="Palatino Linotype"/>
        </w:rPr>
        <w:t xml:space="preserve">el cual contiene </w:t>
      </w:r>
      <w:r w:rsidR="00394387">
        <w:rPr>
          <w:rFonts w:ascii="Palatino Linotype" w:hAnsi="Palatino Linotype"/>
        </w:rPr>
        <w:t xml:space="preserve">el oficio número SSG/TM/070/2021, por medio del cual el Tesorero Municipal, remitió a quien corresponda, en atención al recurso de revisión </w:t>
      </w:r>
      <w:r w:rsidR="00394387">
        <w:rPr>
          <w:rFonts w:ascii="Palatino Linotype" w:hAnsi="Palatino Linotype"/>
          <w:b/>
          <w:sz w:val="22"/>
          <w:szCs w:val="22"/>
        </w:rPr>
        <w:t xml:space="preserve">05029/INFOEM/IP/RR/2021, </w:t>
      </w:r>
      <w:r w:rsidR="00394387" w:rsidRPr="00394387">
        <w:rPr>
          <w:rFonts w:ascii="Palatino Linotype" w:hAnsi="Palatino Linotype"/>
        </w:rPr>
        <w:t xml:space="preserve">la información tal y como se ha solicitado. </w:t>
      </w:r>
    </w:p>
    <w:p w:rsidR="00B84CB3" w:rsidRDefault="00B84CB3" w:rsidP="001A51C8">
      <w:pPr>
        <w:spacing w:before="240" w:after="240" w:line="360" w:lineRule="auto"/>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100395</wp:posOffset>
                </wp:positionH>
                <wp:positionV relativeFrom="paragraph">
                  <wp:posOffset>672740</wp:posOffset>
                </wp:positionV>
                <wp:extent cx="5322627" cy="3991970"/>
                <wp:effectExtent l="0" t="0" r="30480" b="27940"/>
                <wp:wrapNone/>
                <wp:docPr id="8" name="Conector recto 8"/>
                <wp:cNvGraphicFramePr/>
                <a:graphic xmlns:a="http://schemas.openxmlformats.org/drawingml/2006/main">
                  <a:graphicData uri="http://schemas.microsoft.com/office/word/2010/wordprocessingShape">
                    <wps:wsp>
                      <wps:cNvCnPr/>
                      <wps:spPr>
                        <a:xfrm>
                          <a:off x="0" y="0"/>
                          <a:ext cx="5322627" cy="3991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5A7490" id="Conector recto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9pt,52.95pt" to="427pt,3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" strokecolor="#5b9bd5 [3204]" strokeweight=".5pt">
                <v:stroke joinstyle="miter"/>
              </v:line>
            </w:pict>
          </mc:Fallback>
        </mc:AlternateContent>
      </w:r>
      <w:r w:rsidR="00394387" w:rsidRPr="00394387">
        <w:rPr>
          <w:rFonts w:ascii="Palatino Linotype" w:hAnsi="Palatino Linotype"/>
        </w:rPr>
        <w:t xml:space="preserve">Anexando </w:t>
      </w:r>
      <w:r w:rsidR="00F11217">
        <w:rPr>
          <w:rFonts w:ascii="Palatino Linotype" w:hAnsi="Palatino Linotype"/>
        </w:rPr>
        <w:t>un documento con fecha d</w:t>
      </w:r>
      <w:r w:rsidR="0036505F">
        <w:rPr>
          <w:rFonts w:ascii="Palatino Linotype" w:hAnsi="Palatino Linotype"/>
        </w:rPr>
        <w:t>el primero al treinta de septiembre de</w:t>
      </w:r>
      <w:r>
        <w:rPr>
          <w:rFonts w:ascii="Palatino Linotype" w:hAnsi="Palatino Linotype"/>
        </w:rPr>
        <w:t>l 2021, constate de cinco fojas, como se observa en las siguientes imágenes:</w:t>
      </w:r>
    </w:p>
    <w:p w:rsidR="00B84CB3" w:rsidRDefault="00B84CB3" w:rsidP="001A51C8">
      <w:pPr>
        <w:spacing w:before="240" w:after="240" w:line="360" w:lineRule="auto"/>
        <w:jc w:val="both"/>
        <w:rPr>
          <w:rFonts w:ascii="Palatino Linotype" w:hAnsi="Palatino Linotype"/>
        </w:rPr>
      </w:pPr>
    </w:p>
    <w:p w:rsidR="001A51C8" w:rsidRDefault="0036505F" w:rsidP="001A51C8">
      <w:pPr>
        <w:spacing w:before="100" w:beforeAutospacing="1" w:after="100" w:afterAutospacing="1" w:line="360" w:lineRule="auto"/>
        <w:jc w:val="both"/>
        <w:rPr>
          <w:rFonts w:ascii="Palatino Linotype" w:hAnsi="Palatino Linotype" w:cs="Arial"/>
          <w:lang w:val="es-MX" w:eastAsia="es-MX"/>
        </w:rPr>
      </w:pPr>
      <w:r>
        <w:rPr>
          <w:noProof/>
          <w:lang w:val="es-MX" w:eastAsia="es-MX"/>
        </w:rPr>
        <w:lastRenderedPageBreak/>
        <w:drawing>
          <wp:inline distT="0" distB="0" distL="0" distR="0" wp14:anchorId="13049B46" wp14:editId="1037DBA8">
            <wp:extent cx="5845607" cy="7349319"/>
            <wp:effectExtent l="0" t="0" r="3175"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957" t="12196" r="10892" b="4340"/>
                    <a:stretch/>
                  </pic:blipFill>
                  <pic:spPr bwMode="auto">
                    <a:xfrm>
                      <a:off x="0" y="0"/>
                      <a:ext cx="5852921" cy="7358514"/>
                    </a:xfrm>
                    <a:prstGeom prst="rect">
                      <a:avLst/>
                    </a:prstGeom>
                    <a:ln>
                      <a:noFill/>
                    </a:ln>
                    <a:extLst>
                      <a:ext uri="{53640926-AAD7-44D8-BBD7-CCE9431645EC}">
                        <a14:shadowObscured xmlns:a14="http://schemas.microsoft.com/office/drawing/2010/main"/>
                      </a:ext>
                    </a:extLst>
                  </pic:spPr>
                </pic:pic>
              </a:graphicData>
            </a:graphic>
          </wp:inline>
        </w:drawing>
      </w:r>
    </w:p>
    <w:p w:rsidR="001A51C8" w:rsidRDefault="0036505F" w:rsidP="001A51C8">
      <w:pPr>
        <w:spacing w:before="100" w:beforeAutospacing="1" w:after="100" w:afterAutospacing="1" w:line="360" w:lineRule="auto"/>
        <w:jc w:val="both"/>
        <w:rPr>
          <w:rFonts w:ascii="Palatino Linotype" w:hAnsi="Palatino Linotype" w:cs="Arial"/>
          <w:lang w:val="es-MX" w:eastAsia="es-MX"/>
        </w:rPr>
      </w:pPr>
      <w:r>
        <w:rPr>
          <w:noProof/>
          <w:lang w:val="es-MX" w:eastAsia="es-MX"/>
        </w:rPr>
        <w:lastRenderedPageBreak/>
        <w:drawing>
          <wp:inline distT="0" distB="0" distL="0" distR="0" wp14:anchorId="1D6EF876" wp14:editId="0481DF88">
            <wp:extent cx="5937662" cy="752856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159" t="11666" r="12085" b="5026"/>
                    <a:stretch/>
                  </pic:blipFill>
                  <pic:spPr bwMode="auto">
                    <a:xfrm>
                      <a:off x="0" y="0"/>
                      <a:ext cx="5965615" cy="7564002"/>
                    </a:xfrm>
                    <a:prstGeom prst="rect">
                      <a:avLst/>
                    </a:prstGeom>
                    <a:ln>
                      <a:noFill/>
                    </a:ln>
                    <a:extLst>
                      <a:ext uri="{53640926-AAD7-44D8-BBD7-CCE9431645EC}">
                        <a14:shadowObscured xmlns:a14="http://schemas.microsoft.com/office/drawing/2010/main"/>
                      </a:ext>
                    </a:extLst>
                  </pic:spPr>
                </pic:pic>
              </a:graphicData>
            </a:graphic>
          </wp:inline>
        </w:drawing>
      </w:r>
    </w:p>
    <w:p w:rsidR="0036505F" w:rsidRDefault="0036505F" w:rsidP="001A51C8">
      <w:pPr>
        <w:spacing w:before="100" w:beforeAutospacing="1" w:after="100" w:afterAutospacing="1" w:line="360" w:lineRule="auto"/>
        <w:jc w:val="both"/>
        <w:rPr>
          <w:rFonts w:ascii="Palatino Linotype" w:hAnsi="Palatino Linotype" w:cs="Arial"/>
          <w:lang w:val="es-MX" w:eastAsia="es-MX"/>
        </w:rPr>
      </w:pPr>
      <w:r>
        <w:rPr>
          <w:noProof/>
          <w:lang w:val="es-MX" w:eastAsia="es-MX"/>
        </w:rPr>
        <w:lastRenderedPageBreak/>
        <w:drawing>
          <wp:inline distT="0" distB="0" distL="0" distR="0" wp14:anchorId="5494EB7E" wp14:editId="5180EB8C">
            <wp:extent cx="5432961" cy="7480332"/>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527" t="12196" r="9888" b="4358"/>
                    <a:stretch/>
                  </pic:blipFill>
                  <pic:spPr bwMode="auto">
                    <a:xfrm>
                      <a:off x="0" y="0"/>
                      <a:ext cx="5449104" cy="7502558"/>
                    </a:xfrm>
                    <a:prstGeom prst="rect">
                      <a:avLst/>
                    </a:prstGeom>
                    <a:ln>
                      <a:noFill/>
                    </a:ln>
                    <a:extLst>
                      <a:ext uri="{53640926-AAD7-44D8-BBD7-CCE9431645EC}">
                        <a14:shadowObscured xmlns:a14="http://schemas.microsoft.com/office/drawing/2010/main"/>
                      </a:ext>
                    </a:extLst>
                  </pic:spPr>
                </pic:pic>
              </a:graphicData>
            </a:graphic>
          </wp:inline>
        </w:drawing>
      </w:r>
    </w:p>
    <w:p w:rsidR="0036505F" w:rsidRDefault="00D25C96" w:rsidP="001A51C8">
      <w:pPr>
        <w:spacing w:before="100" w:beforeAutospacing="1" w:after="100" w:afterAutospacing="1" w:line="360" w:lineRule="auto"/>
        <w:jc w:val="both"/>
        <w:rPr>
          <w:rFonts w:ascii="Palatino Linotype" w:hAnsi="Palatino Linotype" w:cs="Arial"/>
          <w:lang w:val="es-MX" w:eastAsia="es-MX"/>
        </w:rPr>
      </w:pPr>
      <w:r>
        <w:rPr>
          <w:noProof/>
          <w:lang w:val="es-MX" w:eastAsia="es-MX"/>
        </w:rPr>
        <w:lastRenderedPageBreak/>
        <w:drawing>
          <wp:inline distT="0" distB="0" distL="0" distR="0" wp14:anchorId="57D818B6" wp14:editId="230480B9">
            <wp:extent cx="5834467" cy="7428015"/>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959" t="12021" r="10791" b="4690"/>
                    <a:stretch/>
                  </pic:blipFill>
                  <pic:spPr bwMode="auto">
                    <a:xfrm>
                      <a:off x="0" y="0"/>
                      <a:ext cx="5867250" cy="7469752"/>
                    </a:xfrm>
                    <a:prstGeom prst="rect">
                      <a:avLst/>
                    </a:prstGeom>
                    <a:ln>
                      <a:noFill/>
                    </a:ln>
                    <a:extLst>
                      <a:ext uri="{53640926-AAD7-44D8-BBD7-CCE9431645EC}">
                        <a14:shadowObscured xmlns:a14="http://schemas.microsoft.com/office/drawing/2010/main"/>
                      </a:ext>
                    </a:extLst>
                  </pic:spPr>
                </pic:pic>
              </a:graphicData>
            </a:graphic>
          </wp:inline>
        </w:drawing>
      </w:r>
    </w:p>
    <w:p w:rsidR="00D25C96" w:rsidRDefault="00D25C96" w:rsidP="001A51C8">
      <w:pPr>
        <w:spacing w:before="100" w:beforeAutospacing="1" w:after="100" w:afterAutospacing="1" w:line="360" w:lineRule="auto"/>
        <w:jc w:val="both"/>
        <w:rPr>
          <w:rFonts w:ascii="Palatino Linotype" w:hAnsi="Palatino Linotype" w:cs="Arial"/>
          <w:lang w:val="es-MX" w:eastAsia="es-MX"/>
        </w:rPr>
      </w:pPr>
      <w:r>
        <w:rPr>
          <w:noProof/>
          <w:lang w:val="es-MX" w:eastAsia="es-MX"/>
        </w:rPr>
        <w:lastRenderedPageBreak/>
        <w:drawing>
          <wp:inline distT="0" distB="0" distL="0" distR="0" wp14:anchorId="36033277" wp14:editId="54614CFA">
            <wp:extent cx="5686425" cy="118159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355" t="11666" r="11190" b="65867"/>
                    <a:stretch/>
                  </pic:blipFill>
                  <pic:spPr bwMode="auto">
                    <a:xfrm>
                      <a:off x="0" y="0"/>
                      <a:ext cx="5719317" cy="1188429"/>
                    </a:xfrm>
                    <a:prstGeom prst="rect">
                      <a:avLst/>
                    </a:prstGeom>
                    <a:ln>
                      <a:noFill/>
                    </a:ln>
                    <a:extLst>
                      <a:ext uri="{53640926-AAD7-44D8-BBD7-CCE9431645EC}">
                        <a14:shadowObscured xmlns:a14="http://schemas.microsoft.com/office/drawing/2010/main"/>
                      </a:ext>
                    </a:extLst>
                  </pic:spPr>
                </pic:pic>
              </a:graphicData>
            </a:graphic>
          </wp:inline>
        </w:drawing>
      </w:r>
    </w:p>
    <w:p w:rsidR="00600AFE" w:rsidRDefault="00B84CB3" w:rsidP="00600AFE">
      <w:pPr>
        <w:spacing w:line="360" w:lineRule="auto"/>
        <w:ind w:right="51"/>
        <w:contextualSpacing/>
        <w:jc w:val="both"/>
        <w:rPr>
          <w:rFonts w:ascii="Palatino Linotype" w:eastAsia="Palatino Linotype" w:hAnsi="Palatino Linotype" w:cs="Palatino Linotype"/>
        </w:rPr>
      </w:pPr>
      <w:r>
        <w:rPr>
          <w:rFonts w:ascii="Palatino Linotype" w:hAnsi="Palatino Linotype" w:cs="Arial"/>
          <w:lang w:val="es-MX" w:eastAsia="es-MX"/>
        </w:rPr>
        <w:t>A</w:t>
      </w:r>
      <w:r w:rsidR="00F11217">
        <w:rPr>
          <w:rFonts w:ascii="Palatino Linotype" w:hAnsi="Palatino Linotype" w:cs="Arial"/>
          <w:lang w:val="es-MX" w:eastAsia="es-MX"/>
        </w:rPr>
        <w:t>ntes de analizar el documento descrito</w:t>
      </w:r>
      <w:r>
        <w:rPr>
          <w:rFonts w:ascii="Palatino Linotype" w:hAnsi="Palatino Linotype" w:cs="Arial"/>
          <w:lang w:val="es-MX" w:eastAsia="es-MX"/>
        </w:rPr>
        <w:t xml:space="preserve"> anteriormente</w:t>
      </w:r>
      <w:r w:rsidR="00D25C96">
        <w:rPr>
          <w:rFonts w:ascii="Palatino Linotype" w:hAnsi="Palatino Linotype" w:cs="Arial"/>
          <w:lang w:val="es-MX" w:eastAsia="es-MX"/>
        </w:rPr>
        <w:t xml:space="preserve">, es importante aclarar </w:t>
      </w:r>
      <w:r w:rsidR="00D25C96">
        <w:rPr>
          <w:rFonts w:ascii="Palatino Linotype" w:hAnsi="Palatino Linotype"/>
        </w:rPr>
        <w:t xml:space="preserve">que el particular en su solicitud de acceso a la información pública no estableció la temporalidad de la información requerida; por consiguiente </w:t>
      </w:r>
      <w:r w:rsidR="00D25C96">
        <w:rPr>
          <w:rFonts w:ascii="Palatino Linotype" w:eastAsia="Palatino Linotype" w:hAnsi="Palatino Linotype" w:cs="Palatino Linotype"/>
        </w:rPr>
        <w:t>en aras del principio de máxima publicidad que consagra la Ley de Transparencia que nos ocupa para el efecto de garantizar el ejercicio del derecho de acceso a la información del recúrrete, es por lo que, se aplica la suplencia de la queja señalada en los artículos 13</w:t>
      </w:r>
      <w:r w:rsidR="00D25C96">
        <w:rPr>
          <w:rFonts w:ascii="Palatino Linotype" w:eastAsia="Palatino Linotype" w:hAnsi="Palatino Linotype" w:cs="Palatino Linotype"/>
          <w:vertAlign w:val="superscript"/>
        </w:rPr>
        <w:footnoteReference w:id="4"/>
      </w:r>
      <w:r w:rsidR="00D25C96">
        <w:rPr>
          <w:rFonts w:ascii="Palatino Linotype" w:eastAsia="Palatino Linotype" w:hAnsi="Palatino Linotype" w:cs="Palatino Linotype"/>
        </w:rPr>
        <w:t xml:space="preserve"> y 181, párrafo cuarto</w:t>
      </w:r>
      <w:r w:rsidR="00D25C96">
        <w:rPr>
          <w:rFonts w:ascii="Palatino Linotype" w:eastAsia="Palatino Linotype" w:hAnsi="Palatino Linotype" w:cs="Palatino Linotype"/>
          <w:vertAlign w:val="superscript"/>
        </w:rPr>
        <w:footnoteReference w:id="5"/>
      </w:r>
      <w:r w:rsidR="00D25C96">
        <w:rPr>
          <w:rFonts w:ascii="Palatino Linotype" w:eastAsia="Palatino Linotype" w:hAnsi="Palatino Linotype" w:cs="Palatino Linotype"/>
        </w:rPr>
        <w:t xml:space="preserve"> de la Ley de Transparencia y Acceso a la Información Pública de la entidad, a favor del particular; de ahí que, la información requerida por el particular es la vigente a la fecha de la solicitud; esto es al veinte de septiembre del año dos mil veintiuno.</w:t>
      </w:r>
    </w:p>
    <w:p w:rsidR="00600AFE" w:rsidRDefault="00600AFE" w:rsidP="00600AFE">
      <w:pPr>
        <w:spacing w:line="360" w:lineRule="auto"/>
        <w:ind w:right="51"/>
        <w:contextualSpacing/>
        <w:jc w:val="both"/>
        <w:rPr>
          <w:rFonts w:ascii="Palatino Linotype" w:eastAsia="Palatino Linotype" w:hAnsi="Palatino Linotype" w:cs="Palatino Linotype"/>
        </w:rPr>
      </w:pPr>
    </w:p>
    <w:p w:rsidR="00380275" w:rsidRDefault="00B84CB3" w:rsidP="00600AFE">
      <w:pPr>
        <w:spacing w:line="360" w:lineRule="auto"/>
        <w:ind w:right="51"/>
        <w:contextualSpacing/>
        <w:jc w:val="both"/>
        <w:rPr>
          <w:rFonts w:ascii="Palatino Linotype" w:hAnsi="Palatino Linotype" w:cs="Arial"/>
          <w:noProof/>
          <w:lang w:val="es-MX" w:eastAsia="es-MX"/>
        </w:rPr>
      </w:pPr>
      <w:r>
        <w:rPr>
          <w:rFonts w:ascii="Palatino Linotype" w:hAnsi="Palatino Linotype" w:cs="Arial"/>
          <w:lang w:eastAsia="en-US"/>
        </w:rPr>
        <w:t xml:space="preserve">Regresando al análisis </w:t>
      </w:r>
      <w:r w:rsidR="00F11217">
        <w:rPr>
          <w:rFonts w:ascii="Palatino Linotype" w:hAnsi="Palatino Linotype" w:cs="Arial"/>
          <w:lang w:eastAsia="en-US"/>
        </w:rPr>
        <w:t xml:space="preserve">del documento que </w:t>
      </w:r>
      <w:r>
        <w:rPr>
          <w:rFonts w:ascii="Palatino Linotype" w:hAnsi="Palatino Linotype" w:cs="Arial"/>
          <w:lang w:eastAsia="en-US"/>
        </w:rPr>
        <w:t>remitió el Sujeto Obligado</w:t>
      </w:r>
      <w:r w:rsidR="00F11217">
        <w:rPr>
          <w:rFonts w:ascii="Palatino Linotype" w:hAnsi="Palatino Linotype" w:cs="Arial"/>
          <w:lang w:eastAsia="en-US"/>
        </w:rPr>
        <w:t xml:space="preserve"> en el apartado de manifestaciones</w:t>
      </w:r>
      <w:r w:rsidR="00600AFE">
        <w:rPr>
          <w:rFonts w:ascii="Palatino Linotype" w:hAnsi="Palatino Linotype" w:cs="Arial"/>
          <w:lang w:eastAsia="en-US"/>
        </w:rPr>
        <w:t xml:space="preserve">, </w:t>
      </w:r>
      <w:r>
        <w:rPr>
          <w:rFonts w:ascii="Palatino Linotype" w:hAnsi="Palatino Linotype" w:cs="Arial"/>
          <w:lang w:eastAsia="en-US"/>
        </w:rPr>
        <w:t>deb</w:t>
      </w:r>
      <w:r w:rsidR="00F11217">
        <w:rPr>
          <w:rFonts w:ascii="Palatino Linotype" w:hAnsi="Palatino Linotype" w:cs="Arial"/>
          <w:lang w:eastAsia="en-US"/>
        </w:rPr>
        <w:t>e decirse que el mismo</w:t>
      </w:r>
      <w:r>
        <w:rPr>
          <w:rFonts w:ascii="Palatino Linotype" w:hAnsi="Palatino Linotype" w:cs="Arial"/>
          <w:lang w:eastAsia="en-US"/>
        </w:rPr>
        <w:t xml:space="preserve"> coincide con los datos que contiene </w:t>
      </w:r>
      <w:r>
        <w:rPr>
          <w:rFonts w:ascii="Palatino Linotype" w:hAnsi="Palatino Linotype" w:cs="Arial"/>
          <w:b/>
          <w:bCs/>
        </w:rPr>
        <w:t>balanza de comprobación detallada</w:t>
      </w:r>
      <w:r>
        <w:rPr>
          <w:rFonts w:ascii="Palatino Linotype" w:hAnsi="Palatino Linotype" w:cs="Arial"/>
          <w:lang w:eastAsia="en-US"/>
        </w:rPr>
        <w:t xml:space="preserve">, que </w:t>
      </w:r>
      <w:r w:rsidR="00D25C96">
        <w:rPr>
          <w:rFonts w:ascii="Palatino Linotype" w:hAnsi="Palatino Linotype" w:cs="Arial"/>
          <w:lang w:eastAsia="en-US"/>
        </w:rPr>
        <w:t xml:space="preserve">en </w:t>
      </w:r>
      <w:r w:rsidR="00D25C96">
        <w:rPr>
          <w:rFonts w:ascii="Palatino Linotype" w:hAnsi="Palatino Linotype" w:cs="Arial"/>
          <w:bCs/>
        </w:rPr>
        <w:t xml:space="preserve">observancia a lo dispuesto por el Acuerdo publicado en el periódico </w:t>
      </w:r>
      <w:r>
        <w:rPr>
          <w:rFonts w:ascii="Palatino Linotype" w:hAnsi="Palatino Linotype" w:cs="Arial"/>
          <w:bCs/>
        </w:rPr>
        <w:t xml:space="preserve">oficial “Gaceta de Gobierno”, debe ser remitida a través del </w:t>
      </w:r>
      <w:r w:rsidR="00D25C96">
        <w:rPr>
          <w:rFonts w:ascii="Palatino Linotype" w:hAnsi="Palatino Linotype" w:cs="Arial"/>
          <w:bCs/>
        </w:rPr>
        <w:t>informe trimestral</w:t>
      </w:r>
      <w:r>
        <w:rPr>
          <w:rFonts w:ascii="Palatino Linotype" w:hAnsi="Palatino Linotype" w:cs="Arial"/>
          <w:bCs/>
        </w:rPr>
        <w:t xml:space="preserve"> municipal </w:t>
      </w:r>
      <w:r w:rsidR="00380275">
        <w:rPr>
          <w:rFonts w:ascii="Palatino Linotype" w:hAnsi="Palatino Linotype" w:cs="Arial"/>
          <w:bCs/>
        </w:rPr>
        <w:t xml:space="preserve">al </w:t>
      </w:r>
      <w:r w:rsidR="00380275" w:rsidRPr="00380275">
        <w:rPr>
          <w:rFonts w:ascii="Palatino Linotype" w:hAnsi="Palatino Linotype" w:cs="Arial"/>
          <w:bCs/>
        </w:rPr>
        <w:t xml:space="preserve">Órgano Superior de Fiscalización del </w:t>
      </w:r>
      <w:r w:rsidR="00380275" w:rsidRPr="00380275">
        <w:rPr>
          <w:rFonts w:ascii="Palatino Linotype" w:hAnsi="Palatino Linotype" w:cs="Arial"/>
          <w:bCs/>
        </w:rPr>
        <w:lastRenderedPageBreak/>
        <w:t>Estado de México</w:t>
      </w:r>
      <w:r w:rsidR="00380275">
        <w:rPr>
          <w:rFonts w:ascii="Palatino Linotype" w:hAnsi="Palatino Linotype" w:cs="Arial"/>
          <w:bCs/>
        </w:rPr>
        <w:t>, y</w:t>
      </w:r>
      <w:r w:rsidR="00D25C96">
        <w:rPr>
          <w:rFonts w:ascii="Palatino Linotype" w:hAnsi="Palatino Linotype" w:cs="Arial"/>
          <w:bCs/>
        </w:rPr>
        <w:t xml:space="preserve"> la cual forma parte del módulo 1, correspondiente a la información contable y financiera; </w:t>
      </w:r>
      <w:r w:rsidR="00600AFE">
        <w:rPr>
          <w:rFonts w:ascii="Palatino Linotype" w:hAnsi="Palatino Linotype" w:cs="Arial"/>
          <w:bCs/>
        </w:rPr>
        <w:t>conforme a las s</w:t>
      </w:r>
      <w:r w:rsidR="00D25C96">
        <w:rPr>
          <w:rFonts w:ascii="Palatino Linotype" w:hAnsi="Palatino Linotype" w:cs="Arial"/>
          <w:bCs/>
        </w:rPr>
        <w:t>iguiente</w:t>
      </w:r>
      <w:r w:rsidR="00600AFE">
        <w:rPr>
          <w:rFonts w:ascii="Palatino Linotype" w:hAnsi="Palatino Linotype" w:cs="Arial"/>
          <w:bCs/>
        </w:rPr>
        <w:t>s</w:t>
      </w:r>
      <w:r w:rsidR="00D25C96">
        <w:rPr>
          <w:rFonts w:ascii="Palatino Linotype" w:hAnsi="Palatino Linotype" w:cs="Arial"/>
          <w:bCs/>
        </w:rPr>
        <w:t xml:space="preserve"> </w:t>
      </w:r>
      <w:r w:rsidR="00600AFE">
        <w:rPr>
          <w:rFonts w:ascii="Palatino Linotype" w:hAnsi="Palatino Linotype" w:cs="Arial"/>
          <w:bCs/>
        </w:rPr>
        <w:t>imágenes que se insertan a continuación</w:t>
      </w:r>
      <w:r w:rsidR="00D25C96">
        <w:rPr>
          <w:rFonts w:ascii="Palatino Linotype" w:hAnsi="Palatino Linotype" w:cs="Arial"/>
          <w:bCs/>
        </w:rPr>
        <w:t>:</w:t>
      </w:r>
      <w:r w:rsidR="00D25C96">
        <w:rPr>
          <w:rFonts w:ascii="Palatino Linotype" w:hAnsi="Palatino Linotype" w:cs="Arial"/>
          <w:bCs/>
          <w:noProof/>
        </w:rPr>
        <w:t xml:space="preserve"> </w:t>
      </w:r>
      <w:r w:rsidR="00D25C96">
        <w:rPr>
          <w:rFonts w:ascii="Palatino Linotype" w:hAnsi="Palatino Linotype" w:cs="Arial"/>
          <w:noProof/>
          <w:lang w:val="es-MX" w:eastAsia="es-MX"/>
        </w:rPr>
        <w:t xml:space="preserve"> </w:t>
      </w:r>
    </w:p>
    <w:p w:rsidR="00380275" w:rsidRDefault="00380275" w:rsidP="00600AFE">
      <w:pPr>
        <w:spacing w:line="360" w:lineRule="auto"/>
        <w:ind w:right="51"/>
        <w:contextualSpacing/>
        <w:jc w:val="both"/>
        <w:rPr>
          <w:rFonts w:ascii="Palatino Linotype" w:hAnsi="Palatino Linotype" w:cs="Arial"/>
          <w:noProof/>
          <w:lang w:val="es-MX" w:eastAsia="es-MX"/>
        </w:rPr>
      </w:pPr>
    </w:p>
    <w:p w:rsidR="00D25C96" w:rsidRDefault="00600AFE" w:rsidP="00600AFE">
      <w:pPr>
        <w:spacing w:line="360" w:lineRule="auto"/>
        <w:ind w:right="51"/>
        <w:contextualSpacing/>
        <w:jc w:val="both"/>
        <w:rPr>
          <w:rFonts w:ascii="Palatino Linotype" w:hAnsi="Palatino Linotype" w:cs="Arial"/>
          <w:bCs/>
        </w:rPr>
      </w:pPr>
      <w:r>
        <w:rPr>
          <w:noProof/>
          <w:lang w:val="es-MX" w:eastAsia="es-MX"/>
        </w:rPr>
        <mc:AlternateContent>
          <mc:Choice Requires="wps">
            <w:drawing>
              <wp:anchor distT="0" distB="0" distL="114300" distR="114300" simplePos="0" relativeHeight="251659264" behindDoc="0" locked="0" layoutInCell="1" allowOverlap="1" wp14:anchorId="2B010E6D" wp14:editId="62934480">
                <wp:simplePos x="0" y="0"/>
                <wp:positionH relativeFrom="page">
                  <wp:posOffset>1924334</wp:posOffset>
                </wp:positionH>
                <wp:positionV relativeFrom="paragraph">
                  <wp:posOffset>5156247</wp:posOffset>
                </wp:positionV>
                <wp:extent cx="4517030" cy="279779"/>
                <wp:effectExtent l="76200" t="38100" r="74295" b="101600"/>
                <wp:wrapNone/>
                <wp:docPr id="13" name="Rectángulo redondeado 13"/>
                <wp:cNvGraphicFramePr/>
                <a:graphic xmlns:a="http://schemas.openxmlformats.org/drawingml/2006/main">
                  <a:graphicData uri="http://schemas.microsoft.com/office/word/2010/wordprocessingShape">
                    <wps:wsp>
                      <wps:cNvSpPr/>
                      <wps:spPr>
                        <a:xfrm>
                          <a:off x="0" y="0"/>
                          <a:ext cx="4517030" cy="279779"/>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D5E3FE5" id="Rectángulo redondeado 13" o:spid="_x0000_s1026" style="position:absolute;margin-left:151.5pt;margin-top:406pt;width:355.65pt;height:22.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" filled="f" strokecolor="red" strokeweight="2.25pt">
                <v:shadow on="t" color="black" opacity="22937f" origin=",.5" offset="0,.63889mm"/>
                <w10:wrap anchorx="page"/>
              </v:roundrect>
            </w:pict>
          </mc:Fallback>
        </mc:AlternateContent>
      </w:r>
      <w:r w:rsidR="00D25C96">
        <w:rPr>
          <w:rFonts w:ascii="Palatino Linotype" w:hAnsi="Palatino Linotype" w:cs="Arial"/>
          <w:noProof/>
          <w:lang w:val="es-MX" w:eastAsia="es-MX"/>
        </w:rPr>
        <w:drawing>
          <wp:inline distT="0" distB="0" distL="0" distR="0" wp14:anchorId="46B7BCFA" wp14:editId="11D99625">
            <wp:extent cx="5702935" cy="6086901"/>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8432" cy="6167481"/>
                    </a:xfrm>
                    <a:prstGeom prst="rect">
                      <a:avLst/>
                    </a:prstGeom>
                    <a:noFill/>
                    <a:ln>
                      <a:noFill/>
                    </a:ln>
                  </pic:spPr>
                </pic:pic>
              </a:graphicData>
            </a:graphic>
          </wp:inline>
        </w:drawing>
      </w:r>
    </w:p>
    <w:p w:rsidR="00600AFE" w:rsidRDefault="00600AFE" w:rsidP="00D25C96">
      <w:pPr>
        <w:spacing w:line="360" w:lineRule="auto"/>
        <w:jc w:val="both"/>
        <w:rPr>
          <w:rFonts w:ascii="Palatino Linotype" w:hAnsi="Palatino Linotype" w:cs="Arial"/>
          <w:bCs/>
        </w:rPr>
      </w:pPr>
    </w:p>
    <w:p w:rsidR="00600AFE" w:rsidRDefault="00380275" w:rsidP="00D25C96">
      <w:pPr>
        <w:spacing w:line="360" w:lineRule="auto"/>
        <w:jc w:val="both"/>
        <w:rPr>
          <w:rFonts w:ascii="Palatino Linotype" w:hAnsi="Palatino Linotype" w:cs="Arial"/>
          <w:bCs/>
        </w:rPr>
      </w:pPr>
      <w:r>
        <w:rPr>
          <w:noProof/>
          <w:lang w:val="es-MX" w:eastAsia="es-MX"/>
        </w:rPr>
        <w:drawing>
          <wp:inline distT="0" distB="0" distL="0" distR="0" wp14:anchorId="047F7560" wp14:editId="1EF45D94">
            <wp:extent cx="5273675" cy="5377218"/>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631" t="9782" r="2053" b="33035"/>
                    <a:stretch/>
                  </pic:blipFill>
                  <pic:spPr bwMode="auto">
                    <a:xfrm>
                      <a:off x="0" y="0"/>
                      <a:ext cx="5295685" cy="5399660"/>
                    </a:xfrm>
                    <a:prstGeom prst="rect">
                      <a:avLst/>
                    </a:prstGeom>
                    <a:ln>
                      <a:noFill/>
                    </a:ln>
                    <a:extLst>
                      <a:ext uri="{53640926-AAD7-44D8-BBD7-CCE9431645EC}">
                        <a14:shadowObscured xmlns:a14="http://schemas.microsoft.com/office/drawing/2010/main"/>
                      </a:ext>
                    </a:extLst>
                  </pic:spPr>
                </pic:pic>
              </a:graphicData>
            </a:graphic>
          </wp:inline>
        </w:drawing>
      </w:r>
      <w:r>
        <w:rPr>
          <w:noProof/>
          <w:lang w:val="es-MX" w:eastAsia="es-MX"/>
        </w:rPr>
        <w:t xml:space="preserve"> </w:t>
      </w:r>
    </w:p>
    <w:p w:rsidR="00380275" w:rsidRDefault="00380275" w:rsidP="00D25C96">
      <w:pPr>
        <w:spacing w:line="360" w:lineRule="auto"/>
        <w:jc w:val="both"/>
        <w:rPr>
          <w:rFonts w:ascii="Palatino Linotype" w:hAnsi="Palatino Linotype" w:cs="Arial"/>
          <w:bCs/>
        </w:rPr>
      </w:pPr>
      <w:r>
        <w:rPr>
          <w:rFonts w:ascii="Palatino Linotype" w:hAnsi="Palatino Linotype" w:cs="Arial"/>
          <w:bCs/>
        </w:rPr>
        <w:t xml:space="preserve">En razón de que </w:t>
      </w:r>
      <w:r w:rsidR="00F11217">
        <w:rPr>
          <w:rFonts w:ascii="Palatino Linotype" w:hAnsi="Palatino Linotype" w:cs="Arial"/>
          <w:bCs/>
        </w:rPr>
        <w:t>dicho documento</w:t>
      </w:r>
      <w:r>
        <w:rPr>
          <w:rFonts w:ascii="Palatino Linotype" w:hAnsi="Palatino Linotype" w:cs="Arial"/>
          <w:bCs/>
        </w:rPr>
        <w:t xml:space="preserve"> (</w:t>
      </w:r>
      <w:r w:rsidR="00F11217">
        <w:rPr>
          <w:rFonts w:ascii="Palatino Linotype" w:hAnsi="Palatino Linotype" w:cs="Arial"/>
          <w:bCs/>
        </w:rPr>
        <w:t>remitido</w:t>
      </w:r>
      <w:r>
        <w:rPr>
          <w:rFonts w:ascii="Palatino Linotype" w:hAnsi="Palatino Linotype" w:cs="Arial"/>
          <w:bCs/>
        </w:rPr>
        <w:t xml:space="preserve"> por el Sujeto Obligado</w:t>
      </w:r>
      <w:r w:rsidR="00F11217">
        <w:rPr>
          <w:rFonts w:ascii="Palatino Linotype" w:hAnsi="Palatino Linotype" w:cs="Arial"/>
          <w:bCs/>
        </w:rPr>
        <w:t xml:space="preserve"> en manifestaciones</w:t>
      </w:r>
      <w:r>
        <w:rPr>
          <w:rFonts w:ascii="Palatino Linotype" w:hAnsi="Palatino Linotype" w:cs="Arial"/>
          <w:bCs/>
        </w:rPr>
        <w:t xml:space="preserve">) y la balanza de comprobación, contienen los datos de la cuenta, nombre de la cuenta, saldo inicial (debe/haber), movimientos del mes </w:t>
      </w:r>
      <w:r w:rsidR="00067496">
        <w:rPr>
          <w:rFonts w:ascii="Palatino Linotype" w:hAnsi="Palatino Linotype" w:cs="Arial"/>
          <w:bCs/>
        </w:rPr>
        <w:t>enero-diciembre</w:t>
      </w:r>
      <w:r>
        <w:rPr>
          <w:rFonts w:ascii="Palatino Linotype" w:hAnsi="Palatino Linotype" w:cs="Arial"/>
          <w:bCs/>
        </w:rPr>
        <w:t xml:space="preserve"> (debe/haber) y el saldo final (debe/haber)</w:t>
      </w:r>
      <w:r w:rsidR="00067496">
        <w:rPr>
          <w:rFonts w:ascii="Palatino Linotype" w:hAnsi="Palatino Linotype" w:cs="Arial"/>
          <w:bCs/>
        </w:rPr>
        <w:t xml:space="preserve">, y en este caso </w:t>
      </w:r>
      <w:r w:rsidR="00F11217">
        <w:rPr>
          <w:rFonts w:ascii="Palatino Linotype" w:hAnsi="Palatino Linotype" w:cs="Arial"/>
          <w:bCs/>
        </w:rPr>
        <w:t>el referido documento corresponde</w:t>
      </w:r>
      <w:r w:rsidR="00067496">
        <w:rPr>
          <w:rFonts w:ascii="Palatino Linotype" w:hAnsi="Palatino Linotype" w:cs="Arial"/>
          <w:bCs/>
        </w:rPr>
        <w:t xml:space="preserve"> al mes de septiembre </w:t>
      </w:r>
      <w:r w:rsidR="00F11217">
        <w:rPr>
          <w:rFonts w:ascii="Palatino Linotype" w:hAnsi="Palatino Linotype" w:cs="Arial"/>
          <w:bCs/>
        </w:rPr>
        <w:t>del 2021, el</w:t>
      </w:r>
      <w:r w:rsidR="00067496">
        <w:rPr>
          <w:rFonts w:ascii="Palatino Linotype" w:hAnsi="Palatino Linotype" w:cs="Arial"/>
          <w:bCs/>
        </w:rPr>
        <w:t xml:space="preserve"> cual coincide con la fecha de</w:t>
      </w:r>
      <w:r w:rsidR="00F11217">
        <w:rPr>
          <w:rFonts w:ascii="Palatino Linotype" w:hAnsi="Palatino Linotype" w:cs="Arial"/>
          <w:bCs/>
        </w:rPr>
        <w:t xml:space="preserve"> presentación de la</w:t>
      </w:r>
      <w:r w:rsidR="00067496">
        <w:rPr>
          <w:rFonts w:ascii="Palatino Linotype" w:hAnsi="Palatino Linotype" w:cs="Arial"/>
          <w:bCs/>
        </w:rPr>
        <w:t xml:space="preserve"> solicitud de acceso a la información pública que se estudia. </w:t>
      </w:r>
    </w:p>
    <w:p w:rsidR="00D25C96" w:rsidRDefault="00D25C96" w:rsidP="00D25C96">
      <w:pPr>
        <w:spacing w:line="360" w:lineRule="auto"/>
        <w:jc w:val="both"/>
        <w:rPr>
          <w:rFonts w:ascii="Palatino Linotype" w:hAnsi="Palatino Linotype" w:cs="Arial"/>
          <w:bCs/>
        </w:rPr>
      </w:pPr>
      <w:r>
        <w:rPr>
          <w:rFonts w:ascii="Palatino Linotype" w:hAnsi="Palatino Linotype" w:cs="Arial"/>
          <w:bCs/>
        </w:rPr>
        <w:lastRenderedPageBreak/>
        <w:t xml:space="preserve">Aunado a lo anterior, es importante referir que la </w:t>
      </w:r>
      <w:r>
        <w:rPr>
          <w:rFonts w:ascii="Palatino Linotype" w:hAnsi="Palatino Linotype" w:cs="Arial"/>
          <w:b/>
          <w:bCs/>
        </w:rPr>
        <w:t xml:space="preserve">balanza de comprobación detallada </w:t>
      </w:r>
      <w:r>
        <w:rPr>
          <w:rFonts w:ascii="Palatino Linotype" w:hAnsi="Palatino Linotype" w:cs="Arial"/>
          <w:bCs/>
        </w:rPr>
        <w:t xml:space="preserve">es parte integrante también de la Cuenta Pública la cual conforme al artículo 352 del Código Financiero del Estado de México, se encuentra integrada de la siguiente manera: </w:t>
      </w:r>
    </w:p>
    <w:p w:rsidR="00D25C96" w:rsidRDefault="00D25C96" w:rsidP="00D25C96">
      <w:pPr>
        <w:spacing w:line="360" w:lineRule="auto"/>
        <w:jc w:val="both"/>
        <w:rPr>
          <w:rFonts w:ascii="Palatino Linotype" w:hAnsi="Palatino Linotype" w:cs="Arial"/>
          <w:bCs/>
        </w:rPr>
      </w:pPr>
    </w:p>
    <w:p w:rsidR="00D25C96" w:rsidRDefault="00D25C96" w:rsidP="00D25C96">
      <w:pPr>
        <w:ind w:left="851" w:right="899"/>
        <w:jc w:val="both"/>
        <w:rPr>
          <w:rFonts w:ascii="Palatino Linotype" w:hAnsi="Palatino Linotype" w:cs="Arial"/>
          <w:bCs/>
          <w:i/>
          <w:sz w:val="22"/>
        </w:rPr>
      </w:pPr>
      <w:r>
        <w:rPr>
          <w:rFonts w:ascii="Palatino Linotype" w:hAnsi="Palatino Linotype" w:cs="Arial"/>
          <w:bCs/>
          <w:i/>
          <w:sz w:val="22"/>
        </w:rPr>
        <w:t>“</w:t>
      </w:r>
      <w:r>
        <w:rPr>
          <w:rFonts w:ascii="Palatino Linotype" w:hAnsi="Palatino Linotype" w:cs="Arial"/>
          <w:b/>
          <w:bCs/>
          <w:i/>
          <w:sz w:val="22"/>
        </w:rPr>
        <w:t>Artículo 352.-</w:t>
      </w:r>
      <w:r>
        <w:rPr>
          <w:rFonts w:ascii="Palatino Linotype" w:hAnsi="Palatino Linotype" w:cs="Arial"/>
          <w:bCs/>
          <w:i/>
          <w:sz w:val="22"/>
        </w:rPr>
        <w:t xml:space="preserve"> La cuenta pública se constituye por la información económica, patrimonial, presupuestal, programática, cualitativa y cuantitativa que muestre los resultados de la ejecución de la Ley de Ingresos y del Presupuesto de Egresos. </w:t>
      </w:r>
    </w:p>
    <w:p w:rsidR="00D25C96" w:rsidRDefault="00D25C96" w:rsidP="00D25C96">
      <w:pPr>
        <w:ind w:left="851" w:right="899"/>
        <w:jc w:val="both"/>
        <w:rPr>
          <w:rFonts w:ascii="Palatino Linotype" w:hAnsi="Palatino Linotype" w:cs="Arial"/>
          <w:bCs/>
          <w:i/>
          <w:sz w:val="22"/>
        </w:rPr>
      </w:pPr>
      <w:r>
        <w:rPr>
          <w:rFonts w:ascii="Palatino Linotype" w:hAnsi="Palatino Linotype" w:cs="Arial"/>
          <w:bCs/>
          <w:i/>
          <w:sz w:val="22"/>
        </w:rPr>
        <w:t xml:space="preserve">La Secretaría y las Tesorerías, proporcionarán la información complementaria requerida por los Órganos de Fiscalización locales y federales, según corresponda, para el análisis y evaluación de la cuenta pública correspondiente. </w:t>
      </w:r>
    </w:p>
    <w:p w:rsidR="00D25C96" w:rsidRDefault="00D25C96" w:rsidP="00D25C96">
      <w:pPr>
        <w:ind w:left="851" w:right="899"/>
        <w:jc w:val="both"/>
        <w:rPr>
          <w:rFonts w:ascii="Palatino Linotype" w:hAnsi="Palatino Linotype" w:cs="Arial"/>
          <w:bCs/>
          <w:i/>
          <w:sz w:val="22"/>
        </w:rPr>
      </w:pPr>
      <w:r>
        <w:rPr>
          <w:rFonts w:ascii="Palatino Linotype" w:hAnsi="Palatino Linotype" w:cs="Arial"/>
          <w:bCs/>
          <w:i/>
          <w:sz w:val="22"/>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México.”(Sic)</w:t>
      </w:r>
    </w:p>
    <w:p w:rsidR="00D25C96" w:rsidRDefault="00D25C96" w:rsidP="00D25C96">
      <w:pPr>
        <w:spacing w:line="360" w:lineRule="auto"/>
        <w:jc w:val="both"/>
        <w:rPr>
          <w:rFonts w:ascii="Palatino Linotype" w:hAnsi="Palatino Linotype" w:cs="Arial"/>
          <w:bCs/>
        </w:rPr>
      </w:pPr>
    </w:p>
    <w:p w:rsidR="00D25C96" w:rsidRDefault="00D25C96" w:rsidP="00D25C96">
      <w:pPr>
        <w:spacing w:line="360" w:lineRule="auto"/>
        <w:jc w:val="both"/>
        <w:rPr>
          <w:rFonts w:ascii="Palatino Linotype" w:hAnsi="Palatino Linotype"/>
        </w:rPr>
      </w:pPr>
      <w:r>
        <w:rPr>
          <w:rFonts w:ascii="Palatino Linotype" w:hAnsi="Palatino Linotype" w:cs="Arial"/>
          <w:bCs/>
        </w:rPr>
        <w:t xml:space="preserve">Por su parte, la </w:t>
      </w:r>
      <w:r>
        <w:rPr>
          <w:rFonts w:ascii="Palatino Linotype" w:hAnsi="Palatino Linotype"/>
        </w:rPr>
        <w:t>Ley de Fiscalización Superior del Estado de México en su artículo 32, párrafos segundo y tercero señala:</w:t>
      </w:r>
    </w:p>
    <w:p w:rsidR="00D25C96" w:rsidRDefault="00D25C96" w:rsidP="00D25C96">
      <w:pPr>
        <w:ind w:left="851" w:right="850"/>
        <w:jc w:val="both"/>
        <w:rPr>
          <w:rFonts w:ascii="Palatino Linotype" w:hAnsi="Palatino Linotype"/>
          <w:i/>
          <w:sz w:val="22"/>
          <w:szCs w:val="22"/>
        </w:rPr>
      </w:pPr>
    </w:p>
    <w:p w:rsidR="00D25C96" w:rsidRDefault="00D25C96" w:rsidP="00D25C96">
      <w:pPr>
        <w:ind w:left="851" w:right="850"/>
        <w:jc w:val="both"/>
        <w:rPr>
          <w:rFonts w:ascii="Palatino Linotype" w:hAnsi="Palatino Linotype"/>
          <w:i/>
          <w:sz w:val="22"/>
          <w:szCs w:val="22"/>
        </w:rPr>
      </w:pPr>
      <w:r>
        <w:rPr>
          <w:rFonts w:ascii="Palatino Linotype" w:hAnsi="Palatino Linotype"/>
          <w:i/>
          <w:sz w:val="22"/>
          <w:szCs w:val="22"/>
        </w:rPr>
        <w:t>“…Los Presidentes Municipales presentarán a la Legislatura las cuentas públicas anuales de sus respectivos municipios, del ejercicio fiscal inmediato anterior, dentro de los quince primeros días del mes de marzo de cada año; asimismo…" (Sic)</w:t>
      </w:r>
    </w:p>
    <w:p w:rsidR="00D25C96" w:rsidRDefault="00D25C96" w:rsidP="00D25C96">
      <w:pPr>
        <w:ind w:left="851" w:right="850"/>
        <w:jc w:val="both"/>
        <w:rPr>
          <w:rFonts w:ascii="Palatino Linotype" w:hAnsi="Palatino Linotype"/>
          <w:i/>
          <w:sz w:val="22"/>
          <w:szCs w:val="22"/>
        </w:rPr>
      </w:pPr>
      <w:r>
        <w:rPr>
          <w:rFonts w:ascii="Palatino Linotype" w:hAnsi="Palatino Linotype"/>
          <w:i/>
          <w:sz w:val="22"/>
          <w:szCs w:val="22"/>
        </w:rPr>
        <w:t>Las cuentas públicas deberán presentarse conforme a lo establecido en la Ley General de Contabilidad Gubernamental, Ley de Disciplina Financiera delas Entidades Federativas y los Municipios y demás disposiciones aplicables…” (Sic)</w:t>
      </w:r>
    </w:p>
    <w:p w:rsidR="00D25C96" w:rsidRDefault="00D25C96" w:rsidP="00D25C96">
      <w:pPr>
        <w:spacing w:line="360" w:lineRule="auto"/>
        <w:jc w:val="both"/>
        <w:rPr>
          <w:rFonts w:ascii="Palatino Linotype" w:hAnsi="Palatino Linotype" w:cs="Arial"/>
          <w:bCs/>
        </w:rPr>
      </w:pPr>
    </w:p>
    <w:p w:rsidR="00D25C96" w:rsidRDefault="00D25C96" w:rsidP="00D25C96">
      <w:pPr>
        <w:autoSpaceDE w:val="0"/>
        <w:autoSpaceDN w:val="0"/>
        <w:adjustRightInd w:val="0"/>
        <w:spacing w:before="240" w:after="240" w:line="360" w:lineRule="auto"/>
        <w:jc w:val="both"/>
        <w:rPr>
          <w:rFonts w:ascii="Palatino Linotype" w:hAnsi="Palatino Linotype" w:cs="Arial"/>
          <w:bCs/>
        </w:rPr>
      </w:pPr>
      <w:r>
        <w:rPr>
          <w:rFonts w:ascii="Palatino Linotype" w:hAnsi="Palatino Linotype" w:cs="Arial"/>
          <w:bCs/>
        </w:rPr>
        <w:t>Lo que se robustece con el concepto emitido por el Servicio de Administración Tributaria de la Secretaría de Hacienda y Crédito Público del Gobierno Federal, en su página oficial, así como para que sirve, como se observa en la siguiente imagen:</w:t>
      </w:r>
    </w:p>
    <w:p w:rsidR="00D25C96" w:rsidRPr="00F03394" w:rsidRDefault="00D25C96" w:rsidP="00D25C96">
      <w:pPr>
        <w:autoSpaceDE w:val="0"/>
        <w:autoSpaceDN w:val="0"/>
        <w:adjustRightInd w:val="0"/>
        <w:spacing w:before="240" w:after="240" w:line="360" w:lineRule="auto"/>
        <w:jc w:val="both"/>
        <w:rPr>
          <w:rFonts w:ascii="Palatino Linotype" w:hAnsi="Palatino Linotype"/>
        </w:rPr>
      </w:pPr>
    </w:p>
    <w:p w:rsidR="00D25C96" w:rsidRDefault="00D25C96" w:rsidP="00D25C96">
      <w:pPr>
        <w:autoSpaceDE w:val="0"/>
        <w:autoSpaceDN w:val="0"/>
        <w:adjustRightInd w:val="0"/>
        <w:spacing w:before="240" w:after="240" w:line="360" w:lineRule="auto"/>
        <w:jc w:val="both"/>
        <w:rPr>
          <w:rFonts w:ascii="Palatino Linotype" w:hAnsi="Palatino Linotype"/>
        </w:rPr>
      </w:pPr>
      <w:r>
        <w:rPr>
          <w:noProof/>
          <w:lang w:val="es-MX" w:eastAsia="es-MX"/>
        </w:rPr>
        <mc:AlternateContent>
          <mc:Choice Requires="wps">
            <w:drawing>
              <wp:anchor distT="0" distB="0" distL="114300" distR="114300" simplePos="0" relativeHeight="251660288" behindDoc="0" locked="0" layoutInCell="1" allowOverlap="1" wp14:anchorId="6361BC51" wp14:editId="37825614">
                <wp:simplePos x="0" y="0"/>
                <wp:positionH relativeFrom="column">
                  <wp:posOffset>539115</wp:posOffset>
                </wp:positionH>
                <wp:positionV relativeFrom="paragraph">
                  <wp:posOffset>3544570</wp:posOffset>
                </wp:positionV>
                <wp:extent cx="4476750" cy="241300"/>
                <wp:effectExtent l="19050" t="19050" r="19050" b="25400"/>
                <wp:wrapNone/>
                <wp:docPr id="4" name="Rectángulo 4"/>
                <wp:cNvGraphicFramePr/>
                <a:graphic xmlns:a="http://schemas.openxmlformats.org/drawingml/2006/main">
                  <a:graphicData uri="http://schemas.microsoft.com/office/word/2010/wordprocessingShape">
                    <wps:wsp>
                      <wps:cNvSpPr/>
                      <wps:spPr>
                        <a:xfrm>
                          <a:off x="0" y="0"/>
                          <a:ext cx="4476750" cy="2413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97B251" id="Rectángulo 4" o:spid="_x0000_s1026" style="position:absolute;margin-left:42.45pt;margin-top:279.1pt;width:352.5pt;height:1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" filled="f" strokecolor="#1f4d78 [1604]" strokeweight="2.25pt"/>
            </w:pict>
          </mc:Fallback>
        </mc:AlternateContent>
      </w:r>
      <w:r>
        <w:rPr>
          <w:noProof/>
          <w:lang w:val="es-MX" w:eastAsia="es-MX"/>
        </w:rPr>
        <w:drawing>
          <wp:inline distT="0" distB="0" distL="0" distR="0" wp14:anchorId="1E2D1143" wp14:editId="41FC0291">
            <wp:extent cx="5530850" cy="38036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319" t="7282" r="17966" b="22734"/>
                    <a:stretch/>
                  </pic:blipFill>
                  <pic:spPr bwMode="auto">
                    <a:xfrm>
                      <a:off x="0" y="0"/>
                      <a:ext cx="5530850" cy="3803650"/>
                    </a:xfrm>
                    <a:prstGeom prst="rect">
                      <a:avLst/>
                    </a:prstGeom>
                    <a:ln>
                      <a:noFill/>
                    </a:ln>
                    <a:extLst>
                      <a:ext uri="{53640926-AAD7-44D8-BBD7-CCE9431645EC}">
                        <a14:shadowObscured xmlns:a14="http://schemas.microsoft.com/office/drawing/2010/main"/>
                      </a:ext>
                    </a:extLst>
                  </pic:spPr>
                </pic:pic>
              </a:graphicData>
            </a:graphic>
          </wp:inline>
        </w:drawing>
      </w:r>
    </w:p>
    <w:p w:rsidR="00D25C96" w:rsidRDefault="00D25C96" w:rsidP="00D25C96">
      <w:pPr>
        <w:autoSpaceDE w:val="0"/>
        <w:autoSpaceDN w:val="0"/>
        <w:adjustRightInd w:val="0"/>
        <w:spacing w:before="240" w:after="240" w:line="360" w:lineRule="auto"/>
        <w:jc w:val="both"/>
        <w:rPr>
          <w:rFonts w:ascii="Palatino Linotype" w:hAnsi="Palatino Linotype" w:cs="Arial"/>
          <w:i/>
          <w:sz w:val="22"/>
          <w:szCs w:val="22"/>
        </w:rPr>
      </w:pPr>
      <w:r>
        <w:rPr>
          <w:rFonts w:ascii="Palatino Linotype" w:hAnsi="Palatino Linotype"/>
        </w:rPr>
        <w:t>De ahí que</w:t>
      </w:r>
      <w:r w:rsidRPr="00A3483A">
        <w:rPr>
          <w:rFonts w:ascii="Palatino Linotype" w:hAnsi="Palatino Linotype"/>
        </w:rPr>
        <w:t xml:space="preserve">, con </w:t>
      </w:r>
      <w:r>
        <w:rPr>
          <w:rFonts w:ascii="Palatino Linotype" w:hAnsi="Palatino Linotype"/>
        </w:rPr>
        <w:t>el</w:t>
      </w:r>
      <w:r w:rsidRPr="00A3483A">
        <w:rPr>
          <w:rFonts w:ascii="Palatino Linotype" w:hAnsi="Palatino Linotype"/>
        </w:rPr>
        <w:t xml:space="preserve"> archivo electrónico enviado por el Sujeto Obligado en el apartado de manifestaciones del Sistema de Acceso a la Información Mexiquense</w:t>
      </w:r>
      <w:r w:rsidRPr="00513B76">
        <w:rPr>
          <w:rFonts w:ascii="Palatino Linotype" w:hAnsi="Palatino Linotype"/>
        </w:rPr>
        <w:t xml:space="preserve">, </w:t>
      </w:r>
      <w:r>
        <w:rPr>
          <w:rFonts w:ascii="Palatino Linotype" w:eastAsia="Calibri" w:hAnsi="Palatino Linotype" w:cs="Arial"/>
        </w:rPr>
        <w:t xml:space="preserve">modifica su </w:t>
      </w:r>
      <w:r w:rsidR="00600AFE">
        <w:rPr>
          <w:rFonts w:ascii="Palatino Linotype" w:eastAsia="Calibri" w:hAnsi="Palatino Linotype" w:cs="Arial"/>
        </w:rPr>
        <w:t xml:space="preserve">falta </w:t>
      </w:r>
      <w:r>
        <w:rPr>
          <w:rFonts w:ascii="Palatino Linotype" w:eastAsia="Calibri" w:hAnsi="Palatino Linotype" w:cs="Arial"/>
        </w:rPr>
        <w:t xml:space="preserve">respuesta, al remitir </w:t>
      </w:r>
      <w:r w:rsidR="00F11217">
        <w:rPr>
          <w:rFonts w:ascii="Palatino Linotype" w:eastAsia="Calibri" w:hAnsi="Palatino Linotype" w:cs="Arial"/>
        </w:rPr>
        <w:t xml:space="preserve">el documento, en donde consta </w:t>
      </w:r>
      <w:r>
        <w:rPr>
          <w:rFonts w:ascii="Palatino Linotype" w:hAnsi="Palatino Linotype" w:cs="Arial"/>
          <w:lang w:eastAsia="en-US"/>
        </w:rPr>
        <w:t xml:space="preserve">el adeudo que tiene </w:t>
      </w:r>
      <w:r w:rsidR="00600AFE">
        <w:rPr>
          <w:rFonts w:ascii="Palatino Linotype" w:hAnsi="Palatino Linotype" w:cs="Arial"/>
          <w:lang w:eastAsia="en-US"/>
        </w:rPr>
        <w:t>el Ayuntamiento del San Simón de Guerrero</w:t>
      </w:r>
      <w:r>
        <w:rPr>
          <w:rFonts w:ascii="Palatino Linotype" w:hAnsi="Palatino Linotype" w:cs="Arial"/>
          <w:lang w:eastAsia="en-US"/>
        </w:rPr>
        <w:t xml:space="preserve"> con diversos proveedores</w:t>
      </w:r>
      <w:r w:rsidR="00F11217">
        <w:rPr>
          <w:rFonts w:ascii="Palatino Linotype" w:hAnsi="Palatino Linotype" w:cs="Arial"/>
          <w:lang w:eastAsia="en-US"/>
        </w:rPr>
        <w:t xml:space="preserve"> </w:t>
      </w:r>
      <w:r w:rsidR="00864153">
        <w:rPr>
          <w:rFonts w:ascii="Palatino Linotype" w:eastAsia="Calibri" w:hAnsi="Palatino Linotype" w:cs="Arial"/>
        </w:rPr>
        <w:t>al</w:t>
      </w:r>
      <w:r w:rsidR="00F11217">
        <w:rPr>
          <w:rFonts w:ascii="Palatino Linotype" w:eastAsia="Calibri" w:hAnsi="Palatino Linotype" w:cs="Arial"/>
        </w:rPr>
        <w:t xml:space="preserve"> mes de septiembre de 2021</w:t>
      </w:r>
      <w:r>
        <w:rPr>
          <w:rFonts w:ascii="Palatino Linotype" w:hAnsi="Palatino Linotype" w:cs="Arial"/>
          <w:lang w:eastAsia="en-US"/>
        </w:rPr>
        <w:t>, colmando con ello el derecho de acceso a la información del particular.</w:t>
      </w:r>
    </w:p>
    <w:p w:rsidR="00D25C96" w:rsidRDefault="00D25C96" w:rsidP="00D25C96">
      <w:pPr>
        <w:autoSpaceDE w:val="0"/>
        <w:autoSpaceDN w:val="0"/>
        <w:adjustRightInd w:val="0"/>
        <w:spacing w:before="240" w:after="240" w:line="360" w:lineRule="auto"/>
        <w:jc w:val="both"/>
        <w:rPr>
          <w:rFonts w:ascii="Palatino Linotype" w:hAnsi="Palatino Linotype"/>
          <w:lang w:eastAsia="es-MX"/>
        </w:rPr>
      </w:pPr>
      <w:r>
        <w:rPr>
          <w:rFonts w:ascii="Palatino Linotype" w:hAnsi="Palatino Linotype"/>
        </w:rPr>
        <w:t xml:space="preserve">Además, debe mencionarse que, al </w:t>
      </w:r>
      <w:r>
        <w:rPr>
          <w:rFonts w:ascii="Palatino Linotype" w:hAnsi="Palatino Linotype"/>
          <w:lang w:eastAsia="es-MX"/>
        </w:rPr>
        <w:t xml:space="preserve">haber un pronunciamiento por parte del </w:t>
      </w:r>
      <w:r>
        <w:rPr>
          <w:rFonts w:ascii="Palatino Linotype" w:hAnsi="Palatino Linotype"/>
          <w:b/>
          <w:lang w:eastAsia="es-MX"/>
        </w:rPr>
        <w:t>Sujeto Obligado</w:t>
      </w:r>
      <w:r>
        <w:rPr>
          <w:rFonts w:ascii="Palatino Linotype" w:hAnsi="Palatino Linotype"/>
          <w:lang w:eastAsia="es-MX"/>
        </w:rPr>
        <w:t xml:space="preserve">, este Órgano Garante estima conveniente señalar que no está facultado para manifestarse sobre la veracidad de la información proporcionada, ya que no </w:t>
      </w:r>
      <w:r>
        <w:rPr>
          <w:rFonts w:ascii="Palatino Linotype" w:hAnsi="Palatino Linotype"/>
          <w:lang w:eastAsia="es-MX"/>
        </w:rPr>
        <w:lastRenderedPageBreak/>
        <w:t>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D25C96" w:rsidRDefault="00D25C96" w:rsidP="00D25C96">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25C96" w:rsidRDefault="00D25C96" w:rsidP="00D25C96">
      <w:pPr>
        <w:pStyle w:val="Prrafodelista"/>
        <w:autoSpaceDE w:val="0"/>
        <w:autoSpaceDN w:val="0"/>
        <w:adjustRightInd w:val="0"/>
        <w:spacing w:line="360" w:lineRule="auto"/>
        <w:ind w:left="0"/>
        <w:jc w:val="both"/>
        <w:rPr>
          <w:rFonts w:ascii="Palatino Linotype" w:hAnsi="Palatino Linotype" w:cs="Arial"/>
        </w:rPr>
      </w:pPr>
    </w:p>
    <w:p w:rsidR="00D25C96" w:rsidRPr="00D53C9E" w:rsidRDefault="00D25C96" w:rsidP="00D25C96">
      <w:pPr>
        <w:pStyle w:val="Prrafodelista"/>
        <w:autoSpaceDE w:val="0"/>
        <w:autoSpaceDN w:val="0"/>
        <w:adjustRightInd w:val="0"/>
        <w:spacing w:line="360" w:lineRule="auto"/>
        <w:ind w:left="0"/>
        <w:jc w:val="both"/>
        <w:rPr>
          <w:rFonts w:ascii="Palatino Linotype" w:hAnsi="Palatino Linotype" w:cs="Arial"/>
          <w:sz w:val="24"/>
          <w:szCs w:val="24"/>
        </w:rPr>
      </w:pPr>
      <w:r w:rsidRPr="00D53C9E">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D25C96" w:rsidRPr="00D26C76" w:rsidRDefault="00D25C96" w:rsidP="00D25C96">
      <w:pPr>
        <w:autoSpaceDE w:val="0"/>
        <w:autoSpaceDN w:val="0"/>
        <w:adjustRightInd w:val="0"/>
        <w:spacing w:before="240" w:after="240" w:line="360" w:lineRule="auto"/>
        <w:jc w:val="both"/>
        <w:rPr>
          <w:rFonts w:ascii="Palatino Linotype" w:eastAsia="Calibri" w:hAnsi="Palatino Linotype"/>
        </w:rPr>
      </w:pPr>
      <w:r>
        <w:rPr>
          <w:rFonts w:ascii="Palatino Linotype" w:eastAsia="Calibri" w:hAnsi="Palatino Linotype" w:cs="Arial"/>
        </w:rPr>
        <w:t>E</w:t>
      </w:r>
      <w:r w:rsidRPr="00513B76">
        <w:rPr>
          <w:rFonts w:ascii="Palatino Linotype" w:eastAsia="Calibri" w:hAnsi="Palatino Linotype"/>
        </w:rPr>
        <w:t>n consecuencia, se actualiza la causal de sobrese</w:t>
      </w:r>
      <w:r>
        <w:rPr>
          <w:rFonts w:ascii="Palatino Linotype" w:eastAsia="Calibri" w:hAnsi="Palatino Linotype"/>
        </w:rPr>
        <w:t>imiento prevista en la fracción III</w:t>
      </w:r>
      <w:r w:rsidRPr="00513B76">
        <w:rPr>
          <w:rFonts w:ascii="Palatino Linotype" w:eastAsia="Calibri" w:hAnsi="Palatino Linotype"/>
        </w:rPr>
        <w:t xml:space="preserve"> </w:t>
      </w:r>
      <w:r>
        <w:rPr>
          <w:rFonts w:ascii="Palatino Linotype" w:eastAsia="Calibri" w:hAnsi="Palatino Linotype"/>
        </w:rPr>
        <w:t xml:space="preserve">del artículo 192 de la </w:t>
      </w:r>
      <w:r>
        <w:rPr>
          <w:rFonts w:ascii="Palatino Linotype" w:eastAsia="Calibri" w:hAnsi="Palatino Linotype" w:cs="Arial"/>
        </w:rPr>
        <w:t>Ley de Transparencia y Acceso a la Información Pública del Estado de México y Municipios</w:t>
      </w:r>
      <w:r>
        <w:rPr>
          <w:rFonts w:ascii="Palatino Linotype" w:eastAsia="Calibri" w:hAnsi="Palatino Linotype"/>
        </w:rPr>
        <w:t>, que dispone lo siguiente:</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B33B44">
        <w:rPr>
          <w:rFonts w:ascii="Palatino Linotype" w:hAnsi="Palatino Linotype" w:cs="Bookman Old Style"/>
          <w:b/>
          <w:bCs/>
          <w:i/>
          <w:sz w:val="22"/>
          <w:szCs w:val="22"/>
        </w:rPr>
        <w:t xml:space="preserve">“Artículo 192. </w:t>
      </w:r>
      <w:r w:rsidRPr="00B33B44">
        <w:rPr>
          <w:rFonts w:ascii="Palatino Linotype" w:hAnsi="Palatino Linotype" w:cs="Bookman Old Style"/>
          <w:i/>
          <w:sz w:val="22"/>
          <w:szCs w:val="22"/>
        </w:rPr>
        <w:t>El recurso será sobreseído en todo o en parte cuando una vez admitido, se actualicen alguno de los siguientes supuestos:</w:t>
      </w:r>
    </w:p>
    <w:p w:rsidR="00D25C96" w:rsidRPr="00B33B44"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Pr>
          <w:rFonts w:ascii="Palatino Linotype" w:hAnsi="Palatino Linotype" w:cs="Bookman Old Style"/>
          <w:b/>
          <w:bCs/>
          <w:i/>
          <w:sz w:val="22"/>
          <w:szCs w:val="22"/>
        </w:rPr>
        <w:lastRenderedPageBreak/>
        <w:t>…</w:t>
      </w:r>
    </w:p>
    <w:p w:rsidR="00D25C96" w:rsidRPr="00B33B44" w:rsidRDefault="00D25C96" w:rsidP="00D25C96">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D912A5">
        <w:rPr>
          <w:rFonts w:ascii="Palatino Linotype" w:hAnsi="Palatino Linotype" w:cs="Bookman Old Style"/>
          <w:b/>
          <w:bCs/>
          <w:i/>
          <w:sz w:val="22"/>
          <w:szCs w:val="22"/>
        </w:rPr>
        <w:t>III.</w:t>
      </w:r>
      <w:r w:rsidRPr="00D912A5">
        <w:rPr>
          <w:rFonts w:ascii="Palatino Linotype" w:hAnsi="Palatino Linotype" w:cs="Bookman Old Style"/>
          <w:b/>
          <w:i/>
          <w:sz w:val="22"/>
          <w:szCs w:val="22"/>
        </w:rPr>
        <w:t xml:space="preserve"> El sujeto obligado responsable del acto lo modifique o revoque de tal manera que el recurso de revisión quede sin materia</w:t>
      </w:r>
      <w:r>
        <w:rPr>
          <w:rFonts w:ascii="Palatino Linotype" w:hAnsi="Palatino Linotype" w:cs="Bookman Old Style"/>
          <w:b/>
          <w:i/>
          <w:sz w:val="22"/>
          <w:szCs w:val="22"/>
        </w:rPr>
        <w:t>…</w:t>
      </w:r>
      <w:r w:rsidRPr="00B33B44">
        <w:rPr>
          <w:rFonts w:ascii="Palatino Linotype" w:hAnsi="Palatino Linotype" w:cs="Bookman Old Style"/>
          <w:b/>
          <w:i/>
          <w:sz w:val="22"/>
          <w:szCs w:val="22"/>
        </w:rPr>
        <w:t>”. (Sic)</w:t>
      </w:r>
    </w:p>
    <w:p w:rsidR="00D25C96" w:rsidRDefault="00D25C96" w:rsidP="00D25C96">
      <w:pPr>
        <w:spacing w:before="240" w:after="240" w:line="360" w:lineRule="auto"/>
        <w:contextualSpacing/>
        <w:jc w:val="both"/>
        <w:rPr>
          <w:rFonts w:ascii="Palatino Linotype" w:hAnsi="Palatino Linotype" w:cs="Bookman Old Style"/>
          <w:b/>
          <w:i/>
        </w:rPr>
      </w:pPr>
    </w:p>
    <w:p w:rsidR="00D25C96" w:rsidRDefault="00D25C96" w:rsidP="00D25C96">
      <w:pPr>
        <w:spacing w:before="240" w:after="240" w:line="360" w:lineRule="auto"/>
        <w:jc w:val="both"/>
        <w:rPr>
          <w:rFonts w:ascii="Palatino Linotype" w:hAnsi="Palatino Linotype"/>
        </w:rPr>
      </w:pPr>
      <w:r>
        <w:rPr>
          <w:rFonts w:ascii="Palatino Linotype" w:hAnsi="Palatino Linotype"/>
        </w:rPr>
        <w:t>De lo establecido en el precepto legal citado se advierte que el sobreseimiento del recurso de revisión procede en los siguientes casos:</w:t>
      </w:r>
    </w:p>
    <w:p w:rsidR="00D25C96" w:rsidRDefault="00D25C96" w:rsidP="00D25C96">
      <w:pPr>
        <w:spacing w:before="240" w:after="240" w:line="360" w:lineRule="auto"/>
        <w:jc w:val="both"/>
        <w:rPr>
          <w:rFonts w:ascii="Palatino Linotype" w:hAnsi="Palatino Linotype"/>
        </w:rPr>
      </w:pPr>
      <w:r>
        <w:rPr>
          <w:rFonts w:ascii="Palatino Linotype" w:hAnsi="Palatino Linotype"/>
        </w:rPr>
        <w:t>a) Cuando el sujeto obligado modifique el acto impugnado.</w:t>
      </w:r>
    </w:p>
    <w:p w:rsidR="00D25C96" w:rsidRDefault="00D25C96" w:rsidP="00D25C96">
      <w:pPr>
        <w:spacing w:before="240" w:after="240" w:line="360" w:lineRule="auto"/>
        <w:jc w:val="both"/>
        <w:rPr>
          <w:rFonts w:ascii="Palatino Linotype" w:hAnsi="Palatino Linotype"/>
        </w:rPr>
      </w:pPr>
      <w:r>
        <w:rPr>
          <w:rFonts w:ascii="Palatino Linotype" w:hAnsi="Palatino Linotype"/>
        </w:rPr>
        <w:t>b) Cuando el sujeto obligado revoque el acto impugnado.</w:t>
      </w:r>
    </w:p>
    <w:p w:rsidR="00D25C96" w:rsidRDefault="00D25C96" w:rsidP="00D25C96">
      <w:pPr>
        <w:spacing w:before="240" w:after="240" w:line="360" w:lineRule="auto"/>
        <w:jc w:val="both"/>
        <w:rPr>
          <w:rFonts w:ascii="Palatino Linotype" w:hAnsi="Palatino Linotype" w:cs="Arial"/>
        </w:rPr>
      </w:pPr>
      <w:r>
        <w:rPr>
          <w:rFonts w:ascii="Palatino Linotype" w:hAnsi="Palatino Linotype"/>
        </w:rPr>
        <w:t>Quedando en ambos casos el acto combatido sin materia o sin efectos.</w:t>
      </w:r>
    </w:p>
    <w:p w:rsidR="00D25C96" w:rsidRDefault="00D25C96" w:rsidP="00D25C96">
      <w:pPr>
        <w:spacing w:before="240" w:after="240" w:line="360" w:lineRule="auto"/>
        <w:jc w:val="both"/>
        <w:rPr>
          <w:rFonts w:ascii="Palatino Linotype" w:hAnsi="Palatino Linotype"/>
        </w:rPr>
      </w:pPr>
      <w:r>
        <w:rPr>
          <w:rFonts w:ascii="Palatino Linotype" w:hAnsi="Palatino Linotype"/>
        </w:rPr>
        <w:t>Como se observa de lo anterior, un acto impugnado es modificado en aquellos casos en los que el Sujeto Obligado después de haber otorgado una respuesta, emite una diversa de manera posterior y en ésta subsana las deficiencias que hubiera tenido, quedando satisfecho el derecho subjetivo accionado por la parte recurrente.</w:t>
      </w:r>
    </w:p>
    <w:p w:rsidR="00D25C96" w:rsidRDefault="00D25C96" w:rsidP="00D25C96">
      <w:pPr>
        <w:spacing w:before="240" w:after="240" w:line="360" w:lineRule="auto"/>
        <w:jc w:val="both"/>
        <w:rPr>
          <w:rFonts w:ascii="Palatino Linotype" w:hAnsi="Palatino Linotype"/>
        </w:rPr>
      </w:pPr>
      <w:r>
        <w:rPr>
          <w:rFonts w:ascii="Palatino Linotype" w:hAnsi="Palatino Linotype"/>
        </w:rPr>
        <w:t>Por lo que hace a la revocación, esta se actualiza cuando el sujeto obligado deja sin efectos la primera respuesta y en su lugar emite otra con las características y cualidades suficientes para dejar satisfecho el ejercicio del derecho al acceso a la información pública.</w:t>
      </w:r>
    </w:p>
    <w:p w:rsidR="00D25C96" w:rsidRDefault="00D25C96" w:rsidP="00D25C96">
      <w:pPr>
        <w:spacing w:before="240" w:after="240" w:line="360" w:lineRule="auto"/>
        <w:contextualSpacing/>
        <w:jc w:val="both"/>
        <w:rPr>
          <w:rFonts w:ascii="Palatino Linotype" w:hAnsi="Palatino Linotype"/>
        </w:rPr>
      </w:pPr>
      <w:r>
        <w:rPr>
          <w:rFonts w:ascii="Palatino Linotype" w:hAnsi="Palatino Linotype"/>
        </w:rPr>
        <w:t>En ese tenor, un acto impugnado queda sin efectos, cuando aun existiendo jurídicamente (esto es, que no se ha modificado, ni revocado) ya no genera ninguna consecuencia legal.</w:t>
      </w:r>
    </w:p>
    <w:p w:rsidR="00D25C96" w:rsidRDefault="00D25C96" w:rsidP="00D25C96">
      <w:pPr>
        <w:spacing w:before="240" w:after="240" w:line="360" w:lineRule="auto"/>
        <w:contextualSpacing/>
        <w:jc w:val="both"/>
        <w:rPr>
          <w:rFonts w:ascii="Palatino Linotype" w:hAnsi="Palatino Linotype"/>
        </w:rPr>
      </w:pPr>
    </w:p>
    <w:p w:rsidR="00D25C96" w:rsidRDefault="00D25C96" w:rsidP="00D25C96">
      <w:pPr>
        <w:spacing w:before="240" w:after="240" w:line="360" w:lineRule="auto"/>
        <w:jc w:val="both"/>
        <w:rPr>
          <w:rFonts w:ascii="Palatino Linotype" w:hAnsi="Palatino Linotype"/>
        </w:rPr>
      </w:pPr>
      <w:r>
        <w:rPr>
          <w:rFonts w:ascii="Palatino Linotype" w:hAnsi="Palatino Linotype"/>
        </w:rPr>
        <w:lastRenderedPageBreak/>
        <w:t xml:space="preserve">En tanto, en el presente caso queda sin materia toda vez que en el Informe Justificado </w:t>
      </w:r>
      <w:r w:rsidRPr="00850BC3">
        <w:rPr>
          <w:rFonts w:ascii="Palatino Linotype" w:hAnsi="Palatino Linotype"/>
        </w:rPr>
        <w:t xml:space="preserve">el Sujeto Obligado modificó la </w:t>
      </w:r>
      <w:r>
        <w:rPr>
          <w:rFonts w:ascii="Palatino Linotype" w:hAnsi="Palatino Linotype"/>
        </w:rPr>
        <w:t xml:space="preserve">respuesta al remitir su </w:t>
      </w:r>
      <w:r w:rsidRPr="007E20FC">
        <w:rPr>
          <w:rFonts w:ascii="Palatino Linotype" w:hAnsi="Palatino Linotype" w:cs="Arial"/>
          <w:lang w:eastAsia="en-US"/>
        </w:rPr>
        <w:t xml:space="preserve">Balanza de </w:t>
      </w:r>
      <w:r>
        <w:rPr>
          <w:rFonts w:ascii="Palatino Linotype" w:hAnsi="Palatino Linotype" w:cs="Arial"/>
          <w:lang w:eastAsia="en-US"/>
        </w:rPr>
        <w:t>C</w:t>
      </w:r>
      <w:r w:rsidRPr="007E20FC">
        <w:rPr>
          <w:rFonts w:ascii="Palatino Linotype" w:hAnsi="Palatino Linotype" w:cs="Arial"/>
          <w:lang w:eastAsia="en-US"/>
        </w:rPr>
        <w:t xml:space="preserve">omprobación Detallada </w:t>
      </w:r>
      <w:r w:rsidR="00600AFE">
        <w:rPr>
          <w:rFonts w:ascii="Palatino Linotype" w:hAnsi="Palatino Linotype" w:cs="Arial"/>
          <w:lang w:eastAsia="en-US"/>
        </w:rPr>
        <w:t>del mes de s</w:t>
      </w:r>
      <w:r w:rsidRPr="007E20FC">
        <w:rPr>
          <w:rFonts w:ascii="Palatino Linotype" w:hAnsi="Palatino Linotype" w:cs="Arial"/>
          <w:lang w:eastAsia="en-US"/>
        </w:rPr>
        <w:t>eptiembre de 2021</w:t>
      </w:r>
      <w:r>
        <w:rPr>
          <w:rFonts w:ascii="Palatino Linotype" w:hAnsi="Palatino Linotype" w:cs="Arial"/>
          <w:lang w:eastAsia="en-US"/>
        </w:rPr>
        <w:t>.</w:t>
      </w:r>
    </w:p>
    <w:p w:rsidR="00D25C96" w:rsidRDefault="00D25C96" w:rsidP="00D25C96">
      <w:pPr>
        <w:spacing w:before="240" w:after="240" w:line="360" w:lineRule="auto"/>
        <w:jc w:val="both"/>
        <w:rPr>
          <w:rFonts w:ascii="Palatino Linotype" w:hAnsi="Palatino Linotype"/>
        </w:rPr>
      </w:pPr>
      <w:r>
        <w:rPr>
          <w:rFonts w:ascii="Palatino Linotype" w:hAnsi="Palatino Linotype"/>
        </w:rPr>
        <w:t>Máxime, que el área del</w:t>
      </w:r>
      <w:r w:rsidR="00864153">
        <w:rPr>
          <w:rFonts w:ascii="Palatino Linotype" w:hAnsi="Palatino Linotype"/>
        </w:rPr>
        <w:t xml:space="preserve"> Sujeto Obligado que proporcionó</w:t>
      </w:r>
      <w:r>
        <w:rPr>
          <w:rFonts w:ascii="Palatino Linotype" w:hAnsi="Palatino Linotype"/>
        </w:rPr>
        <w:t xml:space="preserve"> la información fue su Tesorería Municipal, que de acuerdo al artículo 95 y 101 de la Ley Orgánica Municipal del Estado de México, tiene las siguientes atribuciones:</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w:t>
      </w:r>
      <w:r w:rsidRPr="00EF0E0E">
        <w:rPr>
          <w:rFonts w:ascii="Palatino Linotype" w:hAnsi="Palatino Linotype" w:cs="Bookman Old Style"/>
          <w:b/>
          <w:i/>
          <w:sz w:val="22"/>
          <w:szCs w:val="22"/>
        </w:rPr>
        <w:t>Artículo 95.- Son atribuciones del tesorero municipal:</w:t>
      </w:r>
      <w:r w:rsidRPr="00EF0E0E">
        <w:rPr>
          <w:rFonts w:ascii="Palatino Linotype" w:hAnsi="Palatino Linotype" w:cs="Bookman Old Style"/>
          <w:i/>
          <w:sz w:val="22"/>
          <w:szCs w:val="22"/>
        </w:rPr>
        <w:t xml:space="preserve">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b/>
          <w:i/>
          <w:sz w:val="22"/>
          <w:szCs w:val="22"/>
        </w:rPr>
        <w:t>I. Administrar la hacienda pública municipal, de conformidad con las disposiciones legales aplicables</w:t>
      </w:r>
      <w:r w:rsidRPr="00EF0E0E">
        <w:rPr>
          <w:rFonts w:ascii="Palatino Linotype" w:hAnsi="Palatino Linotype" w:cs="Bookman Old Style"/>
          <w:i/>
          <w:sz w:val="22"/>
          <w:szCs w:val="22"/>
        </w:rPr>
        <w:t xml:space="preserve">;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III. Imponer las sanciones administrativas que procedan por infracciones a las disposiciones fiscales;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IV. Llevar los registros contables, financieros y administrativos de los ingresos, egresos, e inventarios; </w:t>
      </w:r>
    </w:p>
    <w:p w:rsidR="00D25C96" w:rsidRPr="00EF0E0E" w:rsidRDefault="00D25C96" w:rsidP="00D25C96">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EF0E0E">
        <w:rPr>
          <w:rFonts w:ascii="Palatino Linotype" w:hAnsi="Palatino Linotype" w:cs="Bookman Old Style"/>
          <w:b/>
          <w:i/>
          <w:sz w:val="22"/>
          <w:szCs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D25C96" w:rsidRPr="00EF0E0E" w:rsidRDefault="00D25C96" w:rsidP="00D25C96">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EF0E0E">
        <w:rPr>
          <w:rFonts w:ascii="Palatino Linotype" w:hAnsi="Palatino Linotype" w:cs="Bookman Old Style"/>
          <w:b/>
          <w:i/>
          <w:sz w:val="22"/>
          <w:szCs w:val="22"/>
        </w:rPr>
        <w:t>VI. Presentar anualmente al ayuntamiento un informe de la situación contable financiera de la Tesorería Municipal;</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 VI Bis. Proporcionar para la formulación del proyecto de Presupuesto de Egresos Municipales la información financiera relativa a la solución o en su caso, el pago de los litigios laborales;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VII. Diseñar y aprobar las formas oficiales de manifestaciones, avisos y declaraciones y demás documentos requeridos;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VIII. Participar en la formulación de Convenios Fiscales y ejercer las atribuciones que le correspondan en el ámbito de su competencia;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IX. Proponer al ayuntamiento la cancelación de cuentas incobrables;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 Custodiar y ejercer las garantías que se otorguen en favor de la hacienda municipal;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XI. Proponer la política de ingresos de la tesorería municipal;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lastRenderedPageBreak/>
        <w:t xml:space="preserve">XII. Intervenir en la elaboración del programa financiero municipal;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XIII. Elaborar y mantener actualizado el Padrón de Contribuyentes;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XIV. Ministrar a su inmediato antecesor todos los datos oficiales que le solicitare, para contestar los pliegos de observaciones y alcances que formule y deduzca el Órgano Superior de Fiscalización del Estado de México;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XV. Solicitar a las instancias competentes, la práctica de revisiones circunstanciadas, de conformidad con las normas que rigen en materia de control y evaluación gubernamental en el ámbito municipal;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XVI. Glosar oportunamente las cuentas del ayuntamiento;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XVIII. Expedir copias certificadas de los documentos a su cuidado, por acuerdo expreso del Ayuntamiento y cuando se trate de documentación presentada ante el Órgano Superior de Fiscalización del Estado de México; 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XX. Dar cumplimiento a las leyes, convenios de coordinación fiscal y demás que en materia hacendaria celebre el Ayuntamiento con el Estado;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XXI. Entregar oportunamente a él o los Síndicos, según sea el caso, el informe mensual que corresponda, a fin de que se revise, y de ser necesario, para que se formulen las observaciones respectivas. </w:t>
      </w:r>
    </w:p>
    <w:p w:rsidR="00D25C96"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XXII. Las que les señalen las demás disposiciones legales y el ayuntamiento</w:t>
      </w:r>
      <w:r w:rsidR="00600AFE">
        <w:rPr>
          <w:rFonts w:ascii="Palatino Linotype" w:hAnsi="Palatino Linotype" w:cs="Bookman Old Style"/>
          <w:i/>
          <w:sz w:val="22"/>
          <w:szCs w:val="22"/>
        </w:rPr>
        <w:t>” (</w:t>
      </w:r>
      <w:r>
        <w:rPr>
          <w:rFonts w:ascii="Palatino Linotype" w:hAnsi="Palatino Linotype" w:cs="Bookman Old Style"/>
          <w:i/>
          <w:sz w:val="22"/>
          <w:szCs w:val="22"/>
        </w:rPr>
        <w:t>Sic)</w:t>
      </w:r>
    </w:p>
    <w:p w:rsidR="00D25C96" w:rsidRPr="00022119" w:rsidRDefault="00D25C96" w:rsidP="00D25C96">
      <w:pPr>
        <w:autoSpaceDE w:val="0"/>
        <w:autoSpaceDN w:val="0"/>
        <w:adjustRightInd w:val="0"/>
        <w:spacing w:before="240" w:after="240"/>
        <w:ind w:left="992" w:right="1043"/>
        <w:contextualSpacing/>
        <w:jc w:val="both"/>
        <w:rPr>
          <w:rFonts w:ascii="Palatino Linotype" w:hAnsi="Palatino Linotype" w:cs="Bookman Old Style"/>
          <w:i/>
          <w:sz w:val="22"/>
          <w:szCs w:val="22"/>
        </w:rPr>
      </w:pPr>
    </w:p>
    <w:p w:rsidR="00D25C96" w:rsidRPr="00F52682" w:rsidRDefault="00D25C96" w:rsidP="00D25C96">
      <w:pPr>
        <w:spacing w:before="240" w:after="240" w:line="360" w:lineRule="auto"/>
        <w:jc w:val="both"/>
        <w:rPr>
          <w:rFonts w:ascii="Palatino Linotype" w:hAnsi="Palatino Linotype"/>
        </w:rPr>
      </w:pPr>
      <w:r>
        <w:rPr>
          <w:rFonts w:ascii="Palatino Linotype" w:hAnsi="Palatino Linotype"/>
        </w:rPr>
        <w:t xml:space="preserve">De tal manera, es evidente que con ello queda sin materia el presente recurso de revisión, </w:t>
      </w:r>
      <w:r w:rsidRPr="00850BC3">
        <w:rPr>
          <w:rFonts w:ascii="Palatino Linotype" w:hAnsi="Palatino Linotype"/>
        </w:rPr>
        <w:t xml:space="preserve">ya que la inconformidad sobre </w:t>
      </w:r>
      <w:r>
        <w:rPr>
          <w:rFonts w:ascii="Palatino Linotype" w:hAnsi="Palatino Linotype"/>
        </w:rPr>
        <w:t xml:space="preserve">la </w:t>
      </w:r>
      <w:r w:rsidR="00600AFE">
        <w:rPr>
          <w:rFonts w:ascii="Palatino Linotype" w:hAnsi="Palatino Linotype"/>
        </w:rPr>
        <w:t>falta de respuesta</w:t>
      </w:r>
      <w:r>
        <w:rPr>
          <w:rFonts w:ascii="Palatino Linotype" w:hAnsi="Palatino Linotype"/>
        </w:rPr>
        <w:t xml:space="preserve">, se subsano con la información </w:t>
      </w:r>
      <w:r w:rsidRPr="00F52682">
        <w:rPr>
          <w:rFonts w:ascii="Palatino Linotype" w:hAnsi="Palatino Linotype"/>
        </w:rPr>
        <w:t>entregada en el apartado de manifestaciones del SAIME</w:t>
      </w:r>
      <w:r>
        <w:rPr>
          <w:rFonts w:ascii="Palatino Linotype" w:hAnsi="Palatino Linotype"/>
        </w:rPr>
        <w:t>X, que fue puesta a la vista del recurrente</w:t>
      </w:r>
      <w:r w:rsidRPr="00F52682">
        <w:rPr>
          <w:rFonts w:ascii="Palatino Linotype" w:hAnsi="Palatino Linotype"/>
        </w:rPr>
        <w:t xml:space="preserve">, ya no cobraría sentido; y si respecto de la misma no </w:t>
      </w:r>
      <w:r w:rsidRPr="00F52682">
        <w:rPr>
          <w:rFonts w:ascii="Palatino Linotype" w:hAnsi="Palatino Linotype"/>
        </w:rPr>
        <w:lastRenderedPageBreak/>
        <w:t>formuló alegato alguno dentro del plazo concedido para tal efecto se entiende que se encuentra satisfecho.</w:t>
      </w:r>
    </w:p>
    <w:p w:rsidR="00D25C96" w:rsidRDefault="00D25C96" w:rsidP="00D25C96">
      <w:pPr>
        <w:spacing w:before="240" w:after="240" w:line="360" w:lineRule="auto"/>
        <w:jc w:val="both"/>
        <w:rPr>
          <w:rFonts w:ascii="Palatino Linotype" w:hAnsi="Palatino Linotype"/>
        </w:rPr>
      </w:pPr>
      <w:r w:rsidRPr="00850BC3">
        <w:rPr>
          <w:rFonts w:ascii="Palatino Linotype" w:hAnsi="Palatino Linotype"/>
        </w:rPr>
        <w:t>En resumen, el Sujeto Obligado dio respuesta completa a la solicitud de acces</w:t>
      </w:r>
      <w:r w:rsidR="00864153">
        <w:rPr>
          <w:rFonts w:ascii="Palatino Linotype" w:hAnsi="Palatino Linotype"/>
        </w:rPr>
        <w:t>o a la información pública del</w:t>
      </w:r>
      <w:r w:rsidRPr="00850BC3">
        <w:rPr>
          <w:rFonts w:ascii="Palatino Linotype" w:hAnsi="Palatino Linotype"/>
        </w:rPr>
        <w:t xml:space="preserve"> ahora recurrente; aunque ello haya sido de manera posterior a su respuesta inicial; dejando con ello sin materia el presente recurso de revisión, actualizándose entonces la ca</w:t>
      </w:r>
      <w:r>
        <w:rPr>
          <w:rFonts w:ascii="Palatino Linotype" w:hAnsi="Palatino Linotype"/>
        </w:rPr>
        <w:t>usal prevista en la fracción III</w:t>
      </w:r>
      <w:r w:rsidRPr="00850BC3">
        <w:rPr>
          <w:rFonts w:ascii="Palatino Linotype" w:hAnsi="Palatino Linotype"/>
        </w:rPr>
        <w:t xml:space="preserve"> del artículo 192 de la Ley de la Materia vigente en la Entidad, antes transcrita. </w:t>
      </w:r>
    </w:p>
    <w:p w:rsidR="00D25C96" w:rsidRDefault="00D25C96" w:rsidP="00D25C96">
      <w:pPr>
        <w:spacing w:before="240" w:after="240" w:line="360" w:lineRule="auto"/>
        <w:jc w:val="both"/>
        <w:rPr>
          <w:rFonts w:ascii="Palatino Linotype" w:hAnsi="Palatino Linotype"/>
        </w:rPr>
      </w:pPr>
      <w:r>
        <w:rPr>
          <w:rFonts w:ascii="Palatino Linotype" w:hAnsi="Palatino Linotype"/>
        </w:rPr>
        <w:t xml:space="preserve">Siendo 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rsidR="00D25C96" w:rsidRDefault="00D25C96" w:rsidP="00D25C96">
      <w:pPr>
        <w:spacing w:before="240" w:after="240" w:line="360" w:lineRule="auto"/>
        <w:ind w:left="567" w:right="567"/>
        <w:jc w:val="both"/>
        <w:rPr>
          <w:rFonts w:ascii="Palatino Linotype" w:hAnsi="Palatino Linotype"/>
          <w:b/>
        </w:rPr>
      </w:pPr>
      <w:r>
        <w:rPr>
          <w:rFonts w:ascii="Palatino Linotype" w:hAnsi="Palatino Linotype"/>
          <w:sz w:val="22"/>
          <w:szCs w:val="22"/>
        </w:rPr>
        <w:t>“</w:t>
      </w:r>
      <w:r>
        <w:rPr>
          <w:rFonts w:ascii="Palatino Linotype" w:hAnsi="Palatino Linotype"/>
          <w:b/>
          <w:sz w:val="22"/>
          <w:szCs w:val="22"/>
        </w:rPr>
        <w:t>SOBRESEIMIENTO, NO PERMITE ENTRAR AL ESTUDIO DE LAS CUESTIONES DE FONDO</w:t>
      </w:r>
    </w:p>
    <w:p w:rsidR="00D25C96" w:rsidRPr="00232C0E" w:rsidRDefault="00D25C96" w:rsidP="00D25C96">
      <w:pPr>
        <w:spacing w:before="240" w:after="240"/>
        <w:ind w:left="567" w:right="567"/>
        <w:contextualSpacing/>
        <w:jc w:val="both"/>
        <w:rPr>
          <w:rFonts w:ascii="Palatino Linotype" w:hAnsi="Palatino Linotype"/>
          <w:i/>
          <w:sz w:val="22"/>
          <w:szCs w:val="22"/>
        </w:rPr>
      </w:pPr>
      <w:r w:rsidRPr="00232C0E">
        <w:rPr>
          <w:rFonts w:ascii="Palatino Linotype" w:hAnsi="Palatino Linotype"/>
          <w:i/>
          <w:sz w:val="22"/>
          <w:szCs w:val="22"/>
        </w:rPr>
        <w:t>Localización: 213609. II.2o.183 K. Tribunales Colegiados de Circuito. Octava Época. Semanario Judicial de la Federación. Tomo XIII, Febrero de 1994, Pág. 420</w:t>
      </w:r>
    </w:p>
    <w:p w:rsidR="00D25C96" w:rsidRDefault="00D25C96" w:rsidP="00D25C96">
      <w:pPr>
        <w:spacing w:before="240" w:after="240"/>
        <w:ind w:left="567" w:right="567"/>
        <w:contextualSpacing/>
        <w:jc w:val="both"/>
        <w:rPr>
          <w:rFonts w:ascii="Palatino Linotype" w:hAnsi="Palatino Linotype"/>
          <w:i/>
          <w:sz w:val="22"/>
          <w:szCs w:val="22"/>
        </w:rPr>
      </w:pPr>
      <w:r w:rsidRPr="00232C0E">
        <w:rPr>
          <w:rFonts w:ascii="Palatino Linotype" w:hAnsi="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w:t>
      </w:r>
      <w:r>
        <w:rPr>
          <w:rFonts w:ascii="Palatino Linotype" w:hAnsi="Palatino Linotype"/>
          <w:i/>
          <w:sz w:val="22"/>
          <w:szCs w:val="22"/>
        </w:rPr>
        <w:t>” (Sic)</w:t>
      </w:r>
    </w:p>
    <w:p w:rsidR="00D25C96" w:rsidRPr="00232C0E" w:rsidRDefault="00D25C96" w:rsidP="00D25C96">
      <w:pPr>
        <w:spacing w:before="240" w:after="240"/>
        <w:ind w:left="567" w:right="567"/>
        <w:contextualSpacing/>
        <w:jc w:val="both"/>
        <w:rPr>
          <w:rFonts w:ascii="Palatino Linotype" w:hAnsi="Palatino Linotype"/>
          <w:i/>
          <w:sz w:val="22"/>
          <w:szCs w:val="22"/>
        </w:rPr>
      </w:pPr>
    </w:p>
    <w:p w:rsidR="00D25C96" w:rsidRDefault="00D25C96" w:rsidP="00D25C96">
      <w:pPr>
        <w:spacing w:before="240" w:after="240" w:line="360" w:lineRule="auto"/>
        <w:jc w:val="both"/>
        <w:rPr>
          <w:rFonts w:ascii="Palatino Linotype" w:hAnsi="Palatino Linotype" w:cs="Arial"/>
        </w:rPr>
      </w:pPr>
      <w:r>
        <w:rPr>
          <w:rFonts w:ascii="Palatino Linotype" w:hAnsi="Palatino Linotype" w:cs="Arial"/>
        </w:rPr>
        <w:t>Cabe d</w:t>
      </w:r>
      <w:r w:rsidRPr="002F68E2">
        <w:rPr>
          <w:rFonts w:ascii="Palatino Linotype" w:hAnsi="Palatino Linotype" w:cs="Arial"/>
        </w:rPr>
        <w:t>estaca</w:t>
      </w:r>
      <w:r>
        <w:rPr>
          <w:rFonts w:ascii="Palatino Linotype" w:hAnsi="Palatino Linotype" w:cs="Arial"/>
        </w:rPr>
        <w:t>r que la decisión de este órgano colegiado de sobreseer el recurso de revisión no implica una limitación o negación a la justicia, según lo ha establecido el Poder Judicial Federal, en el criterio que es aplicable por analogía, con rubro:</w:t>
      </w:r>
    </w:p>
    <w:p w:rsidR="00D25C96" w:rsidRPr="00232C0E" w:rsidRDefault="00D25C96" w:rsidP="00D25C96">
      <w:pPr>
        <w:spacing w:before="240" w:after="240"/>
        <w:ind w:left="567" w:right="567"/>
        <w:contextualSpacing/>
        <w:jc w:val="both"/>
        <w:rPr>
          <w:rFonts w:ascii="Palatino Linotype" w:hAnsi="Palatino Linotype"/>
          <w:i/>
          <w:sz w:val="22"/>
          <w:szCs w:val="22"/>
        </w:rPr>
      </w:pPr>
      <w:r>
        <w:rPr>
          <w:rFonts w:ascii="Palatino Linotype" w:hAnsi="Palatino Linotype" w:cs="Arial"/>
        </w:rPr>
        <w:lastRenderedPageBreak/>
        <w:t xml:space="preserve"> </w:t>
      </w:r>
      <w:r w:rsidRPr="00232C0E">
        <w:rPr>
          <w:rFonts w:ascii="Palatino Linotype" w:hAnsi="Palatino Linotype"/>
          <w:i/>
          <w:sz w:val="22"/>
          <w:szCs w:val="22"/>
        </w:rPr>
        <w:t>“DESECHAMIENTO O SOBRESEIMIENTO EN EL JUICIO DE AMPARO. NO IMPLICA DENEGACIÓN DE JUSTICIA NI GENERA INSEGURIDAD JURÍDICA”</w:t>
      </w:r>
    </w:p>
    <w:p w:rsidR="00D25C96" w:rsidRDefault="00D25C96" w:rsidP="00D25C96">
      <w:pPr>
        <w:spacing w:before="240" w:after="240"/>
        <w:ind w:left="567" w:right="567"/>
        <w:contextualSpacing/>
        <w:jc w:val="both"/>
        <w:rPr>
          <w:rFonts w:ascii="Palatino Linotype" w:hAnsi="Palatino Linotype"/>
          <w:i/>
          <w:sz w:val="22"/>
          <w:szCs w:val="22"/>
        </w:rPr>
      </w:pPr>
      <w:r w:rsidRPr="00232C0E">
        <w:rPr>
          <w:rFonts w:ascii="Palatino Linotype" w:hAnsi="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r>
        <w:rPr>
          <w:rFonts w:ascii="Palatino Linotype" w:hAnsi="Palatino Linotype"/>
          <w:i/>
          <w:sz w:val="22"/>
          <w:szCs w:val="22"/>
        </w:rPr>
        <w:t>” (Sic)</w:t>
      </w:r>
    </w:p>
    <w:p w:rsidR="00D25C96" w:rsidRPr="00232C0E" w:rsidRDefault="00D25C96" w:rsidP="00D25C96">
      <w:pPr>
        <w:spacing w:before="240" w:after="240"/>
        <w:ind w:left="567" w:right="567"/>
        <w:contextualSpacing/>
        <w:jc w:val="both"/>
        <w:rPr>
          <w:rFonts w:ascii="Palatino Linotype" w:hAnsi="Palatino Linotype"/>
          <w:i/>
          <w:sz w:val="22"/>
          <w:szCs w:val="22"/>
        </w:rPr>
      </w:pPr>
    </w:p>
    <w:p w:rsidR="00D25C96" w:rsidRPr="00911351" w:rsidRDefault="00D25C96" w:rsidP="00D25C96">
      <w:pPr>
        <w:autoSpaceDE w:val="0"/>
        <w:autoSpaceDN w:val="0"/>
        <w:adjustRightInd w:val="0"/>
        <w:spacing w:before="240" w:after="240" w:line="360" w:lineRule="auto"/>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rsidR="00D25C96" w:rsidRPr="00385EEC" w:rsidRDefault="00D25C96" w:rsidP="00D25C96">
      <w:pPr>
        <w:spacing w:before="240" w:after="240" w:line="360" w:lineRule="auto"/>
        <w:ind w:left="360"/>
        <w:contextualSpacing/>
        <w:jc w:val="center"/>
        <w:rPr>
          <w:rFonts w:ascii="Palatino Linotype" w:hAnsi="Palatino Linotype" w:cs="Arial"/>
          <w:b/>
        </w:rPr>
      </w:pPr>
      <w:r>
        <w:rPr>
          <w:rFonts w:ascii="Palatino Linotype" w:hAnsi="Palatino Linotype" w:cs="Arial"/>
          <w:b/>
        </w:rPr>
        <w:t>III.</w:t>
      </w:r>
      <w:r w:rsidRPr="00385EEC">
        <w:rPr>
          <w:rFonts w:ascii="Palatino Linotype" w:hAnsi="Palatino Linotype" w:cs="Arial"/>
          <w:b/>
        </w:rPr>
        <w:t>R E S U E L V E:</w:t>
      </w:r>
    </w:p>
    <w:p w:rsidR="00600AFE" w:rsidRDefault="00D25C96" w:rsidP="00600AFE">
      <w:pPr>
        <w:spacing w:before="240" w:after="240" w:line="360" w:lineRule="auto"/>
        <w:contextualSpacing/>
        <w:jc w:val="both"/>
        <w:rPr>
          <w:rFonts w:ascii="Palatino Linotype" w:hAnsi="Palatino Linotype"/>
        </w:rPr>
      </w:pPr>
      <w:r w:rsidRPr="006A2D4B">
        <w:rPr>
          <w:rFonts w:ascii="Palatino Linotype" w:hAnsi="Palatino Linotype" w:cs="Arial"/>
          <w:b/>
          <w:bCs/>
          <w:shd w:val="clear" w:color="auto" w:fill="FFFFFF"/>
        </w:rPr>
        <w:t>Primero</w:t>
      </w:r>
      <w:r w:rsidRPr="006A2D4B">
        <w:rPr>
          <w:rFonts w:ascii="Palatino Linotype" w:hAnsi="Palatino Linotype" w:cs="Arial"/>
          <w:bCs/>
          <w:shd w:val="clear" w:color="auto" w:fill="FFFFFF"/>
        </w:rPr>
        <w:t xml:space="preserve">. Se </w:t>
      </w:r>
      <w:r w:rsidRPr="006A2D4B">
        <w:rPr>
          <w:rFonts w:ascii="Palatino Linotype" w:hAnsi="Palatino Linotype" w:cs="Arial"/>
          <w:b/>
          <w:bCs/>
          <w:shd w:val="clear" w:color="auto" w:fill="FFFFFF"/>
        </w:rPr>
        <w:t>SOBRESEE</w:t>
      </w:r>
      <w:r w:rsidRPr="006A2D4B">
        <w:rPr>
          <w:rFonts w:ascii="Palatino Linotype" w:hAnsi="Palatino Linotype" w:cs="Arial"/>
          <w:bCs/>
          <w:shd w:val="clear" w:color="auto" w:fill="FFFFFF"/>
        </w:rPr>
        <w:t xml:space="preserve"> el recurso de revisión número </w:t>
      </w:r>
      <w:r w:rsidRPr="006A2D4B">
        <w:rPr>
          <w:rFonts w:ascii="Palatino Linotype" w:hAnsi="Palatino Linotype" w:cs="Arial"/>
          <w:b/>
          <w:bCs/>
          <w:shd w:val="clear" w:color="auto" w:fill="FFFFFF"/>
        </w:rPr>
        <w:t>0</w:t>
      </w:r>
      <w:r w:rsidR="00600AFE">
        <w:rPr>
          <w:rFonts w:ascii="Palatino Linotype" w:hAnsi="Palatino Linotype" w:cs="Arial"/>
          <w:b/>
          <w:bCs/>
          <w:shd w:val="clear" w:color="auto" w:fill="FFFFFF"/>
        </w:rPr>
        <w:t>5029</w:t>
      </w:r>
      <w:r>
        <w:rPr>
          <w:rFonts w:ascii="Palatino Linotype" w:hAnsi="Palatino Linotype" w:cs="Arial"/>
          <w:b/>
          <w:bCs/>
          <w:shd w:val="clear" w:color="auto" w:fill="FFFFFF"/>
        </w:rPr>
        <w:t>/INFOEM/IP/RR/2021</w:t>
      </w:r>
      <w:r w:rsidRPr="006A2D4B">
        <w:rPr>
          <w:rFonts w:ascii="Palatino Linotype" w:hAnsi="Palatino Linotype" w:cs="Arial"/>
          <w:b/>
        </w:rPr>
        <w:t>,</w:t>
      </w:r>
      <w:r w:rsidRPr="006A2D4B">
        <w:rPr>
          <w:rFonts w:ascii="Palatino Linotype" w:hAnsi="Palatino Linotype"/>
        </w:rPr>
        <w:t xml:space="preserve"> </w:t>
      </w:r>
      <w:r w:rsidR="00600AFE">
        <w:rPr>
          <w:rFonts w:ascii="Palatino Linotype" w:hAnsi="Palatino Linotype"/>
        </w:rPr>
        <w:t>porque al modificar la falta de respuesta el recurso de revisión quedó sin materia en términos del Considerando Tercero de la presente resolución.</w:t>
      </w:r>
    </w:p>
    <w:p w:rsidR="00D25C96" w:rsidRDefault="00D25C96" w:rsidP="00D25C96">
      <w:pPr>
        <w:spacing w:before="240" w:after="240" w:line="360" w:lineRule="auto"/>
        <w:contextualSpacing/>
        <w:jc w:val="both"/>
        <w:rPr>
          <w:rFonts w:ascii="Palatino Linotype" w:hAnsi="Palatino Linotype"/>
          <w:b/>
          <w:sz w:val="20"/>
          <w:szCs w:val="20"/>
        </w:rPr>
      </w:pPr>
    </w:p>
    <w:p w:rsidR="00D25C96" w:rsidRPr="006A2D4B" w:rsidRDefault="00D25C96" w:rsidP="00D25C96">
      <w:pPr>
        <w:spacing w:before="240" w:after="240" w:line="360" w:lineRule="auto"/>
        <w:contextualSpacing/>
        <w:jc w:val="both"/>
        <w:rPr>
          <w:rFonts w:ascii="Palatino Linotype" w:hAnsi="Palatino Linotype" w:cs="Arial"/>
        </w:rPr>
      </w:pPr>
      <w:r>
        <w:rPr>
          <w:rFonts w:ascii="Palatino Linotype" w:hAnsi="Palatino Linotype" w:cs="Arial"/>
          <w:b/>
          <w:bCs/>
          <w:shd w:val="clear" w:color="auto" w:fill="FFFFFF"/>
        </w:rPr>
        <w:t xml:space="preserve">Segundo. </w:t>
      </w:r>
      <w:r w:rsidRPr="00232C0E">
        <w:rPr>
          <w:rFonts w:ascii="Palatino Linotype" w:hAnsi="Palatino Linotype" w:cs="Arial"/>
          <w:b/>
          <w:bCs/>
          <w:shd w:val="clear" w:color="auto" w:fill="FFFFFF"/>
        </w:rPr>
        <w:t>Notifíquese</w:t>
      </w:r>
      <w:r w:rsidRPr="00232C0E">
        <w:rPr>
          <w:rStyle w:val="apple-converted-space"/>
          <w:rFonts w:ascii="Palatino Linotype" w:hAnsi="Palatino Linotype" w:cs="Arial"/>
          <w:b/>
          <w:bCs/>
          <w:iCs/>
          <w:shd w:val="clear" w:color="auto" w:fill="FFFFFF"/>
        </w:rPr>
        <w:t xml:space="preserve"> vía SAIMEX</w:t>
      </w:r>
      <w:r>
        <w:rPr>
          <w:rStyle w:val="apple-converted-space"/>
          <w:rFonts w:ascii="Palatino Linotype" w:hAnsi="Palatino Linotype" w:cs="Arial"/>
          <w:b/>
          <w:bCs/>
          <w:i/>
          <w:iCs/>
          <w:shd w:val="clear" w:color="auto" w:fill="FFFFFF"/>
        </w:rPr>
        <w:t xml:space="preserve">, </w:t>
      </w:r>
      <w:r w:rsidRPr="006A2D4B">
        <w:rPr>
          <w:rFonts w:ascii="Palatino Linotype" w:hAnsi="Palatino Linotype"/>
          <w:shd w:val="clear" w:color="auto" w:fill="FFFFFF"/>
        </w:rPr>
        <w:t>al Responsable de la Unidad de Transparencia del</w:t>
      </w:r>
      <w:r w:rsidRPr="006A2D4B">
        <w:rPr>
          <w:rStyle w:val="apple-converted-space"/>
          <w:rFonts w:ascii="Palatino Linotype" w:hAnsi="Palatino Linotype"/>
          <w:bCs/>
          <w:shd w:val="clear" w:color="auto" w:fill="FFFFFF"/>
        </w:rPr>
        <w:t xml:space="preserve"> </w:t>
      </w:r>
      <w:r w:rsidRPr="006A2D4B">
        <w:rPr>
          <w:rFonts w:ascii="Palatino Linotype" w:hAnsi="Palatino Linotype"/>
          <w:bCs/>
          <w:shd w:val="clear" w:color="auto" w:fill="FFFFFF"/>
        </w:rPr>
        <w:t>Sujeto Obligado la presente resolución, para su conocimiento</w:t>
      </w:r>
      <w:r w:rsidRPr="006A2D4B">
        <w:rPr>
          <w:rFonts w:ascii="Palatino Linotype" w:hAnsi="Palatino Linotype"/>
          <w:shd w:val="clear" w:color="auto" w:fill="FFFFFF"/>
        </w:rPr>
        <w:t xml:space="preserve">, lo anterior en </w:t>
      </w:r>
      <w:r w:rsidRPr="006A2D4B">
        <w:rPr>
          <w:rFonts w:ascii="Palatino Linotype" w:hAnsi="Palatino Linotype"/>
          <w:shd w:val="clear" w:color="auto" w:fill="FFFFFF"/>
        </w:rPr>
        <w:lastRenderedPageBreak/>
        <w:t xml:space="preserve">términos del artículo 189 de la </w:t>
      </w:r>
      <w:r w:rsidRPr="006A2D4B">
        <w:rPr>
          <w:rFonts w:ascii="Palatino Linotype" w:hAnsi="Palatino Linotype" w:cs="Arial"/>
        </w:rPr>
        <w:t>Ley de Transparencia y Acceso a la Información Pública del Estado de México y Municipios.</w:t>
      </w:r>
    </w:p>
    <w:p w:rsidR="00D25C96" w:rsidRPr="006A2D4B" w:rsidRDefault="00D25C96" w:rsidP="00D25C96">
      <w:pPr>
        <w:spacing w:before="240" w:after="240" w:line="360" w:lineRule="auto"/>
        <w:contextualSpacing/>
        <w:jc w:val="both"/>
        <w:rPr>
          <w:rFonts w:ascii="Palatino Linotype" w:hAnsi="Palatino Linotype"/>
          <w:shd w:val="clear" w:color="auto" w:fill="FFFFFF"/>
        </w:rPr>
      </w:pPr>
    </w:p>
    <w:p w:rsidR="00D25C96" w:rsidRDefault="00D25C96" w:rsidP="00D25C96">
      <w:pPr>
        <w:spacing w:before="240" w:after="240" w:line="360" w:lineRule="auto"/>
        <w:jc w:val="both"/>
        <w:rPr>
          <w:rFonts w:ascii="Palatino Linotype" w:eastAsia="Palatino Linotype" w:hAnsi="Palatino Linotype" w:cs="Palatino Linotype"/>
        </w:rPr>
      </w:pPr>
      <w:r>
        <w:rPr>
          <w:rFonts w:ascii="Palatino Linotype" w:hAnsi="Palatino Linotype" w:cs="Arial"/>
          <w:b/>
        </w:rPr>
        <w:t xml:space="preserve">Tercero. Notifíquese a través </w:t>
      </w:r>
      <w:r>
        <w:rPr>
          <w:rFonts w:ascii="Palatino Linotype" w:hAnsi="Palatino Linotype" w:cs="Arial"/>
        </w:rPr>
        <w:t xml:space="preserve"> del Sistema de Acceso a la Información Mexiquense y correo electrónico, al recurrente</w:t>
      </w:r>
      <w:r w:rsidRPr="006A2D4B">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en la vía</w:t>
      </w:r>
      <w:r w:rsidRPr="006A2D4B">
        <w:rPr>
          <w:rFonts w:ascii="Palatino Linotype" w:eastAsia="Palatino Linotype" w:hAnsi="Palatino Linotype" w:cs="Palatino Linotype"/>
        </w:rPr>
        <w:t xml:space="preserve"> Juicio de Amparo en los términos de las leyes aplicables.</w:t>
      </w:r>
    </w:p>
    <w:p w:rsidR="00D25C96" w:rsidRDefault="00D25C96" w:rsidP="00D25C96">
      <w:pPr>
        <w:spacing w:line="360" w:lineRule="auto"/>
        <w:ind w:right="49"/>
        <w:jc w:val="both"/>
        <w:rPr>
          <w:rFonts w:ascii="Palatino Linotype" w:hAnsi="Palatino Linotype"/>
        </w:rPr>
      </w:pPr>
      <w:r>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1726B">
        <w:rPr>
          <w:rFonts w:ascii="Palatino Linotype" w:hAnsi="Palatino Linotype"/>
        </w:rPr>
        <w:t xml:space="preserve">CUADRAGÉSIMA CUARTA </w:t>
      </w:r>
      <w:r>
        <w:rPr>
          <w:rFonts w:ascii="Palatino Linotype" w:hAnsi="Palatino Linotype"/>
        </w:rPr>
        <w:t>SESI</w:t>
      </w:r>
      <w:r w:rsidR="00864153">
        <w:rPr>
          <w:rFonts w:ascii="Palatino Linotype" w:hAnsi="Palatino Linotype"/>
        </w:rPr>
        <w:t>ÓN ORDINARIA CELEBRADA EL OCHO</w:t>
      </w:r>
      <w:r>
        <w:rPr>
          <w:rFonts w:ascii="Palatino Linotype" w:hAnsi="Palatino Linotype"/>
        </w:rPr>
        <w:t xml:space="preserve"> DE DICIEMBRE DEL DOS MIL VEINTIUNO, ANTE EL SECRETARIO TÉCNICO DEL PLENO ALEXIS TAPIA RAMÍREZ.</w:t>
      </w:r>
    </w:p>
    <w:p w:rsidR="00D25C96" w:rsidRDefault="00D25C96" w:rsidP="00D25C96">
      <w:pPr>
        <w:spacing w:before="240" w:after="240" w:line="360" w:lineRule="auto"/>
        <w:jc w:val="both"/>
        <w:rPr>
          <w:rFonts w:ascii="Palatino Linotype" w:eastAsia="Palatino Linotype" w:hAnsi="Palatino Linotype" w:cs="Palatino Linotype"/>
        </w:rPr>
      </w:pPr>
    </w:p>
    <w:p w:rsidR="00D25C96" w:rsidRDefault="00D25C96" w:rsidP="00D25C96">
      <w:pPr>
        <w:spacing w:before="240" w:after="240" w:line="360" w:lineRule="auto"/>
        <w:jc w:val="both"/>
        <w:rPr>
          <w:rFonts w:ascii="Palatino Linotype" w:eastAsia="Palatino Linotype" w:hAnsi="Palatino Linotype" w:cs="Palatino Linotype"/>
        </w:rPr>
      </w:pPr>
    </w:p>
    <w:p w:rsidR="00D25C96" w:rsidRDefault="00D25C96" w:rsidP="00D25C96">
      <w:pPr>
        <w:spacing w:before="240" w:after="240" w:line="360" w:lineRule="auto"/>
        <w:jc w:val="both"/>
        <w:rPr>
          <w:rFonts w:ascii="Palatino Linotype" w:eastAsia="Palatino Linotype" w:hAnsi="Palatino Linotype" w:cs="Palatino Linotype"/>
        </w:rPr>
      </w:pPr>
    </w:p>
    <w:p w:rsidR="00D25C96" w:rsidRDefault="00D25C96" w:rsidP="00D25C96">
      <w:pPr>
        <w:spacing w:before="240" w:after="240" w:line="360" w:lineRule="auto"/>
        <w:jc w:val="both"/>
        <w:rPr>
          <w:rFonts w:ascii="Palatino Linotype" w:eastAsia="Palatino Linotype" w:hAnsi="Palatino Linotype" w:cs="Palatino Linotype"/>
        </w:rPr>
      </w:pPr>
    </w:p>
    <w:p w:rsidR="00D25C96" w:rsidRDefault="00D25C96" w:rsidP="00D25C96">
      <w:pPr>
        <w:spacing w:before="240" w:after="240" w:line="360" w:lineRule="auto"/>
        <w:jc w:val="both"/>
        <w:rPr>
          <w:rFonts w:ascii="Palatino Linotype" w:eastAsia="Palatino Linotype" w:hAnsi="Palatino Linotype" w:cs="Palatino Linotype"/>
        </w:rPr>
      </w:pPr>
    </w:p>
    <w:p w:rsidR="00D25C96" w:rsidRDefault="00D25C96" w:rsidP="00D25C96">
      <w:pPr>
        <w:spacing w:before="240" w:after="240" w:line="360" w:lineRule="auto"/>
        <w:jc w:val="both"/>
        <w:rPr>
          <w:rFonts w:ascii="Palatino Linotype" w:eastAsia="Palatino Linotype" w:hAnsi="Palatino Linotype" w:cs="Palatino Linotype"/>
        </w:rPr>
      </w:pPr>
    </w:p>
    <w:p w:rsidR="00D25C96" w:rsidRDefault="00D25C96" w:rsidP="00D25C96">
      <w:pPr>
        <w:spacing w:before="240" w:after="240" w:line="360" w:lineRule="auto"/>
        <w:jc w:val="both"/>
        <w:rPr>
          <w:rFonts w:ascii="Palatino Linotype" w:eastAsia="Palatino Linotype" w:hAnsi="Palatino Linotype" w:cs="Palatino Linotype"/>
        </w:rPr>
      </w:pPr>
    </w:p>
    <w:p w:rsidR="001A51C8" w:rsidRDefault="001A51C8" w:rsidP="00D049F6">
      <w:pPr>
        <w:autoSpaceDE w:val="0"/>
        <w:autoSpaceDN w:val="0"/>
        <w:adjustRightInd w:val="0"/>
        <w:spacing w:before="240" w:after="240" w:line="360" w:lineRule="auto"/>
        <w:jc w:val="both"/>
        <w:rPr>
          <w:rFonts w:ascii="Palatino Linotype" w:hAnsi="Palatino Linotype"/>
        </w:rPr>
      </w:pPr>
    </w:p>
    <w:p w:rsidR="001A51C8" w:rsidRDefault="001A51C8" w:rsidP="00D049F6">
      <w:pPr>
        <w:autoSpaceDE w:val="0"/>
        <w:autoSpaceDN w:val="0"/>
        <w:adjustRightInd w:val="0"/>
        <w:spacing w:before="240" w:after="240" w:line="360" w:lineRule="auto"/>
        <w:jc w:val="both"/>
        <w:rPr>
          <w:rFonts w:ascii="Palatino Linotype" w:hAnsi="Palatino Linotype"/>
        </w:rPr>
      </w:pPr>
    </w:p>
    <w:p w:rsidR="0018182C" w:rsidRPr="006A2D4B" w:rsidRDefault="0018182C" w:rsidP="00A3483A">
      <w:pPr>
        <w:spacing w:before="240" w:after="240" w:line="360" w:lineRule="auto"/>
        <w:jc w:val="both"/>
        <w:rPr>
          <w:rFonts w:ascii="Palatino Linotype" w:eastAsia="Palatino Linotype" w:hAnsi="Palatino Linotype" w:cs="Palatino Linotype"/>
        </w:rPr>
      </w:pPr>
    </w:p>
    <w:sectPr w:rsidR="0018182C" w:rsidRPr="006A2D4B" w:rsidSect="000B6E12">
      <w:headerReference w:type="default" r:id="rId18"/>
      <w:footerReference w:type="default" r:id="rId19"/>
      <w:headerReference w:type="first" r:id="rId20"/>
      <w:footerReference w:type="first" r:id="rId21"/>
      <w:pgSz w:w="12240" w:h="15840" w:code="1"/>
      <w:pgMar w:top="1417" w:right="175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701" w:rsidRDefault="00867701" w:rsidP="00224D6A">
      <w:r>
        <w:separator/>
      </w:r>
    </w:p>
  </w:endnote>
  <w:endnote w:type="continuationSeparator" w:id="0">
    <w:p w:rsidR="00867701" w:rsidRDefault="00867701"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9E" w:rsidRPr="00F12350" w:rsidRDefault="00D53C9E"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900F5">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900F5">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rsidR="00D53C9E" w:rsidRDefault="00D53C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9E" w:rsidRPr="00F12350" w:rsidRDefault="00D53C9E"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900F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900F5">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rsidR="00D53C9E" w:rsidRDefault="00D53C9E">
    <w:pPr>
      <w:pStyle w:val="Piedepgina"/>
    </w:pPr>
  </w:p>
  <w:p w:rsidR="009B13E8" w:rsidRDefault="009B13E8"/>
  <w:p w:rsidR="009B13E8" w:rsidRDefault="009B13E8"/>
  <w:p w:rsidR="009B13E8" w:rsidRDefault="009B13E8"/>
  <w:p w:rsidR="009B13E8" w:rsidRDefault="009B13E8"/>
  <w:p w:rsidR="009B13E8" w:rsidRDefault="009B13E8"/>
  <w:p w:rsidR="009B13E8" w:rsidRDefault="009B13E8"/>
  <w:p w:rsidR="009B13E8" w:rsidRDefault="009B13E8"/>
  <w:p w:rsidR="009B13E8" w:rsidRDefault="009B13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701" w:rsidRDefault="00867701" w:rsidP="00224D6A">
      <w:r>
        <w:separator/>
      </w:r>
    </w:p>
  </w:footnote>
  <w:footnote w:type="continuationSeparator" w:id="0">
    <w:p w:rsidR="00867701" w:rsidRDefault="00867701" w:rsidP="00224D6A">
      <w:r>
        <w:continuationSeparator/>
      </w:r>
    </w:p>
  </w:footnote>
  <w:footnote w:id="1">
    <w:p w:rsidR="001A51C8" w:rsidRDefault="001A51C8" w:rsidP="001A51C8">
      <w:pPr>
        <w:spacing w:before="240" w:after="240"/>
        <w:contextualSpacing/>
        <w:jc w:val="both"/>
        <w:rPr>
          <w:rFonts w:ascii="Palatino Linotype" w:eastAsia="Calibri" w:hAnsi="Palatino Linotype" w:cs="Arial"/>
          <w:sz w:val="16"/>
          <w:szCs w:val="16"/>
          <w:lang w:val="es-MX" w:eastAsia="en-US"/>
        </w:rPr>
      </w:pPr>
      <w:r>
        <w:rPr>
          <w:rStyle w:val="Refdenotaalpie"/>
        </w:rPr>
        <w:footnoteRef/>
      </w:r>
      <w:r w:rsidRPr="00FA5154">
        <w:rPr>
          <w:rFonts w:ascii="Palatino Linotype" w:eastAsia="Calibri" w:hAnsi="Palatino Linotype" w:cs="Arial"/>
          <w:sz w:val="16"/>
          <w:szCs w:val="16"/>
          <w:lang w:val="es-MX" w:eastAsia="en-US"/>
        </w:rPr>
        <w:t>“</w:t>
      </w:r>
      <w:r>
        <w:rPr>
          <w:rFonts w:ascii="Palatino Linotype" w:eastAsia="Calibri" w:hAnsi="Palatino Linotype" w:cs="Arial"/>
          <w:sz w:val="16"/>
          <w:szCs w:val="16"/>
          <w:lang w:val="es-MX" w:eastAsia="en-US"/>
        </w:rPr>
        <w:t>Artículo 178.</w:t>
      </w:r>
    </w:p>
    <w:p w:rsidR="001A51C8" w:rsidRDefault="001A51C8" w:rsidP="001A51C8">
      <w:pPr>
        <w:spacing w:before="240" w:after="240"/>
        <w:contextualSpacing/>
        <w:jc w:val="both"/>
        <w:rPr>
          <w:rFonts w:ascii="Palatino Linotype" w:eastAsia="Calibri" w:hAnsi="Palatino Linotype" w:cs="Arial"/>
          <w:sz w:val="16"/>
          <w:szCs w:val="16"/>
          <w:lang w:val="es-MX" w:eastAsia="en-US"/>
        </w:rPr>
      </w:pPr>
      <w:r>
        <w:rPr>
          <w:rFonts w:ascii="Palatino Linotype" w:eastAsia="Calibri" w:hAnsi="Palatino Linotype" w:cs="Arial"/>
          <w:sz w:val="16"/>
          <w:szCs w:val="16"/>
          <w:lang w:val="es-MX" w:eastAsia="en-US"/>
        </w:rPr>
        <w:t>…</w:t>
      </w:r>
    </w:p>
    <w:p w:rsidR="001A51C8" w:rsidRPr="00FA5154" w:rsidRDefault="001A51C8" w:rsidP="001A51C8">
      <w:pPr>
        <w:spacing w:before="240" w:after="240"/>
        <w:contextualSpacing/>
        <w:jc w:val="both"/>
        <w:rPr>
          <w:lang w:val="es-MX"/>
        </w:rPr>
      </w:pPr>
      <w:r w:rsidRPr="00F235C0">
        <w:rPr>
          <w:rFonts w:ascii="Palatino Linotype" w:eastAsia="Calibri" w:hAnsi="Palatino Linotype" w:cs="Arial"/>
          <w:sz w:val="16"/>
          <w:szCs w:val="16"/>
          <w:lang w:val="es-MX" w:eastAsia="en-US"/>
        </w:rPr>
        <w:t>A falta de respuesta del sujeto obligado, dentro de los plazos establecidos en esta Ley, a una solicitud de acceso a la información pública, el recurso podrá ser interpuesto en cualquier momento, acompañado con el documento que pruebe la fec</w:t>
      </w:r>
      <w:r>
        <w:rPr>
          <w:rFonts w:ascii="Palatino Linotype" w:eastAsia="Calibri" w:hAnsi="Palatino Linotype" w:cs="Arial"/>
          <w:sz w:val="16"/>
          <w:szCs w:val="16"/>
          <w:lang w:val="es-MX" w:eastAsia="en-US"/>
        </w:rPr>
        <w:t>ha en que presentó la solicitud…”(Sic)</w:t>
      </w:r>
    </w:p>
  </w:footnote>
  <w:footnote w:id="2">
    <w:p w:rsidR="00DC6C96" w:rsidRDefault="00DC6C96" w:rsidP="00DC6C96">
      <w:pPr>
        <w:pStyle w:val="Textonotapie"/>
        <w:contextualSpacing/>
      </w:pPr>
      <w:r>
        <w:rPr>
          <w:rStyle w:val="Refdenotaalpie"/>
        </w:rPr>
        <w:footnoteRef/>
      </w:r>
      <w:r>
        <w:t xml:space="preserve"> </w:t>
      </w:r>
      <w:r w:rsidRPr="00920C32">
        <w:rPr>
          <w:rFonts w:ascii="Palatino Linotype" w:hAnsi="Palatino Linotype"/>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t xml:space="preserve"> (…)</w:t>
      </w:r>
    </w:p>
  </w:footnote>
  <w:footnote w:id="3">
    <w:p w:rsidR="00DC6C96" w:rsidRPr="00815CEB" w:rsidRDefault="00DC6C96" w:rsidP="00DC6C96">
      <w:pPr>
        <w:pStyle w:val="Textonotapie"/>
        <w:jc w:val="both"/>
        <w:rPr>
          <w:rFonts w:ascii="Palatino Linotype" w:hAnsi="Palatino Linotype"/>
          <w:sz w:val="16"/>
          <w:szCs w:val="16"/>
        </w:rPr>
      </w:pPr>
      <w:r w:rsidRPr="008D59A3">
        <w:rPr>
          <w:rStyle w:val="Refdenotaalpie"/>
          <w:rFonts w:ascii="Palatino Linotype" w:hAnsi="Palatino Linotype"/>
          <w:sz w:val="19"/>
          <w:szCs w:val="19"/>
        </w:rPr>
        <w:footnoteRef/>
      </w:r>
      <w:r w:rsidRPr="008D59A3">
        <w:rPr>
          <w:rFonts w:ascii="Palatino Linotype" w:hAnsi="Palatino Linotype"/>
          <w:sz w:val="19"/>
          <w:szCs w:val="19"/>
        </w:rPr>
        <w:t xml:space="preserve"> </w:t>
      </w:r>
      <w:r w:rsidRPr="00815CEB">
        <w:rPr>
          <w:rFonts w:ascii="Palatino Linotype" w:hAnsi="Palatino Linotype"/>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4">
    <w:p w:rsidR="00D25C96" w:rsidRDefault="00D25C96" w:rsidP="00D25C96">
      <w:pP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13. El Instituto, en el ámbito de sus atribuciones, deberá suplir cualquier deficiencia para garantizar el ejercicio del derecho de acceso a la información.”(Sic)</w:t>
      </w:r>
    </w:p>
  </w:footnote>
  <w:footnote w:id="5">
    <w:p w:rsidR="00D25C96" w:rsidRDefault="00D25C96" w:rsidP="00D25C96">
      <w:pPr>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181.parrafo cuarto:</w:t>
      </w:r>
    </w:p>
    <w:p w:rsidR="00D25C96" w:rsidRDefault="00D25C96" w:rsidP="00D25C96">
      <w:pP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9E" w:rsidRDefault="00D53C9E" w:rsidP="00E72E93">
    <w:pPr>
      <w:pStyle w:val="Encabezado"/>
      <w:jc w:val="both"/>
    </w:pPr>
    <w:r>
      <w:rPr>
        <w:noProof/>
        <w:lang w:val="es-MX" w:eastAsia="es-MX"/>
      </w:rPr>
      <w:drawing>
        <wp:anchor distT="0" distB="0" distL="114300" distR="114300" simplePos="0" relativeHeight="251661312" behindDoc="1" locked="0" layoutInCell="1" allowOverlap="1" wp14:anchorId="34F6E400" wp14:editId="7E95AC7D">
          <wp:simplePos x="0" y="0"/>
          <wp:positionH relativeFrom="page">
            <wp:posOffset>425201</wp:posOffset>
          </wp:positionH>
          <wp:positionV relativeFrom="paragraph">
            <wp:posOffset>-313910</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D53C9E" w:rsidTr="003A781E">
      <w:tc>
        <w:tcPr>
          <w:tcW w:w="2551" w:type="dxa"/>
          <w:vAlign w:val="center"/>
          <w:hideMark/>
        </w:tcPr>
        <w:p w:rsidR="00D53C9E" w:rsidRDefault="00D53C9E"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D53C9E" w:rsidRDefault="001A51C8" w:rsidP="00E72E93">
          <w:pPr>
            <w:jc w:val="both"/>
            <w:rPr>
              <w:rFonts w:ascii="Palatino Linotype" w:hAnsi="Palatino Linotype"/>
              <w:b/>
              <w:sz w:val="22"/>
              <w:szCs w:val="22"/>
              <w:lang w:val="es-ES_tradnl"/>
            </w:rPr>
          </w:pPr>
          <w:r>
            <w:rPr>
              <w:rFonts w:ascii="Palatino Linotype" w:hAnsi="Palatino Linotype"/>
              <w:b/>
              <w:sz w:val="22"/>
              <w:szCs w:val="22"/>
              <w:lang w:val="es-ES_tradnl"/>
            </w:rPr>
            <w:t>05029</w:t>
          </w:r>
          <w:r w:rsidR="00D53C9E">
            <w:rPr>
              <w:rFonts w:ascii="Palatino Linotype" w:hAnsi="Palatino Linotype"/>
              <w:b/>
              <w:sz w:val="22"/>
              <w:szCs w:val="22"/>
              <w:lang w:val="es-ES_tradnl"/>
            </w:rPr>
            <w:t xml:space="preserve">/INFOEM/IP/RR/2021. </w:t>
          </w:r>
        </w:p>
      </w:tc>
    </w:tr>
    <w:tr w:rsidR="00D53C9E" w:rsidTr="003A781E">
      <w:trPr>
        <w:trHeight w:val="228"/>
      </w:trPr>
      <w:tc>
        <w:tcPr>
          <w:tcW w:w="2551" w:type="dxa"/>
          <w:vAlign w:val="center"/>
          <w:hideMark/>
        </w:tcPr>
        <w:p w:rsidR="00D53C9E" w:rsidRDefault="00E578F2" w:rsidP="00E72E93">
          <w:pPr>
            <w:rPr>
              <w:rFonts w:ascii="Palatino Linotype" w:hAnsi="Palatino Linotype"/>
              <w:b/>
              <w:sz w:val="22"/>
              <w:szCs w:val="22"/>
              <w:lang w:val="es-ES_tradnl"/>
            </w:rPr>
          </w:pPr>
          <w:r>
            <w:rPr>
              <w:rFonts w:ascii="Palatino Linotype" w:hAnsi="Palatino Linotype"/>
              <w:b/>
              <w:sz w:val="22"/>
              <w:szCs w:val="22"/>
              <w:lang w:val="es-ES_tradnl"/>
            </w:rPr>
            <w:t>Sujeto O</w:t>
          </w:r>
          <w:r w:rsidR="00D53C9E">
            <w:rPr>
              <w:rFonts w:ascii="Palatino Linotype" w:hAnsi="Palatino Linotype"/>
              <w:b/>
              <w:sz w:val="22"/>
              <w:szCs w:val="22"/>
              <w:lang w:val="es-ES_tradnl"/>
            </w:rPr>
            <w:t>bligado:</w:t>
          </w:r>
        </w:p>
      </w:tc>
      <w:tc>
        <w:tcPr>
          <w:tcW w:w="3119" w:type="dxa"/>
          <w:vAlign w:val="center"/>
          <w:hideMark/>
        </w:tcPr>
        <w:p w:rsidR="00D53C9E" w:rsidRDefault="001A51C8" w:rsidP="00E72E93">
          <w:pPr>
            <w:jc w:val="both"/>
            <w:rPr>
              <w:rFonts w:ascii="Palatino Linotype" w:hAnsi="Palatino Linotype"/>
              <w:b/>
              <w:sz w:val="22"/>
              <w:szCs w:val="22"/>
              <w:lang w:val="es-ES_tradnl"/>
            </w:rPr>
          </w:pPr>
          <w:r>
            <w:rPr>
              <w:rFonts w:ascii="Palatino Linotype" w:hAnsi="Palatino Linotype"/>
              <w:b/>
              <w:sz w:val="22"/>
              <w:szCs w:val="22"/>
              <w:lang w:val="es-ES_tradnl"/>
            </w:rPr>
            <w:t>Ayuntamiento de San Simón de Guerrero</w:t>
          </w:r>
          <w:r w:rsidR="00D53C9E">
            <w:rPr>
              <w:rFonts w:ascii="Palatino Linotype" w:hAnsi="Palatino Linotype"/>
              <w:b/>
              <w:sz w:val="22"/>
              <w:szCs w:val="22"/>
              <w:lang w:val="es-ES_tradnl"/>
            </w:rPr>
            <w:t>.</w:t>
          </w:r>
        </w:p>
      </w:tc>
    </w:tr>
    <w:tr w:rsidR="00D53C9E" w:rsidTr="003A781E">
      <w:tc>
        <w:tcPr>
          <w:tcW w:w="2551" w:type="dxa"/>
          <w:vAlign w:val="center"/>
          <w:hideMark/>
        </w:tcPr>
        <w:p w:rsidR="00D53C9E" w:rsidRDefault="00D53C9E"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D53C9E" w:rsidRDefault="00D53C9E"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D53C9E" w:rsidRDefault="00D53C9E"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9E" w:rsidRDefault="00D53C9E" w:rsidP="00224D6A">
    <w:pPr>
      <w:pStyle w:val="Encabezado"/>
      <w:jc w:val="both"/>
    </w:pPr>
    <w:r>
      <w:rPr>
        <w:noProof/>
        <w:lang w:val="es-MX" w:eastAsia="es-MX"/>
      </w:rPr>
      <w:drawing>
        <wp:anchor distT="0" distB="0" distL="114300" distR="114300" simplePos="0" relativeHeight="251659264" behindDoc="1" locked="0" layoutInCell="1" allowOverlap="1" wp14:anchorId="11EDAEA5" wp14:editId="6651AD9B">
          <wp:simplePos x="0" y="0"/>
          <wp:positionH relativeFrom="page">
            <wp:posOffset>388371</wp:posOffset>
          </wp:positionH>
          <wp:positionV relativeFrom="paragraph">
            <wp:posOffset>-207369</wp:posOffset>
          </wp:positionV>
          <wp:extent cx="7635600" cy="9943200"/>
          <wp:effectExtent l="0" t="0" r="381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119" w:type="dxa"/>
      <w:tblLayout w:type="fixed"/>
      <w:tblLook w:val="04A0" w:firstRow="1" w:lastRow="0" w:firstColumn="1" w:lastColumn="0" w:noHBand="0" w:noVBand="1"/>
    </w:tblPr>
    <w:tblGrid>
      <w:gridCol w:w="2551"/>
      <w:gridCol w:w="3402"/>
    </w:tblGrid>
    <w:tr w:rsidR="00D53C9E" w:rsidTr="000B6E12">
      <w:tc>
        <w:tcPr>
          <w:tcW w:w="2551" w:type="dxa"/>
          <w:vAlign w:val="center"/>
          <w:hideMark/>
        </w:tcPr>
        <w:p w:rsidR="00D53C9E" w:rsidRPr="000B6E12" w:rsidRDefault="00D53C9E" w:rsidP="00224D6A">
          <w:pPr>
            <w:rPr>
              <w:rFonts w:ascii="Palatino Linotype" w:hAnsi="Palatino Linotype"/>
              <w:b/>
              <w:sz w:val="20"/>
              <w:szCs w:val="20"/>
              <w:lang w:val="es-ES_tradnl"/>
            </w:rPr>
          </w:pPr>
          <w:r w:rsidRPr="000B6E12">
            <w:rPr>
              <w:rFonts w:ascii="Palatino Linotype" w:hAnsi="Palatino Linotype"/>
              <w:b/>
              <w:sz w:val="20"/>
              <w:szCs w:val="20"/>
              <w:lang w:val="es-ES_tradnl"/>
            </w:rPr>
            <w:t>Recurso de Revisión:</w:t>
          </w:r>
        </w:p>
      </w:tc>
      <w:tc>
        <w:tcPr>
          <w:tcW w:w="3402" w:type="dxa"/>
          <w:vAlign w:val="center"/>
          <w:hideMark/>
        </w:tcPr>
        <w:p w:rsidR="00D53C9E" w:rsidRPr="000B6E12" w:rsidRDefault="001A51C8" w:rsidP="00224D6A">
          <w:pPr>
            <w:jc w:val="both"/>
            <w:rPr>
              <w:rFonts w:ascii="Palatino Linotype" w:hAnsi="Palatino Linotype"/>
              <w:b/>
              <w:sz w:val="20"/>
              <w:szCs w:val="20"/>
              <w:lang w:val="es-ES_tradnl"/>
            </w:rPr>
          </w:pPr>
          <w:r>
            <w:rPr>
              <w:rFonts w:ascii="Palatino Linotype" w:hAnsi="Palatino Linotype"/>
              <w:b/>
              <w:sz w:val="20"/>
              <w:szCs w:val="20"/>
              <w:lang w:val="es-ES_tradnl"/>
            </w:rPr>
            <w:t>05029</w:t>
          </w:r>
          <w:r w:rsidR="00D53C9E" w:rsidRPr="000B6E12">
            <w:rPr>
              <w:rFonts w:ascii="Palatino Linotype" w:hAnsi="Palatino Linotype"/>
              <w:b/>
              <w:sz w:val="20"/>
              <w:szCs w:val="20"/>
              <w:lang w:val="es-ES_tradnl"/>
            </w:rPr>
            <w:t xml:space="preserve">/INFOEM/IP/RR/2021 </w:t>
          </w:r>
        </w:p>
      </w:tc>
    </w:tr>
    <w:tr w:rsidR="00D53C9E" w:rsidTr="000B6E12">
      <w:tc>
        <w:tcPr>
          <w:tcW w:w="2551" w:type="dxa"/>
          <w:vAlign w:val="center"/>
          <w:hideMark/>
        </w:tcPr>
        <w:p w:rsidR="00D53C9E" w:rsidRPr="000B6E12" w:rsidRDefault="00D53C9E" w:rsidP="00224D6A">
          <w:pPr>
            <w:ind w:left="35" w:hanging="35"/>
            <w:rPr>
              <w:rFonts w:ascii="Palatino Linotype" w:hAnsi="Palatino Linotype"/>
              <w:b/>
              <w:sz w:val="20"/>
              <w:szCs w:val="20"/>
              <w:lang w:val="es-ES_tradnl"/>
            </w:rPr>
          </w:pPr>
          <w:r w:rsidRPr="000B6E12">
            <w:rPr>
              <w:rFonts w:ascii="Palatino Linotype" w:hAnsi="Palatino Linotype"/>
              <w:b/>
              <w:sz w:val="20"/>
              <w:szCs w:val="20"/>
              <w:lang w:val="es-ES_tradnl"/>
            </w:rPr>
            <w:t>Recurrente:</w:t>
          </w:r>
        </w:p>
      </w:tc>
      <w:tc>
        <w:tcPr>
          <w:tcW w:w="3402" w:type="dxa"/>
          <w:vAlign w:val="center"/>
          <w:hideMark/>
        </w:tcPr>
        <w:p w:rsidR="00D53C9E" w:rsidRPr="000B6E12" w:rsidRDefault="00C900F5" w:rsidP="000B6E12">
          <w:pPr>
            <w:ind w:right="600"/>
            <w:jc w:val="both"/>
            <w:rPr>
              <w:rFonts w:ascii="Palatino Linotype" w:hAnsi="Palatino Linotype"/>
              <w:b/>
              <w:sz w:val="20"/>
              <w:szCs w:val="20"/>
              <w:lang w:val="es-ES_tradnl"/>
            </w:rPr>
          </w:pPr>
          <w:r>
            <w:rPr>
              <w:rFonts w:ascii="Palatino Linotype" w:hAnsi="Palatino Linotype"/>
              <w:b/>
              <w:sz w:val="20"/>
              <w:szCs w:val="20"/>
              <w:lang w:val="es-ES_tradnl"/>
            </w:rPr>
            <w:t>XXXXX XXXXX XXXXX XXXXX</w:t>
          </w:r>
          <w:r w:rsidR="00D53C9E" w:rsidRPr="000B6E12">
            <w:rPr>
              <w:rFonts w:ascii="Palatino Linotype" w:hAnsi="Palatino Linotype"/>
              <w:b/>
              <w:sz w:val="20"/>
              <w:szCs w:val="20"/>
              <w:lang w:val="es-ES_tradnl"/>
            </w:rPr>
            <w:t>.</w:t>
          </w:r>
        </w:p>
      </w:tc>
    </w:tr>
    <w:tr w:rsidR="00D53C9E" w:rsidTr="000B6E12">
      <w:trPr>
        <w:trHeight w:val="228"/>
      </w:trPr>
      <w:tc>
        <w:tcPr>
          <w:tcW w:w="2551" w:type="dxa"/>
          <w:vAlign w:val="center"/>
          <w:hideMark/>
        </w:tcPr>
        <w:p w:rsidR="00D53C9E" w:rsidRPr="000B6E12" w:rsidRDefault="00D53C9E" w:rsidP="00224D6A">
          <w:pPr>
            <w:rPr>
              <w:rFonts w:ascii="Palatino Linotype" w:hAnsi="Palatino Linotype"/>
              <w:b/>
              <w:sz w:val="20"/>
              <w:szCs w:val="20"/>
              <w:lang w:val="es-ES_tradnl"/>
            </w:rPr>
          </w:pPr>
          <w:r w:rsidRPr="000B6E12">
            <w:rPr>
              <w:rFonts w:ascii="Palatino Linotype" w:hAnsi="Palatino Linotype"/>
              <w:b/>
              <w:sz w:val="20"/>
              <w:szCs w:val="20"/>
              <w:lang w:val="es-ES_tradnl"/>
            </w:rPr>
            <w:t>Sujeto obligado:</w:t>
          </w:r>
        </w:p>
      </w:tc>
      <w:tc>
        <w:tcPr>
          <w:tcW w:w="3402" w:type="dxa"/>
          <w:vAlign w:val="center"/>
          <w:hideMark/>
        </w:tcPr>
        <w:p w:rsidR="00D53C9E" w:rsidRPr="000B6E12" w:rsidRDefault="001A51C8" w:rsidP="001A51C8">
          <w:pPr>
            <w:ind w:right="-533"/>
            <w:jc w:val="both"/>
            <w:rPr>
              <w:rFonts w:ascii="Palatino Linotype" w:hAnsi="Palatino Linotype"/>
              <w:b/>
              <w:sz w:val="20"/>
              <w:szCs w:val="20"/>
              <w:lang w:val="es-ES_tradnl"/>
            </w:rPr>
          </w:pPr>
          <w:r w:rsidRPr="001A51C8">
            <w:rPr>
              <w:rFonts w:ascii="Palatino Linotype" w:hAnsi="Palatino Linotype"/>
              <w:b/>
              <w:sz w:val="20"/>
              <w:szCs w:val="20"/>
              <w:lang w:val="es-ES_tradnl"/>
            </w:rPr>
            <w:t>Ayuntamiento de San Simón de Guerrero</w:t>
          </w:r>
          <w:r>
            <w:rPr>
              <w:rFonts w:ascii="Palatino Linotype" w:hAnsi="Palatino Linotype"/>
              <w:b/>
              <w:sz w:val="20"/>
              <w:szCs w:val="20"/>
              <w:lang w:val="es-ES_tradnl"/>
            </w:rPr>
            <w:t>.</w:t>
          </w:r>
        </w:p>
      </w:tc>
    </w:tr>
    <w:tr w:rsidR="00D53C9E" w:rsidTr="000B6E12">
      <w:tc>
        <w:tcPr>
          <w:tcW w:w="2551" w:type="dxa"/>
          <w:vAlign w:val="center"/>
          <w:hideMark/>
        </w:tcPr>
        <w:p w:rsidR="00D53C9E" w:rsidRPr="000B6E12" w:rsidRDefault="00D53C9E" w:rsidP="00224D6A">
          <w:pPr>
            <w:rPr>
              <w:rFonts w:ascii="Palatino Linotype" w:hAnsi="Palatino Linotype"/>
              <w:b/>
              <w:sz w:val="20"/>
              <w:szCs w:val="20"/>
              <w:lang w:val="es-ES_tradnl"/>
            </w:rPr>
          </w:pPr>
          <w:r w:rsidRPr="000B6E12">
            <w:rPr>
              <w:rFonts w:ascii="Palatino Linotype" w:hAnsi="Palatino Linotype"/>
              <w:b/>
              <w:sz w:val="20"/>
              <w:szCs w:val="20"/>
              <w:lang w:val="es-ES_tradnl"/>
            </w:rPr>
            <w:t>Comisionada ponente:</w:t>
          </w:r>
        </w:p>
      </w:tc>
      <w:tc>
        <w:tcPr>
          <w:tcW w:w="3402" w:type="dxa"/>
          <w:vAlign w:val="center"/>
          <w:hideMark/>
        </w:tcPr>
        <w:p w:rsidR="00D53C9E" w:rsidRPr="000B6E12" w:rsidRDefault="00D53C9E" w:rsidP="00224D6A">
          <w:pPr>
            <w:ind w:right="-533"/>
            <w:jc w:val="both"/>
            <w:rPr>
              <w:rFonts w:ascii="Palatino Linotype" w:hAnsi="Palatino Linotype"/>
              <w:b/>
              <w:sz w:val="20"/>
              <w:szCs w:val="20"/>
              <w:lang w:val="es-ES_tradnl"/>
            </w:rPr>
          </w:pPr>
          <w:r w:rsidRPr="000B6E12">
            <w:rPr>
              <w:rFonts w:ascii="Palatino Linotype" w:hAnsi="Palatino Linotype"/>
              <w:b/>
              <w:sz w:val="20"/>
              <w:szCs w:val="20"/>
              <w:lang w:val="es-ES_tradnl"/>
            </w:rPr>
            <w:t>Guadalupe Ramírez Peña.</w:t>
          </w:r>
        </w:p>
      </w:tc>
    </w:tr>
  </w:tbl>
  <w:p w:rsidR="00D53C9E" w:rsidRDefault="00D53C9E"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EEE7F57"/>
    <w:multiLevelType w:val="hybridMultilevel"/>
    <w:tmpl w:val="EEDE53AA"/>
    <w:lvl w:ilvl="0" w:tplc="BD084DDC">
      <w:start w:val="5"/>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15:restartNumberingAfterBreak="0">
    <w:nsid w:val="18995210"/>
    <w:multiLevelType w:val="hybridMultilevel"/>
    <w:tmpl w:val="082A7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494159"/>
    <w:multiLevelType w:val="hybridMultilevel"/>
    <w:tmpl w:val="7CF681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3331724"/>
    <w:multiLevelType w:val="hybridMultilevel"/>
    <w:tmpl w:val="FCFE2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C631F9"/>
    <w:multiLevelType w:val="hybridMultilevel"/>
    <w:tmpl w:val="BFBC1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5506B2"/>
    <w:multiLevelType w:val="hybridMultilevel"/>
    <w:tmpl w:val="2918F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9A7531"/>
    <w:multiLevelType w:val="hybridMultilevel"/>
    <w:tmpl w:val="30BCF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C40A8E"/>
    <w:multiLevelType w:val="hybridMultilevel"/>
    <w:tmpl w:val="68029E4C"/>
    <w:lvl w:ilvl="0" w:tplc="62860FFA">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15:restartNumberingAfterBreak="0">
    <w:nsid w:val="59927624"/>
    <w:multiLevelType w:val="hybridMultilevel"/>
    <w:tmpl w:val="C3481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A44FF6"/>
    <w:multiLevelType w:val="hybridMultilevel"/>
    <w:tmpl w:val="B07876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7F14CE"/>
    <w:multiLevelType w:val="hybridMultilevel"/>
    <w:tmpl w:val="09F44904"/>
    <w:lvl w:ilvl="0" w:tplc="69E27CA2">
      <w:start w:val="1"/>
      <w:numFmt w:val="upperRoman"/>
      <w:lvlText w:val="%1."/>
      <w:lvlJc w:val="left"/>
      <w:pPr>
        <w:ind w:left="4265" w:hanging="720"/>
      </w:pPr>
    </w:lvl>
    <w:lvl w:ilvl="1" w:tplc="080A0019">
      <w:start w:val="1"/>
      <w:numFmt w:val="lowerLetter"/>
      <w:lvlText w:val="%2."/>
      <w:lvlJc w:val="left"/>
      <w:pPr>
        <w:ind w:left="4625" w:hanging="360"/>
      </w:pPr>
    </w:lvl>
    <w:lvl w:ilvl="2" w:tplc="080A001B">
      <w:start w:val="1"/>
      <w:numFmt w:val="lowerRoman"/>
      <w:lvlText w:val="%3."/>
      <w:lvlJc w:val="right"/>
      <w:pPr>
        <w:ind w:left="5345" w:hanging="180"/>
      </w:pPr>
    </w:lvl>
    <w:lvl w:ilvl="3" w:tplc="080A000F">
      <w:start w:val="1"/>
      <w:numFmt w:val="decimal"/>
      <w:lvlText w:val="%4."/>
      <w:lvlJc w:val="left"/>
      <w:pPr>
        <w:ind w:left="6065" w:hanging="360"/>
      </w:pPr>
    </w:lvl>
    <w:lvl w:ilvl="4" w:tplc="080A0019">
      <w:start w:val="1"/>
      <w:numFmt w:val="lowerLetter"/>
      <w:lvlText w:val="%5."/>
      <w:lvlJc w:val="left"/>
      <w:pPr>
        <w:ind w:left="6785" w:hanging="360"/>
      </w:pPr>
    </w:lvl>
    <w:lvl w:ilvl="5" w:tplc="080A001B">
      <w:start w:val="1"/>
      <w:numFmt w:val="lowerRoman"/>
      <w:lvlText w:val="%6."/>
      <w:lvlJc w:val="right"/>
      <w:pPr>
        <w:ind w:left="7505" w:hanging="180"/>
      </w:pPr>
    </w:lvl>
    <w:lvl w:ilvl="6" w:tplc="080A000F">
      <w:start w:val="1"/>
      <w:numFmt w:val="decimal"/>
      <w:lvlText w:val="%7."/>
      <w:lvlJc w:val="left"/>
      <w:pPr>
        <w:ind w:left="8225" w:hanging="360"/>
      </w:pPr>
    </w:lvl>
    <w:lvl w:ilvl="7" w:tplc="080A0019">
      <w:start w:val="1"/>
      <w:numFmt w:val="lowerLetter"/>
      <w:lvlText w:val="%8."/>
      <w:lvlJc w:val="left"/>
      <w:pPr>
        <w:ind w:left="8945" w:hanging="360"/>
      </w:pPr>
    </w:lvl>
    <w:lvl w:ilvl="8" w:tplc="080A001B">
      <w:start w:val="1"/>
      <w:numFmt w:val="lowerRoman"/>
      <w:lvlText w:val="%9."/>
      <w:lvlJc w:val="right"/>
      <w:pPr>
        <w:ind w:left="9665" w:hanging="180"/>
      </w:pPr>
    </w:lvl>
  </w:abstractNum>
  <w:abstractNum w:abstractNumId="16" w15:restartNumberingAfterBreak="0">
    <w:nsid w:val="6E8F2AC0"/>
    <w:multiLevelType w:val="hybridMultilevel"/>
    <w:tmpl w:val="7A602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9973A6"/>
    <w:multiLevelType w:val="hybridMultilevel"/>
    <w:tmpl w:val="1BE4648E"/>
    <w:lvl w:ilvl="0" w:tplc="B5481E6A">
      <w:start w:val="1"/>
      <w:numFmt w:val="upperRoman"/>
      <w:lvlText w:val="%1."/>
      <w:lvlJc w:val="left"/>
      <w:pPr>
        <w:ind w:left="1713" w:hanging="720"/>
      </w:pPr>
      <w:rPr>
        <w:rFonts w:cs="Segoe UI"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8" w15:restartNumberingAfterBreak="0">
    <w:nsid w:val="7913187D"/>
    <w:multiLevelType w:val="hybridMultilevel"/>
    <w:tmpl w:val="BFBC1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EC4444"/>
    <w:multiLevelType w:val="hybridMultilevel"/>
    <w:tmpl w:val="4D702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6"/>
  </w:num>
  <w:num w:numId="5">
    <w:abstractNumId w:val="2"/>
  </w:num>
  <w:num w:numId="6">
    <w:abstractNumId w:val="5"/>
  </w:num>
  <w:num w:numId="7">
    <w:abstractNumId w:val="7"/>
  </w:num>
  <w:num w:numId="8">
    <w:abstractNumId w:val="4"/>
  </w:num>
  <w:num w:numId="9">
    <w:abstractNumId w:val="3"/>
  </w:num>
  <w:num w:numId="10">
    <w:abstractNumId w:val="13"/>
  </w:num>
  <w:num w:numId="11">
    <w:abstractNumId w:val="12"/>
  </w:num>
  <w:num w:numId="12">
    <w:abstractNumId w:val="16"/>
  </w:num>
  <w:num w:numId="13">
    <w:abstractNumId w:val="8"/>
  </w:num>
  <w:num w:numId="14">
    <w:abstractNumId w:val="18"/>
  </w:num>
  <w:num w:numId="15">
    <w:abstractNumId w:val="1"/>
  </w:num>
  <w:num w:numId="16">
    <w:abstractNumId w:val="17"/>
  </w:num>
  <w:num w:numId="17">
    <w:abstractNumId w:val="19"/>
  </w:num>
  <w:num w:numId="18">
    <w:abstractNumId w:val="10"/>
  </w:num>
  <w:num w:numId="19">
    <w:abstractNumId w:val="1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5CB"/>
    <w:rsid w:val="0001561E"/>
    <w:rsid w:val="00015B46"/>
    <w:rsid w:val="00020628"/>
    <w:rsid w:val="00021168"/>
    <w:rsid w:val="000216E2"/>
    <w:rsid w:val="00022119"/>
    <w:rsid w:val="000237B7"/>
    <w:rsid w:val="00027BBB"/>
    <w:rsid w:val="000337DA"/>
    <w:rsid w:val="00037D72"/>
    <w:rsid w:val="0004608D"/>
    <w:rsid w:val="00062052"/>
    <w:rsid w:val="00066EA9"/>
    <w:rsid w:val="00067496"/>
    <w:rsid w:val="00072D95"/>
    <w:rsid w:val="000750A7"/>
    <w:rsid w:val="00076C9A"/>
    <w:rsid w:val="00080788"/>
    <w:rsid w:val="00094A52"/>
    <w:rsid w:val="00096161"/>
    <w:rsid w:val="00096C72"/>
    <w:rsid w:val="00097DC6"/>
    <w:rsid w:val="000A3261"/>
    <w:rsid w:val="000A7478"/>
    <w:rsid w:val="000B37AE"/>
    <w:rsid w:val="000B6E12"/>
    <w:rsid w:val="000D34A1"/>
    <w:rsid w:val="000D4727"/>
    <w:rsid w:val="000D4A20"/>
    <w:rsid w:val="000E0F0F"/>
    <w:rsid w:val="000E3843"/>
    <w:rsid w:val="000E4227"/>
    <w:rsid w:val="000E77F3"/>
    <w:rsid w:val="000F2D64"/>
    <w:rsid w:val="000F51C1"/>
    <w:rsid w:val="0010499F"/>
    <w:rsid w:val="0010633D"/>
    <w:rsid w:val="00113F0F"/>
    <w:rsid w:val="00114A6D"/>
    <w:rsid w:val="00114A9A"/>
    <w:rsid w:val="00116785"/>
    <w:rsid w:val="001342BD"/>
    <w:rsid w:val="0013433C"/>
    <w:rsid w:val="00142FA9"/>
    <w:rsid w:val="00146257"/>
    <w:rsid w:val="00153C0D"/>
    <w:rsid w:val="00161C08"/>
    <w:rsid w:val="001639B7"/>
    <w:rsid w:val="00170E33"/>
    <w:rsid w:val="00171420"/>
    <w:rsid w:val="001714D5"/>
    <w:rsid w:val="00173DD2"/>
    <w:rsid w:val="001778FE"/>
    <w:rsid w:val="00181755"/>
    <w:rsid w:val="0018182C"/>
    <w:rsid w:val="0018407B"/>
    <w:rsid w:val="00184165"/>
    <w:rsid w:val="00186A33"/>
    <w:rsid w:val="00190F13"/>
    <w:rsid w:val="0019247C"/>
    <w:rsid w:val="0019336E"/>
    <w:rsid w:val="0019366F"/>
    <w:rsid w:val="00195135"/>
    <w:rsid w:val="001A4769"/>
    <w:rsid w:val="001A51C8"/>
    <w:rsid w:val="001A5DB6"/>
    <w:rsid w:val="001A73AF"/>
    <w:rsid w:val="001B5585"/>
    <w:rsid w:val="001C16F6"/>
    <w:rsid w:val="001C54FE"/>
    <w:rsid w:val="001C66D4"/>
    <w:rsid w:val="001E04EA"/>
    <w:rsid w:val="001E35F1"/>
    <w:rsid w:val="001E571F"/>
    <w:rsid w:val="001F5725"/>
    <w:rsid w:val="001F72FB"/>
    <w:rsid w:val="002012F5"/>
    <w:rsid w:val="002043EC"/>
    <w:rsid w:val="00205EF0"/>
    <w:rsid w:val="00206CFD"/>
    <w:rsid w:val="0021444D"/>
    <w:rsid w:val="00214E16"/>
    <w:rsid w:val="0022062A"/>
    <w:rsid w:val="00223B07"/>
    <w:rsid w:val="00224D6A"/>
    <w:rsid w:val="00226398"/>
    <w:rsid w:val="0022754A"/>
    <w:rsid w:val="00232C0E"/>
    <w:rsid w:val="00235A8C"/>
    <w:rsid w:val="002417A9"/>
    <w:rsid w:val="0024214B"/>
    <w:rsid w:val="00246A48"/>
    <w:rsid w:val="00252213"/>
    <w:rsid w:val="00266653"/>
    <w:rsid w:val="00266B48"/>
    <w:rsid w:val="00273EF3"/>
    <w:rsid w:val="00276DAD"/>
    <w:rsid w:val="00286483"/>
    <w:rsid w:val="00293A1F"/>
    <w:rsid w:val="00293CA1"/>
    <w:rsid w:val="00293EB6"/>
    <w:rsid w:val="002A05B6"/>
    <w:rsid w:val="002A11F8"/>
    <w:rsid w:val="002A6F11"/>
    <w:rsid w:val="002B0D00"/>
    <w:rsid w:val="002B3972"/>
    <w:rsid w:val="002C0440"/>
    <w:rsid w:val="002C20F6"/>
    <w:rsid w:val="002D48FE"/>
    <w:rsid w:val="002D5D7C"/>
    <w:rsid w:val="002D6562"/>
    <w:rsid w:val="002E0B73"/>
    <w:rsid w:val="002E1C93"/>
    <w:rsid w:val="002E5396"/>
    <w:rsid w:val="002F081A"/>
    <w:rsid w:val="003000C4"/>
    <w:rsid w:val="003048AD"/>
    <w:rsid w:val="003132E1"/>
    <w:rsid w:val="00313ADE"/>
    <w:rsid w:val="003239B7"/>
    <w:rsid w:val="003241E5"/>
    <w:rsid w:val="0033087D"/>
    <w:rsid w:val="003347C3"/>
    <w:rsid w:val="00336113"/>
    <w:rsid w:val="00340981"/>
    <w:rsid w:val="003443C1"/>
    <w:rsid w:val="00345F68"/>
    <w:rsid w:val="00363976"/>
    <w:rsid w:val="0036505F"/>
    <w:rsid w:val="00365264"/>
    <w:rsid w:val="00373C0A"/>
    <w:rsid w:val="00380275"/>
    <w:rsid w:val="00382DC3"/>
    <w:rsid w:val="00386076"/>
    <w:rsid w:val="00391967"/>
    <w:rsid w:val="00392DE2"/>
    <w:rsid w:val="00392F63"/>
    <w:rsid w:val="00394387"/>
    <w:rsid w:val="00394748"/>
    <w:rsid w:val="003A0920"/>
    <w:rsid w:val="003A10D3"/>
    <w:rsid w:val="003A24CA"/>
    <w:rsid w:val="003A386A"/>
    <w:rsid w:val="003A781E"/>
    <w:rsid w:val="003B0CBF"/>
    <w:rsid w:val="003B19DA"/>
    <w:rsid w:val="003B4C11"/>
    <w:rsid w:val="003C1448"/>
    <w:rsid w:val="003C4A56"/>
    <w:rsid w:val="003E3A0E"/>
    <w:rsid w:val="003E67EC"/>
    <w:rsid w:val="003E7C61"/>
    <w:rsid w:val="003F2267"/>
    <w:rsid w:val="00410B33"/>
    <w:rsid w:val="00416F97"/>
    <w:rsid w:val="0042081B"/>
    <w:rsid w:val="00422958"/>
    <w:rsid w:val="00431776"/>
    <w:rsid w:val="00441DEC"/>
    <w:rsid w:val="0044607B"/>
    <w:rsid w:val="00452381"/>
    <w:rsid w:val="00452AA3"/>
    <w:rsid w:val="00455513"/>
    <w:rsid w:val="00461C88"/>
    <w:rsid w:val="00463004"/>
    <w:rsid w:val="004728FD"/>
    <w:rsid w:val="004879EC"/>
    <w:rsid w:val="00490FD1"/>
    <w:rsid w:val="00497433"/>
    <w:rsid w:val="004A78DC"/>
    <w:rsid w:val="004B0649"/>
    <w:rsid w:val="004B0F26"/>
    <w:rsid w:val="004B7469"/>
    <w:rsid w:val="004C7BE4"/>
    <w:rsid w:val="004D295E"/>
    <w:rsid w:val="004D453C"/>
    <w:rsid w:val="004D63E3"/>
    <w:rsid w:val="004D6DE5"/>
    <w:rsid w:val="004D6F01"/>
    <w:rsid w:val="004E51D4"/>
    <w:rsid w:val="004F31E2"/>
    <w:rsid w:val="004F5A47"/>
    <w:rsid w:val="004F6F27"/>
    <w:rsid w:val="00504982"/>
    <w:rsid w:val="00505840"/>
    <w:rsid w:val="005124BF"/>
    <w:rsid w:val="005165E9"/>
    <w:rsid w:val="00523D85"/>
    <w:rsid w:val="00526638"/>
    <w:rsid w:val="00530E63"/>
    <w:rsid w:val="005323AC"/>
    <w:rsid w:val="00537F89"/>
    <w:rsid w:val="00540979"/>
    <w:rsid w:val="005426EA"/>
    <w:rsid w:val="00546029"/>
    <w:rsid w:val="005507DC"/>
    <w:rsid w:val="00551415"/>
    <w:rsid w:val="00581E90"/>
    <w:rsid w:val="005975CD"/>
    <w:rsid w:val="00597C70"/>
    <w:rsid w:val="005B1C86"/>
    <w:rsid w:val="005C2B9A"/>
    <w:rsid w:val="005D0014"/>
    <w:rsid w:val="005E0477"/>
    <w:rsid w:val="005E40AB"/>
    <w:rsid w:val="005F0C47"/>
    <w:rsid w:val="00600AFE"/>
    <w:rsid w:val="0060122B"/>
    <w:rsid w:val="00625BB7"/>
    <w:rsid w:val="00626D6C"/>
    <w:rsid w:val="006302EB"/>
    <w:rsid w:val="0063409B"/>
    <w:rsid w:val="00636BF0"/>
    <w:rsid w:val="00640896"/>
    <w:rsid w:val="00641CF7"/>
    <w:rsid w:val="00642ED3"/>
    <w:rsid w:val="00651AE4"/>
    <w:rsid w:val="00651B2F"/>
    <w:rsid w:val="00667C75"/>
    <w:rsid w:val="00673AC9"/>
    <w:rsid w:val="00673F19"/>
    <w:rsid w:val="00676C17"/>
    <w:rsid w:val="00686C66"/>
    <w:rsid w:val="0069454E"/>
    <w:rsid w:val="00695C47"/>
    <w:rsid w:val="006975B4"/>
    <w:rsid w:val="006A7EE4"/>
    <w:rsid w:val="006B54F6"/>
    <w:rsid w:val="006C60A8"/>
    <w:rsid w:val="006D0954"/>
    <w:rsid w:val="006E32F0"/>
    <w:rsid w:val="006F2A2A"/>
    <w:rsid w:val="006F37E6"/>
    <w:rsid w:val="006F40FE"/>
    <w:rsid w:val="00702C67"/>
    <w:rsid w:val="007048F5"/>
    <w:rsid w:val="00713DD7"/>
    <w:rsid w:val="0071726B"/>
    <w:rsid w:val="00720105"/>
    <w:rsid w:val="00722A61"/>
    <w:rsid w:val="0073045B"/>
    <w:rsid w:val="007372F8"/>
    <w:rsid w:val="00745A16"/>
    <w:rsid w:val="00747FEA"/>
    <w:rsid w:val="00752494"/>
    <w:rsid w:val="0075545F"/>
    <w:rsid w:val="00763D10"/>
    <w:rsid w:val="0077066B"/>
    <w:rsid w:val="00771004"/>
    <w:rsid w:val="00771FD8"/>
    <w:rsid w:val="00776053"/>
    <w:rsid w:val="00777D38"/>
    <w:rsid w:val="007826B6"/>
    <w:rsid w:val="00782D84"/>
    <w:rsid w:val="00787330"/>
    <w:rsid w:val="0079066D"/>
    <w:rsid w:val="0079175F"/>
    <w:rsid w:val="00793A46"/>
    <w:rsid w:val="00795888"/>
    <w:rsid w:val="007A2EAF"/>
    <w:rsid w:val="007A6AB4"/>
    <w:rsid w:val="007B188B"/>
    <w:rsid w:val="007B1D27"/>
    <w:rsid w:val="007B6B59"/>
    <w:rsid w:val="007C08DD"/>
    <w:rsid w:val="007C26DD"/>
    <w:rsid w:val="007D2A34"/>
    <w:rsid w:val="007D3B62"/>
    <w:rsid w:val="007D70B1"/>
    <w:rsid w:val="007E06D7"/>
    <w:rsid w:val="007E20FC"/>
    <w:rsid w:val="007E28D4"/>
    <w:rsid w:val="007E5123"/>
    <w:rsid w:val="007E6426"/>
    <w:rsid w:val="007F09BB"/>
    <w:rsid w:val="007F6117"/>
    <w:rsid w:val="0080178F"/>
    <w:rsid w:val="008029E6"/>
    <w:rsid w:val="008035A8"/>
    <w:rsid w:val="00815F59"/>
    <w:rsid w:val="00821319"/>
    <w:rsid w:val="00825D48"/>
    <w:rsid w:val="0084038C"/>
    <w:rsid w:val="008422E5"/>
    <w:rsid w:val="0085194C"/>
    <w:rsid w:val="00854B1C"/>
    <w:rsid w:val="008558D7"/>
    <w:rsid w:val="0085799A"/>
    <w:rsid w:val="00864153"/>
    <w:rsid w:val="00867701"/>
    <w:rsid w:val="0087361A"/>
    <w:rsid w:val="00880949"/>
    <w:rsid w:val="00881FC4"/>
    <w:rsid w:val="0089424B"/>
    <w:rsid w:val="008A0CDC"/>
    <w:rsid w:val="008A100D"/>
    <w:rsid w:val="008A3111"/>
    <w:rsid w:val="008B5639"/>
    <w:rsid w:val="008E0A94"/>
    <w:rsid w:val="008E520C"/>
    <w:rsid w:val="008E6621"/>
    <w:rsid w:val="008F324A"/>
    <w:rsid w:val="00901BCB"/>
    <w:rsid w:val="00921A6C"/>
    <w:rsid w:val="00924D37"/>
    <w:rsid w:val="00944CD5"/>
    <w:rsid w:val="00945457"/>
    <w:rsid w:val="00950BEC"/>
    <w:rsid w:val="00957724"/>
    <w:rsid w:val="009602E3"/>
    <w:rsid w:val="00966DD3"/>
    <w:rsid w:val="00976507"/>
    <w:rsid w:val="0098057B"/>
    <w:rsid w:val="009902CB"/>
    <w:rsid w:val="00997B8F"/>
    <w:rsid w:val="009A15B8"/>
    <w:rsid w:val="009A47D5"/>
    <w:rsid w:val="009B13E8"/>
    <w:rsid w:val="009B3DAD"/>
    <w:rsid w:val="009C49CD"/>
    <w:rsid w:val="009E1FAD"/>
    <w:rsid w:val="009E71E7"/>
    <w:rsid w:val="009F00A5"/>
    <w:rsid w:val="00A02EE8"/>
    <w:rsid w:val="00A0527F"/>
    <w:rsid w:val="00A11D70"/>
    <w:rsid w:val="00A26A48"/>
    <w:rsid w:val="00A32E26"/>
    <w:rsid w:val="00A3384C"/>
    <w:rsid w:val="00A34630"/>
    <w:rsid w:val="00A3483A"/>
    <w:rsid w:val="00A37BB0"/>
    <w:rsid w:val="00A43706"/>
    <w:rsid w:val="00A7395C"/>
    <w:rsid w:val="00A80726"/>
    <w:rsid w:val="00A93289"/>
    <w:rsid w:val="00A9340E"/>
    <w:rsid w:val="00AA1D9C"/>
    <w:rsid w:val="00AA23D5"/>
    <w:rsid w:val="00AA3766"/>
    <w:rsid w:val="00AA5B9D"/>
    <w:rsid w:val="00AB4201"/>
    <w:rsid w:val="00AB4D6F"/>
    <w:rsid w:val="00AB619D"/>
    <w:rsid w:val="00AC2D4D"/>
    <w:rsid w:val="00AD0C26"/>
    <w:rsid w:val="00AD1F1D"/>
    <w:rsid w:val="00AD62E4"/>
    <w:rsid w:val="00AE03C3"/>
    <w:rsid w:val="00AE2FE4"/>
    <w:rsid w:val="00AF1553"/>
    <w:rsid w:val="00AF3687"/>
    <w:rsid w:val="00AF3EE9"/>
    <w:rsid w:val="00B00578"/>
    <w:rsid w:val="00B027BE"/>
    <w:rsid w:val="00B10115"/>
    <w:rsid w:val="00B124E5"/>
    <w:rsid w:val="00B151F3"/>
    <w:rsid w:val="00B17F12"/>
    <w:rsid w:val="00B20D9F"/>
    <w:rsid w:val="00B24AA0"/>
    <w:rsid w:val="00B276BE"/>
    <w:rsid w:val="00B307A8"/>
    <w:rsid w:val="00B44473"/>
    <w:rsid w:val="00B450CA"/>
    <w:rsid w:val="00B55F88"/>
    <w:rsid w:val="00B62D1E"/>
    <w:rsid w:val="00B84CB3"/>
    <w:rsid w:val="00B94E90"/>
    <w:rsid w:val="00BB2A04"/>
    <w:rsid w:val="00BB2B3D"/>
    <w:rsid w:val="00BB4ED8"/>
    <w:rsid w:val="00BB61F7"/>
    <w:rsid w:val="00BB75C3"/>
    <w:rsid w:val="00BC3332"/>
    <w:rsid w:val="00BC5CBE"/>
    <w:rsid w:val="00BD09ED"/>
    <w:rsid w:val="00BD1EA0"/>
    <w:rsid w:val="00BD1F18"/>
    <w:rsid w:val="00BE545E"/>
    <w:rsid w:val="00BE5DED"/>
    <w:rsid w:val="00BF5449"/>
    <w:rsid w:val="00C01EF3"/>
    <w:rsid w:val="00C04AC7"/>
    <w:rsid w:val="00C055C3"/>
    <w:rsid w:val="00C05B60"/>
    <w:rsid w:val="00C1056D"/>
    <w:rsid w:val="00C12F96"/>
    <w:rsid w:val="00C16923"/>
    <w:rsid w:val="00C17246"/>
    <w:rsid w:val="00C31A4E"/>
    <w:rsid w:val="00C3219F"/>
    <w:rsid w:val="00C367B8"/>
    <w:rsid w:val="00C407B9"/>
    <w:rsid w:val="00C41145"/>
    <w:rsid w:val="00C43202"/>
    <w:rsid w:val="00C52B7C"/>
    <w:rsid w:val="00C6202E"/>
    <w:rsid w:val="00C62A48"/>
    <w:rsid w:val="00C63420"/>
    <w:rsid w:val="00C65C6D"/>
    <w:rsid w:val="00C66BA8"/>
    <w:rsid w:val="00C706D2"/>
    <w:rsid w:val="00C76ABB"/>
    <w:rsid w:val="00C8268C"/>
    <w:rsid w:val="00C8338F"/>
    <w:rsid w:val="00C87077"/>
    <w:rsid w:val="00C900F5"/>
    <w:rsid w:val="00C910ED"/>
    <w:rsid w:val="00CA4A50"/>
    <w:rsid w:val="00CA6C81"/>
    <w:rsid w:val="00CA7CFD"/>
    <w:rsid w:val="00CC3412"/>
    <w:rsid w:val="00CC51B6"/>
    <w:rsid w:val="00CD4117"/>
    <w:rsid w:val="00CD4712"/>
    <w:rsid w:val="00CE169F"/>
    <w:rsid w:val="00CE3484"/>
    <w:rsid w:val="00D027C7"/>
    <w:rsid w:val="00D03D82"/>
    <w:rsid w:val="00D049F6"/>
    <w:rsid w:val="00D04AE4"/>
    <w:rsid w:val="00D04B37"/>
    <w:rsid w:val="00D129B1"/>
    <w:rsid w:val="00D135C7"/>
    <w:rsid w:val="00D213EC"/>
    <w:rsid w:val="00D215DE"/>
    <w:rsid w:val="00D24040"/>
    <w:rsid w:val="00D246B8"/>
    <w:rsid w:val="00D25C96"/>
    <w:rsid w:val="00D2638F"/>
    <w:rsid w:val="00D27626"/>
    <w:rsid w:val="00D35465"/>
    <w:rsid w:val="00D46C55"/>
    <w:rsid w:val="00D50BF2"/>
    <w:rsid w:val="00D522BD"/>
    <w:rsid w:val="00D53C9E"/>
    <w:rsid w:val="00D564E9"/>
    <w:rsid w:val="00D60D50"/>
    <w:rsid w:val="00D642F2"/>
    <w:rsid w:val="00D64D7A"/>
    <w:rsid w:val="00D66DC4"/>
    <w:rsid w:val="00D74228"/>
    <w:rsid w:val="00D817CC"/>
    <w:rsid w:val="00D84317"/>
    <w:rsid w:val="00D86D06"/>
    <w:rsid w:val="00D95F0F"/>
    <w:rsid w:val="00DA4FC4"/>
    <w:rsid w:val="00DB61BC"/>
    <w:rsid w:val="00DC1614"/>
    <w:rsid w:val="00DC1FC8"/>
    <w:rsid w:val="00DC3DCD"/>
    <w:rsid w:val="00DC6C96"/>
    <w:rsid w:val="00DD00F1"/>
    <w:rsid w:val="00DD57B6"/>
    <w:rsid w:val="00DE25D7"/>
    <w:rsid w:val="00DE4E6A"/>
    <w:rsid w:val="00DE772D"/>
    <w:rsid w:val="00DE7A75"/>
    <w:rsid w:val="00DF3918"/>
    <w:rsid w:val="00DF4A44"/>
    <w:rsid w:val="00E00033"/>
    <w:rsid w:val="00E003BF"/>
    <w:rsid w:val="00E06B17"/>
    <w:rsid w:val="00E115C4"/>
    <w:rsid w:val="00E13192"/>
    <w:rsid w:val="00E17FB8"/>
    <w:rsid w:val="00E22A8D"/>
    <w:rsid w:val="00E22EA1"/>
    <w:rsid w:val="00E23E83"/>
    <w:rsid w:val="00E2702C"/>
    <w:rsid w:val="00E279AD"/>
    <w:rsid w:val="00E3118E"/>
    <w:rsid w:val="00E33B23"/>
    <w:rsid w:val="00E34595"/>
    <w:rsid w:val="00E4013E"/>
    <w:rsid w:val="00E4481D"/>
    <w:rsid w:val="00E479A9"/>
    <w:rsid w:val="00E53ECD"/>
    <w:rsid w:val="00E578F2"/>
    <w:rsid w:val="00E67840"/>
    <w:rsid w:val="00E72E93"/>
    <w:rsid w:val="00E75722"/>
    <w:rsid w:val="00E827A0"/>
    <w:rsid w:val="00E84CD8"/>
    <w:rsid w:val="00E87E7E"/>
    <w:rsid w:val="00E9188C"/>
    <w:rsid w:val="00E96956"/>
    <w:rsid w:val="00E969C6"/>
    <w:rsid w:val="00E9748A"/>
    <w:rsid w:val="00E97D16"/>
    <w:rsid w:val="00EA040E"/>
    <w:rsid w:val="00EA28F2"/>
    <w:rsid w:val="00EB6B00"/>
    <w:rsid w:val="00EC1780"/>
    <w:rsid w:val="00EC32C0"/>
    <w:rsid w:val="00EC5F74"/>
    <w:rsid w:val="00EC6D97"/>
    <w:rsid w:val="00ED39F1"/>
    <w:rsid w:val="00ED4138"/>
    <w:rsid w:val="00EE6DBE"/>
    <w:rsid w:val="00EF0E0E"/>
    <w:rsid w:val="00EF50C0"/>
    <w:rsid w:val="00EF5983"/>
    <w:rsid w:val="00EF7597"/>
    <w:rsid w:val="00F03394"/>
    <w:rsid w:val="00F041BB"/>
    <w:rsid w:val="00F11217"/>
    <w:rsid w:val="00F13931"/>
    <w:rsid w:val="00F15EDD"/>
    <w:rsid w:val="00F2486F"/>
    <w:rsid w:val="00F33C22"/>
    <w:rsid w:val="00F363AD"/>
    <w:rsid w:val="00F41009"/>
    <w:rsid w:val="00F4384F"/>
    <w:rsid w:val="00F470CE"/>
    <w:rsid w:val="00F56D15"/>
    <w:rsid w:val="00F677C7"/>
    <w:rsid w:val="00F706E0"/>
    <w:rsid w:val="00F75AEC"/>
    <w:rsid w:val="00F84DB8"/>
    <w:rsid w:val="00F86EFA"/>
    <w:rsid w:val="00F930F7"/>
    <w:rsid w:val="00FA3138"/>
    <w:rsid w:val="00FA544C"/>
    <w:rsid w:val="00FB268B"/>
    <w:rsid w:val="00FB2CEE"/>
    <w:rsid w:val="00FB32A7"/>
    <w:rsid w:val="00FB34FF"/>
    <w:rsid w:val="00FB75C0"/>
    <w:rsid w:val="00FC2357"/>
    <w:rsid w:val="00FC4004"/>
    <w:rsid w:val="00FC4A1A"/>
    <w:rsid w:val="00FE56B6"/>
    <w:rsid w:val="00FF34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1E35F1"/>
    <w:pPr>
      <w:spacing w:after="0" w:line="240" w:lineRule="auto"/>
    </w:pPr>
  </w:style>
  <w:style w:type="character" w:customStyle="1" w:styleId="SinespaciadoCar">
    <w:name w:val="Sin espaciado Car"/>
    <w:aliases w:val="Francesa Car,INAI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114A6D"/>
    <w:rPr>
      <w:vertAlign w:val="superscript"/>
    </w:rPr>
  </w:style>
  <w:style w:type="character" w:styleId="Hipervnculovisitado">
    <w:name w:val="FollowedHyperlink"/>
    <w:basedOn w:val="Fuentedeprrafopredeter"/>
    <w:uiPriority w:val="99"/>
    <w:semiHidden/>
    <w:unhideWhenUsed/>
    <w:rsid w:val="00787330"/>
    <w:rPr>
      <w:color w:val="954F72" w:themeColor="followedHyperlink"/>
      <w:u w:val="single"/>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1A51C8"/>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49456916">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15774719">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0456613">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12530335">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50147686">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5532406">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20107820">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7698457">
      <w:bodyDiv w:val="1"/>
      <w:marLeft w:val="0"/>
      <w:marRight w:val="0"/>
      <w:marTop w:val="0"/>
      <w:marBottom w:val="0"/>
      <w:divBdr>
        <w:top w:val="none" w:sz="0" w:space="0" w:color="auto"/>
        <w:left w:val="none" w:sz="0" w:space="0" w:color="auto"/>
        <w:bottom w:val="none" w:sz="0" w:space="0" w:color="auto"/>
        <w:right w:val="none" w:sz="0" w:space="0" w:color="auto"/>
      </w:divBdr>
    </w:div>
    <w:div w:id="1556547921">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595481566">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2021271048">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44182.pag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aimex.org.mx/saimex/solicitud/downloadAttach/1244182.page"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E68560-8860-4C38-A5E9-3744C9187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30</Pages>
  <Words>5884</Words>
  <Characters>32366</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38174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14</cp:revision>
  <cp:lastPrinted>2021-11-30T18:44:00Z</cp:lastPrinted>
  <dcterms:created xsi:type="dcterms:W3CDTF">2021-11-29T23:12:00Z</dcterms:created>
  <dcterms:modified xsi:type="dcterms:W3CDTF">2021-12-16T17:45:00Z</dcterms:modified>
</cp:coreProperties>
</file>