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DE307" w14:textId="2FA7C99B" w:rsidR="00CF5253" w:rsidRPr="00667998" w:rsidRDefault="00CF5253" w:rsidP="00CF5253">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Hlk55519242"/>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515ED">
        <w:rPr>
          <w:rFonts w:ascii="Palatino Linotype" w:eastAsia="Times New Roman" w:hAnsi="Palatino Linotype" w:cs="Arial"/>
          <w:color w:val="000000"/>
          <w:sz w:val="24"/>
          <w:szCs w:val="24"/>
          <w:lang w:eastAsia="es-MX"/>
        </w:rPr>
        <w:t>veinticuatro</w:t>
      </w:r>
      <w:r>
        <w:rPr>
          <w:rFonts w:ascii="Palatino Linotype" w:eastAsia="Times New Roman" w:hAnsi="Palatino Linotype" w:cs="Arial"/>
          <w:color w:val="000000"/>
          <w:sz w:val="24"/>
          <w:szCs w:val="24"/>
          <w:lang w:eastAsia="es-MX"/>
        </w:rPr>
        <w:t xml:space="preserve"> de</w:t>
      </w:r>
      <w:r w:rsidR="009E3304">
        <w:rPr>
          <w:rFonts w:ascii="Palatino Linotype" w:eastAsia="Times New Roman" w:hAnsi="Palatino Linotype" w:cs="Arial"/>
          <w:color w:val="000000"/>
          <w:sz w:val="24"/>
          <w:szCs w:val="24"/>
          <w:lang w:eastAsia="es-MX"/>
        </w:rPr>
        <w:t xml:space="preserve"> marzo</w:t>
      </w:r>
      <w:r w:rsidRPr="00667998">
        <w:rPr>
          <w:rFonts w:ascii="Palatino Linotype" w:eastAsia="Times New Roman" w:hAnsi="Palatino Linotype" w:cs="Arial"/>
          <w:color w:val="000000"/>
          <w:sz w:val="24"/>
          <w:szCs w:val="24"/>
          <w:lang w:eastAsia="es-MX"/>
        </w:rPr>
        <w:t xml:space="preserve"> de dos mil veint</w:t>
      </w:r>
      <w:r w:rsidR="00F462B1">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679B81A5" w14:textId="77777777" w:rsidR="00CF5253" w:rsidRPr="00667998" w:rsidRDefault="00CF5253" w:rsidP="00CF5253">
      <w:pPr>
        <w:shd w:val="clear" w:color="auto" w:fill="FFFFFF"/>
        <w:spacing w:after="0" w:line="360" w:lineRule="auto"/>
        <w:jc w:val="both"/>
        <w:rPr>
          <w:rFonts w:ascii="Palatino Linotype" w:eastAsia="Times New Roman" w:hAnsi="Palatino Linotype" w:cs="Arial"/>
          <w:color w:val="000000"/>
          <w:sz w:val="2"/>
          <w:szCs w:val="24"/>
          <w:lang w:eastAsia="es-MX"/>
        </w:rPr>
      </w:pPr>
    </w:p>
    <w:p w14:paraId="53C98BC1" w14:textId="77777777" w:rsidR="00CF5253" w:rsidRPr="00667998" w:rsidRDefault="00CF5253" w:rsidP="00CF5253">
      <w:pPr>
        <w:tabs>
          <w:tab w:val="left" w:pos="1701"/>
        </w:tabs>
        <w:spacing w:after="0" w:line="360" w:lineRule="auto"/>
        <w:jc w:val="both"/>
        <w:rPr>
          <w:rFonts w:ascii="Palatino Linotype" w:hAnsi="Palatino Linotype" w:cs="Arial"/>
          <w:b/>
          <w:sz w:val="24"/>
        </w:rPr>
      </w:pPr>
    </w:p>
    <w:p w14:paraId="76034BC5" w14:textId="65166C72" w:rsidR="00CF5253" w:rsidRPr="00667998" w:rsidRDefault="00CF5253" w:rsidP="00CF5253">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00050C32">
        <w:rPr>
          <w:rFonts w:ascii="Palatino Linotype" w:hAnsi="Palatino Linotype" w:cs="Arial"/>
          <w:b/>
          <w:bCs/>
          <w:sz w:val="24"/>
          <w:lang w:eastAsia="es-MX"/>
        </w:rPr>
        <w:t>00150</w:t>
      </w:r>
      <w:r w:rsidRPr="00667998">
        <w:rPr>
          <w:rFonts w:ascii="Palatino Linotype" w:hAnsi="Palatino Linotype" w:cs="Arial"/>
          <w:b/>
          <w:bCs/>
          <w:sz w:val="24"/>
          <w:lang w:eastAsia="es-MX"/>
        </w:rPr>
        <w:t>/INFOEM/IP/RR/20</w:t>
      </w:r>
      <w:r w:rsidR="00050C32">
        <w:rPr>
          <w:rFonts w:ascii="Palatino Linotype" w:hAnsi="Palatino Linotype" w:cs="Arial"/>
          <w:b/>
          <w:bCs/>
          <w:sz w:val="24"/>
          <w:lang w:eastAsia="es-MX"/>
        </w:rPr>
        <w:t>21</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Pr>
          <w:rFonts w:ascii="Palatino Linotype" w:hAnsi="Palatino Linotype" w:cs="Arial"/>
          <w:sz w:val="24"/>
          <w:szCs w:val="24"/>
        </w:rPr>
        <w:t xml:space="preserve">el </w:t>
      </w:r>
      <w:r w:rsidRPr="00667998">
        <w:rPr>
          <w:rFonts w:ascii="Palatino Linotype" w:hAnsi="Palatino Linotype" w:cs="Arial"/>
          <w:b/>
          <w:sz w:val="24"/>
          <w:szCs w:val="24"/>
        </w:rPr>
        <w:t>C.</w:t>
      </w:r>
      <w:r>
        <w:rPr>
          <w:rFonts w:ascii="Palatino Linotype" w:hAnsi="Palatino Linotype" w:cs="Arial"/>
          <w:b/>
          <w:sz w:val="24"/>
          <w:szCs w:val="24"/>
        </w:rPr>
        <w:t xml:space="preserve"> </w:t>
      </w:r>
      <w:proofErr w:type="spellStart"/>
      <w:r w:rsidR="005515ED">
        <w:rPr>
          <w:rFonts w:ascii="Palatino Linotype" w:hAnsi="Palatino Linotype" w:cs="Arial"/>
          <w:b/>
          <w:sz w:val="24"/>
          <w:szCs w:val="24"/>
        </w:rPr>
        <w:t>xxxxxxxxxxxx</w:t>
      </w:r>
      <w:proofErr w:type="spellEnd"/>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el</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en contra de la</w:t>
      </w:r>
      <w:r w:rsidR="00976D7D">
        <w:rPr>
          <w:rFonts w:ascii="Palatino Linotype" w:hAnsi="Palatino Linotype" w:cs="Arial"/>
          <w:sz w:val="24"/>
          <w:szCs w:val="24"/>
        </w:rPr>
        <w:t xml:space="preserve"> falta de</w:t>
      </w:r>
      <w:r w:rsidRPr="00667998">
        <w:rPr>
          <w:rFonts w:ascii="Palatino Linotype" w:hAnsi="Palatino Linotype" w:cs="Arial"/>
          <w:sz w:val="24"/>
          <w:szCs w:val="24"/>
        </w:rPr>
        <w:t xml:space="preserve"> respuesta de</w:t>
      </w:r>
      <w:r>
        <w:rPr>
          <w:rFonts w:ascii="Palatino Linotype" w:hAnsi="Palatino Linotype" w:cs="Arial"/>
          <w:sz w:val="24"/>
          <w:szCs w:val="24"/>
        </w:rPr>
        <w:t xml:space="preserve">l </w:t>
      </w:r>
      <w:r w:rsidR="00050C32" w:rsidRPr="00050C32">
        <w:rPr>
          <w:rFonts w:ascii="Palatino Linotype" w:hAnsi="Palatino Linotype" w:cs="Arial"/>
          <w:b/>
          <w:sz w:val="24"/>
          <w:szCs w:val="24"/>
        </w:rPr>
        <w:t>Partido Morena</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777EAA8A" w14:textId="77777777" w:rsidR="00CF5253" w:rsidRPr="004A1460" w:rsidRDefault="00CF5253" w:rsidP="00CF5253">
      <w:pPr>
        <w:tabs>
          <w:tab w:val="left" w:pos="1701"/>
        </w:tabs>
        <w:spacing w:after="0" w:line="360" w:lineRule="auto"/>
        <w:jc w:val="both"/>
        <w:rPr>
          <w:rFonts w:ascii="Palatino Linotype" w:hAnsi="Palatino Linotype" w:cs="Arial"/>
          <w:sz w:val="24"/>
        </w:rPr>
      </w:pPr>
    </w:p>
    <w:p w14:paraId="51617894" w14:textId="77777777" w:rsidR="00CF5253" w:rsidRPr="00667998" w:rsidRDefault="00CF5253" w:rsidP="00CF5253">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235B96C4" w14:textId="77777777" w:rsidR="00CF5253" w:rsidRPr="00667998" w:rsidRDefault="00CF5253" w:rsidP="00CF5253">
      <w:pPr>
        <w:spacing w:after="0" w:line="360" w:lineRule="auto"/>
        <w:jc w:val="center"/>
        <w:rPr>
          <w:rFonts w:ascii="Palatino Linotype" w:hAnsi="Palatino Linotype"/>
          <w:b/>
          <w:sz w:val="24"/>
        </w:rPr>
      </w:pPr>
    </w:p>
    <w:p w14:paraId="0BB39E3F" w14:textId="77777777" w:rsidR="00CF5253" w:rsidRPr="00667998" w:rsidRDefault="00CF5253" w:rsidP="00CF5253">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04CA7D7B" w14:textId="0F9CB941" w:rsidR="00CF5253" w:rsidRPr="00667998" w:rsidRDefault="00CF5253" w:rsidP="00CF5253">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976D7D">
        <w:rPr>
          <w:rFonts w:ascii="Palatino Linotype" w:hAnsi="Palatino Linotype" w:cs="Arial"/>
          <w:sz w:val="24"/>
        </w:rPr>
        <w:t>seis de agosto de</w:t>
      </w:r>
      <w:r w:rsidRPr="00667998">
        <w:rPr>
          <w:rFonts w:ascii="Palatino Linotype" w:hAnsi="Palatino Linotype" w:cs="Arial"/>
          <w:sz w:val="24"/>
        </w:rPr>
        <w:t xml:space="preserve"> dos mil ve</w:t>
      </w:r>
      <w:r>
        <w:rPr>
          <w:rFonts w:ascii="Palatino Linotype" w:hAnsi="Palatino Linotype" w:cs="Arial"/>
          <w:sz w:val="24"/>
        </w:rPr>
        <w:t>inte</w:t>
      </w:r>
      <w:r w:rsidRPr="00667998">
        <w:rPr>
          <w:rFonts w:ascii="Palatino Linotype" w:hAnsi="Palatino Linotype" w:cs="Arial"/>
          <w:sz w:val="24"/>
        </w:rPr>
        <w:t xml:space="preserve">, </w:t>
      </w:r>
      <w:r>
        <w:rPr>
          <w:rFonts w:ascii="Palatino Linotype" w:hAnsi="Palatino Linotype" w:cs="Arial"/>
          <w:sz w:val="24"/>
        </w:rPr>
        <w:t>el</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976D7D" w:rsidRPr="00976D7D">
        <w:rPr>
          <w:rFonts w:ascii="Palatino Linotype" w:hAnsi="Palatino Linotype" w:cs="Arial"/>
          <w:b/>
          <w:sz w:val="24"/>
        </w:rPr>
        <w:t>00059/PMOR/IP/2020</w:t>
      </w:r>
      <w:r w:rsidRPr="00667998">
        <w:rPr>
          <w:rFonts w:ascii="Palatino Linotype" w:hAnsi="Palatino Linotype" w:cs="Arial"/>
          <w:sz w:val="24"/>
        </w:rPr>
        <w:t>, mediante la cual solicitó lo siguiente:</w:t>
      </w:r>
    </w:p>
    <w:p w14:paraId="673C79B3" w14:textId="77777777" w:rsidR="00CF5253" w:rsidRPr="004A1460" w:rsidRDefault="00CF5253" w:rsidP="00CF5253"/>
    <w:p w14:paraId="1615B3B4" w14:textId="7230469C" w:rsidR="00CF5253" w:rsidRPr="00667998" w:rsidRDefault="00CF5253" w:rsidP="00CF5253">
      <w:pPr>
        <w:spacing w:after="0" w:line="240" w:lineRule="auto"/>
        <w:ind w:left="567" w:right="850"/>
        <w:jc w:val="both"/>
        <w:rPr>
          <w:rFonts w:ascii="Palatino Linotype" w:hAnsi="Palatino Linotype" w:cs="Arial"/>
          <w:i/>
          <w:sz w:val="24"/>
        </w:rPr>
      </w:pPr>
      <w:r w:rsidRPr="00667998">
        <w:rPr>
          <w:rFonts w:ascii="Palatino Linotype" w:hAnsi="Palatino Linotype" w:cs="Arial"/>
          <w:i/>
          <w:sz w:val="24"/>
        </w:rPr>
        <w:t>“</w:t>
      </w:r>
      <w:r w:rsidR="00F24914" w:rsidRPr="00F24914">
        <w:rPr>
          <w:rFonts w:ascii="Palatino Linotype" w:hAnsi="Palatino Linotype" w:cs="Arial"/>
          <w:i/>
          <w:sz w:val="24"/>
        </w:rPr>
        <w:t>Conocer Nombre, cargo y sueldo mensual de todo el personal que labora en el partido.</w:t>
      </w:r>
      <w:r w:rsidRPr="00667998">
        <w:rPr>
          <w:rFonts w:ascii="Palatino Linotype" w:hAnsi="Palatino Linotype" w:cs="Arial"/>
          <w:i/>
          <w:sz w:val="24"/>
        </w:rPr>
        <w:t>” (Sic).</w:t>
      </w:r>
    </w:p>
    <w:p w14:paraId="599BB48A" w14:textId="77777777" w:rsidR="00CF5253" w:rsidRPr="00667998" w:rsidRDefault="00CF5253" w:rsidP="00CF5253">
      <w:pPr>
        <w:spacing w:after="0" w:line="360" w:lineRule="auto"/>
        <w:ind w:right="850"/>
        <w:jc w:val="both"/>
        <w:rPr>
          <w:rFonts w:ascii="Palatino Linotype" w:hAnsi="Palatino Linotype" w:cs="Arial"/>
          <w:b/>
          <w:sz w:val="2"/>
        </w:rPr>
      </w:pPr>
    </w:p>
    <w:p w14:paraId="4569FC28" w14:textId="77777777" w:rsidR="00CF5253" w:rsidRPr="004A1460" w:rsidRDefault="00CF5253" w:rsidP="00CF5253"/>
    <w:p w14:paraId="0DFB6533" w14:textId="77777777" w:rsidR="00CF5253" w:rsidRPr="00667998" w:rsidRDefault="00CF5253" w:rsidP="00CF5253">
      <w:pPr>
        <w:spacing w:after="0" w:line="360" w:lineRule="auto"/>
        <w:ind w:right="850"/>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 xml:space="preserve">A través del </w:t>
      </w:r>
      <w:r w:rsidRPr="00667998">
        <w:rPr>
          <w:rFonts w:ascii="Palatino Linotype" w:hAnsi="Palatino Linotype" w:cs="Arial"/>
          <w:b/>
          <w:sz w:val="24"/>
        </w:rPr>
        <w:t>SAIMEX.</w:t>
      </w:r>
    </w:p>
    <w:p w14:paraId="006600C4" w14:textId="56572D47" w:rsidR="00CF5253" w:rsidRDefault="00EF3701" w:rsidP="00CF5253">
      <w:pPr>
        <w:spacing w:after="0" w:line="360" w:lineRule="auto"/>
        <w:jc w:val="both"/>
        <w:rPr>
          <w:rFonts w:ascii="Palatino Linotype" w:hAnsi="Palatino Linotype" w:cs="Arial"/>
          <w:b/>
          <w:sz w:val="28"/>
        </w:rPr>
      </w:pPr>
      <w:r>
        <w:rPr>
          <w:rFonts w:ascii="Palatino Linotype" w:hAnsi="Palatino Linotype" w:cs="Arial"/>
          <w:b/>
          <w:sz w:val="28"/>
        </w:rPr>
        <w:t xml:space="preserve"> </w:t>
      </w:r>
    </w:p>
    <w:p w14:paraId="64380B42" w14:textId="77777777" w:rsidR="00CF5253" w:rsidRPr="00667998" w:rsidRDefault="00CF5253" w:rsidP="00CF5253">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SEGUNDO. </w:t>
      </w:r>
      <w:r w:rsidRPr="00667998">
        <w:rPr>
          <w:rFonts w:ascii="Palatino Linotype" w:hAnsi="Palatino Linotype" w:cs="Arial"/>
          <w:b/>
          <w:sz w:val="28"/>
          <w:szCs w:val="20"/>
        </w:rPr>
        <w:t>De la respuesta del Sujeto Obligado.</w:t>
      </w:r>
    </w:p>
    <w:p w14:paraId="39329387" w14:textId="24624193" w:rsidR="00CF5253" w:rsidRDefault="00CF5253" w:rsidP="002E4812">
      <w:pPr>
        <w:tabs>
          <w:tab w:val="right" w:pos="8505"/>
        </w:tabs>
        <w:spacing w:after="0" w:line="360" w:lineRule="auto"/>
        <w:jc w:val="both"/>
        <w:rPr>
          <w:rFonts w:ascii="Palatino Linotype" w:hAnsi="Palatino Linotype" w:cs="Arial"/>
        </w:rPr>
      </w:pPr>
      <w:r w:rsidRPr="00667998">
        <w:rPr>
          <w:rFonts w:ascii="Palatino Linotype" w:hAnsi="Palatino Linotype" w:cs="Arial"/>
          <w:sz w:val="24"/>
        </w:rPr>
        <w:lastRenderedPageBreak/>
        <w:t xml:space="preserve">De las constancias que obran en el SAIMEX, se advierte que </w:t>
      </w:r>
      <w:r w:rsidR="00F24914">
        <w:rPr>
          <w:rFonts w:ascii="Palatino Linotype" w:hAnsi="Palatino Linotype" w:cs="Arial"/>
          <w:sz w:val="24"/>
        </w:rPr>
        <w:t>el Sujeto Obligado fue omiso en responder.</w:t>
      </w:r>
    </w:p>
    <w:p w14:paraId="687A7912" w14:textId="77777777" w:rsidR="002E4812" w:rsidRPr="002E4812" w:rsidRDefault="002E4812" w:rsidP="002E4812">
      <w:pPr>
        <w:tabs>
          <w:tab w:val="right" w:pos="8505"/>
        </w:tabs>
        <w:spacing w:after="0" w:line="360" w:lineRule="auto"/>
        <w:jc w:val="both"/>
        <w:rPr>
          <w:rFonts w:ascii="Palatino Linotype" w:hAnsi="Palatino Linotype" w:cs="Arial"/>
        </w:rPr>
      </w:pPr>
    </w:p>
    <w:p w14:paraId="645261CE" w14:textId="77777777" w:rsidR="00CF5253" w:rsidRPr="00667998" w:rsidRDefault="00CF5253" w:rsidP="00CF5253">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477F0BC7" w14:textId="16F02888" w:rsidR="00CF5253" w:rsidRPr="00667998" w:rsidRDefault="00CF5253" w:rsidP="00CF5253">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w:t>
      </w:r>
      <w:r w:rsidR="007B32EB">
        <w:rPr>
          <w:rFonts w:ascii="Palatino Linotype" w:hAnsi="Palatino Linotype" w:cs="Arial"/>
          <w:sz w:val="24"/>
          <w:szCs w:val="24"/>
        </w:rPr>
        <w:t xml:space="preserve"> falta de</w:t>
      </w:r>
      <w:r w:rsidRPr="00667998">
        <w:rPr>
          <w:rFonts w:ascii="Palatino Linotype" w:hAnsi="Palatino Linotype" w:cs="Arial"/>
          <w:sz w:val="24"/>
          <w:szCs w:val="24"/>
        </w:rPr>
        <w:t xml:space="preserve">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w:t>
      </w:r>
      <w:r w:rsidRPr="00667998">
        <w:rPr>
          <w:rFonts w:ascii="Palatino Linotype" w:hAnsi="Palatino Linotype" w:cs="Arial"/>
          <w:b/>
          <w:sz w:val="24"/>
          <w:szCs w:val="24"/>
        </w:rPr>
        <w:t xml:space="preserve"> Recurrente </w:t>
      </w:r>
      <w:r w:rsidRPr="00667998">
        <w:rPr>
          <w:rFonts w:ascii="Palatino Linotype" w:hAnsi="Palatino Linotype" w:cs="Arial"/>
          <w:sz w:val="24"/>
          <w:szCs w:val="24"/>
        </w:rPr>
        <w:t xml:space="preserve">interpuso el presente recurso de revisión, en fecha </w:t>
      </w:r>
      <w:r w:rsidR="007B32EB">
        <w:rPr>
          <w:rFonts w:ascii="Palatino Linotype" w:hAnsi="Palatino Linotype" w:cs="Arial"/>
          <w:sz w:val="24"/>
          <w:szCs w:val="24"/>
        </w:rPr>
        <w:t>veinticinco</w:t>
      </w:r>
      <w:r w:rsidRPr="00667998">
        <w:rPr>
          <w:rFonts w:ascii="Palatino Linotype" w:hAnsi="Palatino Linotype" w:cs="Arial"/>
          <w:sz w:val="24"/>
          <w:szCs w:val="24"/>
        </w:rPr>
        <w:t xml:space="preserve"> de </w:t>
      </w:r>
      <w:r w:rsidR="00EF3701">
        <w:rPr>
          <w:rFonts w:ascii="Palatino Linotype" w:hAnsi="Palatino Linotype" w:cs="Arial"/>
          <w:sz w:val="24"/>
          <w:szCs w:val="24"/>
        </w:rPr>
        <w:t>enero de dos mil veintiuno</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00BA02D1">
        <w:rPr>
          <w:rFonts w:ascii="Palatino Linotype" w:hAnsi="Palatino Linotype" w:cs="Arial"/>
          <w:b/>
          <w:bCs/>
          <w:sz w:val="24"/>
          <w:szCs w:val="24"/>
          <w:lang w:eastAsia="es-MX"/>
        </w:rPr>
        <w:t>00150</w:t>
      </w:r>
      <w:r w:rsidRPr="00667998">
        <w:rPr>
          <w:rFonts w:ascii="Palatino Linotype" w:hAnsi="Palatino Linotype" w:cs="Arial"/>
          <w:b/>
          <w:bCs/>
          <w:sz w:val="24"/>
          <w:szCs w:val="24"/>
          <w:lang w:eastAsia="es-MX"/>
        </w:rPr>
        <w:t>/INFOEM/IP/RR/20</w:t>
      </w:r>
      <w:r w:rsidR="00BA02D1">
        <w:rPr>
          <w:rFonts w:ascii="Palatino Linotype" w:hAnsi="Palatino Linotype" w:cs="Arial"/>
          <w:b/>
          <w:bCs/>
          <w:sz w:val="24"/>
          <w:szCs w:val="24"/>
          <w:lang w:eastAsia="es-MX"/>
        </w:rPr>
        <w:t>21</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6FF3B95E" w14:textId="77777777" w:rsidR="00CF5253" w:rsidRPr="00667998" w:rsidRDefault="00CF5253" w:rsidP="00CF5253">
      <w:pPr>
        <w:spacing w:after="0" w:line="360" w:lineRule="auto"/>
        <w:jc w:val="both"/>
        <w:rPr>
          <w:rFonts w:ascii="Palatino Linotype" w:hAnsi="Palatino Linotype" w:cs="Arial"/>
          <w:b/>
          <w:sz w:val="8"/>
        </w:rPr>
      </w:pPr>
    </w:p>
    <w:p w14:paraId="741B3073" w14:textId="77777777" w:rsidR="00CF5253" w:rsidRPr="00667998" w:rsidRDefault="00CF5253" w:rsidP="00CF5253">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521E9BCB" w14:textId="5027B36E" w:rsidR="00CF5253" w:rsidRPr="00667998" w:rsidRDefault="00CF5253" w:rsidP="00CF5253">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BA02D1" w:rsidRPr="00BA02D1">
        <w:rPr>
          <w:rFonts w:ascii="Palatino Linotype" w:hAnsi="Palatino Linotype" w:cs="Arial"/>
          <w:i/>
        </w:rPr>
        <w:t>NO HUBO RESPUESTA</w:t>
      </w:r>
      <w:r w:rsidRPr="00667998">
        <w:rPr>
          <w:rFonts w:ascii="Palatino Linotype" w:hAnsi="Palatino Linotype" w:cs="Arial"/>
          <w:i/>
        </w:rPr>
        <w:t>” [Sic].</w:t>
      </w:r>
    </w:p>
    <w:p w14:paraId="7B4BA9DD" w14:textId="77777777" w:rsidR="00CF5253" w:rsidRPr="004A1460" w:rsidRDefault="00CF5253" w:rsidP="00CF5253">
      <w:pPr>
        <w:spacing w:after="0" w:line="360" w:lineRule="auto"/>
        <w:ind w:left="851" w:right="851"/>
        <w:jc w:val="both"/>
        <w:rPr>
          <w:rFonts w:ascii="Palatino Linotype" w:hAnsi="Palatino Linotype" w:cs="Arial"/>
          <w:i/>
          <w:sz w:val="24"/>
          <w:szCs w:val="24"/>
        </w:rPr>
      </w:pPr>
    </w:p>
    <w:p w14:paraId="20C06B70" w14:textId="77777777" w:rsidR="00CF5253" w:rsidRPr="00667998" w:rsidRDefault="00CF5253" w:rsidP="00CF5253">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10E66DC0" w14:textId="51B537A5" w:rsidR="00CF5253" w:rsidRPr="00667998" w:rsidRDefault="00CF5253" w:rsidP="00CF5253">
      <w:pPr>
        <w:spacing w:after="0" w:line="240" w:lineRule="auto"/>
        <w:ind w:left="851" w:right="851"/>
        <w:jc w:val="both"/>
        <w:rPr>
          <w:rFonts w:ascii="Palatino Linotype" w:hAnsi="Palatino Linotype" w:cs="Arial"/>
          <w:i/>
        </w:rPr>
      </w:pPr>
      <w:r w:rsidRPr="00B7552E">
        <w:rPr>
          <w:rFonts w:ascii="Palatino Linotype" w:hAnsi="Palatino Linotype" w:cs="Arial"/>
          <w:i/>
        </w:rPr>
        <w:t>“</w:t>
      </w:r>
      <w:r w:rsidR="00BA02D1" w:rsidRPr="00BA02D1">
        <w:rPr>
          <w:rFonts w:ascii="Palatino Linotype" w:hAnsi="Palatino Linotype"/>
          <w:i/>
          <w:color w:val="000000"/>
        </w:rPr>
        <w:t>NO HUBO RESPUESTA</w:t>
      </w:r>
      <w:r w:rsidRPr="00667998">
        <w:rPr>
          <w:rFonts w:ascii="Palatino Linotype" w:hAnsi="Palatino Linotype" w:cs="Arial"/>
          <w:i/>
        </w:rPr>
        <w:t>” [Sic].</w:t>
      </w:r>
    </w:p>
    <w:p w14:paraId="568CB7BC" w14:textId="77777777" w:rsidR="00CF5253" w:rsidRPr="00667998" w:rsidRDefault="00CF5253" w:rsidP="00CF5253">
      <w:pPr>
        <w:spacing w:after="0" w:line="360" w:lineRule="auto"/>
        <w:ind w:right="851"/>
        <w:jc w:val="both"/>
        <w:rPr>
          <w:rFonts w:ascii="Palatino Linotype" w:hAnsi="Palatino Linotype" w:cs="Arial"/>
          <w:i/>
          <w:sz w:val="24"/>
        </w:rPr>
      </w:pPr>
    </w:p>
    <w:p w14:paraId="6F7185C7" w14:textId="77777777" w:rsidR="00CF5253" w:rsidRPr="00667998" w:rsidRDefault="00CF5253" w:rsidP="00CF5253">
      <w:pPr>
        <w:pStyle w:val="Sinespaciado"/>
      </w:pPr>
    </w:p>
    <w:p w14:paraId="7126255E" w14:textId="77777777" w:rsidR="00CF5253" w:rsidRPr="00667998" w:rsidRDefault="00CF5253" w:rsidP="00CF5253">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5F746D93" w14:textId="5B6AAA37" w:rsidR="00CF5253" w:rsidRPr="00667998" w:rsidRDefault="00CF5253" w:rsidP="00CF5253">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medio de impugnación le fue turnado a la Comisionada Presidenta </w:t>
      </w:r>
      <w:r w:rsidRPr="00667998">
        <w:rPr>
          <w:rFonts w:ascii="Palatino Linotype" w:hAnsi="Palatino Linotype" w:cs="Arial"/>
          <w:b/>
          <w:sz w:val="24"/>
          <w:szCs w:val="24"/>
        </w:rPr>
        <w:t>Zulema Martínez Sánchez</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FE56FE">
        <w:rPr>
          <w:rFonts w:ascii="Palatino Linotype" w:hAnsi="Palatino Linotype" w:cs="Arial"/>
          <w:sz w:val="24"/>
          <w:szCs w:val="24"/>
        </w:rPr>
        <w:t>veintinueve de enero de dos mil veintiuno</w:t>
      </w:r>
      <w:r w:rsidRPr="00667998">
        <w:rPr>
          <w:rFonts w:ascii="Palatino Linotype" w:hAnsi="Palatino Linotype" w:cs="Arial"/>
          <w:sz w:val="24"/>
          <w:szCs w:val="24"/>
        </w:rPr>
        <w:t>, determinándose en él, un plazo de siete días para que las partes manif</w:t>
      </w:r>
      <w:bookmarkStart w:id="1" w:name="_GoBack"/>
      <w:bookmarkEnd w:id="1"/>
      <w:r w:rsidRPr="00667998">
        <w:rPr>
          <w:rFonts w:ascii="Palatino Linotype" w:hAnsi="Palatino Linotype" w:cs="Arial"/>
          <w:sz w:val="24"/>
          <w:szCs w:val="24"/>
        </w:rPr>
        <w:t>estaran lo que a su derecho corresponda en términos del numeral ya citado.</w:t>
      </w:r>
    </w:p>
    <w:p w14:paraId="109C85EF" w14:textId="77777777" w:rsidR="00CF5253" w:rsidRDefault="00CF5253" w:rsidP="00CF5253">
      <w:pPr>
        <w:spacing w:after="0" w:line="360" w:lineRule="auto"/>
        <w:jc w:val="both"/>
        <w:rPr>
          <w:rFonts w:ascii="Palatino Linotype" w:hAnsi="Palatino Linotype" w:cs="Arial"/>
          <w:sz w:val="24"/>
          <w:szCs w:val="24"/>
        </w:rPr>
      </w:pPr>
    </w:p>
    <w:p w14:paraId="5FCADA05" w14:textId="77777777" w:rsidR="00CF5253" w:rsidRPr="00667998" w:rsidRDefault="00CF5253" w:rsidP="00CF5253">
      <w:pPr>
        <w:spacing w:after="0" w:line="360" w:lineRule="auto"/>
        <w:jc w:val="both"/>
        <w:rPr>
          <w:rFonts w:ascii="Palatino Linotype" w:hAnsi="Palatino Linotype" w:cs="Arial"/>
          <w:sz w:val="24"/>
          <w:szCs w:val="24"/>
        </w:rPr>
      </w:pPr>
    </w:p>
    <w:p w14:paraId="041AD480" w14:textId="77777777" w:rsidR="00CF5253" w:rsidRPr="00667998" w:rsidRDefault="00CF5253" w:rsidP="00CF5253">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66064AE0" w14:textId="208D3280" w:rsidR="00CF5253" w:rsidRDefault="00CF5253" w:rsidP="00CF5253">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lastRenderedPageBreak/>
        <w:t xml:space="preserve">De las constancias que obran en el expediente electrónico del SAIMEX, se advierte que el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w:t>
      </w:r>
      <w:r w:rsidR="00FE56FE">
        <w:rPr>
          <w:rFonts w:ascii="Palatino Linotype" w:hAnsi="Palatino Linotype" w:cs="Arial"/>
          <w:sz w:val="24"/>
          <w:szCs w:val="24"/>
        </w:rPr>
        <w:t>fue omiso en rendir su</w:t>
      </w:r>
      <w:r>
        <w:rPr>
          <w:rFonts w:ascii="Palatino Linotype" w:hAnsi="Palatino Linotype" w:cs="Arial"/>
          <w:sz w:val="24"/>
          <w:szCs w:val="24"/>
        </w:rPr>
        <w:t xml:space="preserve"> Informe Justificado</w:t>
      </w:r>
      <w:r w:rsidRPr="00667998">
        <w:rPr>
          <w:rFonts w:ascii="Palatino Linotype" w:hAnsi="Palatino Linotype" w:cs="Arial"/>
          <w:sz w:val="24"/>
          <w:szCs w:val="24"/>
        </w:rPr>
        <w:t>;</w:t>
      </w:r>
      <w:r>
        <w:rPr>
          <w:rFonts w:ascii="Palatino Linotype" w:hAnsi="Palatino Linotype" w:cs="Arial"/>
          <w:sz w:val="24"/>
          <w:szCs w:val="24"/>
        </w:rPr>
        <w:t xml:space="preserve"> asimismo, el particular </w:t>
      </w:r>
      <w:r w:rsidR="00B902C3">
        <w:rPr>
          <w:rFonts w:ascii="Palatino Linotype" w:hAnsi="Palatino Linotype" w:cs="Arial"/>
          <w:sz w:val="24"/>
          <w:szCs w:val="24"/>
        </w:rPr>
        <w:t xml:space="preserve">no </w:t>
      </w:r>
      <w:r>
        <w:rPr>
          <w:rFonts w:ascii="Palatino Linotype" w:hAnsi="Palatino Linotype" w:cs="Arial"/>
          <w:sz w:val="24"/>
          <w:szCs w:val="24"/>
        </w:rPr>
        <w:t xml:space="preserve">remitió </w:t>
      </w:r>
      <w:r w:rsidR="00B902C3">
        <w:rPr>
          <w:rFonts w:ascii="Palatino Linotype" w:hAnsi="Palatino Linotype" w:cs="Arial"/>
          <w:sz w:val="24"/>
          <w:szCs w:val="24"/>
        </w:rPr>
        <w:t>manifestaciones</w:t>
      </w:r>
      <w:r>
        <w:rPr>
          <w:rFonts w:ascii="Palatino Linotype" w:hAnsi="Palatino Linotype" w:cs="Arial"/>
          <w:sz w:val="24"/>
          <w:szCs w:val="24"/>
        </w:rPr>
        <w:t xml:space="preserve">, </w:t>
      </w:r>
      <w:r w:rsidRPr="00667998">
        <w:rPr>
          <w:rFonts w:ascii="Palatino Linotype" w:hAnsi="Palatino Linotype" w:cs="Arial"/>
          <w:sz w:val="24"/>
          <w:szCs w:val="24"/>
        </w:rPr>
        <w:t xml:space="preserve">tal </w:t>
      </w:r>
      <w:r>
        <w:rPr>
          <w:rFonts w:ascii="Palatino Linotype" w:hAnsi="Palatino Linotype" w:cs="Arial"/>
          <w:sz w:val="24"/>
          <w:szCs w:val="24"/>
        </w:rPr>
        <w:t xml:space="preserve">y </w:t>
      </w:r>
      <w:r w:rsidRPr="00667998">
        <w:rPr>
          <w:rFonts w:ascii="Palatino Linotype" w:hAnsi="Palatino Linotype" w:cs="Arial"/>
          <w:sz w:val="24"/>
          <w:szCs w:val="24"/>
        </w:rPr>
        <w:t>como se advierte a continuación:</w:t>
      </w:r>
    </w:p>
    <w:p w14:paraId="1A736DCF" w14:textId="72D5CBA5" w:rsidR="00CF5253" w:rsidRPr="00667998" w:rsidRDefault="00FE56FE" w:rsidP="00CF5253">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53B136BF" wp14:editId="14E01016">
            <wp:extent cx="5848350" cy="1466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350" cy="1466850"/>
                    </a:xfrm>
                    <a:prstGeom prst="rect">
                      <a:avLst/>
                    </a:prstGeom>
                    <a:noFill/>
                    <a:ln>
                      <a:noFill/>
                    </a:ln>
                  </pic:spPr>
                </pic:pic>
              </a:graphicData>
            </a:graphic>
          </wp:inline>
        </w:drawing>
      </w:r>
    </w:p>
    <w:p w14:paraId="59487065" w14:textId="77777777" w:rsidR="00CF5253" w:rsidRDefault="00CF5253" w:rsidP="00CF5253">
      <w:pPr>
        <w:pStyle w:val="Sinespaciado"/>
      </w:pPr>
    </w:p>
    <w:p w14:paraId="4B0CB67F" w14:textId="77777777" w:rsidR="00CF5253" w:rsidRPr="00C220D0" w:rsidRDefault="00CF5253" w:rsidP="00CF5253">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05A7C5CF" w14:textId="44262313" w:rsidR="00CF5253" w:rsidRDefault="00CF5253" w:rsidP="00CF5253">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sidR="00FE56FE">
        <w:rPr>
          <w:rFonts w:ascii="Palatino Linotype" w:hAnsi="Palatino Linotype" w:cs="Arial"/>
          <w:sz w:val="24"/>
          <w:szCs w:val="24"/>
        </w:rPr>
        <w:t>veinticuatro de febrero de dos mil veintiuno</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w:t>
      </w:r>
      <w:r w:rsidR="00FE56FE">
        <w:rPr>
          <w:rFonts w:ascii="Palatino Linotype" w:hAnsi="Palatino Linotype" w:cs="Arial"/>
          <w:sz w:val="24"/>
          <w:szCs w:val="24"/>
        </w:rPr>
        <w:t xml:space="preserve"> de resolución correspondiente.</w:t>
      </w:r>
    </w:p>
    <w:p w14:paraId="105C5179" w14:textId="77777777" w:rsidR="00CF5253" w:rsidRPr="00667998" w:rsidRDefault="00CF5253" w:rsidP="00CF5253">
      <w:pPr>
        <w:spacing w:after="0" w:line="360" w:lineRule="auto"/>
        <w:jc w:val="both"/>
        <w:rPr>
          <w:rFonts w:ascii="Palatino Linotype" w:hAnsi="Palatino Linotype" w:cs="Arial"/>
          <w:sz w:val="24"/>
          <w:szCs w:val="24"/>
        </w:rPr>
      </w:pPr>
    </w:p>
    <w:p w14:paraId="40AE3612" w14:textId="77777777" w:rsidR="00CF5253" w:rsidRPr="00667998" w:rsidRDefault="00CF5253" w:rsidP="00CF5253">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765D2355" w14:textId="77777777" w:rsidR="00CF5253" w:rsidRPr="00C220D0" w:rsidRDefault="00CF5253" w:rsidP="00CF5253">
      <w:pPr>
        <w:pStyle w:val="Sinespaciado"/>
        <w:rPr>
          <w:rFonts w:ascii="Palatino Linotype" w:hAnsi="Palatino Linotype"/>
        </w:rPr>
      </w:pPr>
    </w:p>
    <w:p w14:paraId="5E3EDA62" w14:textId="77777777" w:rsidR="00771878" w:rsidRPr="002E2CCE" w:rsidRDefault="00771878" w:rsidP="00771878">
      <w:pPr>
        <w:spacing w:before="240" w:line="360" w:lineRule="auto"/>
        <w:jc w:val="both"/>
        <w:rPr>
          <w:rFonts w:ascii="Palatino Linotype" w:hAnsi="Palatino Linotype" w:cs="Arial"/>
          <w:sz w:val="24"/>
          <w:lang w:val="es-ES"/>
        </w:rPr>
      </w:pPr>
      <w:r w:rsidRPr="002E2CCE">
        <w:rPr>
          <w:rFonts w:ascii="Palatino Linotype" w:hAnsi="Palatino Linotype" w:cs="Arial"/>
          <w:b/>
          <w:sz w:val="28"/>
          <w:lang w:val="es-ES"/>
        </w:rPr>
        <w:t>PRIMERO.</w:t>
      </w:r>
      <w:r w:rsidRPr="002E2CCE">
        <w:rPr>
          <w:rFonts w:ascii="Palatino Linotype" w:hAnsi="Palatino Linotype" w:cs="Arial"/>
          <w:b/>
          <w:lang w:val="es-ES"/>
        </w:rPr>
        <w:t xml:space="preserve"> </w:t>
      </w:r>
      <w:r w:rsidRPr="002E2CCE">
        <w:rPr>
          <w:rFonts w:ascii="Palatino Linotype" w:hAnsi="Palatino Linotype" w:cs="Arial"/>
          <w:b/>
          <w:sz w:val="28"/>
          <w:szCs w:val="28"/>
          <w:lang w:val="es-ES"/>
        </w:rPr>
        <w:t>De la competencia</w:t>
      </w:r>
      <w:r w:rsidRPr="002E2CCE">
        <w:rPr>
          <w:rFonts w:ascii="Palatino Linotype" w:hAnsi="Palatino Linotype" w:cs="Arial"/>
          <w:sz w:val="28"/>
          <w:szCs w:val="28"/>
          <w:lang w:val="es-ES"/>
        </w:rPr>
        <w:t>.</w:t>
      </w:r>
    </w:p>
    <w:p w14:paraId="2C4CBE37" w14:textId="77777777" w:rsidR="00771878" w:rsidRPr="002E2CCE" w:rsidRDefault="00771878" w:rsidP="00771878">
      <w:pPr>
        <w:spacing w:before="240" w:after="240" w:line="360" w:lineRule="auto"/>
        <w:jc w:val="both"/>
        <w:rPr>
          <w:rFonts w:ascii="Palatino Linotype" w:hAnsi="Palatino Linotype" w:cs="Arial"/>
          <w:sz w:val="24"/>
          <w:lang w:val="es-ES"/>
        </w:rPr>
      </w:pPr>
      <w:r w:rsidRPr="002E2CCE">
        <w:rPr>
          <w:rFonts w:ascii="Palatino Linotype" w:hAnsi="Palatino Linotype" w:cs="Arial"/>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w:t>
      </w:r>
      <w:r w:rsidRPr="002E2CCE">
        <w:rPr>
          <w:rFonts w:ascii="Palatino Linotype" w:hAnsi="Palatino Linotype" w:cs="Arial"/>
          <w:sz w:val="24"/>
          <w:lang w:val="es-ES"/>
        </w:rPr>
        <w:lastRenderedPageBreak/>
        <w:t>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2F2738D" w14:textId="77777777" w:rsidR="00771878" w:rsidRPr="002E2CCE" w:rsidRDefault="00771878" w:rsidP="00771878">
      <w:pPr>
        <w:pStyle w:val="Prrafodelista"/>
        <w:autoSpaceDE w:val="0"/>
        <w:autoSpaceDN w:val="0"/>
        <w:adjustRightInd w:val="0"/>
        <w:spacing w:before="240" w:after="160" w:line="360" w:lineRule="auto"/>
        <w:ind w:left="0"/>
        <w:jc w:val="both"/>
        <w:rPr>
          <w:rFonts w:ascii="Palatino Linotype" w:hAnsi="Palatino Linotype" w:cs="Arial"/>
          <w:b/>
        </w:rPr>
      </w:pPr>
      <w:r w:rsidRPr="002E2CCE">
        <w:rPr>
          <w:rFonts w:ascii="Palatino Linotype" w:hAnsi="Palatino Linotype" w:cs="Arial"/>
          <w:b/>
          <w:sz w:val="28"/>
        </w:rPr>
        <w:t>SEGUNDO</w:t>
      </w:r>
      <w:r w:rsidRPr="002E2CCE">
        <w:rPr>
          <w:rFonts w:ascii="Palatino Linotype" w:hAnsi="Palatino Linotype" w:cs="Arial"/>
          <w:b/>
        </w:rPr>
        <w:t xml:space="preserve">. </w:t>
      </w:r>
      <w:r w:rsidRPr="002E2CCE">
        <w:rPr>
          <w:rFonts w:ascii="Palatino Linotype" w:hAnsi="Palatino Linotype" w:cs="Arial"/>
          <w:b/>
          <w:sz w:val="28"/>
          <w:szCs w:val="28"/>
        </w:rPr>
        <w:t>Sobre los alcances del recurso de revisión.</w:t>
      </w:r>
      <w:r w:rsidRPr="002E2CCE">
        <w:rPr>
          <w:rFonts w:ascii="Palatino Linotype" w:hAnsi="Palatino Linotype" w:cs="Arial"/>
          <w:b/>
        </w:rPr>
        <w:t xml:space="preserve"> </w:t>
      </w:r>
    </w:p>
    <w:p w14:paraId="6A47C44F" w14:textId="77777777" w:rsidR="00771878" w:rsidRPr="002E2CCE" w:rsidRDefault="00771878" w:rsidP="00771878">
      <w:pPr>
        <w:pStyle w:val="Prrafodelista"/>
        <w:autoSpaceDE w:val="0"/>
        <w:autoSpaceDN w:val="0"/>
        <w:adjustRightInd w:val="0"/>
        <w:spacing w:before="240" w:after="160" w:line="360" w:lineRule="auto"/>
        <w:ind w:left="0"/>
        <w:jc w:val="both"/>
        <w:rPr>
          <w:rFonts w:ascii="Palatino Linotype" w:hAnsi="Palatino Linotype" w:cs="Arial"/>
        </w:rPr>
      </w:pPr>
      <w:r w:rsidRPr="002E2CCE">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E42ED9A" w14:textId="77777777" w:rsidR="00771878" w:rsidRPr="002E2CCE" w:rsidRDefault="00771878" w:rsidP="00771878">
      <w:pPr>
        <w:pStyle w:val="Sinespaciado"/>
        <w:spacing w:before="240" w:after="240" w:line="360" w:lineRule="auto"/>
        <w:jc w:val="both"/>
        <w:rPr>
          <w:rFonts w:ascii="Palatino Linotype" w:hAnsi="Palatino Linotype"/>
          <w:b/>
          <w:sz w:val="28"/>
          <w:szCs w:val="28"/>
          <w:lang w:val="es-ES"/>
        </w:rPr>
      </w:pPr>
      <w:r w:rsidRPr="002E2CCE">
        <w:rPr>
          <w:rFonts w:ascii="Palatino Linotype" w:hAnsi="Palatino Linotype"/>
          <w:b/>
          <w:sz w:val="28"/>
          <w:szCs w:val="28"/>
          <w:lang w:val="es-ES"/>
        </w:rPr>
        <w:t>TERCERO. De las causas de improcedencia.</w:t>
      </w:r>
    </w:p>
    <w:p w14:paraId="48A22428" w14:textId="6CACD0D3" w:rsidR="00771878" w:rsidRPr="002E2CCE" w:rsidRDefault="00771878" w:rsidP="00771878">
      <w:pPr>
        <w:pStyle w:val="Sinespaciado"/>
        <w:spacing w:before="240" w:after="240" w:line="360" w:lineRule="auto"/>
        <w:jc w:val="both"/>
        <w:rPr>
          <w:rFonts w:ascii="Palatino Linotype" w:hAnsi="Palatino Linotype"/>
          <w:lang w:val="es-ES"/>
        </w:rPr>
      </w:pPr>
      <w:r w:rsidRPr="002E2CCE">
        <w:rPr>
          <w:rFonts w:ascii="Palatino Linotype" w:hAnsi="Palatino Linotype"/>
          <w:lang w:val="es-ES"/>
        </w:rPr>
        <w:t xml:space="preserve">En el procedimiento de acceso a la información y de </w:t>
      </w:r>
      <w:r w:rsidR="00D72336">
        <w:rPr>
          <w:rFonts w:ascii="Palatino Linotype" w:hAnsi="Palatino Linotype"/>
          <w:lang w:val="es-ES"/>
        </w:rPr>
        <w:t xml:space="preserve">los medios de impugnación de la </w:t>
      </w:r>
      <w:r w:rsidRPr="002E2CCE">
        <w:rPr>
          <w:rFonts w:ascii="Palatino Linotype" w:hAnsi="Palatino Linotype"/>
          <w:lang w:val="es-ES"/>
        </w:rPr>
        <w:t>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F51EC00" w14:textId="77777777" w:rsidR="00771878" w:rsidRPr="002E2CCE" w:rsidRDefault="00771878" w:rsidP="00771878">
      <w:pPr>
        <w:pStyle w:val="Sinespaciado"/>
        <w:spacing w:before="240" w:after="240" w:line="360" w:lineRule="auto"/>
        <w:jc w:val="both"/>
        <w:rPr>
          <w:rFonts w:ascii="Palatino Linotype" w:hAnsi="Palatino Linotype"/>
          <w:lang w:val="es-ES"/>
        </w:rPr>
      </w:pPr>
      <w:r w:rsidRPr="002E2CCE">
        <w:rPr>
          <w:rFonts w:ascii="Palatino Linotype" w:hAnsi="Palatino Linotype"/>
          <w:lang w:val="es-ES"/>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2E2CCE">
        <w:rPr>
          <w:rStyle w:val="Refdenotaalpie"/>
          <w:rFonts w:ascii="Palatino Linotype" w:hAnsi="Palatino Linotype" w:cs="Arial"/>
          <w:lang w:val="es-ES"/>
        </w:rPr>
        <w:footnoteReference w:id="1"/>
      </w:r>
      <w:r w:rsidRPr="002E2CCE">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54D76AD4" w14:textId="77777777" w:rsidR="00771878" w:rsidRPr="002E2CCE" w:rsidRDefault="00771878" w:rsidP="00771878">
      <w:pPr>
        <w:pStyle w:val="Sinespaciado"/>
        <w:spacing w:before="240" w:after="240" w:line="360" w:lineRule="auto"/>
        <w:jc w:val="both"/>
        <w:rPr>
          <w:rFonts w:ascii="Palatino Linotype" w:hAnsi="Palatino Linotype"/>
          <w:lang w:val="es-ES"/>
        </w:rPr>
      </w:pPr>
      <w:r w:rsidRPr="002E2CCE">
        <w:rPr>
          <w:rFonts w:ascii="Palatino Linotype" w:hAnsi="Palatino Linotype"/>
          <w:lang w:val="es-ES"/>
        </w:rPr>
        <w:t xml:space="preserve">Así las cosas, en la especie, no se actualiza ninguna causa de improcedencia de las referidas en el artículo 191 de la Ley de Transparencia y Acceso a la Información Pública </w:t>
      </w:r>
      <w:r w:rsidRPr="002E2CCE">
        <w:rPr>
          <w:rFonts w:ascii="Palatino Linotype" w:hAnsi="Palatino Linotype"/>
          <w:lang w:val="es-ES"/>
        </w:rPr>
        <w:lastRenderedPageBreak/>
        <w:t>del Estado de México y Municipios, encontrándose actualizados todos los presupuestos procesales para atender el fondo del asunto, en los términos del considerando posterior.</w:t>
      </w:r>
    </w:p>
    <w:p w14:paraId="672A3502" w14:textId="77777777" w:rsidR="00771878" w:rsidRPr="002E2CCE" w:rsidRDefault="00771878" w:rsidP="00771878">
      <w:pPr>
        <w:pStyle w:val="Sinespaciado"/>
        <w:spacing w:before="240" w:after="240" w:line="360" w:lineRule="auto"/>
        <w:jc w:val="both"/>
        <w:rPr>
          <w:rFonts w:ascii="Palatino Linotype" w:hAnsi="Palatino Linotype"/>
          <w:lang w:val="es-ES"/>
        </w:rPr>
      </w:pPr>
      <w:r w:rsidRPr="002E2CCE">
        <w:rPr>
          <w:rFonts w:ascii="Palatino Linotype" w:hAnsi="Palatino Linotype"/>
          <w:b/>
          <w:sz w:val="28"/>
          <w:szCs w:val="28"/>
          <w:lang w:val="es-ES"/>
        </w:rPr>
        <w:t>CUARTO. Estudio y resolución del asunto.</w:t>
      </w:r>
    </w:p>
    <w:p w14:paraId="59408071" w14:textId="77777777" w:rsidR="00771878" w:rsidRPr="002E2CCE" w:rsidRDefault="00771878" w:rsidP="00771878">
      <w:pPr>
        <w:pStyle w:val="Sinespaciado"/>
        <w:spacing w:before="240" w:after="240" w:line="360" w:lineRule="auto"/>
        <w:jc w:val="both"/>
        <w:rPr>
          <w:rFonts w:ascii="Palatino Linotype" w:hAnsi="Palatino Linotype"/>
          <w:lang w:val="es-ES"/>
        </w:rPr>
      </w:pPr>
      <w:r w:rsidRPr="002E2CCE">
        <w:rPr>
          <w:rFonts w:ascii="Palatino Linotype" w:hAnsi="Palatino Linotype"/>
          <w:lang w:val="es-ES"/>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A8C4C6A" w14:textId="77777777" w:rsidR="00771878" w:rsidRPr="002E2CCE" w:rsidRDefault="00771878" w:rsidP="00771878">
      <w:pPr>
        <w:tabs>
          <w:tab w:val="left" w:pos="709"/>
        </w:tabs>
        <w:spacing w:before="240" w:line="360" w:lineRule="auto"/>
        <w:ind w:right="51"/>
        <w:jc w:val="both"/>
        <w:rPr>
          <w:rFonts w:ascii="Palatino Linotype" w:hAnsi="Palatino Linotype"/>
          <w:sz w:val="24"/>
          <w:szCs w:val="24"/>
          <w:lang w:val="es-ES"/>
        </w:rPr>
      </w:pPr>
      <w:r w:rsidRPr="002E2CCE">
        <w:rPr>
          <w:rFonts w:ascii="Palatino Linotype" w:hAnsi="Palatino Linotype"/>
          <w:sz w:val="24"/>
          <w:szCs w:val="24"/>
          <w:lang w:val="es-ES"/>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135C3E6D" w14:textId="77777777" w:rsidR="00771878" w:rsidRPr="002E2CCE" w:rsidRDefault="00771878" w:rsidP="00771878">
      <w:pPr>
        <w:tabs>
          <w:tab w:val="left" w:pos="709"/>
        </w:tabs>
        <w:spacing w:before="240" w:line="360" w:lineRule="auto"/>
        <w:ind w:right="51"/>
        <w:jc w:val="both"/>
        <w:rPr>
          <w:rFonts w:ascii="Palatino Linotype" w:hAnsi="Palatino Linotype"/>
          <w:sz w:val="24"/>
          <w:szCs w:val="24"/>
          <w:lang w:val="es-ES"/>
        </w:rPr>
      </w:pPr>
      <w:r w:rsidRPr="002E2CCE">
        <w:rPr>
          <w:rFonts w:ascii="Palatino Linotype" w:hAnsi="Palatino Linotype"/>
          <w:sz w:val="24"/>
          <w:szCs w:val="24"/>
          <w:lang w:val="es-ES"/>
        </w:rPr>
        <w:t xml:space="preserve">De tal manera, que la negativa ficta, es la figura jurídica que consiste en otorgar un efecto negativo al silencio de la autoridad administrativa en relación a las solicitudes que le formulen lo particulares, lo que genera la posibilidad de defensa ante tal omisión </w:t>
      </w:r>
      <w:r w:rsidRPr="002E2CCE">
        <w:rPr>
          <w:rFonts w:ascii="Palatino Linotype" w:hAnsi="Palatino Linotype"/>
          <w:sz w:val="24"/>
          <w:szCs w:val="24"/>
          <w:lang w:val="es-ES"/>
        </w:rPr>
        <w:lastRenderedPageBreak/>
        <w:t>y la acción de impugnación contra la incertidumbre jurídica en la que se deja al gobernado, actualizando el supuesto de procedencia que contempla la Ley de la Materia en su numeral 179 fracción VII.</w:t>
      </w:r>
      <w:r w:rsidRPr="002E2CCE">
        <w:rPr>
          <w:rStyle w:val="Refdenotaalpie"/>
          <w:rFonts w:ascii="Palatino Linotype" w:hAnsi="Palatino Linotype"/>
          <w:sz w:val="24"/>
          <w:szCs w:val="24"/>
          <w:lang w:val="es-ES"/>
        </w:rPr>
        <w:footnoteReference w:id="2"/>
      </w:r>
    </w:p>
    <w:p w14:paraId="54D38CC0" w14:textId="77777777" w:rsidR="00771878" w:rsidRPr="002E2CCE" w:rsidRDefault="00771878" w:rsidP="00771878">
      <w:pPr>
        <w:spacing w:before="100" w:beforeAutospacing="1" w:after="100" w:afterAutospacing="1" w:line="360" w:lineRule="auto"/>
        <w:jc w:val="both"/>
        <w:rPr>
          <w:rFonts w:ascii="Palatino Linotype" w:hAnsi="Palatino Linotype" w:cs="Arial"/>
          <w:sz w:val="24"/>
          <w:lang w:val="es-ES"/>
        </w:rPr>
      </w:pPr>
      <w:r w:rsidRPr="002E2CCE">
        <w:rPr>
          <w:rFonts w:ascii="Palatino Linotype" w:hAnsi="Palatino Linotype" w:cs="Arial"/>
          <w:sz w:val="24"/>
          <w:lang w:val="es-ES"/>
        </w:rPr>
        <w:t xml:space="preserve">Sin necesidad de determinar una debida oportunidad respecto del momento de presentación del medio de impugnación, pues al no existir una determinación por parte del </w:t>
      </w:r>
      <w:r w:rsidRPr="002E2CCE">
        <w:rPr>
          <w:rFonts w:ascii="Palatino Linotype" w:hAnsi="Palatino Linotype" w:cs="Arial"/>
          <w:b/>
          <w:sz w:val="24"/>
          <w:lang w:val="es-ES"/>
        </w:rPr>
        <w:t>Sujeto Obligado</w:t>
      </w:r>
      <w:r w:rsidRPr="002E2CCE">
        <w:rPr>
          <w:rFonts w:ascii="Palatino Linotype" w:hAnsi="Palatino Linotype" w:cs="Arial"/>
          <w:sz w:val="24"/>
          <w:lang w:val="es-ES"/>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52CB8195" w14:textId="77777777" w:rsidR="00771878" w:rsidRPr="002E2CCE" w:rsidRDefault="00771878" w:rsidP="00771878">
      <w:pPr>
        <w:tabs>
          <w:tab w:val="left" w:pos="709"/>
        </w:tabs>
        <w:spacing w:before="240" w:line="360" w:lineRule="auto"/>
        <w:ind w:right="51"/>
        <w:jc w:val="both"/>
        <w:rPr>
          <w:rFonts w:ascii="Palatino Linotype" w:hAnsi="Palatino Linotype"/>
          <w:sz w:val="24"/>
          <w:szCs w:val="24"/>
          <w:lang w:val="es-ES"/>
        </w:rPr>
      </w:pPr>
      <w:r w:rsidRPr="002E2CCE">
        <w:rPr>
          <w:rFonts w:ascii="Palatino Linotype" w:hAnsi="Palatino Linotype"/>
          <w:sz w:val="24"/>
          <w:szCs w:val="24"/>
          <w:lang w:val="es-ES"/>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14:paraId="6437172E" w14:textId="77777777" w:rsidR="00771878" w:rsidRPr="002E2CCE" w:rsidRDefault="00771878" w:rsidP="00771878">
      <w:pPr>
        <w:spacing w:before="100" w:beforeAutospacing="1" w:after="100" w:afterAutospacing="1"/>
        <w:ind w:left="851" w:right="902"/>
        <w:jc w:val="both"/>
        <w:rPr>
          <w:rFonts w:ascii="Palatino Linotype" w:hAnsi="Palatino Linotype" w:cs="Arial"/>
          <w:lang w:val="es-ES"/>
        </w:rPr>
      </w:pPr>
      <w:r w:rsidRPr="002E2CCE">
        <w:rPr>
          <w:rFonts w:ascii="Palatino Linotype" w:hAnsi="Palatino Linotype" w:cs="Arial"/>
          <w:i/>
          <w:iCs/>
          <w:lang w:val="es-ES"/>
        </w:rPr>
        <w:t>“</w:t>
      </w:r>
      <w:r w:rsidRPr="002E2CCE">
        <w:rPr>
          <w:rFonts w:ascii="Palatino Linotype" w:hAnsi="Palatino Linotype" w:cs="Arial"/>
          <w:b/>
          <w:bCs/>
          <w:i/>
          <w:iCs/>
          <w:lang w:val="es-ES"/>
        </w:rPr>
        <w:t>Artículo 178</w:t>
      </w:r>
      <w:r w:rsidRPr="002E2CCE">
        <w:rPr>
          <w:rFonts w:ascii="Palatino Linotype" w:hAnsi="Palatino Linotype" w:cs="Arial"/>
          <w:i/>
          <w:iCs/>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08128B0" w14:textId="77777777" w:rsidR="00771878" w:rsidRPr="002E2CCE" w:rsidRDefault="00771878" w:rsidP="00771878">
      <w:pPr>
        <w:spacing w:before="100" w:beforeAutospacing="1" w:after="100" w:afterAutospacing="1"/>
        <w:ind w:left="851" w:right="902"/>
        <w:jc w:val="both"/>
        <w:rPr>
          <w:rFonts w:ascii="Palatino Linotype" w:hAnsi="Palatino Linotype" w:cs="Arial"/>
          <w:lang w:val="es-ES"/>
        </w:rPr>
      </w:pPr>
      <w:r w:rsidRPr="002E2CCE">
        <w:rPr>
          <w:rFonts w:ascii="Palatino Linotype" w:hAnsi="Palatino Linotype" w:cs="Arial"/>
          <w:b/>
          <w:bCs/>
          <w:i/>
          <w:iCs/>
          <w:lang w:val="es-ES"/>
        </w:rPr>
        <w:t>A falta de respuesta del sujeto obligado, dentro de los plazos establecidos en esta Ley, a una solicitud de acceso a la información pública, el recurso podrá ser interpuesto en cualquier momento,</w:t>
      </w:r>
      <w:r w:rsidRPr="002E2CCE">
        <w:rPr>
          <w:rFonts w:ascii="Palatino Linotype" w:hAnsi="Palatino Linotype" w:cs="Arial"/>
          <w:i/>
          <w:iCs/>
          <w:lang w:val="es-ES"/>
        </w:rPr>
        <w:t> acompañado con el documento que pruebe la fecha en que presentó la solicitud…”</w:t>
      </w:r>
    </w:p>
    <w:p w14:paraId="6602ADC5" w14:textId="77777777" w:rsidR="00771878" w:rsidRPr="002E2CCE" w:rsidRDefault="00771878" w:rsidP="00771878">
      <w:pPr>
        <w:spacing w:before="100" w:beforeAutospacing="1" w:after="100" w:afterAutospacing="1" w:line="360" w:lineRule="auto"/>
        <w:jc w:val="both"/>
        <w:rPr>
          <w:rFonts w:ascii="Palatino Linotype" w:hAnsi="Palatino Linotype" w:cs="Arial"/>
          <w:sz w:val="24"/>
          <w:lang w:val="es-ES"/>
        </w:rPr>
      </w:pPr>
      <w:r w:rsidRPr="002E2CCE">
        <w:rPr>
          <w:rFonts w:ascii="Palatino Linotype" w:hAnsi="Palatino Linotype" w:cs="Arial"/>
          <w:sz w:val="24"/>
          <w:lang w:val="es-ES"/>
        </w:rPr>
        <w:lastRenderedPageBreak/>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0FD14380" w14:textId="77777777" w:rsidR="00771878" w:rsidRPr="002E2CCE" w:rsidRDefault="00771878" w:rsidP="00771878">
      <w:pPr>
        <w:spacing w:before="240" w:line="360" w:lineRule="auto"/>
        <w:ind w:left="708" w:right="51" w:firstLine="1"/>
        <w:jc w:val="both"/>
        <w:rPr>
          <w:rFonts w:ascii="Palatino Linotype" w:hAnsi="Palatino Linotype" w:cs="Arial"/>
          <w:i/>
          <w:iCs/>
          <w:lang w:val="es-ES"/>
        </w:rPr>
      </w:pPr>
      <w:r w:rsidRPr="002E2CCE">
        <w:rPr>
          <w:rFonts w:ascii="Palatino Linotype" w:hAnsi="Palatino Linotype" w:cs="Arial"/>
          <w:b/>
          <w:bCs/>
          <w:i/>
          <w:iCs/>
          <w:lang w:val="es-ES"/>
        </w:rPr>
        <w:t>“CRITERIO 0001-15 NEGATIVA FICTA. PLAZO PARA INTERPONER EL RECURSO DE REVISIÓN TRATÁNDOSE DE</w:t>
      </w:r>
      <w:r w:rsidRPr="002E2CCE">
        <w:rPr>
          <w:rFonts w:ascii="Palatino Linotype" w:hAnsi="Palatino Linotype" w:cs="Arial"/>
          <w:i/>
          <w:iCs/>
          <w:lang w:val="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A172C50" w14:textId="77777777" w:rsidR="00771878" w:rsidRPr="002E2CCE" w:rsidRDefault="00771878" w:rsidP="00771878">
      <w:pPr>
        <w:spacing w:before="240" w:line="360" w:lineRule="auto"/>
        <w:ind w:right="51" w:firstLine="1"/>
        <w:jc w:val="both"/>
        <w:rPr>
          <w:rFonts w:ascii="Palatino Linotype" w:hAnsi="Palatino Linotype"/>
          <w:sz w:val="24"/>
          <w:szCs w:val="24"/>
          <w:lang w:val="es-ES"/>
        </w:rPr>
      </w:pPr>
      <w:r w:rsidRPr="002E2CCE">
        <w:rPr>
          <w:rFonts w:ascii="Palatino Linotype" w:hAnsi="Palatino Linotype"/>
          <w:sz w:val="24"/>
          <w:szCs w:val="24"/>
          <w:lang w:val="es-ES"/>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160BD65A" w14:textId="77777777" w:rsidR="00771878" w:rsidRPr="002E2CCE" w:rsidRDefault="00771878" w:rsidP="00771878">
      <w:pPr>
        <w:spacing w:before="240" w:after="240" w:line="360" w:lineRule="auto"/>
        <w:jc w:val="both"/>
        <w:rPr>
          <w:rFonts w:ascii="Palatino Linotype" w:hAnsi="Palatino Linotype" w:cs="Arial"/>
          <w:sz w:val="24"/>
          <w:szCs w:val="24"/>
          <w:lang w:val="es-ES"/>
        </w:rPr>
      </w:pPr>
      <w:r w:rsidRPr="002E2CCE">
        <w:rPr>
          <w:rFonts w:ascii="Palatino Linotype" w:hAnsi="Palatino Linotype"/>
          <w:sz w:val="24"/>
          <w:szCs w:val="24"/>
          <w:lang w:val="es-ES"/>
        </w:rPr>
        <w:lastRenderedPageBreak/>
        <w:t xml:space="preserve">Luego entonces, es importante resalta que </w:t>
      </w:r>
      <w:r w:rsidRPr="002E2CCE">
        <w:rPr>
          <w:rFonts w:ascii="Palatino Linotype" w:hAnsi="Palatino Linotype" w:cs="Arial"/>
          <w:sz w:val="24"/>
          <w:szCs w:val="24"/>
          <w:lang w:val="es-ES"/>
        </w:rPr>
        <w:t xml:space="preserve">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5F2AF3A4" w14:textId="77777777" w:rsidR="00771878" w:rsidRPr="002E2CCE" w:rsidRDefault="00771878" w:rsidP="00771878">
      <w:pPr>
        <w:spacing w:before="240" w:after="240" w:line="360" w:lineRule="auto"/>
        <w:jc w:val="both"/>
        <w:rPr>
          <w:rFonts w:ascii="Palatino Linotype" w:hAnsi="Palatino Linotype" w:cs="Arial"/>
          <w:sz w:val="24"/>
          <w:szCs w:val="24"/>
          <w:lang w:val="es-ES"/>
        </w:rPr>
      </w:pPr>
      <w:r w:rsidRPr="002E2CCE">
        <w:rPr>
          <w:rFonts w:ascii="Palatino Linotype" w:hAnsi="Palatino Linotype" w:cs="Arial"/>
          <w:sz w:val="24"/>
          <w:szCs w:val="24"/>
          <w:lang w:val="es-ES"/>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0DD1B638" w14:textId="77777777" w:rsidR="00771878" w:rsidRPr="002E2CCE" w:rsidRDefault="00771878" w:rsidP="00771878">
      <w:pPr>
        <w:tabs>
          <w:tab w:val="left" w:pos="709"/>
        </w:tabs>
        <w:spacing w:before="240" w:line="360" w:lineRule="auto"/>
        <w:ind w:right="51"/>
        <w:jc w:val="both"/>
        <w:rPr>
          <w:rFonts w:ascii="Palatino Linotype" w:hAnsi="Palatino Linotype"/>
          <w:sz w:val="24"/>
          <w:lang w:val="es-ES"/>
        </w:rPr>
      </w:pPr>
      <w:r w:rsidRPr="002E2CCE">
        <w:rPr>
          <w:rFonts w:ascii="Palatino Linotype" w:hAnsi="Palatino Linotype"/>
          <w:sz w:val="24"/>
          <w:lang w:val="es-ES"/>
        </w:rPr>
        <w:t>Así, es importante hacer mención que este Órgano Garante considera pertinente analizar si el sujeto obligado, es la autoridad competente para conocer de dicha solicitud, es decir, si se trata de información que deba generar, administrar o poseer por virtud del ámbito de sus atribuciones.</w:t>
      </w:r>
    </w:p>
    <w:p w14:paraId="41483B70" w14:textId="77777777" w:rsidR="00771878" w:rsidRPr="002E2CCE" w:rsidRDefault="00771878" w:rsidP="00771878">
      <w:pPr>
        <w:spacing w:before="240" w:line="360" w:lineRule="auto"/>
        <w:jc w:val="both"/>
        <w:rPr>
          <w:rFonts w:ascii="Palatino Linotype" w:hAnsi="Palatino Linotype" w:cs="Arial"/>
          <w:color w:val="000000" w:themeColor="text1"/>
          <w:sz w:val="24"/>
          <w:szCs w:val="24"/>
          <w:lang w:val="es-ES"/>
        </w:rPr>
      </w:pPr>
      <w:r w:rsidRPr="002E2CCE">
        <w:rPr>
          <w:rFonts w:ascii="Palatino Linotype" w:hAnsi="Palatino Linotype"/>
          <w:sz w:val="24"/>
          <w:szCs w:val="24"/>
          <w:lang w:val="es-ES" w:eastAsia="es-MX"/>
        </w:rPr>
        <w:t xml:space="preserve">En tal sentido primeramente debemos mencionar que </w:t>
      </w:r>
      <w:r w:rsidRPr="002E2CCE">
        <w:rPr>
          <w:rFonts w:ascii="Palatino Linotype" w:hAnsi="Palatino Linotype"/>
          <w:sz w:val="24"/>
          <w:szCs w:val="24"/>
          <w:lang w:val="es-ES"/>
        </w:rPr>
        <w:t xml:space="preserve">para tener por satisfecho </w:t>
      </w:r>
      <w:r w:rsidRPr="002E2CCE">
        <w:rPr>
          <w:rFonts w:ascii="Palatino Linotype" w:hAnsi="Palatino Linotype" w:cs="Arial"/>
          <w:color w:val="000000" w:themeColor="text1"/>
          <w:sz w:val="24"/>
          <w:szCs w:val="24"/>
          <w:lang w:val="es-ES"/>
        </w:rPr>
        <w:t>el derecho de acceso a la información pública implica que cualquier persona conozca la información contenida en los documentos que se encuentren en los archivos de los Sujetos Obligados.</w:t>
      </w:r>
    </w:p>
    <w:p w14:paraId="0B1D2144" w14:textId="77777777" w:rsidR="00771878" w:rsidRPr="002E2CCE" w:rsidRDefault="00771878" w:rsidP="00771878">
      <w:pPr>
        <w:spacing w:before="240" w:line="360" w:lineRule="auto"/>
        <w:jc w:val="both"/>
        <w:rPr>
          <w:rFonts w:ascii="Palatino Linotype" w:hAnsi="Palatino Linotype" w:cs="Arial"/>
          <w:color w:val="000000" w:themeColor="text1"/>
          <w:sz w:val="24"/>
          <w:szCs w:val="24"/>
          <w:lang w:val="es-ES"/>
        </w:rPr>
      </w:pPr>
      <w:r w:rsidRPr="002E2CCE">
        <w:rPr>
          <w:rFonts w:ascii="Palatino Linotype" w:hAnsi="Palatino Linotype" w:cs="Arial"/>
          <w:color w:val="000000" w:themeColor="text1"/>
          <w:sz w:val="24"/>
          <w:szCs w:val="24"/>
          <w:lang w:val="es-E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w:t>
      </w:r>
      <w:r w:rsidRPr="002E2CCE">
        <w:rPr>
          <w:rFonts w:ascii="Palatino Linotype" w:hAnsi="Palatino Linotype" w:cs="Arial"/>
          <w:color w:val="000000" w:themeColor="text1"/>
          <w:sz w:val="24"/>
          <w:szCs w:val="24"/>
          <w:lang w:val="es-ES"/>
        </w:rPr>
        <w:lastRenderedPageBreak/>
        <w:t xml:space="preserve">párrafo </w:t>
      </w:r>
      <w:r w:rsidRPr="002E2CCE">
        <w:rPr>
          <w:rFonts w:ascii="Palatino Linotype" w:hAnsi="Palatino Linotype" w:cs="Arial"/>
          <w:bCs/>
          <w:color w:val="000000" w:themeColor="text1"/>
          <w:sz w:val="24"/>
          <w:szCs w:val="24"/>
          <w:lang w:val="es-ES"/>
        </w:rPr>
        <w:t>de la Ley de Transparencia y Acceso a la Información Pública del Estado de México y Municipios</w:t>
      </w:r>
      <w:r w:rsidRPr="002E2CCE">
        <w:rPr>
          <w:rFonts w:ascii="Palatino Linotype" w:hAnsi="Palatino Linotype" w:cs="Arial"/>
          <w:color w:val="000000" w:themeColor="text1"/>
          <w:sz w:val="24"/>
          <w:szCs w:val="24"/>
          <w:lang w:val="es-ES"/>
        </w:rPr>
        <w:t>:</w:t>
      </w:r>
    </w:p>
    <w:p w14:paraId="7791DE8E"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b/>
          <w:bCs/>
          <w:i/>
          <w:color w:val="000000" w:themeColor="text1"/>
          <w:sz w:val="24"/>
          <w:szCs w:val="24"/>
          <w:lang w:val="es-ES"/>
        </w:rPr>
        <w:t xml:space="preserve">“Artículo 3. </w:t>
      </w:r>
      <w:r w:rsidRPr="002E2CCE">
        <w:rPr>
          <w:rFonts w:ascii="Palatino Linotype" w:hAnsi="Palatino Linotype" w:cs="Arial"/>
          <w:bCs/>
          <w:i/>
          <w:color w:val="000000" w:themeColor="text1"/>
          <w:sz w:val="24"/>
          <w:szCs w:val="24"/>
          <w:u w:val="single"/>
          <w:lang w:val="es-ES"/>
        </w:rPr>
        <w:t>Para los efectos de la presente Ley se entenderá por</w:t>
      </w:r>
      <w:r w:rsidRPr="002E2CCE">
        <w:rPr>
          <w:rFonts w:ascii="Palatino Linotype" w:hAnsi="Palatino Linotype" w:cs="Arial"/>
          <w:bCs/>
          <w:i/>
          <w:color w:val="000000" w:themeColor="text1"/>
          <w:sz w:val="24"/>
          <w:szCs w:val="24"/>
          <w:lang w:val="es-ES"/>
        </w:rPr>
        <w:t>:</w:t>
      </w:r>
    </w:p>
    <w:p w14:paraId="3213D7E9" w14:textId="77777777" w:rsidR="00771878" w:rsidRPr="002E2CCE" w:rsidRDefault="00771878" w:rsidP="00771878">
      <w:pPr>
        <w:spacing w:before="240" w:line="360" w:lineRule="auto"/>
        <w:ind w:left="851" w:right="850"/>
        <w:jc w:val="both"/>
        <w:rPr>
          <w:rFonts w:ascii="Palatino Linotype" w:hAnsi="Palatino Linotype" w:cs="Arial"/>
          <w:i/>
          <w:sz w:val="24"/>
          <w:szCs w:val="24"/>
          <w:lang w:val="es-ES"/>
        </w:rPr>
      </w:pPr>
      <w:r w:rsidRPr="002E2CCE">
        <w:rPr>
          <w:rFonts w:ascii="Palatino Linotype" w:hAnsi="Palatino Linotype" w:cs="Arial"/>
          <w:i/>
          <w:sz w:val="24"/>
          <w:szCs w:val="24"/>
          <w:lang w:val="es-ES"/>
        </w:rPr>
        <w:t>…</w:t>
      </w:r>
    </w:p>
    <w:p w14:paraId="3E4ED5E5"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b/>
          <w:bCs/>
          <w:i/>
          <w:color w:val="000000" w:themeColor="text1"/>
          <w:sz w:val="24"/>
          <w:szCs w:val="24"/>
          <w:lang w:val="es-ES"/>
        </w:rPr>
        <w:t xml:space="preserve">XI. </w:t>
      </w:r>
      <w:r w:rsidRPr="002E2CCE">
        <w:rPr>
          <w:rFonts w:ascii="Palatino Linotype" w:hAnsi="Palatino Linotype" w:cs="Arial"/>
          <w:b/>
          <w:bCs/>
          <w:i/>
          <w:color w:val="000000" w:themeColor="text1"/>
          <w:sz w:val="24"/>
          <w:szCs w:val="24"/>
          <w:u w:val="single"/>
          <w:lang w:val="es-ES"/>
        </w:rPr>
        <w:t>Documento</w:t>
      </w:r>
      <w:r w:rsidRPr="002E2CCE">
        <w:rPr>
          <w:rFonts w:ascii="Palatino Linotype" w:hAnsi="Palatino Linotype" w:cs="Arial"/>
          <w:b/>
          <w:bCs/>
          <w:i/>
          <w:color w:val="000000" w:themeColor="text1"/>
          <w:sz w:val="24"/>
          <w:szCs w:val="24"/>
          <w:lang w:val="es-ES"/>
        </w:rPr>
        <w:t xml:space="preserve">: </w:t>
      </w:r>
      <w:r w:rsidRPr="002E2CCE">
        <w:rPr>
          <w:rFonts w:ascii="Palatino Linotype" w:hAnsi="Palatino Linotype" w:cs="Arial"/>
          <w:i/>
          <w:color w:val="000000" w:themeColor="text1"/>
          <w:sz w:val="24"/>
          <w:szCs w:val="24"/>
          <w:lang w:val="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1707A45" w14:textId="77777777" w:rsidR="00771878" w:rsidRPr="002E2CCE" w:rsidRDefault="00771878" w:rsidP="00771878">
      <w:pPr>
        <w:spacing w:before="240" w:line="360" w:lineRule="auto"/>
        <w:ind w:left="851" w:right="850"/>
        <w:jc w:val="both"/>
        <w:rPr>
          <w:rFonts w:ascii="Palatino Linotype" w:hAnsi="Palatino Linotype" w:cs="Arial"/>
          <w:bCs/>
          <w:i/>
          <w:color w:val="000000" w:themeColor="text1"/>
          <w:sz w:val="24"/>
          <w:szCs w:val="24"/>
          <w:lang w:val="es-ES"/>
        </w:rPr>
      </w:pPr>
      <w:r w:rsidRPr="002E2CCE">
        <w:rPr>
          <w:rFonts w:ascii="Palatino Linotype" w:hAnsi="Palatino Linotype" w:cs="Arial"/>
          <w:b/>
          <w:bCs/>
          <w:i/>
          <w:color w:val="000000" w:themeColor="text1"/>
          <w:sz w:val="24"/>
          <w:szCs w:val="24"/>
          <w:lang w:val="es-ES"/>
        </w:rPr>
        <w:t>XII. Documento electrónico:</w:t>
      </w:r>
      <w:r w:rsidRPr="002E2CCE">
        <w:rPr>
          <w:rFonts w:ascii="Palatino Linotype" w:hAnsi="Palatino Linotype" w:cs="Arial"/>
          <w:bCs/>
          <w:i/>
          <w:color w:val="000000" w:themeColor="text1"/>
          <w:sz w:val="24"/>
          <w:szCs w:val="24"/>
          <w:lang w:val="es-E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030F9F3B"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lang w:val="es-ES"/>
        </w:rPr>
        <w:t>…</w:t>
      </w:r>
    </w:p>
    <w:p w14:paraId="095C5F26" w14:textId="77777777" w:rsidR="00771878" w:rsidRPr="002E2CCE" w:rsidRDefault="00771878" w:rsidP="00771878">
      <w:pPr>
        <w:spacing w:before="240" w:line="360" w:lineRule="auto"/>
        <w:ind w:left="851" w:right="850"/>
        <w:jc w:val="both"/>
        <w:rPr>
          <w:rFonts w:ascii="Palatino Linotype" w:hAnsi="Palatino Linotype" w:cs="Arial"/>
          <w:bCs/>
          <w:i/>
          <w:color w:val="000000" w:themeColor="text1"/>
          <w:sz w:val="24"/>
          <w:szCs w:val="24"/>
          <w:lang w:val="es-ES"/>
        </w:rPr>
      </w:pPr>
      <w:r w:rsidRPr="002E2CCE">
        <w:rPr>
          <w:rFonts w:ascii="Palatino Linotype" w:hAnsi="Palatino Linotype" w:cs="Arial"/>
          <w:b/>
          <w:bCs/>
          <w:i/>
          <w:color w:val="000000" w:themeColor="text1"/>
          <w:sz w:val="24"/>
          <w:szCs w:val="24"/>
          <w:lang w:val="es-ES"/>
        </w:rPr>
        <w:t xml:space="preserve">Artículo 4. </w:t>
      </w:r>
      <w:r w:rsidRPr="002E2CCE">
        <w:rPr>
          <w:rFonts w:ascii="Palatino Linotype" w:hAnsi="Palatino Linotype" w:cs="Arial"/>
          <w:bCs/>
          <w:i/>
          <w:color w:val="000000" w:themeColor="text1"/>
          <w:sz w:val="24"/>
          <w:szCs w:val="24"/>
          <w:u w:val="single"/>
          <w:lang w:val="es-ES"/>
        </w:rPr>
        <w:t xml:space="preserve">El derecho humano de acceso a la información pública es la prerrogativa de las personas para buscar, difundir, investigar, recabar, recibir </w:t>
      </w:r>
      <w:r w:rsidRPr="002E2CCE">
        <w:rPr>
          <w:rFonts w:ascii="Palatino Linotype" w:hAnsi="Palatino Linotype" w:cs="Arial"/>
          <w:bCs/>
          <w:i/>
          <w:color w:val="000000" w:themeColor="text1"/>
          <w:sz w:val="24"/>
          <w:szCs w:val="24"/>
          <w:u w:val="single"/>
          <w:lang w:val="es-ES"/>
        </w:rPr>
        <w:lastRenderedPageBreak/>
        <w:t>y solicitar información pública</w:t>
      </w:r>
      <w:r w:rsidRPr="002E2CCE">
        <w:rPr>
          <w:rFonts w:ascii="Palatino Linotype" w:hAnsi="Palatino Linotype" w:cs="Arial"/>
          <w:bCs/>
          <w:i/>
          <w:color w:val="000000" w:themeColor="text1"/>
          <w:sz w:val="24"/>
          <w:szCs w:val="24"/>
          <w:lang w:val="es-ES"/>
        </w:rPr>
        <w:t>, sin necesidad de acreditar personalidad ni interés jurídico.</w:t>
      </w:r>
    </w:p>
    <w:p w14:paraId="37BAD793"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E2CCE">
        <w:rPr>
          <w:rFonts w:ascii="Palatino Linotype" w:hAnsi="Palatino Linotype" w:cs="Arial"/>
          <w:i/>
          <w:color w:val="000000" w:themeColor="text1"/>
          <w:sz w:val="24"/>
          <w:szCs w:val="24"/>
          <w:lang w:val="es-ES"/>
        </w:rPr>
        <w:t xml:space="preserve"> Solo podrá ser clasificada excepcionalmente como reservada temporalmente por razones de interés público, en los términos de las causas legítimas y estrictamente necesarias previstas por esta Ley.</w:t>
      </w:r>
    </w:p>
    <w:p w14:paraId="15ECF7AA"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lang w:val="es-ES"/>
        </w:rPr>
        <w:t>Los sujetos obligados deben poner en práctica, políticas y programas de acceso a la información que se apeguen a criterios de publicidad, veracidad, oportunidad, precisión y suficiencia en beneficio de los solicitantes.</w:t>
      </w:r>
    </w:p>
    <w:p w14:paraId="3EE5F413" w14:textId="77777777" w:rsidR="00771878" w:rsidRPr="002E2CCE" w:rsidRDefault="00771878" w:rsidP="00660B20">
      <w:pPr>
        <w:tabs>
          <w:tab w:val="left" w:pos="8080"/>
        </w:tabs>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b/>
          <w:bCs/>
          <w:i/>
          <w:color w:val="000000" w:themeColor="text1"/>
          <w:sz w:val="24"/>
          <w:szCs w:val="24"/>
          <w:lang w:val="es-ES"/>
        </w:rPr>
        <w:t xml:space="preserve">Artículo 12. </w:t>
      </w:r>
      <w:r w:rsidRPr="002E2CCE">
        <w:rPr>
          <w:rFonts w:ascii="Palatino Linotype" w:hAnsi="Palatino Linotype" w:cs="Arial"/>
          <w:i/>
          <w:color w:val="000000" w:themeColor="text1"/>
          <w:sz w:val="24"/>
          <w:szCs w:val="24"/>
          <w:lang w:val="es-ES"/>
        </w:rPr>
        <w:t>Quienes generen, recopilen, administren, manejen, procesen, archiven o conserven información pública serán responsables de la misma en los términos de las disposiciones jurídicas aplicables.</w:t>
      </w:r>
    </w:p>
    <w:p w14:paraId="16D1430A"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u w:val="single"/>
          <w:lang w:val="es-ES"/>
        </w:rPr>
        <w:t>Los sujetos obligados sólo proporcionarán la información pública que se les requiera y que obre en sus archivos y en el estado en que ésta se encuentre.</w:t>
      </w:r>
      <w:r w:rsidRPr="002E2CCE">
        <w:rPr>
          <w:rFonts w:ascii="Palatino Linotype" w:hAnsi="Palatino Linotype" w:cs="Arial"/>
          <w:i/>
          <w:color w:val="000000" w:themeColor="text1"/>
          <w:sz w:val="24"/>
          <w:szCs w:val="24"/>
          <w:lang w:val="es-E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5058AB4"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lang w:val="es-ES"/>
        </w:rPr>
        <w:lastRenderedPageBreak/>
        <w:t>…</w:t>
      </w:r>
    </w:p>
    <w:p w14:paraId="70A724CE"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b/>
          <w:bCs/>
          <w:i/>
          <w:color w:val="000000" w:themeColor="text1"/>
          <w:sz w:val="24"/>
          <w:szCs w:val="24"/>
          <w:lang w:val="es-ES"/>
        </w:rPr>
        <w:t xml:space="preserve">Artículo 24. </w:t>
      </w:r>
      <w:r w:rsidRPr="002E2CCE">
        <w:rPr>
          <w:rFonts w:ascii="Palatino Linotype" w:hAnsi="Palatino Linotype" w:cs="Arial"/>
          <w:i/>
          <w:color w:val="000000" w:themeColor="text1"/>
          <w:sz w:val="24"/>
          <w:szCs w:val="24"/>
          <w:u w:val="single"/>
          <w:lang w:val="es-ES"/>
        </w:rPr>
        <w:t>Para el cumplimiento de los objetivos de esta Ley, los sujetos obligados deberán cumplir con las siguientes obligaciones, según corresponda, de acuerdo a su naturaleza:</w:t>
      </w:r>
    </w:p>
    <w:p w14:paraId="573BF822"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bCs/>
          <w:i/>
          <w:color w:val="000000" w:themeColor="text1"/>
          <w:sz w:val="24"/>
          <w:szCs w:val="24"/>
          <w:lang w:val="es-ES"/>
        </w:rPr>
        <w:t>..</w:t>
      </w:r>
      <w:r w:rsidRPr="002E2CCE">
        <w:rPr>
          <w:rFonts w:ascii="Palatino Linotype" w:hAnsi="Palatino Linotype" w:cs="Arial"/>
          <w:i/>
          <w:color w:val="000000" w:themeColor="text1"/>
          <w:sz w:val="24"/>
          <w:szCs w:val="24"/>
          <w:lang w:val="es-ES"/>
        </w:rPr>
        <w:t>.</w:t>
      </w:r>
    </w:p>
    <w:p w14:paraId="32AB0F96" w14:textId="77777777" w:rsidR="00771878" w:rsidRPr="002E2CCE" w:rsidRDefault="00771878" w:rsidP="00771878">
      <w:pPr>
        <w:spacing w:before="240" w:line="360" w:lineRule="auto"/>
        <w:ind w:left="851" w:right="850"/>
        <w:jc w:val="both"/>
        <w:rPr>
          <w:rFonts w:ascii="Palatino Linotype" w:hAnsi="Palatino Linotype" w:cs="Arial"/>
          <w:bCs/>
          <w:i/>
          <w:color w:val="000000" w:themeColor="text1"/>
          <w:sz w:val="24"/>
          <w:szCs w:val="24"/>
          <w:lang w:val="es-ES"/>
        </w:rPr>
      </w:pPr>
      <w:r w:rsidRPr="002E2CCE">
        <w:rPr>
          <w:rFonts w:ascii="Palatino Linotype" w:hAnsi="Palatino Linotype" w:cs="Arial"/>
          <w:b/>
          <w:bCs/>
          <w:i/>
          <w:color w:val="000000" w:themeColor="text1"/>
          <w:sz w:val="24"/>
          <w:szCs w:val="24"/>
          <w:lang w:val="es-ES"/>
        </w:rPr>
        <w:t>IX.</w:t>
      </w:r>
      <w:r w:rsidRPr="002E2CCE">
        <w:rPr>
          <w:rFonts w:ascii="Palatino Linotype" w:hAnsi="Palatino Linotype" w:cs="Arial"/>
          <w:bCs/>
          <w:i/>
          <w:color w:val="000000" w:themeColor="text1"/>
          <w:sz w:val="24"/>
          <w:szCs w:val="24"/>
          <w:lang w:val="es-ES"/>
        </w:rPr>
        <w:t xml:space="preserve"> Fomentar el uso de tecnologías de la información para garantizar la transparencia, el derecho de acceso a la información y la accesibilidad a éstos;</w:t>
      </w:r>
    </w:p>
    <w:p w14:paraId="6781C229" w14:textId="77777777" w:rsidR="00771878" w:rsidRPr="002E2CCE" w:rsidRDefault="00771878" w:rsidP="00771878">
      <w:pPr>
        <w:spacing w:before="240" w:line="360" w:lineRule="auto"/>
        <w:ind w:left="851" w:right="850"/>
        <w:jc w:val="both"/>
        <w:rPr>
          <w:rFonts w:ascii="Palatino Linotype" w:hAnsi="Palatino Linotype" w:cs="Arial"/>
          <w:bCs/>
          <w:i/>
          <w:color w:val="000000" w:themeColor="text1"/>
          <w:sz w:val="24"/>
          <w:szCs w:val="24"/>
          <w:lang w:val="es-ES"/>
        </w:rPr>
      </w:pPr>
      <w:r w:rsidRPr="002E2CCE">
        <w:rPr>
          <w:rFonts w:ascii="Palatino Linotype" w:hAnsi="Palatino Linotype" w:cs="Arial"/>
          <w:b/>
          <w:bCs/>
          <w:i/>
          <w:color w:val="000000" w:themeColor="text1"/>
          <w:sz w:val="24"/>
          <w:szCs w:val="24"/>
          <w:lang w:val="es-ES"/>
        </w:rPr>
        <w:t>…</w:t>
      </w:r>
    </w:p>
    <w:p w14:paraId="78028279" w14:textId="77777777" w:rsidR="00771878" w:rsidRPr="002E2CCE" w:rsidRDefault="00771878" w:rsidP="00771878">
      <w:pPr>
        <w:spacing w:before="240" w:line="360" w:lineRule="auto"/>
        <w:ind w:left="851" w:right="850"/>
        <w:jc w:val="both"/>
        <w:rPr>
          <w:rFonts w:ascii="Palatino Linotype" w:hAnsi="Palatino Linotype" w:cs="Arial"/>
          <w:bCs/>
          <w:i/>
          <w:color w:val="000000" w:themeColor="text1"/>
          <w:sz w:val="24"/>
          <w:szCs w:val="24"/>
          <w:lang w:val="es-ES"/>
        </w:rPr>
      </w:pPr>
      <w:r w:rsidRPr="002E2CCE">
        <w:rPr>
          <w:rFonts w:ascii="Palatino Linotype" w:hAnsi="Palatino Linotype" w:cs="Arial"/>
          <w:b/>
          <w:bCs/>
          <w:i/>
          <w:color w:val="000000" w:themeColor="text1"/>
          <w:sz w:val="24"/>
          <w:szCs w:val="24"/>
          <w:lang w:val="es-ES"/>
        </w:rPr>
        <w:t>XI.</w:t>
      </w:r>
      <w:r w:rsidRPr="002E2CCE">
        <w:rPr>
          <w:rFonts w:ascii="Palatino Linotype" w:hAnsi="Palatino Linotype" w:cs="Arial"/>
          <w:bCs/>
          <w:i/>
          <w:color w:val="000000" w:themeColor="text1"/>
          <w:sz w:val="24"/>
          <w:szCs w:val="24"/>
          <w:lang w:val="es-ES"/>
        </w:rPr>
        <w:t xml:space="preserve"> Dar acceso a la información pública que le sea requerida, en los términos de la Ley General, esta Ley y demás disposiciones jurídicas aplicables;</w:t>
      </w:r>
    </w:p>
    <w:p w14:paraId="13544529"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bCs/>
          <w:i/>
          <w:color w:val="000000" w:themeColor="text1"/>
          <w:sz w:val="24"/>
          <w:szCs w:val="24"/>
          <w:lang w:val="es-ES"/>
        </w:rPr>
        <w:t>…</w:t>
      </w:r>
    </w:p>
    <w:p w14:paraId="22EDEA46"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lang w:val="es-ES"/>
        </w:rPr>
        <w:t>En la administración, gestión y custodia de los archivos de información pública, los sujetos obligados, los servidores públicos habilitados y los servidores públicos en general, se ajustarán a lo establecido por la normatividad aplicable.</w:t>
      </w:r>
    </w:p>
    <w:p w14:paraId="1C4131A2" w14:textId="77777777" w:rsidR="00771878" w:rsidRPr="002E2CCE" w:rsidRDefault="00771878" w:rsidP="00771878">
      <w:pPr>
        <w:spacing w:before="240" w:line="360" w:lineRule="auto"/>
        <w:ind w:left="851" w:right="851"/>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lang w:val="es-ES"/>
        </w:rPr>
        <w:t>Los sujetos obligados solo proporcionarán la información pública que generen, administren o posean en el ejercicio de sus atribuciones.</w:t>
      </w:r>
    </w:p>
    <w:p w14:paraId="0C19E228" w14:textId="77777777" w:rsidR="00771878" w:rsidRPr="002E2CCE" w:rsidRDefault="00771878" w:rsidP="00771878">
      <w:pPr>
        <w:spacing w:before="240" w:line="360" w:lineRule="auto"/>
        <w:jc w:val="both"/>
        <w:rPr>
          <w:rFonts w:ascii="Palatino Linotype" w:hAnsi="Palatino Linotype" w:cs="Arial"/>
          <w:color w:val="000000" w:themeColor="text1"/>
          <w:sz w:val="24"/>
          <w:szCs w:val="24"/>
          <w:lang w:val="es-ES"/>
        </w:rPr>
      </w:pPr>
      <w:r w:rsidRPr="002E2CCE">
        <w:rPr>
          <w:rFonts w:ascii="Palatino Linotype" w:hAnsi="Palatino Linotype" w:cs="Arial"/>
          <w:color w:val="000000" w:themeColor="text1"/>
          <w:sz w:val="24"/>
          <w:szCs w:val="24"/>
          <w:lang w:val="es-E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805C4E3" w14:textId="77777777" w:rsidR="00771878" w:rsidRPr="002E2CCE" w:rsidRDefault="00771878" w:rsidP="00771878">
      <w:pPr>
        <w:spacing w:before="240" w:line="360" w:lineRule="auto"/>
        <w:jc w:val="both"/>
        <w:rPr>
          <w:rFonts w:ascii="Palatino Linotype" w:hAnsi="Palatino Linotype" w:cs="Arial"/>
          <w:color w:val="000000" w:themeColor="text1"/>
          <w:sz w:val="24"/>
          <w:szCs w:val="24"/>
          <w:lang w:val="es-ES"/>
        </w:rPr>
      </w:pPr>
      <w:r w:rsidRPr="002E2CCE">
        <w:rPr>
          <w:rFonts w:ascii="Palatino Linotype" w:hAnsi="Palatino Linotype" w:cs="Arial"/>
          <w:color w:val="000000" w:themeColor="text1"/>
          <w:sz w:val="24"/>
          <w:szCs w:val="24"/>
          <w:lang w:val="es-ES"/>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05F26AF" w14:textId="3D589136" w:rsidR="00771878" w:rsidRPr="002E2CCE" w:rsidRDefault="00771878" w:rsidP="00771878">
      <w:pPr>
        <w:tabs>
          <w:tab w:val="left" w:pos="709"/>
        </w:tabs>
        <w:spacing w:before="240" w:line="360" w:lineRule="auto"/>
        <w:ind w:right="51"/>
        <w:jc w:val="both"/>
        <w:rPr>
          <w:rFonts w:ascii="Palatino Linotype" w:hAnsi="Palatino Linotype" w:cs="Arial"/>
          <w:i/>
          <w:sz w:val="24"/>
          <w:szCs w:val="24"/>
          <w:lang w:val="es-ES"/>
        </w:rPr>
      </w:pPr>
      <w:r w:rsidRPr="002E2CCE">
        <w:rPr>
          <w:rFonts w:ascii="Palatino Linotype" w:hAnsi="Palatino Linotype" w:cs="Arial"/>
          <w:sz w:val="24"/>
          <w:szCs w:val="24"/>
          <w:lang w:val="es-ES"/>
        </w:rPr>
        <w:t xml:space="preserve">En primer término, es menester establecer la materia de revisión en el presente asunto, ya que, del análisis al medio de impugnación, se aprecia que la recurrente señala como acto impugnado, </w:t>
      </w:r>
      <w:r w:rsidRPr="002E2CCE">
        <w:rPr>
          <w:rFonts w:ascii="Palatino Linotype" w:hAnsi="Palatino Linotype" w:cs="Arial"/>
          <w:i/>
          <w:sz w:val="24"/>
          <w:szCs w:val="24"/>
          <w:lang w:val="es-ES"/>
        </w:rPr>
        <w:t>“</w:t>
      </w:r>
      <w:r w:rsidR="005E30AA" w:rsidRPr="005E30AA">
        <w:rPr>
          <w:rFonts w:ascii="Palatino Linotype" w:hAnsi="Palatino Linotype" w:cs="Arial"/>
          <w:i/>
          <w:sz w:val="24"/>
          <w:szCs w:val="24"/>
          <w:lang w:val="es-ES"/>
        </w:rPr>
        <w:t>NO HUBO RESPUESTA</w:t>
      </w:r>
      <w:r w:rsidRPr="002E2CCE">
        <w:rPr>
          <w:rFonts w:ascii="Palatino Linotype" w:hAnsi="Palatino Linotype" w:cs="Arial"/>
          <w:i/>
          <w:sz w:val="24"/>
          <w:szCs w:val="24"/>
          <w:lang w:val="es-ES"/>
        </w:rPr>
        <w:t>”.</w:t>
      </w:r>
    </w:p>
    <w:p w14:paraId="0D5BE8D6" w14:textId="77777777" w:rsidR="00771878" w:rsidRPr="002E2CCE" w:rsidRDefault="00771878" w:rsidP="00771878">
      <w:pPr>
        <w:tabs>
          <w:tab w:val="left" w:pos="709"/>
        </w:tabs>
        <w:spacing w:before="240" w:line="360" w:lineRule="auto"/>
        <w:ind w:right="51"/>
        <w:jc w:val="both"/>
        <w:rPr>
          <w:rFonts w:ascii="Palatino Linotype" w:hAnsi="Palatino Linotype" w:cs="Arial"/>
          <w:iCs/>
          <w:sz w:val="24"/>
          <w:szCs w:val="24"/>
          <w:lang w:val="es-ES"/>
        </w:rPr>
      </w:pPr>
      <w:r w:rsidRPr="002E2CCE">
        <w:rPr>
          <w:rFonts w:ascii="Palatino Linotype" w:hAnsi="Palatino Linotype" w:cs="Arial"/>
          <w:iCs/>
          <w:sz w:val="24"/>
          <w:szCs w:val="24"/>
          <w:lang w:val="es-ES"/>
        </w:rPr>
        <w:t>Luego entonces, es menester recordar que el particular tuvo a bien solicitar lo siguiente:</w:t>
      </w:r>
    </w:p>
    <w:p w14:paraId="1A000487" w14:textId="19502013" w:rsidR="00771878" w:rsidRPr="002E2CCE" w:rsidRDefault="00771878" w:rsidP="00771878">
      <w:pPr>
        <w:spacing w:before="240" w:after="240" w:line="240" w:lineRule="auto"/>
        <w:ind w:left="851" w:right="851"/>
        <w:jc w:val="both"/>
        <w:rPr>
          <w:rFonts w:ascii="Palatino Linotype" w:eastAsia="Times New Roman" w:hAnsi="Palatino Linotype" w:cs="Times New Roman"/>
          <w:i/>
          <w:lang w:val="es-ES" w:eastAsia="es-ES"/>
        </w:rPr>
      </w:pPr>
      <w:r w:rsidRPr="002E2CCE">
        <w:rPr>
          <w:rFonts w:ascii="Palatino Linotype" w:eastAsia="Times New Roman" w:hAnsi="Palatino Linotype" w:cs="Times New Roman"/>
          <w:i/>
          <w:lang w:val="es-ES" w:eastAsia="es-ES"/>
        </w:rPr>
        <w:t>“</w:t>
      </w:r>
      <w:r w:rsidR="005E30AA" w:rsidRPr="005E30AA">
        <w:rPr>
          <w:rFonts w:ascii="Palatino Linotype" w:hAnsi="Palatino Linotype"/>
          <w:i/>
          <w:color w:val="000000"/>
          <w:lang w:val="es-ES"/>
        </w:rPr>
        <w:t>Conocer Nombre, cargo y sueldo mensual de todo el personal que labora en el partido.</w:t>
      </w:r>
      <w:r w:rsidRPr="002E2CCE">
        <w:rPr>
          <w:rFonts w:ascii="Palatino Linotype" w:hAnsi="Palatino Linotype"/>
          <w:i/>
          <w:color w:val="000000"/>
          <w:lang w:val="es-ES"/>
        </w:rPr>
        <w:t>”.</w:t>
      </w:r>
      <w:r w:rsidRPr="002E2CCE">
        <w:rPr>
          <w:rFonts w:ascii="Palatino Linotype" w:eastAsia="Times New Roman" w:hAnsi="Palatino Linotype" w:cs="Times New Roman"/>
          <w:i/>
          <w:lang w:val="es-ES" w:eastAsia="es-ES"/>
        </w:rPr>
        <w:t xml:space="preserve"> [Sic]</w:t>
      </w:r>
      <w:r w:rsidR="00AC22C8">
        <w:rPr>
          <w:rFonts w:ascii="Palatino Linotype" w:eastAsia="Times New Roman" w:hAnsi="Palatino Linotype" w:cs="Times New Roman"/>
          <w:i/>
          <w:lang w:val="es-ES" w:eastAsia="es-ES"/>
        </w:rPr>
        <w:t xml:space="preserve"> </w:t>
      </w:r>
    </w:p>
    <w:p w14:paraId="46814A87" w14:textId="577986A3" w:rsidR="00771878" w:rsidRPr="00AC22C8" w:rsidRDefault="00771878" w:rsidP="00771878">
      <w:pPr>
        <w:spacing w:before="240" w:after="240" w:line="360" w:lineRule="auto"/>
        <w:ind w:right="851"/>
        <w:jc w:val="both"/>
        <w:rPr>
          <w:rFonts w:ascii="Palatino Linotype" w:hAnsi="Palatino Linotype"/>
          <w:color w:val="000000"/>
          <w:sz w:val="24"/>
          <w:lang w:val="es-ES"/>
        </w:rPr>
      </w:pPr>
      <w:r w:rsidRPr="00AC22C8">
        <w:rPr>
          <w:rFonts w:ascii="Palatino Linotype" w:hAnsi="Palatino Linotype"/>
          <w:color w:val="000000"/>
          <w:sz w:val="24"/>
          <w:lang w:val="es-ES"/>
        </w:rPr>
        <w:t>Por su parte el sujeto obligado no dio respuesta</w:t>
      </w:r>
      <w:r w:rsidR="00AC22C8">
        <w:rPr>
          <w:rFonts w:ascii="Palatino Linotype" w:hAnsi="Palatino Linotype"/>
          <w:color w:val="000000"/>
          <w:sz w:val="24"/>
          <w:lang w:val="es-ES"/>
        </w:rPr>
        <w:t xml:space="preserve"> a la solicitud de información.</w:t>
      </w:r>
    </w:p>
    <w:p w14:paraId="299A3419" w14:textId="77777777" w:rsidR="00771878" w:rsidRPr="002E2CCE" w:rsidRDefault="00771878" w:rsidP="00771878">
      <w:pPr>
        <w:spacing w:before="240" w:line="360" w:lineRule="auto"/>
        <w:jc w:val="both"/>
        <w:rPr>
          <w:rFonts w:ascii="Palatino Linotype" w:hAnsi="Palatino Linotype" w:cs="Arial"/>
          <w:color w:val="000000" w:themeColor="text1"/>
          <w:sz w:val="24"/>
          <w:szCs w:val="24"/>
          <w:lang w:val="es-ES"/>
        </w:rPr>
      </w:pPr>
      <w:r w:rsidRPr="002E2CCE">
        <w:rPr>
          <w:rFonts w:ascii="Palatino Linotype" w:hAnsi="Palatino Linotype" w:cs="Arial"/>
          <w:color w:val="000000" w:themeColor="text1"/>
          <w:sz w:val="24"/>
          <w:szCs w:val="24"/>
          <w:lang w:val="es-ES"/>
        </w:rPr>
        <w:t>Luego, la información pública se encuentra a disposición de cualquier persona, lo que implica que es deber de los Sujetos Obligados, garantizar a toda persona el derecho de acceso a la información pública.</w:t>
      </w:r>
    </w:p>
    <w:p w14:paraId="1BCD61E0" w14:textId="77777777" w:rsidR="00771878" w:rsidRPr="002E2CCE" w:rsidRDefault="00771878" w:rsidP="00771878">
      <w:pPr>
        <w:spacing w:before="240" w:line="360" w:lineRule="auto"/>
        <w:jc w:val="both"/>
        <w:rPr>
          <w:rFonts w:ascii="Palatino Linotype" w:hAnsi="Palatino Linotype" w:cs="Arial"/>
          <w:sz w:val="24"/>
          <w:szCs w:val="24"/>
          <w:lang w:val="es-ES"/>
        </w:rPr>
      </w:pPr>
      <w:r w:rsidRPr="002E2CCE">
        <w:rPr>
          <w:rFonts w:ascii="Palatino Linotype" w:hAnsi="Palatino Linotype" w:cs="Arial"/>
          <w:sz w:val="24"/>
          <w:szCs w:val="24"/>
          <w:lang w:val="es-ES"/>
        </w:rPr>
        <w:t>Adicional, tenemos que la Ley de la materia, prevé en su artículo 23, lo siguiente:</w:t>
      </w:r>
    </w:p>
    <w:p w14:paraId="31308A18" w14:textId="77777777" w:rsidR="00771878" w:rsidRPr="002E2CCE" w:rsidRDefault="00771878" w:rsidP="00771878">
      <w:pPr>
        <w:spacing w:before="240" w:line="360" w:lineRule="auto"/>
        <w:ind w:left="709" w:right="814"/>
        <w:jc w:val="both"/>
        <w:rPr>
          <w:rFonts w:ascii="Palatino Linotype" w:hAnsi="Palatino Linotype" w:cs="Arial"/>
          <w:i/>
          <w:sz w:val="24"/>
          <w:szCs w:val="24"/>
          <w:lang w:val="es-ES"/>
        </w:rPr>
      </w:pPr>
      <w:r w:rsidRPr="002E2CCE">
        <w:rPr>
          <w:rFonts w:ascii="Palatino Linotype" w:hAnsi="Palatino Linotype" w:cs="Arial"/>
          <w:b/>
          <w:i/>
          <w:sz w:val="24"/>
          <w:szCs w:val="24"/>
          <w:lang w:val="es-ES"/>
        </w:rPr>
        <w:t xml:space="preserve">Artículo 23. Son sujetos obligados a transparentar y permitir el acceso a su información y </w:t>
      </w:r>
      <w:r w:rsidRPr="002E2CCE">
        <w:rPr>
          <w:rFonts w:ascii="Palatino Linotype" w:hAnsi="Palatino Linotype"/>
          <w:b/>
          <w:i/>
          <w:sz w:val="24"/>
          <w:szCs w:val="24"/>
          <w:lang w:val="es-ES"/>
        </w:rPr>
        <w:t>proteger</w:t>
      </w:r>
      <w:r w:rsidRPr="002E2CCE">
        <w:rPr>
          <w:rFonts w:ascii="Palatino Linotype" w:hAnsi="Palatino Linotype" w:cs="Arial"/>
          <w:b/>
          <w:i/>
          <w:sz w:val="24"/>
          <w:szCs w:val="24"/>
          <w:lang w:val="es-ES"/>
        </w:rPr>
        <w:t xml:space="preserve"> los datos personales que obren en su poder</w:t>
      </w:r>
      <w:r w:rsidRPr="002E2CCE">
        <w:rPr>
          <w:rFonts w:ascii="Palatino Linotype" w:hAnsi="Palatino Linotype" w:cs="Arial"/>
          <w:i/>
          <w:sz w:val="24"/>
          <w:szCs w:val="24"/>
          <w:lang w:val="es-ES"/>
        </w:rPr>
        <w:t>:</w:t>
      </w:r>
    </w:p>
    <w:p w14:paraId="2E2E8BA5" w14:textId="77777777" w:rsidR="00771878" w:rsidRPr="002E2CCE" w:rsidRDefault="00771878" w:rsidP="00771878">
      <w:pPr>
        <w:spacing w:before="240" w:line="360" w:lineRule="auto"/>
        <w:ind w:left="709" w:right="814"/>
        <w:jc w:val="both"/>
        <w:rPr>
          <w:rFonts w:ascii="Palatino Linotype" w:hAnsi="Palatino Linotype" w:cs="Arial"/>
          <w:i/>
          <w:sz w:val="24"/>
          <w:szCs w:val="24"/>
          <w:lang w:val="es-ES"/>
        </w:rPr>
      </w:pPr>
      <w:r w:rsidRPr="002E2CCE">
        <w:rPr>
          <w:rFonts w:ascii="Palatino Linotype" w:hAnsi="Palatino Linotype" w:cs="Arial"/>
          <w:i/>
          <w:sz w:val="24"/>
          <w:szCs w:val="24"/>
          <w:lang w:val="es-ES"/>
        </w:rPr>
        <w:t xml:space="preserve">I. El Poder Ejecutivo del Estado de México, las dependencias, organismos auxiliares, órganos, </w:t>
      </w:r>
      <w:r w:rsidRPr="002E2CCE">
        <w:rPr>
          <w:rFonts w:ascii="Palatino Linotype" w:hAnsi="Palatino Linotype"/>
          <w:i/>
          <w:sz w:val="24"/>
          <w:szCs w:val="24"/>
          <w:lang w:val="es-ES"/>
        </w:rPr>
        <w:t>entidades</w:t>
      </w:r>
      <w:r w:rsidRPr="002E2CCE">
        <w:rPr>
          <w:rFonts w:ascii="Palatino Linotype" w:hAnsi="Palatino Linotype" w:cs="Arial"/>
          <w:i/>
          <w:sz w:val="24"/>
          <w:szCs w:val="24"/>
          <w:lang w:val="es-ES"/>
        </w:rPr>
        <w:t>, fideicomisos y fondos públicos, así como la Procuraduría General de Justicia;</w:t>
      </w:r>
    </w:p>
    <w:p w14:paraId="4AAFF303" w14:textId="77777777" w:rsidR="00771878" w:rsidRPr="002E2CCE" w:rsidRDefault="00771878" w:rsidP="00771878">
      <w:pPr>
        <w:spacing w:before="240" w:line="360" w:lineRule="auto"/>
        <w:ind w:left="709" w:right="814"/>
        <w:jc w:val="both"/>
        <w:rPr>
          <w:rFonts w:ascii="Palatino Linotype" w:hAnsi="Palatino Linotype" w:cs="Arial"/>
          <w:i/>
          <w:sz w:val="24"/>
          <w:szCs w:val="24"/>
          <w:lang w:val="es-ES"/>
        </w:rPr>
      </w:pPr>
      <w:r w:rsidRPr="002E2CCE">
        <w:rPr>
          <w:rFonts w:ascii="Palatino Linotype" w:hAnsi="Palatino Linotype" w:cs="Arial"/>
          <w:i/>
          <w:sz w:val="24"/>
          <w:szCs w:val="24"/>
          <w:lang w:val="es-ES"/>
        </w:rPr>
        <w:lastRenderedPageBreak/>
        <w:t xml:space="preserve">II. El Poder </w:t>
      </w:r>
      <w:r w:rsidRPr="002E2CCE">
        <w:rPr>
          <w:rFonts w:ascii="Palatino Linotype" w:hAnsi="Palatino Linotype"/>
          <w:i/>
          <w:sz w:val="24"/>
          <w:szCs w:val="24"/>
          <w:lang w:val="es-ES"/>
        </w:rPr>
        <w:t>Legislativo</w:t>
      </w:r>
      <w:r w:rsidRPr="002E2CCE">
        <w:rPr>
          <w:rFonts w:ascii="Palatino Linotype" w:hAnsi="Palatino Linotype" w:cs="Arial"/>
          <w:i/>
          <w:sz w:val="24"/>
          <w:szCs w:val="24"/>
          <w:lang w:val="es-ES"/>
        </w:rPr>
        <w:t xml:space="preserve"> del Estado, los organismos, órganos y entidades de la Legislatura y sus dependencias;</w:t>
      </w:r>
    </w:p>
    <w:p w14:paraId="5B0A8B29" w14:textId="77777777" w:rsidR="00771878" w:rsidRPr="002E2CCE" w:rsidRDefault="00771878" w:rsidP="00771878">
      <w:pPr>
        <w:spacing w:before="240" w:line="360" w:lineRule="auto"/>
        <w:ind w:left="709" w:right="814"/>
        <w:jc w:val="both"/>
        <w:rPr>
          <w:rFonts w:ascii="Palatino Linotype" w:hAnsi="Palatino Linotype" w:cs="Arial"/>
          <w:i/>
          <w:sz w:val="24"/>
          <w:szCs w:val="24"/>
          <w:lang w:val="es-ES"/>
        </w:rPr>
      </w:pPr>
      <w:r w:rsidRPr="002E2CCE">
        <w:rPr>
          <w:rFonts w:ascii="Palatino Linotype" w:hAnsi="Palatino Linotype" w:cs="Arial"/>
          <w:i/>
          <w:sz w:val="24"/>
          <w:szCs w:val="24"/>
          <w:lang w:val="es-ES"/>
        </w:rPr>
        <w:t xml:space="preserve">III. El Poder </w:t>
      </w:r>
      <w:r w:rsidRPr="002E2CCE">
        <w:rPr>
          <w:rFonts w:ascii="Palatino Linotype" w:hAnsi="Palatino Linotype"/>
          <w:i/>
          <w:sz w:val="24"/>
          <w:szCs w:val="24"/>
          <w:lang w:val="es-ES"/>
        </w:rPr>
        <w:t>Judicial</w:t>
      </w:r>
      <w:r w:rsidRPr="002E2CCE">
        <w:rPr>
          <w:rFonts w:ascii="Palatino Linotype" w:hAnsi="Palatino Linotype" w:cs="Arial"/>
          <w:i/>
          <w:sz w:val="24"/>
          <w:szCs w:val="24"/>
          <w:lang w:val="es-ES"/>
        </w:rPr>
        <w:t xml:space="preserve">, sus organismos, órganos y entidades, así como el Consejo de la </w:t>
      </w:r>
      <w:r w:rsidRPr="002E2CCE">
        <w:rPr>
          <w:rFonts w:ascii="Palatino Linotype" w:hAnsi="Palatino Linotype"/>
          <w:i/>
          <w:sz w:val="24"/>
          <w:szCs w:val="24"/>
          <w:lang w:val="es-ES"/>
        </w:rPr>
        <w:t>Judicatura</w:t>
      </w:r>
      <w:r w:rsidRPr="002E2CCE">
        <w:rPr>
          <w:rFonts w:ascii="Palatino Linotype" w:hAnsi="Palatino Linotype" w:cs="Arial"/>
          <w:i/>
          <w:sz w:val="24"/>
          <w:szCs w:val="24"/>
          <w:lang w:val="es-ES"/>
        </w:rPr>
        <w:t xml:space="preserve"> del Estado;</w:t>
      </w:r>
    </w:p>
    <w:p w14:paraId="3E899244" w14:textId="77777777" w:rsidR="00771878" w:rsidRPr="0090408F" w:rsidRDefault="00771878" w:rsidP="00771878">
      <w:pPr>
        <w:spacing w:before="240" w:line="360" w:lineRule="auto"/>
        <w:ind w:left="709" w:right="814"/>
        <w:jc w:val="both"/>
        <w:rPr>
          <w:rFonts w:ascii="Palatino Linotype" w:hAnsi="Palatino Linotype" w:cs="Arial"/>
          <w:i/>
          <w:sz w:val="24"/>
          <w:szCs w:val="24"/>
          <w:lang w:val="es-ES"/>
        </w:rPr>
      </w:pPr>
      <w:r w:rsidRPr="0090408F">
        <w:rPr>
          <w:rFonts w:ascii="Palatino Linotype" w:hAnsi="Palatino Linotype" w:cs="Arial"/>
          <w:i/>
          <w:sz w:val="24"/>
          <w:szCs w:val="24"/>
          <w:lang w:val="es-ES"/>
        </w:rPr>
        <w:t>IV. Los ayuntamientos y las dependencias, organismos, órganos y entidades de la administración municipal;</w:t>
      </w:r>
    </w:p>
    <w:p w14:paraId="3EBD0389" w14:textId="77777777" w:rsidR="00771878" w:rsidRPr="00BC0F2E" w:rsidRDefault="00771878" w:rsidP="00771878">
      <w:pPr>
        <w:spacing w:before="240" w:line="360" w:lineRule="auto"/>
        <w:ind w:left="709" w:right="814"/>
        <w:jc w:val="both"/>
        <w:rPr>
          <w:rFonts w:ascii="Palatino Linotype" w:hAnsi="Palatino Linotype" w:cs="Arial"/>
          <w:i/>
          <w:sz w:val="24"/>
          <w:szCs w:val="24"/>
          <w:lang w:val="es-ES"/>
        </w:rPr>
      </w:pPr>
      <w:r w:rsidRPr="00BC0F2E">
        <w:rPr>
          <w:rFonts w:ascii="Palatino Linotype" w:hAnsi="Palatino Linotype" w:cs="Arial"/>
          <w:i/>
          <w:sz w:val="24"/>
          <w:szCs w:val="24"/>
          <w:lang w:val="es-ES"/>
        </w:rPr>
        <w:t xml:space="preserve">V. Los </w:t>
      </w:r>
      <w:r w:rsidRPr="00BC0F2E">
        <w:rPr>
          <w:rFonts w:ascii="Palatino Linotype" w:hAnsi="Palatino Linotype"/>
          <w:i/>
          <w:sz w:val="24"/>
          <w:szCs w:val="24"/>
          <w:lang w:val="es-ES"/>
        </w:rPr>
        <w:t>órganos</w:t>
      </w:r>
      <w:r w:rsidRPr="00BC0F2E">
        <w:rPr>
          <w:rFonts w:ascii="Palatino Linotype" w:hAnsi="Palatino Linotype" w:cs="Arial"/>
          <w:i/>
          <w:sz w:val="24"/>
          <w:szCs w:val="24"/>
          <w:lang w:val="es-ES"/>
        </w:rPr>
        <w:t xml:space="preserve"> </w:t>
      </w:r>
      <w:r w:rsidRPr="00BC0F2E">
        <w:rPr>
          <w:rFonts w:ascii="Palatino Linotype" w:hAnsi="Palatino Linotype"/>
          <w:i/>
          <w:sz w:val="24"/>
          <w:szCs w:val="24"/>
          <w:lang w:val="es-ES"/>
        </w:rPr>
        <w:t>autónomos</w:t>
      </w:r>
      <w:r w:rsidRPr="00BC0F2E">
        <w:rPr>
          <w:rFonts w:ascii="Palatino Linotype" w:hAnsi="Palatino Linotype" w:cs="Arial"/>
          <w:i/>
          <w:sz w:val="24"/>
          <w:szCs w:val="24"/>
          <w:lang w:val="es-ES"/>
        </w:rPr>
        <w:t>;</w:t>
      </w:r>
    </w:p>
    <w:p w14:paraId="743D6786" w14:textId="77777777" w:rsidR="00771878" w:rsidRPr="002E2CCE" w:rsidRDefault="00771878" w:rsidP="00771878">
      <w:pPr>
        <w:spacing w:before="240" w:line="360" w:lineRule="auto"/>
        <w:ind w:left="709" w:right="814"/>
        <w:jc w:val="both"/>
        <w:rPr>
          <w:rFonts w:ascii="Palatino Linotype" w:hAnsi="Palatino Linotype" w:cs="Times New Roman"/>
          <w:i/>
          <w:sz w:val="24"/>
          <w:szCs w:val="24"/>
          <w:lang w:val="es-ES"/>
        </w:rPr>
      </w:pPr>
      <w:r w:rsidRPr="002E2CCE">
        <w:rPr>
          <w:rFonts w:ascii="Palatino Linotype" w:hAnsi="Palatino Linotype" w:cs="Arial"/>
          <w:b/>
          <w:i/>
          <w:sz w:val="24"/>
          <w:szCs w:val="24"/>
          <w:lang w:val="es-ES"/>
        </w:rPr>
        <w:t>VI.</w:t>
      </w:r>
      <w:r w:rsidRPr="002E2CCE">
        <w:rPr>
          <w:rFonts w:ascii="Palatino Linotype" w:hAnsi="Palatino Linotype" w:cs="Arial"/>
          <w:i/>
          <w:sz w:val="24"/>
          <w:szCs w:val="24"/>
          <w:lang w:val="es-ES"/>
        </w:rPr>
        <w:t xml:space="preserve"> Los </w:t>
      </w:r>
      <w:r w:rsidRPr="002E2CCE">
        <w:rPr>
          <w:rFonts w:ascii="Palatino Linotype" w:hAnsi="Palatino Linotype"/>
          <w:i/>
          <w:sz w:val="24"/>
          <w:szCs w:val="24"/>
          <w:lang w:val="es-ES"/>
        </w:rPr>
        <w:t>tribunales administrativos y autoridades jurisdiccionales en materia laboral;</w:t>
      </w:r>
    </w:p>
    <w:p w14:paraId="72B967D4" w14:textId="77777777" w:rsidR="00771878" w:rsidRPr="002E2CCE" w:rsidRDefault="00771878" w:rsidP="00771878">
      <w:pPr>
        <w:spacing w:before="240" w:line="360" w:lineRule="auto"/>
        <w:ind w:left="709" w:right="814"/>
        <w:jc w:val="both"/>
        <w:rPr>
          <w:rFonts w:ascii="Palatino Linotype" w:hAnsi="Palatino Linotype"/>
          <w:i/>
          <w:sz w:val="24"/>
          <w:szCs w:val="24"/>
          <w:lang w:val="es-ES"/>
        </w:rPr>
      </w:pPr>
      <w:r w:rsidRPr="002E2CCE">
        <w:rPr>
          <w:rFonts w:ascii="Palatino Linotype" w:hAnsi="Palatino Linotype"/>
          <w:b/>
          <w:i/>
          <w:sz w:val="24"/>
          <w:szCs w:val="24"/>
          <w:lang w:val="es-ES"/>
        </w:rPr>
        <w:t>VII</w:t>
      </w:r>
      <w:r w:rsidRPr="00BC0F2E">
        <w:rPr>
          <w:rFonts w:ascii="Palatino Linotype" w:hAnsi="Palatino Linotype"/>
          <w:b/>
          <w:i/>
          <w:sz w:val="24"/>
          <w:szCs w:val="24"/>
          <w:lang w:val="es-ES"/>
        </w:rPr>
        <w:t>. Los partidos políticos y agrupaciones políticas, en los términos de las disposiciones aplicables;</w:t>
      </w:r>
    </w:p>
    <w:p w14:paraId="4DD11C70" w14:textId="77777777" w:rsidR="00771878" w:rsidRPr="002E2CCE" w:rsidRDefault="00771878" w:rsidP="00771878">
      <w:pPr>
        <w:spacing w:before="240" w:line="360" w:lineRule="auto"/>
        <w:ind w:left="709" w:right="814"/>
        <w:jc w:val="both"/>
        <w:rPr>
          <w:rFonts w:ascii="Palatino Linotype" w:hAnsi="Palatino Linotype"/>
          <w:i/>
          <w:sz w:val="24"/>
          <w:szCs w:val="24"/>
          <w:lang w:val="es-ES"/>
        </w:rPr>
      </w:pPr>
      <w:r w:rsidRPr="002E2CCE">
        <w:rPr>
          <w:rFonts w:ascii="Palatino Linotype" w:hAnsi="Palatino Linotype"/>
          <w:b/>
          <w:i/>
          <w:sz w:val="24"/>
          <w:szCs w:val="24"/>
          <w:lang w:val="es-ES"/>
        </w:rPr>
        <w:t>VIII.</w:t>
      </w:r>
      <w:r w:rsidRPr="002E2CCE">
        <w:rPr>
          <w:rFonts w:ascii="Palatino Linotype" w:hAnsi="Palatino Linotype"/>
          <w:i/>
          <w:sz w:val="24"/>
          <w:szCs w:val="24"/>
          <w:lang w:val="es-ES"/>
        </w:rPr>
        <w:t xml:space="preserve"> Los fideicomisos y fondos públicos que cuenten con financiamiento público, parcial o total, o con participación de entidades de gobierno;</w:t>
      </w:r>
    </w:p>
    <w:p w14:paraId="6A3CC83B" w14:textId="77777777" w:rsidR="00771878" w:rsidRPr="002E2CCE" w:rsidRDefault="00771878" w:rsidP="00771878">
      <w:pPr>
        <w:spacing w:before="240" w:line="360" w:lineRule="auto"/>
        <w:ind w:left="709" w:right="814"/>
        <w:jc w:val="both"/>
        <w:rPr>
          <w:rFonts w:ascii="Palatino Linotype" w:hAnsi="Palatino Linotype"/>
          <w:i/>
          <w:sz w:val="24"/>
          <w:szCs w:val="24"/>
          <w:lang w:val="es-ES"/>
        </w:rPr>
      </w:pPr>
      <w:r w:rsidRPr="002E2CCE">
        <w:rPr>
          <w:rFonts w:ascii="Palatino Linotype" w:hAnsi="Palatino Linotype"/>
          <w:b/>
          <w:i/>
          <w:sz w:val="24"/>
          <w:szCs w:val="24"/>
          <w:lang w:val="es-ES"/>
        </w:rPr>
        <w:t>IX.</w:t>
      </w:r>
      <w:r w:rsidRPr="002E2CCE">
        <w:rPr>
          <w:rFonts w:ascii="Palatino Linotype" w:hAnsi="Palatino Linotype"/>
          <w:i/>
          <w:sz w:val="24"/>
          <w:szCs w:val="24"/>
          <w:lang w:val="es-ES"/>
        </w:rPr>
        <w:t xml:space="preserve"> Los sindicatos que reciban y/o ejerzan recursos públicos en el ámbito estatal y municipal;</w:t>
      </w:r>
    </w:p>
    <w:p w14:paraId="38DA6D94" w14:textId="77777777" w:rsidR="00771878" w:rsidRPr="002E2CCE" w:rsidRDefault="00771878" w:rsidP="00771878">
      <w:pPr>
        <w:spacing w:before="240" w:line="360" w:lineRule="auto"/>
        <w:ind w:left="709" w:right="814"/>
        <w:jc w:val="both"/>
        <w:rPr>
          <w:rFonts w:ascii="Palatino Linotype" w:hAnsi="Palatino Linotype"/>
          <w:i/>
          <w:sz w:val="24"/>
          <w:szCs w:val="24"/>
          <w:lang w:val="es-ES"/>
        </w:rPr>
      </w:pPr>
      <w:r w:rsidRPr="002E2CCE">
        <w:rPr>
          <w:rFonts w:ascii="Palatino Linotype" w:hAnsi="Palatino Linotype"/>
          <w:b/>
          <w:i/>
          <w:sz w:val="24"/>
          <w:szCs w:val="24"/>
          <w:lang w:val="es-ES"/>
        </w:rPr>
        <w:t>X.</w:t>
      </w:r>
      <w:r w:rsidRPr="002E2CCE">
        <w:rPr>
          <w:rFonts w:ascii="Palatino Linotype" w:hAnsi="Palatino Linotype"/>
          <w:i/>
          <w:sz w:val="24"/>
          <w:szCs w:val="24"/>
          <w:lang w:val="es-ES"/>
        </w:rPr>
        <w:t xml:space="preserve"> Cualquier persona física o jurídico colectiva que reciba y ejerza recursos públicos en el ámbito estatal o municipal; y</w:t>
      </w:r>
    </w:p>
    <w:p w14:paraId="2EAAA10E" w14:textId="77777777" w:rsidR="00771878" w:rsidRPr="002E2CCE" w:rsidRDefault="00771878" w:rsidP="00771878">
      <w:pPr>
        <w:spacing w:before="240" w:line="360" w:lineRule="auto"/>
        <w:ind w:left="709" w:right="814"/>
        <w:jc w:val="both"/>
        <w:rPr>
          <w:rFonts w:ascii="Palatino Linotype" w:hAnsi="Palatino Linotype"/>
          <w:i/>
          <w:sz w:val="24"/>
          <w:szCs w:val="24"/>
          <w:lang w:val="es-ES"/>
        </w:rPr>
      </w:pPr>
      <w:r w:rsidRPr="002E2CCE">
        <w:rPr>
          <w:rFonts w:ascii="Palatino Linotype" w:hAnsi="Palatino Linotype"/>
          <w:b/>
          <w:i/>
          <w:sz w:val="24"/>
          <w:szCs w:val="24"/>
          <w:lang w:val="es-ES"/>
        </w:rPr>
        <w:t>XI.</w:t>
      </w:r>
      <w:r w:rsidRPr="002E2CCE">
        <w:rPr>
          <w:rFonts w:ascii="Palatino Linotype" w:hAnsi="Palatino Linotype"/>
          <w:i/>
          <w:sz w:val="24"/>
          <w:szCs w:val="24"/>
          <w:lang w:val="es-ES"/>
        </w:rPr>
        <w:t xml:space="preserve"> Cualquier otra autoridad, entidad, órgano u organismo de los poderes estatal o municipal, que reciba recursos públicos.</w:t>
      </w:r>
    </w:p>
    <w:p w14:paraId="62F16B34" w14:textId="77777777" w:rsidR="00771878" w:rsidRPr="002E2CCE" w:rsidRDefault="00771878" w:rsidP="00771878">
      <w:pPr>
        <w:spacing w:before="240" w:line="360" w:lineRule="auto"/>
        <w:ind w:left="709" w:right="814"/>
        <w:jc w:val="both"/>
        <w:rPr>
          <w:rFonts w:ascii="Palatino Linotype" w:hAnsi="Palatino Linotype"/>
          <w:i/>
          <w:sz w:val="24"/>
          <w:szCs w:val="24"/>
          <w:lang w:val="es-ES"/>
        </w:rPr>
      </w:pPr>
      <w:r w:rsidRPr="002E2CCE">
        <w:rPr>
          <w:rFonts w:ascii="Palatino Linotype" w:hAnsi="Palatino Linotype"/>
          <w:i/>
          <w:sz w:val="24"/>
          <w:szCs w:val="24"/>
          <w:lang w:val="es-ES"/>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2AA90EA" w14:textId="77777777" w:rsidR="00771878" w:rsidRPr="002E2CCE" w:rsidRDefault="00771878" w:rsidP="00771878">
      <w:pPr>
        <w:spacing w:before="240" w:line="360" w:lineRule="auto"/>
        <w:ind w:left="709" w:right="814"/>
        <w:jc w:val="both"/>
        <w:rPr>
          <w:rFonts w:ascii="Palatino Linotype" w:hAnsi="Palatino Linotype" w:cs="Arial"/>
          <w:i/>
          <w:sz w:val="24"/>
          <w:szCs w:val="24"/>
          <w:lang w:val="es-ES"/>
        </w:rPr>
      </w:pPr>
      <w:r w:rsidRPr="002E2CCE">
        <w:rPr>
          <w:rFonts w:ascii="Palatino Linotype" w:hAnsi="Palatino Linotype" w:cs="Arial"/>
          <w:b/>
          <w:i/>
          <w:sz w:val="24"/>
          <w:szCs w:val="24"/>
          <w:lang w:val="es-ES"/>
        </w:rPr>
        <w:t>Los servidores públicos deberán transparentar sus acciones así como garantizar y respetar el derecho de acceso a la información pública.</w:t>
      </w:r>
    </w:p>
    <w:p w14:paraId="448657D8" w14:textId="77777777" w:rsidR="00771878" w:rsidRPr="002E2CCE" w:rsidRDefault="00771878" w:rsidP="00771878">
      <w:pPr>
        <w:spacing w:before="240" w:line="360" w:lineRule="auto"/>
        <w:ind w:left="709" w:right="814"/>
        <w:jc w:val="both"/>
        <w:rPr>
          <w:rFonts w:ascii="Palatino Linotype" w:hAnsi="Palatino Linotype" w:cs="Arial"/>
          <w:i/>
          <w:sz w:val="24"/>
          <w:szCs w:val="24"/>
          <w:lang w:val="es-ES"/>
        </w:rPr>
      </w:pPr>
      <w:r w:rsidRPr="002E2CCE">
        <w:rPr>
          <w:rFonts w:ascii="Palatino Linotype" w:hAnsi="Palatino Linotype" w:cs="Arial"/>
          <w:i/>
          <w:sz w:val="24"/>
          <w:szCs w:val="24"/>
          <w:lang w:val="es-ES"/>
        </w:rPr>
        <w:t>(Énfasis añadido)</w:t>
      </w:r>
    </w:p>
    <w:p w14:paraId="70E4D674" w14:textId="77777777" w:rsidR="00771878" w:rsidRPr="002E2CCE" w:rsidRDefault="00771878" w:rsidP="00771878">
      <w:pPr>
        <w:spacing w:before="240" w:line="360" w:lineRule="auto"/>
        <w:jc w:val="both"/>
        <w:rPr>
          <w:rFonts w:ascii="Palatino Linotype" w:hAnsi="Palatino Linotype" w:cs="Arial"/>
          <w:sz w:val="24"/>
          <w:szCs w:val="24"/>
          <w:lang w:val="es-ES"/>
        </w:rPr>
      </w:pPr>
      <w:r w:rsidRPr="002E2CCE">
        <w:rPr>
          <w:rFonts w:ascii="Palatino Linotype" w:hAnsi="Palatino Linotype" w:cs="Arial"/>
          <w:sz w:val="24"/>
          <w:szCs w:val="24"/>
          <w:lang w:val="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60409F1" w14:textId="77777777" w:rsidR="00771878" w:rsidRPr="002E2CCE" w:rsidRDefault="00771878" w:rsidP="00771878">
      <w:pPr>
        <w:tabs>
          <w:tab w:val="left" w:pos="8080"/>
        </w:tabs>
        <w:spacing w:before="240" w:line="360" w:lineRule="auto"/>
        <w:ind w:right="49"/>
        <w:jc w:val="both"/>
        <w:rPr>
          <w:rFonts w:ascii="Palatino Linotype" w:hAnsi="Palatino Linotype" w:cs="Arial"/>
          <w:color w:val="000000" w:themeColor="text1"/>
          <w:sz w:val="24"/>
          <w:szCs w:val="24"/>
          <w:lang w:val="es-ES"/>
        </w:rPr>
      </w:pPr>
      <w:r w:rsidRPr="002E2CCE">
        <w:rPr>
          <w:rFonts w:ascii="Palatino Linotype" w:hAnsi="Palatino Linotype" w:cs="Arial"/>
          <w:color w:val="000000" w:themeColor="text1"/>
          <w:sz w:val="24"/>
          <w:szCs w:val="24"/>
          <w:lang w:val="es-ES"/>
        </w:rPr>
        <w:t xml:space="preserve">Por otra parte, es de subrayar que el derecho de acceso a la información pública, consiste en que la información solicitada conste en un soporte documental en cualquiera de sus formas, a saber: </w:t>
      </w:r>
      <w:r w:rsidRPr="002E2CCE">
        <w:rPr>
          <w:rFonts w:ascii="Palatino Linotype" w:hAnsi="Palatino Linotype" w:cs="Arial"/>
          <w:sz w:val="24"/>
          <w:szCs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E2CCE">
        <w:rPr>
          <w:rFonts w:ascii="Palatino Linotype" w:hAnsi="Palatino Linotype" w:cs="Arial"/>
          <w:color w:val="000000" w:themeColor="text1"/>
          <w:sz w:val="24"/>
          <w:szCs w:val="24"/>
          <w:lang w:val="es-ES"/>
        </w:rPr>
        <w:t xml:space="preserve">; los que </w:t>
      </w:r>
      <w:r w:rsidRPr="002E2CCE">
        <w:rPr>
          <w:rFonts w:ascii="Palatino Linotype" w:hAnsi="Palatino Linotype" w:cs="Arial"/>
          <w:sz w:val="24"/>
          <w:szCs w:val="24"/>
          <w:lang w:val="es-ES"/>
        </w:rPr>
        <w:t>podrán estar en cualquier medio, sea escrito, impreso, sonoro, visual, electrónico, informático u holográfico</w:t>
      </w:r>
      <w:r w:rsidRPr="002E2CCE">
        <w:rPr>
          <w:rFonts w:ascii="Palatino Linotype" w:hAnsi="Palatino Linotype" w:cs="Arial"/>
          <w:color w:val="000000" w:themeColor="text1"/>
          <w:sz w:val="24"/>
          <w:szCs w:val="24"/>
          <w:lang w:val="es-ES"/>
        </w:rPr>
        <w:t>, de conformidad con el artículo 3, fracción XI de la Ley de Transparencia y Acceso a la Información Pública del Estado de México y Municipios, como se aprecia a continuación:</w:t>
      </w:r>
    </w:p>
    <w:p w14:paraId="33FE284F" w14:textId="77777777" w:rsidR="00771878" w:rsidRPr="002E2CCE" w:rsidRDefault="00771878" w:rsidP="00771878">
      <w:pPr>
        <w:autoSpaceDE w:val="0"/>
        <w:autoSpaceDN w:val="0"/>
        <w:adjustRightInd w:val="0"/>
        <w:spacing w:before="240" w:line="360" w:lineRule="auto"/>
        <w:ind w:left="709" w:right="814"/>
        <w:jc w:val="both"/>
        <w:rPr>
          <w:rFonts w:ascii="Palatino Linotype" w:hAnsi="Palatino Linotype" w:cs="Arial"/>
          <w:b/>
          <w:bCs/>
          <w:i/>
          <w:sz w:val="24"/>
          <w:szCs w:val="24"/>
          <w:lang w:val="es-ES"/>
        </w:rPr>
      </w:pPr>
      <w:r w:rsidRPr="002E2CCE">
        <w:rPr>
          <w:rFonts w:ascii="Palatino Linotype" w:hAnsi="Palatino Linotype" w:cs="Arial"/>
          <w:bCs/>
          <w:i/>
          <w:sz w:val="24"/>
          <w:szCs w:val="24"/>
          <w:lang w:val="es-ES"/>
        </w:rPr>
        <w:lastRenderedPageBreak/>
        <w:t>“</w:t>
      </w:r>
      <w:r w:rsidRPr="002E2CCE">
        <w:rPr>
          <w:rFonts w:ascii="Palatino Linotype" w:hAnsi="Palatino Linotype" w:cs="Arial"/>
          <w:b/>
          <w:bCs/>
          <w:i/>
          <w:sz w:val="24"/>
          <w:szCs w:val="24"/>
          <w:lang w:val="es-ES"/>
        </w:rPr>
        <w:t xml:space="preserve">Artículo 3. </w:t>
      </w:r>
      <w:r w:rsidRPr="002E2CCE">
        <w:rPr>
          <w:rFonts w:ascii="Palatino Linotype" w:hAnsi="Palatino Linotype" w:cs="Arial"/>
          <w:bCs/>
          <w:i/>
          <w:sz w:val="24"/>
          <w:szCs w:val="24"/>
          <w:lang w:val="es-ES"/>
        </w:rPr>
        <w:t>Para los efectos de la presente Ley se entenderá por:</w:t>
      </w:r>
      <w:r w:rsidRPr="002E2CCE">
        <w:rPr>
          <w:rFonts w:ascii="Palatino Linotype" w:hAnsi="Palatino Linotype" w:cs="Arial"/>
          <w:b/>
          <w:bCs/>
          <w:i/>
          <w:sz w:val="24"/>
          <w:szCs w:val="24"/>
          <w:lang w:val="es-ES"/>
        </w:rPr>
        <w:t xml:space="preserve"> </w:t>
      </w:r>
    </w:p>
    <w:p w14:paraId="385D3CA9" w14:textId="77777777" w:rsidR="00771878" w:rsidRPr="002E2CCE" w:rsidRDefault="00771878" w:rsidP="00771878">
      <w:pPr>
        <w:autoSpaceDE w:val="0"/>
        <w:autoSpaceDN w:val="0"/>
        <w:adjustRightInd w:val="0"/>
        <w:spacing w:before="240" w:line="360" w:lineRule="auto"/>
        <w:ind w:left="709" w:right="814"/>
        <w:jc w:val="both"/>
        <w:rPr>
          <w:rFonts w:ascii="Palatino Linotype" w:hAnsi="Palatino Linotype" w:cs="Arial"/>
          <w:bCs/>
          <w:i/>
          <w:sz w:val="24"/>
          <w:szCs w:val="24"/>
          <w:lang w:val="es-ES"/>
        </w:rPr>
      </w:pPr>
      <w:r w:rsidRPr="002E2CCE">
        <w:rPr>
          <w:rFonts w:ascii="Palatino Linotype" w:hAnsi="Palatino Linotype" w:cs="Arial"/>
          <w:bCs/>
          <w:i/>
          <w:sz w:val="24"/>
          <w:szCs w:val="24"/>
          <w:lang w:val="es-ES"/>
        </w:rPr>
        <w:t>…</w:t>
      </w:r>
    </w:p>
    <w:p w14:paraId="6BECF0B0" w14:textId="77777777" w:rsidR="00771878" w:rsidRPr="002E2CCE" w:rsidRDefault="00771878" w:rsidP="00771878">
      <w:pPr>
        <w:autoSpaceDE w:val="0"/>
        <w:autoSpaceDN w:val="0"/>
        <w:adjustRightInd w:val="0"/>
        <w:spacing w:before="240" w:line="360" w:lineRule="auto"/>
        <w:ind w:left="709" w:right="814"/>
        <w:jc w:val="both"/>
        <w:rPr>
          <w:rFonts w:ascii="Palatino Linotype" w:hAnsi="Palatino Linotype" w:cs="Arial"/>
          <w:i/>
          <w:sz w:val="24"/>
          <w:szCs w:val="24"/>
          <w:lang w:val="es-ES"/>
        </w:rPr>
      </w:pPr>
      <w:r w:rsidRPr="002E2CCE">
        <w:rPr>
          <w:rFonts w:ascii="Palatino Linotype" w:hAnsi="Palatino Linotype" w:cs="Arial"/>
          <w:b/>
          <w:i/>
          <w:sz w:val="24"/>
          <w:szCs w:val="24"/>
          <w:lang w:val="es-ES"/>
        </w:rPr>
        <w:t>XI. Documento:</w:t>
      </w:r>
      <w:r w:rsidRPr="002E2CCE">
        <w:rPr>
          <w:rFonts w:ascii="Palatino Linotype" w:hAnsi="Palatino Linotype" w:cs="Arial"/>
          <w:i/>
          <w:sz w:val="24"/>
          <w:szCs w:val="24"/>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2E2CCE">
        <w:rPr>
          <w:rFonts w:ascii="Palatino Linotype" w:hAnsi="Palatino Linotype" w:cs="Arial"/>
          <w:b/>
          <w:bCs/>
          <w:i/>
          <w:sz w:val="24"/>
          <w:szCs w:val="24"/>
          <w:lang w:val="es-ES"/>
        </w:rPr>
        <w:t>…</w:t>
      </w:r>
      <w:r w:rsidRPr="002E2CCE">
        <w:rPr>
          <w:rFonts w:ascii="Palatino Linotype" w:hAnsi="Palatino Linotype" w:cs="Arial"/>
          <w:bCs/>
          <w:i/>
          <w:sz w:val="24"/>
          <w:szCs w:val="24"/>
          <w:lang w:val="es-ES"/>
        </w:rPr>
        <w:t>”</w:t>
      </w:r>
    </w:p>
    <w:p w14:paraId="7BDA9335" w14:textId="77777777" w:rsidR="00771878" w:rsidRPr="002E2CCE" w:rsidRDefault="00771878" w:rsidP="00771878">
      <w:pPr>
        <w:spacing w:before="240" w:after="240" w:line="360" w:lineRule="auto"/>
        <w:contextualSpacing/>
        <w:jc w:val="both"/>
        <w:rPr>
          <w:rFonts w:ascii="Palatino Linotype" w:eastAsia="MS Mincho" w:hAnsi="Palatino Linotype" w:cs="Arial"/>
          <w:i/>
          <w:sz w:val="24"/>
          <w:szCs w:val="24"/>
          <w:lang w:val="es-ES" w:eastAsia="es-ES"/>
        </w:rPr>
      </w:pPr>
      <w:r w:rsidRPr="002E2CCE">
        <w:rPr>
          <w:rFonts w:ascii="Palatino Linotype" w:eastAsia="MS Mincho" w:hAnsi="Palatino Linotype" w:cs="Times New Roman"/>
          <w:sz w:val="24"/>
          <w:szCs w:val="24"/>
          <w:lang w:val="es-ES" w:eastAsia="es-ES"/>
        </w:rPr>
        <w:t xml:space="preserve">Resulta necesario señalar que el derecho de acceso a la información pública es un </w:t>
      </w:r>
      <w:r w:rsidRPr="002E2CCE">
        <w:rPr>
          <w:rFonts w:ascii="Palatino Linotype" w:eastAsia="Times New Roman" w:hAnsi="Palatino Linotype" w:cs="Arial"/>
          <w:color w:val="000000"/>
          <w:sz w:val="24"/>
          <w:szCs w:val="24"/>
          <w:lang w:val="es-ES"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2E2CCE">
        <w:rPr>
          <w:rFonts w:ascii="Palatino Linotype" w:eastAsia="Times New Roman" w:hAnsi="Palatino Linotype" w:cs="Arial"/>
          <w:color w:val="000000"/>
          <w:sz w:val="24"/>
          <w:szCs w:val="24"/>
          <w:lang w:val="es-ES" w:eastAsia="es-ES"/>
        </w:rPr>
        <w:t xml:space="preserve">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0B4E6173" w14:textId="77777777" w:rsidR="00771878" w:rsidRPr="002E2CCE" w:rsidRDefault="00771878" w:rsidP="00771878">
      <w:pPr>
        <w:spacing w:before="240" w:after="240" w:line="360" w:lineRule="auto"/>
        <w:contextualSpacing/>
        <w:jc w:val="both"/>
        <w:rPr>
          <w:rFonts w:ascii="Palatino Linotype" w:eastAsia="MS Mincho" w:hAnsi="Palatino Linotype" w:cs="Arial"/>
          <w:i/>
          <w:sz w:val="24"/>
          <w:szCs w:val="24"/>
          <w:lang w:val="es-ES" w:eastAsia="es-ES"/>
        </w:rPr>
      </w:pPr>
      <w:r w:rsidRPr="002E2CCE">
        <w:rPr>
          <w:rFonts w:ascii="Palatino Linotype" w:eastAsia="Times New Roman" w:hAnsi="Palatino Linotype" w:cs="Arial"/>
          <w:color w:val="000000"/>
          <w:sz w:val="24"/>
          <w:szCs w:val="24"/>
          <w:lang w:val="es-ES" w:eastAsia="es-ES"/>
        </w:rPr>
        <w:t>El acceso a la información pública es el derecho humano a través del cual se puede solicitar aquellos documentos que generen, administren o posean las autoridades en ejercicio de sus respectivas atribuciones y competencia.</w:t>
      </w:r>
    </w:p>
    <w:p w14:paraId="58FD42BB" w14:textId="77777777" w:rsidR="00771878" w:rsidRPr="002E2CCE" w:rsidRDefault="00771878" w:rsidP="00771878">
      <w:pPr>
        <w:spacing w:before="240" w:after="240" w:line="360" w:lineRule="auto"/>
        <w:contextualSpacing/>
        <w:jc w:val="both"/>
        <w:rPr>
          <w:rFonts w:ascii="Palatino Linotype" w:eastAsia="MS Mincho" w:hAnsi="Palatino Linotype" w:cs="Arial"/>
          <w:i/>
          <w:sz w:val="24"/>
          <w:szCs w:val="24"/>
          <w:lang w:val="es-ES" w:eastAsia="es-ES"/>
        </w:rPr>
      </w:pPr>
      <w:r w:rsidRPr="002E2CCE">
        <w:rPr>
          <w:rFonts w:ascii="Palatino Linotype" w:eastAsia="Times New Roman" w:hAnsi="Palatino Linotype" w:cs="Arial"/>
          <w:color w:val="000000"/>
          <w:sz w:val="24"/>
          <w:szCs w:val="24"/>
          <w:lang w:val="es-ES" w:eastAsia="es-ES"/>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6F5E47E" w14:textId="77777777" w:rsidR="00771878" w:rsidRPr="002E2CCE" w:rsidRDefault="00771878" w:rsidP="00771878">
      <w:pPr>
        <w:pStyle w:val="Prrafodelista"/>
        <w:spacing w:before="240" w:after="240" w:line="360" w:lineRule="auto"/>
        <w:ind w:left="0"/>
        <w:jc w:val="both"/>
        <w:rPr>
          <w:rFonts w:ascii="Palatino Linotype" w:eastAsia="MS Mincho" w:hAnsi="Palatino Linotype"/>
        </w:rPr>
      </w:pPr>
      <w:r w:rsidRPr="002E2CCE">
        <w:rPr>
          <w:rFonts w:ascii="Palatino Linotype" w:eastAsia="MS Mincho" w:hAnsi="Palatino Linotype"/>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224B601C" w14:textId="55C583A1" w:rsidR="00771878" w:rsidRPr="002E2CCE" w:rsidRDefault="00771878" w:rsidP="00771878">
      <w:pPr>
        <w:pStyle w:val="Prrafodelista"/>
        <w:spacing w:before="240" w:after="240" w:line="360" w:lineRule="auto"/>
        <w:ind w:left="0"/>
        <w:jc w:val="both"/>
        <w:rPr>
          <w:rFonts w:ascii="Palatino Linotype" w:hAnsi="Palatino Linotype" w:cs="Arial"/>
        </w:rPr>
      </w:pPr>
      <w:r w:rsidRPr="002E2CCE">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w:t>
      </w:r>
      <w:r w:rsidR="00C37A7D">
        <w:rPr>
          <w:rFonts w:ascii="Palatino Linotype" w:hAnsi="Palatino Linotype" w:cs="Arial"/>
        </w:rPr>
        <w:t>Partidos Políticos</w:t>
      </w:r>
      <w:r w:rsidRPr="002E2CCE">
        <w:rPr>
          <w:rFonts w:ascii="Palatino Linotype" w:hAnsi="Palatino Linotype" w:cs="Arial"/>
        </w:rPr>
        <w:t>,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0B2DDB3" w14:textId="77777777" w:rsidR="00771878" w:rsidRPr="002E2CCE" w:rsidRDefault="00771878" w:rsidP="00771878">
      <w:pPr>
        <w:pStyle w:val="Prrafodelista"/>
        <w:autoSpaceDE w:val="0"/>
        <w:autoSpaceDN w:val="0"/>
        <w:adjustRightInd w:val="0"/>
        <w:spacing w:before="240" w:after="240" w:line="360" w:lineRule="auto"/>
        <w:ind w:left="0"/>
        <w:jc w:val="both"/>
        <w:rPr>
          <w:rFonts w:ascii="Palatino Linotype" w:hAnsi="Palatino Linotype" w:cs="Arial"/>
        </w:rPr>
      </w:pPr>
      <w:r w:rsidRPr="002E2CCE">
        <w:rPr>
          <w:rFonts w:ascii="Palatino Linotype" w:hAnsi="Palatino Linotype" w:cs="Arial"/>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w:t>
      </w:r>
      <w:r w:rsidRPr="002E2CCE">
        <w:rPr>
          <w:rFonts w:ascii="Palatino Linotype" w:hAnsi="Palatino Linotype" w:cs="Arial"/>
        </w:rPr>
        <w:lastRenderedPageBreak/>
        <w:t>de la revisión del expediente electrónico formado de las constancias que obran en el sistema SAIMEX por motivo de la solicitud que dio origen a este recurso, el sujeto obligado fue omiso en dar respuesta a la solicitud.</w:t>
      </w:r>
    </w:p>
    <w:p w14:paraId="28EFF977" w14:textId="77777777" w:rsidR="00771878" w:rsidRPr="002E2CCE" w:rsidRDefault="00771878" w:rsidP="00771878">
      <w:pPr>
        <w:pStyle w:val="Prrafodelista"/>
        <w:autoSpaceDE w:val="0"/>
        <w:autoSpaceDN w:val="0"/>
        <w:adjustRightInd w:val="0"/>
        <w:spacing w:before="240" w:after="240" w:line="360" w:lineRule="auto"/>
        <w:ind w:left="0"/>
        <w:jc w:val="both"/>
        <w:rPr>
          <w:rFonts w:ascii="Palatino Linotype" w:hAnsi="Palatino Linotype" w:cs="Arial"/>
        </w:rPr>
      </w:pPr>
      <w:r w:rsidRPr="002E2CCE">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1942111E" w14:textId="77777777" w:rsidR="00771878" w:rsidRPr="002E2CCE" w:rsidRDefault="00771878" w:rsidP="00771878">
      <w:pPr>
        <w:pStyle w:val="Prrafodelista"/>
        <w:autoSpaceDE w:val="0"/>
        <w:autoSpaceDN w:val="0"/>
        <w:adjustRightInd w:val="0"/>
        <w:spacing w:before="240" w:after="240" w:line="360" w:lineRule="auto"/>
        <w:ind w:left="0"/>
        <w:jc w:val="both"/>
        <w:rPr>
          <w:rFonts w:ascii="Palatino Linotype" w:eastAsia="Calibri" w:hAnsi="Palatino Linotype"/>
          <w:i/>
        </w:rPr>
      </w:pPr>
      <w:r w:rsidRPr="002E2CCE">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E2CCE">
        <w:rPr>
          <w:rFonts w:ascii="Palatino Linotype" w:eastAsia="Calibri" w:hAnsi="Palatino Linotype"/>
          <w:i/>
        </w:rPr>
        <w:t xml:space="preserve">en el ámbito de sus atribuciones, de promover, respetar, proteger y garantizar los derechos humanos. </w:t>
      </w:r>
    </w:p>
    <w:p w14:paraId="169758EF" w14:textId="77777777" w:rsidR="00771878" w:rsidRPr="002E2CCE" w:rsidRDefault="00771878" w:rsidP="00771878">
      <w:pPr>
        <w:pStyle w:val="Prrafodelista"/>
        <w:autoSpaceDE w:val="0"/>
        <w:autoSpaceDN w:val="0"/>
        <w:adjustRightInd w:val="0"/>
        <w:spacing w:before="240" w:after="240" w:line="360" w:lineRule="auto"/>
        <w:ind w:left="0"/>
        <w:jc w:val="both"/>
        <w:rPr>
          <w:rFonts w:ascii="Palatino Linotype" w:hAnsi="Palatino Linotype" w:cs="Arial"/>
        </w:rPr>
      </w:pPr>
      <w:r w:rsidRPr="002E2CCE">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2E2CCE">
        <w:rPr>
          <w:rFonts w:ascii="Palatino Linotype" w:eastAsia="Calibri" w:hAnsi="Palatino Linotype"/>
          <w:i/>
        </w:rPr>
        <w:t>procedimiento de acceso a la información es la garantía primaria del derecho en cuestión.</w:t>
      </w:r>
      <w:r w:rsidRPr="002E2CCE">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E2CCE">
        <w:rPr>
          <w:rFonts w:ascii="Palatino Linotype" w:eastAsia="Calibri" w:hAnsi="Palatino Linotype"/>
          <w:i/>
        </w:rPr>
        <w:t>investigar, sancionar y reparar las violaciones a los derechos humanos.</w:t>
      </w:r>
    </w:p>
    <w:p w14:paraId="473B82AB" w14:textId="77777777" w:rsidR="00771878" w:rsidRPr="002E2CCE" w:rsidRDefault="00771878" w:rsidP="00771878">
      <w:pPr>
        <w:pStyle w:val="Prrafodelista"/>
        <w:autoSpaceDE w:val="0"/>
        <w:autoSpaceDN w:val="0"/>
        <w:adjustRightInd w:val="0"/>
        <w:spacing w:before="240" w:after="240" w:line="360" w:lineRule="auto"/>
        <w:ind w:left="0"/>
        <w:jc w:val="both"/>
        <w:rPr>
          <w:rFonts w:ascii="Palatino Linotype" w:hAnsi="Palatino Linotype" w:cs="Arial"/>
        </w:rPr>
      </w:pPr>
      <w:r w:rsidRPr="002E2CCE">
        <w:rPr>
          <w:rFonts w:ascii="Palatino Linotype" w:hAnsi="Palatino Linotype" w:cs="Arial"/>
        </w:rPr>
        <w:t xml:space="preserve">Por lo que, en cumplimiento a esta resolución, el sujeto obligado deberá dar atención a la solicitud de información, puesto que el silencio administrativo que hizo patente al </w:t>
      </w:r>
      <w:r w:rsidRPr="002E2CCE">
        <w:rPr>
          <w:rFonts w:ascii="Palatino Linotype" w:hAnsi="Palatino Linotype" w:cs="Arial"/>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14:paraId="5110BCA7" w14:textId="77777777" w:rsidR="00771878" w:rsidRPr="002E2CCE" w:rsidRDefault="00771878" w:rsidP="00771878">
      <w:pPr>
        <w:pStyle w:val="Prrafodelista"/>
        <w:autoSpaceDE w:val="0"/>
        <w:autoSpaceDN w:val="0"/>
        <w:adjustRightInd w:val="0"/>
        <w:spacing w:before="240" w:after="240" w:line="360" w:lineRule="auto"/>
        <w:ind w:left="0"/>
        <w:jc w:val="both"/>
        <w:rPr>
          <w:rFonts w:ascii="Palatino Linotype" w:hAnsi="Palatino Linotype" w:cs="Arial"/>
        </w:rPr>
      </w:pPr>
      <w:r w:rsidRPr="002E2CCE">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0A22270A" w14:textId="77777777" w:rsidR="00771878" w:rsidRPr="002E2CCE" w:rsidRDefault="00771878" w:rsidP="00771878">
      <w:pPr>
        <w:pStyle w:val="Prrafodelista"/>
        <w:autoSpaceDE w:val="0"/>
        <w:autoSpaceDN w:val="0"/>
        <w:adjustRightInd w:val="0"/>
        <w:spacing w:before="240" w:after="240" w:line="360" w:lineRule="auto"/>
        <w:ind w:left="0"/>
        <w:jc w:val="both"/>
        <w:rPr>
          <w:rFonts w:ascii="Palatino Linotype" w:hAnsi="Palatino Linotype" w:cs="Arial"/>
        </w:rPr>
      </w:pPr>
      <w:r w:rsidRPr="002E2CCE">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0E4E139B" w14:textId="6508EF03" w:rsidR="002516DC" w:rsidRPr="002F04C1" w:rsidRDefault="00771878" w:rsidP="002F04C1">
      <w:pPr>
        <w:spacing w:line="360" w:lineRule="auto"/>
        <w:contextualSpacing/>
        <w:jc w:val="both"/>
        <w:rPr>
          <w:rFonts w:ascii="Palatino Linotype" w:eastAsia="MS Mincho" w:hAnsi="Palatino Linotype"/>
          <w:sz w:val="24"/>
          <w:lang w:val="es-ES"/>
        </w:rPr>
      </w:pPr>
      <w:r w:rsidRPr="002E2CCE">
        <w:rPr>
          <w:rFonts w:ascii="Palatino Linotype" w:eastAsia="MS Mincho" w:hAnsi="Palatino Linotype"/>
          <w:sz w:val="24"/>
          <w:lang w:val="es-ES"/>
        </w:rPr>
        <w:t>Ahora bien, es menester recordar que el solicitante tuvo a bien requerir lo siguiente:</w:t>
      </w:r>
    </w:p>
    <w:p w14:paraId="747B9E79" w14:textId="77777777" w:rsidR="002516DC" w:rsidRDefault="002516DC" w:rsidP="002516DC">
      <w:pPr>
        <w:pStyle w:val="Prrafodelista"/>
        <w:numPr>
          <w:ilvl w:val="0"/>
          <w:numId w:val="33"/>
        </w:numPr>
        <w:spacing w:line="360" w:lineRule="auto"/>
        <w:contextualSpacing/>
        <w:jc w:val="both"/>
        <w:rPr>
          <w:rFonts w:ascii="Palatino Linotype" w:eastAsia="MS Mincho" w:hAnsi="Palatino Linotype"/>
        </w:rPr>
      </w:pPr>
      <w:r w:rsidRPr="002516DC">
        <w:rPr>
          <w:rFonts w:ascii="Palatino Linotype" w:eastAsia="MS Mincho" w:hAnsi="Palatino Linotype"/>
        </w:rPr>
        <w:lastRenderedPageBreak/>
        <w:t>Conocer Nombre, cargo y sueldo mensual de todo el personal que labora en el partido.</w:t>
      </w:r>
    </w:p>
    <w:p w14:paraId="462830DD" w14:textId="15040503" w:rsidR="00771878" w:rsidRPr="002E2CCE" w:rsidRDefault="002A44FD" w:rsidP="00771878">
      <w:pPr>
        <w:spacing w:before="240" w:after="240" w:line="360" w:lineRule="auto"/>
        <w:jc w:val="both"/>
        <w:rPr>
          <w:rFonts w:ascii="Palatino Linotype" w:hAnsi="Palatino Linotype"/>
          <w:sz w:val="24"/>
          <w:szCs w:val="24"/>
          <w:lang w:val="es-ES"/>
        </w:rPr>
      </w:pPr>
      <w:r>
        <w:rPr>
          <w:rFonts w:ascii="Palatino Linotype" w:hAnsi="Palatino Linotype"/>
          <w:sz w:val="24"/>
          <w:szCs w:val="24"/>
          <w:lang w:val="es-ES"/>
        </w:rPr>
        <w:t xml:space="preserve"> </w:t>
      </w:r>
      <w:r w:rsidR="00771878" w:rsidRPr="002E2CCE">
        <w:rPr>
          <w:rFonts w:ascii="Palatino Linotype" w:hAnsi="Palatino Linotype"/>
          <w:sz w:val="24"/>
          <w:szCs w:val="24"/>
          <w:lang w:val="es-ES"/>
        </w:rPr>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sidR="00771878" w:rsidRPr="002E2CCE">
        <w:rPr>
          <w:rStyle w:val="Refdenotaalpie"/>
          <w:rFonts w:ascii="Palatino Linotype" w:hAnsi="Palatino Linotype"/>
          <w:sz w:val="24"/>
          <w:szCs w:val="24"/>
          <w:lang w:val="es-ES"/>
        </w:rPr>
        <w:footnoteReference w:id="3"/>
      </w:r>
      <w:r w:rsidR="00771878" w:rsidRPr="002E2CCE">
        <w:rPr>
          <w:rFonts w:ascii="Palatino Linotype" w:hAnsi="Palatino Linotype"/>
          <w:sz w:val="24"/>
          <w:szCs w:val="24"/>
          <w:lang w:val="es-ES"/>
        </w:rPr>
        <w:t xml:space="preserve">, que toda la información generada, obtenida, adquirida, transformada, administrada o en posesión de los sujetos obligados será </w:t>
      </w:r>
      <w:r w:rsidR="007B3BBF" w:rsidRPr="002E2CCE">
        <w:rPr>
          <w:rFonts w:ascii="Palatino Linotype" w:hAnsi="Palatino Linotype"/>
          <w:sz w:val="24"/>
          <w:szCs w:val="24"/>
          <w:lang w:val="es-ES"/>
        </w:rPr>
        <w:t>pública</w:t>
      </w:r>
      <w:r w:rsidR="00771878" w:rsidRPr="002E2CCE">
        <w:rPr>
          <w:rFonts w:ascii="Palatino Linotype" w:hAnsi="Palatino Linotype"/>
          <w:sz w:val="24"/>
          <w:szCs w:val="24"/>
          <w:lang w:val="es-ES"/>
        </w:rPr>
        <w:t xml:space="preserve"> y accesible de manera permanente a todo el público, privilegiando en todo momento el principio de máxima publicidad que consagra nuestra carta magna.</w:t>
      </w:r>
    </w:p>
    <w:p w14:paraId="0EE776AA" w14:textId="77777777" w:rsidR="00771878" w:rsidRPr="002E2CCE" w:rsidRDefault="00771878" w:rsidP="00771878">
      <w:pPr>
        <w:spacing w:before="240" w:after="240" w:line="360" w:lineRule="auto"/>
        <w:jc w:val="both"/>
        <w:rPr>
          <w:rFonts w:ascii="Palatino Linotype" w:hAnsi="Palatino Linotype"/>
          <w:sz w:val="24"/>
          <w:szCs w:val="24"/>
          <w:lang w:val="es-ES"/>
        </w:rPr>
      </w:pPr>
      <w:r w:rsidRPr="002E2CCE">
        <w:rPr>
          <w:rFonts w:ascii="Palatino Linotype" w:hAnsi="Palatino Linotype"/>
          <w:sz w:val="24"/>
          <w:szCs w:val="24"/>
          <w:lang w:val="es-ES"/>
        </w:rPr>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14:paraId="60C00C35" w14:textId="77777777" w:rsidR="00771878" w:rsidRPr="002E2CCE" w:rsidRDefault="00771878" w:rsidP="00771878">
      <w:pPr>
        <w:spacing w:before="240" w:after="240" w:line="360" w:lineRule="auto"/>
        <w:ind w:left="708"/>
        <w:jc w:val="both"/>
        <w:rPr>
          <w:rFonts w:ascii="Palatino Linotype" w:hAnsi="Palatino Linotype"/>
          <w:i/>
          <w:lang w:val="es-ES"/>
        </w:rPr>
      </w:pPr>
      <w:r w:rsidRPr="002E2CCE">
        <w:rPr>
          <w:rFonts w:ascii="Palatino Linotype" w:hAnsi="Palatino Linotype"/>
          <w:i/>
          <w:sz w:val="24"/>
          <w:szCs w:val="24"/>
          <w:lang w:val="es-ES"/>
        </w:rPr>
        <w:lastRenderedPageBreak/>
        <w:t xml:space="preserve"> </w:t>
      </w:r>
      <w:r w:rsidRPr="002E2CCE">
        <w:rPr>
          <w:rFonts w:ascii="Palatino Linotype" w:hAnsi="Palatino Linotype"/>
          <w:i/>
          <w:lang w:val="es-ES"/>
        </w:rPr>
        <w:t xml:space="preserve">Artículo 12. Quienes generen, recopilen, administren, manejen, procesen, archiven o conserven información pública serán responsables de la misma en los términos de las disposiciones jurídicas aplicables. </w:t>
      </w:r>
    </w:p>
    <w:p w14:paraId="42A12CCA" w14:textId="77777777" w:rsidR="00771878" w:rsidRPr="002E2CCE" w:rsidRDefault="00771878" w:rsidP="00771878">
      <w:pPr>
        <w:spacing w:before="240" w:after="240" w:line="360" w:lineRule="auto"/>
        <w:ind w:left="708"/>
        <w:jc w:val="both"/>
        <w:rPr>
          <w:rFonts w:ascii="Palatino Linotype" w:hAnsi="Palatino Linotype"/>
          <w:i/>
          <w:lang w:val="es-ES"/>
        </w:rPr>
      </w:pPr>
      <w:r w:rsidRPr="002E2CCE">
        <w:rPr>
          <w:rFonts w:ascii="Palatino Linotype" w:hAnsi="Palatino Linotype"/>
          <w:i/>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008666A" w14:textId="77777777" w:rsidR="00771878" w:rsidRPr="002E2CCE" w:rsidRDefault="00771878" w:rsidP="00771878">
      <w:pPr>
        <w:spacing w:before="240" w:after="240" w:line="360" w:lineRule="auto"/>
        <w:jc w:val="both"/>
        <w:rPr>
          <w:rFonts w:ascii="Palatino Linotype" w:hAnsi="Palatino Linotype"/>
          <w:sz w:val="24"/>
          <w:szCs w:val="24"/>
          <w:lang w:val="es-ES"/>
        </w:rPr>
      </w:pPr>
      <w:r w:rsidRPr="002E2CCE">
        <w:rPr>
          <w:rFonts w:ascii="Palatino Linotype" w:hAnsi="Palatino Linotype"/>
          <w:sz w:val="24"/>
          <w:szCs w:val="24"/>
          <w:lang w:val="es-ES"/>
        </w:rPr>
        <w:t>Así pues, en primer lugar, es de mencionar que la información solicitada encuentra verificativo en el numeral 92 de nuestra Ley de Transparencia Local, siendo esta una obligación común de transparencia la cual se debe publicar de manera oficiosa y a la letra reza:</w:t>
      </w:r>
    </w:p>
    <w:p w14:paraId="5D4D8E7A" w14:textId="77777777" w:rsidR="00771878" w:rsidRPr="002E2CCE" w:rsidRDefault="00771878" w:rsidP="00771878">
      <w:pPr>
        <w:tabs>
          <w:tab w:val="left" w:pos="709"/>
        </w:tabs>
        <w:spacing w:line="360" w:lineRule="auto"/>
        <w:ind w:left="851" w:right="850"/>
        <w:jc w:val="both"/>
        <w:rPr>
          <w:rFonts w:ascii="Palatino Linotype" w:hAnsi="Palatino Linotype"/>
          <w:b/>
          <w:i/>
          <w:lang w:val="es-ES"/>
        </w:rPr>
      </w:pPr>
      <w:r w:rsidRPr="002E2CCE">
        <w:rPr>
          <w:rFonts w:ascii="Palatino Linotype" w:hAnsi="Palatino Linotype"/>
          <w:i/>
          <w:lang w:val="es-ES"/>
        </w:rPr>
        <w:t xml:space="preserve">Artículo 92. </w:t>
      </w:r>
      <w:r w:rsidRPr="002E2CCE">
        <w:rPr>
          <w:rFonts w:ascii="Palatino Linotype" w:hAnsi="Palatino Linotype"/>
          <w:b/>
          <w:i/>
          <w:lang w:val="es-ES"/>
        </w:rPr>
        <w:t xml:space="preserve">Los sujetos obligados deberán poner a disposición del público de manera permanente y actualizada </w:t>
      </w:r>
      <w:r w:rsidRPr="002E2CCE">
        <w:rPr>
          <w:rFonts w:ascii="Palatino Linotype" w:hAnsi="Palatino Linotype"/>
          <w:i/>
          <w:lang w:val="es-ES"/>
        </w:rPr>
        <w:t xml:space="preserve">de forma sencilla, precisa y entendible, en los respectivos medios electrónicos, de acuerdo con sus facultades, atribuciones, funciones u objeto social, según corresponda, la información, </w:t>
      </w:r>
      <w:r w:rsidRPr="002E2CCE">
        <w:rPr>
          <w:rFonts w:ascii="Palatino Linotype" w:hAnsi="Palatino Linotype"/>
          <w:b/>
          <w:i/>
          <w:lang w:val="es-ES"/>
        </w:rPr>
        <w:t xml:space="preserve">por lo menos, de los temas, documentos y políticas que a continuación se señalan: </w:t>
      </w:r>
    </w:p>
    <w:p w14:paraId="325C0ED9" w14:textId="68DD8107" w:rsidR="00183558" w:rsidRPr="00183558" w:rsidRDefault="00183558" w:rsidP="00183558">
      <w:pPr>
        <w:spacing w:before="240" w:after="240" w:line="360" w:lineRule="auto"/>
        <w:ind w:left="851" w:right="992"/>
        <w:jc w:val="both"/>
        <w:rPr>
          <w:rFonts w:ascii="Palatino Linotype" w:hAnsi="Palatino Linotype"/>
          <w:i/>
          <w:lang w:val="es-ES"/>
        </w:rPr>
      </w:pPr>
      <w:r w:rsidRPr="00183558">
        <w:rPr>
          <w:rFonts w:ascii="Palatino Linotype" w:hAnsi="Palatino Linotype"/>
          <w:b/>
          <w:i/>
          <w:lang w:val="es-ES"/>
        </w:rPr>
        <w:t>VII.</w:t>
      </w:r>
      <w:r w:rsidRPr="00183558">
        <w:rPr>
          <w:rFonts w:ascii="Palatino Linotype" w:hAnsi="Palatino Linotype"/>
          <w:i/>
          <w:lang w:val="es-ES"/>
        </w:rPr>
        <w:t xml:space="preserve"> El directorio de todos los servidores </w:t>
      </w:r>
      <w:r>
        <w:rPr>
          <w:rFonts w:ascii="Palatino Linotype" w:hAnsi="Palatino Linotype"/>
          <w:i/>
          <w:lang w:val="es-ES"/>
        </w:rPr>
        <w:t xml:space="preserve">públicos, a partir del nivel de </w:t>
      </w:r>
      <w:r w:rsidRPr="00183558">
        <w:rPr>
          <w:rFonts w:ascii="Palatino Linotype" w:hAnsi="Palatino Linotype"/>
          <w:i/>
          <w:lang w:val="es-ES"/>
        </w:rPr>
        <w:t>jefe de departamento o su equivale</w:t>
      </w:r>
      <w:r>
        <w:rPr>
          <w:rFonts w:ascii="Palatino Linotype" w:hAnsi="Palatino Linotype"/>
          <w:i/>
          <w:lang w:val="es-ES"/>
        </w:rPr>
        <w:t xml:space="preserve">nte o de menor nivel, cuando se </w:t>
      </w:r>
      <w:r w:rsidRPr="00183558">
        <w:rPr>
          <w:rFonts w:ascii="Palatino Linotype" w:hAnsi="Palatino Linotype"/>
          <w:i/>
          <w:lang w:val="es-ES"/>
        </w:rPr>
        <w:t>brinde atención al público, maneje</w:t>
      </w:r>
      <w:r>
        <w:rPr>
          <w:rFonts w:ascii="Palatino Linotype" w:hAnsi="Palatino Linotype"/>
          <w:i/>
          <w:lang w:val="es-ES"/>
        </w:rPr>
        <w:t xml:space="preserve">n o apliquen recursos públicos, </w:t>
      </w:r>
      <w:r w:rsidRPr="00183558">
        <w:rPr>
          <w:rFonts w:ascii="Palatino Linotype" w:hAnsi="Palatino Linotype"/>
          <w:i/>
          <w:lang w:val="es-ES"/>
        </w:rPr>
        <w:t>realicen actos de autoridad o prest</w:t>
      </w:r>
      <w:r>
        <w:rPr>
          <w:rFonts w:ascii="Palatino Linotype" w:hAnsi="Palatino Linotype"/>
          <w:i/>
          <w:lang w:val="es-ES"/>
        </w:rPr>
        <w:t xml:space="preserve">en servicios profesionales bajo </w:t>
      </w:r>
      <w:r w:rsidRPr="00183558">
        <w:rPr>
          <w:rFonts w:ascii="Palatino Linotype" w:hAnsi="Palatino Linotype"/>
          <w:i/>
          <w:lang w:val="es-ES"/>
        </w:rPr>
        <w:t>el régimen de confianza u honorarios y personal de base.</w:t>
      </w:r>
    </w:p>
    <w:p w14:paraId="6DF8F6EE" w14:textId="6D09D5D9" w:rsidR="00183558" w:rsidRPr="00183558" w:rsidRDefault="00183558" w:rsidP="00183558">
      <w:pPr>
        <w:spacing w:before="240" w:after="240" w:line="360" w:lineRule="auto"/>
        <w:ind w:left="851" w:right="992"/>
        <w:jc w:val="both"/>
        <w:rPr>
          <w:rFonts w:ascii="Palatino Linotype" w:hAnsi="Palatino Linotype"/>
          <w:i/>
          <w:lang w:val="es-ES"/>
        </w:rPr>
      </w:pPr>
      <w:r w:rsidRPr="00183558">
        <w:rPr>
          <w:rFonts w:ascii="Palatino Linotype" w:hAnsi="Palatino Linotype"/>
          <w:b/>
          <w:i/>
          <w:lang w:val="es-ES"/>
        </w:rPr>
        <w:t>El directorio deberá incluir</w:t>
      </w:r>
      <w:r w:rsidRPr="00183558">
        <w:rPr>
          <w:rFonts w:ascii="Palatino Linotype" w:hAnsi="Palatino Linotype"/>
          <w:i/>
          <w:lang w:val="es-ES"/>
        </w:rPr>
        <w:t xml:space="preserve">, al menos </w:t>
      </w:r>
      <w:r w:rsidRPr="00183558">
        <w:rPr>
          <w:rFonts w:ascii="Palatino Linotype" w:hAnsi="Palatino Linotype"/>
          <w:b/>
          <w:i/>
          <w:lang w:val="es-ES"/>
        </w:rPr>
        <w:t>el nombre, cargo</w:t>
      </w:r>
      <w:r w:rsidRPr="00183558">
        <w:rPr>
          <w:rFonts w:ascii="Palatino Linotype" w:hAnsi="Palatino Linotype"/>
          <w:i/>
          <w:lang w:val="es-ES"/>
        </w:rPr>
        <w:t xml:space="preserve"> o nombramiento</w:t>
      </w:r>
      <w:r>
        <w:rPr>
          <w:rFonts w:ascii="Palatino Linotype" w:hAnsi="Palatino Linotype"/>
          <w:i/>
          <w:lang w:val="es-ES"/>
        </w:rPr>
        <w:t xml:space="preserve"> </w:t>
      </w:r>
      <w:r w:rsidRPr="00183558">
        <w:rPr>
          <w:rFonts w:ascii="Palatino Linotype" w:hAnsi="Palatino Linotype"/>
          <w:i/>
          <w:lang w:val="es-ES"/>
        </w:rPr>
        <w:t xml:space="preserve">oficial asignado, nivel del puesto en la estructura orgánica, fecha </w:t>
      </w:r>
      <w:r>
        <w:rPr>
          <w:rFonts w:ascii="Palatino Linotype" w:hAnsi="Palatino Linotype"/>
          <w:i/>
          <w:lang w:val="es-ES"/>
        </w:rPr>
        <w:t xml:space="preserve">de alta </w:t>
      </w:r>
      <w:r w:rsidRPr="00183558">
        <w:rPr>
          <w:rFonts w:ascii="Palatino Linotype" w:hAnsi="Palatino Linotype"/>
          <w:i/>
          <w:lang w:val="es-ES"/>
        </w:rPr>
        <w:t>en el cargo, número telefónico, domicilio</w:t>
      </w:r>
      <w:r>
        <w:rPr>
          <w:rFonts w:ascii="Palatino Linotype" w:hAnsi="Palatino Linotype"/>
          <w:i/>
          <w:lang w:val="es-ES"/>
        </w:rPr>
        <w:t xml:space="preserve"> para recibir correspondencia y </w:t>
      </w:r>
      <w:r w:rsidRPr="00183558">
        <w:rPr>
          <w:rFonts w:ascii="Palatino Linotype" w:hAnsi="Palatino Linotype"/>
          <w:i/>
          <w:lang w:val="es-ES"/>
        </w:rPr>
        <w:t xml:space="preserve">dirección de correo electrónico </w:t>
      </w:r>
      <w:r w:rsidRPr="00183558">
        <w:rPr>
          <w:rFonts w:ascii="Palatino Linotype" w:hAnsi="Palatino Linotype"/>
          <w:i/>
          <w:lang w:val="es-ES"/>
        </w:rPr>
        <w:lastRenderedPageBreak/>
        <w:t>oficiales,</w:t>
      </w:r>
      <w:r>
        <w:rPr>
          <w:rFonts w:ascii="Palatino Linotype" w:hAnsi="Palatino Linotype"/>
          <w:i/>
          <w:lang w:val="es-ES"/>
        </w:rPr>
        <w:t xml:space="preserve"> datos que deberán señalarse de </w:t>
      </w:r>
      <w:r w:rsidRPr="00183558">
        <w:rPr>
          <w:rFonts w:ascii="Palatino Linotype" w:hAnsi="Palatino Linotype"/>
          <w:i/>
          <w:lang w:val="es-ES"/>
        </w:rPr>
        <w:t>forma independiente por dependencia y</w:t>
      </w:r>
      <w:r>
        <w:rPr>
          <w:rFonts w:ascii="Palatino Linotype" w:hAnsi="Palatino Linotype"/>
          <w:i/>
          <w:lang w:val="es-ES"/>
        </w:rPr>
        <w:t xml:space="preserve"> entidad pública de cada sujeto </w:t>
      </w:r>
      <w:r w:rsidRPr="00183558">
        <w:rPr>
          <w:rFonts w:ascii="Palatino Linotype" w:hAnsi="Palatino Linotype"/>
          <w:i/>
          <w:lang w:val="es-ES"/>
        </w:rPr>
        <w:t xml:space="preserve">obligado; </w:t>
      </w:r>
    </w:p>
    <w:p w14:paraId="1E6DDCC4" w14:textId="1BFF4FFB" w:rsidR="00183558" w:rsidRPr="00FE22BC" w:rsidRDefault="00183558" w:rsidP="00FE22BC">
      <w:pPr>
        <w:spacing w:before="240" w:after="240" w:line="360" w:lineRule="auto"/>
        <w:ind w:left="851" w:right="992"/>
        <w:jc w:val="both"/>
        <w:rPr>
          <w:rFonts w:ascii="Palatino Linotype" w:hAnsi="Palatino Linotype"/>
          <w:b/>
          <w:i/>
          <w:lang w:val="es-ES"/>
        </w:rPr>
      </w:pPr>
      <w:r w:rsidRPr="00183558">
        <w:rPr>
          <w:rFonts w:ascii="Palatino Linotype" w:hAnsi="Palatino Linotype"/>
          <w:b/>
          <w:i/>
          <w:lang w:val="es-ES"/>
        </w:rPr>
        <w:t xml:space="preserve">VIII. </w:t>
      </w:r>
      <w:r w:rsidRPr="00183558">
        <w:rPr>
          <w:rFonts w:ascii="Palatino Linotype" w:hAnsi="Palatino Linotype"/>
          <w:i/>
          <w:lang w:val="es-ES"/>
        </w:rPr>
        <w:t>La remuneración bruta y neta de t</w:t>
      </w:r>
      <w:r>
        <w:rPr>
          <w:rFonts w:ascii="Palatino Linotype" w:hAnsi="Palatino Linotype"/>
          <w:i/>
          <w:lang w:val="es-ES"/>
        </w:rPr>
        <w:t xml:space="preserve">odos los servidores públicos de </w:t>
      </w:r>
      <w:r w:rsidRPr="00183558">
        <w:rPr>
          <w:rFonts w:ascii="Palatino Linotype" w:hAnsi="Palatino Linotype"/>
          <w:i/>
          <w:lang w:val="es-ES"/>
        </w:rPr>
        <w:t>base o de confianza, de todas las pe</w:t>
      </w:r>
      <w:r>
        <w:rPr>
          <w:rFonts w:ascii="Palatino Linotype" w:hAnsi="Palatino Linotype"/>
          <w:i/>
          <w:lang w:val="es-ES"/>
        </w:rPr>
        <w:t xml:space="preserve">rcepciones, incluyendo sueldos, </w:t>
      </w:r>
      <w:r w:rsidRPr="00183558">
        <w:rPr>
          <w:rFonts w:ascii="Palatino Linotype" w:hAnsi="Palatino Linotype"/>
          <w:i/>
          <w:lang w:val="es-ES"/>
        </w:rPr>
        <w:t>prestaciones, gratificaciones, pri</w:t>
      </w:r>
      <w:r>
        <w:rPr>
          <w:rFonts w:ascii="Palatino Linotype" w:hAnsi="Palatino Linotype"/>
          <w:i/>
          <w:lang w:val="es-ES"/>
        </w:rPr>
        <w:t xml:space="preserve">mas, comisiones, dietas, bonos, </w:t>
      </w:r>
      <w:r w:rsidRPr="00183558">
        <w:rPr>
          <w:rFonts w:ascii="Palatino Linotype" w:hAnsi="Palatino Linotype"/>
          <w:i/>
          <w:lang w:val="es-ES"/>
        </w:rPr>
        <w:t>estímulos, ingresos y sistema</w:t>
      </w:r>
      <w:r>
        <w:rPr>
          <w:rFonts w:ascii="Palatino Linotype" w:hAnsi="Palatino Linotype"/>
          <w:i/>
          <w:lang w:val="es-ES"/>
        </w:rPr>
        <w:t xml:space="preserve">s de compensación, señalando la </w:t>
      </w:r>
      <w:r w:rsidRPr="00183558">
        <w:rPr>
          <w:rFonts w:ascii="Palatino Linotype" w:hAnsi="Palatino Linotype"/>
          <w:i/>
          <w:lang w:val="es-ES"/>
        </w:rPr>
        <w:t>periodicidad de dicha remuneración</w:t>
      </w:r>
      <w:r w:rsidRPr="00183558">
        <w:rPr>
          <w:rFonts w:ascii="Palatino Linotype" w:hAnsi="Palatino Linotype"/>
          <w:b/>
          <w:i/>
          <w:lang w:val="es-ES"/>
        </w:rPr>
        <w:t>;</w:t>
      </w:r>
    </w:p>
    <w:p w14:paraId="15795C3F" w14:textId="77777777" w:rsidR="00183558" w:rsidRDefault="00183558" w:rsidP="00771878">
      <w:pPr>
        <w:spacing w:before="240" w:after="240" w:line="360" w:lineRule="auto"/>
        <w:jc w:val="both"/>
        <w:rPr>
          <w:rFonts w:ascii="Palatino Linotype" w:eastAsia="MS Mincho" w:hAnsi="Palatino Linotype"/>
          <w:sz w:val="24"/>
          <w:lang w:val="es-ES"/>
        </w:rPr>
      </w:pPr>
      <w:r>
        <w:rPr>
          <w:rFonts w:ascii="Palatino Linotype" w:eastAsia="MS Mincho" w:hAnsi="Palatino Linotype"/>
          <w:sz w:val="24"/>
          <w:lang w:val="es-ES"/>
        </w:rPr>
        <w:t>Así pues, tenemos que los Partidos Políticos expedirán el directorio de todos los servidores públicos, el cual deberá incluir el nombre, cargo o nombramiento oficial asignado; así como la remuneración bruta y neta de los servidores públicos.</w:t>
      </w:r>
    </w:p>
    <w:p w14:paraId="59DF992F" w14:textId="4614DFC3" w:rsidR="00771878" w:rsidRPr="00183558" w:rsidRDefault="00771878" w:rsidP="00183558">
      <w:pPr>
        <w:spacing w:before="240" w:after="240" w:line="360" w:lineRule="auto"/>
        <w:jc w:val="both"/>
        <w:rPr>
          <w:rFonts w:ascii="Palatino Linotype" w:eastAsia="MS Mincho" w:hAnsi="Palatino Linotype"/>
          <w:sz w:val="24"/>
          <w:lang w:val="es-ES"/>
        </w:rPr>
      </w:pPr>
      <w:r w:rsidRPr="002E2CCE">
        <w:rPr>
          <w:rFonts w:ascii="Palatino Linotype" w:eastAsia="MS Mincho" w:hAnsi="Palatino Linotype"/>
          <w:sz w:val="24"/>
          <w:lang w:val="es-ES"/>
        </w:rPr>
        <w:t xml:space="preserve">De todo lo anterior, el sujeto obligado al ser omiso en responder la solicitud de información, deberá entregar al particular </w:t>
      </w:r>
      <w:proofErr w:type="gramStart"/>
      <w:r w:rsidRPr="002E2CCE">
        <w:rPr>
          <w:rFonts w:ascii="Palatino Linotype" w:eastAsia="MS Mincho" w:hAnsi="Palatino Linotype"/>
          <w:sz w:val="24"/>
          <w:lang w:val="es-ES"/>
        </w:rPr>
        <w:t>l</w:t>
      </w:r>
      <w:r w:rsidR="00183558">
        <w:rPr>
          <w:rFonts w:ascii="Palatino Linotype" w:eastAsia="MS Mincho" w:hAnsi="Palatino Linotype"/>
          <w:sz w:val="24"/>
          <w:lang w:val="es-ES"/>
        </w:rPr>
        <w:t>os nombre</w:t>
      </w:r>
      <w:proofErr w:type="gramEnd"/>
      <w:r w:rsidR="00183558">
        <w:rPr>
          <w:rFonts w:ascii="Palatino Linotype" w:eastAsia="MS Mincho" w:hAnsi="Palatino Linotype"/>
          <w:sz w:val="24"/>
          <w:lang w:val="es-ES"/>
        </w:rPr>
        <w:t>, cargo y sueldo mensual de todo el personal que labora en el partido.</w:t>
      </w:r>
    </w:p>
    <w:p w14:paraId="31559137" w14:textId="77777777" w:rsidR="00771878" w:rsidRPr="002E2CCE" w:rsidRDefault="00771878" w:rsidP="00771878">
      <w:pPr>
        <w:spacing w:before="240" w:line="360" w:lineRule="auto"/>
        <w:jc w:val="both"/>
        <w:rPr>
          <w:rFonts w:ascii="Palatino Linotype" w:hAnsi="Palatino Linotype"/>
          <w:sz w:val="24"/>
          <w:szCs w:val="24"/>
          <w:lang w:val="es-ES" w:eastAsia="es-ES"/>
        </w:rPr>
      </w:pPr>
      <w:r w:rsidRPr="002E2CCE">
        <w:rPr>
          <w:rFonts w:ascii="Palatino Linotype" w:hAnsi="Palatino Linotype"/>
          <w:sz w:val="24"/>
          <w:szCs w:val="24"/>
          <w:lang w:val="es-ES" w:eastAsia="es-ES"/>
        </w:rPr>
        <w:t>Luego entonces, es importante dejar en claro lo que debe entenderse por derecho de petición y por derecho de acceso a la información pública.</w:t>
      </w:r>
    </w:p>
    <w:p w14:paraId="3AB0B622" w14:textId="77777777" w:rsidR="00771878" w:rsidRPr="002E2CCE" w:rsidRDefault="00771878" w:rsidP="00771878">
      <w:pPr>
        <w:spacing w:before="240" w:line="360" w:lineRule="auto"/>
        <w:jc w:val="both"/>
        <w:rPr>
          <w:rFonts w:ascii="Palatino Linotype" w:hAnsi="Palatino Linotype"/>
          <w:i/>
          <w:sz w:val="24"/>
          <w:szCs w:val="24"/>
          <w:lang w:val="es-ES" w:eastAsia="es-ES"/>
        </w:rPr>
      </w:pPr>
      <w:r w:rsidRPr="002E2CCE">
        <w:rPr>
          <w:rFonts w:ascii="Palatino Linotype" w:hAnsi="Palatino Linotype"/>
          <w:sz w:val="24"/>
          <w:szCs w:val="24"/>
          <w:lang w:val="es-ES" w:eastAsia="es-ES"/>
        </w:rPr>
        <w:t>Por lo que respecta a la definición de derecho de petición, el Maestro Ignacio Burgoa Orihuela refiere: “…</w:t>
      </w:r>
      <w:r w:rsidRPr="002E2CCE">
        <w:rPr>
          <w:rFonts w:ascii="Palatino Linotype" w:hAnsi="Palatino Linotype"/>
          <w:i/>
          <w:sz w:val="24"/>
          <w:szCs w:val="24"/>
          <w:lang w:val="es-ES"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2E2CCE">
        <w:rPr>
          <w:rFonts w:ascii="Palatino Linotype" w:hAnsi="Palatino Linotype"/>
          <w:i/>
          <w:sz w:val="24"/>
          <w:szCs w:val="24"/>
          <w:vertAlign w:val="superscript"/>
          <w:lang w:val="es-ES" w:eastAsia="es-ES"/>
        </w:rPr>
        <w:footnoteReference w:id="4"/>
      </w:r>
      <w:r w:rsidRPr="002E2CCE">
        <w:rPr>
          <w:rFonts w:ascii="Palatino Linotype" w:hAnsi="Palatino Linotype"/>
          <w:i/>
          <w:sz w:val="24"/>
          <w:szCs w:val="24"/>
          <w:lang w:val="es-ES" w:eastAsia="es-ES"/>
        </w:rPr>
        <w:t xml:space="preserve">  </w:t>
      </w:r>
      <w:proofErr w:type="gramStart"/>
      <w:r w:rsidRPr="002E2CCE">
        <w:rPr>
          <w:rFonts w:ascii="Palatino Linotype" w:hAnsi="Palatino Linotype"/>
          <w:i/>
          <w:sz w:val="24"/>
          <w:szCs w:val="24"/>
          <w:lang w:val="es-ES" w:eastAsia="es-ES"/>
        </w:rPr>
        <w:t>“ (</w:t>
      </w:r>
      <w:proofErr w:type="gramEnd"/>
      <w:r w:rsidRPr="002E2CCE">
        <w:rPr>
          <w:rFonts w:ascii="Palatino Linotype" w:hAnsi="Palatino Linotype"/>
          <w:i/>
          <w:sz w:val="24"/>
          <w:szCs w:val="24"/>
          <w:lang w:val="es-ES" w:eastAsia="es-ES"/>
        </w:rPr>
        <w:t>Sic)</w:t>
      </w:r>
    </w:p>
    <w:p w14:paraId="2848174F" w14:textId="77777777" w:rsidR="00771878" w:rsidRPr="002E2CCE" w:rsidRDefault="00771878" w:rsidP="00771878">
      <w:pPr>
        <w:spacing w:before="240" w:line="360" w:lineRule="auto"/>
        <w:jc w:val="both"/>
        <w:rPr>
          <w:rFonts w:ascii="Palatino Linotype" w:hAnsi="Palatino Linotype"/>
          <w:sz w:val="24"/>
          <w:szCs w:val="24"/>
          <w:lang w:val="es-ES" w:eastAsia="es-ES"/>
        </w:rPr>
      </w:pPr>
      <w:r w:rsidRPr="002E2CCE">
        <w:rPr>
          <w:rFonts w:ascii="Palatino Linotype" w:hAnsi="Palatino Linotype"/>
          <w:sz w:val="24"/>
          <w:szCs w:val="24"/>
          <w:lang w:val="es-ES" w:eastAsia="es-ES"/>
        </w:rPr>
        <w:lastRenderedPageBreak/>
        <w:t xml:space="preserve">Por su parte, David Cienfuegos Salgado, concibe al derecho de petición como </w:t>
      </w:r>
      <w:r w:rsidRPr="002E2CCE">
        <w:rPr>
          <w:rFonts w:ascii="Palatino Linotype" w:hAnsi="Palatino Linotype"/>
          <w:i/>
          <w:sz w:val="24"/>
          <w:szCs w:val="24"/>
          <w:lang w:val="es-ES" w:eastAsia="es-ES"/>
        </w:rPr>
        <w:t>“el derecho de toda persona a ser escuchado por quienes ejercen el poder público</w:t>
      </w:r>
      <w:proofErr w:type="gramStart"/>
      <w:r w:rsidRPr="002E2CCE">
        <w:rPr>
          <w:rFonts w:ascii="Palatino Linotype" w:hAnsi="Palatino Linotype"/>
          <w:i/>
          <w:sz w:val="24"/>
          <w:szCs w:val="24"/>
          <w:lang w:val="es-ES" w:eastAsia="es-ES"/>
        </w:rPr>
        <w:t xml:space="preserve">. </w:t>
      </w:r>
      <w:proofErr w:type="gramEnd"/>
      <w:r w:rsidRPr="002E2CCE">
        <w:rPr>
          <w:rFonts w:ascii="Palatino Linotype" w:hAnsi="Palatino Linotype"/>
          <w:i/>
          <w:sz w:val="24"/>
          <w:szCs w:val="24"/>
          <w:vertAlign w:val="superscript"/>
          <w:lang w:val="es-ES" w:eastAsia="es-ES"/>
        </w:rPr>
        <w:footnoteReference w:id="5"/>
      </w:r>
      <w:r w:rsidRPr="002E2CCE">
        <w:rPr>
          <w:rFonts w:ascii="Palatino Linotype" w:hAnsi="Palatino Linotype"/>
          <w:i/>
          <w:sz w:val="24"/>
          <w:szCs w:val="24"/>
          <w:lang w:val="es-ES" w:eastAsia="es-ES"/>
        </w:rPr>
        <w:t>” (Sic)</w:t>
      </w:r>
      <w:r w:rsidRPr="002E2CCE">
        <w:rPr>
          <w:rFonts w:ascii="Palatino Linotype" w:hAnsi="Palatino Linotype"/>
          <w:sz w:val="24"/>
          <w:szCs w:val="24"/>
          <w:lang w:val="es-ES" w:eastAsia="es-ES"/>
        </w:rPr>
        <w:t xml:space="preserve"> </w:t>
      </w:r>
    </w:p>
    <w:p w14:paraId="70B30D2F" w14:textId="77777777" w:rsidR="00771878" w:rsidRPr="002E2CCE" w:rsidRDefault="00771878" w:rsidP="00771878">
      <w:pPr>
        <w:spacing w:before="240" w:line="360" w:lineRule="auto"/>
        <w:jc w:val="both"/>
        <w:rPr>
          <w:rFonts w:ascii="Palatino Linotype" w:hAnsi="Palatino Linotype"/>
          <w:i/>
          <w:sz w:val="24"/>
          <w:szCs w:val="24"/>
          <w:lang w:val="es-ES" w:eastAsia="es-ES"/>
        </w:rPr>
      </w:pPr>
      <w:r w:rsidRPr="002E2CCE">
        <w:rPr>
          <w:rFonts w:ascii="Palatino Linotype" w:hAnsi="Palatino Linotype"/>
          <w:sz w:val="24"/>
          <w:szCs w:val="24"/>
          <w:lang w:val="es-ES" w:eastAsia="es-ES"/>
        </w:rPr>
        <w:t xml:space="preserve">A este respecto, y para diferenciar el derecho de petición al derecho de acceso a la información, resulta conducente señalar que José Guadalupe Robles, conceptualiza el derecho a la información como </w:t>
      </w:r>
      <w:r w:rsidRPr="002E2CCE">
        <w:rPr>
          <w:rFonts w:ascii="Palatino Linotype" w:hAnsi="Palatino Linotype"/>
          <w:i/>
          <w:sz w:val="24"/>
          <w:szCs w:val="24"/>
          <w:lang w:val="es-ES" w:eastAsia="es-ES"/>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2E2CCE">
        <w:rPr>
          <w:rFonts w:ascii="Palatino Linotype" w:hAnsi="Palatino Linotype"/>
          <w:i/>
          <w:sz w:val="24"/>
          <w:szCs w:val="24"/>
          <w:vertAlign w:val="superscript"/>
          <w:lang w:val="es-ES" w:eastAsia="es-ES"/>
        </w:rPr>
        <w:footnoteReference w:id="6"/>
      </w:r>
      <w:r w:rsidRPr="002E2CCE">
        <w:rPr>
          <w:rFonts w:ascii="Palatino Linotype" w:hAnsi="Palatino Linotype"/>
          <w:i/>
          <w:sz w:val="24"/>
          <w:szCs w:val="24"/>
          <w:lang w:val="es-ES" w:eastAsia="es-ES"/>
        </w:rPr>
        <w:t xml:space="preserve">“(Sic) </w:t>
      </w:r>
    </w:p>
    <w:p w14:paraId="200DBBF6" w14:textId="77777777" w:rsidR="00771878" w:rsidRPr="002E2CCE" w:rsidRDefault="00771878" w:rsidP="00771878">
      <w:pPr>
        <w:spacing w:before="240" w:line="360" w:lineRule="auto"/>
        <w:jc w:val="both"/>
        <w:rPr>
          <w:rFonts w:ascii="Palatino Linotype" w:hAnsi="Palatino Linotype"/>
          <w:i/>
          <w:sz w:val="24"/>
          <w:szCs w:val="24"/>
          <w:lang w:val="es-ES"/>
        </w:rPr>
      </w:pPr>
      <w:r w:rsidRPr="002E2CCE">
        <w:rPr>
          <w:rFonts w:ascii="Palatino Linotype" w:hAnsi="Palatino Linotype"/>
          <w:sz w:val="24"/>
          <w:szCs w:val="24"/>
          <w:lang w:val="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2E2CCE">
        <w:rPr>
          <w:rFonts w:ascii="Palatino Linotype" w:hAnsi="Palatino Linotype"/>
          <w:sz w:val="24"/>
          <w:szCs w:val="24"/>
          <w:lang w:val="es-ES"/>
        </w:rPr>
        <w:t>Villanueva</w:t>
      </w:r>
      <w:proofErr w:type="spellEnd"/>
      <w:r w:rsidRPr="002E2CCE">
        <w:rPr>
          <w:rFonts w:ascii="Palatino Linotype" w:hAnsi="Palatino Linotype"/>
          <w:sz w:val="24"/>
          <w:szCs w:val="24"/>
          <w:lang w:val="es-ES"/>
        </w:rPr>
        <w:t xml:space="preserve"> que dice: </w:t>
      </w:r>
      <w:r w:rsidRPr="002E2CCE">
        <w:rPr>
          <w:rFonts w:ascii="Palatino Linotype" w:hAnsi="Palatino Linotype"/>
          <w:i/>
          <w:sz w:val="24"/>
          <w:szCs w:val="24"/>
          <w:lang w:val="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2E2CCE">
        <w:rPr>
          <w:rFonts w:ascii="Palatino Linotype" w:hAnsi="Palatino Linotype"/>
          <w:i/>
          <w:sz w:val="24"/>
          <w:szCs w:val="24"/>
          <w:vertAlign w:val="superscript"/>
          <w:lang w:val="es-ES"/>
        </w:rPr>
        <w:footnoteReference w:id="7"/>
      </w:r>
      <w:r w:rsidRPr="002E2CCE">
        <w:rPr>
          <w:rFonts w:ascii="Palatino Linotype" w:hAnsi="Palatino Linotype"/>
          <w:i/>
          <w:sz w:val="24"/>
          <w:szCs w:val="24"/>
          <w:lang w:val="es-ES"/>
        </w:rPr>
        <w:t>” (Sic)</w:t>
      </w:r>
    </w:p>
    <w:p w14:paraId="49F097D2" w14:textId="77777777" w:rsidR="00771878" w:rsidRPr="002E2CCE" w:rsidRDefault="00771878" w:rsidP="00771878">
      <w:pPr>
        <w:spacing w:before="240" w:line="360" w:lineRule="auto"/>
        <w:jc w:val="both"/>
        <w:rPr>
          <w:rFonts w:cs="Arial"/>
          <w:lang w:val="es-ES"/>
        </w:rPr>
      </w:pPr>
      <w:r w:rsidRPr="002E2CCE">
        <w:rPr>
          <w:rFonts w:ascii="Palatino Linotype" w:hAnsi="Palatino Linotype" w:cs="Arial"/>
          <w:sz w:val="24"/>
          <w:szCs w:val="24"/>
          <w:lang w:val="es-ES"/>
        </w:rPr>
        <w:t xml:space="preserve">Ahora bien, para entender los alcances de la información pública se considera importante citar el criterio </w:t>
      </w:r>
      <w:r w:rsidRPr="002E2CCE">
        <w:rPr>
          <w:rFonts w:ascii="Palatino Linotype" w:hAnsi="Palatino Linotype" w:cs="Arial"/>
          <w:bCs/>
          <w:sz w:val="24"/>
          <w:szCs w:val="24"/>
          <w:lang w:val="es-ES" w:eastAsia="es-MX"/>
        </w:rPr>
        <w:t xml:space="preserve">de interpretación en el orden administrativo número 0002-11, emitido por Acuerdo del Pleno de este Instituto de Transparencia y Acceso a la </w:t>
      </w:r>
      <w:r w:rsidRPr="002E2CCE">
        <w:rPr>
          <w:rFonts w:ascii="Palatino Linotype" w:hAnsi="Palatino Linotype" w:cs="Arial"/>
          <w:bCs/>
          <w:sz w:val="24"/>
          <w:szCs w:val="24"/>
          <w:lang w:val="es-ES" w:eastAsia="es-MX"/>
        </w:rPr>
        <w:lastRenderedPageBreak/>
        <w:t>Información Pública del Estado de México y Municipios, publicado en el Periódico Oficial del Gobierno del Estado Libre y Soberano de México “Gaceta del</w:t>
      </w:r>
      <w:r w:rsidRPr="002E2CCE">
        <w:rPr>
          <w:rFonts w:cs="Arial"/>
          <w:bCs/>
          <w:sz w:val="24"/>
          <w:szCs w:val="24"/>
          <w:lang w:val="es-ES" w:eastAsia="es-MX"/>
        </w:rPr>
        <w:t xml:space="preserve"> </w:t>
      </w:r>
      <w:r w:rsidRPr="002E2CCE">
        <w:rPr>
          <w:rFonts w:cs="Arial"/>
          <w:bCs/>
          <w:lang w:val="es-ES" w:eastAsia="es-MX"/>
        </w:rPr>
        <w:t xml:space="preserve">Gobierno” el diecinueve de octubre de dos mil once, </w:t>
      </w:r>
      <w:r w:rsidRPr="002E2CCE">
        <w:rPr>
          <w:rFonts w:cs="Arial"/>
          <w:lang w:val="es-ES"/>
        </w:rPr>
        <w:t>cuyo rubro y texto dispone:</w:t>
      </w:r>
    </w:p>
    <w:p w14:paraId="2DFD29C2" w14:textId="77777777" w:rsidR="00771878" w:rsidRPr="002E2CCE" w:rsidRDefault="00771878" w:rsidP="00771878">
      <w:pPr>
        <w:autoSpaceDE w:val="0"/>
        <w:autoSpaceDN w:val="0"/>
        <w:adjustRightInd w:val="0"/>
        <w:spacing w:before="240" w:line="276" w:lineRule="auto"/>
        <w:ind w:left="567" w:right="567"/>
        <w:jc w:val="center"/>
        <w:rPr>
          <w:rFonts w:ascii="Palatino Linotype" w:hAnsi="Palatino Linotype" w:cs="Arial"/>
          <w:b/>
          <w:i/>
          <w:lang w:val="es-ES" w:eastAsia="es-MX"/>
        </w:rPr>
      </w:pPr>
      <w:r w:rsidRPr="002E2CCE">
        <w:rPr>
          <w:rFonts w:ascii="Palatino Linotype" w:hAnsi="Palatino Linotype" w:cs="Arial"/>
          <w:b/>
          <w:i/>
          <w:sz w:val="20"/>
          <w:szCs w:val="20"/>
          <w:lang w:val="es-ES" w:eastAsia="es-MX"/>
        </w:rPr>
        <w:t>“</w:t>
      </w:r>
      <w:r w:rsidRPr="002E2CCE">
        <w:rPr>
          <w:rFonts w:ascii="Palatino Linotype" w:hAnsi="Palatino Linotype" w:cs="Arial"/>
          <w:b/>
          <w:i/>
          <w:lang w:val="es-ES" w:eastAsia="es-MX"/>
        </w:rPr>
        <w:t>CRITERIO 0002-11</w:t>
      </w:r>
    </w:p>
    <w:p w14:paraId="6437C27A" w14:textId="77777777" w:rsidR="00771878" w:rsidRPr="002E2CCE" w:rsidRDefault="00771878" w:rsidP="00771878">
      <w:pPr>
        <w:autoSpaceDE w:val="0"/>
        <w:autoSpaceDN w:val="0"/>
        <w:adjustRightInd w:val="0"/>
        <w:spacing w:line="276" w:lineRule="auto"/>
        <w:ind w:left="567" w:right="567"/>
        <w:jc w:val="both"/>
        <w:rPr>
          <w:rFonts w:ascii="Palatino Linotype" w:hAnsi="Palatino Linotype" w:cs="Arial"/>
          <w:i/>
          <w:lang w:val="es-ES" w:eastAsia="es-MX"/>
        </w:rPr>
      </w:pPr>
      <w:r w:rsidRPr="002E2CCE">
        <w:rPr>
          <w:rFonts w:ascii="Palatino Linotype" w:hAnsi="Palatino Linotype" w:cs="Arial"/>
          <w:b/>
          <w:i/>
          <w:lang w:val="es-ES" w:eastAsia="es-MX"/>
        </w:rPr>
        <w:t xml:space="preserve">INFORMACIÓN PÚBLICA, CONCEPTO DE, EN MATERIA DE TRANSPARENCIA. INTERPRETACIÓN TEMÁTICA DE LOS ARTÍCULOS 2, FRACCIÓN </w:t>
      </w:r>
      <w:r w:rsidRPr="002E2CCE">
        <w:rPr>
          <w:rFonts w:ascii="Palatino Linotype" w:hAnsi="Palatino Linotype" w:cs="Arial"/>
          <w:b/>
          <w:bCs/>
          <w:i/>
          <w:lang w:val="es-ES" w:eastAsia="es-MX"/>
        </w:rPr>
        <w:t xml:space="preserve">V, XV, Y XVI, </w:t>
      </w:r>
      <w:r w:rsidRPr="002E2CCE">
        <w:rPr>
          <w:rFonts w:ascii="Palatino Linotype" w:hAnsi="Palatino Linotype" w:cs="Arial"/>
          <w:b/>
          <w:i/>
          <w:lang w:val="es-ES" w:eastAsia="es-MX"/>
        </w:rPr>
        <w:t>32, 4,11 Y 41.</w:t>
      </w:r>
      <w:r w:rsidRPr="002E2CCE">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A2CBBB4" w14:textId="77777777" w:rsidR="00771878" w:rsidRPr="002E2CCE" w:rsidRDefault="00771878" w:rsidP="00771878">
      <w:pPr>
        <w:autoSpaceDE w:val="0"/>
        <w:autoSpaceDN w:val="0"/>
        <w:adjustRightInd w:val="0"/>
        <w:spacing w:line="276" w:lineRule="auto"/>
        <w:ind w:left="567" w:right="567"/>
        <w:jc w:val="both"/>
        <w:rPr>
          <w:rFonts w:ascii="Palatino Linotype" w:hAnsi="Palatino Linotype" w:cs="Arial"/>
          <w:i/>
          <w:lang w:val="es-ES" w:eastAsia="es-MX"/>
        </w:rPr>
      </w:pPr>
      <w:r w:rsidRPr="002E2CCE">
        <w:rPr>
          <w:rFonts w:ascii="Palatino Linotype" w:hAnsi="Palatino Linotype" w:cs="Arial"/>
          <w:i/>
          <w:lang w:val="es-ES" w:eastAsia="es-MX"/>
        </w:rPr>
        <w:t>En consecuencia el acceso a la información se refiere a que se cumplan cualquiera de los siguientes tres supuestos:</w:t>
      </w:r>
    </w:p>
    <w:p w14:paraId="3129CC1F" w14:textId="77777777" w:rsidR="00771878" w:rsidRPr="002E2CCE" w:rsidRDefault="00771878" w:rsidP="00771878">
      <w:pPr>
        <w:autoSpaceDE w:val="0"/>
        <w:autoSpaceDN w:val="0"/>
        <w:adjustRightInd w:val="0"/>
        <w:spacing w:line="276" w:lineRule="auto"/>
        <w:ind w:left="567" w:right="567"/>
        <w:jc w:val="both"/>
        <w:rPr>
          <w:rFonts w:ascii="Palatino Linotype" w:hAnsi="Palatino Linotype" w:cs="Arial"/>
          <w:i/>
          <w:lang w:val="es-ES" w:eastAsia="es-MX"/>
        </w:rPr>
      </w:pPr>
      <w:r w:rsidRPr="002E2CCE">
        <w:rPr>
          <w:rFonts w:ascii="Palatino Linotype" w:hAnsi="Palatino Linotype" w:cs="Arial"/>
          <w:i/>
          <w:lang w:val="es-ES" w:eastAsia="es-MX"/>
        </w:rPr>
        <w:t>Que se trate de información registrada en cualquier soporte documental, que en ejercicio de las atribuciones conferidas, sea generada por los Sujetos Obligados;</w:t>
      </w:r>
    </w:p>
    <w:p w14:paraId="2B889209" w14:textId="77777777" w:rsidR="00771878" w:rsidRPr="002E2CCE" w:rsidRDefault="00771878" w:rsidP="00771878">
      <w:pPr>
        <w:autoSpaceDE w:val="0"/>
        <w:autoSpaceDN w:val="0"/>
        <w:adjustRightInd w:val="0"/>
        <w:spacing w:line="276" w:lineRule="auto"/>
        <w:ind w:left="567" w:right="567"/>
        <w:jc w:val="both"/>
        <w:rPr>
          <w:rFonts w:ascii="Palatino Linotype" w:hAnsi="Palatino Linotype" w:cs="Arial"/>
          <w:i/>
          <w:lang w:val="es-ES" w:eastAsia="es-MX"/>
        </w:rPr>
      </w:pPr>
      <w:r w:rsidRPr="002E2CCE">
        <w:rPr>
          <w:rFonts w:ascii="Palatino Linotype" w:hAnsi="Palatino Linotype" w:cs="Arial"/>
          <w:i/>
          <w:lang w:val="es-ES" w:eastAsia="es-MX"/>
        </w:rPr>
        <w:t>Que se trate de información registrada en cualquier soporte documental, que en ejercicio de las atribuciones conferidas, sea administrada por los Sujetos Obligados, y</w:t>
      </w:r>
    </w:p>
    <w:p w14:paraId="315735C4" w14:textId="77777777" w:rsidR="00771878" w:rsidRPr="002E2CCE" w:rsidRDefault="00771878" w:rsidP="00771878">
      <w:pPr>
        <w:autoSpaceDE w:val="0"/>
        <w:autoSpaceDN w:val="0"/>
        <w:adjustRightInd w:val="0"/>
        <w:spacing w:line="276" w:lineRule="auto"/>
        <w:ind w:left="567" w:right="567"/>
        <w:jc w:val="both"/>
        <w:rPr>
          <w:rFonts w:ascii="Palatino Linotype" w:hAnsi="Palatino Linotype" w:cs="Arial"/>
          <w:i/>
          <w:lang w:val="es-ES" w:eastAsia="es-MX"/>
        </w:rPr>
      </w:pPr>
      <w:r w:rsidRPr="002E2CCE">
        <w:rPr>
          <w:rFonts w:ascii="Palatino Linotype" w:hAnsi="Palatino Linotype" w:cs="Arial"/>
          <w:i/>
          <w:lang w:val="es-ES" w:eastAsia="es-MX"/>
        </w:rPr>
        <w:t>Que se trate de información registrada en cualquier soporte documental, que en ejercicio de las atribuciones conferidas, se encuentre en posesión de los Sujetos Obligados.”</w:t>
      </w:r>
    </w:p>
    <w:p w14:paraId="79B67984" w14:textId="77777777" w:rsidR="00771878" w:rsidRPr="002E2CCE" w:rsidRDefault="00771878" w:rsidP="00771878">
      <w:pPr>
        <w:autoSpaceDE w:val="0"/>
        <w:autoSpaceDN w:val="0"/>
        <w:adjustRightInd w:val="0"/>
        <w:spacing w:after="0" w:line="360" w:lineRule="auto"/>
        <w:jc w:val="both"/>
        <w:rPr>
          <w:rFonts w:ascii="Palatino Linotype" w:hAnsi="Palatino Linotype"/>
          <w:sz w:val="24"/>
          <w:szCs w:val="24"/>
          <w:lang w:val="es-ES"/>
        </w:rPr>
      </w:pPr>
      <w:r w:rsidRPr="002E2CCE">
        <w:rPr>
          <w:rFonts w:ascii="Palatino Linotype" w:hAnsi="Palatino Linotype" w:cs="Arial"/>
          <w:sz w:val="24"/>
          <w:lang w:val="es-ES"/>
        </w:rPr>
        <w:t>Por lo anterior, al no constituirse dicho cuestionamiento como materia del derecho de acceso a la información, se considera que el Sujeto Obligado no está constreñido a emitir una respuesta al mismo.</w:t>
      </w:r>
    </w:p>
    <w:p w14:paraId="6860AA92" w14:textId="77777777" w:rsidR="00771878" w:rsidRPr="002E2CCE" w:rsidRDefault="00771878" w:rsidP="00771878">
      <w:pPr>
        <w:pStyle w:val="Prrafodelista"/>
        <w:numPr>
          <w:ilvl w:val="0"/>
          <w:numId w:val="32"/>
        </w:numPr>
        <w:spacing w:before="240" w:after="240" w:line="360" w:lineRule="auto"/>
        <w:jc w:val="both"/>
        <w:rPr>
          <w:rFonts w:ascii="Palatino Linotype" w:hAnsi="Palatino Linotype"/>
          <w:b/>
          <w:i/>
          <w:sz w:val="28"/>
          <w:szCs w:val="28"/>
        </w:rPr>
      </w:pPr>
      <w:r w:rsidRPr="002E2CCE">
        <w:rPr>
          <w:rFonts w:ascii="Palatino Linotype" w:hAnsi="Palatino Linotype"/>
          <w:b/>
          <w:i/>
          <w:sz w:val="28"/>
          <w:szCs w:val="28"/>
        </w:rPr>
        <w:t xml:space="preserve">Vista a los Órganos de Control Interno </w:t>
      </w:r>
    </w:p>
    <w:p w14:paraId="5F7C9959" w14:textId="77777777" w:rsidR="00771878" w:rsidRPr="002E2CCE" w:rsidRDefault="00771878" w:rsidP="00771878">
      <w:pPr>
        <w:spacing w:before="240" w:line="360" w:lineRule="auto"/>
        <w:jc w:val="both"/>
        <w:rPr>
          <w:rFonts w:ascii="Palatino Linotype" w:hAnsi="Palatino Linotype"/>
          <w:sz w:val="24"/>
          <w:szCs w:val="24"/>
          <w:lang w:val="es-ES"/>
        </w:rPr>
      </w:pPr>
      <w:r w:rsidRPr="002E2CCE">
        <w:rPr>
          <w:rFonts w:ascii="Palatino Linotype" w:hAnsi="Palatino Linotype"/>
          <w:sz w:val="24"/>
          <w:szCs w:val="24"/>
          <w:lang w:val="es-ES"/>
        </w:rPr>
        <w:t xml:space="preserve">Por último, es necesario resaltar que el recurso de revisión previsto en la Ley de la materia no es el medio para investigar y en su caso, sancionar a servidores públicos por </w:t>
      </w:r>
      <w:r w:rsidRPr="002E2CCE">
        <w:rPr>
          <w:rFonts w:ascii="Palatino Linotype" w:hAnsi="Palatino Linotype"/>
          <w:sz w:val="24"/>
          <w:szCs w:val="24"/>
          <w:lang w:val="es-ES"/>
        </w:rPr>
        <w:lastRenderedPageBreak/>
        <w:t>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4A13E444" w14:textId="77777777" w:rsidR="00771878" w:rsidRPr="002E2CCE" w:rsidRDefault="00771878" w:rsidP="00771878">
      <w:pPr>
        <w:spacing w:before="240" w:line="360" w:lineRule="auto"/>
        <w:jc w:val="both"/>
        <w:rPr>
          <w:rFonts w:ascii="Palatino Linotype" w:hAnsi="Palatino Linotype"/>
          <w:sz w:val="24"/>
          <w:szCs w:val="24"/>
          <w:lang w:val="es-ES"/>
        </w:rPr>
      </w:pPr>
      <w:r w:rsidRPr="002E2CCE">
        <w:rPr>
          <w:rFonts w:ascii="Palatino Linotype" w:hAnsi="Palatino Linotype"/>
          <w:sz w:val="24"/>
          <w:szCs w:val="24"/>
          <w:lang w:val="es-ES"/>
        </w:rPr>
        <w:t>Por ello, es conveniente señalar la fracción X, del artículo 36, de la Ley de Transparencia y Acceso a la Información Pública del Estado de México y Municipios, que establece:</w:t>
      </w:r>
    </w:p>
    <w:p w14:paraId="7828E4FC"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Artículo 36. El Instituto tendrá, en el ámbito de su competencia, las siguientes atribuciones:</w:t>
      </w:r>
    </w:p>
    <w:p w14:paraId="53E5810C"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w:t>
      </w:r>
    </w:p>
    <w:p w14:paraId="2694799C"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 xml:space="preserve">X. Hacer del conocimiento del órgano de control interno o equivalente de cada Sujeto Obligado las infracciones a esta Ley; </w:t>
      </w:r>
    </w:p>
    <w:p w14:paraId="290A1DC1"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w:t>
      </w:r>
    </w:p>
    <w:p w14:paraId="042444EA" w14:textId="77777777" w:rsidR="00771878" w:rsidRPr="002E2CCE" w:rsidRDefault="00771878" w:rsidP="00771878">
      <w:pPr>
        <w:spacing w:before="240" w:line="360" w:lineRule="auto"/>
        <w:jc w:val="both"/>
        <w:rPr>
          <w:rFonts w:ascii="Palatino Linotype" w:hAnsi="Palatino Linotype"/>
          <w:sz w:val="24"/>
          <w:szCs w:val="24"/>
          <w:lang w:val="es-ES"/>
        </w:rPr>
      </w:pPr>
      <w:r w:rsidRPr="002E2CCE">
        <w:rPr>
          <w:rFonts w:ascii="Palatino Linotype" w:hAnsi="Palatino Linotype"/>
          <w:sz w:val="24"/>
          <w:szCs w:val="24"/>
          <w:lang w:val="es-E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7E7489A3"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w:t>
      </w:r>
      <w:r w:rsidRPr="002E2CCE">
        <w:rPr>
          <w:rFonts w:ascii="Palatino Linotype" w:hAnsi="Palatino Linotype"/>
          <w:i/>
          <w:iCs/>
          <w:lang w:val="es-ES"/>
        </w:rPr>
        <w:lastRenderedPageBreak/>
        <w:t>del conocimiento del órgano de control interno de la instancia competente para que éste inicie, en su caso, el procedimiento de responsabilidad respectivo, cuyo resultado deberá de ser informado al Instituto</w:t>
      </w:r>
    </w:p>
    <w:p w14:paraId="57D1411A"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Artículo 222. Son causas de responsabilidad administrativa de los servidores públicos de los sujetos obligados, por incumplimiento de las obligaciones establecidas en la materia de la presente Ley, las siguientes:</w:t>
      </w:r>
    </w:p>
    <w:p w14:paraId="11BB6B46"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w:t>
      </w:r>
    </w:p>
    <w:p w14:paraId="5E0F1453"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I. Cualquier acto u omisión que provoque la suspensión o deficiencia en la atención de las solicitudes de información;</w:t>
      </w:r>
    </w:p>
    <w:p w14:paraId="038BA154"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II. La falta de respuesta a las solicitudes de información en los plazos señalados en la normatividad aplicable;</w:t>
      </w:r>
    </w:p>
    <w:p w14:paraId="1EB8B995"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w:t>
      </w:r>
    </w:p>
    <w:p w14:paraId="2FB44719"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V. Entregar información clasificada como confidencial fuera de los casos previstos por esta Ley;</w:t>
      </w:r>
    </w:p>
    <w:p w14:paraId="321845E0"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w:t>
      </w:r>
    </w:p>
    <w:p w14:paraId="683D7A44"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9885F04" w14:textId="56A36B35" w:rsidR="00771878" w:rsidRDefault="00771878" w:rsidP="00771878">
      <w:pPr>
        <w:spacing w:before="240" w:line="360" w:lineRule="auto"/>
        <w:jc w:val="both"/>
        <w:rPr>
          <w:rFonts w:ascii="Palatino Linotype" w:hAnsi="Palatino Linotype"/>
          <w:sz w:val="24"/>
          <w:lang w:val="es-ES"/>
        </w:rPr>
      </w:pPr>
      <w:r w:rsidRPr="002E2CCE">
        <w:rPr>
          <w:rFonts w:ascii="Palatino Linotype" w:hAnsi="Palatino Linotype"/>
          <w:sz w:val="24"/>
          <w:lang w:val="es-ES"/>
        </w:rPr>
        <w:t xml:space="preserve">Por lo que es menester en este asunto, dar vista al Órgano de Control Interno de este Instituto para que en ejercicio de sus atribuciones atienda las directivas marcadas en la propia Ley de la materia, con fundamento en el artículo 190, de la ley de la materia, el </w:t>
      </w:r>
      <w:r w:rsidRPr="002E2CCE">
        <w:rPr>
          <w:rFonts w:ascii="Palatino Linotype" w:hAnsi="Palatino Linotype"/>
          <w:sz w:val="24"/>
          <w:lang w:val="es-ES"/>
        </w:rPr>
        <w:lastRenderedPageBreak/>
        <w:t>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r w:rsidR="00183558">
        <w:rPr>
          <w:rFonts w:ascii="Palatino Linotype" w:hAnsi="Palatino Linotype"/>
          <w:sz w:val="24"/>
          <w:lang w:val="es-ES"/>
        </w:rPr>
        <w:t>}</w:t>
      </w:r>
    </w:p>
    <w:p w14:paraId="5654AD04" w14:textId="77777777" w:rsidR="00183558" w:rsidRPr="00850407" w:rsidRDefault="00183558" w:rsidP="00183558">
      <w:pPr>
        <w:pStyle w:val="Prrafodelista"/>
        <w:numPr>
          <w:ilvl w:val="0"/>
          <w:numId w:val="36"/>
        </w:numPr>
        <w:spacing w:line="360" w:lineRule="auto"/>
        <w:jc w:val="both"/>
        <w:rPr>
          <w:rFonts w:ascii="Palatino Linotype" w:hAnsi="Palatino Linotype"/>
          <w:b/>
          <w:sz w:val="28"/>
        </w:rPr>
      </w:pPr>
      <w:r w:rsidRPr="00850407">
        <w:rPr>
          <w:rFonts w:ascii="Palatino Linotype" w:hAnsi="Palatino Linotype"/>
          <w:b/>
          <w:sz w:val="28"/>
        </w:rPr>
        <w:t>Versión Pública</w:t>
      </w:r>
    </w:p>
    <w:p w14:paraId="097E475A" w14:textId="77777777" w:rsidR="00183558" w:rsidRDefault="00183558" w:rsidP="00183558">
      <w:pPr>
        <w:spacing w:line="360" w:lineRule="auto"/>
        <w:jc w:val="both"/>
        <w:rPr>
          <w:rFonts w:ascii="Palatino Linotype" w:hAnsi="Palatino Linotype"/>
          <w:sz w:val="24"/>
          <w:szCs w:val="24"/>
        </w:rPr>
      </w:pPr>
    </w:p>
    <w:p w14:paraId="4C83F374" w14:textId="77777777" w:rsidR="00183558" w:rsidRPr="001571EB" w:rsidRDefault="00183558" w:rsidP="00183558">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D1F85F9" w14:textId="77777777" w:rsidR="00183558" w:rsidRPr="00E60DEF" w:rsidRDefault="00183558" w:rsidP="00183558">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D63A3AF" w14:textId="77777777" w:rsidR="00183558" w:rsidRPr="00E60DEF" w:rsidRDefault="00183558" w:rsidP="00183558">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28B3EBA" w14:textId="77777777" w:rsidR="00183558" w:rsidRPr="001571EB" w:rsidRDefault="00183558" w:rsidP="0018355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2F22A5B" w14:textId="77777777" w:rsidR="00183558" w:rsidRPr="001571EB" w:rsidRDefault="00183558" w:rsidP="00183558">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r w:rsidRPr="001571EB">
        <w:rPr>
          <w:rFonts w:ascii="Palatino Linotype" w:hAnsi="Palatino Linotype" w:cs="Arial"/>
          <w:b/>
          <w:i/>
        </w:rPr>
        <w:t>…</w:t>
      </w:r>
      <w:r>
        <w:rPr>
          <w:rFonts w:ascii="Palatino Linotype" w:hAnsi="Palatino Linotype" w:cs="Arial"/>
          <w:b/>
          <w:i/>
        </w:rPr>
        <w:t>)</w:t>
      </w:r>
    </w:p>
    <w:p w14:paraId="3F4FB528" w14:textId="77777777" w:rsidR="00183558" w:rsidRPr="001571EB" w:rsidRDefault="00183558" w:rsidP="0018355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FE5A009" w14:textId="77777777" w:rsidR="00183558" w:rsidRPr="001571EB" w:rsidRDefault="00183558" w:rsidP="00183558">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73977AC" w14:textId="77777777" w:rsidR="00183558" w:rsidRPr="001571EB" w:rsidRDefault="00183558" w:rsidP="0018355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2B0EBCF" w14:textId="77777777" w:rsidR="00183558" w:rsidRPr="001571EB" w:rsidRDefault="00183558" w:rsidP="00183558">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853345F" w14:textId="77777777" w:rsidR="00183558" w:rsidRPr="001571EB" w:rsidRDefault="00183558" w:rsidP="0018355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B0D07FD" w14:textId="77777777" w:rsidR="00183558" w:rsidRPr="00E60DEF" w:rsidRDefault="00183558" w:rsidP="00183558">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1DF848D5" w14:textId="77777777" w:rsidR="00183558" w:rsidRPr="001571EB" w:rsidRDefault="00183558" w:rsidP="00183558">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90ED7A3" w14:textId="77777777" w:rsidR="00183558" w:rsidRPr="00E60DEF" w:rsidRDefault="00183558" w:rsidP="00183558">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9737443" w14:textId="77777777" w:rsidR="00183558" w:rsidRPr="001571EB" w:rsidRDefault="00183558" w:rsidP="00183558">
      <w:pPr>
        <w:spacing w:line="240" w:lineRule="auto"/>
        <w:ind w:left="851" w:right="851"/>
        <w:jc w:val="both"/>
        <w:rPr>
          <w:rFonts w:ascii="Palatino Linotype" w:hAnsi="Palatino Linotype" w:cs="Arial"/>
          <w:b/>
          <w:i/>
          <w:u w:val="single"/>
        </w:rPr>
      </w:pPr>
    </w:p>
    <w:p w14:paraId="4D400555" w14:textId="77777777" w:rsidR="00183558" w:rsidRPr="001571EB" w:rsidRDefault="00183558" w:rsidP="00183558">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 xml:space="preserve">el </w:t>
      </w:r>
      <w:r w:rsidRPr="001571EB">
        <w:rPr>
          <w:rFonts w:ascii="Palatino Linotype" w:hAnsi="Palatino Linotype" w:cs="Arial"/>
          <w:sz w:val="24"/>
          <w:szCs w:val="24"/>
        </w:rPr>
        <w:lastRenderedPageBreak/>
        <w:t>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C19634C" w14:textId="77777777" w:rsidR="00183558" w:rsidRPr="001571EB" w:rsidRDefault="00183558" w:rsidP="0018355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5033725" w14:textId="77777777" w:rsidR="00183558" w:rsidRPr="001571EB" w:rsidRDefault="00183558" w:rsidP="0018355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7676CCB" w14:textId="77777777" w:rsidR="00183558" w:rsidRPr="001571EB" w:rsidRDefault="00183558" w:rsidP="0018355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5C5863B" w14:textId="77777777" w:rsidR="00183558" w:rsidRPr="001571EB" w:rsidRDefault="00183558" w:rsidP="00183558">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65BB6125" w14:textId="77777777" w:rsidR="00183558" w:rsidRPr="001571EB" w:rsidRDefault="00183558" w:rsidP="00183558">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08AAEDE" w14:textId="77777777" w:rsidR="00183558" w:rsidRPr="001571EB" w:rsidRDefault="00183558" w:rsidP="0018355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363601A" w14:textId="77777777" w:rsidR="00183558" w:rsidRPr="001571EB" w:rsidRDefault="00183558" w:rsidP="0018355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66A9D09" w14:textId="77777777" w:rsidR="00183558" w:rsidRPr="001571EB" w:rsidRDefault="00183558" w:rsidP="0018355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53174912" w14:textId="77777777" w:rsidR="00183558" w:rsidRPr="001571EB" w:rsidRDefault="00183558" w:rsidP="00183558">
      <w:pPr>
        <w:autoSpaceDE w:val="0"/>
        <w:autoSpaceDN w:val="0"/>
        <w:adjustRightInd w:val="0"/>
        <w:spacing w:before="120" w:after="120"/>
        <w:ind w:left="567" w:right="850"/>
        <w:jc w:val="both"/>
        <w:rPr>
          <w:rFonts w:ascii="Palatino Linotype" w:eastAsia="Times New Roman" w:hAnsi="Palatino Linotype" w:cs="Arial"/>
          <w:i/>
        </w:rPr>
      </w:pPr>
    </w:p>
    <w:p w14:paraId="3F5B1979" w14:textId="77777777" w:rsidR="00183558" w:rsidRPr="001571EB" w:rsidRDefault="00183558" w:rsidP="00183558">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24ECF9F2" w14:textId="77777777" w:rsidR="00183558" w:rsidRPr="001571EB" w:rsidRDefault="00183558" w:rsidP="00183558">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23D7B3A" w14:textId="77777777" w:rsidR="00183558" w:rsidRPr="001571EB" w:rsidRDefault="00183558" w:rsidP="00183558">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BAD3064" w14:textId="77777777" w:rsidR="00183558" w:rsidRPr="001571EB" w:rsidRDefault="00183558" w:rsidP="00183558">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E2661BE" w14:textId="77777777" w:rsidR="00183558" w:rsidRPr="001571EB" w:rsidRDefault="00183558" w:rsidP="0018355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618081C6" w14:textId="77777777" w:rsidR="00183558" w:rsidRPr="001571EB" w:rsidRDefault="00183558" w:rsidP="0018355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19FF7B46" w14:textId="77777777" w:rsidR="00183558" w:rsidRPr="001571EB" w:rsidRDefault="00183558" w:rsidP="0018355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928E6F2" w14:textId="77777777" w:rsidR="00183558" w:rsidRPr="001571EB" w:rsidRDefault="00183558" w:rsidP="0018355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3130CCCC" w14:textId="77777777" w:rsidR="00183558" w:rsidRPr="001571EB" w:rsidRDefault="00183558" w:rsidP="00183558">
      <w:pPr>
        <w:spacing w:after="0" w:line="360" w:lineRule="auto"/>
        <w:jc w:val="both"/>
        <w:rPr>
          <w:rFonts w:ascii="Palatino Linotype" w:hAnsi="Palatino Linotype" w:cs="Arial"/>
        </w:rPr>
      </w:pPr>
    </w:p>
    <w:p w14:paraId="14748F20" w14:textId="382D83C1" w:rsidR="00183558" w:rsidRPr="002E2CCE" w:rsidRDefault="00183558" w:rsidP="00183558">
      <w:pPr>
        <w:spacing w:before="240" w:line="360" w:lineRule="auto"/>
        <w:jc w:val="both"/>
        <w:rPr>
          <w:rFonts w:ascii="Palatino Linotype" w:hAnsi="Palatino Linotype"/>
          <w:sz w:val="24"/>
          <w:lang w:val="es-ES"/>
        </w:rPr>
      </w:pPr>
      <w:r w:rsidRPr="001571EB">
        <w:rPr>
          <w:rFonts w:ascii="Palatino Linotype" w:hAnsi="Palatino Linotype" w:cs="Arial"/>
          <w:sz w:val="24"/>
          <w:szCs w:val="24"/>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1FB1EDE7" w14:textId="74F1933B" w:rsidR="00771878" w:rsidRPr="002E2CCE" w:rsidRDefault="00771878" w:rsidP="00771878">
      <w:pPr>
        <w:autoSpaceDE w:val="0"/>
        <w:autoSpaceDN w:val="0"/>
        <w:adjustRightInd w:val="0"/>
        <w:spacing w:before="240" w:after="240" w:line="360" w:lineRule="auto"/>
        <w:jc w:val="both"/>
        <w:rPr>
          <w:rFonts w:ascii="Palatino Linotype" w:hAnsi="Palatino Linotype" w:cs="Arial"/>
          <w:sz w:val="24"/>
          <w:szCs w:val="24"/>
          <w:lang w:val="es-ES"/>
        </w:rPr>
      </w:pPr>
      <w:r w:rsidRPr="002E2CCE">
        <w:rPr>
          <w:rFonts w:ascii="Palatino Linotype" w:hAnsi="Palatino Linotype" w:cs="Arial"/>
          <w:sz w:val="24"/>
          <w:szCs w:val="24"/>
          <w:lang w:val="es-ES"/>
        </w:rPr>
        <w:t xml:space="preserve">Por lo tanto, en mérito de lo expuesto en líneas anteriores, con fundamento en la fracción IV, del artículo 186, de la Ley de Transparencia y Acceso a la Información Pública del </w:t>
      </w:r>
      <w:r w:rsidRPr="002E2CCE">
        <w:rPr>
          <w:rFonts w:ascii="Palatino Linotype" w:hAnsi="Palatino Linotype" w:cs="Arial"/>
          <w:sz w:val="24"/>
          <w:szCs w:val="24"/>
          <w:lang w:val="es-ES"/>
        </w:rPr>
        <w:lastRenderedPageBreak/>
        <w:t xml:space="preserve">Estado de México y Municipios, se </w:t>
      </w:r>
      <w:r w:rsidRPr="002E2CCE">
        <w:rPr>
          <w:rFonts w:ascii="Palatino Linotype" w:hAnsi="Palatino Linotype" w:cs="Arial"/>
          <w:b/>
          <w:sz w:val="24"/>
          <w:szCs w:val="24"/>
          <w:lang w:val="es-ES"/>
        </w:rPr>
        <w:t>ORDENA</w:t>
      </w:r>
      <w:r w:rsidRPr="002E2CCE">
        <w:rPr>
          <w:rFonts w:ascii="Palatino Linotype" w:hAnsi="Palatino Linotype" w:cs="Arial"/>
          <w:sz w:val="24"/>
          <w:szCs w:val="24"/>
          <w:lang w:val="es-ES"/>
        </w:rPr>
        <w:t xml:space="preserve"> al </w:t>
      </w:r>
      <w:r w:rsidRPr="002E2CCE">
        <w:rPr>
          <w:rFonts w:ascii="Palatino Linotype" w:hAnsi="Palatino Linotype" w:cs="Arial"/>
          <w:b/>
          <w:sz w:val="24"/>
          <w:szCs w:val="24"/>
          <w:lang w:val="es-ES"/>
        </w:rPr>
        <w:t>Sujeto Obligado</w:t>
      </w:r>
      <w:r w:rsidRPr="002E2CCE">
        <w:rPr>
          <w:rFonts w:ascii="Palatino Linotype" w:hAnsi="Palatino Linotype" w:cs="Arial"/>
          <w:sz w:val="24"/>
          <w:szCs w:val="24"/>
          <w:lang w:val="es-ES"/>
        </w:rPr>
        <w:t xml:space="preserve">, atienda la solicitud de información </w:t>
      </w:r>
      <w:r w:rsidR="00183558" w:rsidRPr="00183558">
        <w:rPr>
          <w:rFonts w:ascii="Palatino Linotype" w:hAnsi="Palatino Linotype" w:cs="Arial"/>
          <w:b/>
          <w:sz w:val="24"/>
          <w:lang w:val="es-ES"/>
        </w:rPr>
        <w:t>00059/PMOR/IP/2020</w:t>
      </w:r>
      <w:r w:rsidRPr="002E2CCE">
        <w:rPr>
          <w:rFonts w:ascii="Palatino Linotype" w:hAnsi="Palatino Linotype" w:cs="Arial"/>
          <w:b/>
          <w:sz w:val="24"/>
          <w:lang w:val="es-ES"/>
        </w:rPr>
        <w:t xml:space="preserve">, </w:t>
      </w:r>
      <w:r w:rsidRPr="002E2CCE">
        <w:rPr>
          <w:rFonts w:ascii="Palatino Linotype" w:hAnsi="Palatino Linotype" w:cs="Arial"/>
          <w:sz w:val="24"/>
          <w:szCs w:val="24"/>
          <w:lang w:val="es-ES"/>
        </w:rPr>
        <w:t>que ha sido materia del presente fallo.</w:t>
      </w:r>
    </w:p>
    <w:p w14:paraId="08007B68" w14:textId="77777777" w:rsidR="00771878" w:rsidRPr="002E2CCE" w:rsidRDefault="00771878" w:rsidP="00771878">
      <w:pPr>
        <w:spacing w:before="240" w:line="360" w:lineRule="auto"/>
        <w:jc w:val="both"/>
        <w:rPr>
          <w:rFonts w:ascii="Palatino Linotype" w:hAnsi="Palatino Linotype" w:cs="Arial"/>
          <w:sz w:val="24"/>
          <w:lang w:val="es-ES"/>
        </w:rPr>
      </w:pPr>
      <w:r w:rsidRPr="002E2CCE">
        <w:rPr>
          <w:rFonts w:ascii="Palatino Linotype" w:hAnsi="Palatino Linotype" w:cs="Arial"/>
          <w:sz w:val="24"/>
          <w:lang w:val="es-ES"/>
        </w:rPr>
        <w:t>Por lo antes expuesto y fundado es de resolverse y;</w:t>
      </w:r>
    </w:p>
    <w:p w14:paraId="158AF902" w14:textId="77777777" w:rsidR="00771878" w:rsidRPr="002E2CCE" w:rsidRDefault="00771878" w:rsidP="00771878">
      <w:pPr>
        <w:spacing w:before="240" w:line="360" w:lineRule="auto"/>
        <w:jc w:val="both"/>
        <w:rPr>
          <w:rFonts w:ascii="Palatino Linotype" w:hAnsi="Palatino Linotype" w:cs="Arial"/>
          <w:sz w:val="24"/>
          <w:lang w:val="es-ES"/>
        </w:rPr>
      </w:pPr>
    </w:p>
    <w:p w14:paraId="0F7F8C5C" w14:textId="77777777" w:rsidR="00771878" w:rsidRPr="002E2CCE" w:rsidRDefault="00771878" w:rsidP="00771878">
      <w:pPr>
        <w:spacing w:before="240" w:line="360" w:lineRule="auto"/>
        <w:jc w:val="center"/>
        <w:rPr>
          <w:rFonts w:ascii="Palatino Linotype" w:eastAsia="Times New Roman" w:hAnsi="Palatino Linotype"/>
          <w:b/>
          <w:bCs/>
          <w:spacing w:val="60"/>
          <w:sz w:val="28"/>
          <w:lang w:val="es-ES"/>
        </w:rPr>
      </w:pPr>
      <w:r w:rsidRPr="002E2CCE">
        <w:rPr>
          <w:rFonts w:ascii="Palatino Linotype" w:eastAsia="Times New Roman" w:hAnsi="Palatino Linotype"/>
          <w:b/>
          <w:bCs/>
          <w:spacing w:val="60"/>
          <w:sz w:val="28"/>
          <w:lang w:val="es-ES"/>
        </w:rPr>
        <w:t>SE RESUELVE</w:t>
      </w:r>
    </w:p>
    <w:p w14:paraId="2B38559A" w14:textId="77777777" w:rsidR="00771878" w:rsidRPr="002E2CCE" w:rsidRDefault="00771878" w:rsidP="00771878">
      <w:pPr>
        <w:tabs>
          <w:tab w:val="left" w:pos="8647"/>
        </w:tabs>
        <w:spacing w:before="240" w:line="360" w:lineRule="auto"/>
        <w:ind w:right="51"/>
        <w:jc w:val="both"/>
        <w:rPr>
          <w:rFonts w:ascii="Palatino Linotype" w:hAnsi="Palatino Linotype" w:cs="Arial"/>
          <w:sz w:val="24"/>
          <w:szCs w:val="24"/>
          <w:lang w:val="es-ES"/>
        </w:rPr>
      </w:pPr>
      <w:r w:rsidRPr="002E2CCE">
        <w:rPr>
          <w:rFonts w:ascii="Palatino Linotype" w:hAnsi="Palatino Linotype" w:cs="Arial"/>
          <w:b/>
          <w:sz w:val="28"/>
          <w:szCs w:val="28"/>
          <w:lang w:val="es-ES"/>
        </w:rPr>
        <w:t>PRIMERO.</w:t>
      </w:r>
      <w:r w:rsidRPr="002E2CCE">
        <w:rPr>
          <w:rFonts w:ascii="Palatino Linotype" w:hAnsi="Palatino Linotype" w:cs="Arial"/>
          <w:sz w:val="24"/>
          <w:szCs w:val="24"/>
          <w:lang w:val="es-ES"/>
        </w:rPr>
        <w:t xml:space="preserve"> Resultan fundadas las razones o motivos de inconformidad hechos valer por </w:t>
      </w:r>
      <w:r w:rsidRPr="002E2CCE">
        <w:rPr>
          <w:rFonts w:ascii="Palatino Linotype" w:hAnsi="Palatino Linotype" w:cs="Arial"/>
          <w:b/>
          <w:sz w:val="24"/>
          <w:szCs w:val="24"/>
          <w:lang w:val="es-ES"/>
        </w:rPr>
        <w:t>el recurrente,</w:t>
      </w:r>
      <w:r w:rsidRPr="002E2CCE">
        <w:rPr>
          <w:rFonts w:ascii="Palatino Linotype" w:hAnsi="Palatino Linotype" w:cs="Arial"/>
          <w:sz w:val="24"/>
          <w:szCs w:val="24"/>
          <w:lang w:val="es-ES"/>
        </w:rPr>
        <w:t xml:space="preserve"> en términos del considerando </w:t>
      </w:r>
      <w:r w:rsidRPr="002E2CCE">
        <w:rPr>
          <w:rFonts w:ascii="Palatino Linotype" w:hAnsi="Palatino Linotype" w:cs="Arial"/>
          <w:b/>
          <w:sz w:val="24"/>
          <w:szCs w:val="24"/>
          <w:lang w:val="es-ES"/>
        </w:rPr>
        <w:t>Cuarto</w:t>
      </w:r>
      <w:r w:rsidRPr="002E2CCE">
        <w:rPr>
          <w:rFonts w:ascii="Palatino Linotype" w:hAnsi="Palatino Linotype" w:cs="Arial"/>
          <w:sz w:val="24"/>
          <w:szCs w:val="24"/>
          <w:lang w:val="es-ES"/>
        </w:rPr>
        <w:t>, de la presente resolución.</w:t>
      </w:r>
    </w:p>
    <w:p w14:paraId="2B38C6EB" w14:textId="77777777" w:rsidR="00771878" w:rsidRPr="00FE22BC" w:rsidRDefault="00771878" w:rsidP="00771878">
      <w:pPr>
        <w:tabs>
          <w:tab w:val="left" w:pos="8647"/>
        </w:tabs>
        <w:spacing w:before="240" w:line="360" w:lineRule="auto"/>
        <w:ind w:right="51"/>
        <w:jc w:val="both"/>
        <w:rPr>
          <w:rFonts w:ascii="Palatino Linotype" w:hAnsi="Palatino Linotype" w:cs="Arial"/>
          <w:sz w:val="4"/>
          <w:szCs w:val="24"/>
          <w:lang w:val="es-ES"/>
        </w:rPr>
      </w:pPr>
    </w:p>
    <w:p w14:paraId="7616AC23" w14:textId="03F9A044" w:rsidR="00183558" w:rsidRPr="00835D88" w:rsidRDefault="00183558" w:rsidP="0018355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SEGUNDO.</w:t>
      </w:r>
      <w:r w:rsidRPr="00835D88">
        <w:rPr>
          <w:rFonts w:ascii="Palatino Linotype" w:hAnsi="Palatino Linotype" w:cs="Arial"/>
          <w:sz w:val="24"/>
          <w:szCs w:val="24"/>
        </w:rPr>
        <w:t xml:space="preserve">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atienda la solicitud de información </w:t>
      </w:r>
      <w:r w:rsidRPr="00183558">
        <w:rPr>
          <w:rFonts w:ascii="Palatino Linotype" w:hAnsi="Palatino Linotype" w:cs="Arial"/>
          <w:b/>
          <w:sz w:val="24"/>
          <w:lang w:val="es-ES"/>
        </w:rPr>
        <w:t>00059/PMOR/IP/2020</w:t>
      </w:r>
      <w:r w:rsidRPr="00835D88">
        <w:rPr>
          <w:rFonts w:ascii="Palatino Linotype" w:hAnsi="Palatino Linotype" w:cs="Arial"/>
          <w:sz w:val="24"/>
          <w:szCs w:val="24"/>
        </w:rPr>
        <w:t xml:space="preserve">, en términos del Considerando </w:t>
      </w:r>
      <w:r w:rsidRPr="00835D88">
        <w:rPr>
          <w:rFonts w:ascii="Palatino Linotype" w:hAnsi="Palatino Linotype" w:cs="Arial"/>
          <w:b/>
          <w:sz w:val="24"/>
          <w:szCs w:val="24"/>
        </w:rPr>
        <w:t xml:space="preserve">CUARTO </w:t>
      </w:r>
      <w:r w:rsidRPr="00835D88">
        <w:rPr>
          <w:rFonts w:ascii="Palatino Linotype" w:hAnsi="Palatino Linotype" w:cs="Arial"/>
          <w:sz w:val="24"/>
          <w:szCs w:val="24"/>
        </w:rPr>
        <w:t>de esta resolución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vía Sistema de Acceso a la Información Mexiquense (SAIMEX).</w:t>
      </w:r>
    </w:p>
    <w:p w14:paraId="2B4CB9A8" w14:textId="77777777" w:rsidR="00771878" w:rsidRPr="00FE22BC" w:rsidRDefault="00771878" w:rsidP="00771878">
      <w:pPr>
        <w:tabs>
          <w:tab w:val="left" w:pos="8647"/>
        </w:tabs>
        <w:spacing w:before="240" w:line="360" w:lineRule="auto"/>
        <w:ind w:right="51"/>
        <w:jc w:val="both"/>
        <w:rPr>
          <w:rFonts w:ascii="Palatino Linotype" w:hAnsi="Palatino Linotype" w:cs="Arial"/>
          <w:sz w:val="2"/>
          <w:szCs w:val="24"/>
          <w:lang w:val="es-ES"/>
        </w:rPr>
      </w:pPr>
    </w:p>
    <w:p w14:paraId="397B3DF8" w14:textId="77777777" w:rsidR="00771878" w:rsidRPr="002E2CCE" w:rsidRDefault="00771878" w:rsidP="00771878">
      <w:pPr>
        <w:tabs>
          <w:tab w:val="left" w:pos="8647"/>
        </w:tabs>
        <w:spacing w:before="240" w:line="360" w:lineRule="auto"/>
        <w:ind w:right="51"/>
        <w:jc w:val="both"/>
        <w:rPr>
          <w:rFonts w:ascii="Palatino Linotype" w:hAnsi="Palatino Linotype" w:cs="Arial"/>
          <w:sz w:val="24"/>
          <w:szCs w:val="24"/>
          <w:lang w:val="es-ES"/>
        </w:rPr>
      </w:pPr>
      <w:r w:rsidRPr="002E2CCE">
        <w:rPr>
          <w:rFonts w:ascii="Palatino Linotype" w:hAnsi="Palatino Linotype" w:cs="Arial"/>
          <w:b/>
          <w:sz w:val="28"/>
          <w:szCs w:val="24"/>
          <w:lang w:val="es-ES"/>
        </w:rPr>
        <w:t>TERCERO</w:t>
      </w:r>
      <w:r w:rsidRPr="002E2CCE">
        <w:rPr>
          <w:rFonts w:ascii="Palatino Linotype" w:hAnsi="Palatino Linotype" w:cs="Arial"/>
          <w:sz w:val="28"/>
          <w:szCs w:val="24"/>
          <w:lang w:val="es-ES"/>
        </w:rPr>
        <w:t>.</w:t>
      </w:r>
      <w:r w:rsidRPr="002E2CCE">
        <w:rPr>
          <w:rFonts w:ascii="Palatino Linotype" w:hAnsi="Palatino Linotype" w:cs="Arial"/>
          <w:sz w:val="24"/>
          <w:szCs w:val="24"/>
          <w:lang w:val="es-ES"/>
        </w:rPr>
        <w:t xml:space="preserve"> </w:t>
      </w:r>
      <w:r w:rsidRPr="002E2CCE">
        <w:rPr>
          <w:rFonts w:ascii="Palatino Linotype" w:hAnsi="Palatino Linotype" w:cs="Arial"/>
          <w:b/>
          <w:sz w:val="24"/>
          <w:szCs w:val="24"/>
          <w:lang w:val="es-ES"/>
        </w:rPr>
        <w:t>Notifíquese</w:t>
      </w:r>
      <w:r w:rsidRPr="002E2CCE">
        <w:rPr>
          <w:rFonts w:ascii="Palatino Linotype" w:hAnsi="Palatino Linotype" w:cs="Arial"/>
          <w:b/>
          <w:i/>
          <w:sz w:val="24"/>
          <w:szCs w:val="24"/>
          <w:lang w:val="es-ES"/>
        </w:rPr>
        <w:t xml:space="preserve"> </w:t>
      </w:r>
      <w:r w:rsidRPr="002E2CCE">
        <w:rPr>
          <w:rFonts w:ascii="Palatino Linotype" w:hAnsi="Palatino Linotype" w:cs="Arial"/>
          <w:sz w:val="24"/>
          <w:szCs w:val="24"/>
          <w:lang w:val="es-ES"/>
        </w:rPr>
        <w:t>la presente resolución al Titular de la Unidad de Transparencia del</w:t>
      </w:r>
      <w:r w:rsidRPr="002E2CCE">
        <w:rPr>
          <w:rFonts w:ascii="Palatino Linotype" w:hAnsi="Palatino Linotype" w:cs="Arial"/>
          <w:b/>
          <w:sz w:val="24"/>
          <w:szCs w:val="24"/>
          <w:lang w:val="es-ES"/>
        </w:rPr>
        <w:t xml:space="preserve"> sujeto obligado</w:t>
      </w:r>
      <w:r w:rsidRPr="002E2CCE">
        <w:rPr>
          <w:rFonts w:ascii="Palatino Linotype" w:hAnsi="Palatino Linotype" w:cs="Arial"/>
          <w:sz w:val="24"/>
          <w:szCs w:val="24"/>
          <w:lang w:val="es-ES"/>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A85FE30" w14:textId="77777777" w:rsidR="00183558" w:rsidRPr="00FE22BC" w:rsidRDefault="00183558" w:rsidP="00771878">
      <w:pPr>
        <w:autoSpaceDE w:val="0"/>
        <w:autoSpaceDN w:val="0"/>
        <w:adjustRightInd w:val="0"/>
        <w:spacing w:before="240" w:line="360" w:lineRule="auto"/>
        <w:jc w:val="both"/>
        <w:rPr>
          <w:rFonts w:ascii="Palatino Linotype" w:hAnsi="Palatino Linotype" w:cs="Arial"/>
          <w:sz w:val="4"/>
          <w:szCs w:val="24"/>
          <w:lang w:val="es-ES"/>
        </w:rPr>
      </w:pPr>
    </w:p>
    <w:p w14:paraId="2FFE7717" w14:textId="427A56D0" w:rsidR="00771878" w:rsidRDefault="00183558" w:rsidP="00771878">
      <w:pPr>
        <w:autoSpaceDE w:val="0"/>
        <w:autoSpaceDN w:val="0"/>
        <w:adjustRightInd w:val="0"/>
        <w:spacing w:before="240" w:line="360" w:lineRule="auto"/>
        <w:jc w:val="both"/>
        <w:rPr>
          <w:rFonts w:ascii="Palatino Linotype" w:hAnsi="Palatino Linotype" w:cs="Arial"/>
          <w:sz w:val="24"/>
          <w:szCs w:val="24"/>
          <w:lang w:val="es-ES"/>
        </w:rPr>
      </w:pPr>
      <w:r>
        <w:rPr>
          <w:rFonts w:ascii="Palatino Linotype" w:hAnsi="Palatino Linotype" w:cs="Arial"/>
          <w:b/>
          <w:sz w:val="28"/>
          <w:szCs w:val="24"/>
          <w:lang w:val="es-ES"/>
        </w:rPr>
        <w:t>CUARTO</w:t>
      </w:r>
      <w:r w:rsidR="00771878" w:rsidRPr="002E2CCE">
        <w:rPr>
          <w:rFonts w:ascii="Palatino Linotype" w:hAnsi="Palatino Linotype" w:cs="Arial"/>
          <w:b/>
          <w:sz w:val="28"/>
          <w:szCs w:val="24"/>
          <w:lang w:val="es-ES"/>
        </w:rPr>
        <w:t>.</w:t>
      </w:r>
      <w:r w:rsidR="00771878" w:rsidRPr="002E2CCE">
        <w:rPr>
          <w:rFonts w:ascii="Palatino Linotype" w:hAnsi="Palatino Linotype" w:cs="Arial"/>
          <w:b/>
          <w:sz w:val="24"/>
          <w:szCs w:val="24"/>
          <w:lang w:val="es-ES"/>
        </w:rPr>
        <w:t xml:space="preserve"> </w:t>
      </w:r>
      <w:r w:rsidR="00771878" w:rsidRPr="002E2CCE">
        <w:rPr>
          <w:rFonts w:ascii="Palatino Linotype" w:hAnsi="Palatino Linotype" w:cs="Arial"/>
          <w:b/>
          <w:bCs/>
          <w:sz w:val="24"/>
          <w:szCs w:val="24"/>
          <w:lang w:val="es-ES"/>
        </w:rPr>
        <w:t>Notifíquese</w:t>
      </w:r>
      <w:r w:rsidR="00771878" w:rsidRPr="002E2CCE">
        <w:rPr>
          <w:rFonts w:ascii="Palatino Linotype" w:hAnsi="Palatino Linotype" w:cs="Arial"/>
          <w:lang w:val="es-ES"/>
        </w:rPr>
        <w:t xml:space="preserve"> </w:t>
      </w:r>
      <w:r w:rsidR="00771878" w:rsidRPr="002E2CCE">
        <w:rPr>
          <w:rFonts w:ascii="Palatino Linotype" w:hAnsi="Palatino Linotype" w:cs="Arial"/>
          <w:sz w:val="24"/>
          <w:szCs w:val="24"/>
          <w:lang w:val="es-ES"/>
        </w:rPr>
        <w:t xml:space="preserve">la resolución al recurrente y hágasele del conocimiento que de conformidad con lo establecido en el artículo 196 de la Ley de Transparencia y Acceso </w:t>
      </w:r>
      <w:r w:rsidR="00771878" w:rsidRPr="002E2CCE">
        <w:rPr>
          <w:rFonts w:ascii="Palatino Linotype" w:hAnsi="Palatino Linotype" w:cs="Arial"/>
          <w:sz w:val="24"/>
          <w:szCs w:val="24"/>
          <w:lang w:val="es-ES"/>
        </w:rPr>
        <w:lastRenderedPageBreak/>
        <w:t>a la Información Pública del Estado de México y Municipios, en caso de que considere que la resolución le cause algún perjuicio podrá impugnarla vía juicio de amparo en los términos de las leyes aplicables.</w:t>
      </w:r>
    </w:p>
    <w:p w14:paraId="6A614C2A" w14:textId="77777777" w:rsidR="00FE22BC" w:rsidRPr="00FE22BC" w:rsidRDefault="00FE22BC" w:rsidP="00771878">
      <w:pPr>
        <w:autoSpaceDE w:val="0"/>
        <w:autoSpaceDN w:val="0"/>
        <w:adjustRightInd w:val="0"/>
        <w:spacing w:before="240" w:line="360" w:lineRule="auto"/>
        <w:jc w:val="both"/>
        <w:rPr>
          <w:rFonts w:ascii="Palatino Linotype" w:hAnsi="Palatino Linotype" w:cs="Arial"/>
          <w:sz w:val="2"/>
          <w:szCs w:val="24"/>
          <w:lang w:val="es-ES"/>
        </w:rPr>
      </w:pPr>
    </w:p>
    <w:p w14:paraId="2EA11559" w14:textId="5D8B4246" w:rsidR="00771878" w:rsidRDefault="00183558" w:rsidP="00771878">
      <w:pPr>
        <w:autoSpaceDE w:val="0"/>
        <w:autoSpaceDN w:val="0"/>
        <w:adjustRightInd w:val="0"/>
        <w:spacing w:before="240" w:line="360" w:lineRule="auto"/>
        <w:jc w:val="both"/>
        <w:rPr>
          <w:rFonts w:ascii="Palatino Linotype" w:eastAsia="MS Mincho" w:hAnsi="Palatino Linotype" w:cs="Times New Roman"/>
          <w:sz w:val="24"/>
          <w:szCs w:val="24"/>
          <w:lang w:val="es-ES" w:eastAsia="es-ES"/>
        </w:rPr>
      </w:pPr>
      <w:r>
        <w:rPr>
          <w:rFonts w:ascii="Palatino Linotype" w:hAnsi="Palatino Linotype" w:cs="Arial"/>
          <w:b/>
          <w:sz w:val="28"/>
          <w:szCs w:val="24"/>
          <w:lang w:val="es-ES"/>
        </w:rPr>
        <w:t>QUINTO</w:t>
      </w:r>
      <w:r w:rsidR="00771878" w:rsidRPr="002E2CCE">
        <w:rPr>
          <w:rFonts w:ascii="Palatino Linotype" w:hAnsi="Palatino Linotype" w:cs="Arial"/>
          <w:b/>
          <w:sz w:val="28"/>
          <w:szCs w:val="24"/>
          <w:lang w:val="es-ES"/>
        </w:rPr>
        <w:t xml:space="preserve">. </w:t>
      </w:r>
      <w:r w:rsidR="00771878" w:rsidRPr="002E2CCE">
        <w:rPr>
          <w:rFonts w:ascii="Palatino Linotype" w:eastAsia="MS Mincho" w:hAnsi="Palatino Linotype" w:cs="Times New Roman"/>
          <w:b/>
          <w:bCs/>
          <w:sz w:val="24"/>
          <w:szCs w:val="24"/>
          <w:lang w:val="es-ES" w:eastAsia="es-ES"/>
        </w:rPr>
        <w:t>Gírese</w:t>
      </w:r>
      <w:r w:rsidR="00771878" w:rsidRPr="002E2CCE">
        <w:rPr>
          <w:rFonts w:ascii="Palatino Linotype" w:eastAsia="MS Mincho" w:hAnsi="Palatino Linotype" w:cs="Times New Roman"/>
          <w:sz w:val="24"/>
          <w:szCs w:val="24"/>
          <w:lang w:val="es-ES" w:eastAsia="es-E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771878" w:rsidRPr="002E2CCE">
        <w:rPr>
          <w:rFonts w:ascii="Palatino Linotype" w:eastAsia="MS Mincho" w:hAnsi="Palatino Linotype" w:cs="Times New Roman"/>
          <w:b/>
          <w:sz w:val="24"/>
          <w:szCs w:val="24"/>
          <w:lang w:val="es-ES" w:eastAsia="es-ES"/>
        </w:rPr>
        <w:t>Cuarto</w:t>
      </w:r>
      <w:r w:rsidR="00771878" w:rsidRPr="002E2CCE">
        <w:rPr>
          <w:rFonts w:ascii="Palatino Linotype" w:eastAsia="MS Mincho" w:hAnsi="Palatino Linotype" w:cs="Times New Roman"/>
          <w:sz w:val="24"/>
          <w:szCs w:val="24"/>
          <w:lang w:val="es-ES" w:eastAsia="es-ES"/>
        </w:rPr>
        <w:t>.</w:t>
      </w:r>
    </w:p>
    <w:p w14:paraId="31B3E8F6" w14:textId="77777777" w:rsidR="00FE22BC" w:rsidRPr="00FE22BC" w:rsidRDefault="00FE22BC" w:rsidP="00771878">
      <w:pPr>
        <w:autoSpaceDE w:val="0"/>
        <w:autoSpaceDN w:val="0"/>
        <w:adjustRightInd w:val="0"/>
        <w:spacing w:before="240" w:line="360" w:lineRule="auto"/>
        <w:jc w:val="both"/>
        <w:rPr>
          <w:rFonts w:ascii="Palatino Linotype" w:eastAsia="MS Mincho" w:hAnsi="Palatino Linotype" w:cs="Times New Roman"/>
          <w:sz w:val="2"/>
          <w:szCs w:val="24"/>
          <w:lang w:val="es-ES" w:eastAsia="es-ES"/>
        </w:rPr>
      </w:pPr>
    </w:p>
    <w:p w14:paraId="0ABFB603" w14:textId="2CAC0010" w:rsidR="00771878" w:rsidRDefault="00771878" w:rsidP="00771878">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r w:rsidRPr="002E2CCE">
        <w:rPr>
          <w:rFonts w:ascii="Palatino Linotype" w:hAnsi="Palatino Linotype" w:cs="Arial"/>
          <w:b/>
          <w:sz w:val="28"/>
          <w:szCs w:val="24"/>
          <w:lang w:val="es-ES"/>
        </w:rPr>
        <w:t>S</w:t>
      </w:r>
      <w:r w:rsidR="00183558">
        <w:rPr>
          <w:rFonts w:ascii="Palatino Linotype" w:hAnsi="Palatino Linotype" w:cs="Arial"/>
          <w:b/>
          <w:sz w:val="28"/>
          <w:szCs w:val="24"/>
          <w:lang w:val="es-ES"/>
        </w:rPr>
        <w:t>EXTO</w:t>
      </w:r>
      <w:r w:rsidRPr="002E2CCE">
        <w:rPr>
          <w:rFonts w:ascii="Palatino Linotype" w:hAnsi="Palatino Linotype" w:cs="Arial"/>
          <w:b/>
          <w:sz w:val="28"/>
          <w:szCs w:val="24"/>
          <w:lang w:val="es-ES"/>
        </w:rPr>
        <w:t xml:space="preserve">. </w:t>
      </w:r>
      <w:r w:rsidRPr="002E2CCE">
        <w:rPr>
          <w:rFonts w:ascii="Palatino Linotype" w:eastAsia="Calibri" w:hAnsi="Palatino Linotype" w:cs="Tahoma"/>
          <w:bCs/>
          <w:iCs/>
          <w:sz w:val="24"/>
          <w:szCs w:val="24"/>
          <w:lang w:val="es-ES"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DFCE8F3" w14:textId="77777777" w:rsidR="00FE22BC" w:rsidRPr="00FE22BC" w:rsidRDefault="00FE22BC" w:rsidP="00771878">
      <w:pPr>
        <w:autoSpaceDE w:val="0"/>
        <w:autoSpaceDN w:val="0"/>
        <w:adjustRightInd w:val="0"/>
        <w:spacing w:before="240" w:line="360" w:lineRule="auto"/>
        <w:jc w:val="both"/>
        <w:rPr>
          <w:rFonts w:ascii="Palatino Linotype" w:eastAsia="Calibri" w:hAnsi="Palatino Linotype" w:cs="Tahoma"/>
          <w:bCs/>
          <w:iCs/>
          <w:sz w:val="2"/>
          <w:szCs w:val="24"/>
          <w:lang w:val="es-ES" w:eastAsia="es-ES_tradnl"/>
        </w:rPr>
      </w:pPr>
    </w:p>
    <w:p w14:paraId="77B655F2" w14:textId="3A855C35" w:rsidR="00771878" w:rsidRDefault="00183558" w:rsidP="00771878">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SÉPTIMO</w:t>
      </w:r>
      <w:r w:rsidR="00771878" w:rsidRPr="002E2CCE">
        <w:rPr>
          <w:rFonts w:ascii="Palatino Linotype" w:eastAsia="Calibri" w:hAnsi="Palatino Linotype" w:cs="Tahoma"/>
          <w:b/>
          <w:bCs/>
          <w:iCs/>
          <w:sz w:val="24"/>
          <w:szCs w:val="24"/>
          <w:lang w:val="es-ES" w:eastAsia="es-ES_tradnl"/>
        </w:rPr>
        <w:t>.</w:t>
      </w:r>
      <w:r w:rsidR="00771878" w:rsidRPr="002E2CCE">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artículos 213, 214, 216 y 217 de dicha Ley.</w:t>
      </w:r>
    </w:p>
    <w:p w14:paraId="0B985CBC" w14:textId="77777777" w:rsidR="00FE22BC" w:rsidRPr="002E2CCE" w:rsidRDefault="00FE22BC" w:rsidP="00771878">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p>
    <w:bookmarkEnd w:id="0"/>
    <w:p w14:paraId="19F77C53" w14:textId="77777777" w:rsidR="00CF5253" w:rsidRDefault="00CF5253" w:rsidP="00CF5253">
      <w:pPr>
        <w:pStyle w:val="Prrafodelista"/>
        <w:autoSpaceDE w:val="0"/>
        <w:autoSpaceDN w:val="0"/>
        <w:adjustRightInd w:val="0"/>
        <w:spacing w:line="360" w:lineRule="auto"/>
        <w:ind w:left="0"/>
        <w:jc w:val="both"/>
        <w:rPr>
          <w:rFonts w:ascii="Palatino Linotype" w:hAnsi="Palatino Linotype" w:cs="Arial"/>
          <w:sz w:val="10"/>
        </w:rPr>
      </w:pPr>
    </w:p>
    <w:p w14:paraId="5FEF7D91" w14:textId="75C4031B" w:rsidR="00FE22BC" w:rsidRDefault="00FE22BC" w:rsidP="00CF5253">
      <w:pPr>
        <w:pStyle w:val="Prrafodelista"/>
        <w:autoSpaceDE w:val="0"/>
        <w:autoSpaceDN w:val="0"/>
        <w:adjustRightInd w:val="0"/>
        <w:spacing w:line="360" w:lineRule="auto"/>
        <w:ind w:left="0"/>
        <w:jc w:val="both"/>
        <w:rPr>
          <w:rFonts w:ascii="Palatino Linotype" w:hAnsi="Palatino Linotype" w:cs="Arial"/>
          <w:sz w:val="14"/>
        </w:rPr>
      </w:pPr>
      <w:r w:rsidRPr="005E2BAE">
        <w:rPr>
          <w:rFonts w:ascii="Palatino Linotype" w:hAnsi="Palatino Linotype" w:cs="Arial"/>
        </w:rPr>
        <w:lastRenderedPageBreak/>
        <w:t xml:space="preserve">ASÍ LO RESUELVE, POR </w:t>
      </w:r>
      <w:r w:rsidR="009E3304">
        <w:rPr>
          <w:rFonts w:ascii="Palatino Linotype" w:hAnsi="Palatino Linotype" w:cs="Arial"/>
        </w:rPr>
        <w:t>MAYORÍA</w:t>
      </w:r>
      <w:r w:rsidRPr="005E2BAE">
        <w:rPr>
          <w:rFonts w:ascii="Palatino Linotype" w:hAnsi="Palatino Linotype" w:cs="Arial"/>
        </w:rPr>
        <w:t xml:space="preserve"> DE VOTOS, EL PLENO DEL</w:t>
      </w:r>
      <w:r w:rsidRPr="005E2BAE">
        <w:rPr>
          <w:rFonts w:ascii="Palatino Linotype" w:eastAsia="Arial Unicode MS" w:hAnsi="Palatino Linotype" w:cs="Arial"/>
        </w:rPr>
        <w:t xml:space="preserve"> INSTITUTO DE TRANSPARENCIA, ACCESO A LA INFORMACIÓN PÚBLICA Y PROTECCIÓN DE DATOS PERSONALES DEL ESTADO DE MÉXICO Y MUNICIPIOS</w:t>
      </w:r>
      <w:r w:rsidRPr="005E2BAE">
        <w:rPr>
          <w:rFonts w:ascii="Palatino Linotype" w:hAnsi="Palatino Linotype" w:cs="Arial"/>
        </w:rPr>
        <w:t>, CONFORMADO POR LOS COMISIONADOS ZULEMA MARTÍNEZ SÁNCHEZ, EVA ABAID YAPUR, JOSÉ GUADALUPE LUNA HERNÁNDEZ, JAVIER MARTÍNEZ CRUZ</w:t>
      </w:r>
      <w:r w:rsidR="009E3304">
        <w:rPr>
          <w:rFonts w:ascii="Palatino Linotype" w:hAnsi="Palatino Linotype" w:cs="Arial"/>
        </w:rPr>
        <w:t xml:space="preserve"> (EMITIENDO VOTO EN CONTRA CON VOTO DISIDENTE)</w:t>
      </w:r>
      <w:r w:rsidRPr="005E2BAE">
        <w:rPr>
          <w:rFonts w:ascii="Palatino Linotype" w:hAnsi="Palatino Linotype" w:cs="Arial"/>
        </w:rPr>
        <w:t xml:space="preserve"> Y LUIS GUST</w:t>
      </w:r>
      <w:r w:rsidR="009E3304">
        <w:rPr>
          <w:rFonts w:ascii="Palatino Linotype" w:hAnsi="Palatino Linotype" w:cs="Arial"/>
        </w:rPr>
        <w:t>AVO PARRA NORIEGA, EN LA DÉCIMA</w:t>
      </w:r>
      <w:r w:rsidRPr="005E2BAE">
        <w:rPr>
          <w:rFonts w:ascii="Palatino Linotype" w:hAnsi="Palatino Linotype" w:cs="Arial"/>
        </w:rPr>
        <w:t xml:space="preserve"> SESIÓN ORDINARIA CELEBRADA EL </w:t>
      </w:r>
      <w:r w:rsidR="009E3304">
        <w:rPr>
          <w:rFonts w:ascii="Palatino Linotype" w:hAnsi="Palatino Linotype" w:cs="Arial"/>
        </w:rPr>
        <w:t>VEINTICUATRO</w:t>
      </w:r>
      <w:r w:rsidRPr="005E2BAE">
        <w:rPr>
          <w:rFonts w:ascii="Palatino Linotype" w:hAnsi="Palatino Linotype" w:cs="Arial"/>
        </w:rPr>
        <w:t xml:space="preserve"> DE MARZO DE DOS MIL VEINTIUNO, ANTE EL SECRETARIO TÉCNICO DEL PLENO, ALEXIS TAPIA RAMÍREZ.----------------------------------------------</w:t>
      </w:r>
      <w:r w:rsidRPr="00FE22BC">
        <w:rPr>
          <w:rFonts w:ascii="Palatino Linotype" w:hAnsi="Palatino Linotype" w:cs="Arial"/>
        </w:rPr>
        <w:t xml:space="preserve"> </w:t>
      </w:r>
      <w:r w:rsidRPr="005E2BAE">
        <w:rPr>
          <w:rFonts w:ascii="Palatino Linotype" w:hAnsi="Palatino Linotype" w:cs="Arial"/>
        </w:rPr>
        <w:t>----------------------------------------------------------------------------------------------------------------------------------------------------------------------------------------------------------------------------------------------------------------------------------------------------------------------------------------------------------------------------------------------------------------------------------------------------------------------------------------------------------------------------------------------------------------------------------------------------------------------------------------------------------------------------------------------------------------------------------------------------------------------------------------------------------------------------------------------------------------------------------------------------------------------------------------------------------------------------------------------------------------------------------------------------------------------------------------------------------------------------------------------------------------------------------------------------------------------------------------------------------------------------------------------------------------------------------------------------------------------------------------------------------------------------------------------------------------------------------------------------------------------------------------------------------------------------------------------------------------------------------------------------------------------------------------------------------</w:t>
      </w:r>
    </w:p>
    <w:p w14:paraId="261E8A09" w14:textId="77777777" w:rsidR="00FE22BC" w:rsidRPr="00FE22BC" w:rsidRDefault="00FE22BC" w:rsidP="00CF5253">
      <w:pPr>
        <w:pStyle w:val="Prrafodelista"/>
        <w:autoSpaceDE w:val="0"/>
        <w:autoSpaceDN w:val="0"/>
        <w:adjustRightInd w:val="0"/>
        <w:spacing w:line="360" w:lineRule="auto"/>
        <w:ind w:left="0"/>
        <w:jc w:val="both"/>
        <w:rPr>
          <w:rFonts w:ascii="Palatino Linotype" w:hAnsi="Palatino Linotype" w:cs="Arial"/>
          <w:sz w:val="14"/>
        </w:rPr>
      </w:pPr>
    </w:p>
    <w:p w14:paraId="7DB86599" w14:textId="749ED259" w:rsidR="00FE22BC" w:rsidRDefault="00FE22BC" w:rsidP="00FE22BC">
      <w:pPr>
        <w:spacing w:after="0" w:line="240" w:lineRule="auto"/>
        <w:rPr>
          <w:rFonts w:ascii="Palatino Linotype" w:hAnsi="Palatino Linotype"/>
          <w:sz w:val="16"/>
          <w:szCs w:val="18"/>
        </w:rPr>
      </w:pPr>
      <w:r w:rsidRPr="00667998">
        <w:rPr>
          <w:rFonts w:ascii="Palatino Linotype" w:hAnsi="Palatino Linotype"/>
          <w:sz w:val="16"/>
          <w:szCs w:val="18"/>
        </w:rPr>
        <w:t>ZMS/OSAM/</w:t>
      </w:r>
      <w:r>
        <w:rPr>
          <w:rFonts w:ascii="Palatino Linotype" w:hAnsi="Palatino Linotype"/>
          <w:sz w:val="16"/>
          <w:szCs w:val="18"/>
        </w:rPr>
        <w:t>FJJC</w:t>
      </w:r>
    </w:p>
    <w:p w14:paraId="61EB8EDC" w14:textId="77777777" w:rsidR="0011206B" w:rsidRPr="00FE22BC" w:rsidRDefault="0011206B" w:rsidP="00FE22BC">
      <w:pPr>
        <w:spacing w:after="0" w:line="240" w:lineRule="auto"/>
        <w:rPr>
          <w:rFonts w:ascii="Palatino Linotype" w:hAnsi="Palatino Linotype"/>
          <w:sz w:val="16"/>
          <w:szCs w:val="18"/>
        </w:rPr>
      </w:pPr>
    </w:p>
    <w:sectPr w:rsidR="0011206B" w:rsidRPr="00FE22BC" w:rsidSect="00FD0031">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B2554" w14:textId="77777777" w:rsidR="00F731CF" w:rsidRDefault="00F731CF" w:rsidP="00CF5253">
      <w:pPr>
        <w:spacing w:after="0" w:line="240" w:lineRule="auto"/>
      </w:pPr>
      <w:r>
        <w:separator/>
      </w:r>
    </w:p>
  </w:endnote>
  <w:endnote w:type="continuationSeparator" w:id="0">
    <w:p w14:paraId="4E92F15C" w14:textId="77777777" w:rsidR="00F731CF" w:rsidRDefault="00F731CF" w:rsidP="00CF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12007" w14:textId="77777777" w:rsidR="008D1BCE" w:rsidRPr="000B69FA" w:rsidRDefault="008D1BCE" w:rsidP="00FD003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15ED">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515ED">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B9AE" w14:textId="77777777" w:rsidR="008D1BCE" w:rsidRPr="000B69FA" w:rsidRDefault="008D1BCE" w:rsidP="00FD003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15E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515ED">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F88A3" w14:textId="77777777" w:rsidR="00F731CF" w:rsidRDefault="00F731CF" w:rsidP="00CF5253">
      <w:pPr>
        <w:spacing w:after="0" w:line="240" w:lineRule="auto"/>
      </w:pPr>
      <w:r>
        <w:separator/>
      </w:r>
    </w:p>
  </w:footnote>
  <w:footnote w:type="continuationSeparator" w:id="0">
    <w:p w14:paraId="6423C62E" w14:textId="77777777" w:rsidR="00F731CF" w:rsidRDefault="00F731CF" w:rsidP="00CF5253">
      <w:pPr>
        <w:spacing w:after="0" w:line="240" w:lineRule="auto"/>
      </w:pPr>
      <w:r>
        <w:continuationSeparator/>
      </w:r>
    </w:p>
  </w:footnote>
  <w:footnote w:id="1">
    <w:p w14:paraId="290C2259" w14:textId="77777777" w:rsidR="008D1BCE" w:rsidRPr="00615B4B" w:rsidRDefault="008D1BCE" w:rsidP="00771878">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18E6681" w14:textId="77777777" w:rsidR="008D1BCE" w:rsidRPr="00615B4B" w:rsidRDefault="008D1BCE" w:rsidP="00771878">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EFF4937" w14:textId="77777777" w:rsidR="008D1BCE" w:rsidRPr="00B92BC3" w:rsidRDefault="008D1BCE" w:rsidP="00771878">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02A8A178" w14:textId="77777777" w:rsidR="008D1BCE" w:rsidRDefault="008D1BCE" w:rsidP="00771878">
      <w:pPr>
        <w:pStyle w:val="Textonotapie"/>
        <w:numPr>
          <w:ilvl w:val="0"/>
          <w:numId w:val="31"/>
        </w:numPr>
        <w:spacing w:line="276" w:lineRule="auto"/>
        <w:jc w:val="both"/>
      </w:pPr>
      <w:r w:rsidRPr="00B92BC3">
        <w:rPr>
          <w:rFonts w:ascii="Arial" w:hAnsi="Arial" w:cs="Arial"/>
          <w:sz w:val="18"/>
        </w:rPr>
        <w:t>La falta de respuesta a una solicitud de acceso a la información;</w:t>
      </w:r>
    </w:p>
  </w:footnote>
  <w:footnote w:id="3">
    <w:p w14:paraId="1A472DF2" w14:textId="77777777" w:rsidR="008D1BCE" w:rsidRPr="00F36995" w:rsidRDefault="008D1BCE" w:rsidP="00771878">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37BA5CFB" w14:textId="77777777" w:rsidR="008D1BCE" w:rsidRPr="00F36995" w:rsidRDefault="008D1BCE" w:rsidP="00771878">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 w:id="4">
    <w:p w14:paraId="038DDF48" w14:textId="77777777" w:rsidR="008D1BCE" w:rsidRDefault="008D1BCE" w:rsidP="00771878">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5">
    <w:p w14:paraId="74BB7551" w14:textId="77777777" w:rsidR="008D1BCE" w:rsidRDefault="008D1BCE" w:rsidP="00771878">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6">
    <w:p w14:paraId="56908C0D" w14:textId="77777777" w:rsidR="008D1BCE" w:rsidRDefault="008D1BCE" w:rsidP="00771878">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7">
    <w:p w14:paraId="0259B0A8" w14:textId="77777777" w:rsidR="008D1BCE" w:rsidRDefault="008D1BCE" w:rsidP="00771878">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w:t>
      </w:r>
      <w:proofErr w:type="spellStart"/>
      <w:r>
        <w:rPr>
          <w:rFonts w:ascii="Palatino Linotype" w:eastAsia="MS Mincho" w:hAnsi="Palatino Linotype" w:cs="Arial"/>
          <w:sz w:val="16"/>
          <w:szCs w:val="16"/>
          <w:lang w:eastAsia="es-ES"/>
        </w:rPr>
        <w:t>VILLANUEVA</w:t>
      </w:r>
      <w:proofErr w:type="spellEnd"/>
      <w:r>
        <w:rPr>
          <w:rFonts w:ascii="Palatino Linotype" w:eastAsia="MS Mincho" w:hAnsi="Palatino Linotype" w:cs="Arial"/>
          <w:sz w:val="16"/>
          <w:szCs w:val="16"/>
          <w:lang w:eastAsia="es-ES"/>
        </w:rPr>
        <w:t xml:space="preserve">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3093D" w14:textId="4EEE7240" w:rsidR="008D1BCE" w:rsidRDefault="00F731CF">
    <w:pPr>
      <w:pStyle w:val="Encabezado"/>
    </w:pPr>
    <w:r>
      <w:rPr>
        <w:noProof/>
        <w:lang w:val="es-MX" w:eastAsia="es-MX"/>
      </w:rPr>
      <w:pict w14:anchorId="2CA1D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7493485"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00634" w14:textId="5916CAC0" w:rsidR="008D1BCE" w:rsidRDefault="00F731CF">
    <w:pPr>
      <w:pStyle w:val="Encabezado"/>
    </w:pPr>
    <w:r>
      <w:rPr>
        <w:noProof/>
        <w:lang w:val="es-MX" w:eastAsia="es-MX"/>
      </w:rPr>
      <w:pict w14:anchorId="5A6D0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7493486" o:spid="_x0000_s2051" type="#_x0000_t75" style="position:absolute;margin-left:-82.35pt;margin-top:-119.35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8D1BCE" w14:paraId="36769EB9" w14:textId="77777777" w:rsidTr="00FD0031">
      <w:trPr>
        <w:trHeight w:val="227"/>
      </w:trPr>
      <w:tc>
        <w:tcPr>
          <w:tcW w:w="5529" w:type="dxa"/>
          <w:hideMark/>
        </w:tcPr>
        <w:p w14:paraId="438AC0E6" w14:textId="77777777" w:rsidR="008D1BCE" w:rsidRDefault="008D1BCE" w:rsidP="00FD003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D170063" w14:textId="4BFF6F1D" w:rsidR="008D1BCE" w:rsidRPr="00B4142F" w:rsidRDefault="0011206B" w:rsidP="00FD0031">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00150/INFOEM/IP/RR/2021</w:t>
          </w:r>
        </w:p>
      </w:tc>
    </w:tr>
    <w:tr w:rsidR="008D1BCE" w14:paraId="3EAA2C78" w14:textId="77777777" w:rsidTr="00FD0031">
      <w:trPr>
        <w:trHeight w:val="242"/>
      </w:trPr>
      <w:tc>
        <w:tcPr>
          <w:tcW w:w="5529" w:type="dxa"/>
          <w:hideMark/>
        </w:tcPr>
        <w:p w14:paraId="7FB3E0FE" w14:textId="77777777" w:rsidR="008D1BCE" w:rsidRDefault="008D1BCE" w:rsidP="00FD003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2CB5C8C" w14:textId="0E61B16C" w:rsidR="008D1BCE" w:rsidRPr="00F06FED" w:rsidRDefault="0011206B" w:rsidP="00FD0031">
          <w:pPr>
            <w:spacing w:after="120" w:line="256" w:lineRule="auto"/>
            <w:ind w:left="639" w:right="214"/>
            <w:jc w:val="right"/>
            <w:rPr>
              <w:rFonts w:ascii="Palatino Linotype" w:hAnsi="Palatino Linotype" w:cs="Arial"/>
            </w:rPr>
          </w:pPr>
          <w:r>
            <w:rPr>
              <w:rFonts w:ascii="Palatino Linotype" w:hAnsi="Palatino Linotype" w:cs="Arial"/>
              <w:szCs w:val="20"/>
            </w:rPr>
            <w:t>Partido Morena</w:t>
          </w:r>
        </w:p>
      </w:tc>
    </w:tr>
    <w:tr w:rsidR="008D1BCE" w14:paraId="4F18C059" w14:textId="77777777" w:rsidTr="00FD0031">
      <w:trPr>
        <w:trHeight w:val="342"/>
      </w:trPr>
      <w:tc>
        <w:tcPr>
          <w:tcW w:w="5529" w:type="dxa"/>
          <w:hideMark/>
        </w:tcPr>
        <w:p w14:paraId="2178C79F" w14:textId="77777777" w:rsidR="008D1BCE" w:rsidRDefault="008D1BCE" w:rsidP="00FD003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18ED1F0" w14:textId="77777777" w:rsidR="008D1BCE" w:rsidRDefault="008D1BCE" w:rsidP="00FD0031">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03980036" w14:textId="77777777" w:rsidR="008D1BCE" w:rsidRDefault="008D1BC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D1BCE" w14:paraId="364E2DE0" w14:textId="77777777" w:rsidTr="00FD0031">
      <w:trPr>
        <w:trHeight w:val="227"/>
      </w:trPr>
      <w:tc>
        <w:tcPr>
          <w:tcW w:w="5529" w:type="dxa"/>
          <w:hideMark/>
        </w:tcPr>
        <w:p w14:paraId="76F7FF74" w14:textId="77777777" w:rsidR="008D1BCE" w:rsidRDefault="008D1BCE" w:rsidP="00FD003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30FF59C" w14:textId="0B6EED87" w:rsidR="008D1BCE" w:rsidRPr="00B4142F" w:rsidRDefault="008D1BCE" w:rsidP="00FD0031">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00150/INFOEM/IP/RR/2021</w:t>
          </w:r>
        </w:p>
      </w:tc>
    </w:tr>
    <w:tr w:rsidR="008D1BCE" w14:paraId="5CEAB854" w14:textId="77777777" w:rsidTr="00FD0031">
      <w:trPr>
        <w:trHeight w:val="196"/>
      </w:trPr>
      <w:tc>
        <w:tcPr>
          <w:tcW w:w="5529" w:type="dxa"/>
          <w:hideMark/>
        </w:tcPr>
        <w:p w14:paraId="7042B9CC" w14:textId="77777777" w:rsidR="008D1BCE" w:rsidRDefault="008D1BCE" w:rsidP="00FD003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ADEB5A1" w14:textId="4560E7E3" w:rsidR="008D1BCE" w:rsidRPr="00F06FED" w:rsidRDefault="005515ED" w:rsidP="00FD0031">
          <w:pPr>
            <w:spacing w:after="120" w:line="256" w:lineRule="auto"/>
            <w:ind w:left="639" w:right="214"/>
            <w:jc w:val="right"/>
            <w:rPr>
              <w:rFonts w:ascii="Palatino Linotype" w:hAnsi="Palatino Linotype" w:cs="Arial"/>
            </w:rPr>
          </w:pPr>
          <w:proofErr w:type="spellStart"/>
          <w:r>
            <w:rPr>
              <w:rFonts w:ascii="Palatino Linotype" w:hAnsi="Palatino Linotype" w:cs="Arial"/>
            </w:rPr>
            <w:t>xxxxxxxxxxxxxxxxx</w:t>
          </w:r>
          <w:proofErr w:type="spellEnd"/>
        </w:p>
      </w:tc>
    </w:tr>
    <w:tr w:rsidR="008D1BCE" w14:paraId="5B6BFC21" w14:textId="77777777" w:rsidTr="00FD0031">
      <w:trPr>
        <w:trHeight w:val="242"/>
      </w:trPr>
      <w:tc>
        <w:tcPr>
          <w:tcW w:w="5529" w:type="dxa"/>
          <w:hideMark/>
        </w:tcPr>
        <w:p w14:paraId="33AE5C5D" w14:textId="77777777" w:rsidR="008D1BCE" w:rsidRDefault="008D1BCE" w:rsidP="00FD003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1A1A33" w14:textId="5D24DA75" w:rsidR="008D1BCE" w:rsidRDefault="008D1BCE" w:rsidP="00FD0031">
          <w:pPr>
            <w:spacing w:after="120" w:line="256" w:lineRule="auto"/>
            <w:ind w:left="639" w:right="214"/>
            <w:jc w:val="right"/>
            <w:rPr>
              <w:rFonts w:ascii="Palatino Linotype" w:hAnsi="Palatino Linotype" w:cs="Arial"/>
              <w:szCs w:val="20"/>
            </w:rPr>
          </w:pPr>
          <w:r w:rsidRPr="00050C32">
            <w:rPr>
              <w:rFonts w:ascii="Palatino Linotype" w:hAnsi="Palatino Linotype" w:cs="Arial"/>
              <w:szCs w:val="20"/>
            </w:rPr>
            <w:t>Partido Morena</w:t>
          </w:r>
        </w:p>
      </w:tc>
    </w:tr>
    <w:tr w:rsidR="008D1BCE" w14:paraId="7E598D44" w14:textId="77777777" w:rsidTr="00FD0031">
      <w:trPr>
        <w:trHeight w:val="342"/>
      </w:trPr>
      <w:tc>
        <w:tcPr>
          <w:tcW w:w="5529" w:type="dxa"/>
          <w:hideMark/>
        </w:tcPr>
        <w:p w14:paraId="58B46384" w14:textId="77777777" w:rsidR="008D1BCE" w:rsidRDefault="008D1BCE" w:rsidP="00FD003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B5A9D84" w14:textId="77777777" w:rsidR="008D1BCE" w:rsidRDefault="008D1BCE" w:rsidP="00FD0031">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4C8D725F" w14:textId="659BEE85" w:rsidR="008D1BCE" w:rsidRDefault="00F731CF">
    <w:pPr>
      <w:pStyle w:val="Encabezado"/>
    </w:pPr>
    <w:r>
      <w:rPr>
        <w:noProof/>
        <w:lang w:val="es-MX" w:eastAsia="es-MX"/>
      </w:rPr>
      <w:pict w14:anchorId="2A1A52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7493484" o:spid="_x0000_s2049" type="#_x0000_t75" style="position:absolute;margin-left:-82.35pt;margin-top:-132.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0C5E"/>
    <w:multiLevelType w:val="hybridMultilevel"/>
    <w:tmpl w:val="616271C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871DA7"/>
    <w:multiLevelType w:val="hybridMultilevel"/>
    <w:tmpl w:val="689EDBA6"/>
    <w:lvl w:ilvl="0" w:tplc="00CCE4CE">
      <w:start w:val="1"/>
      <w:numFmt w:val="lowerLetter"/>
      <w:lvlText w:val="%1)"/>
      <w:lvlJc w:val="left"/>
      <w:pPr>
        <w:ind w:left="380" w:hanging="360"/>
      </w:pPr>
      <w:rPr>
        <w:rFonts w:hint="default"/>
        <w:b/>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3">
    <w:nsid w:val="0C763267"/>
    <w:multiLevelType w:val="hybridMultilevel"/>
    <w:tmpl w:val="B628B03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11800EB0"/>
    <w:multiLevelType w:val="hybridMultilevel"/>
    <w:tmpl w:val="E1FAF0F0"/>
    <w:lvl w:ilvl="0" w:tplc="C5862B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CB442E"/>
    <w:multiLevelType w:val="hybridMultilevel"/>
    <w:tmpl w:val="AB823A82"/>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B0223F"/>
    <w:multiLevelType w:val="hybridMultilevel"/>
    <w:tmpl w:val="DD92D616"/>
    <w:lvl w:ilvl="0" w:tplc="B63000B0">
      <w:start w:val="1"/>
      <w:numFmt w:val="decimal"/>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9EC2B99"/>
    <w:multiLevelType w:val="hybridMultilevel"/>
    <w:tmpl w:val="9BDA976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184026"/>
    <w:multiLevelType w:val="hybridMultilevel"/>
    <w:tmpl w:val="05EA52D0"/>
    <w:lvl w:ilvl="0" w:tplc="080A0017">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2A367C"/>
    <w:multiLevelType w:val="hybridMultilevel"/>
    <w:tmpl w:val="A4B402F6"/>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B232B90"/>
    <w:multiLevelType w:val="hybridMultilevel"/>
    <w:tmpl w:val="3A98634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8914BF3"/>
    <w:multiLevelType w:val="hybridMultilevel"/>
    <w:tmpl w:val="F46A0C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CC76C06"/>
    <w:multiLevelType w:val="hybridMultilevel"/>
    <w:tmpl w:val="C9F8BAF8"/>
    <w:lvl w:ilvl="0" w:tplc="5B0898C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9022728"/>
    <w:multiLevelType w:val="hybridMultilevel"/>
    <w:tmpl w:val="D80E376E"/>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nsid w:val="576F059E"/>
    <w:multiLevelType w:val="hybridMultilevel"/>
    <w:tmpl w:val="0F1E61BE"/>
    <w:lvl w:ilvl="0" w:tplc="16FC4AA6">
      <w:start w:val="1"/>
      <w:numFmt w:val="decimal"/>
      <w:lvlText w:val="%1."/>
      <w:lvlJc w:val="left"/>
      <w:pPr>
        <w:ind w:left="1080" w:hanging="360"/>
      </w:pPr>
      <w:rPr>
        <w:rFonts w:eastAsia="Calibri" w:cs="Tahom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3AD7614"/>
    <w:multiLevelType w:val="hybridMultilevel"/>
    <w:tmpl w:val="125A75C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6DE7AF7"/>
    <w:multiLevelType w:val="hybridMultilevel"/>
    <w:tmpl w:val="6846A76C"/>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7B827D1"/>
    <w:multiLevelType w:val="hybridMultilevel"/>
    <w:tmpl w:val="BB52B71E"/>
    <w:lvl w:ilvl="0" w:tplc="71D2292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3">
    <w:nsid w:val="7C1B6434"/>
    <w:multiLevelType w:val="hybridMultilevel"/>
    <w:tmpl w:val="95C2B0C6"/>
    <w:lvl w:ilvl="0" w:tplc="417ED8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nsid w:val="7F9D0E69"/>
    <w:multiLevelType w:val="hybridMultilevel"/>
    <w:tmpl w:val="E2FA4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13"/>
  </w:num>
  <w:num w:numId="4">
    <w:abstractNumId w:val="6"/>
  </w:num>
  <w:num w:numId="5">
    <w:abstractNumId w:val="8"/>
  </w:num>
  <w:num w:numId="6">
    <w:abstractNumId w:val="14"/>
  </w:num>
  <w:num w:numId="7">
    <w:abstractNumId w:val="26"/>
  </w:num>
  <w:num w:numId="8">
    <w:abstractNumId w:val="7"/>
  </w:num>
  <w:num w:numId="9">
    <w:abstractNumId w:val="19"/>
  </w:num>
  <w:num w:numId="10">
    <w:abstractNumId w:val="15"/>
  </w:num>
  <w:num w:numId="11">
    <w:abstractNumId w:val="24"/>
  </w:num>
  <w:num w:numId="12">
    <w:abstractNumId w:val="5"/>
  </w:num>
  <w:num w:numId="13">
    <w:abstractNumId w:val="30"/>
  </w:num>
  <w:num w:numId="14">
    <w:abstractNumId w:val="34"/>
  </w:num>
  <w:num w:numId="15">
    <w:abstractNumId w:val="21"/>
  </w:num>
  <w:num w:numId="16">
    <w:abstractNumId w:val="2"/>
  </w:num>
  <w:num w:numId="17">
    <w:abstractNumId w:val="1"/>
  </w:num>
  <w:num w:numId="18">
    <w:abstractNumId w:val="32"/>
  </w:num>
  <w:num w:numId="19">
    <w:abstractNumId w:val="35"/>
  </w:num>
  <w:num w:numId="20">
    <w:abstractNumId w:val="20"/>
  </w:num>
  <w:num w:numId="21">
    <w:abstractNumId w:val="11"/>
  </w:num>
  <w:num w:numId="22">
    <w:abstractNumId w:val="12"/>
  </w:num>
  <w:num w:numId="23">
    <w:abstractNumId w:val="31"/>
  </w:num>
  <w:num w:numId="24">
    <w:abstractNumId w:val="4"/>
  </w:num>
  <w:num w:numId="25">
    <w:abstractNumId w:val="23"/>
  </w:num>
  <w:num w:numId="26">
    <w:abstractNumId w:val="18"/>
  </w:num>
  <w:num w:numId="27">
    <w:abstractNumId w:val="10"/>
  </w:num>
  <w:num w:numId="28">
    <w:abstractNumId w:val="17"/>
  </w:num>
  <w:num w:numId="29">
    <w:abstractNumId w:val="29"/>
  </w:num>
  <w:num w:numId="30">
    <w:abstractNumId w:val="33"/>
  </w:num>
  <w:num w:numId="31">
    <w:abstractNumId w:val="25"/>
  </w:num>
  <w:num w:numId="32">
    <w:abstractNumId w:val="27"/>
  </w:num>
  <w:num w:numId="33">
    <w:abstractNumId w:val="9"/>
  </w:num>
  <w:num w:numId="34">
    <w:abstractNumId w:val="0"/>
  </w:num>
  <w:num w:numId="35">
    <w:abstractNumId w:val="3"/>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53"/>
    <w:rsid w:val="00050C32"/>
    <w:rsid w:val="000513D8"/>
    <w:rsid w:val="00061294"/>
    <w:rsid w:val="000D31B1"/>
    <w:rsid w:val="000F4925"/>
    <w:rsid w:val="0011206B"/>
    <w:rsid w:val="00125A2C"/>
    <w:rsid w:val="0014472E"/>
    <w:rsid w:val="00153CB2"/>
    <w:rsid w:val="00176D8D"/>
    <w:rsid w:val="00183558"/>
    <w:rsid w:val="001A786B"/>
    <w:rsid w:val="001E0ED0"/>
    <w:rsid w:val="001F66F0"/>
    <w:rsid w:val="00216E94"/>
    <w:rsid w:val="00220C03"/>
    <w:rsid w:val="00224BD6"/>
    <w:rsid w:val="002436C3"/>
    <w:rsid w:val="002516DC"/>
    <w:rsid w:val="00277E4B"/>
    <w:rsid w:val="002906F0"/>
    <w:rsid w:val="002A41E6"/>
    <w:rsid w:val="002A44FD"/>
    <w:rsid w:val="002D6011"/>
    <w:rsid w:val="002E4812"/>
    <w:rsid w:val="002F04C1"/>
    <w:rsid w:val="00397BA8"/>
    <w:rsid w:val="00431D3D"/>
    <w:rsid w:val="00434994"/>
    <w:rsid w:val="004612D0"/>
    <w:rsid w:val="00512191"/>
    <w:rsid w:val="00525B4B"/>
    <w:rsid w:val="0055071B"/>
    <w:rsid w:val="005515ED"/>
    <w:rsid w:val="005B100D"/>
    <w:rsid w:val="005E30AA"/>
    <w:rsid w:val="005E35FA"/>
    <w:rsid w:val="005E7C9F"/>
    <w:rsid w:val="00605B16"/>
    <w:rsid w:val="00660B20"/>
    <w:rsid w:val="0069750C"/>
    <w:rsid w:val="00715EF8"/>
    <w:rsid w:val="00771878"/>
    <w:rsid w:val="00794DA9"/>
    <w:rsid w:val="007B32EB"/>
    <w:rsid w:val="007B3BBF"/>
    <w:rsid w:val="007E4FF1"/>
    <w:rsid w:val="007F58B1"/>
    <w:rsid w:val="00812525"/>
    <w:rsid w:val="00821AC3"/>
    <w:rsid w:val="008547EF"/>
    <w:rsid w:val="008C0758"/>
    <w:rsid w:val="008C4471"/>
    <w:rsid w:val="008D1BCE"/>
    <w:rsid w:val="008D4EAB"/>
    <w:rsid w:val="008E21E5"/>
    <w:rsid w:val="008E2500"/>
    <w:rsid w:val="0090408F"/>
    <w:rsid w:val="00905F5E"/>
    <w:rsid w:val="00932593"/>
    <w:rsid w:val="00951D2B"/>
    <w:rsid w:val="00956B84"/>
    <w:rsid w:val="00962977"/>
    <w:rsid w:val="009755D0"/>
    <w:rsid w:val="00976D7D"/>
    <w:rsid w:val="009867E6"/>
    <w:rsid w:val="009B4E78"/>
    <w:rsid w:val="009E3304"/>
    <w:rsid w:val="009F208F"/>
    <w:rsid w:val="009F4D62"/>
    <w:rsid w:val="00A17B53"/>
    <w:rsid w:val="00A35DFC"/>
    <w:rsid w:val="00A51BD0"/>
    <w:rsid w:val="00A65B98"/>
    <w:rsid w:val="00A84438"/>
    <w:rsid w:val="00AA1589"/>
    <w:rsid w:val="00AB389F"/>
    <w:rsid w:val="00AC22C8"/>
    <w:rsid w:val="00AD2242"/>
    <w:rsid w:val="00AF09DE"/>
    <w:rsid w:val="00B02B7E"/>
    <w:rsid w:val="00B05F58"/>
    <w:rsid w:val="00B24DA2"/>
    <w:rsid w:val="00B32C7B"/>
    <w:rsid w:val="00B7552E"/>
    <w:rsid w:val="00B902C3"/>
    <w:rsid w:val="00BA02D1"/>
    <w:rsid w:val="00BA33B4"/>
    <w:rsid w:val="00BC0F2E"/>
    <w:rsid w:val="00BC5C98"/>
    <w:rsid w:val="00BD6686"/>
    <w:rsid w:val="00C00761"/>
    <w:rsid w:val="00C071E5"/>
    <w:rsid w:val="00C271C6"/>
    <w:rsid w:val="00C37A7D"/>
    <w:rsid w:val="00C834B6"/>
    <w:rsid w:val="00C86392"/>
    <w:rsid w:val="00C94F82"/>
    <w:rsid w:val="00CE6052"/>
    <w:rsid w:val="00CF5253"/>
    <w:rsid w:val="00D366F7"/>
    <w:rsid w:val="00D632D0"/>
    <w:rsid w:val="00D72336"/>
    <w:rsid w:val="00DC2983"/>
    <w:rsid w:val="00DD6C4C"/>
    <w:rsid w:val="00DE10DA"/>
    <w:rsid w:val="00DF3903"/>
    <w:rsid w:val="00E12420"/>
    <w:rsid w:val="00E23ADA"/>
    <w:rsid w:val="00E7214C"/>
    <w:rsid w:val="00E76899"/>
    <w:rsid w:val="00E768F9"/>
    <w:rsid w:val="00E85604"/>
    <w:rsid w:val="00EB65CE"/>
    <w:rsid w:val="00EF3701"/>
    <w:rsid w:val="00F03DC6"/>
    <w:rsid w:val="00F111D8"/>
    <w:rsid w:val="00F1590F"/>
    <w:rsid w:val="00F24914"/>
    <w:rsid w:val="00F363B1"/>
    <w:rsid w:val="00F462B1"/>
    <w:rsid w:val="00F714F1"/>
    <w:rsid w:val="00F731CF"/>
    <w:rsid w:val="00FD0031"/>
    <w:rsid w:val="00FD18AE"/>
    <w:rsid w:val="00FE22BC"/>
    <w:rsid w:val="00FE56FE"/>
    <w:rsid w:val="00FF0FEB"/>
    <w:rsid w:val="00FF16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3D9272"/>
  <w15:chartTrackingRefBased/>
  <w15:docId w15:val="{A673DDD7-B86E-46EE-A1DD-A4CAC027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253"/>
  </w:style>
  <w:style w:type="paragraph" w:styleId="Ttulo1">
    <w:name w:val="heading 1"/>
    <w:basedOn w:val="Normal"/>
    <w:next w:val="Normal"/>
    <w:link w:val="Ttulo1Car"/>
    <w:uiPriority w:val="9"/>
    <w:qFormat/>
    <w:rsid w:val="00F1590F"/>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F159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F1590F"/>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525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525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F525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525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F525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F525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F525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F525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CF5253"/>
    <w:rPr>
      <w:color w:val="0563C1" w:themeColor="hyperlink"/>
      <w:u w:val="single"/>
    </w:rPr>
  </w:style>
  <w:style w:type="paragraph" w:styleId="Sinespaciado">
    <w:name w:val="No Spacing"/>
    <w:aliases w:val="Francesa,INAI"/>
    <w:link w:val="SinespaciadoCar"/>
    <w:uiPriority w:val="1"/>
    <w:qFormat/>
    <w:rsid w:val="00CF525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5253"/>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CF5253"/>
    <w:pPr>
      <w:spacing w:after="120"/>
    </w:pPr>
  </w:style>
  <w:style w:type="character" w:customStyle="1" w:styleId="TextoindependienteCar">
    <w:name w:val="Texto independiente Car"/>
    <w:basedOn w:val="Fuentedeprrafopredeter"/>
    <w:link w:val="Textoindependiente"/>
    <w:uiPriority w:val="1"/>
    <w:rsid w:val="00CF5253"/>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F525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F5253"/>
    <w:rPr>
      <w:sz w:val="20"/>
      <w:szCs w:val="20"/>
    </w:rPr>
  </w:style>
  <w:style w:type="paragraph" w:styleId="Textodeglobo">
    <w:name w:val="Balloon Text"/>
    <w:basedOn w:val="Normal"/>
    <w:link w:val="TextodegloboCar"/>
    <w:uiPriority w:val="99"/>
    <w:semiHidden/>
    <w:unhideWhenUsed/>
    <w:rsid w:val="005507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071B"/>
    <w:rPr>
      <w:rFonts w:ascii="Segoe UI" w:hAnsi="Segoe UI" w:cs="Segoe UI"/>
      <w:sz w:val="18"/>
      <w:szCs w:val="18"/>
    </w:rPr>
  </w:style>
  <w:style w:type="character" w:customStyle="1" w:styleId="Ttulo1Car">
    <w:name w:val="Título 1 Car"/>
    <w:basedOn w:val="Fuentedeprrafopredeter"/>
    <w:link w:val="Ttulo1"/>
    <w:uiPriority w:val="9"/>
    <w:rsid w:val="00F1590F"/>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F1590F"/>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F1590F"/>
    <w:rPr>
      <w:rFonts w:ascii="Times New Roman" w:eastAsia="Times New Roman" w:hAnsi="Times New Roman" w:cs="Times New Roman"/>
      <w:b/>
      <w:bCs/>
      <w:sz w:val="24"/>
      <w:szCs w:val="24"/>
      <w:lang w:eastAsia="es-MX"/>
    </w:rPr>
  </w:style>
  <w:style w:type="paragraph" w:styleId="Textosinformato">
    <w:name w:val="Plain Text"/>
    <w:basedOn w:val="Normal"/>
    <w:link w:val="TextosinformatoCar"/>
    <w:rsid w:val="00F1590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1590F"/>
    <w:rPr>
      <w:rFonts w:ascii="Courier New" w:eastAsia="Times New Roman" w:hAnsi="Courier New" w:cs="Times New Roman"/>
      <w:sz w:val="20"/>
      <w:szCs w:val="20"/>
      <w:lang w:val="es-ES" w:eastAsia="es-ES"/>
    </w:rPr>
  </w:style>
  <w:style w:type="paragraph" w:customStyle="1" w:styleId="Default">
    <w:name w:val="Default"/>
    <w:rsid w:val="00F1590F"/>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F1590F"/>
    <w:rPr>
      <w:b/>
      <w:bCs/>
    </w:rPr>
  </w:style>
  <w:style w:type="character" w:customStyle="1" w:styleId="lbl-encabezado-negro">
    <w:name w:val="lbl-encabezado-negro"/>
    <w:basedOn w:val="Fuentedeprrafopredeter"/>
    <w:rsid w:val="00F1590F"/>
  </w:style>
  <w:style w:type="character" w:customStyle="1" w:styleId="red">
    <w:name w:val="red"/>
    <w:basedOn w:val="Fuentedeprrafopredeter"/>
    <w:rsid w:val="00F1590F"/>
  </w:style>
  <w:style w:type="paragraph" w:customStyle="1" w:styleId="francesa">
    <w:name w:val="francesa"/>
    <w:basedOn w:val="Normal"/>
    <w:rsid w:val="00F1590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F159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F1590F"/>
    <w:pPr>
      <w:spacing w:line="221" w:lineRule="atLeast"/>
    </w:pPr>
    <w:rPr>
      <w:color w:val="auto"/>
    </w:rPr>
  </w:style>
  <w:style w:type="paragraph" w:customStyle="1" w:styleId="n2">
    <w:name w:val="n2"/>
    <w:basedOn w:val="Normal"/>
    <w:rsid w:val="00F1590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F1590F"/>
    <w:rPr>
      <w:i/>
      <w:iCs/>
    </w:rPr>
  </w:style>
  <w:style w:type="paragraph" w:customStyle="1" w:styleId="j">
    <w:name w:val="j"/>
    <w:basedOn w:val="Normal"/>
    <w:rsid w:val="00F1590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F1590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F1590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F1590F"/>
  </w:style>
  <w:style w:type="character" w:customStyle="1" w:styleId="h">
    <w:name w:val="h"/>
    <w:basedOn w:val="Fuentedeprrafopredeter"/>
    <w:rsid w:val="00F1590F"/>
  </w:style>
  <w:style w:type="character" w:customStyle="1" w:styleId="i1">
    <w:name w:val="i1"/>
    <w:basedOn w:val="Fuentedeprrafopredeter"/>
    <w:rsid w:val="00F1590F"/>
  </w:style>
  <w:style w:type="paragraph" w:styleId="Sangradetextonormal">
    <w:name w:val="Body Text Indent"/>
    <w:basedOn w:val="Normal"/>
    <w:link w:val="SangradetextonormalCar"/>
    <w:uiPriority w:val="99"/>
    <w:unhideWhenUsed/>
    <w:rsid w:val="00F1590F"/>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F1590F"/>
    <w:rPr>
      <w:rFonts w:ascii="Calibri" w:eastAsia="Calibri" w:hAnsi="Calibri" w:cs="Times New Roman"/>
    </w:rPr>
  </w:style>
  <w:style w:type="paragraph" w:styleId="NormalWeb">
    <w:name w:val="Normal (Web)"/>
    <w:basedOn w:val="Normal"/>
    <w:uiPriority w:val="99"/>
    <w:rsid w:val="00F1590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F1590F"/>
    <w:rPr>
      <w:sz w:val="16"/>
      <w:szCs w:val="16"/>
    </w:rPr>
  </w:style>
  <w:style w:type="paragraph" w:styleId="Textocomentario">
    <w:name w:val="annotation text"/>
    <w:basedOn w:val="Normal"/>
    <w:link w:val="TextocomentarioCar"/>
    <w:uiPriority w:val="99"/>
    <w:semiHidden/>
    <w:unhideWhenUsed/>
    <w:rsid w:val="00F159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590F"/>
    <w:rPr>
      <w:sz w:val="20"/>
      <w:szCs w:val="20"/>
    </w:rPr>
  </w:style>
  <w:style w:type="paragraph" w:styleId="Asuntodelcomentario">
    <w:name w:val="annotation subject"/>
    <w:basedOn w:val="Textocomentario"/>
    <w:next w:val="Textocomentario"/>
    <w:link w:val="AsuntodelcomentarioCar"/>
    <w:uiPriority w:val="99"/>
    <w:semiHidden/>
    <w:unhideWhenUsed/>
    <w:rsid w:val="00F1590F"/>
    <w:rPr>
      <w:b/>
      <w:bCs/>
    </w:rPr>
  </w:style>
  <w:style w:type="character" w:customStyle="1" w:styleId="AsuntodelcomentarioCar">
    <w:name w:val="Asunto del comentario Car"/>
    <w:basedOn w:val="TextocomentarioCar"/>
    <w:link w:val="Asuntodelcomentario"/>
    <w:uiPriority w:val="99"/>
    <w:semiHidden/>
    <w:rsid w:val="00F1590F"/>
    <w:rPr>
      <w:b/>
      <w:bCs/>
      <w:sz w:val="20"/>
      <w:szCs w:val="20"/>
    </w:rPr>
  </w:style>
  <w:style w:type="paragraph" w:styleId="Revisin">
    <w:name w:val="Revision"/>
    <w:hidden/>
    <w:uiPriority w:val="99"/>
    <w:semiHidden/>
    <w:rsid w:val="00F1590F"/>
    <w:pPr>
      <w:spacing w:after="0" w:line="240" w:lineRule="auto"/>
    </w:pPr>
  </w:style>
  <w:style w:type="character" w:customStyle="1" w:styleId="notranslate">
    <w:name w:val="notranslate"/>
    <w:basedOn w:val="Fuentedeprrafopredeter"/>
    <w:rsid w:val="00F1590F"/>
  </w:style>
  <w:style w:type="character" w:styleId="Hipervnculovisitado">
    <w:name w:val="FollowedHyperlink"/>
    <w:basedOn w:val="Fuentedeprrafopredeter"/>
    <w:uiPriority w:val="99"/>
    <w:semiHidden/>
    <w:unhideWhenUsed/>
    <w:rsid w:val="00F159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561052">
      <w:bodyDiv w:val="1"/>
      <w:marLeft w:val="0"/>
      <w:marRight w:val="0"/>
      <w:marTop w:val="0"/>
      <w:marBottom w:val="0"/>
      <w:divBdr>
        <w:top w:val="none" w:sz="0" w:space="0" w:color="auto"/>
        <w:left w:val="none" w:sz="0" w:space="0" w:color="auto"/>
        <w:bottom w:val="none" w:sz="0" w:space="0" w:color="auto"/>
        <w:right w:val="none" w:sz="0" w:space="0" w:color="auto"/>
      </w:divBdr>
    </w:div>
    <w:div w:id="439373908">
      <w:bodyDiv w:val="1"/>
      <w:marLeft w:val="0"/>
      <w:marRight w:val="0"/>
      <w:marTop w:val="0"/>
      <w:marBottom w:val="0"/>
      <w:divBdr>
        <w:top w:val="none" w:sz="0" w:space="0" w:color="auto"/>
        <w:left w:val="none" w:sz="0" w:space="0" w:color="auto"/>
        <w:bottom w:val="none" w:sz="0" w:space="0" w:color="auto"/>
        <w:right w:val="none" w:sz="0" w:space="0" w:color="auto"/>
      </w:divBdr>
    </w:div>
    <w:div w:id="552620105">
      <w:bodyDiv w:val="1"/>
      <w:marLeft w:val="0"/>
      <w:marRight w:val="0"/>
      <w:marTop w:val="0"/>
      <w:marBottom w:val="0"/>
      <w:divBdr>
        <w:top w:val="none" w:sz="0" w:space="0" w:color="auto"/>
        <w:left w:val="none" w:sz="0" w:space="0" w:color="auto"/>
        <w:bottom w:val="none" w:sz="0" w:space="0" w:color="auto"/>
        <w:right w:val="none" w:sz="0" w:space="0" w:color="auto"/>
      </w:divBdr>
    </w:div>
    <w:div w:id="66120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35</Pages>
  <Words>7776</Words>
  <Characters>42768</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8</cp:revision>
  <dcterms:created xsi:type="dcterms:W3CDTF">2021-03-11T20:50:00Z</dcterms:created>
  <dcterms:modified xsi:type="dcterms:W3CDTF">2021-04-09T00:44:00Z</dcterms:modified>
</cp:coreProperties>
</file>