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7B69C8FA" w:rsidR="006168E4" w:rsidRDefault="006168E4" w:rsidP="00F71082">
      <w:pPr>
        <w:spacing w:before="240" w:line="360" w:lineRule="auto"/>
        <w:jc w:val="both"/>
        <w:rPr>
          <w:rFonts w:ascii="Palatino Linotype" w:eastAsia="Times New Roman" w:hAnsi="Palatino Linotype" w:cs="Arial"/>
          <w:color w:val="000000"/>
          <w:sz w:val="24"/>
          <w:szCs w:val="24"/>
          <w:lang w:eastAsia="es-MX"/>
        </w:rPr>
      </w:pPr>
      <w:bookmarkStart w:id="0" w:name="_Hlk57191179"/>
      <w:bookmarkEnd w:id="0"/>
      <w:r w:rsidRPr="00F7108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16E18">
        <w:rPr>
          <w:rFonts w:ascii="Palatino Linotype" w:eastAsia="Times New Roman" w:hAnsi="Palatino Linotype" w:cs="Arial"/>
          <w:color w:val="000000"/>
          <w:sz w:val="24"/>
          <w:szCs w:val="24"/>
          <w:lang w:eastAsia="es-MX"/>
        </w:rPr>
        <w:t>seis de mayo de dos mil veintiuno</w:t>
      </w:r>
      <w:r w:rsidR="00AE0C47">
        <w:rPr>
          <w:rFonts w:ascii="Palatino Linotype" w:eastAsia="Times New Roman" w:hAnsi="Palatino Linotype" w:cs="Arial"/>
          <w:color w:val="000000"/>
          <w:sz w:val="24"/>
          <w:szCs w:val="24"/>
          <w:lang w:eastAsia="es-MX"/>
        </w:rPr>
        <w:t xml:space="preserve">. </w:t>
      </w:r>
      <w:r w:rsidR="00530DDA">
        <w:rPr>
          <w:rFonts w:ascii="Palatino Linotype" w:eastAsia="Times New Roman" w:hAnsi="Palatino Linotype" w:cs="Arial"/>
          <w:color w:val="000000"/>
          <w:sz w:val="24"/>
          <w:szCs w:val="24"/>
          <w:lang w:eastAsia="es-MX"/>
        </w:rPr>
        <w:t xml:space="preserve"> </w:t>
      </w:r>
      <w:r w:rsidR="0027381A">
        <w:rPr>
          <w:rFonts w:ascii="Palatino Linotype" w:eastAsia="Times New Roman" w:hAnsi="Palatino Linotype" w:cs="Arial"/>
          <w:color w:val="000000"/>
          <w:sz w:val="24"/>
          <w:szCs w:val="24"/>
          <w:lang w:eastAsia="es-MX"/>
        </w:rPr>
        <w:t xml:space="preserve"> </w:t>
      </w:r>
      <w:r w:rsidR="00F40E4D">
        <w:rPr>
          <w:rFonts w:ascii="Palatino Linotype" w:eastAsia="Times New Roman" w:hAnsi="Palatino Linotype" w:cs="Arial"/>
          <w:color w:val="000000"/>
          <w:sz w:val="24"/>
          <w:szCs w:val="24"/>
          <w:lang w:eastAsia="es-MX"/>
        </w:rPr>
        <w:t xml:space="preserve"> </w:t>
      </w:r>
      <w:r w:rsidR="007A3BB5">
        <w:rPr>
          <w:rFonts w:ascii="Palatino Linotype" w:eastAsia="Times New Roman" w:hAnsi="Palatino Linotype" w:cs="Arial"/>
          <w:color w:val="000000"/>
          <w:sz w:val="24"/>
          <w:szCs w:val="24"/>
          <w:lang w:eastAsia="es-MX"/>
        </w:rPr>
        <w:t xml:space="preserve"> </w:t>
      </w:r>
      <w:r w:rsidR="001710C0">
        <w:rPr>
          <w:rFonts w:ascii="Palatino Linotype" w:eastAsia="Times New Roman" w:hAnsi="Palatino Linotype" w:cs="Arial"/>
          <w:color w:val="000000"/>
          <w:sz w:val="24"/>
          <w:szCs w:val="24"/>
          <w:lang w:eastAsia="es-MX"/>
        </w:rPr>
        <w:tab/>
      </w:r>
    </w:p>
    <w:p w14:paraId="03290091" w14:textId="586F0A85" w:rsidR="00916E18" w:rsidRPr="00916E18" w:rsidRDefault="006168E4" w:rsidP="00F71082">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916E18">
        <w:rPr>
          <w:rFonts w:ascii="Palatino Linotype" w:hAnsi="Palatino Linotype" w:cs="Arial"/>
          <w:b/>
          <w:bCs/>
          <w:sz w:val="24"/>
          <w:lang w:eastAsia="es-MX"/>
        </w:rPr>
        <w:t>0900</w:t>
      </w:r>
      <w:r w:rsidR="00F403EA">
        <w:rPr>
          <w:rFonts w:ascii="Palatino Linotype" w:hAnsi="Palatino Linotype" w:cs="Arial"/>
          <w:b/>
          <w:bCs/>
          <w:sz w:val="24"/>
          <w:lang w:eastAsia="es-MX"/>
        </w:rPr>
        <w:t>/</w:t>
      </w:r>
      <w:r w:rsidR="00530DDA">
        <w:rPr>
          <w:rFonts w:ascii="Palatino Linotype" w:hAnsi="Palatino Linotype" w:cs="Arial"/>
          <w:b/>
          <w:bCs/>
          <w:sz w:val="24"/>
          <w:lang w:eastAsia="es-MX"/>
        </w:rPr>
        <w:t>INFOEM/IP/RR/2021</w:t>
      </w:r>
      <w:r w:rsidRPr="00F403EA">
        <w:rPr>
          <w:rFonts w:ascii="Palatino Linotype" w:hAnsi="Palatino Linotype" w:cs="Arial"/>
          <w:sz w:val="24"/>
        </w:rPr>
        <w:t xml:space="preserve">, </w:t>
      </w:r>
      <w:r w:rsidR="007A3BB5">
        <w:rPr>
          <w:rFonts w:ascii="Palatino Linotype" w:hAnsi="Palatino Linotype" w:cs="Arial"/>
          <w:sz w:val="24"/>
          <w:szCs w:val="24"/>
        </w:rPr>
        <w:t xml:space="preserve">interpuesto por </w:t>
      </w:r>
      <w:r w:rsidR="00530DDA">
        <w:rPr>
          <w:rFonts w:ascii="Palatino Linotype" w:hAnsi="Palatino Linotype" w:cs="Arial"/>
          <w:sz w:val="24"/>
          <w:szCs w:val="24"/>
        </w:rPr>
        <w:t xml:space="preserve">el </w:t>
      </w:r>
      <w:r w:rsidR="00530DDA">
        <w:rPr>
          <w:rFonts w:ascii="Palatino Linotype" w:hAnsi="Palatino Linotype" w:cs="Arial"/>
          <w:b/>
          <w:sz w:val="24"/>
          <w:szCs w:val="24"/>
        </w:rPr>
        <w:t xml:space="preserve">C. </w:t>
      </w:r>
      <w:r w:rsidR="00DD61FE">
        <w:rPr>
          <w:rFonts w:ascii="Palatino Linotype" w:hAnsi="Palatino Linotype" w:cs="Arial"/>
          <w:b/>
          <w:sz w:val="24"/>
          <w:szCs w:val="24"/>
        </w:rPr>
        <w:t>xxxxxxxxxxxxxxxxxxxxxxxxxxxx</w:t>
      </w:r>
      <w:bookmarkStart w:id="1" w:name="_GoBack"/>
      <w:bookmarkEnd w:id="1"/>
      <w:r w:rsidR="00916E18">
        <w:rPr>
          <w:rFonts w:ascii="Palatino Linotype" w:hAnsi="Palatino Linotype" w:cs="Arial"/>
          <w:b/>
          <w:sz w:val="24"/>
          <w:szCs w:val="24"/>
        </w:rPr>
        <w:t xml:space="preserve">, </w:t>
      </w:r>
      <w:r w:rsidR="00916E18">
        <w:rPr>
          <w:rFonts w:ascii="Palatino Linotype" w:hAnsi="Palatino Linotype" w:cs="Arial"/>
          <w:sz w:val="24"/>
          <w:szCs w:val="24"/>
        </w:rPr>
        <w:t xml:space="preserve">en lo sucesivo </w:t>
      </w:r>
      <w:r w:rsidR="00916E18">
        <w:rPr>
          <w:rFonts w:ascii="Palatino Linotype" w:hAnsi="Palatino Linotype" w:cs="Arial"/>
          <w:b/>
          <w:sz w:val="24"/>
          <w:szCs w:val="24"/>
        </w:rPr>
        <w:t xml:space="preserve">El Recurrente, </w:t>
      </w:r>
      <w:r w:rsidR="00916E18">
        <w:rPr>
          <w:rFonts w:ascii="Palatino Linotype" w:hAnsi="Palatino Linotype" w:cs="Arial"/>
          <w:sz w:val="24"/>
          <w:szCs w:val="24"/>
        </w:rPr>
        <w:t xml:space="preserve">en contra de la respuesta del </w:t>
      </w:r>
      <w:r w:rsidR="00916E18">
        <w:rPr>
          <w:rFonts w:ascii="Palatino Linotype" w:hAnsi="Palatino Linotype" w:cs="Arial"/>
          <w:b/>
          <w:sz w:val="24"/>
          <w:szCs w:val="24"/>
        </w:rPr>
        <w:t xml:space="preserve">Ayuntamiento de Ixtapan de la Sal, </w:t>
      </w:r>
      <w:r w:rsidR="00916E18">
        <w:rPr>
          <w:rFonts w:ascii="Palatino Linotype" w:hAnsi="Palatino Linotype" w:cs="Arial"/>
          <w:sz w:val="24"/>
          <w:szCs w:val="24"/>
        </w:rPr>
        <w:t xml:space="preserve">en lo subsecuente </w:t>
      </w:r>
      <w:r w:rsidR="00916E18">
        <w:rPr>
          <w:rFonts w:ascii="Palatino Linotype" w:hAnsi="Palatino Linotype" w:cs="Arial"/>
          <w:b/>
          <w:sz w:val="24"/>
          <w:szCs w:val="24"/>
        </w:rPr>
        <w:t xml:space="preserve">El Sujeto Obligado, </w:t>
      </w:r>
      <w:r w:rsidR="00916E18">
        <w:rPr>
          <w:rFonts w:ascii="Palatino Linotype" w:hAnsi="Palatino Linotype" w:cs="Arial"/>
          <w:sz w:val="24"/>
          <w:szCs w:val="24"/>
        </w:rPr>
        <w:t xml:space="preserve">se procede a dictar la presente resolución. </w:t>
      </w:r>
    </w:p>
    <w:p w14:paraId="0E4D3349" w14:textId="77777777" w:rsidR="00530DDA" w:rsidRDefault="00530DDA" w:rsidP="00F71082">
      <w:pPr>
        <w:tabs>
          <w:tab w:val="left" w:pos="1701"/>
        </w:tabs>
        <w:spacing w:before="240" w:line="360" w:lineRule="auto"/>
        <w:jc w:val="both"/>
        <w:rPr>
          <w:rFonts w:ascii="Palatino Linotype" w:hAnsi="Palatino Linotype" w:cs="Arial"/>
          <w:sz w:val="24"/>
          <w:szCs w:val="24"/>
        </w:rPr>
      </w:pPr>
    </w:p>
    <w:p w14:paraId="197D6115"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438A1C8" w14:textId="237CBF2A" w:rsidR="00916E18" w:rsidRPr="00916E18" w:rsidRDefault="000451BE" w:rsidP="0037444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916E18">
        <w:rPr>
          <w:rFonts w:ascii="Palatino Linotype" w:hAnsi="Palatino Linotype" w:cs="Arial"/>
          <w:sz w:val="24"/>
        </w:rPr>
        <w:t xml:space="preserve">dieciséis de febrero de dos mil veintiuno, </w:t>
      </w:r>
      <w:r w:rsidR="00916E18">
        <w:rPr>
          <w:rFonts w:ascii="Palatino Linotype" w:hAnsi="Palatino Linotype" w:cs="Arial"/>
          <w:b/>
          <w:sz w:val="24"/>
        </w:rPr>
        <w:t xml:space="preserve">El Recurrente,  </w:t>
      </w:r>
      <w:r w:rsidR="00916E18" w:rsidRPr="00523CF0">
        <w:rPr>
          <w:rFonts w:ascii="Palatino Linotype" w:hAnsi="Palatino Linotype" w:cs="Arial"/>
          <w:sz w:val="24"/>
        </w:rPr>
        <w:t>presentó a</w:t>
      </w:r>
      <w:r w:rsidR="00916E18">
        <w:rPr>
          <w:rFonts w:ascii="Palatino Linotype" w:hAnsi="Palatino Linotype" w:cs="Arial"/>
          <w:sz w:val="24"/>
        </w:rPr>
        <w:t xml:space="preserve"> través del Sistema de Acceso a la Información Mexiquense </w:t>
      </w:r>
      <w:r w:rsidR="00916E18">
        <w:rPr>
          <w:rFonts w:ascii="Palatino Linotype" w:hAnsi="Palatino Linotype" w:cs="Arial"/>
          <w:b/>
          <w:sz w:val="24"/>
        </w:rPr>
        <w:t xml:space="preserve">(SAIMEX) </w:t>
      </w:r>
      <w:r w:rsidR="00916E18">
        <w:rPr>
          <w:rFonts w:ascii="Palatino Linotype" w:hAnsi="Palatino Linotype" w:cs="Arial"/>
          <w:sz w:val="24"/>
        </w:rPr>
        <w:t xml:space="preserve">ante </w:t>
      </w:r>
      <w:r w:rsidR="00916E18">
        <w:rPr>
          <w:rFonts w:ascii="Palatino Linotype" w:hAnsi="Palatino Linotype" w:cs="Arial"/>
          <w:b/>
          <w:sz w:val="24"/>
        </w:rPr>
        <w:t xml:space="preserve">El Sujeto Obligado, </w:t>
      </w:r>
      <w:r w:rsidR="00916E18">
        <w:rPr>
          <w:rFonts w:ascii="Palatino Linotype" w:hAnsi="Palatino Linotype" w:cs="Arial"/>
          <w:sz w:val="24"/>
        </w:rPr>
        <w:t xml:space="preserve">solicitud de acceso a la información pública, registrada bajo el número de expediente </w:t>
      </w:r>
      <w:r w:rsidR="00916E18">
        <w:rPr>
          <w:rFonts w:ascii="Palatino Linotype" w:hAnsi="Palatino Linotype" w:cs="Arial"/>
          <w:b/>
          <w:sz w:val="24"/>
        </w:rPr>
        <w:t xml:space="preserve">00205/IXTASAL/IP/2021, </w:t>
      </w:r>
      <w:r w:rsidR="00916E18">
        <w:rPr>
          <w:rFonts w:ascii="Palatino Linotype" w:hAnsi="Palatino Linotype" w:cs="Arial"/>
          <w:sz w:val="24"/>
        </w:rPr>
        <w:t xml:space="preserve">mediante la cual solicitó información en el tenor siguiente: </w:t>
      </w:r>
    </w:p>
    <w:p w14:paraId="2F003CEB" w14:textId="3A4958A9" w:rsidR="00916E18" w:rsidRPr="00916E18" w:rsidRDefault="00916E18" w:rsidP="00916E18">
      <w:pPr>
        <w:pStyle w:val="CitasINFOEM"/>
        <w:rPr>
          <w:rFonts w:cs="Arial"/>
          <w:b/>
          <w:sz w:val="24"/>
        </w:rPr>
      </w:pPr>
      <w:r>
        <w:t xml:space="preserve">“Las convocatorias a sesión del Comité de Transparencia, así como, las actas que emitió durante el periodo de suspensión a causa de la pandemia por el virus SARS COV2, así como con todos y cada uno de los acuses de recibo de los oficios emitidos por la unidad de transparencia requiriendo información a los servidores públicos </w:t>
      </w:r>
      <w:r>
        <w:lastRenderedPageBreak/>
        <w:t xml:space="preserve">habilitados y la información que deriva del reloj checador de control de asistencia en dicho período.” </w:t>
      </w:r>
      <w:r>
        <w:rPr>
          <w:b/>
        </w:rPr>
        <w:t>[Sic]</w:t>
      </w:r>
    </w:p>
    <w:p w14:paraId="673D377A" w14:textId="3FFB6374"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A84571">
        <w:rPr>
          <w:rFonts w:ascii="Palatino Linotype" w:eastAsia="Times New Roman" w:hAnsi="Palatino Linotype" w:cs="Times New Roman"/>
          <w:b/>
          <w:sz w:val="24"/>
          <w:szCs w:val="24"/>
          <w:lang w:val="es-ES_tradnl" w:eastAsia="es-ES"/>
        </w:rPr>
        <w:t>Modalidad de entrega:</w:t>
      </w:r>
      <w:r w:rsidRPr="005F7424">
        <w:rPr>
          <w:rFonts w:ascii="Palatino Linotype" w:eastAsia="Times New Roman" w:hAnsi="Palatino Linotype" w:cs="Times New Roman"/>
          <w:sz w:val="24"/>
          <w:szCs w:val="24"/>
          <w:lang w:val="es-ES_tradnl" w:eastAsia="es-ES"/>
        </w:rPr>
        <w:t xml:space="preserve"> </w:t>
      </w:r>
      <w:r w:rsidR="00916E18">
        <w:rPr>
          <w:rFonts w:ascii="Palatino Linotype" w:eastAsia="Times New Roman" w:hAnsi="Palatino Linotype" w:cs="Times New Roman"/>
          <w:sz w:val="24"/>
          <w:szCs w:val="24"/>
          <w:lang w:val="es-ES_tradnl" w:eastAsia="es-ES"/>
        </w:rPr>
        <w:t xml:space="preserve">A través del SAIMEX. </w:t>
      </w:r>
      <w:r w:rsidR="00530DDA">
        <w:rPr>
          <w:rFonts w:ascii="Palatino Linotype" w:eastAsia="Times New Roman" w:hAnsi="Palatino Linotype" w:cs="Times New Roman"/>
          <w:sz w:val="24"/>
          <w:szCs w:val="24"/>
          <w:lang w:val="es-ES_tradnl" w:eastAsia="es-ES"/>
        </w:rPr>
        <w:t xml:space="preserve"> </w:t>
      </w:r>
      <w:r w:rsidR="00643161">
        <w:rPr>
          <w:rFonts w:ascii="Palatino Linotype" w:eastAsia="Times New Roman" w:hAnsi="Palatino Linotype" w:cs="Times New Roman"/>
          <w:sz w:val="24"/>
          <w:szCs w:val="24"/>
          <w:lang w:val="es-ES_tradnl" w:eastAsia="es-ES"/>
        </w:rPr>
        <w:t xml:space="preserve"> </w:t>
      </w:r>
    </w:p>
    <w:p w14:paraId="4B236C00" w14:textId="77777777" w:rsidR="0027381A" w:rsidRDefault="0027381A"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28634EA" w14:textId="47DF40EA" w:rsidR="007D300A"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sidR="00643161">
        <w:rPr>
          <w:rFonts w:ascii="Palatino Linotype" w:hAnsi="Palatino Linotype" w:cs="Arial"/>
          <w:b/>
          <w:sz w:val="28"/>
        </w:rPr>
        <w:t xml:space="preserve">respuesta del Sujeto Obligado. </w:t>
      </w:r>
    </w:p>
    <w:p w14:paraId="2A232652" w14:textId="57E670BF" w:rsidR="00916E18"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 xml:space="preserve">día </w:t>
      </w:r>
      <w:r w:rsidR="00916E18">
        <w:rPr>
          <w:rFonts w:ascii="Palatino Linotype" w:hAnsi="Palatino Linotype" w:cs="Arial"/>
          <w:sz w:val="24"/>
          <w:szCs w:val="24"/>
        </w:rPr>
        <w:t xml:space="preserve">veintidós de febrero del año en curso, </w:t>
      </w:r>
      <w:r w:rsidR="00916E18">
        <w:rPr>
          <w:rFonts w:ascii="Palatino Linotype" w:hAnsi="Palatino Linotype" w:cs="Arial"/>
          <w:b/>
          <w:sz w:val="24"/>
          <w:szCs w:val="24"/>
        </w:rPr>
        <w:t xml:space="preserve">El Sujeto Obligado </w:t>
      </w:r>
      <w:r w:rsidR="00916E18">
        <w:rPr>
          <w:rFonts w:ascii="Palatino Linotype" w:hAnsi="Palatino Linotype" w:cs="Arial"/>
          <w:sz w:val="24"/>
          <w:szCs w:val="24"/>
        </w:rPr>
        <w:t xml:space="preserve">dio respuesta a la solicitud de información, resultando de nuestro interés lo siguiente: </w:t>
      </w:r>
    </w:p>
    <w:p w14:paraId="23BA30AC" w14:textId="25200127" w:rsidR="00916E18" w:rsidRDefault="00916E18" w:rsidP="00916E18">
      <w:pPr>
        <w:pStyle w:val="CitasINFOEM"/>
        <w:rPr>
          <w:rFonts w:cs="Arial"/>
          <w:sz w:val="24"/>
        </w:rPr>
      </w:pPr>
      <w:r>
        <w:rPr>
          <w:lang w:eastAsia="es-MX"/>
        </w:rPr>
        <w:t xml:space="preserve">“En </w:t>
      </w:r>
      <w:r w:rsidRPr="00916E18">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38EA0C81" w14:textId="43EFF141" w:rsidR="00916E18" w:rsidRPr="00916E18" w:rsidRDefault="00916E18" w:rsidP="00916E18">
      <w:pPr>
        <w:pStyle w:val="CitasINFOEM"/>
        <w:rPr>
          <w:rFonts w:cs="Arial"/>
          <w:b/>
          <w:sz w:val="24"/>
        </w:rPr>
      </w:pPr>
      <w:r>
        <w:rPr>
          <w:lang w:eastAsia="es-MX"/>
        </w:rPr>
        <w:t xml:space="preserve">En </w:t>
      </w:r>
      <w:r w:rsidRPr="00916E18">
        <w:rPr>
          <w:lang w:eastAsia="es-MX"/>
        </w:rPr>
        <w:t xml:space="preserve">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w:t>
      </w:r>
      <w:r w:rsidRPr="00916E18">
        <w:rPr>
          <w:b/>
          <w:u w:val="single"/>
          <w:lang w:eastAsia="es-MX"/>
        </w:rPr>
        <w:t>servirá encontrar el Acuerdo de la Décima Sesión Extraordinaria del Comité de Transparencia, de fecha veintidós de febrero del dos mil veintiuno, por medio de la cual el Comité de Transparencia aprobó el cambio de modalidad de entrega mediante consulta directa (in situ),</w:t>
      </w:r>
      <w:r w:rsidRPr="00916E18">
        <w:rPr>
          <w:lang w:eastAsia="es-MX"/>
        </w:rPr>
        <w:t xml:space="preserve"> en términos de los artículos 1, 2, 4, 7, 8, 10, 11, primer párrafo, 12, 14, 15, 21, </w:t>
      </w:r>
      <w:r w:rsidRPr="00916E18">
        <w:rPr>
          <w:lang w:eastAsia="es-MX"/>
        </w:rPr>
        <w:lastRenderedPageBreak/>
        <w:t>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ATENTAMENTE L. EN D. MARICELA RAMIREZ COTERO Unidad de Transparencia Ayuntamiento de Ixtapan de la Sal</w:t>
      </w:r>
      <w:r>
        <w:rPr>
          <w:lang w:eastAsia="es-MX"/>
        </w:rPr>
        <w:t xml:space="preserve">” </w:t>
      </w:r>
      <w:r>
        <w:rPr>
          <w:b/>
          <w:lang w:eastAsia="es-MX"/>
        </w:rPr>
        <w:t>[Sic]</w:t>
      </w:r>
    </w:p>
    <w:p w14:paraId="024CD079" w14:textId="4FEC670B" w:rsidR="00916E18" w:rsidRPr="00916E18" w:rsidRDefault="00916E18"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“10ma Sesión Extraordinaria.pdf”, </w:t>
      </w:r>
      <w:r>
        <w:rPr>
          <w:rFonts w:ascii="Palatino Linotype" w:hAnsi="Palatino Linotype" w:cs="Arial"/>
          <w:sz w:val="24"/>
          <w:szCs w:val="24"/>
        </w:rPr>
        <w:t xml:space="preserve">mismo que se tiene por reproducido como si a la letra se insertase, en virtud de que será materia de estudio en el considerando respectivo. </w:t>
      </w:r>
    </w:p>
    <w:p w14:paraId="0BE3FB6E" w14:textId="77777777" w:rsidR="00916E18" w:rsidRDefault="00916E18" w:rsidP="00045379">
      <w:pPr>
        <w:spacing w:before="240" w:line="360" w:lineRule="auto"/>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3B39E97D" w14:textId="6152BC97" w:rsidR="00916E18" w:rsidRPr="00916E18"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530DDA">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916E18">
        <w:rPr>
          <w:rFonts w:ascii="Palatino Linotype" w:hAnsi="Palatino Linotype" w:cs="Arial"/>
          <w:sz w:val="24"/>
          <w:szCs w:val="24"/>
        </w:rPr>
        <w:t xml:space="preserve"> seis de marzo del presente, el cual fue registrado en el sistema electrónico con el número de expediente </w:t>
      </w:r>
      <w:r w:rsidR="00916E18">
        <w:rPr>
          <w:rFonts w:ascii="Palatino Linotype" w:hAnsi="Palatino Linotype" w:cs="Arial"/>
          <w:b/>
          <w:sz w:val="24"/>
          <w:szCs w:val="24"/>
        </w:rPr>
        <w:t xml:space="preserve">00900/INFOEM/IP/RR/2021, </w:t>
      </w:r>
      <w:r w:rsidR="00916E18">
        <w:rPr>
          <w:rFonts w:ascii="Palatino Linotype" w:hAnsi="Palatino Linotype" w:cs="Arial"/>
          <w:sz w:val="24"/>
          <w:szCs w:val="24"/>
        </w:rPr>
        <w:t xml:space="preserve">en el cual arguye las siguientes manifestaciones: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4D660FBB" w:rsidR="006168E4" w:rsidRPr="007A3BB5" w:rsidRDefault="006168E4" w:rsidP="00026A0C">
      <w:pPr>
        <w:pStyle w:val="CitasINFOEM"/>
        <w:rPr>
          <w:rFonts w:cs="Arial"/>
          <w:b/>
        </w:rPr>
      </w:pPr>
      <w:r w:rsidRPr="00916E18">
        <w:t>“</w:t>
      </w:r>
      <w:r w:rsidR="00916E18" w:rsidRPr="00916E18">
        <w:t xml:space="preserve">La indebida respuesta del obligado, con la que ilegalmente, mediante acta del comité de transparencia, me cambia la modalidad de entrega de la información, aduciendo </w:t>
      </w:r>
      <w:r w:rsidR="00916E18" w:rsidRPr="00916E18">
        <w:lastRenderedPageBreak/>
        <w:t>falsedades cómo que el suscrito ha presentado un sin número de solicitudes, cuando sólo he presentado siete en este año.</w:t>
      </w:r>
      <w:r w:rsidRPr="00916E18">
        <w:t>”</w:t>
      </w:r>
      <w:r w:rsidR="00454CE6" w:rsidRPr="007A3BB5">
        <w:rPr>
          <w:rFonts w:cs="Arial"/>
        </w:rPr>
        <w:t xml:space="preserve"> </w:t>
      </w:r>
      <w:r w:rsidR="0032187D" w:rsidRPr="007A3BB5">
        <w:rPr>
          <w:rFonts w:cs="Arial"/>
          <w:b/>
        </w:rPr>
        <w:t>[S</w:t>
      </w:r>
      <w:r w:rsidRPr="007A3BB5">
        <w:rPr>
          <w:rFonts w:cs="Arial"/>
          <w:b/>
        </w:rPr>
        <w:t>ic]</w:t>
      </w:r>
    </w:p>
    <w:p w14:paraId="6065886C" w14:textId="77777777" w:rsidR="007A3BB5" w:rsidRPr="00AD1553" w:rsidRDefault="007A3BB5" w:rsidP="00844569">
      <w:pPr>
        <w:spacing w:line="360" w:lineRule="auto"/>
        <w:ind w:left="851" w:right="851"/>
        <w:jc w:val="both"/>
        <w:rPr>
          <w:rFonts w:ascii="Palatino Linotype" w:hAnsi="Palatino Linotype" w:cs="Arial"/>
          <w:b/>
          <w:i/>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39BD8F31" w:rsidR="00064EA6" w:rsidRPr="007A3BB5" w:rsidRDefault="00064EA6" w:rsidP="00026A0C">
      <w:pPr>
        <w:pStyle w:val="CitasINFOEM"/>
        <w:rPr>
          <w:rFonts w:cs="Arial"/>
          <w:b/>
        </w:rPr>
      </w:pPr>
      <w:r w:rsidRPr="00916E18">
        <w:t>“</w:t>
      </w:r>
      <w:r w:rsidR="00916E18" w:rsidRPr="00916E18">
        <w:t xml:space="preserve">PRIMERA.- La respuesta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aduciendo que debido al cúmulo de asuntos y a la pandemia por covid 19, no tiene el tiempo ni el personal suficiente para atender mi solicitud vía saimex, (aún y cuando, basta ver la fecha en que se formuló la solicitud y la fecha en que me responde para darse cuenta que ha contado con tiempo suficiente y basta que el INFOEM informe cuantos servidores públicos habilitados tiene registrados el sujeto obligado ante ellos para </w:t>
      </w:r>
      <w:r w:rsidR="00916E18" w:rsidRPr="00916E18">
        <w:lastRenderedPageBreak/>
        <w:t xml:space="preserve">percatarse que cuenta con personal suficiente), pero, resulta incongruente e ilógico que si cuenta con la información in situ, no me la pueda enviar vía saimex,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anterior, contraviene lo expuesto en la “Relatoría Especial para la Libertad de Expresión Comisión de Derechos Humanos” 1 ,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ocupan, en la modalidad elegida por el suscrito, en virtud del número de solicitudes, el volumen de la información y el procesamiento de la misma, sin que explique y justifique como arriba a ésa conclusión, esto es, NO EXISTE CONGRUENCIA, NI ADECUACIÓN ENTRE LOS MOTIVOS ADUCIDOS Y LAS NORMAS APLICADAS, pues no justificó debidamente la imposibilidad de entregar documentos a través de la plataforma digital, es decir no acreditó el impedimento para proporcionar la información solicitada, a través del Sistema de Acceso a la Información Mexiquense (SAIMEX), adicional a lo anterior, el Sujeto Obligado omitió mencionar la cantidad de documentos que en su caso integran el soporte documental a expedir y en su caso, la imposibilidad técnica de enviar la información a través del SAIMEX, antes SICOSIEM, como lo establece el numeral Cincuenta y Cuatro de los “Lineamientos para la Recepción, Trámite y Resolución de las Solicitudes de Acceso a la Información, así como de los Recursos de Revisión que deberán observar los Sujetos Obligados por la Ley de Transparencia y Acceso a </w:t>
      </w:r>
      <w:r w:rsidR="00916E18" w:rsidRPr="00916E18">
        <w:lastRenderedPageBreak/>
        <w:t xml:space="preserve">la Información Pública del Estado de México y Municipios”, que a la letra dispone: “CINCUENTA Y CUATRO.- De acuerdo a lo dispuesto por el párrafo segundo del artículo 48 de la Ley, la información podrá ser entregada vía electrónica a través del SICOSIEM. Es obligación del responsable de la Unidad de Información verificar que los archivos electrónicos que contengan la información entregada, se encuentra agregada al SICOSIEM. 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 La Dirección de Sistemas e Informática del Instituto, debe llevar un registro de incidencias en el cual se asienten todas las llamas referentes al apoyo técnico para agregar los archivos electrónicos al SICOSIEM. La omisión por parte del responsable de la Unidad de Información del procedimiento antes descrito presume la negativa de la entrega de la Información. Cuando la información no pueda ser remitida vía electrónica, se deberá fundar y motivar la resolución respectiva, explicando en todo momento las causas que impiden el envío de la información de forma electrónica. En las relatadas condiciones, es inconcuso, que el acta del comité de transparencia del sujeto obligado, no se encuentra debidamente fundada y motivada, por lo tanto, lo procedente es revocar o modificar su respuesta. Aunado a todo ello, el comité de transparencia emisor de la respuesta con que cambia la modalidad de entrega de la información, carece de una atribución expresa y legalmente concedida a dicho órgano colegiado para cambiar la modalidad de la entrega de la información, ello es así, cuenta habida, que del contenido del artículo 49 de la Ley de Transparencia y acceso a la Información Pública del Estado de México y Municipios, que establece las atribuciones de los comités de transparencia, no se advierte atribución alguna para ordenar cambios en </w:t>
      </w:r>
      <w:r w:rsidR="00916E18" w:rsidRPr="00916E18">
        <w:lastRenderedPageBreak/>
        <w:t xml:space="preserve">la modalidad de entrega de la información, y al hacerlo, como lo hizo en el caso que nos ocupa, violentó en mi agravio el principio de legalidad constitucional, conforme al cual “las autoridades sólo pueden hacer lo que la ley les faculta expresamente”. Por si fuera poco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 debidamente fundada y motivada, y no garantiza el pleno ejercicio del derecho de acceso a la información pública del suscrito, por lo que lo procedente será revocarla con el objeto que se me otorgue acceso a la información en la modalidad elegida. Así las cosas, el presente concepto de violación, constituye un considerando atendible y suficiente por sí sólo para declarar la nulidad </w:t>
      </w:r>
      <w:r w:rsidR="00916E18" w:rsidRPr="00916E18">
        <w:lastRenderedPageBreak/>
        <w:t xml:space="preserve">e invalidez de los actos impugnados, por virtud de que con él se demuestra que los actos combatidos, se ubican en la hipótesis normativa prevista en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CARACTERISTICAS DEL ACTO DE AUTORIDAD CORRECTAMENTE FUNDADO. FORMALIDAD ESENCIAL DEL ACTO ES EL CARACTER CON QUE LA AUTORIDAD RESPECTIVA LO SUSCRIBE Y EL DISPOSITIVO, ACUERDO O DECRETO QUE LE OTORGUE TAL LEGITIMACION. Para poder considerar un acto autoritario como correctamente fundado, es necesario que en él se citen: A) Los cuerpos legales y preceptos que se están aplicando al caso concreto, es decir los supuestos normativos en que encuadra la conducta del gobernado, que serán señalados con toda exactitud, precisándose los incisos, subincisos y fracciones. B) Los cuerpos legales y preceptos que otorgan competencia o facultades a las autoridades, para emitir el acto en agravio del gobernado. Ahora bien, siguiendo una secuencia lógica, este tribunal considera que la citación de los artículos que otorgan competencia, debe realizarse también con toda exactitud, </w:t>
      </w:r>
      <w:r w:rsidR="00916E18" w:rsidRPr="00916E18">
        <w:lastRenderedPageBreak/>
        <w:t xml:space="preserve">señalándose el inciso, subinciso y fracción o fracciones que establezcan las facultades que en el caso concreto, la autoridad está ejercitando al emitir el acto de poder en perjuicio del gobernado. En efecto, la garantía de fundamentación consagrada en el artículo 16 constitucional lleva implícita la idea de exactitud y precisión en la citación de los cuerpos legales, preceptos, incisos, subincisos y fracciones de los mismos que se están aplicando al particular en el caso concreto, y no es posible abrigar en la garantía individual comentada, ninguna clase de ambigüedad, o imprecisión, puesto que el objetivo de la misma primordialmente se constituye por una exacta individualización del acto autoritario, de acuerdo a la conducta realizada por el particular, la aplicación de las leyes a la misma y desde luego, la exacta citación de los preceptos competenciales, que permiten a las autoridades la emisión del acto de poder. TERCER TRIBUNAL COLEGIADO EN MATERIA ADMINISTRATIVA DEL PRIMER CIRCUITO. Amparo directo 16/83. Jorge León Rodal Flores. 12 de julio de 1983. Unanimidad de votos. Ponente: Genaro David Góngora Pimentel. Secretario: Roberto Terrazas Salgado. Sexta Época Instancia: Segunda Sala Fuente: Semanario Judicial de la Federación Tomo: Tercera Parte, CXXIV Página: 30 SEGUNDA.- Los sujetos obligados deben seguir el procedimiento para la atención a las solicitudes de acceso a la información, establecido en los artículos 151, 160, 162, 163, 164, 165 y 166, de la Ley de Transparencia y Acceso a la Información Pública del Estado de México y Municipios; empero, en el asunto a estudio, el sujeto obligado, hoy tercero interesado, no lo hizo, porqué en ningún momento privilegia la entrega de la información en la modalidad solicitada, al contrario, unilateralmente, sin que tenga dicha potestad, la cambia, sin ofrecerme todas las alternativas o modalidades para entregarme la información, con el único propósito de identificarme para tomar represalias en mi contra y evitar que siga interponiendo solicitudes de información, razón por la cual, </w:t>
      </w:r>
      <w:r w:rsidR="00916E18" w:rsidRPr="00916E18">
        <w:lastRenderedPageBreak/>
        <w:t>se debe revocar la respuesta, toda vez, que la misma me causa agravio e irroga perjuicios en la medida que permite que el obligado infundadamente cambie la modalidad de entrega de la información, con el único objeto de inhibir el derecho de acceso a la información, cuando dicha potestad es del solicitante, no del obligado.</w:t>
      </w:r>
      <w:r w:rsidRPr="00916E18">
        <w:t>”</w:t>
      </w:r>
      <w:r w:rsidRPr="007A3BB5">
        <w:rPr>
          <w:rFonts w:cs="Arial"/>
        </w:rPr>
        <w:t xml:space="preserve"> </w:t>
      </w:r>
      <w:r w:rsidRPr="007A3BB5">
        <w:rPr>
          <w:rFonts w:cs="Arial"/>
          <w:b/>
        </w:rPr>
        <w:t>[Sic]</w:t>
      </w:r>
    </w:p>
    <w:p w14:paraId="09CA8476" w14:textId="77777777" w:rsidR="00530DDA" w:rsidRDefault="00530DDA" w:rsidP="00844569">
      <w:pPr>
        <w:spacing w:before="240" w:line="360" w:lineRule="auto"/>
        <w:ind w:right="851"/>
        <w:jc w:val="both"/>
        <w:rPr>
          <w:rFonts w:ascii="Palatino Linotype" w:hAnsi="Palatino Linotype"/>
          <w:color w:val="000000"/>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3CED5D8E"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16E18">
        <w:rPr>
          <w:rFonts w:ascii="Palatino Linotype" w:hAnsi="Palatino Linotype" w:cs="Arial"/>
          <w:sz w:val="24"/>
          <w:szCs w:val="24"/>
        </w:rPr>
        <w:t>doce de marzo</w:t>
      </w:r>
      <w:r w:rsidR="007A3BB5" w:rsidRPr="00A81BCB">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14:paraId="4FC3ADEB" w14:textId="77777777" w:rsidR="00C27767" w:rsidRDefault="00C27767" w:rsidP="00844569">
      <w:pPr>
        <w:spacing w:before="240" w:line="360" w:lineRule="auto"/>
        <w:jc w:val="both"/>
        <w:rPr>
          <w:rFonts w:ascii="Palatino Linotype" w:hAnsi="Palatino Linotype" w:cs="Arial"/>
          <w:sz w:val="24"/>
          <w:szCs w:val="24"/>
        </w:rPr>
      </w:pP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1E400B7E" w14:textId="33A069A6" w:rsidR="00A81BCB" w:rsidRDefault="00A81BCB" w:rsidP="00A81BC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FD53A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fue omisa en presentar alegatos, pruebas o manifestación alguna.  </w:t>
      </w:r>
    </w:p>
    <w:p w14:paraId="1A059A2C" w14:textId="11016029" w:rsidR="00A81BCB" w:rsidRPr="00C12209" w:rsidRDefault="00A81BCB" w:rsidP="00A81BC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916E18">
        <w:rPr>
          <w:rFonts w:ascii="Palatino Linotype" w:hAnsi="Palatino Linotype" w:cs="Arial"/>
          <w:b/>
          <w:sz w:val="24"/>
          <w:szCs w:val="24"/>
        </w:rPr>
        <w:t>veinticinco</w:t>
      </w:r>
      <w:r w:rsidR="00FD53AC">
        <w:rPr>
          <w:rFonts w:ascii="Palatino Linotype" w:hAnsi="Palatino Linotype" w:cs="Arial"/>
          <w:b/>
          <w:sz w:val="24"/>
          <w:szCs w:val="24"/>
        </w:rPr>
        <w:t xml:space="preserve"> de marzo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 xml:space="preserve">en términos del artículo 185 Fracción VI de la Ley de Transparencia y Acceso </w:t>
      </w:r>
      <w:r w:rsidRPr="00C12209">
        <w:rPr>
          <w:rFonts w:ascii="Palatino Linotype" w:hAnsi="Palatino Linotype" w:cs="Arial"/>
          <w:sz w:val="24"/>
          <w:szCs w:val="24"/>
        </w:rPr>
        <w:lastRenderedPageBreak/>
        <w:t>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61327F49"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FD53A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B2CCDAB" w14:textId="77777777" w:rsidR="00C27767" w:rsidRDefault="00C27767" w:rsidP="00C2776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D67E30">
        <w:rPr>
          <w:rFonts w:ascii="Palatino Linotype" w:hAnsi="Palatino Linotype" w:cs="Arial"/>
          <w:sz w:val="24"/>
          <w:szCs w:val="24"/>
        </w:rPr>
        <w:lastRenderedPageBreak/>
        <w:t>el poner en riesgo el diverso derecho a la salud de todos los partícipes en los procesos que conllevan.</w:t>
      </w:r>
    </w:p>
    <w:p w14:paraId="20F3F680" w14:textId="77777777" w:rsidR="00C27767" w:rsidRPr="008F797B" w:rsidRDefault="00C27767"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2286F43"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4413FA6" w14:textId="77777777" w:rsidR="000D4532" w:rsidRPr="00C07D77" w:rsidRDefault="000D4532" w:rsidP="000D4532">
      <w:pPr>
        <w:pStyle w:val="Prrafodelista"/>
        <w:autoSpaceDE w:val="0"/>
        <w:autoSpaceDN w:val="0"/>
        <w:adjustRightInd w:val="0"/>
        <w:spacing w:line="360" w:lineRule="auto"/>
        <w:ind w:left="0"/>
        <w:jc w:val="both"/>
        <w:rPr>
          <w:rFonts w:ascii="Palatino Linotype" w:hAnsi="Palatino Linotype" w:cs="Arial"/>
          <w:sz w:val="18"/>
        </w:rPr>
      </w:pPr>
    </w:p>
    <w:p w14:paraId="263382C5" w14:textId="77777777" w:rsidR="000D4532" w:rsidRDefault="000D4532"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A18D5">
        <w:rPr>
          <w:rFonts w:ascii="Palatino Linotype" w:hAnsi="Palatino Linotype" w:cs="Arial"/>
        </w:rPr>
        <w:t xml:space="preserve"> </w:t>
      </w: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4B62BE8" w14:textId="27F97BED" w:rsidR="00D93F28" w:rsidRDefault="00916E18"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25824" behindDoc="0" locked="0" layoutInCell="1" allowOverlap="1" wp14:anchorId="29140AC4" wp14:editId="10AF1467">
                <wp:simplePos x="0" y="0"/>
                <wp:positionH relativeFrom="column">
                  <wp:posOffset>-98417</wp:posOffset>
                </wp:positionH>
                <wp:positionV relativeFrom="paragraph">
                  <wp:posOffset>51673</wp:posOffset>
                </wp:positionV>
                <wp:extent cx="6030552" cy="807813"/>
                <wp:effectExtent l="0" t="0" r="27940" b="30480"/>
                <wp:wrapNone/>
                <wp:docPr id="3" name="Conector recto 3"/>
                <wp:cNvGraphicFramePr/>
                <a:graphic xmlns:a="http://schemas.openxmlformats.org/drawingml/2006/main">
                  <a:graphicData uri="http://schemas.microsoft.com/office/word/2010/wordprocessingShape">
                    <wps:wsp>
                      <wps:cNvCnPr/>
                      <wps:spPr>
                        <a:xfrm>
                          <a:off x="0" y="0"/>
                          <a:ext cx="6030552" cy="8078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6C64E" id="Conector recto 3"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7.75pt,4.05pt" to="467.1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" strokecolor="#5b9bd5 [3204]" strokeweight=".5pt">
                <v:stroke joinstyle="miter"/>
              </v:line>
            </w:pict>
          </mc:Fallback>
        </mc:AlternateContent>
      </w:r>
    </w:p>
    <w:p w14:paraId="7CD2B778" w14:textId="77777777" w:rsidR="00916E18" w:rsidRDefault="00916E18"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1B2A59D5" w14:textId="77777777" w:rsidR="00026A0C" w:rsidRDefault="00026A0C" w:rsidP="00026A0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2C4F6A1" w14:textId="77777777" w:rsidR="00026A0C" w:rsidRPr="002869E1" w:rsidRDefault="00026A0C" w:rsidP="00026A0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9364573"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1300C7"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3E11AE61"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75BA225"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168364B"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5F78E59"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51CC186" w14:textId="77777777" w:rsidR="00026A0C" w:rsidRPr="006010FE" w:rsidRDefault="00026A0C" w:rsidP="00026A0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B391FAC"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980FC34"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580DF7"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11C839D"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2DF1F16F" w14:textId="77777777" w:rsidR="00026A0C" w:rsidRPr="006E4CCA" w:rsidRDefault="00026A0C" w:rsidP="00026A0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5C7E92B" w14:textId="77777777" w:rsidR="00026A0C" w:rsidRDefault="00026A0C" w:rsidP="00026A0C">
      <w:pPr>
        <w:spacing w:after="0" w:line="360" w:lineRule="auto"/>
        <w:jc w:val="both"/>
        <w:rPr>
          <w:rFonts w:ascii="Palatino Linotype" w:eastAsia="Times New Roman" w:hAnsi="Palatino Linotype" w:cs="Times New Roman"/>
          <w:sz w:val="24"/>
          <w:szCs w:val="24"/>
          <w:lang w:eastAsia="es-ES"/>
        </w:rPr>
      </w:pPr>
    </w:p>
    <w:p w14:paraId="5148F927" w14:textId="77777777" w:rsidR="00026A0C" w:rsidRPr="006010FE" w:rsidRDefault="00026A0C" w:rsidP="00026A0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78B2189" w14:textId="77777777" w:rsidR="00026A0C" w:rsidRPr="006E4CCA" w:rsidRDefault="00026A0C" w:rsidP="00026A0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C7071C3" w14:textId="30448FB6" w:rsidR="00026A0C" w:rsidRDefault="00026A0C" w:rsidP="000D4532">
      <w:pPr>
        <w:pStyle w:val="Prrafodelista"/>
        <w:autoSpaceDE w:val="0"/>
        <w:autoSpaceDN w:val="0"/>
        <w:adjustRightInd w:val="0"/>
        <w:spacing w:before="240" w:after="160" w:line="360" w:lineRule="auto"/>
        <w:ind w:left="0"/>
        <w:jc w:val="both"/>
        <w:rPr>
          <w:rFonts w:ascii="Palatino Linotype" w:hAnsi="Palatino Linotype" w:cs="Arial"/>
        </w:rPr>
      </w:pPr>
    </w:p>
    <w:p w14:paraId="22097F5F" w14:textId="2FF2C58A" w:rsidR="00F40883" w:rsidRDefault="00026A0C" w:rsidP="00F40883">
      <w:pPr>
        <w:pStyle w:val="Prrafodelista"/>
        <w:autoSpaceDE w:val="0"/>
        <w:autoSpaceDN w:val="0"/>
        <w:adjustRightInd w:val="0"/>
        <w:spacing w:before="240" w:after="160" w:line="360" w:lineRule="auto"/>
        <w:ind w:left="0"/>
        <w:jc w:val="both"/>
        <w:rPr>
          <w:rFonts w:ascii="Palatino Linotype" w:hAnsi="Palatino Linotype" w:cs="Arial"/>
          <w:highlight w:val="yellow"/>
        </w:rPr>
      </w:pPr>
      <w:r>
        <w:rPr>
          <w:rFonts w:ascii="Palatino Linotype" w:hAnsi="Palatino Linotype" w:cs="Arial"/>
        </w:rPr>
        <w:t xml:space="preserve">Una vez sentado lo anterior, en una aproximación inicial, es procedente mencionar que la solicitud de información </w:t>
      </w:r>
      <w:r w:rsidR="00F40883">
        <w:rPr>
          <w:rFonts w:ascii="Palatino Linotype" w:hAnsi="Palatino Linotype" w:cs="Arial"/>
          <w:b/>
        </w:rPr>
        <w:t xml:space="preserve">00205/IXTASAL/IP/2021 </w:t>
      </w:r>
      <w:r w:rsidR="00F40883">
        <w:rPr>
          <w:rFonts w:ascii="Palatino Linotype" w:hAnsi="Palatino Linotype" w:cs="Arial"/>
        </w:rPr>
        <w:t xml:space="preserve">se nutre de 4 –requerimientos-, respecto de los cuales el particular fijó como elemento temporal </w:t>
      </w:r>
      <w:r w:rsidR="00F40883">
        <w:rPr>
          <w:rFonts w:ascii="Palatino Linotype" w:hAnsi="Palatino Linotype" w:cs="Arial"/>
          <w:i/>
        </w:rPr>
        <w:t xml:space="preserve">“durante el periodo de suspensión a causa de la pandemia por el virus SARS COV2”, </w:t>
      </w:r>
      <w:r w:rsidR="00F40883">
        <w:rPr>
          <w:rFonts w:ascii="Palatino Linotype" w:hAnsi="Palatino Linotype" w:cs="Arial"/>
        </w:rPr>
        <w:t xml:space="preserve">luego entonces, de una interpretación gramatical y literal a la solicitud de información, se arriba a la conclusión de que el particular alude </w:t>
      </w:r>
      <w:r w:rsidR="00F40883" w:rsidRPr="004637A6">
        <w:rPr>
          <w:rFonts w:ascii="Palatino Linotype" w:hAnsi="Palatino Linotype" w:cs="Arial"/>
        </w:rPr>
        <w:t xml:space="preserve">a los periodos de suspensión de plazos decretados por el </w:t>
      </w:r>
      <w:r w:rsidR="004637A6" w:rsidRPr="004637A6">
        <w:rPr>
          <w:rFonts w:ascii="Palatino Linotype" w:hAnsi="Palatino Linotype" w:cs="Arial"/>
        </w:rPr>
        <w:t xml:space="preserve">Pleno del </w:t>
      </w:r>
      <w:r w:rsidR="00F40883" w:rsidRPr="004637A6">
        <w:rPr>
          <w:rFonts w:ascii="Palatino Linotype" w:hAnsi="Palatino Linotype" w:cs="Arial"/>
        </w:rPr>
        <w:t xml:space="preserve">Órgano Garante local con motivo de la pandemia ocasionada por </w:t>
      </w:r>
      <w:r w:rsidR="004637A6" w:rsidRPr="004637A6">
        <w:rPr>
          <w:rFonts w:ascii="Palatino Linotype" w:hAnsi="Palatino Linotype" w:cs="Arial"/>
        </w:rPr>
        <w:t>el virus Sars-Cov2 (Covid-19).</w:t>
      </w:r>
    </w:p>
    <w:p w14:paraId="0F90FBD4" w14:textId="77777777" w:rsidR="004637A6" w:rsidRDefault="004637A6" w:rsidP="004637A6">
      <w:pPr>
        <w:spacing w:before="240" w:line="360" w:lineRule="auto"/>
        <w:jc w:val="both"/>
        <w:rPr>
          <w:rFonts w:ascii="Palatino Linotype" w:hAnsi="Palatino Linotype"/>
        </w:rPr>
      </w:pPr>
      <w:r w:rsidRPr="00203001">
        <w:rPr>
          <w:rFonts w:ascii="Palatino Linotype" w:hAnsi="Palatino Linotype"/>
          <w:sz w:val="24"/>
          <w:szCs w:val="24"/>
        </w:rPr>
        <w:lastRenderedPageBreak/>
        <w:t xml:space="preserve">Dicha precisión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4819AC70" w14:textId="77777777" w:rsidR="004637A6" w:rsidRPr="00BC704A" w:rsidRDefault="004637A6" w:rsidP="004637A6">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1BF915EA" w14:textId="77777777" w:rsidR="004637A6" w:rsidRPr="00BC704A" w:rsidRDefault="004637A6" w:rsidP="004637A6">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3DCA6196" w14:textId="77777777" w:rsidR="004637A6" w:rsidRPr="00BC704A" w:rsidRDefault="004637A6" w:rsidP="004637A6">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180E9E72" w14:textId="77777777" w:rsidR="004637A6" w:rsidRDefault="004637A6" w:rsidP="004637A6">
      <w:pPr>
        <w:pStyle w:val="Prrafodelista"/>
        <w:autoSpaceDE w:val="0"/>
        <w:autoSpaceDN w:val="0"/>
        <w:adjustRightInd w:val="0"/>
        <w:spacing w:before="240" w:after="160" w:line="360" w:lineRule="auto"/>
        <w:ind w:left="0"/>
        <w:jc w:val="both"/>
        <w:rPr>
          <w:rFonts w:ascii="Palatino Linotype" w:hAnsi="Palatino Linotype" w:cs="Arial"/>
        </w:rPr>
      </w:pPr>
    </w:p>
    <w:p w14:paraId="03E144EC" w14:textId="77777777" w:rsidR="004637A6" w:rsidRDefault="004637A6" w:rsidP="004637A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Bajo estas líneas argumentativas, al retomar y delimitar el requerimiento de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541DC0A3" w14:textId="55FCC6C9" w:rsidR="00BA1F59" w:rsidRDefault="004637A6" w:rsidP="000D4532">
      <w:pPr>
        <w:pStyle w:val="Prrafodelista"/>
        <w:autoSpaceDE w:val="0"/>
        <w:autoSpaceDN w:val="0"/>
        <w:adjustRightInd w:val="0"/>
        <w:spacing w:before="240" w:after="160" w:line="360" w:lineRule="auto"/>
        <w:ind w:left="0"/>
        <w:jc w:val="both"/>
        <w:rPr>
          <w:rFonts w:ascii="Palatino Linotype" w:hAnsi="Palatino Linotype" w:cs="Arial"/>
        </w:rPr>
      </w:pPr>
      <w:r w:rsidRPr="004637A6">
        <w:rPr>
          <w:rFonts w:ascii="Palatino Linotype" w:hAnsi="Palatino Linotype" w:cs="Arial"/>
        </w:rPr>
        <w:t>Durante los periodos de suspensión de plazos decretados por el Pleno del Órgano Garante local con motivo de la pandemia ocasionada por el virus Sars-Cov2 (Covid-19):</w:t>
      </w:r>
    </w:p>
    <w:p w14:paraId="4D63A50F" w14:textId="7206C617" w:rsidR="00BA1F59" w:rsidRDefault="00BA1F59" w:rsidP="00BA1F59">
      <w:pPr>
        <w:pStyle w:val="Prrafodelista"/>
        <w:numPr>
          <w:ilvl w:val="0"/>
          <w:numId w:val="1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Convocatorias a sesiones ordinarias y extraordinarias del Comité de Transparencia. </w:t>
      </w:r>
    </w:p>
    <w:p w14:paraId="61BEDBE5" w14:textId="4385C90F" w:rsidR="00BA1F59" w:rsidRDefault="00BA1F59" w:rsidP="00BA1F59">
      <w:pPr>
        <w:pStyle w:val="Prrafodelista"/>
        <w:numPr>
          <w:ilvl w:val="0"/>
          <w:numId w:val="1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Actas de sesiones ordinarias y extraordinarias del Comité de Transparencia. </w:t>
      </w:r>
    </w:p>
    <w:p w14:paraId="1127EB97" w14:textId="4E6D4F29" w:rsidR="00BA1F59" w:rsidRDefault="00BA1F59" w:rsidP="00BA1F59">
      <w:pPr>
        <w:pStyle w:val="Prrafodelista"/>
        <w:numPr>
          <w:ilvl w:val="0"/>
          <w:numId w:val="1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Acuses de recibo de los oficios emitidos por la Unidad de Transparencia, requiriendo información a los servidores públicos habilitados. </w:t>
      </w:r>
    </w:p>
    <w:p w14:paraId="7F0DC5E1" w14:textId="784A0A7E" w:rsidR="00BA1F59" w:rsidRDefault="00BA1F59" w:rsidP="00BA1F59">
      <w:pPr>
        <w:pStyle w:val="Prrafodelista"/>
        <w:numPr>
          <w:ilvl w:val="0"/>
          <w:numId w:val="1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El o los documentos que deri</w:t>
      </w:r>
      <w:r w:rsidR="00715E14">
        <w:rPr>
          <w:rFonts w:ascii="Palatino Linotype" w:hAnsi="Palatino Linotype" w:cs="Arial"/>
        </w:rPr>
        <w:t xml:space="preserve">van del reloj checador de control de asistencia y/o equivalente. </w:t>
      </w:r>
    </w:p>
    <w:p w14:paraId="305EE9D2" w14:textId="77777777" w:rsidR="001671DD" w:rsidRDefault="001671DD" w:rsidP="004E3C3D">
      <w:pPr>
        <w:autoSpaceDE w:val="0"/>
        <w:autoSpaceDN w:val="0"/>
        <w:adjustRightInd w:val="0"/>
        <w:spacing w:before="240" w:line="360" w:lineRule="auto"/>
        <w:jc w:val="both"/>
        <w:rPr>
          <w:rFonts w:ascii="Palatino Linotype" w:hAnsi="Palatino Linotype" w:cs="Arial"/>
          <w:sz w:val="24"/>
          <w:szCs w:val="24"/>
        </w:rPr>
      </w:pPr>
    </w:p>
    <w:p w14:paraId="4D36358B" w14:textId="6835D344" w:rsidR="003A722A" w:rsidRDefault="00715E14" w:rsidP="00715E14">
      <w:pPr>
        <w:autoSpaceDE w:val="0"/>
        <w:autoSpaceDN w:val="0"/>
        <w:adjustRightInd w:val="0"/>
        <w:spacing w:before="240" w:line="360" w:lineRule="auto"/>
        <w:jc w:val="both"/>
        <w:rPr>
          <w:rStyle w:val="Hipervnculo"/>
          <w:rFonts w:ascii="Palatino Linotype" w:eastAsia="Times New Roman" w:hAnsi="Palatino Linotype" w:cs="Arial"/>
          <w:noProof/>
          <w:sz w:val="24"/>
          <w:szCs w:val="24"/>
          <w:lang w:eastAsia="es-MX"/>
        </w:rPr>
      </w:pPr>
      <w:r>
        <w:rPr>
          <w:rStyle w:val="Hipervnculo"/>
          <w:rFonts w:ascii="Palatino Linotype" w:eastAsia="Times New Roman" w:hAnsi="Palatino Linotype" w:cs="Arial"/>
          <w:noProof/>
          <w:sz w:val="24"/>
          <w:szCs w:val="24"/>
          <w:lang w:eastAsia="es-MX"/>
        </w:rPr>
        <w:drawing>
          <wp:anchor distT="0" distB="0" distL="114300" distR="114300" simplePos="0" relativeHeight="251715582" behindDoc="0" locked="0" layoutInCell="1" allowOverlap="1" wp14:anchorId="31CD6122" wp14:editId="3C2114DE">
            <wp:simplePos x="0" y="0"/>
            <wp:positionH relativeFrom="column">
              <wp:posOffset>-2204</wp:posOffset>
            </wp:positionH>
            <wp:positionV relativeFrom="paragraph">
              <wp:posOffset>1645920</wp:posOffset>
            </wp:positionV>
            <wp:extent cx="5753735" cy="3340100"/>
            <wp:effectExtent l="19050" t="19050" r="18415" b="12700"/>
            <wp:wrapThrough wrapText="bothSides">
              <wp:wrapPolygon edited="0">
                <wp:start x="-72" y="-123"/>
                <wp:lineTo x="-72" y="21559"/>
                <wp:lineTo x="21598" y="21559"/>
                <wp:lineTo x="21598" y="-123"/>
                <wp:lineTo x="-72" y="-123"/>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334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B2303">
        <w:rPr>
          <w:rFonts w:ascii="Palatino Linotype" w:hAnsi="Palatino Linotype" w:cs="Arial"/>
          <w:sz w:val="24"/>
          <w:szCs w:val="24"/>
        </w:rPr>
        <w:t xml:space="preserve">En este tenor, en </w:t>
      </w:r>
      <w:r>
        <w:rPr>
          <w:rFonts w:ascii="Palatino Linotype" w:hAnsi="Palatino Linotype" w:cs="Arial"/>
          <w:sz w:val="24"/>
          <w:szCs w:val="24"/>
        </w:rPr>
        <w:t xml:space="preserve">alusión a los requerimientos formulados por la particular, resulta oportuno traer a colación el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susceptible de ser consultado en la siguiente dirección electrónica: </w:t>
      </w:r>
      <w:r w:rsidRPr="00715E14">
        <w:rPr>
          <w:rStyle w:val="Hipervnculo"/>
          <w:rFonts w:ascii="Palatino Linotype" w:hAnsi="Palatino Linotype" w:cs="Arial"/>
          <w:sz w:val="24"/>
          <w:szCs w:val="24"/>
        </w:rPr>
        <w:t>https://www.ipomex.org.mx/ipo3/lgt/indice/IXTAPANDELASAL/art_92_ii_b/3.web</w:t>
      </w:r>
    </w:p>
    <w:p w14:paraId="150AA3B7" w14:textId="2CAA05C2"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1D3C6C08" w14:textId="6E88E05E" w:rsidR="00527D62" w:rsidRDefault="00715E14"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r>
        <w:rPr>
          <w:rStyle w:val="Hipervnculo"/>
          <w:rFonts w:ascii="Palatino Linotype" w:eastAsia="Times New Roman" w:hAnsi="Palatino Linotype" w:cs="Arial"/>
          <w:noProof/>
          <w:sz w:val="24"/>
          <w:szCs w:val="24"/>
          <w:lang w:eastAsia="es-MX"/>
        </w:rPr>
        <w:lastRenderedPageBreak/>
        <w:drawing>
          <wp:anchor distT="0" distB="0" distL="114300" distR="114300" simplePos="0" relativeHeight="251727872" behindDoc="0" locked="0" layoutInCell="1" allowOverlap="1" wp14:anchorId="2642A1DF" wp14:editId="2B3752DB">
            <wp:simplePos x="0" y="0"/>
            <wp:positionH relativeFrom="column">
              <wp:posOffset>3120750</wp:posOffset>
            </wp:positionH>
            <wp:positionV relativeFrom="paragraph">
              <wp:posOffset>19565</wp:posOffset>
            </wp:positionV>
            <wp:extent cx="2320290" cy="1285240"/>
            <wp:effectExtent l="19050" t="19050" r="22860" b="10160"/>
            <wp:wrapThrough wrapText="bothSides">
              <wp:wrapPolygon edited="0">
                <wp:start x="-177" y="-320"/>
                <wp:lineTo x="-177" y="21451"/>
                <wp:lineTo x="21635" y="21451"/>
                <wp:lineTo x="21635" y="-320"/>
                <wp:lineTo x="-177" y="-32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290" cy="1285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Style w:val="Hipervnculo"/>
          <w:rFonts w:ascii="Palatino Linotype" w:eastAsia="Times New Roman" w:hAnsi="Palatino Linotype" w:cs="Arial"/>
          <w:noProof/>
          <w:sz w:val="24"/>
          <w:szCs w:val="24"/>
          <w:lang w:eastAsia="es-MX"/>
        </w:rPr>
        <w:drawing>
          <wp:anchor distT="0" distB="0" distL="114300" distR="114300" simplePos="0" relativeHeight="251726848" behindDoc="0" locked="0" layoutInCell="1" allowOverlap="1" wp14:anchorId="77B7CBC8" wp14:editId="629438DF">
            <wp:simplePos x="0" y="0"/>
            <wp:positionH relativeFrom="column">
              <wp:posOffset>15240</wp:posOffset>
            </wp:positionH>
            <wp:positionV relativeFrom="paragraph">
              <wp:posOffset>19050</wp:posOffset>
            </wp:positionV>
            <wp:extent cx="2320290" cy="1285240"/>
            <wp:effectExtent l="19050" t="19050" r="22860" b="10160"/>
            <wp:wrapThrough wrapText="bothSides">
              <wp:wrapPolygon edited="0">
                <wp:start x="-177" y="-320"/>
                <wp:lineTo x="-177" y="21451"/>
                <wp:lineTo x="21635" y="21451"/>
                <wp:lineTo x="21635" y="-320"/>
                <wp:lineTo x="-177" y="-32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0290" cy="1285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2092AC6" w14:textId="79B34C73"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24BACCCA" w14:textId="5F82DEB9"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5A71E251" w14:textId="501EEAC5" w:rsidR="00715E14" w:rsidRDefault="00715E14"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03B88A40" w14:textId="495F33EF" w:rsidR="000A1E99" w:rsidRDefault="00D45747" w:rsidP="00AA113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Dirección de </w:t>
      </w:r>
      <w:r w:rsidR="000A1E99">
        <w:rPr>
          <w:rFonts w:ascii="Palatino Linotype" w:hAnsi="Palatino Linotype" w:cs="Arial"/>
          <w:sz w:val="24"/>
          <w:szCs w:val="24"/>
        </w:rPr>
        <w:t xml:space="preserve">Administración, así como la Unidad de Transparencia de Acceso a la Información Pública y Protección de Datos Personales. En este tenor, resultan aplicables los artículos </w:t>
      </w:r>
      <w:r w:rsidR="00674066">
        <w:rPr>
          <w:rFonts w:ascii="Palatino Linotype" w:hAnsi="Palatino Linotype" w:cs="Arial"/>
          <w:sz w:val="24"/>
          <w:szCs w:val="24"/>
        </w:rPr>
        <w:t xml:space="preserve">15, fracción I, 55, </w:t>
      </w:r>
      <w:r w:rsidR="000A1E99">
        <w:rPr>
          <w:rFonts w:ascii="Palatino Linotype" w:hAnsi="Palatino Linotype" w:cs="Arial"/>
          <w:sz w:val="24"/>
          <w:szCs w:val="24"/>
        </w:rPr>
        <w:t>56, fracciones</w:t>
      </w:r>
      <w:r w:rsidR="00674066">
        <w:t xml:space="preserve"> </w:t>
      </w:r>
      <w:r w:rsidR="00674066" w:rsidRPr="00674066">
        <w:rPr>
          <w:rFonts w:ascii="Palatino Linotype" w:hAnsi="Palatino Linotype"/>
          <w:sz w:val="24"/>
          <w:szCs w:val="24"/>
        </w:rPr>
        <w:t>XIII, XIV, XV y XVI</w:t>
      </w:r>
      <w:r w:rsidR="00674066">
        <w:rPr>
          <w:rFonts w:ascii="Palatino Linotype" w:hAnsi="Palatino Linotype"/>
          <w:sz w:val="24"/>
          <w:szCs w:val="24"/>
        </w:rPr>
        <w:t xml:space="preserve"> y 156 del Bando Municipal de Ixtapan de la Sal, así como los numerales </w:t>
      </w:r>
      <w:r w:rsidR="00674066" w:rsidRPr="00674066">
        <w:rPr>
          <w:rFonts w:ascii="Palatino Linotype" w:hAnsi="Palatino Linotype"/>
          <w:sz w:val="24"/>
          <w:szCs w:val="24"/>
        </w:rPr>
        <w:t>24, fracción XII, 47, 92 fracción XLIII y 162</w:t>
      </w:r>
      <w:r w:rsidR="00674066">
        <w:rPr>
          <w:rFonts w:ascii="Palatino Linotype" w:hAnsi="Palatino Linotype"/>
          <w:sz w:val="24"/>
          <w:szCs w:val="24"/>
        </w:rPr>
        <w:t xml:space="preserve"> de la Ley de Transparencia y Acceso a la Información Pública del Estado de México y Municipios, porciones normativas que disponen a la literalidad lo siguiente:</w:t>
      </w:r>
    </w:p>
    <w:p w14:paraId="20856F7D" w14:textId="1337B803" w:rsidR="000A1E99" w:rsidRPr="000A1E99" w:rsidRDefault="000A1E99" w:rsidP="000A1E99">
      <w:pPr>
        <w:pStyle w:val="CitasINFOEM"/>
        <w:jc w:val="center"/>
        <w:rPr>
          <w:b/>
          <w:sz w:val="24"/>
        </w:rPr>
      </w:pPr>
      <w:r>
        <w:rPr>
          <w:b/>
          <w:sz w:val="24"/>
        </w:rPr>
        <w:t>Bando Municipal de Ixtapan de la Sal</w:t>
      </w:r>
    </w:p>
    <w:p w14:paraId="444B9505" w14:textId="77777777" w:rsidR="000A1E99" w:rsidRDefault="000A1E99" w:rsidP="000A1E99">
      <w:pPr>
        <w:pStyle w:val="CitasINFOEM"/>
      </w:pPr>
      <w:r>
        <w:t>“ARTÍCULO 15.- El ejercicio de la función Ejecutiva Municipal, corresponde única y exclusivamente al Presidente Municipal Constitucional, en términos de sus atribuciones legales, teniendo bajo su mando y jerarquía a los titulares de las dependencias y organismos que conforman la Administración Pública Municipal.</w:t>
      </w:r>
    </w:p>
    <w:p w14:paraId="474CBD23" w14:textId="22A0B903" w:rsidR="000A1E99" w:rsidRDefault="000A1E99" w:rsidP="000A1E99">
      <w:pPr>
        <w:pStyle w:val="CitasINFOEM"/>
      </w:pPr>
      <w:r>
        <w:t xml:space="preserve"> I. Es facultad exclusiva del Presidente Municipal Constitucional la ejecución de los acuerdos del Ayuntamiento y de las normas contenidas en este Bando, en los </w:t>
      </w:r>
      <w:r>
        <w:lastRenderedPageBreak/>
        <w:t>reglamentos respectivos, así como en las circulares y disposiciones administrativas que sean aprobadas por el propio Ayuntamiento</w:t>
      </w:r>
    </w:p>
    <w:p w14:paraId="7CCB1623" w14:textId="2BD54D64" w:rsidR="00674066" w:rsidRDefault="00674066" w:rsidP="000A1E99">
      <w:pPr>
        <w:pStyle w:val="CitasINFOEM"/>
      </w:pPr>
      <w:r>
        <w:t>(…)</w:t>
      </w:r>
    </w:p>
    <w:p w14:paraId="6C8B9EB2" w14:textId="77777777" w:rsidR="00674066" w:rsidRDefault="00674066" w:rsidP="00674066">
      <w:pPr>
        <w:pStyle w:val="CitasINFOEM"/>
      </w:pPr>
      <w:r>
        <w:t>ARTÍCULO 55.- La Dirección de Administración, tiene como principal recurso a los servidores públicos que laboran en el Gobierno Municipal, tiene a su cargo también, la administración de los recursos materiales en los términos que disponga el Ayuntamiento y otras disposiciones reglamentarias</w:t>
      </w:r>
    </w:p>
    <w:p w14:paraId="58C4A28A" w14:textId="6600B62A" w:rsidR="000A1E99" w:rsidRDefault="000A1E99" w:rsidP="000A1E99">
      <w:pPr>
        <w:pStyle w:val="CitasINFOEM"/>
      </w:pPr>
      <w:r>
        <w:t>ARTÍCULO 56.- Las atribuciones de la Dirección de Administración, a través de su titular, son las siguientes:</w:t>
      </w:r>
    </w:p>
    <w:p w14:paraId="7FF68730" w14:textId="69AB5BF5" w:rsidR="000A1E99" w:rsidRDefault="000A1E99" w:rsidP="000A1E99">
      <w:pPr>
        <w:pStyle w:val="CitasINFOEM"/>
      </w:pPr>
      <w:r>
        <w:t>(…)</w:t>
      </w:r>
      <w:r w:rsidR="00674066">
        <w:t xml:space="preserve"> </w:t>
      </w:r>
    </w:p>
    <w:p w14:paraId="653887FC" w14:textId="77777777" w:rsidR="000A1E99" w:rsidRDefault="000A1E99" w:rsidP="000A1E99">
      <w:pPr>
        <w:pStyle w:val="CitasINFOEM"/>
        <w:rPr>
          <w:b/>
          <w:u w:val="single"/>
        </w:rPr>
      </w:pPr>
      <w:r w:rsidRPr="000A1E99">
        <w:rPr>
          <w:b/>
          <w:u w:val="single"/>
        </w:rPr>
        <w:t>XIII. Establecer con la aprobación del Ayuntamiento, las políticas, normas, criterios, sistemas y procedimientos para la Administración de los recursos humanos y materiales del Ayuntamiento;</w:t>
      </w:r>
    </w:p>
    <w:p w14:paraId="6EB705AD" w14:textId="77777777" w:rsidR="000A1E99" w:rsidRDefault="000A1E99" w:rsidP="000A1E99">
      <w:pPr>
        <w:pStyle w:val="CitasINFOEM"/>
      </w:pPr>
      <w:r>
        <w:t xml:space="preserve"> XIV. Detectar, planear y evaluar las necesidades que en materia de recursos humanos requiera la Administración, para proveer a las Direcciones y Unidades Administrativas lo necesario, para el desarrollo de sus funciones, por lo que tendrá a su cargo la selección, contratación, alta y capacitación de los mismos, conforme a los recursos presupuestales disponibles y a los lineamientos y acuerdos que expida el Ayuntamiento; </w:t>
      </w:r>
    </w:p>
    <w:p w14:paraId="0523FD4D" w14:textId="77777777" w:rsidR="000A1E99" w:rsidRDefault="000A1E99" w:rsidP="000A1E99">
      <w:pPr>
        <w:pStyle w:val="CitasINFOEM"/>
      </w:pPr>
      <w:r w:rsidRPr="000A1E99">
        <w:rPr>
          <w:b/>
          <w:u w:val="single"/>
        </w:rPr>
        <w:t>XV. Expedir y tramitar por acuerdo del Ayuntamiento, los nombramientos, altas, remociones, renuncias, licencias y jubilaciones de los servidores municipales;</w:t>
      </w:r>
      <w:r>
        <w:t xml:space="preserve"> </w:t>
      </w:r>
    </w:p>
    <w:p w14:paraId="7C255A45" w14:textId="50B923C0" w:rsidR="000A1E99" w:rsidRDefault="000A1E99" w:rsidP="000A1E99">
      <w:pPr>
        <w:pStyle w:val="CitasINFOEM"/>
      </w:pPr>
      <w:r>
        <w:lastRenderedPageBreak/>
        <w:t>XVI. Establecer las normas, políticas y lineamientos de administración, remociones, capacitación y desarrollo del personal;</w:t>
      </w:r>
    </w:p>
    <w:p w14:paraId="699D601A" w14:textId="4BF933EA" w:rsidR="000A1E99" w:rsidRDefault="000A1E99" w:rsidP="000A1E99">
      <w:pPr>
        <w:pStyle w:val="CitasINFOEM"/>
      </w:pPr>
      <w:r>
        <w:t>(…)</w:t>
      </w:r>
    </w:p>
    <w:p w14:paraId="21384C12" w14:textId="77777777" w:rsidR="000A1E99" w:rsidRDefault="000A1E99" w:rsidP="000A1E99">
      <w:pPr>
        <w:pStyle w:val="CitasINFOEM"/>
      </w:pPr>
      <w:r>
        <w:t xml:space="preserve">ARTÍCULO 156.- El Ayuntamiento vigilará, que se garantice el ejercicio de derecho de transparencia, acceso a la información pública y la protección de datos personales a favor de la ciudadanía, sin tener la obligación de acreditar su personalidad e interés jurídico, conforme a lo dispuesto a la Ley de Transparencia y Acceso a la Información Pública del Estado de México y Municipios. </w:t>
      </w:r>
    </w:p>
    <w:p w14:paraId="162F760E" w14:textId="77777777" w:rsidR="000A1E99" w:rsidRPr="000A1E99" w:rsidRDefault="000A1E99" w:rsidP="000A1E99">
      <w:pPr>
        <w:pStyle w:val="CitasINFOEM"/>
        <w:rPr>
          <w:b/>
          <w:u w:val="single"/>
        </w:rPr>
      </w:pPr>
      <w:r w:rsidRPr="000A1E99">
        <w:rPr>
          <w:b/>
          <w:u w:val="single"/>
        </w:rPr>
        <w:t xml:space="preserve">El Ayuntamiento de Ixtapan de la Sal, contará con un área responsable para la atención de las solicitudes denominada Unidad de Transparencia, que será responsable de tramitar al interior de la Administración Pública Municipal, las solicitudes de Información Pública, así como las solicitudes de acceso, ratificación, cancelación y oposición de datos personales, asimismo emitirá respuestas en eficacia, gratuidad, imparcialidad, independencia, legalidad, máxima publicidad, objetividad profesionalismo y transparencia. </w:t>
      </w:r>
    </w:p>
    <w:p w14:paraId="3249809C" w14:textId="0AAD3E8C" w:rsidR="000A1E99" w:rsidRDefault="000A1E99" w:rsidP="000A1E99">
      <w:pPr>
        <w:pStyle w:val="CitasINFOEM"/>
        <w:rPr>
          <w:b/>
        </w:rPr>
      </w:pPr>
      <w:r>
        <w:t xml:space="preserve">El derecho de acceso a la información pública, sólo será restringido siempre y cuando la naturaleza de la información se considere clasificada no reservada o confidencial, lo anterior con sustento legan en la Ley de Protección de Datos Personales en posesión de los sujetos obligados del Estado de México y Municipios.” </w:t>
      </w:r>
      <w:r>
        <w:rPr>
          <w:b/>
        </w:rPr>
        <w:t>[Sic]</w:t>
      </w:r>
    </w:p>
    <w:p w14:paraId="33453C0E" w14:textId="77777777" w:rsidR="000A1E99" w:rsidRDefault="000A1E99" w:rsidP="000A1E99">
      <w:pPr>
        <w:pStyle w:val="CitasINFOEM"/>
        <w:rPr>
          <w:rFonts w:cs="Arial"/>
          <w:b/>
          <w:sz w:val="24"/>
        </w:rPr>
      </w:pPr>
    </w:p>
    <w:p w14:paraId="021DAB99" w14:textId="15F5AA59" w:rsidR="000A1E99" w:rsidRDefault="000A1E99" w:rsidP="000A1E99">
      <w:pPr>
        <w:pStyle w:val="CitasINFOEM"/>
        <w:rPr>
          <w:rFonts w:cs="Arial"/>
          <w:b/>
          <w:sz w:val="24"/>
        </w:rPr>
      </w:pPr>
      <w:r>
        <w:rPr>
          <w:rFonts w:cs="Arial"/>
          <w:b/>
          <w:sz w:val="24"/>
        </w:rPr>
        <w:t>Ley de Transparencia y Acceso a la Información Pública del Estado de México y Municipios</w:t>
      </w:r>
    </w:p>
    <w:p w14:paraId="594A9F0E" w14:textId="77777777" w:rsidR="00674066" w:rsidRPr="00FA7CFC" w:rsidRDefault="00674066" w:rsidP="0067406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lastRenderedPageBreak/>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1EC4C969" w14:textId="77777777" w:rsidR="00674066" w:rsidRPr="00FA7CFC" w:rsidRDefault="00674066" w:rsidP="0067406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E048E7C" w14:textId="194ACAFC" w:rsidR="00674066" w:rsidRDefault="00674066" w:rsidP="000A1E99">
      <w:pPr>
        <w:pStyle w:val="CitasINFOEM"/>
      </w:pPr>
      <w:r>
        <w:t>(…)</w:t>
      </w:r>
    </w:p>
    <w:p w14:paraId="4304F5A5" w14:textId="77777777" w:rsidR="000A1E99" w:rsidRDefault="000A1E99" w:rsidP="000A1E99">
      <w:pPr>
        <w:pStyle w:val="CitasINFOEM"/>
      </w:pPr>
      <w:r>
        <w:t xml:space="preserve">Artículo 47. El Comité de Transparencia será la autoridad máxima al interior del sujeto obligado en materia del derecho de acceso a la información. </w:t>
      </w:r>
    </w:p>
    <w:p w14:paraId="1CE75FA9" w14:textId="77777777" w:rsidR="000A1E99" w:rsidRDefault="000A1E99" w:rsidP="000A1E99">
      <w:pPr>
        <w:pStyle w:val="CitasINFOEM"/>
      </w:pPr>
      <w: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02E26857" w14:textId="77777777" w:rsidR="000A1E99" w:rsidRDefault="000A1E99" w:rsidP="000A1E99">
      <w:pPr>
        <w:pStyle w:val="CitasINFOEM"/>
      </w:pPr>
      <w:r w:rsidRPr="000A1E99">
        <w:rPr>
          <w:b/>
          <w:u w:val="single"/>
        </w:rPr>
        <w:t>El Comité se reunirá en sesión ordinaria o extraordinaria las veces que estime necesario. El tipo de sesión se precisará en la convocatoria emitida.</w:t>
      </w:r>
      <w:r>
        <w:t xml:space="preserve"> </w:t>
      </w:r>
    </w:p>
    <w:p w14:paraId="47A74C71" w14:textId="77777777" w:rsidR="000A1E99" w:rsidRDefault="000A1E99" w:rsidP="000A1E99">
      <w:pPr>
        <w:pStyle w:val="CitasINFOEM"/>
      </w:pPr>
      <w: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5A4CAED1" w14:textId="77777777" w:rsidR="000A1E99" w:rsidRDefault="000A1E99" w:rsidP="000A1E99">
      <w:pPr>
        <w:pStyle w:val="CitasINFOEM"/>
      </w:pPr>
      <w:r>
        <w:t xml:space="preserve">En las sesiones y trabajos del Comité, podrán participar como invitados permanentes, los representantes de las áreas que decida el Comité, y contará con derecho de voz, pero no voto. </w:t>
      </w:r>
    </w:p>
    <w:p w14:paraId="3101325B" w14:textId="4ADB788B" w:rsidR="000A1E99" w:rsidRPr="000A1E99" w:rsidRDefault="000A1E99" w:rsidP="000A1E99">
      <w:pPr>
        <w:pStyle w:val="CitasINFOEM"/>
        <w:rPr>
          <w:rFonts w:cs="Arial"/>
          <w:b/>
          <w:sz w:val="24"/>
        </w:rPr>
      </w:pPr>
      <w:r>
        <w:lastRenderedPageBreak/>
        <w:t>Los titulares de las unidades administrativas que propongan la reserva, confidencialidad o declaren la inexistencia de información, acudirán a las sesiones de dicho Comité donde se discuta la propuesta correspondiente</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243B439" w14:textId="02EC0440" w:rsidR="00674066" w:rsidRDefault="00674066" w:rsidP="00674066">
      <w:pPr>
        <w:pStyle w:val="CitasINFOEM"/>
        <w:rPr>
          <w:szCs w:val="22"/>
        </w:rPr>
      </w:pPr>
      <w:r>
        <w:t>XLIII. Las actas y resoluciones del Comité de Transparencia de los sujetos obligados;</w:t>
      </w:r>
    </w:p>
    <w:p w14:paraId="213CDB47" w14:textId="77777777" w:rsidR="00674066" w:rsidRDefault="00674066" w:rsidP="001617BA">
      <w:pPr>
        <w:pStyle w:val="CitasINFOEM"/>
      </w:pPr>
      <w:r>
        <w:t xml:space="preserve"> </w:t>
      </w:r>
      <w:r w:rsidR="007C25EF">
        <w:t>(…)</w:t>
      </w:r>
    </w:p>
    <w:p w14:paraId="33D60FAF" w14:textId="3008DE8A" w:rsidR="007C25EF" w:rsidRPr="007C25EF" w:rsidRDefault="00674066" w:rsidP="001617BA">
      <w:pPr>
        <w:pStyle w:val="CitasINFOEM"/>
        <w:rPr>
          <w:b/>
          <w:bCs/>
        </w:rPr>
      </w:pPr>
      <w:r w:rsidRPr="00674066">
        <w:rPr>
          <w:b/>
          <w:u w:val="single"/>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7C25EF" w:rsidRPr="00674066">
        <w:rPr>
          <w:b/>
          <w:u w:val="single"/>
        </w:rPr>
        <w:t xml:space="preserve">” </w:t>
      </w:r>
      <w:r w:rsidR="007C25EF">
        <w:rPr>
          <w:b/>
          <w:bCs/>
        </w:rPr>
        <w:t>[Sic]</w:t>
      </w:r>
    </w:p>
    <w:p w14:paraId="2BBDA916" w14:textId="77777777" w:rsidR="001617BA" w:rsidRDefault="001617BA" w:rsidP="001617BA">
      <w:pPr>
        <w:pStyle w:val="CitasINFOEM"/>
        <w:rPr>
          <w:b/>
        </w:rPr>
      </w:pPr>
    </w:p>
    <w:p w14:paraId="3C641290" w14:textId="79071EFD" w:rsidR="00674066" w:rsidRDefault="00EF0DE2" w:rsidP="00EF0DE2">
      <w:pPr>
        <w:spacing w:line="360" w:lineRule="auto"/>
        <w:contextualSpacing/>
        <w:jc w:val="both"/>
        <w:rPr>
          <w:rFonts w:ascii="Palatino Linotype" w:eastAsia="Times New Roman" w:hAnsi="Palatino Linotype" w:cs="Arial"/>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 xml:space="preserve">fracción </w:t>
      </w:r>
      <w:r w:rsidR="00674066">
        <w:rPr>
          <w:rFonts w:ascii="Palatino Linotype" w:eastAsia="Arial Unicode MS" w:hAnsi="Palatino Linotype" w:cs="Times New Roman"/>
          <w:sz w:val="24"/>
          <w:szCs w:val="24"/>
        </w:rPr>
        <w:t>XLIII</w:t>
      </w:r>
      <w:r w:rsidRPr="0039245A">
        <w:rPr>
          <w:rFonts w:ascii="Palatino Linotype" w:eastAsia="Arial Unicode MS" w:hAnsi="Palatino Linotype" w:cs="Times New Roman"/>
          <w:sz w:val="24"/>
          <w:szCs w:val="24"/>
        </w:rPr>
        <w:t>,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w:t>
      </w:r>
      <w:r w:rsidRPr="00674066">
        <w:rPr>
          <w:rFonts w:ascii="Palatino Linotype" w:eastAsia="Times New Roman" w:hAnsi="Palatino Linotype" w:cs="Arial"/>
          <w:b/>
          <w:sz w:val="24"/>
          <w:szCs w:val="24"/>
          <w:u w:val="single"/>
        </w:rPr>
        <w:t xml:space="preserve">respecto </w:t>
      </w:r>
      <w:r w:rsidR="00713738" w:rsidRPr="00674066">
        <w:rPr>
          <w:rFonts w:ascii="Palatino Linotype" w:eastAsia="Times New Roman" w:hAnsi="Palatino Linotype" w:cs="Arial"/>
          <w:b/>
          <w:sz w:val="24"/>
          <w:szCs w:val="24"/>
          <w:u w:val="single"/>
        </w:rPr>
        <w:t xml:space="preserve">de </w:t>
      </w:r>
      <w:r w:rsidR="00674066" w:rsidRPr="00674066">
        <w:rPr>
          <w:rFonts w:ascii="Palatino Linotype" w:eastAsia="Times New Roman" w:hAnsi="Palatino Linotype" w:cs="Arial"/>
          <w:b/>
          <w:sz w:val="24"/>
          <w:szCs w:val="24"/>
          <w:u w:val="single"/>
        </w:rPr>
        <w:t>actas y resoluciones del Comité de Transparencia</w:t>
      </w:r>
      <w:r w:rsidR="00674066">
        <w:rPr>
          <w:rFonts w:ascii="Palatino Linotype" w:eastAsia="Times New Roman" w:hAnsi="Palatino Linotype" w:cs="Arial"/>
          <w:sz w:val="24"/>
          <w:szCs w:val="24"/>
        </w:rPr>
        <w:t xml:space="preserve"> se trata de una obligación de transparencia común, esto es, información que por su naturaleza es pública y que los sujetos obligados deben poner a disposición del público de manera permanente y por tanto deberán mantenerla actualizada</w:t>
      </w:r>
    </w:p>
    <w:p w14:paraId="645836D5" w14:textId="677A8F47" w:rsidR="00674066" w:rsidRDefault="0039245A"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En suma, la información requerida por </w:t>
      </w:r>
      <w:r w:rsidR="00A33D22">
        <w:rPr>
          <w:rFonts w:ascii="Palatino Linotype" w:hAnsi="Palatino Linotype" w:cs="Arial"/>
          <w:noProof/>
          <w:color w:val="000000"/>
          <w:sz w:val="24"/>
          <w:lang w:eastAsia="es-MX"/>
        </w:rPr>
        <w:t>la</w:t>
      </w:r>
      <w:r>
        <w:rPr>
          <w:rFonts w:ascii="Palatino Linotype" w:hAnsi="Palatino Linotype" w:cs="Arial"/>
          <w:noProof/>
          <w:color w:val="000000"/>
          <w:sz w:val="24"/>
          <w:lang w:eastAsia="es-MX"/>
        </w:rPr>
        <w:t xml:space="preserve"> particular es susceptible de ser generada, poseida y administrada por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Una vez sentado lo anterior, como se mencionó en el antecedente segundo, en fecha</w:t>
      </w:r>
      <w:r w:rsidR="00713738">
        <w:rPr>
          <w:rFonts w:ascii="Palatino Linotype" w:hAnsi="Palatino Linotype" w:cs="Arial"/>
          <w:noProof/>
          <w:color w:val="000000"/>
          <w:sz w:val="24"/>
          <w:lang w:eastAsia="es-MX"/>
        </w:rPr>
        <w:t xml:space="preserve"> </w:t>
      </w:r>
      <w:r w:rsidR="00674066">
        <w:rPr>
          <w:rFonts w:ascii="Palatino Linotype" w:hAnsi="Palatino Linotype" w:cs="Arial"/>
          <w:noProof/>
          <w:color w:val="000000"/>
          <w:sz w:val="24"/>
          <w:lang w:eastAsia="es-MX"/>
        </w:rPr>
        <w:t xml:space="preserve">veintidos de febrero de dos mil veintiuno, </w:t>
      </w:r>
      <w:r w:rsidR="00674066">
        <w:rPr>
          <w:rFonts w:ascii="Palatino Linotype" w:hAnsi="Palatino Linotype" w:cs="Arial"/>
          <w:b/>
          <w:noProof/>
          <w:color w:val="000000"/>
          <w:sz w:val="24"/>
          <w:lang w:eastAsia="es-MX"/>
        </w:rPr>
        <w:t xml:space="preserve">El Sujeto Obligado </w:t>
      </w:r>
      <w:r w:rsidR="00674066">
        <w:rPr>
          <w:rFonts w:ascii="Palatino Linotype" w:hAnsi="Palatino Linotype" w:cs="Arial"/>
          <w:noProof/>
          <w:color w:val="000000"/>
          <w:sz w:val="24"/>
          <w:lang w:eastAsia="es-MX"/>
        </w:rPr>
        <w:t>rindió su respuesta a la solicitud de información formulada por el particular, adjuntando para tal efecto lo siguiente:</w:t>
      </w:r>
    </w:p>
    <w:p w14:paraId="63D77F17" w14:textId="44A4F09B" w:rsidR="00674066" w:rsidRPr="00674066" w:rsidRDefault="00674066" w:rsidP="00674066">
      <w:pPr>
        <w:pStyle w:val="Prrafodelista"/>
        <w:numPr>
          <w:ilvl w:val="0"/>
          <w:numId w:val="17"/>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t xml:space="preserve">“10ma Sesion Extraordinaria.pdf”: </w:t>
      </w:r>
      <w:r>
        <w:rPr>
          <w:rFonts w:ascii="Palatino Linotype" w:hAnsi="Palatino Linotype" w:cs="Arial"/>
          <w:noProof/>
          <w:color w:val="000000"/>
          <w:lang w:eastAsia="es-MX"/>
        </w:rPr>
        <w:t xml:space="preserve">Acta de la Décima Sesión Extraordinaria del Comité de Transparencia, de fecha veintidos de febrero de dos mil veintiuno, </w:t>
      </w:r>
      <w:r w:rsidRPr="000B69D4">
        <w:rPr>
          <w:rFonts w:ascii="Palatino Linotype" w:hAnsi="Palatino Linotype"/>
        </w:rPr>
        <w:t>en lo medular se funda y motiva el cambio de modalidad para múltiples solicitudes de infor</w:t>
      </w:r>
      <w:r>
        <w:rPr>
          <w:rFonts w:ascii="Palatino Linotype" w:hAnsi="Palatino Linotype"/>
        </w:rPr>
        <w:t xml:space="preserve">mación englobando las siguiente </w:t>
      </w:r>
      <w:r>
        <w:rPr>
          <w:rFonts w:ascii="Palatino Linotype" w:hAnsi="Palatino Linotype"/>
          <w:b/>
        </w:rPr>
        <w:t xml:space="preserve">00205/IXTASAL/IP/2021. </w:t>
      </w:r>
    </w:p>
    <w:p w14:paraId="548E97CE" w14:textId="77777777" w:rsidR="00674066" w:rsidRDefault="00674066" w:rsidP="0039245A">
      <w:pPr>
        <w:spacing w:after="0" w:line="360" w:lineRule="auto"/>
        <w:jc w:val="both"/>
        <w:rPr>
          <w:rFonts w:ascii="Palatino Linotype" w:hAnsi="Palatino Linotype" w:cs="Arial"/>
          <w:noProof/>
          <w:color w:val="000000"/>
          <w:sz w:val="24"/>
          <w:lang w:eastAsia="es-MX"/>
        </w:rPr>
      </w:pPr>
    </w:p>
    <w:p w14:paraId="0D0CD506" w14:textId="55796690" w:rsidR="00674066" w:rsidRDefault="005047B4" w:rsidP="0039245A">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 de revisión en fecha seis de marzo, admitiéndose el doce de marzo, ambos de dos mil veintiuno. Por otra parte, como fue expuesto en el antecedente quinto, </w:t>
      </w:r>
      <w:r>
        <w:rPr>
          <w:rFonts w:ascii="Palatino Linotype" w:hAnsi="Palatino Linotype"/>
          <w:b/>
          <w:sz w:val="24"/>
          <w:szCs w:val="24"/>
        </w:rPr>
        <w:t xml:space="preserve">El Sujeto Obligado </w:t>
      </w:r>
      <w:r>
        <w:rPr>
          <w:rFonts w:ascii="Palatino Linotype" w:hAnsi="Palatino Linotype"/>
          <w:sz w:val="24"/>
          <w:szCs w:val="24"/>
        </w:rPr>
        <w:t>fue omiso en rendir su informe justificado, luego entonces se arriban a las siguientes consideraciones:</w:t>
      </w:r>
    </w:p>
    <w:p w14:paraId="591454C2" w14:textId="77777777" w:rsidR="005047B4" w:rsidRDefault="005047B4" w:rsidP="005047B4">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hAnsi="Palatino Linotype" w:cs="Arial"/>
          <w:noProof/>
          <w:color w:val="000000"/>
          <w:sz w:val="24"/>
          <w:lang w:eastAsia="es-MX"/>
        </w:rPr>
        <w:t xml:space="preserve">En primer lugar, </w:t>
      </w:r>
      <w:r w:rsidRPr="00712BF6">
        <w:rPr>
          <w:rFonts w:ascii="Palatino Linotype" w:eastAsia="Times New Roman" w:hAnsi="Palatino Linotype" w:cs="Times New Roman"/>
          <w:sz w:val="24"/>
          <w:szCs w:val="24"/>
          <w:lang w:val="es-ES_tradnl" w:eastAsia="es-ES"/>
        </w:rPr>
        <w:t xml:space="preserve">es de destacar que 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del</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712BF6">
        <w:rPr>
          <w:rFonts w:ascii="Palatino Linotype" w:eastAsia="Times New Roman" w:hAnsi="Palatino Linotype" w:cs="Times New Roman"/>
          <w:i/>
          <w:sz w:val="24"/>
          <w:szCs w:val="24"/>
          <w:lang w:val="es-ES_tradnl" w:eastAsia="es-ES"/>
        </w:rPr>
        <w:t>Consulta Directa</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de lunes a viernes de 10:00 am a 16:00 horas.</w:t>
      </w:r>
      <w:r w:rsidRPr="00712BF6">
        <w:rPr>
          <w:rFonts w:ascii="Palatino Linotype" w:eastAsia="Times New Roman" w:hAnsi="Palatino Linotype" w:cs="Times New Roman"/>
          <w:sz w:val="24"/>
          <w:szCs w:val="24"/>
          <w:lang w:val="es-ES_tradnl" w:eastAsia="es-ES"/>
        </w:rPr>
        <w:t xml:space="preserve"> </w:t>
      </w:r>
    </w:p>
    <w:p w14:paraId="7C04819F" w14:textId="77777777" w:rsidR="005047B4" w:rsidRDefault="005047B4" w:rsidP="005047B4">
      <w:pPr>
        <w:spacing w:after="0" w:line="360" w:lineRule="auto"/>
        <w:jc w:val="both"/>
        <w:rPr>
          <w:rFonts w:ascii="Palatino Linotype" w:eastAsia="Times New Roman" w:hAnsi="Palatino Linotype" w:cs="Times New Roman"/>
          <w:sz w:val="24"/>
          <w:szCs w:val="24"/>
          <w:lang w:val="es-ES_tradnl" w:eastAsia="es-ES"/>
        </w:rPr>
      </w:pPr>
    </w:p>
    <w:p w14:paraId="53EDA739" w14:textId="77777777" w:rsidR="005047B4" w:rsidRPr="00712BF6" w:rsidRDefault="005047B4" w:rsidP="005047B4">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w:t>
      </w:r>
      <w:r w:rsidRPr="00712BF6">
        <w:rPr>
          <w:rFonts w:ascii="Palatino Linotype" w:eastAsia="MS Mincho" w:hAnsi="Palatino Linotype" w:cs="Arial"/>
          <w:sz w:val="24"/>
          <w:szCs w:val="23"/>
          <w:lang w:val="es-ES_tradnl" w:eastAsia="es-ES"/>
        </w:rPr>
        <w:lastRenderedPageBreak/>
        <w:t xml:space="preserve">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2A4F3E5" w14:textId="77777777" w:rsidR="005047B4" w:rsidRPr="00712BF6" w:rsidRDefault="005047B4" w:rsidP="00354448">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5D2D57F4" w14:textId="234EA452" w:rsidR="005047B4" w:rsidRDefault="005047B4" w:rsidP="00354448">
      <w:pPr>
        <w:pStyle w:val="CitasINFOEM"/>
        <w:rPr>
          <w:b/>
        </w:rPr>
      </w:pPr>
      <w:r w:rsidRPr="00712BF6">
        <w:rPr>
          <w:b/>
          <w:u w:val="single"/>
        </w:rPr>
        <w:t>En cualquier caso, se deberá fundar y motivar la necesidad de ofrecer otras modalidades.</w:t>
      </w:r>
      <w:r w:rsidRPr="00712BF6">
        <w:t>”</w:t>
      </w:r>
      <w:r w:rsidR="00354448">
        <w:t xml:space="preserve"> </w:t>
      </w:r>
      <w:r w:rsidR="00354448">
        <w:rPr>
          <w:b/>
        </w:rPr>
        <w:t>[Sic]</w:t>
      </w:r>
    </w:p>
    <w:p w14:paraId="1B029457" w14:textId="77777777" w:rsidR="00354448" w:rsidRPr="00354448" w:rsidRDefault="00354448" w:rsidP="00354448">
      <w:pPr>
        <w:pStyle w:val="CitasINFOEM"/>
        <w:rPr>
          <w:b/>
        </w:rPr>
      </w:pPr>
    </w:p>
    <w:p w14:paraId="5FF30B34" w14:textId="77777777" w:rsidR="005047B4" w:rsidRPr="00712BF6" w:rsidRDefault="005047B4" w:rsidP="005047B4">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0A01AF33" w14:textId="77777777" w:rsidR="005047B4" w:rsidRPr="00712BF6" w:rsidRDefault="005047B4" w:rsidP="005047B4">
      <w:pPr>
        <w:spacing w:before="240" w:after="240" w:line="360" w:lineRule="auto"/>
        <w:contextualSpacing/>
        <w:jc w:val="both"/>
        <w:rPr>
          <w:rFonts w:ascii="Palatino Linotype" w:eastAsia="Times New Roman" w:hAnsi="Palatino Linotype" w:cs="Times New Roman"/>
          <w:b/>
          <w:sz w:val="24"/>
          <w:szCs w:val="24"/>
          <w:lang w:val="es-ES" w:eastAsia="es-ES"/>
        </w:rPr>
      </w:pPr>
    </w:p>
    <w:p w14:paraId="7DAADAD1" w14:textId="77777777" w:rsidR="005047B4" w:rsidRPr="00712BF6" w:rsidRDefault="005047B4" w:rsidP="005047B4">
      <w:pPr>
        <w:spacing w:before="240" w:after="240" w:line="360" w:lineRule="auto"/>
        <w:contextualSpacing/>
        <w:jc w:val="both"/>
        <w:rPr>
          <w:rFonts w:ascii="Palatino Linotype" w:hAnsi="Palatino Linotype"/>
          <w:sz w:val="24"/>
        </w:rPr>
      </w:pPr>
      <w:r w:rsidRPr="00712BF6">
        <w:rPr>
          <w:rFonts w:ascii="Palatino Linotype" w:hAnsi="Palatino Linotype"/>
          <w:sz w:val="24"/>
        </w:rPr>
        <w:t xml:space="preserve">La necesidad de fundar y motivar es imperante en todos los actos que emite cualquier autoridad, es decir, todo acto que pronuncie en el ejercicio de sus atribuciones, debe </w:t>
      </w:r>
      <w:r w:rsidRPr="00712BF6">
        <w:rPr>
          <w:rFonts w:ascii="Palatino Linotype" w:hAnsi="Palatino Linotype"/>
          <w:sz w:val="24"/>
        </w:rPr>
        <w:lastRenderedPageBreak/>
        <w:t>expresar los fundamentos legales que le dieron origen y las razones por las que se deben aplicar al caso concreto.</w:t>
      </w:r>
    </w:p>
    <w:p w14:paraId="1E9972F9" w14:textId="77777777" w:rsidR="005047B4" w:rsidRPr="00712BF6" w:rsidRDefault="005047B4" w:rsidP="005047B4">
      <w:pPr>
        <w:spacing w:before="240" w:after="240" w:line="360" w:lineRule="auto"/>
        <w:contextualSpacing/>
        <w:jc w:val="both"/>
        <w:rPr>
          <w:rFonts w:ascii="Palatino Linotype" w:eastAsia="Times New Roman" w:hAnsi="Palatino Linotype" w:cs="Times New Roman"/>
          <w:sz w:val="24"/>
          <w:szCs w:val="24"/>
          <w:lang w:val="es-ES" w:eastAsia="es-ES"/>
        </w:rPr>
      </w:pPr>
    </w:p>
    <w:p w14:paraId="084C56E0" w14:textId="77777777" w:rsidR="00D85747" w:rsidRDefault="005047B4" w:rsidP="005047B4">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7FDC756C" w14:textId="019FA7F4" w:rsidR="005047B4" w:rsidRPr="00D85747" w:rsidRDefault="005047B4" w:rsidP="00D85747">
      <w:pPr>
        <w:pStyle w:val="CitasINFOEM"/>
        <w:rPr>
          <w:b/>
          <w:lang w:eastAsia="es-MX"/>
        </w:rPr>
      </w:pPr>
      <w:r w:rsidRPr="006302B4">
        <w:rPr>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lang w:eastAsia="es-MX"/>
        </w:rPr>
        <w:t>..</w:t>
      </w:r>
      <w:r w:rsidRPr="006302B4">
        <w:rPr>
          <w:lang w:eastAsia="es-MX"/>
        </w:rPr>
        <w:t>.”</w:t>
      </w:r>
      <w:r w:rsidRPr="00712BF6">
        <w:rPr>
          <w:vertAlign w:val="superscript"/>
        </w:rPr>
        <w:footnoteReference w:id="2"/>
      </w:r>
      <w:r w:rsidR="00D85747">
        <w:rPr>
          <w:lang w:eastAsia="es-MX"/>
        </w:rPr>
        <w:t xml:space="preserve"> </w:t>
      </w:r>
      <w:r w:rsidR="00D85747">
        <w:rPr>
          <w:b/>
          <w:lang w:eastAsia="es-MX"/>
        </w:rPr>
        <w:t>[Sic]</w:t>
      </w:r>
    </w:p>
    <w:p w14:paraId="4791AE90" w14:textId="77777777" w:rsidR="005047B4" w:rsidRPr="00712BF6" w:rsidRDefault="005047B4" w:rsidP="005047B4">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AE2ADBE" w14:textId="77777777" w:rsidR="005047B4" w:rsidRPr="00712BF6" w:rsidRDefault="005047B4" w:rsidP="005047B4">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44462C80" w14:textId="4D2B03E4" w:rsidR="005047B4" w:rsidRPr="00712BF6" w:rsidRDefault="00D85747" w:rsidP="00D85747">
      <w:pPr>
        <w:pStyle w:val="CitasINFOEM"/>
      </w:pPr>
      <w:r>
        <w:rPr>
          <w:b/>
        </w:rPr>
        <w:t>“</w:t>
      </w:r>
      <w:r w:rsidR="005047B4" w:rsidRPr="00712BF6">
        <w:rPr>
          <w:b/>
        </w:rPr>
        <w:t>FUNDAMENTACIÓN Y MOTIVACIÓN.</w:t>
      </w:r>
      <w:r w:rsidR="005047B4" w:rsidRPr="00712BF6">
        <w:t xml:space="preserve"> La debida fundamentación y motivación legal, deben entenderse, por lo primero, la cita del precepto legal aplicable al caso, y por lo segundo, las razones, motivos o circunstancias especiales que </w:t>
      </w:r>
      <w:r w:rsidR="005047B4" w:rsidRPr="00712BF6">
        <w:lastRenderedPageBreak/>
        <w:t>llevaron a la autoridad a concluir que el caso particular encuadra en el supuesto previsto por la norma legal invocada como fundamento.</w:t>
      </w:r>
    </w:p>
    <w:p w14:paraId="7433B2C4" w14:textId="77777777" w:rsidR="005047B4" w:rsidRPr="00712BF6" w:rsidRDefault="005047B4" w:rsidP="00D85747">
      <w:pPr>
        <w:pStyle w:val="CitasINFOEM"/>
      </w:pPr>
      <w:r w:rsidRPr="00712BF6">
        <w:rPr>
          <w:b/>
        </w:rPr>
        <w:t>SEGUNDO TRIBUNAL COLEGIADO DEL SEXTO CIRCUITO</w:t>
      </w:r>
      <w:r w:rsidRPr="00712BF6">
        <w:t>.</w:t>
      </w:r>
    </w:p>
    <w:p w14:paraId="7E5E0522" w14:textId="77777777" w:rsidR="005047B4" w:rsidRPr="00712BF6" w:rsidRDefault="005047B4" w:rsidP="00D85747">
      <w:pPr>
        <w:pStyle w:val="CitasINFOEM"/>
      </w:pPr>
      <w:r w:rsidRPr="00712BF6">
        <w:t>Amparo directo 194/88. Bufete Industrial Construcciones, S.A. de C.V. 28 de junio de 1988. Unanimidad de votos. Ponente: Gustavo Calvillo Rangel. Secretario: Jorge Alberto González Álvarez.</w:t>
      </w:r>
    </w:p>
    <w:p w14:paraId="798BE393" w14:textId="77777777" w:rsidR="005047B4" w:rsidRPr="00712BF6" w:rsidRDefault="005047B4" w:rsidP="00D85747">
      <w:pPr>
        <w:pStyle w:val="CitasINFOEM"/>
      </w:pPr>
      <w:r w:rsidRPr="00712BF6">
        <w:t>Revisión fiscal 103/88. Instituto Mexicano del Seguro Social. 18 de octubre de 1988. Unanimidad de votos. Ponente: Arnoldo Nájera Virgen. Secretario: Alejandro Esponda Rincón.</w:t>
      </w:r>
    </w:p>
    <w:p w14:paraId="3CF4CAD0" w14:textId="77777777" w:rsidR="005047B4" w:rsidRPr="00712BF6" w:rsidRDefault="005047B4" w:rsidP="00D85747">
      <w:pPr>
        <w:pStyle w:val="CitasINFOEM"/>
      </w:pPr>
      <w:r w:rsidRPr="00712BF6">
        <w:t>Amparo en revisión 333/88. Adilia Romero. 26 de octubre de 1988. Unanimidad de votos. Ponente: Arnoldo Nájera Virgen. Secretario: Enrique Crispín Campos Ramírez.</w:t>
      </w:r>
    </w:p>
    <w:p w14:paraId="4F0FC1DF" w14:textId="77777777" w:rsidR="005047B4" w:rsidRPr="00712BF6" w:rsidRDefault="005047B4" w:rsidP="00D85747">
      <w:pPr>
        <w:pStyle w:val="CitasINFOEM"/>
      </w:pPr>
      <w:r w:rsidRPr="00712BF6">
        <w:t>Amparo en revisión 597/95. Emilio Maurer Bretón. 15 de noviembre de 1995. Unanimidad de votos. Ponente: Clementina Ramírez Moguel Goyzueta. Secretario: Gonzalo Carrera Molina.</w:t>
      </w:r>
    </w:p>
    <w:p w14:paraId="0FD278A2" w14:textId="2AD42122" w:rsidR="005047B4" w:rsidRPr="00D85747" w:rsidRDefault="005047B4" w:rsidP="00D85747">
      <w:pPr>
        <w:pStyle w:val="CitasINFOEM"/>
        <w:rPr>
          <w:b/>
        </w:rPr>
      </w:pPr>
      <w:r w:rsidRPr="00712BF6">
        <w:t>Amparo directo 7/96. Pedro Vicente López Miro. 21 de febrero de 1996. Unanimidad de votos. Ponente: María Eugenia Estela Martínez Cardiel. Secretario: Enrique Baigts Muñoz.</w:t>
      </w:r>
      <w:r w:rsidR="00D85747">
        <w:t xml:space="preserve">” </w:t>
      </w:r>
      <w:r w:rsidR="00D85747">
        <w:rPr>
          <w:b/>
        </w:rPr>
        <w:t>[Sic]</w:t>
      </w:r>
    </w:p>
    <w:p w14:paraId="2707EED1" w14:textId="77777777" w:rsidR="00D85747" w:rsidRDefault="00D85747" w:rsidP="005047B4">
      <w:pPr>
        <w:spacing w:before="240" w:after="240" w:line="360" w:lineRule="auto"/>
        <w:contextualSpacing/>
        <w:jc w:val="both"/>
        <w:rPr>
          <w:rFonts w:ascii="Palatino Linotype" w:hAnsi="Palatino Linotype" w:cs="Arial"/>
          <w:color w:val="222222"/>
          <w:sz w:val="24"/>
          <w:lang w:eastAsia="es-MX"/>
        </w:rPr>
      </w:pPr>
    </w:p>
    <w:p w14:paraId="186AA0F1" w14:textId="77777777" w:rsidR="005047B4" w:rsidRPr="00712BF6" w:rsidRDefault="005047B4" w:rsidP="005047B4">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Así, en un acto de autoridad se cumple con la debida fundamentación cuando se cita el precepto legal aplicable al caso concreto y la debida motivación cuando se expresan </w:t>
      </w:r>
      <w:r w:rsidRPr="00712BF6">
        <w:rPr>
          <w:rFonts w:ascii="Palatino Linotype" w:hAnsi="Palatino Linotype" w:cs="Arial"/>
          <w:color w:val="222222"/>
          <w:sz w:val="24"/>
          <w:lang w:eastAsia="es-MX"/>
        </w:rPr>
        <w:lastRenderedPageBreak/>
        <w:t>las razones, motivos o circunstancias que tomó en cuenta la autoridad para adecuar el hecho a los fundamentos de derecho.</w:t>
      </w:r>
    </w:p>
    <w:p w14:paraId="4DACF8F8" w14:textId="77777777" w:rsidR="005047B4" w:rsidRPr="00712BF6" w:rsidRDefault="005047B4" w:rsidP="005047B4">
      <w:pPr>
        <w:spacing w:before="240" w:after="240" w:line="360" w:lineRule="auto"/>
        <w:contextualSpacing/>
        <w:jc w:val="both"/>
        <w:rPr>
          <w:rFonts w:ascii="Palatino Linotype" w:hAnsi="Palatino Linotype" w:cs="Arial"/>
          <w:color w:val="222222"/>
          <w:sz w:val="24"/>
          <w:lang w:eastAsia="es-MX"/>
        </w:rPr>
      </w:pPr>
    </w:p>
    <w:p w14:paraId="7FD81D81" w14:textId="77777777" w:rsidR="005047B4" w:rsidRPr="00712BF6" w:rsidRDefault="005047B4" w:rsidP="005047B4">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F0CEC8" w14:textId="77777777" w:rsidR="005047B4" w:rsidRPr="00712BF6" w:rsidRDefault="005047B4" w:rsidP="005047B4"/>
    <w:p w14:paraId="51399E4E" w14:textId="58CD64CE" w:rsidR="005047B4" w:rsidRDefault="005047B4" w:rsidP="005047B4">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t>En este sentido, de las constancias que obran en el presente recurso</w:t>
      </w:r>
      <w:r w:rsidR="00D85747">
        <w:rPr>
          <w:rFonts w:ascii="Palatino Linotype" w:hAnsi="Palatino Linotype"/>
          <w:sz w:val="24"/>
          <w:szCs w:val="24"/>
        </w:rPr>
        <w:t xml:space="preserve"> de revisión, se advierte que el</w:t>
      </w:r>
      <w:r w:rsidRPr="00712BF6">
        <w:rPr>
          <w:rFonts w:ascii="Palatino Linotype" w:hAnsi="Palatino Linotype"/>
          <w:sz w:val="24"/>
          <w:szCs w:val="24"/>
        </w:rPr>
        <w:t xml:space="preserve">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2D608A17" w14:textId="5AA11417" w:rsidR="005047B4" w:rsidRDefault="00D85747"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drawing>
          <wp:anchor distT="0" distB="0" distL="114300" distR="114300" simplePos="0" relativeHeight="251728896" behindDoc="0" locked="0" layoutInCell="1" allowOverlap="1" wp14:anchorId="2F0CEBA5" wp14:editId="17642022">
            <wp:simplePos x="0" y="0"/>
            <wp:positionH relativeFrom="column">
              <wp:posOffset>-36176</wp:posOffset>
            </wp:positionH>
            <wp:positionV relativeFrom="paragraph">
              <wp:posOffset>230591</wp:posOffset>
            </wp:positionV>
            <wp:extent cx="5762625" cy="1492250"/>
            <wp:effectExtent l="19050" t="19050" r="28575" b="12700"/>
            <wp:wrapThrough wrapText="bothSides">
              <wp:wrapPolygon edited="0">
                <wp:start x="-71" y="-276"/>
                <wp:lineTo x="-71" y="21508"/>
                <wp:lineTo x="21636" y="21508"/>
                <wp:lineTo x="21636" y="-276"/>
                <wp:lineTo x="-71" y="-276"/>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1492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FB0628B" w14:textId="77777777" w:rsidR="005047B4" w:rsidRDefault="005047B4" w:rsidP="0039245A">
      <w:pPr>
        <w:spacing w:after="0" w:line="360" w:lineRule="auto"/>
        <w:jc w:val="both"/>
        <w:rPr>
          <w:rFonts w:ascii="Palatino Linotype" w:hAnsi="Palatino Linotype" w:cs="Arial"/>
          <w:noProof/>
          <w:color w:val="000000"/>
          <w:sz w:val="24"/>
          <w:lang w:eastAsia="es-MX"/>
        </w:rPr>
      </w:pPr>
    </w:p>
    <w:p w14:paraId="28A6BFF1" w14:textId="77777777" w:rsidR="005047B4" w:rsidRPr="00712BF6" w:rsidRDefault="005047B4" w:rsidP="005047B4">
      <w:pPr>
        <w:spacing w:before="240" w:after="240" w:line="360" w:lineRule="auto"/>
        <w:jc w:val="both"/>
        <w:rPr>
          <w:rFonts w:ascii="Palatino Linotype" w:hAnsi="Palatino Linotype"/>
          <w:i/>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712BF6">
        <w:rPr>
          <w:rFonts w:ascii="Palatino Linotype" w:hAnsi="Palatino Linotype"/>
          <w:b/>
          <w:i/>
          <w:sz w:val="24"/>
        </w:rPr>
        <w:t>SAIMEX</w:t>
      </w:r>
      <w:r w:rsidRPr="00712BF6">
        <w:rPr>
          <w:rFonts w:ascii="Palatino Linotype" w:hAnsi="Palatino Linotype"/>
          <w:sz w:val="24"/>
        </w:rPr>
        <w:t xml:space="preserve"> a </w:t>
      </w:r>
      <w:r w:rsidRPr="00712BF6">
        <w:rPr>
          <w:rFonts w:ascii="Palatino Linotype" w:hAnsi="Palatino Linotype"/>
          <w:b/>
          <w:i/>
          <w:sz w:val="24"/>
        </w:rPr>
        <w:t>CONSULTA DIRECTA</w:t>
      </w:r>
      <w:r w:rsidRPr="00712BF6">
        <w:rPr>
          <w:rFonts w:ascii="Palatino Linotype" w:hAnsi="Palatino Linotype"/>
          <w:sz w:val="24"/>
        </w:rPr>
        <w:t xml:space="preserve">. </w:t>
      </w:r>
    </w:p>
    <w:p w14:paraId="201E3CF2" w14:textId="77777777" w:rsidR="005047B4" w:rsidRPr="00712BF6" w:rsidRDefault="005047B4" w:rsidP="005047B4">
      <w:pPr>
        <w:pStyle w:val="Sinespaciado"/>
        <w:rPr>
          <w:sz w:val="16"/>
        </w:rPr>
      </w:pPr>
    </w:p>
    <w:p w14:paraId="4314D2D3" w14:textId="77777777" w:rsidR="005047B4" w:rsidRPr="00712BF6" w:rsidRDefault="005047B4" w:rsidP="005047B4">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10E8CA5D" w14:textId="77777777" w:rsidR="005047B4" w:rsidRPr="00712BF6" w:rsidRDefault="005047B4" w:rsidP="005047B4">
      <w:pPr>
        <w:pStyle w:val="Sinespaciado"/>
      </w:pPr>
    </w:p>
    <w:p w14:paraId="4DA7FFDE" w14:textId="77777777" w:rsidR="005047B4" w:rsidRPr="006302B4" w:rsidRDefault="005047B4" w:rsidP="005047B4">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el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410FB653" w14:textId="77777777" w:rsidR="005047B4" w:rsidRPr="00712BF6" w:rsidRDefault="005047B4" w:rsidP="005047B4">
      <w:pPr>
        <w:spacing w:before="240" w:after="240" w:line="360" w:lineRule="auto"/>
        <w:jc w:val="both"/>
        <w:rPr>
          <w:rFonts w:ascii="Palatino Linotype" w:hAnsi="Palatino Linotype"/>
          <w:sz w:val="24"/>
        </w:rPr>
      </w:pPr>
      <w:r w:rsidRPr="00712BF6">
        <w:rPr>
          <w:rFonts w:ascii="Palatino Linotype" w:hAnsi="Palatino Linotype"/>
          <w:sz w:val="24"/>
        </w:rPr>
        <w:t>Por lo que el cambio de modalidad que pretendió hacer 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12D25D5B" w14:textId="77777777" w:rsidR="005047B4" w:rsidRPr="00712BF6" w:rsidRDefault="005047B4" w:rsidP="005047B4">
      <w:pPr>
        <w:pStyle w:val="Sinespaciado"/>
        <w:rPr>
          <w:sz w:val="2"/>
        </w:rPr>
      </w:pPr>
    </w:p>
    <w:p w14:paraId="2B541F50" w14:textId="77777777" w:rsidR="005047B4" w:rsidRPr="00712BF6" w:rsidRDefault="005047B4" w:rsidP="00D85747">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w:t>
      </w:r>
      <w:r w:rsidRPr="00712BF6">
        <w:lastRenderedPageBreak/>
        <w:t xml:space="preserve">en los plazos establecidos para dichos efectos, se podrá poner a disposición del solicitante los documentos en </w:t>
      </w:r>
      <w:r w:rsidRPr="00712BF6">
        <w:rPr>
          <w:b/>
        </w:rPr>
        <w:t>consulta directa,</w:t>
      </w:r>
      <w:r w:rsidRPr="00712BF6">
        <w:t xml:space="preserve"> salvo la información clasificada.</w:t>
      </w:r>
    </w:p>
    <w:p w14:paraId="5541FCD4" w14:textId="494C18D8" w:rsidR="005047B4" w:rsidRDefault="005047B4" w:rsidP="00D85747">
      <w:pPr>
        <w:pStyle w:val="CitasINFOEM"/>
        <w:rPr>
          <w:b/>
        </w:rPr>
      </w:pPr>
      <w:r w:rsidRPr="00712BF6">
        <w:t>En todo caso, se facilitará su copia simple o certificada, así como su reproducción por cualquier medio disponible en las instalaciones del sujeto obligado o que, en su caso, aporte el solicitante.”</w:t>
      </w:r>
      <w:r w:rsidR="00D85747">
        <w:t xml:space="preserve"> </w:t>
      </w:r>
      <w:r w:rsidR="00D85747">
        <w:rPr>
          <w:b/>
        </w:rPr>
        <w:t>[Sic]</w:t>
      </w:r>
    </w:p>
    <w:p w14:paraId="0761E539" w14:textId="77777777" w:rsidR="00D85747" w:rsidRPr="00D85747" w:rsidRDefault="00D85747" w:rsidP="00D85747">
      <w:pPr>
        <w:pStyle w:val="CitasINFOEM"/>
        <w:rPr>
          <w:b/>
        </w:rPr>
      </w:pPr>
    </w:p>
    <w:p w14:paraId="5F8D36C4" w14:textId="77777777" w:rsidR="005047B4" w:rsidRPr="00712BF6" w:rsidRDefault="005047B4" w:rsidP="005047B4">
      <w:pPr>
        <w:pStyle w:val="Sinespaciado"/>
        <w:rPr>
          <w:sz w:val="4"/>
        </w:rPr>
      </w:pPr>
    </w:p>
    <w:p w14:paraId="789B4EA0" w14:textId="2ED13A16" w:rsidR="005047B4" w:rsidRDefault="005047B4" w:rsidP="005047B4">
      <w:pPr>
        <w:spacing w:after="0" w:line="360" w:lineRule="auto"/>
        <w:jc w:val="both"/>
        <w:rPr>
          <w:rFonts w:ascii="Palatino Linotype" w:hAnsi="Palatino Linotype"/>
          <w:sz w:val="24"/>
          <w:szCs w:val="24"/>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w:t>
      </w:r>
      <w:r>
        <w:rPr>
          <w:rFonts w:ascii="Palatino Linotype" w:hAnsi="Palatino Linotype"/>
          <w:sz w:val="24"/>
          <w:szCs w:val="24"/>
        </w:rPr>
        <w:t xml:space="preserve"> resulta procedente la entrega de la siguiente información, en versión pública de ser procedente, vía </w:t>
      </w:r>
      <w:r w:rsidRPr="00D85747">
        <w:rPr>
          <w:rFonts w:ascii="Palatino Linotype" w:hAnsi="Palatino Linotype"/>
          <w:b/>
          <w:sz w:val="24"/>
          <w:szCs w:val="24"/>
        </w:rPr>
        <w:t>SAIMEX</w:t>
      </w:r>
      <w:r>
        <w:rPr>
          <w:rFonts w:ascii="Palatino Linotype" w:hAnsi="Palatino Linotype"/>
          <w:sz w:val="24"/>
          <w:szCs w:val="24"/>
        </w:rPr>
        <w:t>:</w:t>
      </w:r>
    </w:p>
    <w:p w14:paraId="76E56B06" w14:textId="77777777" w:rsidR="005047B4" w:rsidRDefault="005047B4" w:rsidP="005047B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Durante el periodo de suspensión de actividades esenciales con motivo de la pandemia ocasionada por virus Sars-Cov2 (Covid-19):</w:t>
      </w:r>
    </w:p>
    <w:p w14:paraId="5A47C335" w14:textId="77777777" w:rsidR="005047B4" w:rsidRDefault="005047B4" w:rsidP="005047B4">
      <w:pPr>
        <w:pStyle w:val="Prrafodelista"/>
        <w:numPr>
          <w:ilvl w:val="0"/>
          <w:numId w:val="1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Convocatorias a sesiones ordinarias y extraordinarias del Comité de Transparencia. </w:t>
      </w:r>
    </w:p>
    <w:p w14:paraId="0E18B62D" w14:textId="77777777" w:rsidR="005047B4" w:rsidRDefault="005047B4" w:rsidP="005047B4">
      <w:pPr>
        <w:pStyle w:val="Prrafodelista"/>
        <w:numPr>
          <w:ilvl w:val="0"/>
          <w:numId w:val="1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Actas de sesiones ordinarias y extraordinarias del Comité de Transparencia. </w:t>
      </w:r>
    </w:p>
    <w:p w14:paraId="6511A1BB" w14:textId="77777777" w:rsidR="005047B4" w:rsidRDefault="005047B4" w:rsidP="005047B4">
      <w:pPr>
        <w:pStyle w:val="Prrafodelista"/>
        <w:numPr>
          <w:ilvl w:val="0"/>
          <w:numId w:val="1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Acuses de recibo de los oficios emitidos por la Unidad de Transparencia, requiriendo información a los servidores públicos habilitados. </w:t>
      </w:r>
    </w:p>
    <w:p w14:paraId="7076646A" w14:textId="77777777" w:rsidR="005047B4" w:rsidRDefault="005047B4" w:rsidP="005047B4">
      <w:pPr>
        <w:pStyle w:val="Prrafodelista"/>
        <w:numPr>
          <w:ilvl w:val="0"/>
          <w:numId w:val="1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El o los documentos que derivan del reloj checador de control de asistencia y/o equivalente. </w:t>
      </w:r>
    </w:p>
    <w:p w14:paraId="4DDF730F" w14:textId="77777777" w:rsidR="005047B4" w:rsidRDefault="005047B4" w:rsidP="005047B4">
      <w:pPr>
        <w:pStyle w:val="Sinespaciado"/>
        <w:spacing w:line="360" w:lineRule="auto"/>
        <w:jc w:val="both"/>
        <w:rPr>
          <w:rFonts w:ascii="Palatino Linotype" w:hAnsi="Palatino Linotype" w:cs="Arial"/>
          <w:bCs/>
        </w:rPr>
      </w:pPr>
    </w:p>
    <w:p w14:paraId="452B1555" w14:textId="77777777" w:rsidR="00D85747" w:rsidRDefault="00D85747" w:rsidP="005047B4">
      <w:pPr>
        <w:pStyle w:val="Sinespaciado"/>
        <w:spacing w:line="360" w:lineRule="auto"/>
        <w:jc w:val="both"/>
        <w:rPr>
          <w:rFonts w:ascii="Palatino Linotype" w:hAnsi="Palatino Linotype" w:cs="Arial"/>
          <w:bCs/>
        </w:rPr>
      </w:pPr>
    </w:p>
    <w:p w14:paraId="1ADECE40" w14:textId="77777777" w:rsidR="00D85747" w:rsidRDefault="00D85747" w:rsidP="00D85747">
      <w:pPr>
        <w:spacing w:after="0" w:line="360" w:lineRule="auto"/>
        <w:jc w:val="both"/>
        <w:rPr>
          <w:rFonts w:ascii="Palatino Linotype" w:hAnsi="Palatino Linotype" w:cs="Arial"/>
          <w:color w:val="000000"/>
          <w:sz w:val="24"/>
        </w:rPr>
      </w:pPr>
    </w:p>
    <w:p w14:paraId="709B273E" w14:textId="77777777" w:rsidR="00D85747" w:rsidRDefault="00D85747" w:rsidP="00D85747">
      <w:pPr>
        <w:pStyle w:val="Prrafodelista"/>
        <w:numPr>
          <w:ilvl w:val="0"/>
          <w:numId w:val="22"/>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0B3D65FF" w14:textId="77777777" w:rsidR="00D85747" w:rsidRPr="001571EB" w:rsidRDefault="00D85747" w:rsidP="00D8574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D7E8D7A" w14:textId="77777777" w:rsidR="00D85747" w:rsidRPr="00E60DEF" w:rsidRDefault="00D85747" w:rsidP="00D8574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B0650BF" w14:textId="77777777" w:rsidR="00D85747" w:rsidRPr="00E60DEF" w:rsidRDefault="00D85747" w:rsidP="00D8574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C54778C" w14:textId="77777777" w:rsidR="00D85747" w:rsidRPr="001571EB" w:rsidRDefault="00D85747" w:rsidP="00D8574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F7AE644" w14:textId="77777777" w:rsidR="00D85747" w:rsidRPr="001571EB" w:rsidRDefault="00D85747" w:rsidP="00D8574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8E07F37" w14:textId="77777777" w:rsidR="00D85747" w:rsidRPr="001571EB" w:rsidRDefault="00D85747" w:rsidP="00D8574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77D49E1" w14:textId="77777777" w:rsidR="00D85747" w:rsidRPr="001571EB" w:rsidRDefault="00D85747" w:rsidP="00D8574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C8821F7" w14:textId="77777777" w:rsidR="00D85747" w:rsidRPr="001571EB" w:rsidRDefault="00D85747" w:rsidP="00D8574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D8BE9C8" w14:textId="77777777" w:rsidR="00D85747" w:rsidRPr="001571EB" w:rsidRDefault="00D85747" w:rsidP="00D8574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B946A76" w14:textId="77777777" w:rsidR="00D85747" w:rsidRPr="001571EB" w:rsidRDefault="00D85747" w:rsidP="00D8574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7C4EB50" w14:textId="77777777" w:rsidR="00D85747" w:rsidRPr="00E60DEF" w:rsidRDefault="00D85747" w:rsidP="00D8574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884299D" w14:textId="77777777" w:rsidR="00D85747" w:rsidRPr="001571EB" w:rsidRDefault="00D85747" w:rsidP="00D8574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13D45CD" w14:textId="77777777" w:rsidR="00D85747" w:rsidRPr="00E60DEF" w:rsidRDefault="00D85747" w:rsidP="00D8574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6AB942C" w14:textId="77777777" w:rsidR="00D85747" w:rsidRPr="001571EB" w:rsidRDefault="00D85747" w:rsidP="00D85747">
      <w:pPr>
        <w:spacing w:line="240" w:lineRule="auto"/>
        <w:ind w:left="851" w:right="851"/>
        <w:jc w:val="both"/>
        <w:rPr>
          <w:rFonts w:ascii="Palatino Linotype" w:hAnsi="Palatino Linotype" w:cs="Arial"/>
          <w:b/>
          <w:i/>
          <w:u w:val="single"/>
        </w:rPr>
      </w:pPr>
    </w:p>
    <w:p w14:paraId="2F605FDC" w14:textId="77777777" w:rsidR="00D85747" w:rsidRPr="001571EB" w:rsidRDefault="00D85747" w:rsidP="00D8574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1F4A48C6" w14:textId="77777777" w:rsidR="00D85747" w:rsidRPr="001571EB" w:rsidRDefault="00D85747" w:rsidP="00D8574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FD6A333" w14:textId="77777777" w:rsidR="00D85747" w:rsidRPr="001571EB" w:rsidRDefault="00D85747" w:rsidP="00D8574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83FE279" w14:textId="77777777" w:rsidR="00D85747" w:rsidRDefault="00D85747" w:rsidP="00D8574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5E01B0A" w14:textId="77777777" w:rsidR="00D85747" w:rsidRDefault="00D85747" w:rsidP="00D8574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17A3BBB" w14:textId="77777777" w:rsidR="00D85747" w:rsidRPr="001571EB" w:rsidRDefault="00D85747" w:rsidP="00D8574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9523A65" w14:textId="77777777" w:rsidR="00D85747" w:rsidRPr="001571EB" w:rsidRDefault="00D85747" w:rsidP="00D8574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296F6C8" w14:textId="77777777" w:rsidR="00D85747" w:rsidRPr="001571EB" w:rsidRDefault="00D85747" w:rsidP="00D8574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4861214" w14:textId="77777777" w:rsidR="00D85747" w:rsidRPr="001571EB" w:rsidRDefault="00D85747" w:rsidP="00D8574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6703E50" w14:textId="77777777" w:rsidR="00D85747" w:rsidRPr="00EE0180" w:rsidRDefault="00D85747" w:rsidP="00D8574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B1373FB" w14:textId="77777777" w:rsidR="00D85747" w:rsidRPr="001571EB" w:rsidRDefault="00D85747" w:rsidP="00D85747">
      <w:pPr>
        <w:autoSpaceDE w:val="0"/>
        <w:autoSpaceDN w:val="0"/>
        <w:adjustRightInd w:val="0"/>
        <w:spacing w:before="120" w:after="120"/>
        <w:ind w:left="567" w:right="850"/>
        <w:jc w:val="both"/>
        <w:rPr>
          <w:rFonts w:ascii="Palatino Linotype" w:eastAsia="Times New Roman" w:hAnsi="Palatino Linotype" w:cs="Arial"/>
          <w:i/>
        </w:rPr>
      </w:pPr>
    </w:p>
    <w:p w14:paraId="445533D5" w14:textId="77777777" w:rsidR="00D85747" w:rsidRPr="001571EB" w:rsidRDefault="00D85747" w:rsidP="00D8574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3B24F71" w14:textId="77777777" w:rsidR="00D85747" w:rsidRPr="001571EB" w:rsidRDefault="00D85747" w:rsidP="00D8574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A9E6C75" w14:textId="77777777" w:rsidR="00D85747" w:rsidRDefault="00D85747" w:rsidP="00D8574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AB38624" w14:textId="77777777" w:rsidR="00D85747" w:rsidRDefault="00D85747" w:rsidP="00D8574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42DF16B" w14:textId="77777777" w:rsidR="00D85747" w:rsidRPr="001571EB" w:rsidRDefault="00D85747" w:rsidP="00D8574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71933D48" w14:textId="77777777" w:rsidR="00D85747" w:rsidRPr="001571EB" w:rsidRDefault="00D85747" w:rsidP="00D8574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8A2E1D3" w14:textId="77777777" w:rsidR="00D85747" w:rsidRPr="001571EB" w:rsidRDefault="00D85747" w:rsidP="00D8574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BBE406E" w14:textId="77777777" w:rsidR="00D85747" w:rsidRPr="001571EB" w:rsidRDefault="00D85747" w:rsidP="00D8574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CBAA191" w14:textId="77777777" w:rsidR="00D85747" w:rsidRPr="00EE0180" w:rsidRDefault="00D85747" w:rsidP="00D8574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ED4F6D8" w14:textId="77777777" w:rsidR="00D85747" w:rsidRPr="001571EB" w:rsidRDefault="00D85747" w:rsidP="00D85747">
      <w:pPr>
        <w:spacing w:after="0" w:line="360" w:lineRule="auto"/>
        <w:jc w:val="both"/>
        <w:rPr>
          <w:rFonts w:ascii="Palatino Linotype" w:hAnsi="Palatino Linotype" w:cs="Arial"/>
        </w:rPr>
      </w:pPr>
    </w:p>
    <w:p w14:paraId="1B0E74AB" w14:textId="77777777" w:rsidR="00D85747" w:rsidRDefault="00D85747" w:rsidP="00D8574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20DE33AD" w14:textId="77777777" w:rsidR="00D85747" w:rsidRDefault="00D85747" w:rsidP="005047B4">
      <w:pPr>
        <w:pStyle w:val="Sinespaciado"/>
        <w:spacing w:line="360" w:lineRule="auto"/>
        <w:jc w:val="both"/>
        <w:rPr>
          <w:rFonts w:ascii="Palatino Linotype" w:hAnsi="Palatino Linotype" w:cs="Arial"/>
          <w:bCs/>
        </w:rPr>
      </w:pPr>
    </w:p>
    <w:p w14:paraId="07712681" w14:textId="77777777" w:rsidR="00D85747" w:rsidRPr="006302B4" w:rsidRDefault="00D85747" w:rsidP="005047B4">
      <w:pPr>
        <w:pStyle w:val="Sinespaciado"/>
        <w:spacing w:line="360" w:lineRule="auto"/>
        <w:jc w:val="both"/>
        <w:rPr>
          <w:rFonts w:ascii="Palatino Linotype" w:hAnsi="Palatino Linotype" w:cs="Arial"/>
          <w:bCs/>
        </w:rPr>
      </w:pPr>
    </w:p>
    <w:p w14:paraId="104DD44E" w14:textId="228D207C" w:rsidR="005047B4" w:rsidRPr="001C7462" w:rsidRDefault="005047B4" w:rsidP="005047B4">
      <w:pPr>
        <w:spacing w:after="0" w:line="360" w:lineRule="auto"/>
        <w:jc w:val="both"/>
        <w:rPr>
          <w:rFonts w:ascii="Palatino Linotype" w:hAnsi="Palatino Linotype"/>
          <w:sz w:val="24"/>
          <w:szCs w:val="24"/>
        </w:rPr>
      </w:pPr>
      <w:r w:rsidRPr="001C7462">
        <w:rPr>
          <w:rFonts w:ascii="Palatino Linotype" w:hAnsi="Palatino Linotype" w:cs="Arial"/>
          <w:sz w:val="24"/>
          <w:szCs w:val="24"/>
          <w:lang w:eastAsia="es-MX"/>
        </w:rPr>
        <w:lastRenderedPageBreak/>
        <w:t>Final</w:t>
      </w:r>
      <w:r w:rsidRPr="001C7462">
        <w:rPr>
          <w:rFonts w:ascii="Palatino Linotype" w:hAnsi="Palatino Linotype"/>
          <w:sz w:val="24"/>
          <w:szCs w:val="24"/>
        </w:rPr>
        <w:t xml:space="preserve">mente y en mérito de lo expuesto en líneas anteriores, resultan fundados los motivos de inconformidad vertidos por </w:t>
      </w:r>
      <w:r>
        <w:rPr>
          <w:rFonts w:ascii="Palatino Linotype" w:hAnsi="Palatino Linotype"/>
          <w:b/>
          <w:sz w:val="24"/>
          <w:szCs w:val="24"/>
        </w:rPr>
        <w:t>El</w:t>
      </w:r>
      <w:r w:rsidRPr="001C7462">
        <w:rPr>
          <w:rFonts w:ascii="Palatino Linotype" w:hAnsi="Palatino Linotype"/>
          <w:b/>
          <w:sz w:val="24"/>
          <w:szCs w:val="24"/>
        </w:rPr>
        <w:t xml:space="preserve"> Recurrente</w:t>
      </w:r>
      <w:r w:rsidRPr="001C7462">
        <w:rPr>
          <w:rFonts w:ascii="Palatino Linotype" w:hAnsi="Palatino Linotype"/>
          <w:sz w:val="24"/>
          <w:szCs w:val="24"/>
        </w:rPr>
        <w:t xml:space="preserve">, por ello con fundamento en la </w:t>
      </w:r>
      <w:r w:rsidRPr="001C7462">
        <w:rPr>
          <w:rFonts w:ascii="Palatino Linotype" w:hAnsi="Palatino Linotype"/>
          <w:i/>
          <w:sz w:val="24"/>
          <w:szCs w:val="24"/>
        </w:rPr>
        <w:t>primera hipótesis</w:t>
      </w:r>
      <w:r w:rsidRPr="001C7462">
        <w:rPr>
          <w:rFonts w:ascii="Palatino Linotype" w:hAnsi="Palatino Linotype"/>
          <w:sz w:val="24"/>
          <w:szCs w:val="24"/>
        </w:rPr>
        <w:t xml:space="preserve"> del artículo 186, fracción III, de la Ley de Transparencia y Acceso a la Información Pública del Estado de México y Municipios, se </w:t>
      </w:r>
      <w:r w:rsidRPr="001C7462">
        <w:rPr>
          <w:rFonts w:ascii="Palatino Linotype" w:hAnsi="Palatino Linotype"/>
          <w:b/>
          <w:sz w:val="24"/>
          <w:szCs w:val="24"/>
        </w:rPr>
        <w:t xml:space="preserve">REVOCA </w:t>
      </w:r>
      <w:r w:rsidRPr="001C7462">
        <w:rPr>
          <w:rFonts w:ascii="Palatino Linotype" w:hAnsi="Palatino Linotype"/>
          <w:sz w:val="24"/>
          <w:szCs w:val="24"/>
        </w:rPr>
        <w:t xml:space="preserve">la respuesta a la solicitud de información </w:t>
      </w:r>
      <w:r>
        <w:rPr>
          <w:rFonts w:ascii="Palatino Linotype" w:hAnsi="Palatino Linotype" w:cs="Arial"/>
          <w:b/>
          <w:sz w:val="24"/>
        </w:rPr>
        <w:t>00205/IXTASAL/IP/2021</w:t>
      </w:r>
      <w:r w:rsidRPr="001C7462">
        <w:rPr>
          <w:rFonts w:ascii="Palatino Linotype" w:hAnsi="Palatino Linotype" w:cs="Arial"/>
          <w:sz w:val="24"/>
          <w:szCs w:val="24"/>
        </w:rPr>
        <w:t xml:space="preserve">, </w:t>
      </w:r>
      <w:r w:rsidRPr="001C7462">
        <w:rPr>
          <w:rFonts w:ascii="Palatino Linotype" w:hAnsi="Palatino Linotype"/>
          <w:sz w:val="24"/>
          <w:szCs w:val="24"/>
        </w:rPr>
        <w:t>que ha sido materia del presente fallo.</w:t>
      </w:r>
    </w:p>
    <w:p w14:paraId="14D65D40" w14:textId="77777777" w:rsidR="005047B4" w:rsidRPr="001C7462" w:rsidRDefault="005047B4" w:rsidP="005047B4">
      <w:pPr>
        <w:spacing w:after="0" w:line="360" w:lineRule="auto"/>
        <w:jc w:val="both"/>
        <w:rPr>
          <w:rFonts w:ascii="Palatino Linotype" w:hAnsi="Palatino Linotype" w:cs="Arial"/>
          <w:b/>
          <w:bCs/>
          <w:color w:val="333333"/>
          <w:sz w:val="24"/>
          <w:szCs w:val="24"/>
        </w:rPr>
      </w:pPr>
    </w:p>
    <w:p w14:paraId="7EC41A77" w14:textId="77777777" w:rsidR="005047B4" w:rsidRPr="001C7462" w:rsidRDefault="005047B4" w:rsidP="005047B4">
      <w:pPr>
        <w:spacing w:after="0" w:line="360" w:lineRule="auto"/>
        <w:jc w:val="both"/>
        <w:rPr>
          <w:rFonts w:ascii="Palatino Linotype" w:hAnsi="Palatino Linotype"/>
          <w:sz w:val="24"/>
          <w:szCs w:val="24"/>
        </w:rPr>
      </w:pPr>
      <w:r w:rsidRPr="001C7462">
        <w:rPr>
          <w:rFonts w:ascii="Palatino Linotype" w:hAnsi="Palatino Linotype"/>
          <w:sz w:val="24"/>
          <w:szCs w:val="24"/>
        </w:rPr>
        <w:t xml:space="preserve">Por lo antes expuesto y fundado. </w:t>
      </w:r>
    </w:p>
    <w:p w14:paraId="769BBC53"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7E95A0BF" w14:textId="77777777" w:rsidR="005047B4" w:rsidRPr="001C7462" w:rsidRDefault="005047B4" w:rsidP="005047B4">
      <w:pPr>
        <w:spacing w:after="0" w:line="360" w:lineRule="auto"/>
        <w:jc w:val="center"/>
        <w:rPr>
          <w:rFonts w:ascii="Palatino Linotype" w:eastAsia="Times New Roman" w:hAnsi="Palatino Linotype"/>
          <w:b/>
          <w:bCs/>
          <w:spacing w:val="60"/>
          <w:sz w:val="28"/>
          <w:szCs w:val="24"/>
          <w:lang w:val="es-ES_tradnl"/>
        </w:rPr>
      </w:pPr>
      <w:r w:rsidRPr="001C7462">
        <w:rPr>
          <w:rFonts w:ascii="Palatino Linotype" w:eastAsia="Times New Roman" w:hAnsi="Palatino Linotype"/>
          <w:b/>
          <w:bCs/>
          <w:spacing w:val="60"/>
          <w:sz w:val="28"/>
          <w:szCs w:val="24"/>
          <w:lang w:val="es-ES_tradnl"/>
        </w:rPr>
        <w:t>SE    RESUELVE</w:t>
      </w:r>
    </w:p>
    <w:p w14:paraId="4D44ABF5" w14:textId="77777777" w:rsidR="005047B4" w:rsidRPr="001C7462" w:rsidRDefault="005047B4" w:rsidP="005047B4">
      <w:pPr>
        <w:pStyle w:val="Sinespaciado"/>
        <w:rPr>
          <w:rFonts w:ascii="Palatino Linotype" w:hAnsi="Palatino Linotype"/>
          <w:lang w:val="es-ES_tradnl"/>
        </w:rPr>
      </w:pPr>
    </w:p>
    <w:p w14:paraId="5E85B77C" w14:textId="61791F5F" w:rsidR="005047B4" w:rsidRPr="001C7462" w:rsidRDefault="005047B4" w:rsidP="005047B4">
      <w:pPr>
        <w:autoSpaceDE w:val="0"/>
        <w:autoSpaceDN w:val="0"/>
        <w:adjustRightInd w:val="0"/>
        <w:spacing w:after="0" w:line="360" w:lineRule="auto"/>
        <w:ind w:right="49"/>
        <w:jc w:val="both"/>
        <w:rPr>
          <w:rFonts w:ascii="Palatino Linotype" w:hAnsi="Palatino Linotype" w:cs="Arial"/>
          <w:sz w:val="24"/>
          <w:szCs w:val="24"/>
        </w:rPr>
      </w:pPr>
      <w:r w:rsidRPr="001C7462">
        <w:rPr>
          <w:rFonts w:ascii="Palatino Linotype" w:hAnsi="Palatino Linotype" w:cs="Arial"/>
          <w:b/>
          <w:sz w:val="28"/>
          <w:szCs w:val="28"/>
          <w:lang w:val="es-ES_tradnl"/>
        </w:rPr>
        <w:t>PRIMERO.</w:t>
      </w:r>
      <w:r w:rsidRPr="001C7462">
        <w:rPr>
          <w:rFonts w:ascii="Palatino Linotype" w:hAnsi="Palatino Linotype" w:cs="Arial"/>
          <w:sz w:val="24"/>
          <w:szCs w:val="24"/>
          <w:lang w:val="es-ES_tradnl"/>
        </w:rPr>
        <w:t xml:space="preserve"> </w:t>
      </w:r>
      <w:r w:rsidRPr="001C7462">
        <w:rPr>
          <w:rFonts w:ascii="Palatino Linotype" w:hAnsi="Palatino Linotype" w:cs="Arial"/>
          <w:sz w:val="24"/>
          <w:szCs w:val="24"/>
        </w:rPr>
        <w:t>Se</w:t>
      </w:r>
      <w:r w:rsidRPr="001C7462">
        <w:rPr>
          <w:rFonts w:ascii="Palatino Linotype" w:hAnsi="Palatino Linotype" w:cs="Arial"/>
          <w:b/>
          <w:sz w:val="24"/>
          <w:szCs w:val="24"/>
        </w:rPr>
        <w:t xml:space="preserve"> REVOCA </w:t>
      </w:r>
      <w:r w:rsidRPr="001C7462">
        <w:rPr>
          <w:rFonts w:ascii="Palatino Linotype" w:eastAsia="Arial Unicode MS" w:hAnsi="Palatino Linotype" w:cs="Arial"/>
          <w:sz w:val="24"/>
          <w:szCs w:val="24"/>
        </w:rPr>
        <w:t xml:space="preserve">la respuesta entregada por </w:t>
      </w:r>
      <w:r w:rsidRPr="001C7462">
        <w:rPr>
          <w:rFonts w:ascii="Palatino Linotype" w:eastAsia="Arial Unicode MS" w:hAnsi="Palatino Linotype" w:cs="Arial"/>
          <w:b/>
          <w:sz w:val="24"/>
          <w:szCs w:val="24"/>
        </w:rPr>
        <w:t xml:space="preserve">El Sujeto Obligado </w:t>
      </w:r>
      <w:r w:rsidRPr="001C7462">
        <w:rPr>
          <w:rFonts w:ascii="Palatino Linotype" w:eastAsia="Arial Unicode MS" w:hAnsi="Palatino Linotype" w:cs="Arial"/>
          <w:sz w:val="24"/>
          <w:szCs w:val="24"/>
        </w:rPr>
        <w:t xml:space="preserve">a la solicitud de información número </w:t>
      </w:r>
      <w:r>
        <w:rPr>
          <w:rFonts w:ascii="Palatino Linotype" w:hAnsi="Palatino Linotype" w:cs="Arial"/>
          <w:b/>
          <w:sz w:val="24"/>
        </w:rPr>
        <w:t>00205/IXTASAL/IP/2021</w:t>
      </w:r>
      <w:r w:rsidRPr="001C7462">
        <w:rPr>
          <w:rFonts w:ascii="Palatino Linotype" w:hAnsi="Palatino Linotype" w:cs="Arial"/>
          <w:sz w:val="24"/>
          <w:szCs w:val="24"/>
        </w:rPr>
        <w:t xml:space="preserve">, por resultar fundados los motivos de inconformidad vertidos por </w:t>
      </w:r>
      <w:r w:rsidRPr="00303BCF">
        <w:rPr>
          <w:rFonts w:ascii="Palatino Linotype" w:hAnsi="Palatino Linotype" w:cs="Arial"/>
          <w:sz w:val="24"/>
          <w:szCs w:val="24"/>
        </w:rPr>
        <w:t>el</w:t>
      </w:r>
      <w:r w:rsidRPr="001C7462">
        <w:rPr>
          <w:rFonts w:ascii="Palatino Linotype" w:hAnsi="Palatino Linotype" w:cs="Arial"/>
          <w:b/>
          <w:sz w:val="24"/>
          <w:szCs w:val="24"/>
        </w:rPr>
        <w:t xml:space="preserve"> Recurrente</w:t>
      </w:r>
      <w:r w:rsidRPr="001C7462">
        <w:rPr>
          <w:rFonts w:ascii="Palatino Linotype" w:hAnsi="Palatino Linotype" w:cs="Arial"/>
          <w:sz w:val="24"/>
          <w:szCs w:val="24"/>
        </w:rPr>
        <w:t xml:space="preserve">, en términos del Considerando </w:t>
      </w:r>
      <w:r w:rsidRPr="001C7462">
        <w:rPr>
          <w:rFonts w:ascii="Palatino Linotype" w:hAnsi="Palatino Linotype" w:cs="Arial"/>
          <w:b/>
          <w:sz w:val="24"/>
          <w:szCs w:val="24"/>
        </w:rPr>
        <w:t>CUARTO</w:t>
      </w:r>
      <w:r w:rsidRPr="001C7462">
        <w:rPr>
          <w:rFonts w:ascii="Palatino Linotype" w:hAnsi="Palatino Linotype" w:cs="Arial"/>
          <w:sz w:val="24"/>
          <w:szCs w:val="24"/>
        </w:rPr>
        <w:t xml:space="preserve"> de ésta resolución.</w:t>
      </w:r>
    </w:p>
    <w:p w14:paraId="4ADCF5F3" w14:textId="77777777" w:rsidR="005047B4" w:rsidRPr="001C7462" w:rsidRDefault="005047B4" w:rsidP="005047B4">
      <w:pPr>
        <w:autoSpaceDE w:val="0"/>
        <w:autoSpaceDN w:val="0"/>
        <w:adjustRightInd w:val="0"/>
        <w:spacing w:after="0" w:line="360" w:lineRule="auto"/>
        <w:ind w:right="49"/>
        <w:jc w:val="both"/>
        <w:rPr>
          <w:rFonts w:ascii="Palatino Linotype" w:hAnsi="Palatino Linotype" w:cs="Arial"/>
          <w:sz w:val="24"/>
          <w:szCs w:val="24"/>
        </w:rPr>
      </w:pPr>
    </w:p>
    <w:p w14:paraId="19D44651" w14:textId="149E8071" w:rsidR="005047B4" w:rsidRDefault="005047B4" w:rsidP="005047B4">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a</w:t>
      </w:r>
      <w:r>
        <w:rPr>
          <w:rFonts w:ascii="Palatino Linotype" w:hAnsi="Palatino Linotype" w:cs="Arial"/>
        </w:rPr>
        <w:t>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sidRPr="001C7462">
        <w:rPr>
          <w:rFonts w:ascii="Palatino Linotype" w:hAnsi="Palatino Linotype" w:cs="Arial"/>
          <w:b/>
        </w:rPr>
        <w:t>SAIMEX</w:t>
      </w:r>
      <w:r w:rsidRPr="001C7462">
        <w:rPr>
          <w:rFonts w:ascii="Palatino Linotype" w:hAnsi="Palatino Linotype" w:cs="Arial"/>
        </w:rPr>
        <w:t xml:space="preserve">, </w:t>
      </w:r>
      <w:r w:rsidRPr="00A116CF">
        <w:rPr>
          <w:rFonts w:ascii="Palatino Linotype" w:hAnsi="Palatino Linotype" w:cs="Arial"/>
        </w:rPr>
        <w:t>en versión pública</w:t>
      </w:r>
      <w:r w:rsidR="00D85747">
        <w:rPr>
          <w:rFonts w:ascii="Palatino Linotype" w:hAnsi="Palatino Linotype" w:cs="Arial"/>
        </w:rPr>
        <w:t xml:space="preserve"> de ser procedente</w:t>
      </w:r>
      <w:r w:rsidRPr="00A116CF">
        <w:rPr>
          <w:rFonts w:ascii="Palatino Linotype" w:hAnsi="Palatino Linotype" w:cs="Arial"/>
        </w:rPr>
        <w:t>, lo siguiente:</w:t>
      </w:r>
    </w:p>
    <w:p w14:paraId="38A8DC87" w14:textId="77777777" w:rsidR="004637A6" w:rsidRPr="004637A6" w:rsidRDefault="004637A6" w:rsidP="004637A6">
      <w:pPr>
        <w:autoSpaceDE w:val="0"/>
        <w:autoSpaceDN w:val="0"/>
        <w:adjustRightInd w:val="0"/>
        <w:spacing w:before="240" w:line="360" w:lineRule="auto"/>
        <w:jc w:val="both"/>
        <w:rPr>
          <w:rFonts w:ascii="Palatino Linotype" w:hAnsi="Palatino Linotype" w:cs="Arial"/>
          <w:sz w:val="24"/>
          <w:szCs w:val="24"/>
        </w:rPr>
      </w:pPr>
      <w:r w:rsidRPr="00D85747">
        <w:rPr>
          <w:rFonts w:ascii="Palatino Linotype" w:hAnsi="Palatino Linotype" w:cs="Arial"/>
          <w:sz w:val="24"/>
          <w:szCs w:val="24"/>
        </w:rPr>
        <w:t>Durante los periodos de suspensión de plazos decretados por el Pleno del Órgano Garante local con motivo de la pandemia ocasionada por el virus Sars-Cov2 (Covid-19):</w:t>
      </w:r>
    </w:p>
    <w:p w14:paraId="6155378A" w14:textId="77777777" w:rsidR="005047B4" w:rsidRDefault="005047B4" w:rsidP="005047B4">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Convocatorias a sesiones ordinarias y extraordinarias del Comité de Transparencia. </w:t>
      </w:r>
    </w:p>
    <w:p w14:paraId="1D408167" w14:textId="77777777" w:rsidR="005047B4" w:rsidRDefault="005047B4" w:rsidP="005047B4">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Actas de sesiones ordinarias y extraordinarias del Comité de Transparencia. </w:t>
      </w:r>
    </w:p>
    <w:p w14:paraId="4EB0FED8" w14:textId="77777777" w:rsidR="005047B4" w:rsidRDefault="005047B4" w:rsidP="005047B4">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Acuses de recibo de los oficios emitidos por la Unidad de Transparencia, requiriendo información a los servidores públicos habilitados. </w:t>
      </w:r>
    </w:p>
    <w:p w14:paraId="772D87AC" w14:textId="77777777" w:rsidR="005047B4" w:rsidRDefault="005047B4" w:rsidP="005047B4">
      <w:pPr>
        <w:pStyle w:val="Prrafodelista"/>
        <w:numPr>
          <w:ilvl w:val="0"/>
          <w:numId w:val="2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que derivan del reloj checador de control de asistencia y/o equivalente. </w:t>
      </w:r>
    </w:p>
    <w:p w14:paraId="41D10881" w14:textId="77777777" w:rsidR="005047B4" w:rsidRPr="001C6012" w:rsidRDefault="005047B4" w:rsidP="005047B4">
      <w:pPr>
        <w:pStyle w:val="Sinespaciado"/>
        <w:spacing w:line="360" w:lineRule="auto"/>
        <w:ind w:left="720"/>
        <w:jc w:val="both"/>
        <w:rPr>
          <w:rFonts w:ascii="Palatino Linotype" w:hAnsi="Palatino Linotype" w:cs="Arial"/>
          <w:sz w:val="10"/>
        </w:rPr>
      </w:pPr>
    </w:p>
    <w:p w14:paraId="5891E8E2" w14:textId="77777777" w:rsidR="00D85747" w:rsidRDefault="00D85747" w:rsidP="00D85747">
      <w:pPr>
        <w:pStyle w:val="Prrafodelista"/>
        <w:spacing w:line="360" w:lineRule="auto"/>
        <w:ind w:left="720"/>
        <w:jc w:val="both"/>
        <w:rPr>
          <w:rFonts w:ascii="Palatino Linotype" w:hAnsi="Palatino Linotype" w:cs="Arial"/>
          <w:i/>
          <w:iCs/>
        </w:rPr>
      </w:pPr>
      <w:r w:rsidRPr="00982870">
        <w:rPr>
          <w:rFonts w:ascii="Palatino Linotype" w:hAnsi="Palatino Linotype" w:cs="Arial"/>
          <w:i/>
          <w:iC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36B0922C" w14:textId="77777777" w:rsidR="005047B4" w:rsidRDefault="005047B4" w:rsidP="005047B4">
      <w:pPr>
        <w:spacing w:after="0" w:line="240" w:lineRule="auto"/>
        <w:ind w:left="567" w:right="567"/>
        <w:jc w:val="both"/>
        <w:rPr>
          <w:rFonts w:ascii="Palatino Linotype" w:hAnsi="Palatino Linotype" w:cs="Arial"/>
          <w:i/>
          <w:sz w:val="23"/>
          <w:szCs w:val="23"/>
        </w:rPr>
      </w:pPr>
    </w:p>
    <w:p w14:paraId="2EE47ADA" w14:textId="6B4F1C0E" w:rsidR="005047B4" w:rsidRPr="007051F6" w:rsidRDefault="005047B4" w:rsidP="00D85747">
      <w:pPr>
        <w:tabs>
          <w:tab w:val="left" w:pos="8222"/>
        </w:tabs>
        <w:spacing w:after="0" w:line="360" w:lineRule="auto"/>
        <w:ind w:left="567"/>
        <w:jc w:val="both"/>
        <w:rPr>
          <w:rFonts w:ascii="Palatino Linotype" w:hAnsi="Palatino Linotype" w:cs="Arial"/>
          <w:i/>
          <w:sz w:val="23"/>
          <w:szCs w:val="23"/>
        </w:rPr>
      </w:pPr>
      <w:r w:rsidRPr="007051F6">
        <w:rPr>
          <w:rFonts w:ascii="Palatino Linotype" w:hAnsi="Palatino Linotype"/>
          <w:i/>
          <w:sz w:val="23"/>
          <w:szCs w:val="23"/>
        </w:rPr>
        <w:t xml:space="preserve">Para el caso de que exista impedimento justificado de entregar la información vía </w:t>
      </w:r>
      <w:r w:rsidRPr="007051F6">
        <w:rPr>
          <w:rFonts w:ascii="Palatino Linotype" w:hAnsi="Palatino Linotype"/>
          <w:b/>
          <w:i/>
          <w:sz w:val="23"/>
          <w:szCs w:val="23"/>
        </w:rPr>
        <w:t>SAIMEX</w:t>
      </w:r>
      <w:r w:rsidRPr="007051F6">
        <w:rPr>
          <w:rFonts w:ascii="Palatino Linotype" w:hAnsi="Palatino Linotype"/>
          <w:i/>
          <w:sz w:val="23"/>
          <w:szCs w:val="23"/>
        </w:rPr>
        <w:t xml:space="preserve">, el </w:t>
      </w:r>
      <w:r w:rsidRPr="007051F6">
        <w:rPr>
          <w:rFonts w:ascii="Palatino Linotype" w:hAnsi="Palatino Linotype"/>
          <w:b/>
          <w:i/>
          <w:sz w:val="23"/>
          <w:szCs w:val="23"/>
        </w:rPr>
        <w:t>Sujeto Obligado</w:t>
      </w:r>
      <w:r w:rsidRPr="007051F6">
        <w:rPr>
          <w:rFonts w:ascii="Palatino Linotype" w:hAnsi="Palatino Linotype"/>
          <w:i/>
          <w:sz w:val="23"/>
          <w:szCs w:val="23"/>
        </w:rPr>
        <w:t xml:space="preserve"> deberá proponer diversos medios electrónicos como habilitar una liga electrónica que deberá proporcionarle para que descargue los archivos –en caso de estar en posibilidad-; enviar la información a su cuenta de correo electrónico;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0E49C102" w14:textId="77777777" w:rsidR="005047B4" w:rsidRPr="001C6012" w:rsidRDefault="005047B4" w:rsidP="005047B4">
      <w:pPr>
        <w:spacing w:after="0"/>
        <w:ind w:right="567"/>
        <w:jc w:val="both"/>
        <w:rPr>
          <w:rFonts w:ascii="Palatino Linotype" w:hAnsi="Palatino Linotype" w:cs="Arial"/>
          <w:i/>
          <w:sz w:val="24"/>
          <w:szCs w:val="23"/>
        </w:rPr>
      </w:pPr>
    </w:p>
    <w:p w14:paraId="3E7E2BF7" w14:textId="77777777" w:rsidR="005047B4" w:rsidRDefault="005047B4" w:rsidP="005047B4">
      <w:pPr>
        <w:autoSpaceDE w:val="0"/>
        <w:autoSpaceDN w:val="0"/>
        <w:adjustRightInd w:val="0"/>
        <w:spacing w:after="0" w:line="360" w:lineRule="auto"/>
        <w:ind w:right="49"/>
        <w:jc w:val="both"/>
        <w:rPr>
          <w:rFonts w:ascii="Palatino Linotype" w:hAnsi="Palatino Linotype" w:cs="Arial"/>
          <w:sz w:val="24"/>
          <w:szCs w:val="28"/>
          <w:lang w:val="es-ES_tradnl"/>
        </w:rPr>
      </w:pPr>
      <w:r w:rsidRPr="001C7462">
        <w:rPr>
          <w:rFonts w:ascii="Palatino Linotype" w:hAnsi="Palatino Linotype" w:cs="Arial"/>
          <w:b/>
          <w:sz w:val="28"/>
          <w:szCs w:val="28"/>
          <w:lang w:val="es-ES_tradnl"/>
        </w:rPr>
        <w:lastRenderedPageBreak/>
        <w:t xml:space="preserve">TERCERO. </w:t>
      </w:r>
      <w:r w:rsidRPr="001C7462">
        <w:rPr>
          <w:rFonts w:ascii="Palatino Linotype" w:hAnsi="Palatino Linotype" w:cs="Arial"/>
          <w:b/>
          <w:sz w:val="24"/>
          <w:szCs w:val="28"/>
          <w:lang w:val="es-ES_tradnl"/>
        </w:rPr>
        <w:t>NOTIFÍQUESE</w:t>
      </w:r>
      <w:r w:rsidRPr="001C7462">
        <w:rPr>
          <w:rFonts w:ascii="Palatino Linotype" w:hAnsi="Palatino Linotype" w:cs="Arial"/>
          <w:b/>
          <w:sz w:val="28"/>
          <w:szCs w:val="28"/>
          <w:lang w:val="es-ES_tradnl"/>
        </w:rPr>
        <w:t xml:space="preserve"> </w:t>
      </w:r>
      <w:r w:rsidRPr="001C7462">
        <w:rPr>
          <w:rFonts w:ascii="Palatino Linotype" w:hAnsi="Palatino Linotype" w:cs="Arial"/>
          <w:sz w:val="24"/>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8"/>
          <w:lang w:val="es-ES_tradnl"/>
        </w:rPr>
        <w:t>veinte</w:t>
      </w:r>
      <w:r w:rsidRPr="001C7462">
        <w:rPr>
          <w:rFonts w:ascii="Palatino Linotype" w:hAnsi="Palatino Linotype" w:cs="Arial"/>
          <w:sz w:val="24"/>
          <w:szCs w:val="28"/>
          <w:lang w:val="es-ES_tradnl"/>
        </w:rPr>
        <w:t xml:space="preserve"> días hábiles, debiendo informar a este Instituto en un plazo de tres días hábiles siguientes sobre el cumplimiento dado a la presente.</w:t>
      </w:r>
    </w:p>
    <w:p w14:paraId="09696C17" w14:textId="77777777" w:rsidR="005047B4" w:rsidRPr="001C7462" w:rsidRDefault="005047B4" w:rsidP="005047B4">
      <w:pPr>
        <w:autoSpaceDE w:val="0"/>
        <w:autoSpaceDN w:val="0"/>
        <w:adjustRightInd w:val="0"/>
        <w:spacing w:after="0" w:line="360" w:lineRule="auto"/>
        <w:ind w:right="49"/>
        <w:jc w:val="both"/>
        <w:rPr>
          <w:rFonts w:ascii="Palatino Linotype" w:hAnsi="Palatino Linotype" w:cs="Arial"/>
          <w:sz w:val="24"/>
          <w:szCs w:val="28"/>
          <w:lang w:val="es-ES_tradnl"/>
        </w:rPr>
      </w:pPr>
    </w:p>
    <w:p w14:paraId="2C645B2A" w14:textId="77777777" w:rsidR="005047B4" w:rsidRPr="001C7462" w:rsidRDefault="005047B4" w:rsidP="005047B4">
      <w:pPr>
        <w:spacing w:after="0" w:line="360" w:lineRule="auto"/>
        <w:jc w:val="both"/>
        <w:rPr>
          <w:rFonts w:ascii="Palatino Linotype" w:hAnsi="Palatino Linotype" w:cs="Arial"/>
          <w:bCs/>
          <w:sz w:val="24"/>
          <w:szCs w:val="28"/>
        </w:rPr>
      </w:pPr>
      <w:r w:rsidRPr="001C7462">
        <w:rPr>
          <w:rFonts w:ascii="Palatino Linotype" w:hAnsi="Palatino Linotype" w:cs="Arial"/>
          <w:b/>
          <w:bCs/>
          <w:sz w:val="28"/>
          <w:szCs w:val="28"/>
        </w:rPr>
        <w:t>CUARTO.</w:t>
      </w:r>
      <w:r w:rsidRPr="001C7462">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1C7462">
        <w:rPr>
          <w:rFonts w:ascii="Palatino Linotype" w:hAnsi="Palatino Linotype" w:cs="Arial"/>
          <w:b/>
          <w:bCs/>
          <w:sz w:val="24"/>
          <w:szCs w:val="28"/>
        </w:rPr>
        <w:t>Sujeto Obligado</w:t>
      </w:r>
      <w:r w:rsidRPr="001C7462">
        <w:rPr>
          <w:rFonts w:ascii="Palatino Linotype" w:hAnsi="Palatino Linotype" w:cs="Arial"/>
          <w:bCs/>
          <w:sz w:val="24"/>
          <w:szCs w:val="28"/>
        </w:rPr>
        <w:t xml:space="preserve"> de manera fundada y motivada, podrá solicitar una ampliación de plazo para el cumplimiento de la presente resolución.</w:t>
      </w:r>
    </w:p>
    <w:p w14:paraId="210A2590" w14:textId="77777777" w:rsidR="005047B4" w:rsidRPr="001C7462" w:rsidRDefault="005047B4" w:rsidP="005047B4">
      <w:pPr>
        <w:autoSpaceDE w:val="0"/>
        <w:autoSpaceDN w:val="0"/>
        <w:adjustRightInd w:val="0"/>
        <w:spacing w:after="0" w:line="360" w:lineRule="auto"/>
        <w:ind w:right="49"/>
        <w:jc w:val="both"/>
        <w:rPr>
          <w:rFonts w:ascii="Palatino Linotype" w:hAnsi="Palatino Linotype" w:cs="Arial"/>
          <w:b/>
          <w:sz w:val="24"/>
          <w:szCs w:val="28"/>
        </w:rPr>
      </w:pPr>
    </w:p>
    <w:p w14:paraId="1D4FCDD8" w14:textId="77777777" w:rsidR="005047B4" w:rsidRPr="001C7462" w:rsidRDefault="005047B4" w:rsidP="005047B4">
      <w:pPr>
        <w:autoSpaceDE w:val="0"/>
        <w:autoSpaceDN w:val="0"/>
        <w:adjustRightInd w:val="0"/>
        <w:spacing w:after="0" w:line="360" w:lineRule="auto"/>
        <w:ind w:right="49"/>
        <w:jc w:val="both"/>
        <w:rPr>
          <w:rFonts w:ascii="Palatino Linotype" w:hAnsi="Palatino Linotype" w:cs="Arial"/>
          <w:sz w:val="24"/>
          <w:szCs w:val="24"/>
        </w:rPr>
      </w:pPr>
      <w:r w:rsidRPr="001C7462">
        <w:rPr>
          <w:rFonts w:ascii="Palatino Linotype" w:hAnsi="Palatino Linotype" w:cs="Arial"/>
          <w:b/>
          <w:sz w:val="28"/>
          <w:szCs w:val="28"/>
        </w:rPr>
        <w:t>QUINTO.</w:t>
      </w:r>
      <w:r w:rsidRPr="001C7462">
        <w:rPr>
          <w:rFonts w:ascii="Palatino Linotype" w:hAnsi="Palatino Linotype" w:cs="Arial"/>
          <w:b/>
          <w:sz w:val="24"/>
          <w:szCs w:val="24"/>
        </w:rPr>
        <w:t xml:space="preserve"> NOTIFÍQUESE</w:t>
      </w:r>
      <w:r w:rsidRPr="001C7462">
        <w:rPr>
          <w:rFonts w:ascii="Palatino Linotype" w:hAnsi="Palatino Linotype" w:cs="Arial"/>
          <w:sz w:val="24"/>
          <w:szCs w:val="24"/>
        </w:rPr>
        <w:t xml:space="preserve"> a</w:t>
      </w:r>
      <w:r>
        <w:rPr>
          <w:rFonts w:ascii="Palatino Linotype" w:hAnsi="Palatino Linotype" w:cs="Arial"/>
          <w:sz w:val="24"/>
          <w:szCs w:val="24"/>
        </w:rPr>
        <w:t>l</w:t>
      </w:r>
      <w:r w:rsidRPr="001C7462">
        <w:rPr>
          <w:rFonts w:ascii="Palatino Linotype" w:hAnsi="Palatino Linotype" w:cs="Arial"/>
          <w:sz w:val="24"/>
          <w:szCs w:val="24"/>
        </w:rPr>
        <w:t xml:space="preserve"> </w:t>
      </w:r>
      <w:r w:rsidRPr="001C7462">
        <w:rPr>
          <w:rFonts w:ascii="Palatino Linotype" w:hAnsi="Palatino Linotype" w:cs="Arial"/>
          <w:b/>
          <w:sz w:val="24"/>
          <w:szCs w:val="24"/>
        </w:rPr>
        <w:t>Recurrente</w:t>
      </w:r>
      <w:r w:rsidRPr="001C746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998AAB7" w14:textId="77777777" w:rsidR="005047B4" w:rsidRPr="001C7462" w:rsidRDefault="005047B4" w:rsidP="005047B4">
      <w:pPr>
        <w:autoSpaceDE w:val="0"/>
        <w:autoSpaceDN w:val="0"/>
        <w:adjustRightInd w:val="0"/>
        <w:spacing w:after="0" w:line="360" w:lineRule="auto"/>
        <w:ind w:right="49"/>
        <w:jc w:val="both"/>
        <w:rPr>
          <w:rFonts w:ascii="Palatino Linotype" w:hAnsi="Palatino Linotype" w:cs="Arial"/>
          <w:sz w:val="24"/>
          <w:szCs w:val="24"/>
        </w:rPr>
      </w:pPr>
    </w:p>
    <w:p w14:paraId="10DA00C1" w14:textId="21AB7BFE" w:rsidR="005047B4" w:rsidRPr="001C7462" w:rsidRDefault="005047B4" w:rsidP="005047B4">
      <w:pPr>
        <w:spacing w:after="0" w:line="360" w:lineRule="auto"/>
        <w:jc w:val="both"/>
        <w:rPr>
          <w:rFonts w:ascii="Palatino Linotype" w:hAnsi="Palatino Linotype"/>
          <w:sz w:val="24"/>
          <w:szCs w:val="24"/>
        </w:rPr>
      </w:pPr>
      <w:r w:rsidRPr="001C7462">
        <w:rPr>
          <w:rFonts w:ascii="Palatino Linotype" w:hAnsi="Palatino Linotype" w:cs="Arial"/>
          <w:sz w:val="24"/>
          <w:szCs w:val="24"/>
        </w:rPr>
        <w:t>ASÍ LO RESUELVE, POR UNANIMIDAD DE VOTOS, EL PLENO DEL</w:t>
      </w:r>
      <w:r w:rsidRPr="001C746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C7462">
        <w:rPr>
          <w:rFonts w:ascii="Palatino Linotype" w:hAnsi="Palatino Linotype" w:cs="Arial"/>
          <w:sz w:val="24"/>
          <w:szCs w:val="24"/>
        </w:rPr>
        <w:t>, CONFORMADO POR LOS COMISIONADOS ZULEMA MARTÍNEZ SÁNCHEZ, EVA ABAID YAPUR, JOSÉ GUADALUPE LUNA HERNÁNDEZ</w:t>
      </w:r>
      <w:r w:rsidR="0059031E">
        <w:rPr>
          <w:rFonts w:ascii="Palatino Linotype" w:hAnsi="Palatino Linotype" w:cs="Arial"/>
          <w:sz w:val="24"/>
          <w:szCs w:val="24"/>
        </w:rPr>
        <w:t xml:space="preserve"> (OPINIÓN PARTICULAR)</w:t>
      </w:r>
      <w:r w:rsidRPr="001C7462">
        <w:rPr>
          <w:rFonts w:ascii="Palatino Linotype" w:hAnsi="Palatino Linotype" w:cs="Arial"/>
          <w:sz w:val="24"/>
          <w:szCs w:val="24"/>
        </w:rPr>
        <w:t xml:space="preserve">, JAVIER MARTÍNEZ CRUZ Y LUIS GUSTAVO </w:t>
      </w:r>
      <w:r w:rsidRPr="00D85747">
        <w:rPr>
          <w:rFonts w:ascii="Palatino Linotype" w:hAnsi="Palatino Linotype" w:cs="Arial"/>
          <w:sz w:val="24"/>
          <w:szCs w:val="24"/>
        </w:rPr>
        <w:t xml:space="preserve">PARRA NORIEGA, </w:t>
      </w:r>
      <w:r w:rsidRPr="00D85747">
        <w:rPr>
          <w:rFonts w:ascii="Palatino Linotype" w:hAnsi="Palatino Linotype" w:cs="Arial"/>
          <w:sz w:val="24"/>
          <w:szCs w:val="24"/>
        </w:rPr>
        <w:lastRenderedPageBreak/>
        <w:t xml:space="preserve">EN LA DÉCIMA </w:t>
      </w:r>
      <w:r w:rsidR="00D85747" w:rsidRPr="00D85747">
        <w:rPr>
          <w:rFonts w:ascii="Palatino Linotype" w:hAnsi="Palatino Linotype" w:cs="Arial"/>
          <w:sz w:val="24"/>
          <w:szCs w:val="24"/>
        </w:rPr>
        <w:t>QUINTA</w:t>
      </w:r>
      <w:r w:rsidRPr="00D85747">
        <w:rPr>
          <w:rFonts w:ascii="Palatino Linotype" w:hAnsi="Palatino Linotype" w:cs="Arial"/>
          <w:sz w:val="24"/>
          <w:szCs w:val="24"/>
        </w:rPr>
        <w:t xml:space="preserve"> SESIÓN ORDINARIA CELEBRADA EL </w:t>
      </w:r>
      <w:r w:rsidR="00D85747" w:rsidRPr="00D85747">
        <w:rPr>
          <w:rFonts w:ascii="Palatino Linotype" w:eastAsia="Times New Roman" w:hAnsi="Palatino Linotype" w:cs="Arial"/>
          <w:color w:val="000000"/>
          <w:sz w:val="24"/>
          <w:szCs w:val="24"/>
          <w:lang w:eastAsia="es-MX"/>
        </w:rPr>
        <w:t>SEIS DE MAYO</w:t>
      </w:r>
      <w:r w:rsidRPr="00D85747">
        <w:rPr>
          <w:rFonts w:ascii="Palatino Linotype" w:eastAsia="Times New Roman" w:hAnsi="Palatino Linotype" w:cs="Arial"/>
          <w:color w:val="000000"/>
          <w:sz w:val="24"/>
          <w:szCs w:val="24"/>
          <w:lang w:eastAsia="es-MX"/>
        </w:rPr>
        <w:t xml:space="preserve"> DE</w:t>
      </w:r>
      <w:r w:rsidRPr="00D85747">
        <w:rPr>
          <w:rFonts w:ascii="Palatino Linotype" w:hAnsi="Palatino Linotype" w:cs="Arial"/>
          <w:sz w:val="24"/>
          <w:szCs w:val="24"/>
        </w:rPr>
        <w:t xml:space="preserve"> DOS MIL VEINTIUNO, ANTE EL SECRETARIO TÉCNICO, ALEXIS TAPIA RAMÍREZ.</w:t>
      </w:r>
    </w:p>
    <w:p w14:paraId="165BB087" w14:textId="77777777" w:rsidR="005047B4" w:rsidRPr="001C7462" w:rsidRDefault="005047B4" w:rsidP="005047B4">
      <w:pPr>
        <w:spacing w:after="0" w:line="360" w:lineRule="auto"/>
        <w:jc w:val="both"/>
        <w:rPr>
          <w:rFonts w:ascii="Palatino Linotype" w:hAnsi="Palatino Linotype"/>
          <w:sz w:val="28"/>
          <w:szCs w:val="24"/>
        </w:rPr>
      </w:pPr>
    </w:p>
    <w:p w14:paraId="2F55832A" w14:textId="75DBAA5E" w:rsidR="005047B4" w:rsidRDefault="00D85747" w:rsidP="005047B4">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mc:AlternateContent>
          <mc:Choice Requires="wps">
            <w:drawing>
              <wp:anchor distT="0" distB="0" distL="114300" distR="114300" simplePos="0" relativeHeight="251729920" behindDoc="0" locked="0" layoutInCell="1" allowOverlap="1" wp14:anchorId="0723D31C" wp14:editId="2F8BE0A8">
                <wp:simplePos x="0" y="0"/>
                <wp:positionH relativeFrom="column">
                  <wp:posOffset>-49729</wp:posOffset>
                </wp:positionH>
                <wp:positionV relativeFrom="paragraph">
                  <wp:posOffset>60714</wp:posOffset>
                </wp:positionV>
                <wp:extent cx="6175612" cy="5725235"/>
                <wp:effectExtent l="0" t="0" r="34925" b="27940"/>
                <wp:wrapNone/>
                <wp:docPr id="4" name="Conector recto 4"/>
                <wp:cNvGraphicFramePr/>
                <a:graphic xmlns:a="http://schemas.openxmlformats.org/drawingml/2006/main">
                  <a:graphicData uri="http://schemas.microsoft.com/office/word/2010/wordprocessingShape">
                    <wps:wsp>
                      <wps:cNvCnPr/>
                      <wps:spPr>
                        <a:xfrm>
                          <a:off x="0" y="0"/>
                          <a:ext cx="6175612" cy="57252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28F1B" id="Conector recto 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4.8pt" to="482.35pt,4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" strokecolor="#5b9bd5 [3204]" strokeweight=".5pt">
                <v:stroke joinstyle="miter"/>
              </v:line>
            </w:pict>
          </mc:Fallback>
        </mc:AlternateContent>
      </w:r>
    </w:p>
    <w:p w14:paraId="3E79C936"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6128E3A6"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78B238A2"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68339D2E"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1F21D125"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6F612D57"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7E154595"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111B6363"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62C082FD"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0E6DFC54"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2C75E2E1"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418DACB4"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73273C7F"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4348BC70"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5871E888"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24F28D10"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081A689F"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782C4C03"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566D0E64" w14:textId="29C29345" w:rsidR="005047B4" w:rsidRPr="00D85747" w:rsidRDefault="00D85747" w:rsidP="005047B4">
      <w:pPr>
        <w:spacing w:after="0" w:line="360" w:lineRule="auto"/>
        <w:jc w:val="both"/>
        <w:rPr>
          <w:rFonts w:ascii="Palatino Linotype" w:hAnsi="Palatino Linotype" w:cs="Arial"/>
          <w:noProof/>
          <w:color w:val="000000"/>
          <w:sz w:val="18"/>
          <w:szCs w:val="18"/>
          <w:lang w:eastAsia="es-MX"/>
        </w:rPr>
      </w:pPr>
      <w:r w:rsidRPr="00D85747">
        <w:rPr>
          <w:rFonts w:ascii="Palatino Linotype" w:hAnsi="Palatino Linotype" w:cs="Arial"/>
          <w:noProof/>
          <w:color w:val="000000"/>
          <w:sz w:val="18"/>
          <w:szCs w:val="18"/>
          <w:lang w:eastAsia="es-MX"/>
        </w:rPr>
        <w:t>OSAM/JCMA</w:t>
      </w:r>
    </w:p>
    <w:p w14:paraId="30CE038C"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6A6AD6F1"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1FC4C786" w14:textId="77777777" w:rsidR="005047B4" w:rsidRDefault="005047B4" w:rsidP="005047B4">
      <w:pPr>
        <w:spacing w:after="0" w:line="360" w:lineRule="auto"/>
        <w:jc w:val="both"/>
        <w:rPr>
          <w:rFonts w:ascii="Palatino Linotype" w:hAnsi="Palatino Linotype" w:cs="Arial"/>
          <w:noProof/>
          <w:color w:val="000000"/>
          <w:sz w:val="24"/>
          <w:lang w:eastAsia="es-MX"/>
        </w:rPr>
      </w:pPr>
    </w:p>
    <w:p w14:paraId="5B272FB4" w14:textId="77777777" w:rsidR="005047B4" w:rsidRPr="005047B4" w:rsidRDefault="005047B4" w:rsidP="005047B4">
      <w:pPr>
        <w:spacing w:after="0" w:line="360" w:lineRule="auto"/>
        <w:jc w:val="both"/>
        <w:rPr>
          <w:rFonts w:ascii="Palatino Linotype" w:hAnsi="Palatino Linotype" w:cs="Arial"/>
          <w:noProof/>
          <w:color w:val="000000"/>
          <w:sz w:val="24"/>
          <w:lang w:eastAsia="es-MX"/>
        </w:rPr>
      </w:pPr>
    </w:p>
    <w:sectPr w:rsidR="005047B4" w:rsidRPr="005047B4"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5534A" w14:textId="77777777" w:rsidR="002948A5" w:rsidRDefault="002948A5" w:rsidP="006168E4">
      <w:pPr>
        <w:spacing w:after="0" w:line="240" w:lineRule="auto"/>
      </w:pPr>
      <w:r>
        <w:separator/>
      </w:r>
    </w:p>
  </w:endnote>
  <w:endnote w:type="continuationSeparator" w:id="0">
    <w:p w14:paraId="60DA0B2E" w14:textId="77777777" w:rsidR="002948A5" w:rsidRDefault="002948A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713738" w:rsidRPr="000B69FA" w:rsidRDefault="007137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61FE">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61FE">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E6C5F1F" w:rsidR="00713738" w:rsidRPr="000B69FA" w:rsidRDefault="007137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61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61FE">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2273C" w14:textId="77777777" w:rsidR="002948A5" w:rsidRDefault="002948A5" w:rsidP="006168E4">
      <w:pPr>
        <w:spacing w:after="0" w:line="240" w:lineRule="auto"/>
      </w:pPr>
      <w:r>
        <w:separator/>
      </w:r>
    </w:p>
  </w:footnote>
  <w:footnote w:type="continuationSeparator" w:id="0">
    <w:p w14:paraId="4924902A" w14:textId="77777777" w:rsidR="002948A5" w:rsidRDefault="002948A5" w:rsidP="006168E4">
      <w:pPr>
        <w:spacing w:after="0" w:line="240" w:lineRule="auto"/>
      </w:pPr>
      <w:r>
        <w:continuationSeparator/>
      </w:r>
    </w:p>
  </w:footnote>
  <w:footnote w:id="1">
    <w:p w14:paraId="70F88B9F" w14:textId="77777777" w:rsidR="00713738" w:rsidRPr="005552A8" w:rsidRDefault="00713738" w:rsidP="000D45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11475B" w14:textId="77777777" w:rsidR="00713738" w:rsidRPr="005552A8" w:rsidRDefault="00713738" w:rsidP="000D45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A7AF366" w14:textId="77777777" w:rsidR="005047B4" w:rsidRPr="00034B44" w:rsidRDefault="005047B4" w:rsidP="005047B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625430EB" w:rsidR="00713738" w:rsidRDefault="0071373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19CD830" wp14:editId="1E2B95ED">
          <wp:simplePos x="0" y="0"/>
          <wp:positionH relativeFrom="page">
            <wp:align>left</wp:align>
          </wp:positionH>
          <wp:positionV relativeFrom="page">
            <wp:posOffset>14605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13738" w14:paraId="17981A04" w14:textId="77777777" w:rsidTr="00FB4AAD">
      <w:trPr>
        <w:trHeight w:val="227"/>
      </w:trPr>
      <w:tc>
        <w:tcPr>
          <w:tcW w:w="5529" w:type="dxa"/>
          <w:hideMark/>
        </w:tcPr>
        <w:p w14:paraId="0E414BC5" w14:textId="75B4D793" w:rsidR="00713738" w:rsidRDefault="007137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FE12B54" w:rsidR="00713738" w:rsidRPr="00B4142F" w:rsidRDefault="00916E1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00900</w:t>
          </w:r>
          <w:r w:rsidR="00713738">
            <w:rPr>
              <w:rFonts w:ascii="Palatino Linotype" w:hAnsi="Palatino Linotype" w:cs="Arial"/>
              <w:bCs/>
              <w:sz w:val="24"/>
              <w:lang w:eastAsia="es-MX"/>
            </w:rPr>
            <w:t>/INFOEM/IP/RR/2021</w:t>
          </w:r>
        </w:p>
      </w:tc>
    </w:tr>
    <w:tr w:rsidR="00713738" w14:paraId="637042F0" w14:textId="77777777" w:rsidTr="00FB4AAD">
      <w:trPr>
        <w:trHeight w:val="242"/>
      </w:trPr>
      <w:tc>
        <w:tcPr>
          <w:tcW w:w="5529" w:type="dxa"/>
          <w:hideMark/>
        </w:tcPr>
        <w:p w14:paraId="412AD568" w14:textId="582E7AD7" w:rsidR="00713738" w:rsidRDefault="007137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27857BA" w:rsidR="00713738" w:rsidRPr="00F06FED" w:rsidRDefault="00713738" w:rsidP="00916E18">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916E18">
            <w:rPr>
              <w:rFonts w:ascii="Palatino Linotype" w:hAnsi="Palatino Linotype" w:cs="Arial"/>
              <w:szCs w:val="20"/>
            </w:rPr>
            <w:t xml:space="preserve">Ixtapan de la Sal </w:t>
          </w:r>
        </w:p>
      </w:tc>
    </w:tr>
    <w:tr w:rsidR="00713738" w14:paraId="21BFE746" w14:textId="77777777" w:rsidTr="00FB4AAD">
      <w:trPr>
        <w:trHeight w:val="342"/>
      </w:trPr>
      <w:tc>
        <w:tcPr>
          <w:tcW w:w="5529" w:type="dxa"/>
          <w:hideMark/>
        </w:tcPr>
        <w:p w14:paraId="64C4E314" w14:textId="77777777" w:rsidR="00713738" w:rsidRDefault="0071373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713738" w:rsidRDefault="0071373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713738" w:rsidRDefault="007137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13738" w14:paraId="385FD437" w14:textId="77777777" w:rsidTr="00FB4AAD">
      <w:trPr>
        <w:trHeight w:val="227"/>
      </w:trPr>
      <w:tc>
        <w:tcPr>
          <w:tcW w:w="5529" w:type="dxa"/>
          <w:hideMark/>
        </w:tcPr>
        <w:p w14:paraId="272860E8" w14:textId="09D9FF7D"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6DB5E84" w:rsidR="00713738" w:rsidRPr="00B4142F" w:rsidRDefault="00916E1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00900</w:t>
          </w:r>
          <w:r w:rsidR="00713738">
            <w:rPr>
              <w:rFonts w:ascii="Palatino Linotype" w:hAnsi="Palatino Linotype" w:cs="Arial"/>
              <w:bCs/>
              <w:sz w:val="24"/>
              <w:lang w:eastAsia="es-MX"/>
            </w:rPr>
            <w:t>/INFOEM/IP/RR/2021</w:t>
          </w:r>
        </w:p>
      </w:tc>
    </w:tr>
    <w:tr w:rsidR="00713738" w14:paraId="33FC5097" w14:textId="77777777" w:rsidTr="00FB4AAD">
      <w:trPr>
        <w:trHeight w:val="196"/>
      </w:trPr>
      <w:tc>
        <w:tcPr>
          <w:tcW w:w="5529" w:type="dxa"/>
          <w:hideMark/>
        </w:tcPr>
        <w:p w14:paraId="4F5D01E5" w14:textId="77777777"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B2CAAA4" w:rsidR="00713738" w:rsidRPr="00F06FED" w:rsidRDefault="00DD61FE"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xxxxxxxxxxxxxxxxxxxxxxxxxx</w:t>
          </w:r>
          <w:r w:rsidR="00713738">
            <w:rPr>
              <w:rFonts w:ascii="Palatino Linotype" w:hAnsi="Palatino Linotype" w:cs="Arial"/>
            </w:rPr>
            <w:t xml:space="preserve">  </w:t>
          </w:r>
        </w:p>
      </w:tc>
    </w:tr>
    <w:tr w:rsidR="00713738" w14:paraId="178280DE" w14:textId="77777777" w:rsidTr="00FB4AAD">
      <w:trPr>
        <w:trHeight w:val="242"/>
      </w:trPr>
      <w:tc>
        <w:tcPr>
          <w:tcW w:w="5529" w:type="dxa"/>
          <w:hideMark/>
        </w:tcPr>
        <w:p w14:paraId="71AC708B" w14:textId="77777777"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95A73AF" w:rsidR="00713738" w:rsidRDefault="00713738" w:rsidP="00916E1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916E18">
            <w:rPr>
              <w:rFonts w:ascii="Palatino Linotype" w:hAnsi="Palatino Linotype" w:cs="Arial"/>
              <w:szCs w:val="20"/>
            </w:rPr>
            <w:t xml:space="preserve">Ixtapan de la Sal </w:t>
          </w:r>
        </w:p>
      </w:tc>
    </w:tr>
    <w:tr w:rsidR="00713738" w14:paraId="0518978B" w14:textId="77777777" w:rsidTr="00FB4AAD">
      <w:trPr>
        <w:trHeight w:val="342"/>
      </w:trPr>
      <w:tc>
        <w:tcPr>
          <w:tcW w:w="5529" w:type="dxa"/>
          <w:hideMark/>
        </w:tcPr>
        <w:p w14:paraId="04968A43" w14:textId="77777777" w:rsidR="00713738" w:rsidRDefault="0071373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713738" w:rsidRDefault="0071373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C526BFF" w:rsidR="00713738" w:rsidRDefault="0071373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D298BF0" wp14:editId="3A714788">
          <wp:simplePos x="0" y="0"/>
          <wp:positionH relativeFrom="page">
            <wp:align>left</wp:align>
          </wp:positionH>
          <wp:positionV relativeFrom="page">
            <wp:posOffset>20320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055"/>
    <w:multiLevelType w:val="hybridMultilevel"/>
    <w:tmpl w:val="648815C2"/>
    <w:lvl w:ilvl="0" w:tplc="EB34E3A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8F70B09"/>
    <w:multiLevelType w:val="hybridMultilevel"/>
    <w:tmpl w:val="E40AF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6C1BA5"/>
    <w:multiLevelType w:val="hybridMultilevel"/>
    <w:tmpl w:val="9CE4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F1EF9"/>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69752EB"/>
    <w:multiLevelType w:val="hybridMultilevel"/>
    <w:tmpl w:val="1A78D3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555AD5"/>
    <w:multiLevelType w:val="hybridMultilevel"/>
    <w:tmpl w:val="E40AF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BA1F1F"/>
    <w:multiLevelType w:val="hybridMultilevel"/>
    <w:tmpl w:val="E40AF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8C087D"/>
    <w:multiLevelType w:val="hybridMultilevel"/>
    <w:tmpl w:val="758871FE"/>
    <w:lvl w:ilvl="0" w:tplc="79EA61B8">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68276D"/>
    <w:multiLevelType w:val="hybridMultilevel"/>
    <w:tmpl w:val="B59CCD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826D1A"/>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5F00655"/>
    <w:multiLevelType w:val="hybridMultilevel"/>
    <w:tmpl w:val="17F0C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3C5299B"/>
    <w:multiLevelType w:val="hybridMultilevel"/>
    <w:tmpl w:val="90CE91F8"/>
    <w:lvl w:ilvl="0" w:tplc="EDB009F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BA5E2E"/>
    <w:multiLevelType w:val="hybridMultilevel"/>
    <w:tmpl w:val="88B617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8034C18"/>
    <w:multiLevelType w:val="hybridMultilevel"/>
    <w:tmpl w:val="95125BF4"/>
    <w:lvl w:ilvl="0" w:tplc="F2C2BA1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nsid w:val="48B913FB"/>
    <w:multiLevelType w:val="hybridMultilevel"/>
    <w:tmpl w:val="89E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16908"/>
    <w:multiLevelType w:val="hybridMultilevel"/>
    <w:tmpl w:val="98F4552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9D10233"/>
    <w:multiLevelType w:val="hybridMultilevel"/>
    <w:tmpl w:val="37505556"/>
    <w:lvl w:ilvl="0" w:tplc="8FC27F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9F63A5"/>
    <w:multiLevelType w:val="hybridMultilevel"/>
    <w:tmpl w:val="F9B8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8F1149"/>
    <w:multiLevelType w:val="hybridMultilevel"/>
    <w:tmpl w:val="FF94621C"/>
    <w:lvl w:ilvl="0" w:tplc="44B0891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66812125"/>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0F5BB7"/>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0"/>
  </w:num>
  <w:num w:numId="2">
    <w:abstractNumId w:val="2"/>
  </w:num>
  <w:num w:numId="3">
    <w:abstractNumId w:val="3"/>
  </w:num>
  <w:num w:numId="4">
    <w:abstractNumId w:val="17"/>
  </w:num>
  <w:num w:numId="5">
    <w:abstractNumId w:val="11"/>
  </w:num>
  <w:num w:numId="6">
    <w:abstractNumId w:val="19"/>
  </w:num>
  <w:num w:numId="7">
    <w:abstractNumId w:val="13"/>
  </w:num>
  <w:num w:numId="8">
    <w:abstractNumId w:val="8"/>
  </w:num>
  <w:num w:numId="9">
    <w:abstractNumId w:val="10"/>
  </w:num>
  <w:num w:numId="10">
    <w:abstractNumId w:val="4"/>
  </w:num>
  <w:num w:numId="11">
    <w:abstractNumId w:val="18"/>
  </w:num>
  <w:num w:numId="12">
    <w:abstractNumId w:val="0"/>
  </w:num>
  <w:num w:numId="13">
    <w:abstractNumId w:val="16"/>
  </w:num>
  <w:num w:numId="14">
    <w:abstractNumId w:val="9"/>
  </w:num>
  <w:num w:numId="15">
    <w:abstractNumId w:val="21"/>
  </w:num>
  <w:num w:numId="16">
    <w:abstractNumId w:val="5"/>
  </w:num>
  <w:num w:numId="17">
    <w:abstractNumId w:val="12"/>
  </w:num>
  <w:num w:numId="18">
    <w:abstractNumId w:val="1"/>
  </w:num>
  <w:num w:numId="19">
    <w:abstractNumId w:val="15"/>
  </w:num>
  <w:num w:numId="20">
    <w:abstractNumId w:val="7"/>
  </w:num>
  <w:num w:numId="21">
    <w:abstractNumId w:val="6"/>
  </w:num>
  <w:num w:numId="2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26A0C"/>
    <w:rsid w:val="000306A7"/>
    <w:rsid w:val="00031B3B"/>
    <w:rsid w:val="00032896"/>
    <w:rsid w:val="000329BE"/>
    <w:rsid w:val="0003348E"/>
    <w:rsid w:val="0004186E"/>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151E"/>
    <w:rsid w:val="000821BF"/>
    <w:rsid w:val="0008548C"/>
    <w:rsid w:val="00086AF1"/>
    <w:rsid w:val="00090174"/>
    <w:rsid w:val="00091552"/>
    <w:rsid w:val="00091C3A"/>
    <w:rsid w:val="000944B9"/>
    <w:rsid w:val="00095C7E"/>
    <w:rsid w:val="00095CD4"/>
    <w:rsid w:val="0009704F"/>
    <w:rsid w:val="000A18F1"/>
    <w:rsid w:val="000A1E99"/>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36FAD"/>
    <w:rsid w:val="00140557"/>
    <w:rsid w:val="001408A0"/>
    <w:rsid w:val="001439C9"/>
    <w:rsid w:val="00146F0A"/>
    <w:rsid w:val="00152AB2"/>
    <w:rsid w:val="00152C2B"/>
    <w:rsid w:val="001617BA"/>
    <w:rsid w:val="00161FBE"/>
    <w:rsid w:val="001671DD"/>
    <w:rsid w:val="0016745C"/>
    <w:rsid w:val="001710C0"/>
    <w:rsid w:val="001733A0"/>
    <w:rsid w:val="00175897"/>
    <w:rsid w:val="00177E69"/>
    <w:rsid w:val="00180B9F"/>
    <w:rsid w:val="00181CC5"/>
    <w:rsid w:val="001829BE"/>
    <w:rsid w:val="00184E8E"/>
    <w:rsid w:val="001854E1"/>
    <w:rsid w:val="0018577F"/>
    <w:rsid w:val="00193784"/>
    <w:rsid w:val="00196DCE"/>
    <w:rsid w:val="001A02EC"/>
    <w:rsid w:val="001A1756"/>
    <w:rsid w:val="001A30F5"/>
    <w:rsid w:val="001A4643"/>
    <w:rsid w:val="001A5630"/>
    <w:rsid w:val="001A56A9"/>
    <w:rsid w:val="001A577E"/>
    <w:rsid w:val="001A7C9B"/>
    <w:rsid w:val="001B05B9"/>
    <w:rsid w:val="001B7B88"/>
    <w:rsid w:val="001B7FA2"/>
    <w:rsid w:val="001C1CAF"/>
    <w:rsid w:val="001C2BE4"/>
    <w:rsid w:val="001C50EE"/>
    <w:rsid w:val="001C7319"/>
    <w:rsid w:val="001C7D87"/>
    <w:rsid w:val="001D23B4"/>
    <w:rsid w:val="001D3E87"/>
    <w:rsid w:val="001D49A2"/>
    <w:rsid w:val="001D627A"/>
    <w:rsid w:val="001D6B60"/>
    <w:rsid w:val="001E0C3F"/>
    <w:rsid w:val="001E58D8"/>
    <w:rsid w:val="001E78AA"/>
    <w:rsid w:val="001F2101"/>
    <w:rsid w:val="001F3969"/>
    <w:rsid w:val="001F61DA"/>
    <w:rsid w:val="001F78F1"/>
    <w:rsid w:val="00205ACD"/>
    <w:rsid w:val="002075A5"/>
    <w:rsid w:val="00212A9D"/>
    <w:rsid w:val="0021385B"/>
    <w:rsid w:val="0021501E"/>
    <w:rsid w:val="00215192"/>
    <w:rsid w:val="002205C0"/>
    <w:rsid w:val="00221889"/>
    <w:rsid w:val="002248AC"/>
    <w:rsid w:val="00226AF5"/>
    <w:rsid w:val="0023373D"/>
    <w:rsid w:val="0023423C"/>
    <w:rsid w:val="00240B75"/>
    <w:rsid w:val="002420E3"/>
    <w:rsid w:val="002448CB"/>
    <w:rsid w:val="002525C7"/>
    <w:rsid w:val="002526E7"/>
    <w:rsid w:val="00254BA9"/>
    <w:rsid w:val="002577FE"/>
    <w:rsid w:val="00261125"/>
    <w:rsid w:val="002659E9"/>
    <w:rsid w:val="00267074"/>
    <w:rsid w:val="00267244"/>
    <w:rsid w:val="002717B7"/>
    <w:rsid w:val="0027381A"/>
    <w:rsid w:val="00273D0E"/>
    <w:rsid w:val="00274159"/>
    <w:rsid w:val="00274BE8"/>
    <w:rsid w:val="002765A6"/>
    <w:rsid w:val="00276EDD"/>
    <w:rsid w:val="00283007"/>
    <w:rsid w:val="0028588E"/>
    <w:rsid w:val="00286784"/>
    <w:rsid w:val="0029431D"/>
    <w:rsid w:val="002948A5"/>
    <w:rsid w:val="00295749"/>
    <w:rsid w:val="0029598B"/>
    <w:rsid w:val="002A08A7"/>
    <w:rsid w:val="002A2034"/>
    <w:rsid w:val="002A24F4"/>
    <w:rsid w:val="002A38BF"/>
    <w:rsid w:val="002A4319"/>
    <w:rsid w:val="002A5409"/>
    <w:rsid w:val="002A56AE"/>
    <w:rsid w:val="002A597E"/>
    <w:rsid w:val="002B113A"/>
    <w:rsid w:val="002B19E0"/>
    <w:rsid w:val="002B1A1F"/>
    <w:rsid w:val="002B4601"/>
    <w:rsid w:val="002B5DBD"/>
    <w:rsid w:val="002B6A5A"/>
    <w:rsid w:val="002C07C4"/>
    <w:rsid w:val="002C18CD"/>
    <w:rsid w:val="002C1B76"/>
    <w:rsid w:val="002C72D2"/>
    <w:rsid w:val="002D08E3"/>
    <w:rsid w:val="002D30CB"/>
    <w:rsid w:val="002D310D"/>
    <w:rsid w:val="002E2D7B"/>
    <w:rsid w:val="002E5E6A"/>
    <w:rsid w:val="002F14AA"/>
    <w:rsid w:val="002F2198"/>
    <w:rsid w:val="002F37BE"/>
    <w:rsid w:val="002F4577"/>
    <w:rsid w:val="002F6424"/>
    <w:rsid w:val="00300D0B"/>
    <w:rsid w:val="00304D88"/>
    <w:rsid w:val="003056A2"/>
    <w:rsid w:val="00306096"/>
    <w:rsid w:val="00307C68"/>
    <w:rsid w:val="003107AB"/>
    <w:rsid w:val="003111C0"/>
    <w:rsid w:val="0031645D"/>
    <w:rsid w:val="00317A04"/>
    <w:rsid w:val="00317A10"/>
    <w:rsid w:val="00320A67"/>
    <w:rsid w:val="00320AA9"/>
    <w:rsid w:val="00321565"/>
    <w:rsid w:val="0032187D"/>
    <w:rsid w:val="00323CD2"/>
    <w:rsid w:val="003272FB"/>
    <w:rsid w:val="003317CD"/>
    <w:rsid w:val="00334359"/>
    <w:rsid w:val="0034179E"/>
    <w:rsid w:val="00341AC3"/>
    <w:rsid w:val="0034299B"/>
    <w:rsid w:val="003430A8"/>
    <w:rsid w:val="003443B2"/>
    <w:rsid w:val="00354448"/>
    <w:rsid w:val="00361B9C"/>
    <w:rsid w:val="00364021"/>
    <w:rsid w:val="00365C45"/>
    <w:rsid w:val="00374444"/>
    <w:rsid w:val="00376114"/>
    <w:rsid w:val="00376CEC"/>
    <w:rsid w:val="00380758"/>
    <w:rsid w:val="003827B4"/>
    <w:rsid w:val="00383C82"/>
    <w:rsid w:val="00386BBB"/>
    <w:rsid w:val="00386D84"/>
    <w:rsid w:val="0039245A"/>
    <w:rsid w:val="003936F4"/>
    <w:rsid w:val="00394A1E"/>
    <w:rsid w:val="0039659B"/>
    <w:rsid w:val="003A60CC"/>
    <w:rsid w:val="003A61F9"/>
    <w:rsid w:val="003A722A"/>
    <w:rsid w:val="003A73D3"/>
    <w:rsid w:val="003B1A03"/>
    <w:rsid w:val="003B1C4E"/>
    <w:rsid w:val="003B1E88"/>
    <w:rsid w:val="003B5455"/>
    <w:rsid w:val="003B5FFE"/>
    <w:rsid w:val="003B63C0"/>
    <w:rsid w:val="003C2632"/>
    <w:rsid w:val="003C2A8E"/>
    <w:rsid w:val="003C7873"/>
    <w:rsid w:val="003C78F7"/>
    <w:rsid w:val="003D153C"/>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9EB"/>
    <w:rsid w:val="004111DA"/>
    <w:rsid w:val="004118E5"/>
    <w:rsid w:val="00413327"/>
    <w:rsid w:val="00413F1C"/>
    <w:rsid w:val="00414CF8"/>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37A6"/>
    <w:rsid w:val="0046475C"/>
    <w:rsid w:val="004702BF"/>
    <w:rsid w:val="00470F88"/>
    <w:rsid w:val="00472649"/>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318"/>
    <w:rsid w:val="004B7F32"/>
    <w:rsid w:val="004C1DF1"/>
    <w:rsid w:val="004C4E77"/>
    <w:rsid w:val="004D08EB"/>
    <w:rsid w:val="004D6029"/>
    <w:rsid w:val="004D6DD6"/>
    <w:rsid w:val="004E0679"/>
    <w:rsid w:val="004E0B32"/>
    <w:rsid w:val="004E2371"/>
    <w:rsid w:val="004E3C3D"/>
    <w:rsid w:val="004E6BE9"/>
    <w:rsid w:val="004E79A4"/>
    <w:rsid w:val="004F0FF2"/>
    <w:rsid w:val="004F26CF"/>
    <w:rsid w:val="004F4792"/>
    <w:rsid w:val="004F4DF1"/>
    <w:rsid w:val="00502F50"/>
    <w:rsid w:val="00503655"/>
    <w:rsid w:val="005047B4"/>
    <w:rsid w:val="00505759"/>
    <w:rsid w:val="0050578D"/>
    <w:rsid w:val="0051107C"/>
    <w:rsid w:val="00514187"/>
    <w:rsid w:val="00515090"/>
    <w:rsid w:val="00521E57"/>
    <w:rsid w:val="00527D62"/>
    <w:rsid w:val="00527EBC"/>
    <w:rsid w:val="005305EA"/>
    <w:rsid w:val="00530DD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031E"/>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7A49"/>
    <w:rsid w:val="005F048E"/>
    <w:rsid w:val="005F1408"/>
    <w:rsid w:val="005F1E0B"/>
    <w:rsid w:val="005F57F0"/>
    <w:rsid w:val="005F7424"/>
    <w:rsid w:val="005F7D10"/>
    <w:rsid w:val="00600FB9"/>
    <w:rsid w:val="00602223"/>
    <w:rsid w:val="0060242C"/>
    <w:rsid w:val="00606FDA"/>
    <w:rsid w:val="0061042F"/>
    <w:rsid w:val="006168E4"/>
    <w:rsid w:val="00616943"/>
    <w:rsid w:val="00620873"/>
    <w:rsid w:val="006214B9"/>
    <w:rsid w:val="00621940"/>
    <w:rsid w:val="00625866"/>
    <w:rsid w:val="0063265C"/>
    <w:rsid w:val="00633079"/>
    <w:rsid w:val="00635020"/>
    <w:rsid w:val="00635846"/>
    <w:rsid w:val="00637512"/>
    <w:rsid w:val="0064022D"/>
    <w:rsid w:val="00640EE4"/>
    <w:rsid w:val="0064168D"/>
    <w:rsid w:val="00643161"/>
    <w:rsid w:val="006466F5"/>
    <w:rsid w:val="006468D6"/>
    <w:rsid w:val="006529A5"/>
    <w:rsid w:val="00655735"/>
    <w:rsid w:val="00661404"/>
    <w:rsid w:val="00661753"/>
    <w:rsid w:val="006646AC"/>
    <w:rsid w:val="00664D5B"/>
    <w:rsid w:val="00671D7C"/>
    <w:rsid w:val="00674066"/>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E06B7"/>
    <w:rsid w:val="006F1B61"/>
    <w:rsid w:val="006F53A9"/>
    <w:rsid w:val="006F5A35"/>
    <w:rsid w:val="006F610D"/>
    <w:rsid w:val="006F6E0E"/>
    <w:rsid w:val="00701033"/>
    <w:rsid w:val="007024E8"/>
    <w:rsid w:val="0070371E"/>
    <w:rsid w:val="00705F8F"/>
    <w:rsid w:val="007064F6"/>
    <w:rsid w:val="007078A3"/>
    <w:rsid w:val="00711536"/>
    <w:rsid w:val="007129C0"/>
    <w:rsid w:val="00713738"/>
    <w:rsid w:val="007142B5"/>
    <w:rsid w:val="00715E14"/>
    <w:rsid w:val="00716BFE"/>
    <w:rsid w:val="007234D1"/>
    <w:rsid w:val="00731428"/>
    <w:rsid w:val="0073157A"/>
    <w:rsid w:val="00735209"/>
    <w:rsid w:val="00744E29"/>
    <w:rsid w:val="00744EEF"/>
    <w:rsid w:val="007517D1"/>
    <w:rsid w:val="007524CA"/>
    <w:rsid w:val="00753EE8"/>
    <w:rsid w:val="00754CAE"/>
    <w:rsid w:val="007658D5"/>
    <w:rsid w:val="00772BA8"/>
    <w:rsid w:val="00774266"/>
    <w:rsid w:val="0078028A"/>
    <w:rsid w:val="007806CB"/>
    <w:rsid w:val="00781C64"/>
    <w:rsid w:val="007848FB"/>
    <w:rsid w:val="007851D5"/>
    <w:rsid w:val="00785698"/>
    <w:rsid w:val="0078693A"/>
    <w:rsid w:val="00792666"/>
    <w:rsid w:val="00794153"/>
    <w:rsid w:val="0079486A"/>
    <w:rsid w:val="00794E74"/>
    <w:rsid w:val="00794F80"/>
    <w:rsid w:val="0079666D"/>
    <w:rsid w:val="00797B4F"/>
    <w:rsid w:val="007A139A"/>
    <w:rsid w:val="007A1C9E"/>
    <w:rsid w:val="007A3BB5"/>
    <w:rsid w:val="007B2C77"/>
    <w:rsid w:val="007B3CF8"/>
    <w:rsid w:val="007B7A6F"/>
    <w:rsid w:val="007C0F96"/>
    <w:rsid w:val="007C1EDB"/>
    <w:rsid w:val="007C25EF"/>
    <w:rsid w:val="007C2C6B"/>
    <w:rsid w:val="007C7FF1"/>
    <w:rsid w:val="007D15EF"/>
    <w:rsid w:val="007D1A27"/>
    <w:rsid w:val="007D1B24"/>
    <w:rsid w:val="007D1F15"/>
    <w:rsid w:val="007D25B1"/>
    <w:rsid w:val="007D2878"/>
    <w:rsid w:val="007D300A"/>
    <w:rsid w:val="007D3787"/>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34A0"/>
    <w:rsid w:val="008146F9"/>
    <w:rsid w:val="00814D55"/>
    <w:rsid w:val="00816786"/>
    <w:rsid w:val="008230AE"/>
    <w:rsid w:val="00823F90"/>
    <w:rsid w:val="00824DCD"/>
    <w:rsid w:val="00831D3F"/>
    <w:rsid w:val="00832986"/>
    <w:rsid w:val="00833DB5"/>
    <w:rsid w:val="00835692"/>
    <w:rsid w:val="008419A8"/>
    <w:rsid w:val="008436AD"/>
    <w:rsid w:val="00844569"/>
    <w:rsid w:val="00846539"/>
    <w:rsid w:val="0084766D"/>
    <w:rsid w:val="00847D23"/>
    <w:rsid w:val="008507A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E6375"/>
    <w:rsid w:val="008F16D2"/>
    <w:rsid w:val="008F3674"/>
    <w:rsid w:val="008F4C65"/>
    <w:rsid w:val="009020E0"/>
    <w:rsid w:val="0090233A"/>
    <w:rsid w:val="00903410"/>
    <w:rsid w:val="00905422"/>
    <w:rsid w:val="00910B4E"/>
    <w:rsid w:val="009130C0"/>
    <w:rsid w:val="00913133"/>
    <w:rsid w:val="00913283"/>
    <w:rsid w:val="00915791"/>
    <w:rsid w:val="00916B04"/>
    <w:rsid w:val="00916E18"/>
    <w:rsid w:val="00917869"/>
    <w:rsid w:val="0092113F"/>
    <w:rsid w:val="00921DB9"/>
    <w:rsid w:val="00922358"/>
    <w:rsid w:val="0092403D"/>
    <w:rsid w:val="00932888"/>
    <w:rsid w:val="009331C2"/>
    <w:rsid w:val="009402DB"/>
    <w:rsid w:val="0094160B"/>
    <w:rsid w:val="00943F2E"/>
    <w:rsid w:val="00944898"/>
    <w:rsid w:val="009449B8"/>
    <w:rsid w:val="00944DC9"/>
    <w:rsid w:val="00945EA0"/>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1CC3"/>
    <w:rsid w:val="00985C4C"/>
    <w:rsid w:val="0098704B"/>
    <w:rsid w:val="00987C5F"/>
    <w:rsid w:val="00993821"/>
    <w:rsid w:val="00994280"/>
    <w:rsid w:val="009970B5"/>
    <w:rsid w:val="009A0D0A"/>
    <w:rsid w:val="009A0FAE"/>
    <w:rsid w:val="009A15F2"/>
    <w:rsid w:val="009A2418"/>
    <w:rsid w:val="009A45FF"/>
    <w:rsid w:val="009A64BD"/>
    <w:rsid w:val="009A686F"/>
    <w:rsid w:val="009A6ACC"/>
    <w:rsid w:val="009B0621"/>
    <w:rsid w:val="009B1636"/>
    <w:rsid w:val="009B33A8"/>
    <w:rsid w:val="009B3487"/>
    <w:rsid w:val="009B4510"/>
    <w:rsid w:val="009B5F5A"/>
    <w:rsid w:val="009B7C61"/>
    <w:rsid w:val="009C0DC9"/>
    <w:rsid w:val="009C3793"/>
    <w:rsid w:val="009C451F"/>
    <w:rsid w:val="009C5E96"/>
    <w:rsid w:val="009C726D"/>
    <w:rsid w:val="009D09C4"/>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3D22"/>
    <w:rsid w:val="00A35481"/>
    <w:rsid w:val="00A4131E"/>
    <w:rsid w:val="00A41694"/>
    <w:rsid w:val="00A41BE7"/>
    <w:rsid w:val="00A43501"/>
    <w:rsid w:val="00A453DC"/>
    <w:rsid w:val="00A46BDA"/>
    <w:rsid w:val="00A535E3"/>
    <w:rsid w:val="00A570A7"/>
    <w:rsid w:val="00A625E2"/>
    <w:rsid w:val="00A62AA3"/>
    <w:rsid w:val="00A62B55"/>
    <w:rsid w:val="00A64C80"/>
    <w:rsid w:val="00A67EF9"/>
    <w:rsid w:val="00A722DB"/>
    <w:rsid w:val="00A72465"/>
    <w:rsid w:val="00A80C92"/>
    <w:rsid w:val="00A81BCB"/>
    <w:rsid w:val="00A82461"/>
    <w:rsid w:val="00A840FB"/>
    <w:rsid w:val="00A84571"/>
    <w:rsid w:val="00A84CDC"/>
    <w:rsid w:val="00A851D8"/>
    <w:rsid w:val="00A856D4"/>
    <w:rsid w:val="00A85E37"/>
    <w:rsid w:val="00A860FD"/>
    <w:rsid w:val="00A86416"/>
    <w:rsid w:val="00A90202"/>
    <w:rsid w:val="00A908EE"/>
    <w:rsid w:val="00A9099E"/>
    <w:rsid w:val="00A9277F"/>
    <w:rsid w:val="00A95083"/>
    <w:rsid w:val="00A953BA"/>
    <w:rsid w:val="00A95A9B"/>
    <w:rsid w:val="00A96E60"/>
    <w:rsid w:val="00A97D27"/>
    <w:rsid w:val="00AA113B"/>
    <w:rsid w:val="00AA1687"/>
    <w:rsid w:val="00AA285C"/>
    <w:rsid w:val="00AA48B9"/>
    <w:rsid w:val="00AA5D62"/>
    <w:rsid w:val="00AB14BD"/>
    <w:rsid w:val="00AB1D6A"/>
    <w:rsid w:val="00AB3710"/>
    <w:rsid w:val="00AB4B0F"/>
    <w:rsid w:val="00AB4FA1"/>
    <w:rsid w:val="00AB6C3B"/>
    <w:rsid w:val="00AC0516"/>
    <w:rsid w:val="00AC0D96"/>
    <w:rsid w:val="00AC48E0"/>
    <w:rsid w:val="00AC7C82"/>
    <w:rsid w:val="00AD1553"/>
    <w:rsid w:val="00AD25F0"/>
    <w:rsid w:val="00AD2EBD"/>
    <w:rsid w:val="00AD461A"/>
    <w:rsid w:val="00AD6EAA"/>
    <w:rsid w:val="00AE008F"/>
    <w:rsid w:val="00AE04E8"/>
    <w:rsid w:val="00AE06EB"/>
    <w:rsid w:val="00AE0C47"/>
    <w:rsid w:val="00AE0D01"/>
    <w:rsid w:val="00AE2056"/>
    <w:rsid w:val="00AF16C8"/>
    <w:rsid w:val="00AF7269"/>
    <w:rsid w:val="00AF74DA"/>
    <w:rsid w:val="00B00C72"/>
    <w:rsid w:val="00B01443"/>
    <w:rsid w:val="00B04CF0"/>
    <w:rsid w:val="00B05177"/>
    <w:rsid w:val="00B070A2"/>
    <w:rsid w:val="00B10E49"/>
    <w:rsid w:val="00B11E08"/>
    <w:rsid w:val="00B13E84"/>
    <w:rsid w:val="00B145FA"/>
    <w:rsid w:val="00B2037B"/>
    <w:rsid w:val="00B23274"/>
    <w:rsid w:val="00B272A6"/>
    <w:rsid w:val="00B30856"/>
    <w:rsid w:val="00B32CD3"/>
    <w:rsid w:val="00B341D8"/>
    <w:rsid w:val="00B34CA9"/>
    <w:rsid w:val="00B35797"/>
    <w:rsid w:val="00B35A93"/>
    <w:rsid w:val="00B3672D"/>
    <w:rsid w:val="00B40656"/>
    <w:rsid w:val="00B40F8A"/>
    <w:rsid w:val="00B43FA0"/>
    <w:rsid w:val="00B4745C"/>
    <w:rsid w:val="00B50AAA"/>
    <w:rsid w:val="00B544D9"/>
    <w:rsid w:val="00B658D4"/>
    <w:rsid w:val="00B73581"/>
    <w:rsid w:val="00B75A2C"/>
    <w:rsid w:val="00B813AC"/>
    <w:rsid w:val="00B82142"/>
    <w:rsid w:val="00B8376C"/>
    <w:rsid w:val="00B84260"/>
    <w:rsid w:val="00B8738D"/>
    <w:rsid w:val="00B91F0B"/>
    <w:rsid w:val="00B9223B"/>
    <w:rsid w:val="00B92D47"/>
    <w:rsid w:val="00B961A5"/>
    <w:rsid w:val="00BA18D5"/>
    <w:rsid w:val="00BA1F59"/>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27767"/>
    <w:rsid w:val="00C316A8"/>
    <w:rsid w:val="00C337F9"/>
    <w:rsid w:val="00C3746F"/>
    <w:rsid w:val="00C3768A"/>
    <w:rsid w:val="00C37D9D"/>
    <w:rsid w:val="00C404A9"/>
    <w:rsid w:val="00C4139D"/>
    <w:rsid w:val="00C45DE7"/>
    <w:rsid w:val="00C5122B"/>
    <w:rsid w:val="00C538D4"/>
    <w:rsid w:val="00C562FD"/>
    <w:rsid w:val="00C56C17"/>
    <w:rsid w:val="00C61B4F"/>
    <w:rsid w:val="00C632B7"/>
    <w:rsid w:val="00C71CD1"/>
    <w:rsid w:val="00C73143"/>
    <w:rsid w:val="00C7381C"/>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1A71"/>
    <w:rsid w:val="00D427A6"/>
    <w:rsid w:val="00D42AFE"/>
    <w:rsid w:val="00D430B9"/>
    <w:rsid w:val="00D45747"/>
    <w:rsid w:val="00D475A2"/>
    <w:rsid w:val="00D5015D"/>
    <w:rsid w:val="00D5223B"/>
    <w:rsid w:val="00D52355"/>
    <w:rsid w:val="00D52AC7"/>
    <w:rsid w:val="00D53360"/>
    <w:rsid w:val="00D54CA9"/>
    <w:rsid w:val="00D563D9"/>
    <w:rsid w:val="00D564DE"/>
    <w:rsid w:val="00D6188C"/>
    <w:rsid w:val="00D61959"/>
    <w:rsid w:val="00D6340F"/>
    <w:rsid w:val="00D6781D"/>
    <w:rsid w:val="00D67D98"/>
    <w:rsid w:val="00D72D16"/>
    <w:rsid w:val="00D7412C"/>
    <w:rsid w:val="00D75521"/>
    <w:rsid w:val="00D8195B"/>
    <w:rsid w:val="00D83503"/>
    <w:rsid w:val="00D84724"/>
    <w:rsid w:val="00D8554E"/>
    <w:rsid w:val="00D85747"/>
    <w:rsid w:val="00D8619F"/>
    <w:rsid w:val="00D86764"/>
    <w:rsid w:val="00D91F4E"/>
    <w:rsid w:val="00D93F28"/>
    <w:rsid w:val="00DA2E2B"/>
    <w:rsid w:val="00DA3DE4"/>
    <w:rsid w:val="00DA69DE"/>
    <w:rsid w:val="00DB5C0A"/>
    <w:rsid w:val="00DB6DAF"/>
    <w:rsid w:val="00DC0AF1"/>
    <w:rsid w:val="00DC2393"/>
    <w:rsid w:val="00DC315B"/>
    <w:rsid w:val="00DC588B"/>
    <w:rsid w:val="00DC64BF"/>
    <w:rsid w:val="00DD13E2"/>
    <w:rsid w:val="00DD61FE"/>
    <w:rsid w:val="00DD7977"/>
    <w:rsid w:val="00DE34FF"/>
    <w:rsid w:val="00DF003C"/>
    <w:rsid w:val="00DF00D4"/>
    <w:rsid w:val="00DF4501"/>
    <w:rsid w:val="00DF7233"/>
    <w:rsid w:val="00DF78AE"/>
    <w:rsid w:val="00E033F2"/>
    <w:rsid w:val="00E0462A"/>
    <w:rsid w:val="00E07CC2"/>
    <w:rsid w:val="00E11E2E"/>
    <w:rsid w:val="00E125CA"/>
    <w:rsid w:val="00E14B17"/>
    <w:rsid w:val="00E14EAE"/>
    <w:rsid w:val="00E16394"/>
    <w:rsid w:val="00E22571"/>
    <w:rsid w:val="00E23DAD"/>
    <w:rsid w:val="00E25156"/>
    <w:rsid w:val="00E25242"/>
    <w:rsid w:val="00E25AAC"/>
    <w:rsid w:val="00E2730D"/>
    <w:rsid w:val="00E279B9"/>
    <w:rsid w:val="00E30CA9"/>
    <w:rsid w:val="00E3303A"/>
    <w:rsid w:val="00E33AAA"/>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5D40"/>
    <w:rsid w:val="00E97676"/>
    <w:rsid w:val="00EA1CE1"/>
    <w:rsid w:val="00EA1F89"/>
    <w:rsid w:val="00EB08A0"/>
    <w:rsid w:val="00EB117B"/>
    <w:rsid w:val="00EB40D6"/>
    <w:rsid w:val="00EB5F75"/>
    <w:rsid w:val="00EB7852"/>
    <w:rsid w:val="00EB79CD"/>
    <w:rsid w:val="00EB7F6A"/>
    <w:rsid w:val="00EC060D"/>
    <w:rsid w:val="00EC2525"/>
    <w:rsid w:val="00ED7449"/>
    <w:rsid w:val="00EE0713"/>
    <w:rsid w:val="00EE07A6"/>
    <w:rsid w:val="00EE0F2E"/>
    <w:rsid w:val="00EE1229"/>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22566"/>
    <w:rsid w:val="00F22963"/>
    <w:rsid w:val="00F378B2"/>
    <w:rsid w:val="00F403EA"/>
    <w:rsid w:val="00F40883"/>
    <w:rsid w:val="00F40B51"/>
    <w:rsid w:val="00F40E4D"/>
    <w:rsid w:val="00F42499"/>
    <w:rsid w:val="00F42753"/>
    <w:rsid w:val="00F46CE7"/>
    <w:rsid w:val="00F510DB"/>
    <w:rsid w:val="00F604E0"/>
    <w:rsid w:val="00F6501E"/>
    <w:rsid w:val="00F70615"/>
    <w:rsid w:val="00F71082"/>
    <w:rsid w:val="00F72722"/>
    <w:rsid w:val="00F727B0"/>
    <w:rsid w:val="00F7598B"/>
    <w:rsid w:val="00F8254B"/>
    <w:rsid w:val="00F83C7B"/>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224"/>
    <w:rsid w:val="00FD4599"/>
    <w:rsid w:val="00FD4784"/>
    <w:rsid w:val="00FD53AC"/>
    <w:rsid w:val="00FD65FE"/>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8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CitasINFOEM">
    <w:name w:val="Citas INFOEM"/>
    <w:basedOn w:val="Normal"/>
    <w:qFormat/>
    <w:rsid w:val="0027381A"/>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9760177">
      <w:bodyDiv w:val="1"/>
      <w:marLeft w:val="0"/>
      <w:marRight w:val="0"/>
      <w:marTop w:val="0"/>
      <w:marBottom w:val="0"/>
      <w:divBdr>
        <w:top w:val="none" w:sz="0" w:space="0" w:color="auto"/>
        <w:left w:val="none" w:sz="0" w:space="0" w:color="auto"/>
        <w:bottom w:val="none" w:sz="0" w:space="0" w:color="auto"/>
        <w:right w:val="none" w:sz="0" w:space="0" w:color="auto"/>
      </w:divBdr>
    </w:div>
    <w:div w:id="6463980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283339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F787-A5AD-49AE-B4D0-1D63D9FE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40</Pages>
  <Words>8544</Words>
  <Characters>46998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2018-12-04T20:35:00Z</cp:lastPrinted>
  <dcterms:created xsi:type="dcterms:W3CDTF">2021-04-22T21:06:00Z</dcterms:created>
  <dcterms:modified xsi:type="dcterms:W3CDTF">2021-06-17T18:59:00Z</dcterms:modified>
</cp:coreProperties>
</file>