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ocho de diciembre de dos mil veintiuno.</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 </w:t>
      </w:r>
      <w:r w:rsidDel="00000000" w:rsidR="00000000" w:rsidRPr="00000000">
        <w:rPr>
          <w:rFonts w:ascii="Palatino Linotype" w:cs="Palatino Linotype" w:eastAsia="Palatino Linotype" w:hAnsi="Palatino Linotype"/>
          <w:rtl w:val="0"/>
        </w:rPr>
        <w:t xml:space="preserve">el expediente relativo al recurso de revisión </w:t>
      </w:r>
      <w:r w:rsidDel="00000000" w:rsidR="00000000" w:rsidRPr="00000000">
        <w:rPr>
          <w:rFonts w:ascii="Palatino Linotype" w:cs="Palatino Linotype" w:eastAsia="Palatino Linotype" w:hAnsi="Palatino Linotype"/>
          <w:b w:val="1"/>
          <w:rtl w:val="0"/>
        </w:rPr>
        <w:t xml:space="preserve">03874/INFOEM/IP/RR/2021</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 Xxxxxxx Xx Xxxxxxxxxxxxx</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emitida a la solicitud de información con número de folio </w:t>
      </w:r>
      <w:r w:rsidDel="00000000" w:rsidR="00000000" w:rsidRPr="00000000">
        <w:rPr>
          <w:rFonts w:ascii="Palatino Linotype" w:cs="Palatino Linotype" w:eastAsia="Palatino Linotype" w:hAnsi="Palatino Linotype"/>
          <w:b w:val="1"/>
          <w:rtl w:val="0"/>
        </w:rPr>
        <w:t xml:space="preserve">00540/IEEM/IP/2021</w:t>
      </w:r>
      <w:r w:rsidDel="00000000" w:rsidR="00000000" w:rsidRPr="00000000">
        <w:rPr>
          <w:rFonts w:ascii="Palatino Linotype" w:cs="Palatino Linotype" w:eastAsia="Palatino Linotype" w:hAnsi="Palatino Linotype"/>
          <w:rtl w:val="0"/>
        </w:rPr>
        <w:t xml:space="preserve">, por parte del </w:t>
      </w:r>
      <w:r w:rsidDel="00000000" w:rsidR="00000000" w:rsidRPr="00000000">
        <w:rPr>
          <w:rFonts w:ascii="Palatino Linotype" w:cs="Palatino Linotype" w:eastAsia="Palatino Linotype" w:hAnsi="Palatino Linotype"/>
          <w:b w:val="1"/>
          <w:rtl w:val="0"/>
        </w:rPr>
        <w:t xml:space="preserve">Instituto Electoral del Estado de México</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w:t>
      </w:r>
    </w:p>
    <w:p w:rsidR="00000000" w:rsidDel="00000000" w:rsidP="00000000" w:rsidRDefault="00000000" w:rsidRPr="00000000" w14:paraId="000000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360" w:lineRule="auto"/>
        <w:ind w:left="1077"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veintitrés de junio de dos mil veintiuno,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“Solicito conocer el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número de casillas que no fueron instaladas en la jornada electoral del 06 de junio de 2021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número de funcionarios electorales que recibieron algún tipo de amenaza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secuestro o perdieron la vida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desde el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inicio del proceso electoral hasta el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día de la jornada del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6 de junio de 2021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Número de funcionarios de casilla que tuvieron que ser sustituidos el día de la jornada electoral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indicando la sección y tipo de casilla.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Número de candidatos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 los diferentes cargos de elección popular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que renunciaron previo a la jornada electoral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Número de candidatos que solicitaron seguridad para realizar sus campañas electorales.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Número de consejeros electorales que fueron amenazados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secuestrados o que perdieron la vida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desde que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inició el proceso electoral hasta el día de la jornada electoral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.“(sic)</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Énfasis añadido.</w:t>
      </w:r>
    </w:p>
    <w:p w:rsidR="00000000" w:rsidDel="00000000" w:rsidP="00000000" w:rsidRDefault="00000000" w:rsidRPr="00000000" w14:paraId="0000000D">
      <w:pPr>
        <w:ind w:right="1043"/>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SAIMEX.</w:t>
      </w:r>
    </w:p>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De las constancias que obran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observa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en fecha nueve de julio de dos mil veintiuno, emitió respuesta, en los siguientes términos:</w:t>
      </w:r>
      <w:r w:rsidDel="00000000" w:rsidR="00000000" w:rsidRPr="00000000">
        <w:rPr>
          <w:rtl w:val="0"/>
        </w:rPr>
      </w:r>
    </w:p>
    <w:p w:rsidR="00000000" w:rsidDel="00000000" w:rsidP="00000000" w:rsidRDefault="00000000" w:rsidRPr="00000000" w14:paraId="0000001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adjunta respuesta a su solicitud de información.”</w:t>
      </w:r>
    </w:p>
    <w:p w:rsidR="00000000" w:rsidDel="00000000" w:rsidP="00000000" w:rsidRDefault="00000000" w:rsidRPr="00000000" w14:paraId="00000011">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2">
      <w:pPr>
        <w:tabs>
          <w:tab w:val="left" w:pos="2985"/>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tab/>
      </w:r>
    </w:p>
    <w:p w:rsidR="00000000" w:rsidDel="00000000" w:rsidP="00000000" w:rsidRDefault="00000000" w:rsidRPr="00000000" w14:paraId="00000013">
      <w:pPr>
        <w:tabs>
          <w:tab w:val="left" w:pos="2985"/>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el Sujeto Obligado adjuntó los archivos electrónicos siguientes:</w:t>
      </w:r>
    </w:p>
    <w:p w:rsidR="00000000" w:rsidDel="00000000" w:rsidP="00000000" w:rsidRDefault="00000000" w:rsidRPr="00000000" w14:paraId="000000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8">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IEEM-DO-4856-2021.pdf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IEEM/DO/4856/2021 de fecha 08 de julio de 2021 por medio del cual el Director de Organización le informa al Titular de la Unidad de Transparencia que remite en formato pdf:</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que contiene la integración del Ayuntamiento del Municipio de La Paz, Estado de México, electo para el periodo Constitucional del 01 de enero de 2022 al 31 de diciembre de 2024, derivada del Cómputo Municipal efectuado por ese Consejo Municipal Electoral.</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Constancia de Mayoría y Validez de la Elección para el Ayuntamiento, expedidas a los integrantes de la planilla que obtuvo la mayoría de la votación en el Municipio de La Paz.</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Constancia de Representación Proporcional y Validez de la Elección para el Ayuntamiento, expedidas a las candidatas y candidatos que obtuvieron un cargo por el principio de representación proporcional en el Municipio de La Paz.</w:t>
      </w:r>
    </w:p>
    <w:p w:rsidR="00000000" w:rsidDel="00000000" w:rsidP="00000000" w:rsidRDefault="00000000" w:rsidRPr="00000000" w14:paraId="0000001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9">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ACUERDOS_COM_CM071_JUN_2021.pdf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Acuerdo Número 13 de Declaración de Validez de la Elección de Miembros de Ayuntamientos de Mayoría Relativa de fecha 10 de junio de 2021, por medio del cual se declaró legalmente válida la elección en mención y declara como miembros del Ayuntamiento La Paz, electos por el Principio de Mayoría Relativa para el periodo constitucional comprendido del 1 de enero del año 2022 al 31 de diciembre de 2024. </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Acuerdo Número 14 de Asignación de Regidurías y, en su caso, Sindicatura de Representación Proporcional que integran el Ayuntamiento de La Paz, de fecha 10 de junio de 2021. </w:t>
      </w:r>
    </w:p>
    <w:p w:rsidR="00000000" w:rsidDel="00000000" w:rsidP="00000000" w:rsidRDefault="00000000" w:rsidRPr="00000000" w14:paraId="000000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0">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hyperlink>
      <w:hyperlink r:id="rId11">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Constancias La Paz.pdf</w:t>
        </w:r>
      </w:hyperlink>
      <w:hyperlink r:id="rId12">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Constancias de Mayoría y Validez de la Elección para el Ayuntamiento, expedidas a los integrantes de la planilla que obtuvo la mayoría de la votación en el Municipio de La Paz.</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Constancias de Representación Proporcional y Validez de la Elección para el Ayuntamiento, expedidas a las candidatas y candidatos que obtuvieron un cargo por el principio de representación proporcional en el Municipio de La Paz.</w:t>
      </w:r>
    </w:p>
    <w:p w:rsidR="00000000" w:rsidDel="00000000" w:rsidP="00000000" w:rsidRDefault="00000000" w:rsidRPr="00000000" w14:paraId="000000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3">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RESPUESTA 540-2021 DPP.pdf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número IEEM/DPP/2841/2021 de fecha 08 de julio de 2021, por medio del cual el Director de Partidos Políticos informa a la Titular de la Unidad de Transparencia que en relación a la solicitud 00540/IEEM/IP/2021, la información es de naturaleza pública y se encuentra disponible en la liga electrónica: </w:t>
      </w:r>
      <w:hyperlink r:id="rId14">
        <w:r w:rsidDel="00000000" w:rsidR="00000000" w:rsidRPr="00000000">
          <w:rPr>
            <w:rFonts w:ascii="Palatino Linotype" w:cs="Palatino Linotype" w:eastAsia="Palatino Linotype" w:hAnsi="Palatino Linotype"/>
            <w:b w:val="0"/>
            <w:i w:val="0"/>
            <w:smallCaps w:val="0"/>
            <w:strike w:val="0"/>
            <w:color w:val="000000"/>
            <w:sz w:val="22"/>
            <w:szCs w:val="22"/>
            <w:u w:val="single"/>
            <w:shd w:fill="auto" w:val="clear"/>
            <w:vertAlign w:val="baseline"/>
            <w:rtl w:val="0"/>
          </w:rPr>
          <w:t xml:space="preserve">https://www.ieem.org.mx/2021/LISTADO_2021.pdf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5">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OFICIO RESPUESTA 540-2021 UT.pdf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IEEM/UT/1270/2021 de fecha 09 de julio de 2021, por medio del cual la Titular de la Unidad de Transparencia informa al solicitante que en relación a la solicitud 00540/IEEM/IP/2021 le entrega los oficios emitidos por los servidores públicos habilitados de las Direcciones de Organización y Partidos Políticos.</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Sujeto Obligado interpuso recurso de revisión a través del SAIMEX con fecha dos de agosto de dos mil veintiuno, a través del cual expresó lo siguiente:</w:t>
      </w:r>
    </w:p>
    <w:p w:rsidR="00000000" w:rsidDel="00000000" w:rsidP="00000000" w:rsidRDefault="00000000" w:rsidRPr="00000000" w14:paraId="00000022">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23">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w:t>
      </w:r>
      <w:r w:rsidDel="00000000" w:rsidR="00000000" w:rsidRPr="00000000">
        <w:rPr>
          <w:rFonts w:ascii="Palatino Linotype" w:cs="Palatino Linotype" w:eastAsia="Palatino Linotype" w:hAnsi="Palatino Linotype"/>
          <w:i w:val="1"/>
          <w:sz w:val="22"/>
          <w:szCs w:val="22"/>
          <w:rtl w:val="0"/>
        </w:rPr>
        <w:t xml:space="preserve">La respuesta entregada por el Sujeto Obligado no corresponde a lo solicitado, explícitamente señalan que se trata de otra solicitud.</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24">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26">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“La respuesta entregada por el Sujeto Obligado no corresponde a lo solicitado, explícitamente señalan que se trata de otra solicitud</w:t>
      </w:r>
      <w:r w:rsidDel="00000000" w:rsidR="00000000" w:rsidRPr="00000000">
        <w:rPr>
          <w:rFonts w:ascii="Palatino Linotype" w:cs="Palatino Linotype" w:eastAsia="Palatino Linotype" w:hAnsi="Palatino Linotype"/>
          <w:b w:val="1"/>
          <w:i w:val="1"/>
          <w:sz w:val="22"/>
          <w:szCs w:val="22"/>
          <w:u w:val="single"/>
          <w:rtl w:val="0"/>
        </w:rPr>
        <w:t xml:space="preserve">.</w:t>
      </w:r>
      <w:r w:rsidDel="00000000" w:rsidR="00000000" w:rsidRPr="00000000">
        <w:rPr>
          <w:rFonts w:ascii="Palatino Linotype" w:cs="Palatino Linotype" w:eastAsia="Palatino Linotype" w:hAnsi="Palatino Linotype"/>
          <w:i w:val="1"/>
          <w:rtl w:val="0"/>
        </w:rPr>
        <w:t xml:space="preserve">” (sic)</w:t>
        <w:tab/>
      </w:r>
    </w:p>
    <w:p w:rsidR="00000000" w:rsidDel="00000000" w:rsidP="00000000" w:rsidRDefault="00000000" w:rsidRPr="00000000" w14:paraId="00000027">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8">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w:t>
      </w:r>
      <w:r w:rsidDel="00000000" w:rsidR="00000000" w:rsidRPr="00000000">
        <w:rPr>
          <w:rFonts w:ascii="Palatino Linotype" w:cs="Palatino Linotype" w:eastAsia="Palatino Linotype" w:hAnsi="Palatino Linotype"/>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rtl w:val="0"/>
        </w:rPr>
        <w:t xml:space="preserve">, el recurso de revisión número </w:t>
      </w:r>
      <w:r w:rsidDel="00000000" w:rsidR="00000000" w:rsidRPr="00000000">
        <w:rPr>
          <w:rFonts w:ascii="Palatino Linotype" w:cs="Palatino Linotype" w:eastAsia="Palatino Linotype" w:hAnsi="Palatino Linotype"/>
          <w:b w:val="1"/>
          <w:rtl w:val="0"/>
        </w:rPr>
        <w:t xml:space="preserve">03874/INFOEM/IP/RR/2021 </w:t>
      </w:r>
      <w:r w:rsidDel="00000000" w:rsidR="00000000" w:rsidRPr="00000000">
        <w:rPr>
          <w:rFonts w:ascii="Palatino Linotype" w:cs="Palatino Linotype" w:eastAsia="Palatino Linotype" w:hAnsi="Palatino Linotype"/>
          <w:rtl w:val="0"/>
        </w:rPr>
        <w:t xml:space="preserve">fue turnado al </w:t>
      </w:r>
      <w:r w:rsidDel="00000000" w:rsidR="00000000" w:rsidRPr="00000000">
        <w:rPr>
          <w:rFonts w:ascii="Palatino Linotype" w:cs="Palatino Linotype" w:eastAsia="Palatino Linotype" w:hAnsi="Palatino Linotype"/>
          <w:b w:val="1"/>
          <w:rtl w:val="0"/>
        </w:rPr>
        <w:t xml:space="preserve">entonces Comisionado Ponente Javier Martínez Cruz</w:t>
      </w:r>
      <w:r w:rsidDel="00000000" w:rsidR="00000000" w:rsidRPr="00000000">
        <w:rPr>
          <w:rFonts w:ascii="Palatino Linotype" w:cs="Palatino Linotype" w:eastAsia="Palatino Linotype" w:hAnsi="Palatino Linotype"/>
          <w:rtl w:val="0"/>
        </w:rPr>
        <w:t xml:space="preserve">; a efecto de presentar al Pleno el proyecto de resolución correspondiente.</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En fecha cinco de agosto de dos mil veintiuno, en términos de lo dispuesto en el artículo 185 fracciones I, II y IV de la Ley de Transparencia y Acceso a la Información Pública del Estado de México y Municipios, se admitió a trámite el presente recurso de revisión.</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Informe de justificación. </w:t>
      </w:r>
      <w:r w:rsidDel="00000000" w:rsidR="00000000" w:rsidRPr="00000000">
        <w:rPr>
          <w:rFonts w:ascii="Palatino Linotype" w:cs="Palatino Linotype" w:eastAsia="Palatino Linotype" w:hAnsi="Palatino Linotype"/>
          <w:rtl w:val="0"/>
        </w:rPr>
        <w:t xml:space="preserve">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trece de agosto de dos mil veintiuno, rindió su informe de justificado adjuntando los archivos siguientes:</w:t>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6">
        <w:r w:rsidDel="00000000" w:rsidR="00000000" w:rsidRPr="00000000">
          <w:rPr>
            <w:rFonts w:ascii="Palatino Linotype" w:cs="Palatino Linotype" w:eastAsia="Palatino Linotype" w:hAnsi="Palatino Linotype"/>
            <w:b w:val="1"/>
            <w:i w:val="0"/>
            <w:smallCaps w:val="0"/>
            <w:strike w:val="0"/>
            <w:color w:val="000000"/>
            <w:sz w:val="22"/>
            <w:szCs w:val="22"/>
            <w:highlight w:val="white"/>
            <w:u w:val="single"/>
            <w:vertAlign w:val="baseline"/>
            <w:rtl w:val="0"/>
          </w:rPr>
          <w:t xml:space="preserve">OFICIO RESPUESTA 540-2021 UT.pdf</w:t>
        </w:r>
      </w:hyperlink>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 c</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ontiene el oficio IEEM/UT/1270/2021 de fecha 09 de julio de 2021 por medio del cual la Titular de la Unidad de Transparencia del Sujeto Obligado le informa al solicitante que le adjunta los oficios emitidos por los servidores públicos habilitados de la Dirección de Organización y Partidos Políticos, en los que se contiene la información relativa a la solicitud 00540/IEEM/IP/2021.</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w:t>
      </w:r>
      <w:hyperlink r:id="rId17">
        <w:r w:rsidDel="00000000" w:rsidR="00000000" w:rsidRPr="00000000">
          <w:rPr>
            <w:rFonts w:ascii="Palatino Linotype" w:cs="Palatino Linotype" w:eastAsia="Palatino Linotype" w:hAnsi="Palatino Linotype"/>
            <w:b w:val="1"/>
            <w:i w:val="0"/>
            <w:smallCaps w:val="0"/>
            <w:strike w:val="0"/>
            <w:color w:val="000000"/>
            <w:sz w:val="22"/>
            <w:szCs w:val="22"/>
            <w:highlight w:val="white"/>
            <w:u w:val="single"/>
            <w:vertAlign w:val="baseline"/>
            <w:rtl w:val="0"/>
          </w:rPr>
          <w:t xml:space="preserve">RESPUESTA 540-2021 DPP.pdf</w:t>
        </w:r>
      </w:hyperlink>
      <w:hyperlink r:id="rId18">
        <w:r w:rsidDel="00000000" w:rsidR="00000000" w:rsidRPr="00000000">
          <w:rPr>
            <w:rFonts w:ascii="Palatino Linotype" w:cs="Palatino Linotype" w:eastAsia="Palatino Linotype" w:hAnsi="Palatino Linotype"/>
            <w:b w:val="1"/>
            <w:i w:val="0"/>
            <w:smallCaps w:val="0"/>
            <w:strike w:val="0"/>
            <w:color w:val="000000"/>
            <w:sz w:val="22"/>
            <w:szCs w:val="22"/>
            <w:highlight w:val="white"/>
            <w:u w:val="single"/>
            <w:vertAlign w:val="baseline"/>
            <w:rtl w:val="0"/>
          </w:rPr>
          <w:t xml:space="preserve">f</w:t>
        </w:r>
      </w:hyperlink>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número IEEM/DPP/2989/2021 de fecha 10 de agosto de 2021 por medio del cual el Director de Partidos Políticos refiere que con base en lo establecido en los artículos 202 del Código Electoral del Estado de México, 38 del Reglamento Interno y numeral 16 del Manual de Organización, en relación a: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Número de candidatos a los diferentes cargos de elección popular que renunciaron previo a la jornada electoral,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recibió 752 renuncias a candidaturas a los distintos cargos de elección popular previo a la jornada electoral.</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que se refiere a los demás cuestionamientos manifestó que no cuenta con la totalidad de la información solicitada.</w:t>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w:t>
      </w:r>
      <w:hyperlink r:id="rId19">
        <w:r w:rsidDel="00000000" w:rsidR="00000000" w:rsidRPr="00000000">
          <w:rPr>
            <w:rFonts w:ascii="Palatino Linotype" w:cs="Palatino Linotype" w:eastAsia="Palatino Linotype" w:hAnsi="Palatino Linotype"/>
            <w:b w:val="1"/>
            <w:i w:val="0"/>
            <w:smallCaps w:val="0"/>
            <w:strike w:val="0"/>
            <w:color w:val="000000"/>
            <w:sz w:val="22"/>
            <w:szCs w:val="22"/>
            <w:highlight w:val="white"/>
            <w:u w:val="single"/>
            <w:vertAlign w:val="baseline"/>
            <w:rtl w:val="0"/>
          </w:rPr>
          <w:t xml:space="preserve">Acuerdo IEEM-CT-170-2021.pdf</w:t>
        </w:r>
      </w:hyperlink>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Acuerdo número IEEM/CT/170/2021 de Incompetencia parcial para otorgar respuesta a la solicitud de acceso a la información pública 00540/IEEM/IP/2021, en el que sustancialmente se precisó que del análisis de la solicitud se advierte que parte de la misma no forma parte de sus atribuciones, al referir:</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162550" cy="4619625"/>
            <wp:effectExtent b="0" l="0" r="0" t="0"/>
            <wp:docPr id="37" name="image11.png"/>
            <a:graphic>
              <a:graphicData uri="http://schemas.openxmlformats.org/drawingml/2006/picture">
                <pic:pic>
                  <pic:nvPicPr>
                    <pic:cNvPr id="0" name="image11.png"/>
                    <pic:cNvPicPr preferRelativeResize="0"/>
                  </pic:nvPicPr>
                  <pic:blipFill>
                    <a:blip r:embed="rId20"/>
                    <a:srcRect b="36028" l="16463" r="58248" t="20821"/>
                    <a:stretch>
                      <a:fillRect/>
                    </a:stretch>
                  </pic:blipFill>
                  <pic:spPr>
                    <a:xfrm>
                      <a:off x="0" y="0"/>
                      <a:ext cx="5162550" cy="4619625"/>
                    </a:xfrm>
                    <a:prstGeom prst="rect"/>
                    <a:ln/>
                  </pic:spPr>
                </pic:pic>
              </a:graphicData>
            </a:graphic>
          </wp:inline>
        </w:drawing>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Agregando que derivado de las respuestas emitidas por las áreas y conforme a la solicitud de declaración de incompetencia parcial remitida por la UT, se advierte que el IEEM no es el organismo responsable para conocer los datos sobre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número de funcionarios electorales que recibieron algún tipo de amenaza, secuestro o perdieron la vida desde el inicio del proceso electoral hasta el día de la jornada del 6 de junio de 2021, así como el número de consejeros electorales que fueron amenazados, secuestrados o que perdieron la vida desde que inició el proceso electoral hasta el día de la jornada electoral</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Resultando importante señalar que, de conformidad con lo establecido en los artículos 21, primer párrafo y 102, apartado A, primer y tercer párrafo de la Constitución Federal y de los artículos 2, 5 primer párrafo y 40, fracción I de la Ley de la FGR; la persecución de los delitos de orden federal corresponde al Ministerio Público Federal.</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dentro del Estado de México, la persecución de los delitos establecidos en el Código Penal del Estado, corresponde al Ministerio Público adscrito a la FGJEDOMEX; de acuerdo con lo dispuesto en los artículos 81, primer párrafo y 83, primer párrafo de la Constitución Local y artículos 1, primer párrafo; 10 fracción I y 33, primer párrafo de la Ley de la Fiscalía del Estado.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que al no contar con las atribuciones para dar respuesta parcial a la presente solicitud de información pública, la cual se encuentra vinculada con información que puede encontrarse en poder de la FGR, o bien de la FGJEDOMEX, se invita al solicitante de la información a que realice su solicitud de información ante dichos Sujetos Obligados nacional y estatal, a través de la Plataforma Nacional de Transparencia en la dirección electrónica https://www.plataformadetransparencia.org.mx/web/guest/inicio, o bien, para el caso de la FGJEDOMEX, mediante el SAIMEX en la liga electrónica https://www.saimex.org.mx/saimex/ciudadano/login.page.</w:t>
      </w:r>
    </w:p>
    <w:p w:rsidR="00000000" w:rsidDel="00000000" w:rsidP="00000000" w:rsidRDefault="00000000" w:rsidRPr="00000000" w14:paraId="000000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Archivo “</w:t>
      </w:r>
      <w:hyperlink r:id="rId21">
        <w:r w:rsidDel="00000000" w:rsidR="00000000" w:rsidRPr="00000000">
          <w:rPr>
            <w:rFonts w:ascii="Palatino Linotype" w:cs="Palatino Linotype" w:eastAsia="Palatino Linotype" w:hAnsi="Palatino Linotype"/>
            <w:b w:val="1"/>
            <w:i w:val="0"/>
            <w:smallCaps w:val="0"/>
            <w:strike w:val="0"/>
            <w:color w:val="000000"/>
            <w:sz w:val="22"/>
            <w:szCs w:val="22"/>
            <w:highlight w:val="white"/>
            <w:u w:val="single"/>
            <w:vertAlign w:val="baseline"/>
            <w:rtl w:val="0"/>
          </w:rPr>
          <w:t xml:space="preserve">RESPUESTA 540-2021 DO.pdf</w:t>
        </w:r>
      </w:hyperlink>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número IEEM/DO/5125/2021 de fecha 11 de agosto de 2021 a través del el Director de Organización manifestó:</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Solicito conocer el número de casillas que no fueron instaladas en la jornada electoral del 06 de junio de 2021</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conformidad con las atribuciones y funciones que tiene asignada, y conforme a lo establecido en el Convenio General de Coordinación y Colaboración entre el Instituto Nacional Electoral (INE) y el Instituto Electoral del Estado de México (IEEM) para el proceso Electoral concurrente 2020-2021 en el Estado de México, el IEEM tuvo acceso en modo de consulta, de conformidad con el artículo 316, numeral 1, del Reglamento de Elecciones, al Sistema de Información sobre el Desarrollo de la Jornada Electoral (SIJE) del INE implementado en la jornada electoral del 06 de junio de 2021 se instalaron la totalidad de 20,034 casillas previamente aprobadas por los Consejeros Distritales Electorales del INE en el Estado de México, remitiendo 1 archivo en formato Excel y 1 en formato .CSV que contienen la información del reporte de instalación obtenido de dicho sistema.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que se refiere a:”</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Número de consejeros electorales que fueron amenazados, secuestrados o que perdieron la vida desde que inició el proceso electoral hasta el día de la jornada electoral</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conformidad a sus atribuciones cuenta con información referente  a las sustituciones en las Consejería Electorales, de lo que se desprende que la causa de sustitución por causa de fallecimiento fue de 2 personas Consejeras Electorales Distritales y 2 personas consejeras Electorales Municipales.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que se refiere a: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número de funcionarios electorales que recibieron algún tipo de amenaza, secuestro o perdieron la vida desde el inicio del proceso electoral hasta el día de la jornada del 06 de junio de 2021. Número de funcionarios de casilla que tuvieron que ser sustituidos el día de la jornada electoral, indicando la sección y el tipo de casilla. Número de candidatos a los diferentes cargos de elección popular que renunciaron previo a la jornada electoral. Número de candidatos que solicitaron seguridad para realizar sus campañas electorales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conformidad a sus atribuciones y funciones no genera, ni posee información al respecto.</w:t>
      </w:r>
    </w:p>
    <w:p w:rsidR="00000000" w:rsidDel="00000000" w:rsidP="00000000" w:rsidRDefault="00000000" w:rsidRPr="00000000" w14:paraId="000000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Archivo “</w:t>
      </w:r>
      <w:hyperlink r:id="rId22">
        <w:r w:rsidDel="00000000" w:rsidR="00000000" w:rsidRPr="00000000">
          <w:rPr>
            <w:rFonts w:ascii="Palatino Linotype" w:cs="Palatino Linotype" w:eastAsia="Palatino Linotype" w:hAnsi="Palatino Linotype"/>
            <w:b w:val="1"/>
            <w:i w:val="0"/>
            <w:smallCaps w:val="0"/>
            <w:strike w:val="0"/>
            <w:color w:val="000000"/>
            <w:sz w:val="22"/>
            <w:szCs w:val="22"/>
            <w:highlight w:val="white"/>
            <w:u w:val="single"/>
            <w:vertAlign w:val="baseline"/>
            <w:rtl w:val="0"/>
          </w:rPr>
          <w:t xml:space="preserve">SIJE2021_InstalacionCasillas-06-06-2021-18.30.xlsx</w:t>
        </w:r>
      </w:hyperlink>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contiene un archivo Excel en el que consta la información relacionada con la instalación de casillas, en el que se aprecia información  como ID DE ESTADO, NOMBRE DEL ESTADO, DISTRITO LOCAL, ID MUNICIPIO, NOMBRE DE MUNICIPIO, SECCIÓN, TIPO DE CASILLA, ID DE CASILLA, ESTATUS, FECHA Y HORA DE INSTALACIÓN.</w:t>
      </w:r>
    </w:p>
    <w:p w:rsidR="00000000" w:rsidDel="00000000" w:rsidP="00000000" w:rsidRDefault="00000000" w:rsidRPr="00000000" w14:paraId="000000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Archivo “</w:t>
      </w:r>
      <w:hyperlink r:id="rId23">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 </w:t>
        </w:r>
      </w:hyperlink>
      <w:hyperlink r:id="rId24">
        <w:r w:rsidDel="00000000" w:rsidR="00000000" w:rsidRPr="00000000">
          <w:rPr>
            <w:rFonts w:ascii="Palatino Linotype" w:cs="Palatino Linotype" w:eastAsia="Palatino Linotype" w:hAnsi="Palatino Linotype"/>
            <w:b w:val="1"/>
            <w:i w:val="0"/>
            <w:smallCaps w:val="0"/>
            <w:strike w:val="0"/>
            <w:color w:val="000000"/>
            <w:sz w:val="22"/>
            <w:szCs w:val="22"/>
            <w:highlight w:val="white"/>
            <w:u w:val="single"/>
            <w:vertAlign w:val="baseline"/>
            <w:rtl w:val="0"/>
          </w:rPr>
          <w:t xml:space="preserve">INFORME JUSTIFICADO RR 3874-2021 UT.pdf</w:t>
        </w:r>
      </w:hyperlink>
      <w:hyperlink r:id="rId25">
        <w:r w:rsidDel="00000000" w:rsidR="00000000" w:rsidRPr="00000000">
          <w:rPr>
            <w:rFonts w:ascii="Palatino Linotype" w:cs="Palatino Linotype" w:eastAsia="Palatino Linotype" w:hAnsi="Palatino Linotype"/>
            <w:b w:val="1"/>
            <w:i w:val="0"/>
            <w:smallCaps w:val="0"/>
            <w:strike w:val="0"/>
            <w:color w:val="000000"/>
            <w:sz w:val="22"/>
            <w:szCs w:val="22"/>
            <w:highlight w:val="white"/>
            <w:u w:val="single"/>
            <w:vertAlign w:val="baseline"/>
            <w:rtl w:val="0"/>
          </w:rPr>
          <w:t xml:space="preserve">f</w:t>
        </w:r>
      </w:hyperlink>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de fecha 13 de agosto de 2021, por medio del cual el Sujeto Obligado rinde informe justificado, manifestando entre otras cosas que refiere que en ningún momento negó la información requerida por el recurrente, toda vez que adjuntó los oficios y anexos remitidos por los servidores públicos habilitados de las Direcciones de Organización y de Partidos Políticos, a través de los cuales entrega información, precisando también que respecto algunos puntos de la solicitud es incompetente, adjuntado el Acuerdo de Incompetencia parcial IEEM/CT/170/2021 aprobado por el Comité de Transparencia.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mérito de lo anterior, considera que se actualiza la causal de sobreseimiento contenida en los artículos 156, fracción III de la Ley General de Transparencia y 192, fracción III de la Ley de Transparencia del Estado. </w:t>
      </w:r>
    </w:p>
    <w:p w:rsidR="00000000" w:rsidDel="00000000" w:rsidP="00000000" w:rsidRDefault="00000000" w:rsidRPr="00000000" w14:paraId="000000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Archivo “</w:t>
      </w:r>
      <w:hyperlink r:id="rId26">
        <w:r w:rsidDel="00000000" w:rsidR="00000000" w:rsidRPr="00000000">
          <w:rPr>
            <w:rFonts w:ascii="Palatino Linotype" w:cs="Palatino Linotype" w:eastAsia="Palatino Linotype" w:hAnsi="Palatino Linotype"/>
            <w:b w:val="1"/>
            <w:i w:val="0"/>
            <w:smallCaps w:val="0"/>
            <w:strike w:val="0"/>
            <w:color w:val="000000"/>
            <w:sz w:val="22"/>
            <w:szCs w:val="22"/>
            <w:highlight w:val="white"/>
            <w:u w:val="single"/>
            <w:vertAlign w:val="baseline"/>
            <w:rtl w:val="0"/>
          </w:rPr>
          <w:t xml:space="preserve">SIJE2021_InstalacionCasillas-06-06-2021-18.30.csv.zip</w:t>
        </w:r>
      </w:hyperlink>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un archivo Excel en el que consta la información relacionada con la instalación de casillas, en el que se aprecia información  como ID DE ESTADO, NOMBRE DEL ESTADO, DISTRITO LOCAL, ID MUNICIPIO, NOMBRE DE MUNICIPIO, SECCIÓN, TIPO DE CASILLA, ID DE CASILLA, ESTATUS, FECHA Y HORA DE INSTALACIÓN.</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es de suma importancia mencionar que en fecha uno de diciembre de dos mil veintiuno, en alcance al informe justificado adjuntó el archivo electrónico denominado “</w:t>
      </w:r>
      <w:hyperlink r:id="rId27">
        <w:r w:rsidDel="00000000" w:rsidR="00000000" w:rsidRPr="00000000">
          <w:rPr>
            <w:rFonts w:ascii="Palatino Linotype" w:cs="Palatino Linotype" w:eastAsia="Palatino Linotype" w:hAnsi="Palatino Linotype"/>
            <w:b w:val="1"/>
            <w:color w:val="000000"/>
            <w:u w:val="single"/>
            <w:rtl w:val="0"/>
          </w:rPr>
          <w:t xml:space="preserve">SIJE_21_EM5_IntegraciónCasilla_MÉXICO_.xlsx</w:t>
        </w:r>
      </w:hyperlink>
      <w:r w:rsidDel="00000000" w:rsidR="00000000" w:rsidRPr="00000000">
        <w:rPr>
          <w:rFonts w:ascii="Palatino Linotype" w:cs="Palatino Linotype" w:eastAsia="Palatino Linotype" w:hAnsi="Palatino Linotype"/>
          <w:rtl w:val="0"/>
        </w:rPr>
        <w:t xml:space="preserve">”el cual contiene lo siguiente:</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14975" cy="3819525"/>
            <wp:effectExtent b="0" l="0" r="0" t="0"/>
            <wp:docPr id="40" name="image6.png"/>
            <a:graphic>
              <a:graphicData uri="http://schemas.openxmlformats.org/drawingml/2006/picture">
                <pic:pic>
                  <pic:nvPicPr>
                    <pic:cNvPr id="0" name="image6.png"/>
                    <pic:cNvPicPr preferRelativeResize="0"/>
                  </pic:nvPicPr>
                  <pic:blipFill>
                    <a:blip r:embed="rId28"/>
                    <a:srcRect b="7362" l="678" r="16159" t="18407"/>
                    <a:stretch>
                      <a:fillRect/>
                    </a:stretch>
                  </pic:blipFill>
                  <pic:spPr>
                    <a:xfrm>
                      <a:off x="0" y="0"/>
                      <a:ext cx="5514975" cy="381952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mencionarse que en fecha treinta de noviembre y el uno de diciembre de 2021 se dio vista del informe justificado, así como del alcance con la finalidad de que el recurrente realizar las manifestaciones que estime pertinentes.</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veintitrés de agosto de dos mil veintiuno, en la Segunda Sesión Extraordinaria</w:t>
      </w:r>
      <w:r w:rsidDel="00000000" w:rsidR="00000000" w:rsidRPr="00000000">
        <w:rPr>
          <w:rFonts w:ascii="Palatino Linotype" w:cs="Palatino Linotype" w:eastAsia="Palatino Linotype" w:hAnsi="Palatino Linotype"/>
          <w:rtl w:val="0"/>
        </w:rPr>
        <w:t xml:space="preserve">, el Pleno del Instituto aprobó el returno del recurso de revisión indicado al rubro a la Ponencia de la </w:t>
      </w:r>
      <w:r w:rsidDel="00000000" w:rsidR="00000000" w:rsidRPr="00000000">
        <w:rPr>
          <w:rFonts w:ascii="Palatino Linotype" w:cs="Palatino Linotype" w:eastAsia="Palatino Linotype" w:hAnsi="Palatino Linotype"/>
          <w:b w:val="1"/>
          <w:rtl w:val="0"/>
        </w:rPr>
        <w:t xml:space="preserve">Comisionada Guadalupe Ramírez Peña</w:t>
      </w:r>
      <w:r w:rsidDel="00000000" w:rsidR="00000000" w:rsidRPr="00000000">
        <w:rPr>
          <w:rFonts w:ascii="Palatino Linotype" w:cs="Palatino Linotype" w:eastAsia="Palatino Linotype" w:hAnsi="Palatino Linotype"/>
          <w:rtl w:val="0"/>
        </w:rPr>
        <w:t xml:space="preserve"> para su estudio y resolución.</w:t>
      </w:r>
      <w:r w:rsidDel="00000000" w:rsidR="00000000" w:rsidRPr="00000000">
        <w:rPr>
          <w:rtl w:val="0"/>
        </w:rPr>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Ampliación del plazo para emitir resolución</w:t>
      </w:r>
      <w:r w:rsidDel="00000000" w:rsidR="00000000" w:rsidRPr="00000000">
        <w:rPr>
          <w:rFonts w:ascii="Palatino Linotype" w:cs="Palatino Linotype" w:eastAsia="Palatino Linotype" w:hAnsi="Palatino Linotype"/>
          <w:rtl w:val="0"/>
        </w:rPr>
        <w:t xml:space="preserve">. En fecha treinta de noviembre del dos mil veintiuno,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r w:rsidDel="00000000" w:rsidR="00000000" w:rsidRPr="00000000">
        <w:rPr>
          <w:rtl w:val="0"/>
        </w:rPr>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Cierre de Instrucción. </w:t>
      </w:r>
      <w:r w:rsidDel="00000000" w:rsidR="00000000" w:rsidRPr="00000000">
        <w:rPr>
          <w:rFonts w:ascii="Palatino Linotype" w:cs="Palatino Linotype" w:eastAsia="Palatino Linotype" w:hAnsi="Palatino Linotype"/>
          <w:rtl w:val="0"/>
        </w:rPr>
        <w:t xml:space="preserve">En fecha seis de diciembre de dos mil veintiuno, anualidad en curso, con fundamento en lo establecido en los artículos 185, fracción VI de la 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 O N S I D E R A N D O:</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3 y 185 de la Ley Transparencia y Acceso a la Información Pública; 7,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bookmarkStart w:colFirst="0" w:colLast="0" w:name="_heading=h.1fob9te" w:id="2"/>
      <w:bookmarkEnd w:id="2"/>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Sujeto Obligado proporcionó respuesta a la solicitud de información el nueve de julio de dos mil veintiuno, mientras que el recurrente interpuso el recurso de revisión el dos de agosto de la anualidad en curso, esto es, al sexto día hábil siguiente al en que le fue notificada la respuesta, por ende, dentro del término legal que prevé el arábigo de referencia.</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por cuanto hace a la procedibilidad de los recursos de revisión, es de suma importancia señalar que la parte recurrente se identifica como "</w:t>
      </w:r>
      <w:r w:rsidDel="00000000" w:rsidR="00000000" w:rsidRPr="00000000">
        <w:rPr>
          <w:rFonts w:ascii="Palatino Linotype" w:cs="Palatino Linotype" w:eastAsia="Palatino Linotype" w:hAnsi="Palatino Linotype"/>
          <w:b w:val="1"/>
          <w:rtl w:val="0"/>
        </w:rPr>
        <w:t xml:space="preserve">Juan Larsson No Proporcionado</w:t>
      </w:r>
      <w:r w:rsidDel="00000000" w:rsidR="00000000" w:rsidRPr="00000000">
        <w:rPr>
          <w:rFonts w:ascii="Palatino Linotype" w:cs="Palatino Linotype" w:eastAsia="Palatino Linotype" w:hAnsi="Palatino Linotype"/>
          <w:rtl w:val="0"/>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8">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49">
      <w:pPr>
        <w:ind w:left="851" w:righ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A">
      <w:pPr>
        <w:spacing w:after="240" w:before="240" w:line="360" w:lineRule="auto"/>
        <w:jc w:val="both"/>
        <w:rPr>
          <w:rFonts w:ascii="Arial" w:cs="Arial" w:eastAsia="Arial" w:hAnsi="Arial"/>
        </w:rPr>
      </w:pPr>
      <w:r w:rsidDel="00000000" w:rsidR="00000000" w:rsidRPr="00000000">
        <w:rPr>
          <w:rFonts w:ascii="Palatino Linotype" w:cs="Palatino Linotype" w:eastAsia="Palatino Linotype" w:hAnsi="Palatino Linotype"/>
          <w:rtl w:val="0"/>
        </w:rPr>
        <w:t xml:space="preserve">Robusteciendo lo anterior se encuentra lo dispuesto en el artículo 6, Apartado A, fracciones III de la Constitución Política de los Estados Unidos Mexicanos que establece:</w:t>
      </w:r>
      <w:r w:rsidDel="00000000" w:rsidR="00000000" w:rsidRPr="00000000">
        <w:rPr>
          <w:rtl w:val="0"/>
        </w:rPr>
      </w:r>
    </w:p>
    <w:p w:rsidR="00000000" w:rsidDel="00000000" w:rsidP="00000000" w:rsidRDefault="00000000" w:rsidRPr="00000000" w14:paraId="0000004B">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r w:rsidDel="00000000" w:rsidR="00000000" w:rsidRPr="00000000">
        <w:rPr>
          <w:rtl w:val="0"/>
        </w:rPr>
      </w:r>
    </w:p>
    <w:p w:rsidR="00000000" w:rsidDel="00000000" w:rsidP="00000000" w:rsidRDefault="00000000" w:rsidRPr="00000000" w14:paraId="0000004C">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Para efectos de lo dispuesto en el presente artículo se observará lo siguiente:</w:t>
      </w:r>
      <w:r w:rsidDel="00000000" w:rsidR="00000000" w:rsidRPr="00000000">
        <w:rPr>
          <w:rtl w:val="0"/>
        </w:rPr>
      </w:r>
    </w:p>
    <w:p w:rsidR="00000000" w:rsidDel="00000000" w:rsidP="00000000" w:rsidRDefault="00000000" w:rsidRPr="00000000" w14:paraId="0000004D">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E">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A. Para el ejercicio del derecho de acceso a la información, la Federación, los Estados y el Distrito Federal,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4F">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0">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 (Sic)</w:t>
      </w:r>
      <w:r w:rsidDel="00000000" w:rsidR="00000000" w:rsidRPr="00000000">
        <w:rPr>
          <w:rtl w:val="0"/>
        </w:rPr>
      </w:r>
    </w:p>
    <w:p w:rsidR="00000000" w:rsidDel="00000000" w:rsidP="00000000" w:rsidRDefault="00000000" w:rsidRPr="00000000" w14:paraId="00000051">
      <w:pPr>
        <w:spacing w:after="240" w:before="240" w:lineRule="auto"/>
        <w:ind w:left="567" w:right="474"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52">
      <w:pPr>
        <w:spacing w:after="240" w:before="240" w:line="360" w:lineRule="auto"/>
        <w:jc w:val="both"/>
        <w:rPr>
          <w:rFonts w:ascii="Arial" w:cs="Arial" w:eastAsia="Arial" w:hAnsi="Arial"/>
        </w:rPr>
      </w:pPr>
      <w:r w:rsidDel="00000000" w:rsidR="00000000" w:rsidRPr="00000000">
        <w:rPr>
          <w:rFonts w:ascii="Palatino Linotype" w:cs="Palatino Linotype" w:eastAsia="Palatino Linotype" w:hAnsi="Palatino Linotype"/>
          <w:rtl w:val="0"/>
        </w:rPr>
        <w:t xml:space="preserve">Así como el artículo 5 fracción III, párrafo vigésimo segundo, vigésimo tercero y vigésimo cuarto, de la Constitución Política del Estado Libre y Soberano de México, que determina lo siguiente:</w:t>
      </w:r>
      <w:r w:rsidDel="00000000" w:rsidR="00000000" w:rsidRPr="00000000">
        <w:rPr>
          <w:rtl w:val="0"/>
        </w:rPr>
      </w:r>
    </w:p>
    <w:p w:rsidR="00000000" w:rsidDel="00000000" w:rsidP="00000000" w:rsidRDefault="00000000" w:rsidRPr="00000000" w14:paraId="00000053">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r w:rsidDel="00000000" w:rsidR="00000000" w:rsidRPr="00000000">
        <w:rPr>
          <w:rtl w:val="0"/>
        </w:rPr>
      </w:r>
    </w:p>
    <w:p w:rsidR="00000000" w:rsidDel="00000000" w:rsidP="00000000" w:rsidRDefault="00000000" w:rsidRPr="00000000" w14:paraId="00000054">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5">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Toda persona en el Estado de México, tiene derecho al libre acceso a la información plural y oportuna, así como a buscar recibir y difundir información e ideas de toda índole por cualquier medio de expresión.</w:t>
      </w:r>
      <w:r w:rsidDel="00000000" w:rsidR="00000000" w:rsidRPr="00000000">
        <w:rPr>
          <w:rtl w:val="0"/>
        </w:rPr>
      </w:r>
    </w:p>
    <w:p w:rsidR="00000000" w:rsidDel="00000000" w:rsidP="00000000" w:rsidRDefault="00000000" w:rsidRPr="00000000" w14:paraId="00000056">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7">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El derecho a la información será garantizado por el Estado. La ley establecerá las previsiones que permitan asegurar la protección, el respeto y la difusión de este derecho.</w:t>
      </w:r>
      <w:r w:rsidDel="00000000" w:rsidR="00000000" w:rsidRPr="00000000">
        <w:rPr>
          <w:rtl w:val="0"/>
        </w:rPr>
      </w:r>
    </w:p>
    <w:p w:rsidR="00000000" w:rsidDel="00000000" w:rsidP="00000000" w:rsidRDefault="00000000" w:rsidRPr="00000000" w14:paraId="00000058">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r w:rsidDel="00000000" w:rsidR="00000000" w:rsidRPr="00000000">
        <w:rPr>
          <w:rtl w:val="0"/>
        </w:rPr>
      </w:r>
    </w:p>
    <w:p w:rsidR="00000000" w:rsidDel="00000000" w:rsidP="00000000" w:rsidRDefault="00000000" w:rsidRPr="00000000" w14:paraId="00000059">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w:t>
      </w:r>
      <w:r w:rsidDel="00000000" w:rsidR="00000000" w:rsidRPr="00000000">
        <w:rPr>
          <w:rtl w:val="0"/>
        </w:rPr>
      </w:r>
    </w:p>
    <w:p w:rsidR="00000000" w:rsidDel="00000000" w:rsidP="00000000" w:rsidRDefault="00000000" w:rsidRPr="00000000" w14:paraId="0000005A">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B">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r w:rsidDel="00000000" w:rsidR="00000000" w:rsidRPr="00000000">
        <w:rPr>
          <w:rtl w:val="0"/>
        </w:rPr>
      </w:r>
    </w:p>
    <w:p w:rsidR="00000000" w:rsidDel="00000000" w:rsidP="00000000" w:rsidRDefault="00000000" w:rsidRPr="00000000" w14:paraId="0000005C">
      <w:pPr>
        <w:ind w:left="851" w:righ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D">
      <w:pPr>
        <w:spacing w:after="240" w:before="240" w:line="360" w:lineRule="auto"/>
        <w:jc w:val="both"/>
        <w:rPr>
          <w:rFonts w:ascii="Arial" w:cs="Arial" w:eastAsia="Arial" w:hAnsi="Arial"/>
        </w:rPr>
      </w:pPr>
      <w:r w:rsidDel="00000000" w:rsidR="00000000" w:rsidRPr="00000000">
        <w:rPr>
          <w:rFonts w:ascii="Palatino Linotype" w:cs="Palatino Linotype" w:eastAsia="Palatino Linotype" w:hAnsi="Palatino Linotype"/>
          <w:rtl w:val="0"/>
        </w:rPr>
        <w:t xml:space="preserve">Por otra parte, del contenido del artículo 1 de la Constitución Política de los Estados</w:t>
      </w:r>
      <w:r w:rsidDel="00000000" w:rsidR="00000000" w:rsidRPr="00000000">
        <w:rPr>
          <w:rtl w:val="0"/>
        </w:rPr>
      </w:r>
    </w:p>
    <w:p w:rsidR="00000000" w:rsidDel="00000000" w:rsidP="00000000" w:rsidRDefault="00000000" w:rsidRPr="00000000" w14:paraId="0000005E">
      <w:pPr>
        <w:spacing w:after="240" w:before="240" w:line="360" w:lineRule="auto"/>
        <w:jc w:val="both"/>
        <w:rPr>
          <w:rFonts w:ascii="Arial" w:cs="Arial" w:eastAsia="Arial" w:hAnsi="Arial"/>
        </w:rPr>
      </w:pPr>
      <w:r w:rsidDel="00000000" w:rsidR="00000000" w:rsidRPr="00000000">
        <w:rPr>
          <w:rFonts w:ascii="Palatino Linotype" w:cs="Palatino Linotype" w:eastAsia="Palatino Linotype" w:hAnsi="Palatino Linotype"/>
          <w:rtl w:val="0"/>
        </w:rPr>
        <w:t xml:space="preserve">Unidos mexicanos, se destaca lo siguiente:</w:t>
      </w:r>
      <w:r w:rsidDel="00000000" w:rsidR="00000000" w:rsidRPr="00000000">
        <w:rPr>
          <w:rtl w:val="0"/>
        </w:rPr>
      </w:r>
    </w:p>
    <w:p w:rsidR="00000000" w:rsidDel="00000000" w:rsidP="00000000" w:rsidRDefault="00000000" w:rsidRPr="00000000" w14:paraId="0000005F">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60">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61">
      <w:pP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r w:rsidDel="00000000" w:rsidR="00000000" w:rsidRPr="00000000">
        <w:rPr>
          <w:rtl w:val="0"/>
        </w:rPr>
      </w:r>
    </w:p>
    <w:p w:rsidR="00000000" w:rsidDel="00000000" w:rsidP="00000000" w:rsidRDefault="00000000" w:rsidRPr="00000000" w14:paraId="00000062">
      <w:pPr>
        <w:spacing w:after="240" w:before="240" w:lineRule="auto"/>
        <w:jc w:val="both"/>
        <w:rPr>
          <w:rFonts w:ascii="Arial" w:cs="Arial" w:eastAsia="Arial" w:hAnsi="Arial"/>
        </w:rPr>
      </w:pPr>
      <w:r w:rsidDel="00000000" w:rsidR="00000000" w:rsidRPr="00000000">
        <w:rPr>
          <w:rFonts w:ascii="Arial" w:cs="Arial" w:eastAsia="Arial" w:hAnsi="Arial"/>
          <w:i w:val="1"/>
          <w:sz w:val="23"/>
          <w:szCs w:val="23"/>
          <w:rtl w:val="0"/>
        </w:rPr>
        <w:t xml:space="preserve"> </w:t>
      </w:r>
      <w:r w:rsidDel="00000000" w:rsidR="00000000" w:rsidRPr="00000000">
        <w:rPr>
          <w:rtl w:val="0"/>
        </w:rPr>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el derecho humano de acceso a la información pública, se aprecia que toda persona, sin necesidad de acreditar interés alguno o justificar su interposición, deberá tener acceso a la información pública, es decir, dicho </w:t>
      </w:r>
      <w:r w:rsidDel="00000000" w:rsidR="00000000" w:rsidRPr="00000000">
        <w:rPr>
          <w:rFonts w:ascii="Palatino Linotype" w:cs="Palatino Linotype" w:eastAsia="Palatino Linotype" w:hAnsi="Palatino Linotype"/>
          <w:i w:val="1"/>
          <w:rtl w:val="0"/>
        </w:rPr>
        <w:t xml:space="preserve">derecho fundamental exime a quien lo ejerce</w:t>
      </w:r>
      <w:r w:rsidDel="00000000" w:rsidR="00000000" w:rsidRPr="00000000">
        <w:rPr>
          <w:rFonts w:ascii="Palatino Linotype" w:cs="Palatino Linotype" w:eastAsia="Palatino Linotype" w:hAnsi="Palatino Linotype"/>
          <w:rtl w:val="0"/>
        </w:rPr>
        <w:t xml:space="preserv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000000" w:rsidDel="00000000" w:rsidP="00000000" w:rsidRDefault="00000000" w:rsidRPr="00000000" w14:paraId="00000065">
      <w:pPr>
        <w:ind w:left="851" w:right="758" w:firstLine="0"/>
        <w:jc w:val="both"/>
        <w:rPr>
          <w:rFonts w:ascii="Arial" w:cs="Arial" w:eastAsia="Arial" w:hAnsi="Arial"/>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066">
      <w:pPr>
        <w:ind w:left="851" w:right="851" w:firstLine="0"/>
        <w:jc w:val="both"/>
        <w:rPr>
          <w:rFonts w:ascii="Arial" w:cs="Arial" w:eastAsia="Arial" w:hAnsi="Arial"/>
          <w:sz w:val="22"/>
          <w:szCs w:val="22"/>
        </w:rPr>
      </w:pPr>
      <w:r w:rsidDel="00000000" w:rsidR="00000000" w:rsidRPr="00000000">
        <w:rPr>
          <w:rFonts w:ascii="Palatino Linotype" w:cs="Palatino Linotype" w:eastAsia="Palatino Linotype" w:hAnsi="Palatino Linotype"/>
          <w:i w:val="1"/>
          <w:sz w:val="22"/>
          <w:szCs w:val="22"/>
          <w:rtl w:val="0"/>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r w:rsidDel="00000000" w:rsidR="00000000" w:rsidRPr="00000000">
        <w:rPr>
          <w:rtl w:val="0"/>
        </w:rPr>
      </w:r>
    </w:p>
    <w:p w:rsidR="00000000" w:rsidDel="00000000" w:rsidP="00000000" w:rsidRDefault="00000000" w:rsidRPr="00000000" w14:paraId="00000067">
      <w:pPr>
        <w:jc w:val="both"/>
        <w:rPr/>
      </w:pP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06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resulta procedente la interposición del recurso, según lo aducido por el recurrente en sus razones o motivos de inconformidad, de acuerdo al artículo 179, fracción VI de la Ley de Transparencia y Acceso a la Información Pública del Estado de México y Municipios; que a la letra dice:</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 de revisión</w:t>
      </w:r>
      <w:r w:rsidDel="00000000" w:rsidR="00000000" w:rsidRPr="00000000">
        <w:rPr>
          <w:rFonts w:ascii="Palatino Linotype" w:cs="Palatino Linotype" w:eastAsia="Palatino Linotype" w:hAnsi="Palatino Linotype"/>
          <w:i w:val="1"/>
          <w:sz w:val="22"/>
          <w:szCs w:val="22"/>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sz w:val="22"/>
          <w:szCs w:val="22"/>
          <w:rtl w:val="0"/>
        </w:rPr>
        <w:t xml:space="preserve">, y procederá en contra de las siguientes 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La entrega de información que no corresponda con lo solicitado;</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6F">
      <w:pPr>
        <w:spacing w:after="240" w:before="0" w:line="360" w:lineRule="auto"/>
        <w:jc w:val="both"/>
        <w:rPr/>
      </w:pPr>
      <w:r w:rsidDel="00000000" w:rsidR="00000000" w:rsidRPr="00000000">
        <w:rPr>
          <w:rtl w:val="0"/>
        </w:rPr>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i w:val="1"/>
          <w:sz w:val="22"/>
          <w:szCs w:val="22"/>
        </w:rPr>
      </w:pPr>
      <w:bookmarkStart w:colFirst="0" w:colLast="0" w:name="_heading=h.3znysh7" w:id="3"/>
      <w:bookmarkEnd w:id="3"/>
      <w:r w:rsidDel="00000000" w:rsidR="00000000" w:rsidRPr="00000000">
        <w:rPr>
          <w:rFonts w:ascii="Palatino Linotype" w:cs="Palatino Linotype" w:eastAsia="Palatino Linotype" w:hAnsi="Palatino Linotype"/>
          <w:b w:val="1"/>
          <w:rtl w:val="0"/>
        </w:rPr>
        <w:t xml:space="preserve">Tercero. Análisis de las causales de sobreseimiento del recurso de revisión.</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En este contexto este Órgano Colegiado advierte que, en el presente caso, se actualiza la causal de sobreseimiento prevista en la fracción III del artículo 192 de la Ley de Transparencia y Acceso a la Información Pública del Estado de México y Municipios, mismas que disponen lo siguiente:</w:t>
      </w:r>
      <w:r w:rsidDel="00000000" w:rsidR="00000000" w:rsidRPr="00000000">
        <w:rPr>
          <w:rtl w:val="0"/>
        </w:rPr>
      </w:r>
    </w:p>
    <w:p w:rsidR="00000000" w:rsidDel="00000000" w:rsidP="00000000" w:rsidRDefault="00000000" w:rsidRPr="00000000" w14:paraId="00000071">
      <w:pPr>
        <w:spacing w:after="120" w:before="12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192.</w:t>
      </w:r>
      <w:r w:rsidDel="00000000" w:rsidR="00000000" w:rsidRPr="00000000">
        <w:rPr>
          <w:rFonts w:ascii="Palatino Linotype" w:cs="Palatino Linotype" w:eastAsia="Palatino Linotype" w:hAnsi="Palatino Linotype"/>
          <w:i w:val="1"/>
          <w:sz w:val="22"/>
          <w:szCs w:val="22"/>
          <w:rtl w:val="0"/>
        </w:rPr>
        <w:t xml:space="preserve"> El recurso será sobreseído, en todo o en parte, cuando una vez admitido, se actualicen alguno de los siguientes supuestos:</w:t>
      </w:r>
    </w:p>
    <w:p w:rsidR="00000000" w:rsidDel="00000000" w:rsidP="00000000" w:rsidRDefault="00000000" w:rsidRPr="00000000" w14:paraId="00000072">
      <w:pPr>
        <w:spacing w:after="120" w:before="12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3">
      <w:pPr>
        <w:spacing w:after="120" w:before="12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El sujeto obligado responsable del acto lo modifique o revoque de tal manera que el recurso de revisión quede sin materia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08" w:right="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(Énfasis añadido)</w:t>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conforme a la transcripción que antecede se advierte como causales de sobreseimiento una vez admitido el recurso de revisión el sujeto obligado responsable del acto lo modifique o revoque de tal manera que el mismo quede sin materia. En esa tesitura, el presente recurso de revisión se adecúa a dicha hipótesis normativa de conformidad con lo siguiente:</w:t>
      </w:r>
    </w:p>
    <w:p w:rsidR="00000000" w:rsidDel="00000000" w:rsidP="00000000" w:rsidRDefault="00000000" w:rsidRPr="00000000" w14:paraId="0000007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ilustrar lo anterior, en primer término, de manera preliminar en el caso en concreto conviene analizar si se actualiza alguna de las causales de sobreseimiento, motivo por el cual este Órgano Garante procede al estudio y análisis de las constancias que integran el recurso de revisión al rubro anotado. </w:t>
      </w:r>
    </w:p>
    <w:p w:rsidR="00000000" w:rsidDel="00000000" w:rsidP="00000000" w:rsidRDefault="00000000" w:rsidRPr="00000000" w14:paraId="00000077">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de suma importancia mencionar que del análisis de la solicitud de información motivo del recurso de revisión que ahora se resuelve se advierte que el recurrente en su solicitud número </w:t>
      </w:r>
      <w:r w:rsidDel="00000000" w:rsidR="00000000" w:rsidRPr="00000000">
        <w:rPr>
          <w:rFonts w:ascii="Palatino Linotype" w:cs="Palatino Linotype" w:eastAsia="Palatino Linotype" w:hAnsi="Palatino Linotype"/>
          <w:b w:val="1"/>
          <w:rtl w:val="0"/>
        </w:rPr>
        <w:t xml:space="preserve">00540/IEEM/IP/2021, </w:t>
      </w:r>
      <w:r w:rsidDel="00000000" w:rsidR="00000000" w:rsidRPr="00000000">
        <w:rPr>
          <w:rFonts w:ascii="Palatino Linotype" w:cs="Palatino Linotype" w:eastAsia="Palatino Linotype" w:hAnsi="Palatino Linotype"/>
          <w:rtl w:val="0"/>
        </w:rPr>
        <w:t xml:space="preserve">requirió que se le proporcionara lo siguiente:</w:t>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Solicito conocer el número de casillas que no fueron instaladas en la jornada electoral del 06 de junio de 2021.</w:t>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número de funcionarios electorales que recibieron algún tipo de amenaza, secuestro o perdieron la vida desde el inicio del proceso electoral hasta el día de la jornada del 6 de junio de 2021.</w:t>
      </w:r>
    </w:p>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Número de funcionarios de casilla que tuvieron que ser sustituidos el día de la jornada electoral, indicando la sección y tipo de casilla.</w:t>
      </w:r>
    </w:p>
    <w:p w:rsidR="00000000" w:rsidDel="00000000" w:rsidP="00000000" w:rsidRDefault="00000000" w:rsidRPr="00000000" w14:paraId="000000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Número de candidatos a los diferentes cargos de elección popular que renunciaron previo a la jornada electoral.</w:t>
      </w:r>
    </w:p>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Número de candidatos que solicitaron seguridad para realizar sus campañas electorales.</w:t>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Número de consejeros electorales que fueron amenazados, secuestrados o que perdieron la vida desde que inició el proceso electoral hasta el día de la jornada electoral.</w:t>
      </w:r>
    </w:p>
    <w:p w:rsidR="00000000" w:rsidDel="00000000" w:rsidP="00000000" w:rsidRDefault="00000000" w:rsidRPr="00000000" w14:paraId="0000007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necesario hacer referencia que el Sujeto Obligado al momento de emitir respuesta hizo referencia a una solicitud diversa a la que da origen al presente medio de impugnación.</w:t>
      </w:r>
      <w:r w:rsidDel="00000000" w:rsidR="00000000" w:rsidRPr="00000000">
        <w:rPr>
          <w:rtl w:val="0"/>
        </w:rPr>
      </w:r>
    </w:p>
    <w:p w:rsidR="00000000" w:rsidDel="00000000" w:rsidP="00000000" w:rsidRDefault="00000000" w:rsidRPr="00000000" w14:paraId="0000007F">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estar inconforme con la respuesta, el hoy recurrente interpuso el presente medio de impugnación manifestando como acto impugnado y motivos de inconformidad sustancialmente que la respuesta del Sujeto Obligado no corresponde con lo que solicitó.</w:t>
      </w:r>
    </w:p>
    <w:p w:rsidR="00000000" w:rsidDel="00000000" w:rsidP="00000000" w:rsidRDefault="00000000" w:rsidRPr="00000000" w14:paraId="0000008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hacer notar que el Sujeto Obligado al momento de rendir informe justificado refirió entre otras cosas que por un error involuntario se entregó información que corresponde a otra solicitud, sin embargo, remite la documentación que da respuesta a la solicitud </w:t>
      </w:r>
      <w:r w:rsidDel="00000000" w:rsidR="00000000" w:rsidRPr="00000000">
        <w:rPr>
          <w:rFonts w:ascii="Palatino Linotype" w:cs="Palatino Linotype" w:eastAsia="Palatino Linotype" w:hAnsi="Palatino Linotype"/>
          <w:b w:val="1"/>
          <w:rtl w:val="0"/>
        </w:rPr>
        <w:t xml:space="preserve">00540/INFOEM/IP/RR/2021</w:t>
      </w:r>
      <w:r w:rsidDel="00000000" w:rsidR="00000000" w:rsidRPr="00000000">
        <w:rPr>
          <w:rFonts w:ascii="Palatino Linotype" w:cs="Palatino Linotype" w:eastAsia="Palatino Linotype" w:hAnsi="Palatino Linotype"/>
          <w:rtl w:val="0"/>
        </w:rPr>
        <w:t xml:space="preserve">, para lo cual y mayor entendimiento se reproduce en el siguiente cuadro de análisis:</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8"/>
        <w:gridCol w:w="6055"/>
        <w:gridCol w:w="1125"/>
        <w:tblGridChange w:id="0">
          <w:tblGrid>
            <w:gridCol w:w="1648"/>
            <w:gridCol w:w="6055"/>
            <w:gridCol w:w="1125"/>
          </w:tblGrid>
        </w:tblGridChange>
      </w:tblGrid>
      <w:tr>
        <w:trPr>
          <w:cantSplit w:val="0"/>
          <w:tblHeader w:val="0"/>
        </w:trPr>
        <w:tc>
          <w:tcPr/>
          <w:p w:rsidR="00000000" w:rsidDel="00000000" w:rsidP="00000000" w:rsidRDefault="00000000" w:rsidRPr="00000000" w14:paraId="00000081">
            <w:pPr>
              <w:spacing w:line="360" w:lineRule="auto"/>
              <w:jc w:val="both"/>
              <w:rPr>
                <w:rFonts w:ascii="Palatino Linotype" w:cs="Palatino Linotype" w:eastAsia="Palatino Linotype" w:hAnsi="Palatino Linotype"/>
                <w:b w:val="1"/>
                <w:sz w:val="20"/>
                <w:szCs w:val="20"/>
              </w:rPr>
            </w:pPr>
            <w:bookmarkStart w:colFirst="0" w:colLast="0" w:name="_heading=h.2et92p0" w:id="4"/>
            <w:bookmarkEnd w:id="4"/>
            <w:r w:rsidDel="00000000" w:rsidR="00000000" w:rsidRPr="00000000">
              <w:rPr>
                <w:rFonts w:ascii="Palatino Linotype" w:cs="Palatino Linotype" w:eastAsia="Palatino Linotype" w:hAnsi="Palatino Linotype"/>
                <w:b w:val="1"/>
                <w:sz w:val="20"/>
                <w:szCs w:val="20"/>
                <w:rtl w:val="0"/>
              </w:rPr>
              <w:t xml:space="preserve">Información solicitada</w:t>
            </w:r>
          </w:p>
        </w:tc>
        <w:tc>
          <w:tcPr/>
          <w:p w:rsidR="00000000" w:rsidDel="00000000" w:rsidP="00000000" w:rsidRDefault="00000000" w:rsidRPr="00000000" w14:paraId="00000082">
            <w:pPr>
              <w:spacing w:line="36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Información proporcionada</w:t>
            </w:r>
          </w:p>
        </w:tc>
        <w:tc>
          <w:tcPr/>
          <w:p w:rsidR="00000000" w:rsidDel="00000000" w:rsidP="00000000" w:rsidRDefault="00000000" w:rsidRPr="00000000" w14:paraId="00000083">
            <w:pPr>
              <w:spacing w:line="36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Cumple </w:t>
            </w:r>
          </w:p>
        </w:tc>
      </w:tr>
      <w:tr>
        <w:trPr>
          <w:cantSplit w:val="0"/>
          <w:tblHeader w:val="0"/>
        </w:trPr>
        <w:tc>
          <w:tcPr/>
          <w:p w:rsidR="00000000" w:rsidDel="00000000" w:rsidP="00000000" w:rsidRDefault="00000000" w:rsidRPr="00000000" w14:paraId="00000084">
            <w:pPr>
              <w:spacing w:line="36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1.</w:t>
            </w:r>
            <w:r w:rsidDel="00000000" w:rsidR="00000000" w:rsidRPr="00000000">
              <w:rPr>
                <w:rFonts w:ascii="Palatino Linotype" w:cs="Palatino Linotype" w:eastAsia="Palatino Linotype" w:hAnsi="Palatino Linotype"/>
                <w:i w:val="1"/>
                <w:sz w:val="20"/>
                <w:szCs w:val="20"/>
                <w:rtl w:val="0"/>
              </w:rPr>
              <w:t xml:space="preserve"> Número de casillas que no fueron instaladas en la jornada electoral del 06 de junio de 2021.</w:t>
            </w:r>
          </w:p>
        </w:tc>
        <w:tc>
          <w:tcPr/>
          <w:p w:rsidR="00000000" w:rsidDel="00000000" w:rsidP="00000000" w:rsidRDefault="00000000" w:rsidRPr="00000000" w14:paraId="00000085">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Director de Organización manifestó que de conformidad con las atribuciones y funciones que tiene asignada, y conforme a lo establecido en el Convenio General de Coordinación y Colaboración entre el Instituto Nacional Electoral (INE) y el Instituto Electoral del Estado de México (IEEM) para el proceso Electoral concurrente 2020-2021 en el Estado de México, el IEEM tuvo acceso en modo de consulta, de conformidad con el artículo 316, numeral 1, del Reglamento de Elecciones, al Sistema de Información sobre el Desarrollo de la Jornada Electoral (SIJE) del INE implementado en la jornada electoral del 06 de junio de 2021 se instalaron la totalidad de 20,034 casillas previamente aprobadas por los Consejeros Distritales Electorales del INE en el Estado de México, remitiendo 1 archivo en formato Excel y 1 en formato .CSV que contienen la información del reporte de instalación obtenido de dicho sistema, del análisis realizado a dichos archivos se aprecia que consta la información relacionada con la instalación de casillas, en el que se aprecia información  como ID DE ESTADO, NOMBRE DEL ESTADO, DISTRITO LOCAL, ID MUNICIPIO, NOMBRE DE MUNICIPIO, SECCIÓN, TIPO DE CASILLA, ID DE CASILLA, ESTATUS, FECHA Y HORA DE INSTALACIÓN.</w:t>
            </w:r>
          </w:p>
        </w:tc>
        <w:tc>
          <w:tcPr/>
          <w:p w:rsidR="00000000" w:rsidDel="00000000" w:rsidP="00000000" w:rsidRDefault="00000000" w:rsidRPr="00000000" w14:paraId="00000086">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w:t>
            </w:r>
          </w:p>
        </w:tc>
      </w:tr>
      <w:tr>
        <w:trPr>
          <w:cantSplit w:val="0"/>
          <w:tblHeader w:val="0"/>
        </w:trPr>
        <w:tc>
          <w:tcPr/>
          <w:p w:rsidR="00000000" w:rsidDel="00000000" w:rsidP="00000000" w:rsidRDefault="00000000" w:rsidRPr="00000000" w14:paraId="00000087">
            <w:pPr>
              <w:spacing w:line="36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2.</w:t>
            </w:r>
            <w:r w:rsidDel="00000000" w:rsidR="00000000" w:rsidRPr="00000000">
              <w:rPr>
                <w:rFonts w:ascii="Palatino Linotype" w:cs="Palatino Linotype" w:eastAsia="Palatino Linotype" w:hAnsi="Palatino Linotype"/>
                <w:i w:val="1"/>
                <w:sz w:val="20"/>
                <w:szCs w:val="20"/>
                <w:rtl w:val="0"/>
              </w:rPr>
              <w:t xml:space="preserve"> Número de funcionarios electorales que recibieron algún tipo de amenaza, secuestro o perdieron la vida desde el inicio del proceso electoral hasta el día de la jornada del 6 de junio de 2021</w:t>
            </w:r>
          </w:p>
        </w:tc>
        <w:tc>
          <w:tcPr/>
          <w:p w:rsidR="00000000" w:rsidDel="00000000" w:rsidP="00000000" w:rsidRDefault="00000000" w:rsidRPr="00000000" w14:paraId="00000088">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Dirección de Organización y la Dirección de Partidos Políticos, refieren que no es el organismo responsable para conocer los datos relacionados con el punto de la solicitud en comento, toda vez que de conformidad con lo establecido en los artículos 21, primer párrafo y 102, apartado A, primer y tercer párrafo de la Constitución Federal y de los artículos 2, 5 primer párrafo y 40, fracción I de la Ley de la FGR; la persecución de los delitos de orden federal corresponde al Ministerio Público Federal.</w:t>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Asimismo, dentro del Estado de México, la persecución de los delitos establecidos en el Código Penal del Estado, corresponde al Ministerio Público adscrito a la FGJEDOMEX; de acuerdo con lo dispuesto en los artículos 81, primer párrafo y 83, primer párrafo de la Constitución Local y artículos 1, primer párrafo; 10 fracción I y 33, primer párrafo de la Ley de la Fiscalía del Estado.</w:t>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Por lo que al no contar con las atribuciones para dar respuesta parcial a la presente solicitud de información pública, la cual se encuentra vinculada con información que puede encontrarse en poder de la FGR, o bien de la FGJEDOMEX, se invita al solicitante de la información a que realice su solicitud de información ante dichos Sujetos Obligados nacional y estatal, a través de la Plataforma Nacional de Transparencia en la dirección electrónica https://www.plataformadetransparencia.org.mx/web/guest/inicio, o bien, para el caso de la FGJEDOMEX, mediante el SAIMEX en la liga electrónica </w:t>
            </w:r>
            <w:hyperlink r:id="rId29">
              <w:r w:rsidDel="00000000" w:rsidR="00000000" w:rsidRPr="00000000">
                <w:rPr>
                  <w:rFonts w:ascii="Palatino Linotype" w:cs="Palatino Linotype" w:eastAsia="Palatino Linotype" w:hAnsi="Palatino Linotype"/>
                  <w:color w:val="000000"/>
                  <w:sz w:val="20"/>
                  <w:szCs w:val="20"/>
                  <w:u w:val="single"/>
                  <w:rtl w:val="0"/>
                </w:rPr>
                <w:t xml:space="preserve">https://www.saimex.org.mx/saimex/ciudadano/login.page</w:t>
              </w:r>
            </w:hyperlink>
            <w:r w:rsidDel="00000000" w:rsidR="00000000" w:rsidRPr="00000000">
              <w:rPr>
                <w:rFonts w:ascii="Palatino Linotype" w:cs="Palatino Linotype" w:eastAsia="Palatino Linotype" w:hAnsi="Palatino Linotype"/>
                <w:sz w:val="20"/>
                <w:szCs w:val="20"/>
                <w:rtl w:val="0"/>
              </w:rPr>
              <w:t xml:space="preserve">. </w:t>
            </w:r>
          </w:p>
          <w:p w:rsidR="00000000" w:rsidDel="00000000" w:rsidP="00000000" w:rsidRDefault="00000000" w:rsidRPr="00000000" w14:paraId="0000008B">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Cabe mencionar que el Sujeto Obligado adjunta el Acuerdo número IEEM/CT/170/2021 de Incompetencia parcial para otorgar respuesta a la solicitud de acceso a la información pública 00540/IEEM/IP/2021.</w:t>
            </w:r>
          </w:p>
        </w:tc>
        <w:tc>
          <w:tcPr/>
          <w:p w:rsidR="00000000" w:rsidDel="00000000" w:rsidP="00000000" w:rsidRDefault="00000000" w:rsidRPr="00000000" w14:paraId="0000008C">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w:t>
            </w:r>
          </w:p>
        </w:tc>
      </w:tr>
      <w:tr>
        <w:trPr>
          <w:cantSplit w:val="0"/>
          <w:tblHeader w:val="0"/>
        </w:trPr>
        <w:tc>
          <w:tcPr/>
          <w:p w:rsidR="00000000" w:rsidDel="00000000" w:rsidP="00000000" w:rsidRDefault="00000000" w:rsidRPr="00000000" w14:paraId="0000008D">
            <w:pPr>
              <w:spacing w:line="36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3.</w:t>
            </w:r>
            <w:r w:rsidDel="00000000" w:rsidR="00000000" w:rsidRPr="00000000">
              <w:rPr>
                <w:rFonts w:ascii="Palatino Linotype" w:cs="Palatino Linotype" w:eastAsia="Palatino Linotype" w:hAnsi="Palatino Linotype"/>
                <w:i w:val="1"/>
                <w:sz w:val="20"/>
                <w:szCs w:val="20"/>
                <w:rtl w:val="0"/>
              </w:rPr>
              <w:t xml:space="preserve"> Número de funcionarios de casilla que tuvieron que ser sustituidos el día de la jornada electoral, indicando la sección y tipo de casilla.</w:t>
            </w:r>
          </w:p>
        </w:tc>
        <w:tc>
          <w:tcPr/>
          <w:p w:rsidR="00000000" w:rsidDel="00000000" w:rsidP="00000000" w:rsidRDefault="00000000" w:rsidRPr="00000000" w14:paraId="0000008E">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Director de Organización manifestó de conformidad a sus atribuciones y funciones no genera, ni posee información al respecto.</w:t>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Cabe mencionar que en alcance al informe justificado el Sujeto Obligado adjuntó el archivo electrónico denominado “</w:t>
            </w:r>
            <w:hyperlink r:id="rId30">
              <w:r w:rsidDel="00000000" w:rsidR="00000000" w:rsidRPr="00000000">
                <w:rPr>
                  <w:rFonts w:ascii="Palatino Linotype" w:cs="Palatino Linotype" w:eastAsia="Palatino Linotype" w:hAnsi="Palatino Linotype"/>
                  <w:b w:val="1"/>
                  <w:color w:val="000000"/>
                  <w:sz w:val="20"/>
                  <w:szCs w:val="20"/>
                  <w:u w:val="single"/>
                  <w:rtl w:val="0"/>
                </w:rPr>
                <w:t xml:space="preserve">SIJE_21_EM5_IntegraciónCasilla_MÉXICO_.xlsx</w:t>
              </w:r>
            </w:hyperlink>
            <w:r w:rsidDel="00000000" w:rsidR="00000000" w:rsidRPr="00000000">
              <w:rPr>
                <w:rFonts w:ascii="Palatino Linotype" w:cs="Palatino Linotype" w:eastAsia="Palatino Linotype" w:hAnsi="Palatino Linotype"/>
                <w:sz w:val="20"/>
                <w:szCs w:val="20"/>
                <w:rtl w:val="0"/>
              </w:rPr>
              <w:t xml:space="preserve">”el cual contiene información relacionada con la integración de las casillas instaladas en la jornada electoral de 06 de junio de 2021, de las cuales se aprecia información relativa al Número de Municipio, Nombre del Municipio, Casillas Instaladas (</w:t>
            </w:r>
            <w:r w:rsidDel="00000000" w:rsidR="00000000" w:rsidRPr="00000000">
              <w:rPr>
                <w:rFonts w:ascii="Palatino Linotype" w:cs="Palatino Linotype" w:eastAsia="Palatino Linotype" w:hAnsi="Palatino Linotype"/>
                <w:i w:val="1"/>
                <w:sz w:val="20"/>
                <w:szCs w:val="20"/>
                <w:rtl w:val="0"/>
              </w:rPr>
              <w:t xml:space="preserve">Casillas con primer reporte concluido, Casillas con segundo reporte</w:t>
            </w:r>
            <w:r w:rsidDel="00000000" w:rsidR="00000000" w:rsidRPr="00000000">
              <w:rPr>
                <w:rFonts w:ascii="Palatino Linotype" w:cs="Palatino Linotype" w:eastAsia="Palatino Linotype" w:hAnsi="Palatino Linotype"/>
                <w:sz w:val="20"/>
                <w:szCs w:val="20"/>
                <w:rtl w:val="0"/>
              </w:rPr>
              <w:t xml:space="preserve">), Integración de las mesas directivas de casillas, según funcionario y tipo de nombramiento “Presidente, 1er. Secretario, 2do. Secretario, 1er Escrutador, 2do Escrutador, 2er Escrutador” (</w:t>
            </w:r>
            <w:r w:rsidDel="00000000" w:rsidR="00000000" w:rsidRPr="00000000">
              <w:rPr>
                <w:rFonts w:ascii="Palatino Linotype" w:cs="Palatino Linotype" w:eastAsia="Palatino Linotype" w:hAnsi="Palatino Linotype"/>
                <w:b w:val="1"/>
                <w:i w:val="1"/>
                <w:sz w:val="20"/>
                <w:szCs w:val="20"/>
                <w:rtl w:val="0"/>
              </w:rPr>
              <w:t xml:space="preserve">P=</w:t>
            </w:r>
            <w:r w:rsidDel="00000000" w:rsidR="00000000" w:rsidRPr="00000000">
              <w:rPr>
                <w:rFonts w:ascii="Palatino Linotype" w:cs="Palatino Linotype" w:eastAsia="Palatino Linotype" w:hAnsi="Palatino Linotype"/>
                <w:i w:val="1"/>
                <w:sz w:val="20"/>
                <w:szCs w:val="20"/>
                <w:rtl w:val="0"/>
              </w:rPr>
              <w:t xml:space="preserve"> Propietario; </w:t>
            </w:r>
            <w:r w:rsidDel="00000000" w:rsidR="00000000" w:rsidRPr="00000000">
              <w:rPr>
                <w:rFonts w:ascii="Palatino Linotype" w:cs="Palatino Linotype" w:eastAsia="Palatino Linotype" w:hAnsi="Palatino Linotype"/>
                <w:b w:val="1"/>
                <w:i w:val="1"/>
                <w:sz w:val="20"/>
                <w:szCs w:val="20"/>
                <w:rtl w:val="0"/>
              </w:rPr>
              <w:t xml:space="preserve">SG=</w:t>
            </w:r>
            <w:r w:rsidDel="00000000" w:rsidR="00000000" w:rsidRPr="00000000">
              <w:rPr>
                <w:rFonts w:ascii="Palatino Linotype" w:cs="Palatino Linotype" w:eastAsia="Palatino Linotype" w:hAnsi="Palatino Linotype"/>
                <w:i w:val="1"/>
                <w:sz w:val="20"/>
                <w:szCs w:val="20"/>
                <w:rtl w:val="0"/>
              </w:rPr>
              <w:t xml:space="preserve"> Suplente General; </w:t>
            </w:r>
            <w:r w:rsidDel="00000000" w:rsidR="00000000" w:rsidRPr="00000000">
              <w:rPr>
                <w:rFonts w:ascii="Palatino Linotype" w:cs="Palatino Linotype" w:eastAsia="Palatino Linotype" w:hAnsi="Palatino Linotype"/>
                <w:b w:val="1"/>
                <w:i w:val="1"/>
                <w:sz w:val="20"/>
                <w:szCs w:val="20"/>
                <w:rtl w:val="0"/>
              </w:rPr>
              <w:t xml:space="preserve">F=</w:t>
            </w:r>
            <w:r w:rsidDel="00000000" w:rsidR="00000000" w:rsidRPr="00000000">
              <w:rPr>
                <w:rFonts w:ascii="Palatino Linotype" w:cs="Palatino Linotype" w:eastAsia="Palatino Linotype" w:hAnsi="Palatino Linotype"/>
                <w:i w:val="1"/>
                <w:sz w:val="20"/>
                <w:szCs w:val="20"/>
                <w:rtl w:val="0"/>
              </w:rPr>
              <w:t xml:space="preserve"> Funcionario nombrado de entre los electores formados en la fila de la casilla instalada; </w:t>
            </w:r>
            <w:r w:rsidDel="00000000" w:rsidR="00000000" w:rsidRPr="00000000">
              <w:rPr>
                <w:rFonts w:ascii="Palatino Linotype" w:cs="Palatino Linotype" w:eastAsia="Palatino Linotype" w:hAnsi="Palatino Linotype"/>
                <w:b w:val="1"/>
                <w:i w:val="1"/>
                <w:sz w:val="20"/>
                <w:szCs w:val="20"/>
                <w:rtl w:val="0"/>
              </w:rPr>
              <w:t xml:space="preserve">SF=</w:t>
            </w:r>
            <w:r w:rsidDel="00000000" w:rsidR="00000000" w:rsidRPr="00000000">
              <w:rPr>
                <w:rFonts w:ascii="Palatino Linotype" w:cs="Palatino Linotype" w:eastAsia="Palatino Linotype" w:hAnsi="Palatino Linotype"/>
                <w:i w:val="1"/>
                <w:sz w:val="20"/>
                <w:szCs w:val="20"/>
                <w:rtl w:val="0"/>
              </w:rPr>
              <w:t xml:space="preserve"> Sin funcionario.</w:t>
            </w:r>
            <w:r w:rsidDel="00000000" w:rsidR="00000000" w:rsidRPr="00000000">
              <w:rPr>
                <w:rFonts w:ascii="Palatino Linotype" w:cs="Palatino Linotype" w:eastAsia="Palatino Linotype" w:hAnsi="Palatino Linotype"/>
                <w:sz w:val="20"/>
                <w:szCs w:val="20"/>
                <w:rtl w:val="0"/>
              </w:rPr>
              <w:t xml:space="preserve">), es decir, se advierte la cantidad de casillas instaladas por Municipio y como se realizó la integración de las mesas directivas de casilla, es decir, de dicho documento se puede advertir si se realizaron sustituciones de funcionarios de casilla.</w:t>
            </w:r>
          </w:p>
        </w:tc>
        <w:tc>
          <w:tcPr/>
          <w:p w:rsidR="00000000" w:rsidDel="00000000" w:rsidP="00000000" w:rsidRDefault="00000000" w:rsidRPr="00000000" w14:paraId="00000090">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w:t>
            </w:r>
          </w:p>
        </w:tc>
      </w:tr>
      <w:tr>
        <w:trPr>
          <w:cantSplit w:val="0"/>
          <w:tblHeader w:val="0"/>
        </w:trPr>
        <w:tc>
          <w:tcPr/>
          <w:p w:rsidR="00000000" w:rsidDel="00000000" w:rsidP="00000000" w:rsidRDefault="00000000" w:rsidRPr="00000000" w14:paraId="00000091">
            <w:pPr>
              <w:spacing w:line="36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4.</w:t>
            </w:r>
            <w:r w:rsidDel="00000000" w:rsidR="00000000" w:rsidRPr="00000000">
              <w:rPr>
                <w:rFonts w:ascii="Palatino Linotype" w:cs="Palatino Linotype" w:eastAsia="Palatino Linotype" w:hAnsi="Palatino Linotype"/>
                <w:i w:val="1"/>
                <w:sz w:val="20"/>
                <w:szCs w:val="20"/>
                <w:rtl w:val="0"/>
              </w:rPr>
              <w:t xml:space="preserve"> Número de candidatos a los diferentes cargos de elección popular que renunciaron previo a la jornada electoral.</w:t>
            </w:r>
          </w:p>
        </w:tc>
        <w:tc>
          <w:tcPr/>
          <w:p w:rsidR="00000000" w:rsidDel="00000000" w:rsidP="00000000" w:rsidRDefault="00000000" w:rsidRPr="00000000" w14:paraId="00000092">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Director de Partidos Políticos refiere que con base en lo establecido en los artículos 202 del Código Electoral del Estado de México, 38 del Reglamento Interno y numeral 16 del Manual de Organización, en relación a: </w:t>
            </w:r>
            <w:r w:rsidDel="00000000" w:rsidR="00000000" w:rsidRPr="00000000">
              <w:rPr>
                <w:rFonts w:ascii="Palatino Linotype" w:cs="Palatino Linotype" w:eastAsia="Palatino Linotype" w:hAnsi="Palatino Linotype"/>
                <w:i w:val="1"/>
                <w:sz w:val="20"/>
                <w:szCs w:val="20"/>
                <w:rtl w:val="0"/>
              </w:rPr>
              <w:t xml:space="preserve">Número de candidatos a los diferentes cargos de elección popular que renunciaron previo a la jornada electoral, </w:t>
            </w:r>
            <w:r w:rsidDel="00000000" w:rsidR="00000000" w:rsidRPr="00000000">
              <w:rPr>
                <w:rFonts w:ascii="Palatino Linotype" w:cs="Palatino Linotype" w:eastAsia="Palatino Linotype" w:hAnsi="Palatino Linotype"/>
                <w:sz w:val="20"/>
                <w:szCs w:val="20"/>
                <w:rtl w:val="0"/>
              </w:rPr>
              <w:t xml:space="preserve">recibió 752 renuncias a candidaturas a los distintos cargos de elección popular previo a la jornada electoral.</w:t>
            </w:r>
          </w:p>
        </w:tc>
        <w:tc>
          <w:tcPr/>
          <w:p w:rsidR="00000000" w:rsidDel="00000000" w:rsidP="00000000" w:rsidRDefault="00000000" w:rsidRPr="00000000" w14:paraId="00000093">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w:t>
            </w:r>
          </w:p>
          <w:p w:rsidR="00000000" w:rsidDel="00000000" w:rsidP="00000000" w:rsidRDefault="00000000" w:rsidRPr="00000000" w14:paraId="00000094">
            <w:pPr>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5">
            <w:pPr>
              <w:spacing w:line="36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5.</w:t>
            </w:r>
            <w:r w:rsidDel="00000000" w:rsidR="00000000" w:rsidRPr="00000000">
              <w:rPr>
                <w:rFonts w:ascii="Palatino Linotype" w:cs="Palatino Linotype" w:eastAsia="Palatino Linotype" w:hAnsi="Palatino Linotype"/>
                <w:i w:val="1"/>
                <w:sz w:val="20"/>
                <w:szCs w:val="20"/>
                <w:rtl w:val="0"/>
              </w:rPr>
              <w:t xml:space="preserve"> Número de candidatos que solicitaron seguridad para realizar sus campañas electorales</w:t>
            </w:r>
          </w:p>
        </w:tc>
        <w:tc>
          <w:tcPr/>
          <w:p w:rsidR="00000000" w:rsidDel="00000000" w:rsidP="00000000" w:rsidRDefault="00000000" w:rsidRPr="00000000" w14:paraId="00000096">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Director de Organización manifestó que de conformidad a sus atribuciones y funciones no genera, ni posee información al respecto.</w:t>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8">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w:t>
            </w:r>
          </w:p>
        </w:tc>
      </w:tr>
      <w:tr>
        <w:trPr>
          <w:cantSplit w:val="0"/>
          <w:tblHeader w:val="0"/>
        </w:trPr>
        <w:tc>
          <w:tcPr/>
          <w:p w:rsidR="00000000" w:rsidDel="00000000" w:rsidP="00000000" w:rsidRDefault="00000000" w:rsidRPr="00000000" w14:paraId="00000099">
            <w:pPr>
              <w:spacing w:line="36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6.</w:t>
            </w:r>
            <w:r w:rsidDel="00000000" w:rsidR="00000000" w:rsidRPr="00000000">
              <w:rPr>
                <w:rFonts w:ascii="Palatino Linotype" w:cs="Palatino Linotype" w:eastAsia="Palatino Linotype" w:hAnsi="Palatino Linotype"/>
                <w:i w:val="1"/>
                <w:sz w:val="20"/>
                <w:szCs w:val="20"/>
                <w:rtl w:val="0"/>
              </w:rPr>
              <w:t xml:space="preserve"> Número de consejeros electorales que fueron amenazados, secuestrados o que perdieron la vida desde que inició el proceso electoral hasta el día de la jornada electoral</w:t>
            </w:r>
          </w:p>
        </w:tc>
        <w:tc>
          <w:tcPr/>
          <w:p w:rsidR="00000000" w:rsidDel="00000000" w:rsidP="00000000" w:rsidRDefault="00000000" w:rsidRPr="00000000" w14:paraId="0000009A">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Dirección de Organización y la Dirección de Partidos Políticos, refieren que no es el organismo responsable para conocer los datos relacionados con el punto de la solicitud en comento, toda vez que de conformidad con lo establecido en los artículos 21, primer párrafo y 102, apartado A, primer y tercer párrafo de la Constitución Federal y de los artículos 2, 5 primer párrafo y 40, fracción I de la Ley de la FGR; la persecución de los delitos de orden federal corresponde al Ministerio Público Federal.</w:t>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Asimismo, dentro del Estado de México, la persecución de los delitos establecidos en el Código Penal del Estado, corresponde al Ministerio Público adscrito a la FGJEDOMEX; de acuerdo con lo dispuesto en los artículos 81, primer párrafo y 83, primer párrafo de la Constitución Local y artículos 1, primer párrafo; 10 fracción I y 33, primer párrafo de la Ley de la Fiscalía del Estado.</w:t>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Por lo que al no contar con las atribuciones para dar respuesta parcial a la presente solicitud de información pública, la cual se encuentra vinculada con información que puede encontrarse en poder de la FGR, o bien de la FGJEDOMEX, se invita al solicitante de la información a que realice su solicitud de información ante dichos Sujetos Obligados nacional y estatal, a través de la Plataforma Nacional de Transparencia en la dirección electrónica https://www.plataformadetransparencia.org.mx/web/guest/inicio, o bien, para el caso de la FGJEDOMEX, mediante el SAIMEX en la liga electrónica https://www.saimex.org.mx/saimex/ciudadano/login.page.</w:t>
            </w:r>
          </w:p>
          <w:p w:rsidR="00000000" w:rsidDel="00000000" w:rsidP="00000000" w:rsidRDefault="00000000" w:rsidRPr="00000000" w14:paraId="0000009D">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Cabe mencionar que el Sujeto Obligado adjunta el Acuerdo número IEEM/CT/170/2021 de Incompetencia parcial para otorgar respuesta a la solicitud de acceso a la información pública 00540/IEEM/IP/2021.</w:t>
            </w:r>
          </w:p>
          <w:p w:rsidR="00000000" w:rsidDel="00000000" w:rsidP="00000000" w:rsidRDefault="00000000" w:rsidRPr="00000000" w14:paraId="0000009E">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Del mismo modo es pertinente referir que el Director de Organización manifestó de conformidad a sus atribuciones cuenta con información referente a las sustituciones en las Consejería Electorales, de lo que se desprende que la causa de sustitución por causa de fallecimiento fue de 2 personas Consejeras Electorales Distritales y 2 personas consejeras Electorales Municipales.</w:t>
            </w:r>
          </w:p>
        </w:tc>
        <w:tc>
          <w:tcPr/>
          <w:p w:rsidR="00000000" w:rsidDel="00000000" w:rsidP="00000000" w:rsidRDefault="00000000" w:rsidRPr="00000000" w14:paraId="0000009F">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w:t>
            </w:r>
          </w:p>
        </w:tc>
      </w:tr>
    </w:tbl>
    <w:p w:rsidR="00000000" w:rsidDel="00000000" w:rsidP="00000000" w:rsidRDefault="00000000" w:rsidRPr="00000000" w14:paraId="000000A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del análisis realizado a la información proporcionada por el Sujeto Obligado al momento de rendir su informe justificado, se advierte con claridad que la solicitud del impetrante ha sido satisfecha, lo anterior es así, en virtud de que si bien es cierto el recurrente al momento de interponer el medio de impugnación que se resuelve manifestó que le fue proporcionada información que no guarda relación con lo que solicita, cierto es que al rendir informe justificado, fue subsanada tal circunstancia, como a continuación se explica.</w:t>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Por lo que se refiere a los requerimientos identificados en el cuadro de análisis con los numerales 1 y 3, consistente en el número de casillas que no fueron instaladas en la jornada electoral del 06 de junio de 2021 y número de funcionarios de casilla que tuvieron que ser sustituidos el día de la jornada electoral, indicando la sección y tipo de casilla</w:t>
      </w:r>
      <w:r w:rsidDel="00000000" w:rsidR="00000000" w:rsidRPr="00000000">
        <w:rPr>
          <w:rFonts w:ascii="Palatino Linotype" w:cs="Palatino Linotype" w:eastAsia="Palatino Linotype" w:hAnsi="Palatino Linotype"/>
          <w:rtl w:val="0"/>
        </w:rPr>
        <w:t xml:space="preserve">, debe mencionarse que los mismos están relacionados entre sí, motivo por el cual se analizaran de manera conjunta.</w:t>
      </w:r>
    </w:p>
    <w:p w:rsidR="00000000" w:rsidDel="00000000" w:rsidP="00000000" w:rsidRDefault="00000000" w:rsidRPr="00000000" w14:paraId="000000A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se considera pertinente mencionar que con la finalidad de ordenar, armonizar y sistematizar la normatividad aplicable a los Procesos Electorales Federales, Locales y Concurrentes, tanto ordinarios como extraordinarios, el Consejo General del Instituto Nacional Electoral (INE) aprobó, mediante Acuerdo INE/CG661/2016 de fecha 7 de septiembre de 2016, el Reglamento de Elecciones el cual en su artículo 316 párrafo 1 señala que el Instituto diseñará, instalará y operará el Sistema de Información sobre el desarrollo de la Jornada Electoral (SIJE) con el objetivo de informar de manera permanente y oportuna al Consejo General, a los Consejos Locales y Distritales del Instituto Nacional Electoral y, en caso de elecciones concurrentes, a los Organismos Públicos Locales que correspondan, sobre el desarrollo de la Jornada Electoral.</w:t>
      </w:r>
    </w:p>
    <w:p w:rsidR="00000000" w:rsidDel="00000000" w:rsidP="00000000" w:rsidRDefault="00000000" w:rsidRPr="00000000" w14:paraId="000000A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Adicionalmente, el artículo 320, párrafo 1 del mismo ordenamiento, establece que, en elecciones locales, concurrentes o no, el Instituto implementará y operará el SIJE. Con este fin y en cumplimiento a lo previsto por el artículo 318 párrafo 1 del Reglamento, la Dirección Ejecutiva de Organización Electoral elaboró el Programa de Operación del SIJE 2021, mismo que fue presentado y aprobado mediante el Acuerdo INE/CCOE002/2020 por la Comisión de Capacitación y Organización Electoral, el 23 de septiembre de 2020.</w:t>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el fin de apoyar las actividades correspondientes en la operación del SIJE 2021 que realizará el personal de las Juntas Ejecutivas Locales y Distritales, y atendiendo la necesidad de contar con personal capacitado para la ejecución de actividades específicas de cada uno de ellos el día de la jornada electoral, se elaboró el Manual de Operación SIJE 2021.</w:t>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debe mencionarse que el Manual de Operación en análisis, refiere que el SIJE es un proceso de recopilación, transmisión, captura y disposición de información que se implementa en las juntas distritales ejecutivas del Instituto, bajo la supervisión de las juntas locales ejecutivas, con el fin de dar seguimiento, a través de una herramienta informática, a los aspectos más importantes que se presentan el día de la jornada electoral en las casillas electorales</w:t>
      </w:r>
      <w:r w:rsidDel="00000000" w:rsidR="00000000" w:rsidRPr="00000000">
        <w:rPr>
          <w:rFonts w:ascii="Palatino Linotype" w:cs="Palatino Linotype" w:eastAsia="Palatino Linotype" w:hAnsi="Palatino Linotype"/>
          <w:b w:val="1"/>
          <w:vertAlign w:val="superscript"/>
        </w:rPr>
        <w:footnoteReference w:customMarkFollows="0" w:id="0"/>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referir que el Manual en análisis, establece que para el Proceso Electoral 2020-2021, el SIJE contará con tres cambios significativos que ayudarán a satisfacer nuevas demandas de información con celeridad y eficacia, proveyendo de mayor certidumbre al desarrollo de la jornada electoral:</w:t>
      </w:r>
    </w:p>
    <w:p w:rsidR="00000000" w:rsidDel="00000000" w:rsidP="00000000" w:rsidRDefault="00000000" w:rsidRPr="00000000" w14:paraId="000000A7">
      <w:pPr>
        <w:spacing w:after="240" w:before="240" w:line="360" w:lineRule="auto"/>
        <w:jc w:val="center"/>
        <w:rPr>
          <w:rFonts w:ascii="Palatino Linotype" w:cs="Palatino Linotype" w:eastAsia="Palatino Linotype" w:hAnsi="Palatino Linotype"/>
        </w:rPr>
      </w:pPr>
      <w:r w:rsidDel="00000000" w:rsidR="00000000" w:rsidRPr="00000000">
        <w:rPr/>
        <w:drawing>
          <wp:inline distB="0" distT="0" distL="0" distR="0">
            <wp:extent cx="4095750" cy="1743075"/>
            <wp:effectExtent b="0" l="0" r="0" t="0"/>
            <wp:docPr id="38" name="image1.png"/>
            <a:graphic>
              <a:graphicData uri="http://schemas.openxmlformats.org/drawingml/2006/picture">
                <pic:pic>
                  <pic:nvPicPr>
                    <pic:cNvPr id="0" name="image1.png"/>
                    <pic:cNvPicPr preferRelativeResize="0"/>
                  </pic:nvPicPr>
                  <pic:blipFill>
                    <a:blip r:embed="rId31"/>
                    <a:srcRect b="30295" l="10863" r="58248" t="49789"/>
                    <a:stretch>
                      <a:fillRect/>
                    </a:stretch>
                  </pic:blipFill>
                  <pic:spPr>
                    <a:xfrm>
                      <a:off x="0" y="0"/>
                      <a:ext cx="4095750"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hacer notar que el objetivo del SIJE 2021 es informar de manera permanente y oportuna sobre el desarrollo de la Jornada Electoral del próximo 6 de junio de 2021 al Consejo General y a los Consejos Locales y Distritales del INE, así como a los OPL, en relación con los siguientes aspectos:</w:t>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714" w:right="0" w:hanging="357"/>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Avance en la hora de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instalación de casillas electorales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714" w:right="0" w:hanging="357"/>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Integración de las Mesas Directivas de Casilla Única.</w:t>
      </w:r>
    </w:p>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714" w:right="0" w:hanging="357"/>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Hora de inicio de la votación.</w:t>
      </w:r>
    </w:p>
    <w:p w:rsidR="00000000" w:rsidDel="00000000" w:rsidP="00000000" w:rsidRDefault="00000000" w:rsidRPr="00000000" w14:paraId="000000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714" w:right="0" w:hanging="357"/>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Presencia de representantes de partidos políticos y candidaturas independientes en las casillas, por número y tipo de nombramiento.</w:t>
      </w:r>
    </w:p>
    <w:p w:rsidR="00000000" w:rsidDel="00000000" w:rsidP="00000000" w:rsidRDefault="00000000" w:rsidRPr="00000000" w14:paraId="000000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714" w:right="0" w:hanging="357"/>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Número de observadoras/es electorales.</w:t>
      </w:r>
    </w:p>
    <w:p w:rsidR="00000000" w:rsidDel="00000000" w:rsidP="00000000" w:rsidRDefault="00000000" w:rsidRPr="00000000" w14:paraId="000000A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714" w:right="0" w:hanging="357"/>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Incidentes que, en su caso, se registren en las casillas electorales.</w:t>
      </w:r>
    </w:p>
    <w:p w:rsidR="00000000" w:rsidDel="00000000" w:rsidP="00000000" w:rsidRDefault="00000000" w:rsidRPr="00000000" w14:paraId="000000A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debe mencionarse que el proceso de recopilación, transmisión y captura de información del SIJE 2021 durante la jornada electoral, implica varios tipos de procedimientos que ocurren en momentos específicos y bajo determinadas circunstancias:</w:t>
      </w:r>
    </w:p>
    <w:p w:rsidR="00000000" w:rsidDel="00000000" w:rsidP="00000000" w:rsidRDefault="00000000" w:rsidRPr="00000000" w14:paraId="000000B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1.1 “PRIMER REPORTE. AVANCE EN LA INSTALACIÓN DE CASILLAS”. 1.1.1 Transmisión de la Hora de Instalación, vía App SIJE. En esta etapa se refiere que s partir de las 07:30 horas del 6 de junio de 2021, se iniciaría el recorrido por las casillas y recabar la información prevista en el módulo de instalación de casillas en la App SIJE, y será: </w:t>
      </w:r>
      <w:r w:rsidDel="00000000" w:rsidR="00000000" w:rsidRPr="00000000">
        <w:rPr>
          <w:rFonts w:ascii="Palatino Linotype" w:cs="Palatino Linotype" w:eastAsia="Palatino Linotype" w:hAnsi="Palatino Linotype"/>
          <w:b w:val="1"/>
          <w:rtl w:val="0"/>
        </w:rPr>
        <w:t xml:space="preserve">la Hora de instalación de la casilla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B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recopilación de la información respecto a la hora de instalación de las Mesas Directivas de Casilla Única (MDCU) es uno de los datos más importantes que debe reportar el SIJE, pues indica que han concurrido las y los funcionarios correspondientes, en dicho proceso electoral, se ha privilegió la oportunidad de contar con esta información lo más pronto posible (antes de las 10:00 horas).</w:t>
      </w:r>
    </w:p>
    <w:p w:rsidR="00000000" w:rsidDel="00000000" w:rsidP="00000000" w:rsidRDefault="00000000" w:rsidRPr="00000000" w14:paraId="000000B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resaltar que en dicho Manual se contienen las capturas de pantalla siguientes:</w:t>
      </w:r>
    </w:p>
    <w:p w:rsidR="00000000" w:rsidDel="00000000" w:rsidP="00000000" w:rsidRDefault="00000000" w:rsidRPr="00000000" w14:paraId="000000B3">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84892" cy="2908529"/>
            <wp:effectExtent b="0" l="0" r="0" t="0"/>
            <wp:docPr id="42" name="image12.png"/>
            <a:graphic>
              <a:graphicData uri="http://schemas.openxmlformats.org/drawingml/2006/picture">
                <pic:pic>
                  <pic:nvPicPr>
                    <pic:cNvPr id="0" name="image12.png"/>
                    <pic:cNvPicPr preferRelativeResize="0"/>
                  </pic:nvPicPr>
                  <pic:blipFill>
                    <a:blip r:embed="rId32"/>
                    <a:srcRect b="8043" l="9067" r="55080" t="19900"/>
                    <a:stretch>
                      <a:fillRect/>
                    </a:stretch>
                  </pic:blipFill>
                  <pic:spPr>
                    <a:xfrm>
                      <a:off x="0" y="0"/>
                      <a:ext cx="5584892" cy="2908529"/>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24304" cy="3669909"/>
            <wp:effectExtent b="0" l="0" r="0" t="0"/>
            <wp:docPr id="41" name="image8.png"/>
            <a:graphic>
              <a:graphicData uri="http://schemas.openxmlformats.org/drawingml/2006/picture">
                <pic:pic>
                  <pic:nvPicPr>
                    <pic:cNvPr id="0" name="image8.png"/>
                    <pic:cNvPicPr preferRelativeResize="0"/>
                  </pic:nvPicPr>
                  <pic:blipFill>
                    <a:blip r:embed="rId33"/>
                    <a:srcRect b="17119" l="10910" r="59334" t="17633"/>
                    <a:stretch>
                      <a:fillRect/>
                    </a:stretch>
                  </pic:blipFill>
                  <pic:spPr>
                    <a:xfrm>
                      <a:off x="0" y="0"/>
                      <a:ext cx="5624304" cy="3669909"/>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25807" cy="3706025"/>
            <wp:effectExtent b="0" l="0" r="0" t="0"/>
            <wp:docPr id="44" name="image10.png"/>
            <a:graphic>
              <a:graphicData uri="http://schemas.openxmlformats.org/drawingml/2006/picture">
                <pic:pic>
                  <pic:nvPicPr>
                    <pic:cNvPr id="0" name="image10.png"/>
                    <pic:cNvPicPr preferRelativeResize="0"/>
                  </pic:nvPicPr>
                  <pic:blipFill>
                    <a:blip r:embed="rId34"/>
                    <a:srcRect b="9816" l="12327" r="58627" t="31739"/>
                    <a:stretch>
                      <a:fillRect/>
                    </a:stretch>
                  </pic:blipFill>
                  <pic:spPr>
                    <a:xfrm>
                      <a:off x="0" y="0"/>
                      <a:ext cx="5625807" cy="370602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53701" cy="5502637"/>
            <wp:effectExtent b="0" l="0" r="0" t="0"/>
            <wp:docPr id="43" name="image3.png"/>
            <a:graphic>
              <a:graphicData uri="http://schemas.openxmlformats.org/drawingml/2006/picture">
                <pic:pic>
                  <pic:nvPicPr>
                    <pic:cNvPr id="0" name="image3.png"/>
                    <pic:cNvPicPr preferRelativeResize="0"/>
                  </pic:nvPicPr>
                  <pic:blipFill>
                    <a:blip r:embed="rId35"/>
                    <a:srcRect b="27952" l="12044" r="59191" t="27707"/>
                    <a:stretch>
                      <a:fillRect/>
                    </a:stretch>
                  </pic:blipFill>
                  <pic:spPr>
                    <a:xfrm>
                      <a:off x="0" y="0"/>
                      <a:ext cx="5653701" cy="5502637"/>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en la segunda parte del Primer Reporte vía App SIJE “1.1.2 Transmisión de la Segunda Parte del Primer Reporte, vía App SIJE”, se inicia después de que se haya reportado la hora de instalación de todas las casillas, se reportará la demás información que este apartado de la App SIJE (Instalación de casillas), solicita lo siguiente:</w:t>
      </w:r>
    </w:p>
    <w:p w:rsidR="00000000" w:rsidDel="00000000" w:rsidP="00000000" w:rsidRDefault="00000000" w:rsidRPr="00000000" w14:paraId="000000B8">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712993" cy="3204086"/>
            <wp:effectExtent b="0" l="0" r="0" t="0"/>
            <wp:docPr id="46" name="image2.png"/>
            <a:graphic>
              <a:graphicData uri="http://schemas.openxmlformats.org/drawingml/2006/picture">
                <pic:pic>
                  <pic:nvPicPr>
                    <pic:cNvPr id="0" name="image2.png"/>
                    <pic:cNvPicPr preferRelativeResize="0"/>
                  </pic:nvPicPr>
                  <pic:blipFill>
                    <a:blip r:embed="rId36"/>
                    <a:srcRect b="23927" l="12046" r="59338" t="23683"/>
                    <a:stretch>
                      <a:fillRect/>
                    </a:stretch>
                  </pic:blipFill>
                  <pic:spPr>
                    <a:xfrm>
                      <a:off x="0" y="0"/>
                      <a:ext cx="5712993" cy="3204086"/>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aprecia que el Instituto Nacional Electoral opera el Sistema de Información sobre el desarrollo de la Jornada Electoral (SIJE), cuál es su objetivo, cuales son las actividades del personal que participa en el SIJE 2021, así como las etapas del procedimiento de recopilación y transmisión de la información relativa a la instalación de casilla, esto es la hora, funcionarios de casilla presentes, funcionarios tomados de la fila, número de representantes de Partido Político/Candidatura Independiente, hora de visita.</w:t>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debe mencionarse que respecto al punto de la solicitud consistente </w:t>
      </w:r>
      <w:r w:rsidDel="00000000" w:rsidR="00000000" w:rsidRPr="00000000">
        <w:rPr>
          <w:rFonts w:ascii="Palatino Linotype" w:cs="Palatino Linotype" w:eastAsia="Palatino Linotype" w:hAnsi="Palatino Linotype"/>
          <w:i w:val="1"/>
          <w:rtl w:val="0"/>
        </w:rPr>
        <w:t xml:space="preserve">Número de casillas que no fueron instaladas en la jornada electoral del 06 de junio de 2021, </w:t>
      </w:r>
      <w:r w:rsidDel="00000000" w:rsidR="00000000" w:rsidRPr="00000000">
        <w:rPr>
          <w:rFonts w:ascii="Palatino Linotype" w:cs="Palatino Linotype" w:eastAsia="Palatino Linotype" w:hAnsi="Palatino Linotype"/>
          <w:rtl w:val="0"/>
        </w:rPr>
        <w:t xml:space="preserve">el Sujeto Obligado a través de la Dirección de Organización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manifestó en términos generales que de la consulta al Sistema de Información sobre el Desarrollo de la Jornada Electoral (SIJE) del INE implementado en la jornada electoral del 06 de junio de 2021 se advierte que se instalaron la totalidad de 20,034 casillas previamente aprobadas por los Consejeros Distritales Electorales del INE en el Estado de México, remitiendo 1 archivo en formato Excel y 1 en formato .CSV que contienen la información del reporte de instalación obtenido de dicho sistema, del análisis realizado a dichos archivos se aprecia que consta la información relacionada con la instalación de casillas, como a continuación se muestra:</w:t>
      </w:r>
    </w:p>
    <w:p w:rsidR="00000000" w:rsidDel="00000000" w:rsidP="00000000" w:rsidRDefault="00000000" w:rsidRPr="00000000" w14:paraId="000000BB">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28729" cy="3076001"/>
            <wp:effectExtent b="0" l="0" r="0" t="0"/>
            <wp:docPr id="45" name="image5.png"/>
            <a:graphic>
              <a:graphicData uri="http://schemas.openxmlformats.org/drawingml/2006/picture">
                <pic:pic>
                  <pic:nvPicPr>
                    <pic:cNvPr id="0" name="image5.png"/>
                    <pic:cNvPicPr preferRelativeResize="0"/>
                  </pic:nvPicPr>
                  <pic:blipFill>
                    <a:blip r:embed="rId37"/>
                    <a:srcRect b="48557" l="0" r="39899" t="16126"/>
                    <a:stretch>
                      <a:fillRect/>
                    </a:stretch>
                  </pic:blipFill>
                  <pic:spPr>
                    <a:xfrm>
                      <a:off x="0" y="0"/>
                      <a:ext cx="5628729" cy="3076001"/>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16123" cy="1028914"/>
            <wp:effectExtent b="0" l="0" r="0" t="0"/>
            <wp:docPr id="49" name="image9.png"/>
            <a:graphic>
              <a:graphicData uri="http://schemas.openxmlformats.org/drawingml/2006/picture">
                <pic:pic>
                  <pic:nvPicPr>
                    <pic:cNvPr id="0" name="image9.png"/>
                    <pic:cNvPicPr preferRelativeResize="0"/>
                  </pic:nvPicPr>
                  <pic:blipFill>
                    <a:blip r:embed="rId38"/>
                    <a:srcRect b="7814" l="0" r="38888" t="80885"/>
                    <a:stretch>
                      <a:fillRect/>
                    </a:stretch>
                  </pic:blipFill>
                  <pic:spPr>
                    <a:xfrm>
                      <a:off x="0" y="0"/>
                      <a:ext cx="5516123" cy="1028914"/>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imágenes anteriores, se aprecia que en dicho formato se aprecia información relativa a las 20,034 casillas que fueron instaladas en el Estado de México en la jornada Electoral del 06 de junio de 2021, del mismo modo se aprecia información  relativa al ID DE ESTADO, NOMBRE DEL ESTADO, DISTRITO LOCAL, ID MUNICIPIO, NOMBRE DE MUNICIPIO, SECCIÓN, TIPO DE CASILLA, ID DE CASILLA, ESTATUS, FECHA Y HORA DE INSTALACIÓN, motivo por el cual debe tener por atendido el requerimiento en análisis.</w:t>
      </w:r>
    </w:p>
    <w:p w:rsidR="00000000" w:rsidDel="00000000" w:rsidP="00000000" w:rsidRDefault="00000000" w:rsidRPr="00000000" w14:paraId="000000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refiere al requerimiento consistente en: “</w:t>
      </w:r>
      <w:r w:rsidDel="00000000" w:rsidR="00000000" w:rsidRPr="00000000">
        <w:rPr>
          <w:rFonts w:ascii="Palatino Linotype" w:cs="Palatino Linotype" w:eastAsia="Palatino Linotype" w:hAnsi="Palatino Linotype"/>
          <w:i w:val="1"/>
          <w:rtl w:val="0"/>
        </w:rPr>
        <w:t xml:space="preserve">Número de funcionarios de casilla que tuvieron que ser sustituidos el día de la jornada electoral, indicando la sección y tipo de casilla</w:t>
      </w:r>
      <w:r w:rsidDel="00000000" w:rsidR="00000000" w:rsidRPr="00000000">
        <w:rPr>
          <w:rFonts w:ascii="Palatino Linotype" w:cs="Palatino Linotype" w:eastAsia="Palatino Linotype" w:hAnsi="Palatino Linotype"/>
          <w:rtl w:val="0"/>
        </w:rPr>
        <w:t xml:space="preserve">”, debe mencionarse que al momento de rendir informe justificado el Sujeto Obligado refirió a través de la Dirección de Organización que no genera, administra y posee la información en análisis, sin embargo en alcance al informe justificado adjuntó el archivo electrónico denominado “</w:t>
      </w:r>
      <w:hyperlink r:id="rId39">
        <w:r w:rsidDel="00000000" w:rsidR="00000000" w:rsidRPr="00000000">
          <w:rPr>
            <w:rFonts w:ascii="Palatino Linotype" w:cs="Palatino Linotype" w:eastAsia="Palatino Linotype" w:hAnsi="Palatino Linotype"/>
            <w:b w:val="1"/>
            <w:color w:val="000000"/>
            <w:u w:val="single"/>
            <w:rtl w:val="0"/>
          </w:rPr>
          <w:t xml:space="preserve">SIJE_21_EM5_IntegraciónCasilla_MÉXICO_.xlsx</w:t>
        </w:r>
      </w:hyperlink>
      <w:r w:rsidDel="00000000" w:rsidR="00000000" w:rsidRPr="00000000">
        <w:rPr>
          <w:rFonts w:ascii="Palatino Linotype" w:cs="Palatino Linotype" w:eastAsia="Palatino Linotype" w:hAnsi="Palatino Linotype"/>
          <w:rtl w:val="0"/>
        </w:rPr>
        <w:t xml:space="preserve">” el cual contiene lo siguiente:</w:t>
      </w:r>
    </w:p>
    <w:p w:rsidR="00000000" w:rsidDel="00000000" w:rsidP="00000000" w:rsidRDefault="00000000" w:rsidRPr="00000000" w14:paraId="000000BF">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29275" cy="2876550"/>
            <wp:effectExtent b="0" l="0" r="0" t="0"/>
            <wp:docPr id="47" name="image4.png"/>
            <a:graphic>
              <a:graphicData uri="http://schemas.openxmlformats.org/drawingml/2006/picture">
                <pic:pic>
                  <pic:nvPicPr>
                    <pic:cNvPr id="0" name="image4.png"/>
                    <pic:cNvPicPr preferRelativeResize="0"/>
                  </pic:nvPicPr>
                  <pic:blipFill>
                    <a:blip r:embed="rId40"/>
                    <a:srcRect b="7966" l="849" r="16666" t="17802"/>
                    <a:stretch>
                      <a:fillRect/>
                    </a:stretch>
                  </pic:blipFill>
                  <pic:spPr>
                    <a:xfrm>
                      <a:off x="0" y="0"/>
                      <a:ext cx="5629275"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14975" cy="3819525"/>
            <wp:effectExtent b="0" l="0" r="0" t="0"/>
            <wp:docPr id="48" name="image6.png"/>
            <a:graphic>
              <a:graphicData uri="http://schemas.openxmlformats.org/drawingml/2006/picture">
                <pic:pic>
                  <pic:nvPicPr>
                    <pic:cNvPr id="0" name="image6.png"/>
                    <pic:cNvPicPr preferRelativeResize="0"/>
                  </pic:nvPicPr>
                  <pic:blipFill>
                    <a:blip r:embed="rId28"/>
                    <a:srcRect b="7362" l="678" r="16159" t="18407"/>
                    <a:stretch>
                      <a:fillRect/>
                    </a:stretch>
                  </pic:blipFill>
                  <pic:spPr>
                    <a:xfrm>
                      <a:off x="0" y="0"/>
                      <a:ext cx="5514975" cy="381952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análisis realizado al archivo en comento se advierte que contiene entre otra la relativa a la Integración de las mesas directivas de casillas, según funcionario y tipo de nombramiento “Presidente, 1er. Secretario, 2do. Secretario, 1er Escrutador, 2do Escrutador, 2er Escrutador” (</w:t>
      </w:r>
      <w:r w:rsidDel="00000000" w:rsidR="00000000" w:rsidRPr="00000000">
        <w:rPr>
          <w:rFonts w:ascii="Palatino Linotype" w:cs="Palatino Linotype" w:eastAsia="Palatino Linotype" w:hAnsi="Palatino Linotype"/>
          <w:b w:val="1"/>
          <w:i w:val="1"/>
          <w:rtl w:val="0"/>
        </w:rPr>
        <w:t xml:space="preserve">P=</w:t>
      </w:r>
      <w:r w:rsidDel="00000000" w:rsidR="00000000" w:rsidRPr="00000000">
        <w:rPr>
          <w:rFonts w:ascii="Palatino Linotype" w:cs="Palatino Linotype" w:eastAsia="Palatino Linotype" w:hAnsi="Palatino Linotype"/>
          <w:i w:val="1"/>
          <w:rtl w:val="0"/>
        </w:rPr>
        <w:t xml:space="preserve"> Propietario; </w:t>
      </w:r>
      <w:r w:rsidDel="00000000" w:rsidR="00000000" w:rsidRPr="00000000">
        <w:rPr>
          <w:rFonts w:ascii="Palatino Linotype" w:cs="Palatino Linotype" w:eastAsia="Palatino Linotype" w:hAnsi="Palatino Linotype"/>
          <w:b w:val="1"/>
          <w:i w:val="1"/>
          <w:rtl w:val="0"/>
        </w:rPr>
        <w:t xml:space="preserve">SG=</w:t>
      </w:r>
      <w:r w:rsidDel="00000000" w:rsidR="00000000" w:rsidRPr="00000000">
        <w:rPr>
          <w:rFonts w:ascii="Palatino Linotype" w:cs="Palatino Linotype" w:eastAsia="Palatino Linotype" w:hAnsi="Palatino Linotype"/>
          <w:i w:val="1"/>
          <w:rtl w:val="0"/>
        </w:rPr>
        <w:t xml:space="preserve"> Suplente General; </w:t>
      </w:r>
      <w:r w:rsidDel="00000000" w:rsidR="00000000" w:rsidRPr="00000000">
        <w:rPr>
          <w:rFonts w:ascii="Palatino Linotype" w:cs="Palatino Linotype" w:eastAsia="Palatino Linotype" w:hAnsi="Palatino Linotype"/>
          <w:b w:val="1"/>
          <w:i w:val="1"/>
          <w:rtl w:val="0"/>
        </w:rPr>
        <w:t xml:space="preserve">F=</w:t>
      </w:r>
      <w:r w:rsidDel="00000000" w:rsidR="00000000" w:rsidRPr="00000000">
        <w:rPr>
          <w:rFonts w:ascii="Palatino Linotype" w:cs="Palatino Linotype" w:eastAsia="Palatino Linotype" w:hAnsi="Palatino Linotype"/>
          <w:i w:val="1"/>
          <w:rtl w:val="0"/>
        </w:rPr>
        <w:t xml:space="preserve"> Funcionario nombrado de entre los electores formados en la fila de la casilla instalada; </w:t>
      </w:r>
      <w:r w:rsidDel="00000000" w:rsidR="00000000" w:rsidRPr="00000000">
        <w:rPr>
          <w:rFonts w:ascii="Palatino Linotype" w:cs="Palatino Linotype" w:eastAsia="Palatino Linotype" w:hAnsi="Palatino Linotype"/>
          <w:b w:val="1"/>
          <w:i w:val="1"/>
          <w:rtl w:val="0"/>
        </w:rPr>
        <w:t xml:space="preserve">SF=</w:t>
      </w:r>
      <w:r w:rsidDel="00000000" w:rsidR="00000000" w:rsidRPr="00000000">
        <w:rPr>
          <w:rFonts w:ascii="Palatino Linotype" w:cs="Palatino Linotype" w:eastAsia="Palatino Linotype" w:hAnsi="Palatino Linotype"/>
          <w:i w:val="1"/>
          <w:rtl w:val="0"/>
        </w:rPr>
        <w:t xml:space="preserve"> Sin funcionario.</w:t>
      </w:r>
      <w:r w:rsidDel="00000000" w:rsidR="00000000" w:rsidRPr="00000000">
        <w:rPr>
          <w:rFonts w:ascii="Palatino Linotype" w:cs="Palatino Linotype" w:eastAsia="Palatino Linotype" w:hAnsi="Palatino Linotype"/>
          <w:rtl w:val="0"/>
        </w:rPr>
        <w:t xml:space="preserve">), es decir, se advierte la cantidad de casillas instaladas por Municipio y como se realizó la integración de las mesas directivas de casilla, es decir, se advierte la forma en que se integraron las mesas directivas de casillas, así como si se realizaron sustituciones de funcionarios de casilla.</w:t>
      </w:r>
    </w:p>
    <w:p w:rsidR="00000000" w:rsidDel="00000000" w:rsidP="00000000" w:rsidRDefault="00000000" w:rsidRPr="00000000" w14:paraId="000000C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si bien es cierto, no se aprecia el dato relativo a la sección y tipo de casilla, también cierto lo es que conforme a lo establecido en el segundo párrafo del artículo 12 de la Ley de Transparencia vigente en el Estado de México, los sujetos obligados sólo proporcionarán la información pública que se les requiera y que obre en sus archivos y en el estado en que ésta se encuentre, esto es, no comprende el procesamiento de la misma, ni el presentarla conforme al interés del solicitante; es decir, no debe generar documentos ad hoc.</w:t>
      </w:r>
    </w:p>
    <w:p w:rsidR="00000000" w:rsidDel="00000000" w:rsidP="00000000" w:rsidRDefault="00000000" w:rsidRPr="00000000" w14:paraId="000000C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es pertinente mencionar que el Sujeto Obligado refiere al momento de rendir informe justificado y en alcance al mismo que proporciona la información tal y como fue generada por el Instituto Nacional Electoral.</w:t>
      </w:r>
    </w:p>
    <w:p w:rsidR="00000000" w:rsidDel="00000000" w:rsidP="00000000" w:rsidRDefault="00000000" w:rsidRPr="00000000" w14:paraId="000000C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 anterior, el punto de la solicitud en comento debe tenerse por atendido.</w:t>
      </w:r>
    </w:p>
    <w:p w:rsidR="00000000" w:rsidDel="00000000" w:rsidP="00000000" w:rsidRDefault="00000000" w:rsidRPr="00000000" w14:paraId="000000C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Por lo que se refiere a los requerimientos identificados en la presente resolución con los numerales 2 y 6</w:t>
      </w:r>
      <w:r w:rsidDel="00000000" w:rsidR="00000000" w:rsidRPr="00000000">
        <w:rPr>
          <w:rFonts w:ascii="Palatino Linotype" w:cs="Palatino Linotype" w:eastAsia="Palatino Linotype" w:hAnsi="Palatino Linotype"/>
          <w:rtl w:val="0"/>
        </w:rPr>
        <w:t xml:space="preserve">, consistentes en: “</w:t>
      </w:r>
      <w:r w:rsidDel="00000000" w:rsidR="00000000" w:rsidRPr="00000000">
        <w:rPr>
          <w:rFonts w:ascii="Palatino Linotype" w:cs="Palatino Linotype" w:eastAsia="Palatino Linotype" w:hAnsi="Palatino Linotype"/>
          <w:i w:val="1"/>
          <w:rtl w:val="0"/>
        </w:rPr>
        <w:t xml:space="preserve">Número de funcionarios electorales que recibieron algún tipo de amenaza, secuestro o perdieron la vida desde el inicio del proceso electoral hasta el día de la jornada del 6 de junio de 2021</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i w:val="1"/>
          <w:rtl w:val="0"/>
        </w:rPr>
        <w:t xml:space="preserve">Número de consejeros electorales que fueron amenazados, secuestrados o que perdieron la vida desde que inició el proceso electoral hasta el día de la jornada electoral</w:t>
      </w:r>
      <w:r w:rsidDel="00000000" w:rsidR="00000000" w:rsidRPr="00000000">
        <w:rPr>
          <w:rFonts w:ascii="Palatino Linotype" w:cs="Palatino Linotype" w:eastAsia="Palatino Linotype" w:hAnsi="Palatino Linotype"/>
          <w:rtl w:val="0"/>
        </w:rPr>
        <w:t xml:space="preserve">”, respectivamente, los mismos serán analizados de manera conjunta por estar relacionados entre sí.</w:t>
      </w:r>
    </w:p>
    <w:p w:rsidR="00000000" w:rsidDel="00000000" w:rsidP="00000000" w:rsidRDefault="00000000" w:rsidRPr="00000000" w14:paraId="000000C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debe mencionarse que el Sujeto Obligado al momento de rendir informe justificado manifestó que no es el organismo responsable para conocer los datos relacionados con el punto de la solicitud en comento, de conformidad con lo establecido en los artículos 21, primer párrafo y 102, apartado A, primer y tercer párrafo de la Constitución Federal y de los artículos 2, 5 primer párrafo y 40, fracción I de la Ley de la Fiscalía General de la República; la persecución de los delitos de orden federal corresponde al Ministerio Público Federal.</w:t>
      </w:r>
    </w:p>
    <w:p w:rsidR="00000000" w:rsidDel="00000000" w:rsidP="00000000" w:rsidRDefault="00000000" w:rsidRPr="00000000" w14:paraId="000000C7">
      <w:pPr>
        <w:spacing w:after="240" w:before="240" w:line="360" w:lineRule="auto"/>
        <w:jc w:val="both"/>
        <w:rPr/>
      </w:pPr>
      <w:r w:rsidDel="00000000" w:rsidR="00000000" w:rsidRPr="00000000">
        <w:rPr>
          <w:rFonts w:ascii="Palatino Linotype" w:cs="Palatino Linotype" w:eastAsia="Palatino Linotype" w:hAnsi="Palatino Linotype"/>
          <w:rtl w:val="0"/>
        </w:rPr>
        <w:t xml:space="preserve">Asimismo, dentro del Estado de México, la persecución de los delitos establecidos en el Código Penal del Estado, corresponde al Ministerio Público adscrito a la Fiscalía General de Justicia del Estado de México; de acuerdo con lo dispuesto en los artículos 81, primer párrafo y 83, primer párrafo de la Constitución Local y artículos 1, primer párrafo; 10 fracción I y 33, primer párrafo de la Ley de la Fiscalía General de Justicia del Estado de México.</w:t>
      </w:r>
      <w:r w:rsidDel="00000000" w:rsidR="00000000" w:rsidRPr="00000000">
        <w:rPr>
          <w:rtl w:val="0"/>
        </w:rPr>
      </w:r>
    </w:p>
    <w:p w:rsidR="00000000" w:rsidDel="00000000" w:rsidP="00000000" w:rsidRDefault="00000000" w:rsidRPr="00000000" w14:paraId="000000C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el Sujeto Obligado adjunta el Acuerdo número IEEM/CT/170/2021 de Incompetencia parcial para otorgar respuesta a la solicitud de acceso a la información pública 00540/IEEM/IP/2021, en el que sustancialmente el Sujeto Obligado manifiesta que de conformidad con lo establecido en los artículos 21, primer párrafo y 102, apartado A, primer y tercer párrafo de la Constitución Federal y de los artículos 2, 5 primer párrafo y 40, fracción I de la Ley de la FGR; la persecución de los delitos de orden federal corresponde al Ministerio Público Federal. </w:t>
      </w:r>
    </w:p>
    <w:p w:rsidR="00000000" w:rsidDel="00000000" w:rsidP="00000000" w:rsidRDefault="00000000" w:rsidRPr="00000000" w14:paraId="000000C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21.</w:t>
      </w:r>
      <w:r w:rsidDel="00000000" w:rsidR="00000000" w:rsidRPr="00000000">
        <w:rPr>
          <w:rFonts w:ascii="Palatino Linotype" w:cs="Palatino Linotype" w:eastAsia="Palatino Linotype" w:hAnsi="Palatino Linotype"/>
          <w:i w:val="1"/>
          <w:sz w:val="22"/>
          <w:szCs w:val="22"/>
          <w:rtl w:val="0"/>
        </w:rPr>
        <w:t xml:space="preserve"> La investigación de los delitos corresponde al Ministerio Público y a las policías, los cuales actuarán bajo la conducción y mando de aquél en el ejercicio de esta función. …”</w:t>
      </w:r>
    </w:p>
    <w:p w:rsidR="00000000" w:rsidDel="00000000" w:rsidP="00000000" w:rsidRDefault="00000000" w:rsidRPr="00000000" w14:paraId="000000CA">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102</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El Ministerio Público de la Federación se organizará en una Fiscalía General de la República como órgano público autónomo, dotado de personalidad jurídica y patrimonio propio</w:t>
      </w:r>
    </w:p>
    <w:p w:rsidR="00000000" w:rsidDel="00000000" w:rsidP="00000000" w:rsidRDefault="00000000" w:rsidRPr="00000000" w14:paraId="000000C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Corresponde al Ministerio Público de la Federación la persecución, ante los tribunales, de todos los delitos del orden federal; y, por lo mismo, solicitará las medidas cautelares contra los imputados; buscará y presentará las pruebas que acrediten la participación de éstos en hechos que las leyes señalen como delito; procurará que los juicios federales en materia penal se sigan con toda regularidad para que la impartición de justicia sea pronta y expedita; pedirá la aplicación de las penas, e intervendrá en todos los asuntos que la ley determine. …” </w:t>
      </w:r>
    </w:p>
    <w:p w:rsidR="00000000" w:rsidDel="00000000" w:rsidP="00000000" w:rsidRDefault="00000000" w:rsidRPr="00000000" w14:paraId="000000CE">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w:t>
      </w:r>
      <w:r w:rsidDel="00000000" w:rsidR="00000000" w:rsidRPr="00000000">
        <w:rPr>
          <w:rFonts w:ascii="Palatino Linotype" w:cs="Palatino Linotype" w:eastAsia="Palatino Linotype" w:hAnsi="Palatino Linotype"/>
          <w:i w:val="1"/>
          <w:sz w:val="22"/>
          <w:szCs w:val="22"/>
          <w:rtl w:val="0"/>
        </w:rPr>
        <w:t xml:space="preserve"> El Ministerio Público de la Federación se organizará en una Fiscalía General de la República como órgano público autónomo, dotado de personalidad jurídica y de patrimonio propio; ejercerá sus facultades atendiendo al orden público e interés social.” </w:t>
      </w:r>
    </w:p>
    <w:p w:rsidR="00000000" w:rsidDel="00000000" w:rsidP="00000000" w:rsidRDefault="00000000" w:rsidRPr="00000000" w14:paraId="000000D0">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Al Ministerio Público de la Federación le corresponde, en representación de los intereses de la sociedad: la investigación y la persecución de los delitos del orden federal y los de su competencia ante los tribunales, la preparación y el ejercicio de la acción de extinción de dominio, la intervención en todos los asuntos que correspondan a sus funciones constitucionales, así como promover, respetar, proteger y garantizar los derechos humanos de la persona imputada, de la víctima o de la persona ofendida durante el desarrollo del procedimiento penal, establecidos en la Constitución, en los tratados internacionales en los que el Estado mexicano sea parte, en el Código Nacional, la presente Ley, y las demás disposiciones legales aplicables.</w:t>
      </w:r>
    </w:p>
    <w:p w:rsidR="00000000" w:rsidDel="00000000" w:rsidP="00000000" w:rsidRDefault="00000000" w:rsidRPr="00000000" w14:paraId="000000D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3">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40.</w:t>
      </w:r>
      <w:r w:rsidDel="00000000" w:rsidR="00000000" w:rsidRPr="00000000">
        <w:rPr>
          <w:rFonts w:ascii="Palatino Linotype" w:cs="Palatino Linotype" w:eastAsia="Palatino Linotype" w:hAnsi="Palatino Linotype"/>
          <w:i w:val="1"/>
          <w:sz w:val="22"/>
          <w:szCs w:val="22"/>
          <w:rtl w:val="0"/>
        </w:rPr>
        <w:t xml:space="preserve"> Son facultades de las personas agentes del Ministerio Público de la Federación las siguientes:</w:t>
      </w:r>
    </w:p>
    <w:p w:rsidR="00000000" w:rsidDel="00000000" w:rsidP="00000000" w:rsidRDefault="00000000" w:rsidRPr="00000000" w14:paraId="000000D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Investigar y perseguir los delitos del orden federal;</w:t>
      </w:r>
    </w:p>
    <w:p w:rsidR="00000000" w:rsidDel="00000000" w:rsidP="00000000" w:rsidRDefault="00000000" w:rsidRPr="00000000" w14:paraId="000000D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7">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Énfasis añadido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manifestado por el Sujeto Obligado se advierte que manifiesta que las conductas referidas por el recurrente son consideradas delitos, por lo que debe requerir dicha información al Sujeto Obligado legalmente facultado para generar, administrar o poseer la información materia de los requerimientos en análisis, esto es, la Fiscalía General de la República, o bien de la Fiscalía General de Justicia del Estado de México.</w:t>
      </w:r>
    </w:p>
    <w:p w:rsidR="00000000" w:rsidDel="00000000" w:rsidP="00000000" w:rsidRDefault="00000000" w:rsidRPr="00000000" w14:paraId="000000D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Respecto al requerimiento identificado con el numeral 4, consistente</w:t>
      </w:r>
      <w:r w:rsidDel="00000000" w:rsidR="00000000" w:rsidRPr="00000000">
        <w:rPr>
          <w:rFonts w:ascii="Palatino Linotype" w:cs="Palatino Linotype" w:eastAsia="Palatino Linotype" w:hAnsi="Palatino Linotype"/>
          <w:rtl w:val="0"/>
        </w:rPr>
        <w:t xml:space="preserve"> en “</w:t>
      </w:r>
      <w:r w:rsidDel="00000000" w:rsidR="00000000" w:rsidRPr="00000000">
        <w:rPr>
          <w:rFonts w:ascii="Palatino Linotype" w:cs="Palatino Linotype" w:eastAsia="Palatino Linotype" w:hAnsi="Palatino Linotype"/>
          <w:i w:val="1"/>
          <w:rtl w:val="0"/>
        </w:rPr>
        <w:t xml:space="preserve">Número de candidatos a los diferentes cargos de elección popular que renunciaron previo a la jornada electoral</w:t>
      </w:r>
      <w:r w:rsidDel="00000000" w:rsidR="00000000" w:rsidRPr="00000000">
        <w:rPr>
          <w:rFonts w:ascii="Palatino Linotype" w:cs="Palatino Linotype" w:eastAsia="Palatino Linotype" w:hAnsi="Palatino Linotype"/>
          <w:rtl w:val="0"/>
        </w:rPr>
        <w:t xml:space="preserve">”, el Director de Partidos Políticos refiere que recibió 752 renuncias a candidaturas a los distintos cargos de elección popular, previo a la jornada electoral, motivo por el cual el mismo debe tener por atendido, en virtud de que se le proporciona al recurrente la información que requiere.</w:t>
      </w:r>
    </w:p>
    <w:p w:rsidR="00000000" w:rsidDel="00000000" w:rsidP="00000000" w:rsidRDefault="00000000" w:rsidRPr="00000000" w14:paraId="000000D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debe mencionarse que la información fue proporcionada por el área legalmente facultada para generar, administrar y poseer la misma lo anterior con base en lo establecido en los artículos 202 del Código Electoral del Estado de México, 38 del Reglamento Interno y numeral 16 del Manual de Organización, que a continuación se insertan:</w:t>
      </w:r>
    </w:p>
    <w:p w:rsidR="00000000" w:rsidDel="00000000" w:rsidP="00000000" w:rsidRDefault="00000000" w:rsidRPr="00000000" w14:paraId="000000D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202.</w:t>
      </w:r>
      <w:r w:rsidDel="00000000" w:rsidR="00000000" w:rsidRPr="00000000">
        <w:rPr>
          <w:rFonts w:ascii="Palatino Linotype" w:cs="Palatino Linotype" w:eastAsia="Palatino Linotype" w:hAnsi="Palatino Linotype"/>
          <w:i w:val="1"/>
          <w:sz w:val="22"/>
          <w:szCs w:val="22"/>
          <w:rtl w:val="0"/>
        </w:rPr>
        <w:t xml:space="preserve"> La Dirección de Partidos Políticos tiene las siguientes atribuciones:</w:t>
      </w:r>
    </w:p>
    <w:p w:rsidR="00000000" w:rsidDel="00000000" w:rsidP="00000000" w:rsidRDefault="00000000" w:rsidRPr="00000000" w14:paraId="000000D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Conocer de las notificaciones que formulen las organizaciones que pretendan constituirse como partidos políticos locales y realizar las funciones correspondientes.</w:t>
      </w:r>
    </w:p>
    <w:p w:rsidR="00000000" w:rsidDel="00000000" w:rsidP="00000000" w:rsidRDefault="00000000" w:rsidRPr="00000000" w14:paraId="000000D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Recibir las solicitudes de registro de las organizaciones que hayan cumplido los requisitos establecidos en este Código e integrar el expediente respectivo para que el Secretario Ejecutivo lo someta a la consideración del Consejo General.</w:t>
      </w:r>
    </w:p>
    <w:p w:rsidR="00000000" w:rsidDel="00000000" w:rsidP="00000000" w:rsidRDefault="00000000" w:rsidRPr="00000000" w14:paraId="000000E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Inscribir en el libro respectivo el registro de partidos, así como los convenios de coaliciones y de fusión.</w:t>
      </w:r>
    </w:p>
    <w:p w:rsidR="00000000" w:rsidDel="00000000" w:rsidP="00000000" w:rsidRDefault="00000000" w:rsidRPr="00000000" w14:paraId="000000E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Coadyuvar con la Dirección de Administración para el suministro a los partidos políticos nacionales o locales con registro, del financiamiento público al que tienen derecho.</w:t>
      </w:r>
    </w:p>
    <w:p w:rsidR="00000000" w:rsidDel="00000000" w:rsidP="00000000" w:rsidRDefault="00000000" w:rsidRPr="00000000" w14:paraId="000000E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Llevar a cabo los trámites necesarios para que los partidos políticos nacionales o locales con registro puedan disponer o hacer efectivas las prerrogativas a las que tienen derecho.</w:t>
      </w:r>
    </w:p>
    <w:p w:rsidR="00000000" w:rsidDel="00000000" w:rsidP="00000000" w:rsidRDefault="00000000" w:rsidRPr="00000000" w14:paraId="000000E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Llevar el libro de registro de los integrantes de los órganos directivos de los partidos políticos y de sus representantes acreditados ante los consejos General, distritales y municipales electorales.</w:t>
      </w:r>
    </w:p>
    <w:p w:rsidR="00000000" w:rsidDel="00000000" w:rsidP="00000000" w:rsidRDefault="00000000" w:rsidRPr="00000000" w14:paraId="000000E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Llevar los libros de registro de los candidatos a los puestos de elección popular.</w:t>
      </w:r>
    </w:p>
    <w:p w:rsidR="00000000" w:rsidDel="00000000" w:rsidP="00000000" w:rsidRDefault="00000000" w:rsidRPr="00000000" w14:paraId="000000E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Acordar con el Secretario Ejecutivo los asuntos de su competencia.</w:t>
      </w:r>
    </w:p>
    <w:p w:rsidR="00000000" w:rsidDel="00000000" w:rsidP="00000000" w:rsidRDefault="00000000" w:rsidRPr="00000000" w14:paraId="000000E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Apoyar a la Comisión de Acceso a Medios, Propaganda y Difusión en la elaboración y presentación de pautas y en la vigilancia de los contenidos de los mensajes de los Partidos Políticos y el Instituto en los medios de comunicación social.</w:t>
      </w:r>
    </w:p>
    <w:p w:rsidR="00000000" w:rsidDel="00000000" w:rsidP="00000000" w:rsidRDefault="00000000" w:rsidRPr="00000000" w14:paraId="000000E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Las demás que le confiera este Código.</w:t>
      </w:r>
    </w:p>
    <w:p w:rsidR="00000000" w:rsidDel="00000000" w:rsidP="00000000" w:rsidRDefault="00000000" w:rsidRPr="00000000" w14:paraId="000000E8">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38. </w:t>
      </w:r>
      <w:r w:rsidDel="00000000" w:rsidR="00000000" w:rsidRPr="00000000">
        <w:rPr>
          <w:rFonts w:ascii="Palatino Linotype" w:cs="Palatino Linotype" w:eastAsia="Palatino Linotype" w:hAnsi="Palatino Linotype"/>
          <w:i w:val="1"/>
          <w:sz w:val="22"/>
          <w:szCs w:val="22"/>
          <w:rtl w:val="0"/>
        </w:rPr>
        <w:t xml:space="preserve">La Dirección de Partidos Políticos es el órgano del Instituto encargado de</w:t>
      </w:r>
    </w:p>
    <w:p w:rsidR="00000000" w:rsidDel="00000000" w:rsidP="00000000" w:rsidRDefault="00000000" w:rsidRPr="00000000" w14:paraId="000000E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verificar y garantizar a los partidos políticos con acreditación o registro ante el Instituto,</w:t>
      </w:r>
    </w:p>
    <w:p w:rsidR="00000000" w:rsidDel="00000000" w:rsidP="00000000" w:rsidRDefault="00000000" w:rsidRPr="00000000" w14:paraId="000000E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y en su caso, candidatos independientes, el ejercicio de sus derechos, prerrogativas y</w:t>
      </w:r>
    </w:p>
    <w:p w:rsidR="00000000" w:rsidDel="00000000" w:rsidP="00000000" w:rsidRDefault="00000000" w:rsidRPr="00000000" w14:paraId="000000E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cumplimiento de sus obligaciones, así como, a las organizaciones de ciudadanos</w:t>
      </w:r>
    </w:p>
    <w:p w:rsidR="00000000" w:rsidDel="00000000" w:rsidP="00000000" w:rsidRDefault="00000000" w:rsidRPr="00000000" w14:paraId="000000E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 derecho de asociación política para constituirse como partido político local.</w:t>
      </w:r>
    </w:p>
    <w:p w:rsidR="00000000" w:rsidDel="00000000" w:rsidP="00000000" w:rsidRDefault="00000000" w:rsidRPr="00000000" w14:paraId="000000E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 Dirección ejercerá sus atribuciones en términos de lo dispuesto por el artículo</w:t>
      </w:r>
    </w:p>
    <w:p w:rsidR="00000000" w:rsidDel="00000000" w:rsidP="00000000" w:rsidRDefault="00000000" w:rsidRPr="00000000" w14:paraId="000000E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202 del Código y demás disposiciones legales aplicables, para tal efecto contará con</w:t>
      </w:r>
    </w:p>
    <w:p w:rsidR="00000000" w:rsidDel="00000000" w:rsidP="00000000" w:rsidRDefault="00000000" w:rsidRPr="00000000" w14:paraId="000000F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siguiente estructura:</w:t>
      </w:r>
    </w:p>
    <w:p w:rsidR="00000000" w:rsidDel="00000000" w:rsidP="00000000" w:rsidRDefault="00000000" w:rsidRPr="00000000" w14:paraId="000000F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Director de Partidos Políticos.</w:t>
      </w:r>
    </w:p>
    <w:p w:rsidR="00000000" w:rsidDel="00000000" w:rsidP="00000000" w:rsidRDefault="00000000" w:rsidRPr="00000000" w14:paraId="000000F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Subdirección de Atención a Organizaciones y Partidos Políticos - Coordinación de</w:t>
      </w:r>
    </w:p>
    <w:p w:rsidR="00000000" w:rsidDel="00000000" w:rsidP="00000000" w:rsidRDefault="00000000" w:rsidRPr="00000000" w14:paraId="000000F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Prerrogativas y Partidos Políticos SPEN; y</w:t>
      </w:r>
    </w:p>
    <w:p w:rsidR="00000000" w:rsidDel="00000000" w:rsidP="00000000" w:rsidRDefault="00000000" w:rsidRPr="00000000" w14:paraId="000000F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Subdirección de Prerrogativas de Acceso a Medios, Propaganda y Difusión -</w:t>
      </w:r>
    </w:p>
    <w:p w:rsidR="00000000" w:rsidDel="00000000" w:rsidP="00000000" w:rsidRDefault="00000000" w:rsidRPr="00000000" w14:paraId="000000F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Coordinación de Prerrogativas y Partidos Políticos SPEN.</w:t>
      </w:r>
    </w:p>
    <w:p w:rsidR="00000000" w:rsidDel="00000000" w:rsidP="00000000" w:rsidRDefault="00000000" w:rsidRPr="00000000" w14:paraId="000000F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Además, contará con los Departamentos que se definan en el Manual.</w:t>
      </w:r>
    </w:p>
    <w:p w:rsidR="00000000" w:rsidDel="00000000" w:rsidP="00000000" w:rsidRDefault="00000000" w:rsidRPr="00000000" w14:paraId="000000F7">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8">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16.- Dirección de Partidos Políticos</w:t>
      </w:r>
    </w:p>
    <w:p w:rsidR="00000000" w:rsidDel="00000000" w:rsidP="00000000" w:rsidRDefault="00000000" w:rsidRPr="00000000" w14:paraId="000000F9">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Objetivo:</w:t>
      </w:r>
    </w:p>
    <w:p w:rsidR="00000000" w:rsidDel="00000000" w:rsidP="00000000" w:rsidRDefault="00000000" w:rsidRPr="00000000" w14:paraId="000000F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Verificar y garantizar a los partidos políticos con acreditación o registro ante el Instituto y, en su caso, candidatos independientes, el ejercicio de sus derechos, prerrogativas y el cumplimiento de sus obligaciones; lo relativo al acceso a la radio y televisión del Instituto; así como garantizar a las organizaciones de ciudadanos su derecho de asociación política para constituirse como partido político local.</w:t>
      </w:r>
    </w:p>
    <w:p w:rsidR="00000000" w:rsidDel="00000000" w:rsidP="00000000" w:rsidRDefault="00000000" w:rsidRPr="00000000" w14:paraId="000000FB">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FC">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Funciones:</w:t>
      </w:r>
    </w:p>
    <w:p w:rsidR="00000000" w:rsidDel="00000000" w:rsidP="00000000" w:rsidRDefault="00000000" w:rsidRPr="00000000" w14:paraId="000000FD">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F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Coordinar las acciones necesarias, en su caso, para el registro supletorio de</w:t>
      </w:r>
    </w:p>
    <w:p w:rsidR="00000000" w:rsidDel="00000000" w:rsidP="00000000" w:rsidRDefault="00000000" w:rsidRPr="00000000" w14:paraId="000000F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candidatos a puestos de elección popular.</w:t>
      </w:r>
    </w:p>
    <w:p w:rsidR="00000000" w:rsidDel="00000000" w:rsidP="00000000" w:rsidRDefault="00000000" w:rsidRPr="00000000" w14:paraId="0000010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al requerimiento identificado en la presente resolución con el numeral 5, consistente en “</w:t>
      </w:r>
      <w:r w:rsidDel="00000000" w:rsidR="00000000" w:rsidRPr="00000000">
        <w:rPr>
          <w:rFonts w:ascii="Palatino Linotype" w:cs="Palatino Linotype" w:eastAsia="Palatino Linotype" w:hAnsi="Palatino Linotype"/>
          <w:i w:val="1"/>
          <w:rtl w:val="0"/>
        </w:rPr>
        <w:t xml:space="preserve">Número de candidatos que solicitaron seguridad para realizar sus campañas electorales</w:t>
      </w:r>
      <w:r w:rsidDel="00000000" w:rsidR="00000000" w:rsidRPr="00000000">
        <w:rPr>
          <w:rFonts w:ascii="Palatino Linotype" w:cs="Palatino Linotype" w:eastAsia="Palatino Linotype" w:hAnsi="Palatino Linotype"/>
          <w:rtl w:val="0"/>
        </w:rPr>
        <w:t xml:space="preserve">”, debe mencionarse que el Sujeto Obligado al momento de rendir informe justificado manifestó que de conformidad a sus atribuciones y funciones no genera, ni posee información al respecto.</w:t>
      </w:r>
    </w:p>
    <w:p w:rsidR="00000000" w:rsidDel="00000000" w:rsidP="00000000" w:rsidRDefault="00000000" w:rsidRPr="00000000" w14:paraId="000001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debe mencionarse que se procedió a realizar la consulta del Código Electoral del Estado de México, Reglamento Interno del Instituto Electoral del Estado de México y Manual de Organización del Instituto Electoral del Estado de México, de los cuales se aprecia que únicamente contemplan que los consejos locales del Instituto realizarán las gestiones oportunas y necesarias ante los cuerpos de seguridad pública federales, estatales y municipales, o en su caso, el Ejército Mexicano y Secretaría de Marina Armada de México, para el resguardo en las inmediaciones de las bodegas electorales durante la realización del conteo, sellado y agrupamiento de boletas electorales, así como durante la recepción de paquetes electorales en la sede de los consejos correspondientes al término de la jornada electoral atinente, sin embargo no se advierte la existencia de algún dispositivo legal que imponga la obligación al Sujeto Obligado para generar, administrar y poseer la información materia del requerimiento en análisis, motivo por el cual es correcto que el Sujeto Obligado manifieste su imposibilidad para proporcionar la información materia del requerimiento en análisis, por lo que el mismo se tiene por atendido.</w:t>
      </w:r>
    </w:p>
    <w:p w:rsidR="00000000" w:rsidDel="00000000" w:rsidP="00000000" w:rsidRDefault="00000000" w:rsidRPr="00000000" w14:paraId="000001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todo lo anterior, este Instituto no está facultado para pronunciarse sobre la veracidad de la respuesta emitida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pues no existe precepto legal alguno en la Ley que lo faculte para ello, toda vez que la presunción de veracidad, es un derecho o principio legal y jurídico del que disfrutan las personas dotadas de autoridad pública en la realización de sus funciones. Este principio otorga a los Sujetos Obligados la facultad de que la declaración que haga se presuma como veraz y por tanto prevalezca sobre la persona que lo disfruta, si no aporta pruebas que tiendan a contradecir los hechos declarados por la autoridad, debido a que admite prueba en contrario; es decir, supone una declaración </w:t>
      </w:r>
      <w:r w:rsidDel="00000000" w:rsidR="00000000" w:rsidRPr="00000000">
        <w:rPr>
          <w:rFonts w:ascii="Palatino Linotype" w:cs="Palatino Linotype" w:eastAsia="Palatino Linotype" w:hAnsi="Palatino Linotype"/>
          <w:i w:val="1"/>
          <w:rtl w:val="0"/>
        </w:rPr>
        <w:t xml:space="preserve">iuris tantum, </w:t>
      </w:r>
      <w:r w:rsidDel="00000000" w:rsidR="00000000" w:rsidRPr="00000000">
        <w:rPr>
          <w:rFonts w:ascii="Palatino Linotype" w:cs="Palatino Linotype" w:eastAsia="Palatino Linotype" w:hAnsi="Palatino Linotype"/>
          <w:rtl w:val="0"/>
        </w:rPr>
        <w:t xml:space="preserve">por lo que este Órgano no está facultado para pronunciarse sobre la veracidad de la respuesta emitida, aun y cuando ésta no satisfaga el derecho de acceso a la información del </w:t>
      </w:r>
      <w:r w:rsidDel="00000000" w:rsidR="00000000" w:rsidRPr="00000000">
        <w:rPr>
          <w:rFonts w:ascii="Palatino Linotype" w:cs="Palatino Linotype" w:eastAsia="Palatino Linotype" w:hAnsi="Palatino Linotype"/>
          <w:b w:val="1"/>
          <w:i w:val="1"/>
          <w:rtl w:val="0"/>
        </w:rPr>
        <w:t xml:space="preserve">Recurrente. </w:t>
      </w:r>
      <w:r w:rsidDel="00000000" w:rsidR="00000000" w:rsidRPr="00000000">
        <w:rPr>
          <w:rFonts w:ascii="Palatino Linotype" w:cs="Palatino Linotype" w:eastAsia="Palatino Linotype" w:hAnsi="Palatino Linotype"/>
          <w:rtl w:val="0"/>
        </w:rPr>
        <w:t xml:space="preserve">Sirve de apoyo a lo anterior por analogía el criterio 31-10 emitido por el entonces Instituto Federal de Acceso a la Información y Protección de Datos, que a la letra dice:</w:t>
      </w:r>
    </w:p>
    <w:p w:rsidR="00000000" w:rsidDel="00000000" w:rsidP="00000000" w:rsidRDefault="00000000" w:rsidRPr="00000000" w14:paraId="00000104">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10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es evidente que con ello queda sin materia el presente recurso de revisión, ya que la inconformidad, se subsano con la información entregada en el apartado de manifestaciones del SAIMEX, que fue puesta a la vista del recurrente, ya no cobraría sentido; y si respecto de la misma no formuló alegato alguno dentro del plazo concedido para tal efecto se entiende que se encuentra satisfecho.</w:t>
      </w:r>
    </w:p>
    <w:p w:rsidR="00000000" w:rsidDel="00000000" w:rsidP="00000000" w:rsidRDefault="00000000" w:rsidRPr="00000000" w14:paraId="000001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resumen, el Sujeto Obligado dio respuesta completa a la solicitud de acceso a la información pública de la ahora recurrente;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000000" w:rsidDel="00000000" w:rsidP="00000000" w:rsidRDefault="00000000" w:rsidRPr="00000000" w14:paraId="000001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el </w:t>
      </w:r>
      <w:r w:rsidDel="00000000" w:rsidR="00000000" w:rsidRPr="00000000">
        <w:rPr>
          <w:rFonts w:ascii="Palatino Linotype" w:cs="Palatino Linotype" w:eastAsia="Palatino Linotype" w:hAnsi="Palatino Linotype"/>
          <w:i w:val="1"/>
          <w:rtl w:val="0"/>
        </w:rPr>
        <w:t xml:space="preserve">sobreseimiento</w:t>
      </w:r>
      <w:r w:rsidDel="00000000" w:rsidR="00000000" w:rsidRPr="00000000">
        <w:rPr>
          <w:rFonts w:ascii="Palatino Linotype" w:cs="Palatino Linotype" w:eastAsia="Palatino Linotype" w:hAnsi="Palatino Linotype"/>
          <w:rtl w:val="0"/>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108">
      <w:pPr>
        <w:ind w:left="851" w:right="85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SOBRESEIMIENTO, NO PERMITE ENTRAR AL ESTUDIO DE LAS CUESTIONES DE FONDO</w:t>
      </w:r>
      <w:r w:rsidDel="00000000" w:rsidR="00000000" w:rsidRPr="00000000">
        <w:rPr>
          <w:rtl w:val="0"/>
        </w:rPr>
      </w:r>
    </w:p>
    <w:p w:rsidR="00000000" w:rsidDel="00000000" w:rsidP="00000000" w:rsidRDefault="00000000" w:rsidRPr="00000000" w14:paraId="0000010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10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10C">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D">
      <w:pPr>
        <w:spacing w:after="0" w:before="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E">
      <w:pPr>
        <w:spacing w:after="24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destacar que la decisión de este órgano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10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“DESECHAMIENTO O SOBRESEIMIENTO EN EL JUICIO DE AMPARO. NO IMPLICA DENEGACIÓN DE JUSTICIA NI GENERA INSEGURIDAD JURÍDICA”</w:t>
      </w:r>
    </w:p>
    <w:p w:rsidR="00000000" w:rsidDel="00000000" w:rsidP="00000000" w:rsidRDefault="00000000" w:rsidRPr="00000000" w14:paraId="00000110">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000000" w:rsidDel="00000000" w:rsidP="00000000" w:rsidRDefault="00000000" w:rsidRPr="00000000" w14:paraId="00000111">
      <w:pPr>
        <w:spacing w:after="0" w:before="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2">
      <w:pPr>
        <w:spacing w:after="24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13">
      <w:pPr>
        <w:spacing w:after="0" w:before="240" w:line="360" w:lineRule="auto"/>
        <w:ind w:left="36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14">
      <w:pPr>
        <w:spacing w:after="240" w:before="0"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 Se </w:t>
      </w:r>
      <w:r w:rsidDel="00000000" w:rsidR="00000000" w:rsidRPr="00000000">
        <w:rPr>
          <w:rFonts w:ascii="Palatino Linotype" w:cs="Palatino Linotype" w:eastAsia="Palatino Linotype" w:hAnsi="Palatino Linotype"/>
          <w:b w:val="1"/>
          <w:rtl w:val="0"/>
        </w:rPr>
        <w:t xml:space="preserve">SOBRESEE </w:t>
      </w:r>
      <w:r w:rsidDel="00000000" w:rsidR="00000000" w:rsidRPr="00000000">
        <w:rPr>
          <w:rFonts w:ascii="Palatino Linotype" w:cs="Palatino Linotype" w:eastAsia="Palatino Linotype" w:hAnsi="Palatino Linotype"/>
          <w:rtl w:val="0"/>
        </w:rPr>
        <w:t xml:space="preserve">el recurso de revisión </w:t>
      </w:r>
      <w:r w:rsidDel="00000000" w:rsidR="00000000" w:rsidRPr="00000000">
        <w:rPr>
          <w:rFonts w:ascii="Palatino Linotype" w:cs="Palatino Linotype" w:eastAsia="Palatino Linotype" w:hAnsi="Palatino Linotype"/>
          <w:b w:val="1"/>
          <w:rtl w:val="0"/>
        </w:rPr>
        <w:t xml:space="preserve">03874/INFOEM/IP/RR/2021, </w:t>
      </w:r>
      <w:r w:rsidDel="00000000" w:rsidR="00000000" w:rsidRPr="00000000">
        <w:rPr>
          <w:rFonts w:ascii="Palatino Linotype" w:cs="Palatino Linotype" w:eastAsia="Palatino Linotype" w:hAnsi="Palatino Linotype"/>
          <w:rtl w:val="0"/>
        </w:rPr>
        <w:t xml:space="preserve">porque al modificar la respuesta, el recurso de revisión quedó sin materia en términos del considerando Tercero de esta resolución.</w:t>
      </w:r>
    </w:p>
    <w:p w:rsidR="00000000" w:rsidDel="00000000" w:rsidP="00000000" w:rsidRDefault="00000000" w:rsidRPr="00000000" w14:paraId="000001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highlight w:val="white"/>
          <w:rtl w:val="0"/>
        </w:rPr>
        <w:t xml:space="preserve">Segundo. Notifíquese vía SAIMEX</w:t>
      </w:r>
      <w:r w:rsidDel="00000000" w:rsidR="00000000" w:rsidRPr="00000000">
        <w:rPr>
          <w:rFonts w:ascii="Palatino Linotype" w:cs="Palatino Linotype" w:eastAsia="Palatino Linotype" w:hAnsi="Palatino Linotype"/>
          <w:b w:val="1"/>
          <w:i w:val="1"/>
          <w:highlight w:val="white"/>
          <w:rtl w:val="0"/>
        </w:rPr>
        <w:t xml:space="preserve">, </w:t>
      </w:r>
      <w:r w:rsidDel="00000000" w:rsidR="00000000" w:rsidRPr="00000000">
        <w:rPr>
          <w:rFonts w:ascii="Palatino Linotype" w:cs="Palatino Linotype" w:eastAsia="Palatino Linotype" w:hAnsi="Palatino Linotype"/>
          <w:highlight w:val="white"/>
          <w:rtl w:val="0"/>
        </w:rPr>
        <w:t xml:space="preserve">al Responsable de la Unidad de Transparencia del Sujeto Obligado la presente resolución, para su conocimiento, lo anterior en términos del artículo 189 de la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w:t>
      </w:r>
    </w:p>
    <w:p w:rsidR="00000000" w:rsidDel="00000000" w:rsidP="00000000" w:rsidRDefault="00000000" w:rsidRPr="00000000" w14:paraId="000001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a través </w:t>
      </w:r>
      <w:r w:rsidDel="00000000" w:rsidR="00000000" w:rsidRPr="00000000">
        <w:rPr>
          <w:rFonts w:ascii="Palatino Linotype" w:cs="Palatino Linotype" w:eastAsia="Palatino Linotype" w:hAnsi="Palatino Linotype"/>
          <w:rtl w:val="0"/>
        </w:rPr>
        <w:t xml:space="preserve"> del Sistema de Acceso a la Información Mexiquense y correo electrónico, al recurrente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000000" w:rsidDel="00000000" w:rsidP="00000000" w:rsidRDefault="00000000" w:rsidRPr="00000000" w14:paraId="00000117">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OCHO DE DICIEMBRE DE DOS MIL VEINTIUNO, ANTE EL SECRETARIO TÉCNICO DEL PLENO ALEXIS TAPIA RAMÍREZ. </w:t>
      </w:r>
    </w:p>
    <w:p w:rsidR="00000000" w:rsidDel="00000000" w:rsidP="00000000" w:rsidRDefault="00000000" w:rsidRPr="00000000" w14:paraId="00000119">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sectPr>
      <w:headerReference r:id="rId41" w:type="default"/>
      <w:headerReference r:id="rId42" w:type="first"/>
      <w:footerReference r:id="rId43" w:type="default"/>
      <w:footerReference r:id="rId44"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Artículo 315, numeral 1 del Reglamento de Elecciones</w:t>
      </w: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-438784</wp:posOffset>
          </wp:positionV>
          <wp:extent cx="7635600" cy="9943200"/>
          <wp:effectExtent b="0" l="0" r="0" t="0"/>
          <wp:wrapNone/>
          <wp:docPr id="36"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2"/>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12B">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2C">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03874/INFOEM/IP/RR/2021</w:t>
          </w:r>
        </w:p>
      </w:tc>
    </w:tr>
    <w:tr>
      <w:trPr>
        <w:cantSplit w:val="0"/>
        <w:tblHeader w:val="0"/>
      </w:trPr>
      <w:tc>
        <w:tcPr>
          <w:vAlign w:val="center"/>
        </w:tcPr>
        <w:p w:rsidR="00000000" w:rsidDel="00000000" w:rsidP="00000000" w:rsidRDefault="00000000" w:rsidRPr="00000000" w14:paraId="0000012D">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12E">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Xxxx Xxxxxxx Xx Xxxxxxxxxxxxx</w:t>
          </w:r>
        </w:p>
      </w:tc>
    </w:tr>
    <w:tr>
      <w:trPr>
        <w:cantSplit w:val="0"/>
        <w:trHeight w:val="228" w:hRule="atLeast"/>
        <w:tblHeader w:val="0"/>
      </w:trPr>
      <w:tc>
        <w:tcPr>
          <w:vAlign w:val="center"/>
        </w:tcPr>
        <w:p w:rsidR="00000000" w:rsidDel="00000000" w:rsidP="00000000" w:rsidRDefault="00000000" w:rsidRPr="00000000" w14:paraId="0000012F">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130">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Instituto Electoral del Estado de México</w:t>
          </w:r>
        </w:p>
      </w:tc>
    </w:tr>
    <w:tr>
      <w:trPr>
        <w:cantSplit w:val="0"/>
        <w:tblHeader w:val="0"/>
      </w:trPr>
      <w:tc>
        <w:tcPr>
          <w:vAlign w:val="center"/>
        </w:tcPr>
        <w:p w:rsidR="00000000" w:rsidDel="00000000" w:rsidP="00000000" w:rsidRDefault="00000000" w:rsidRPr="00000000" w14:paraId="00000131">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32">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135">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36">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03874/INFOEM/IP/RR/2021</w:t>
          </w:r>
        </w:p>
      </w:tc>
    </w:tr>
    <w:tr>
      <w:trPr>
        <w:cantSplit w:val="0"/>
        <w:trHeight w:val="228" w:hRule="atLeast"/>
        <w:tblHeader w:val="0"/>
      </w:trPr>
      <w:tc>
        <w:tcPr>
          <w:vAlign w:val="center"/>
        </w:tcPr>
        <w:p w:rsidR="00000000" w:rsidDel="00000000" w:rsidP="00000000" w:rsidRDefault="00000000" w:rsidRPr="00000000" w14:paraId="00000137">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138">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Instituto Electoral del Estado de México</w:t>
          </w:r>
        </w:p>
      </w:tc>
    </w:tr>
    <w:tr>
      <w:trPr>
        <w:cantSplit w:val="0"/>
        <w:tblHeader w:val="0"/>
      </w:trPr>
      <w:tc>
        <w:tcPr>
          <w:vAlign w:val="center"/>
        </w:tcPr>
        <w:p w:rsidR="00000000" w:rsidDel="00000000" w:rsidP="00000000" w:rsidRDefault="00000000" w:rsidRPr="00000000" w14:paraId="00000139">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3A">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-1249679</wp:posOffset>
          </wp:positionV>
          <wp:extent cx="7635163" cy="9944100"/>
          <wp:effectExtent b="0" l="0" r="0" t="0"/>
          <wp:wrapNone/>
          <wp:docPr id="39"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7635163" cy="9944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B380D"/>
    <w:pPr>
      <w:spacing w:after="0" w:line="240" w:lineRule="auto"/>
    </w:pPr>
    <w:rPr>
      <w:rFonts w:ascii="Times New Roman" w:cs="Times New Roman" w:eastAsia="Times New Roman" w:hAnsi="Times New Roman"/>
      <w:sz w:val="24"/>
      <w:szCs w:val="24"/>
      <w:lang w:eastAsia="es-ES"/>
    </w:rPr>
  </w:style>
  <w:style w:type="paragraph" w:styleId="Ttulo1">
    <w:name w:val="heading 1"/>
    <w:basedOn w:val="Normal"/>
    <w:next w:val="Normal"/>
    <w:link w:val="Ttulo1Car"/>
    <w:uiPriority w:val="9"/>
    <w:qFormat w:val="1"/>
    <w:rsid w:val="004F5E85"/>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B380D"/>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1B380D"/>
    <w:rPr>
      <w:rFonts w:eastAsiaTheme="minorEastAsia"/>
      <w:sz w:val="24"/>
      <w:szCs w:val="24"/>
      <w:lang w:eastAsia="es-ES" w:val="es-ES_tradnl"/>
    </w:rPr>
  </w:style>
  <w:style w:type="paragraph" w:styleId="Piedepgina">
    <w:name w:val="footer"/>
    <w:basedOn w:val="Normal"/>
    <w:link w:val="PiedepginaCar"/>
    <w:uiPriority w:val="99"/>
    <w:unhideWhenUsed w:val="1"/>
    <w:rsid w:val="001B380D"/>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1B380D"/>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1B380D"/>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1B380D"/>
    <w:pPr>
      <w:ind w:left="708"/>
    </w:pPr>
    <w:rPr>
      <w:sz w:val="22"/>
      <w:szCs w:val="22"/>
      <w:lang w:eastAsia="en-US"/>
    </w:rPr>
  </w:style>
  <w:style w:type="character" w:styleId="normaltextrun" w:customStyle="1">
    <w:name w:val="normaltextrun"/>
    <w:basedOn w:val="Fuentedeprrafopredeter"/>
    <w:rsid w:val="001B380D"/>
  </w:style>
  <w:style w:type="character" w:styleId="apple-converted-space" w:customStyle="1">
    <w:name w:val="apple-converted-space"/>
    <w:basedOn w:val="Fuentedeprrafopredeter"/>
    <w:rsid w:val="001B380D"/>
  </w:style>
  <w:style w:type="character" w:styleId="Hipervnculo">
    <w:name w:val="Hyperlink"/>
    <w:basedOn w:val="Fuentedeprrafopredeter"/>
    <w:uiPriority w:val="99"/>
    <w:unhideWhenUsed w:val="1"/>
    <w:rsid w:val="001B380D"/>
    <w:rPr>
      <w:color w:val="0000ff"/>
      <w:u w:val="single"/>
    </w:rPr>
  </w:style>
  <w:style w:type="character" w:styleId="Ttulo1Car" w:customStyle="1">
    <w:name w:val="Título 1 Car"/>
    <w:basedOn w:val="Fuentedeprrafopredeter"/>
    <w:link w:val="Ttulo1"/>
    <w:uiPriority w:val="9"/>
    <w:rsid w:val="004F5E85"/>
    <w:rPr>
      <w:rFonts w:asciiTheme="majorHAnsi" w:cstheme="majorBidi" w:eastAsiaTheme="majorEastAsia" w:hAnsiTheme="majorHAnsi"/>
      <w:color w:val="2e74b5" w:themeColor="accent1" w:themeShade="0000BF"/>
      <w:sz w:val="32"/>
      <w:szCs w:val="32"/>
      <w:lang w:eastAsia="es-ES"/>
    </w:rPr>
  </w:style>
  <w:style w:type="paragraph" w:styleId="NormalWeb">
    <w:name w:val="Normal (Web)"/>
    <w:basedOn w:val="Normal"/>
    <w:uiPriority w:val="99"/>
    <w:unhideWhenUsed w:val="1"/>
    <w:rsid w:val="004F5E85"/>
    <w:pPr>
      <w:spacing w:after="100" w:afterAutospacing="1" w:before="100" w:beforeAutospacing="1"/>
    </w:pPr>
    <w:rPr>
      <w:lang w:eastAsia="es-MX"/>
    </w:rPr>
  </w:style>
  <w:style w:type="character" w:styleId="Hipervnculovisitado">
    <w:name w:val="FollowedHyperlink"/>
    <w:basedOn w:val="Fuentedeprrafopredeter"/>
    <w:uiPriority w:val="99"/>
    <w:semiHidden w:val="1"/>
    <w:unhideWhenUsed w:val="1"/>
    <w:rsid w:val="004F5E85"/>
    <w:rPr>
      <w:color w:val="954f72" w:themeColor="followedHyperlink"/>
      <w:u w:val="single"/>
    </w:rPr>
  </w:style>
  <w:style w:type="paragraph" w:styleId="Sinespaciado">
    <w:name w:val="No Spacing"/>
    <w:aliases w:val="Francesa,INAI"/>
    <w:link w:val="SinespaciadoCar"/>
    <w:uiPriority w:val="1"/>
    <w:qFormat w:val="1"/>
    <w:rsid w:val="004F5E85"/>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4F5E85"/>
    <w:rPr>
      <w:rFonts w:ascii="Times New Roman" w:cs="Times New Roman" w:eastAsia="Times New Roman" w:hAnsi="Times New Roman"/>
      <w:sz w:val="24"/>
      <w:szCs w:val="24"/>
      <w:lang w:eastAsia="es-ES"/>
    </w:rPr>
  </w:style>
  <w:style w:type="character" w:styleId="Textoennegrita">
    <w:name w:val="Strong"/>
    <w:basedOn w:val="Fuentedeprrafopredeter"/>
    <w:uiPriority w:val="22"/>
    <w:qFormat w:val="1"/>
    <w:rsid w:val="004F5E85"/>
    <w:rPr>
      <w:b w:val="1"/>
      <w:bCs w:val="1"/>
    </w:rPr>
  </w:style>
  <w:style w:type="paragraph" w:styleId="Textodeglobo">
    <w:name w:val="Balloon Text"/>
    <w:basedOn w:val="Normal"/>
    <w:link w:val="TextodegloboCar"/>
    <w:uiPriority w:val="99"/>
    <w:semiHidden w:val="1"/>
    <w:unhideWhenUsed w:val="1"/>
    <w:rsid w:val="004F5E85"/>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4F5E85"/>
    <w:rPr>
      <w:rFonts w:ascii="Segoe UI" w:cs="Segoe UI" w:eastAsia="Times New Roman" w:hAnsi="Segoe UI"/>
      <w:sz w:val="18"/>
      <w:szCs w:val="18"/>
      <w:lang w:eastAsia="es-ES"/>
    </w:rPr>
  </w:style>
  <w:style w:type="table" w:styleId="Tabladelista1clara-nfasis1">
    <w:name w:val="List Table 1 Light Accent 1"/>
    <w:basedOn w:val="Tablanormal"/>
    <w:uiPriority w:val="46"/>
    <w:rsid w:val="004F5E85"/>
    <w:pPr>
      <w:spacing w:after="0" w:line="240" w:lineRule="auto"/>
    </w:pPr>
    <w:rPr>
      <w:rFonts w:eastAsiaTheme="minorEastAsia"/>
      <w:sz w:val="24"/>
      <w:szCs w:val="24"/>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Tablaconcuadrcula">
    <w:name w:val="Table Grid"/>
    <w:basedOn w:val="Tablanormal"/>
    <w:uiPriority w:val="39"/>
    <w:rsid w:val="00116A6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customStyle="1">
    <w:name w:val="Unresolved Mention"/>
    <w:basedOn w:val="Fuentedeprrafopredeter"/>
    <w:uiPriority w:val="99"/>
    <w:semiHidden w:val="1"/>
    <w:unhideWhenUsed w:val="1"/>
    <w:rsid w:val="00C2534E"/>
    <w:rPr>
      <w:color w:val="605e5c"/>
      <w:shd w:color="auto" w:fill="e1dfdd" w:val="clear"/>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rsid w:val="00D03E2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D03E22"/>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03E22"/>
    <w:rPr>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image" Target="media/image11.png"/><Relationship Id="rId42" Type="http://schemas.openxmlformats.org/officeDocument/2006/relationships/header" Target="header1.xml"/><Relationship Id="rId41" Type="http://schemas.openxmlformats.org/officeDocument/2006/relationships/header" Target="header2.xml"/><Relationship Id="rId22" Type="http://schemas.openxmlformats.org/officeDocument/2006/relationships/hyperlink" Target="https://www.saimex.org.mx/saimex/solicitud/downloadAttach/1191781.page" TargetMode="External"/><Relationship Id="rId44" Type="http://schemas.openxmlformats.org/officeDocument/2006/relationships/footer" Target="footer1.xml"/><Relationship Id="rId21" Type="http://schemas.openxmlformats.org/officeDocument/2006/relationships/hyperlink" Target="https://www.saimex.org.mx/saimex/solicitud/downloadAttach/1191780.page" TargetMode="External"/><Relationship Id="rId43" Type="http://schemas.openxmlformats.org/officeDocument/2006/relationships/footer" Target="footer2.xml"/><Relationship Id="rId24" Type="http://schemas.openxmlformats.org/officeDocument/2006/relationships/hyperlink" Target="https://www.saimex.org.mx/saimex/solicitud/downloadAttach/1191782.page" TargetMode="External"/><Relationship Id="rId23" Type="http://schemas.openxmlformats.org/officeDocument/2006/relationships/hyperlink" Target="https://www.saimex.org.mx/saimex/solicitud/downloadAttach/1154228.pag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aimex.org.mx/saimex/solicitud/downloadAttach/1172681.page" TargetMode="External"/><Relationship Id="rId26" Type="http://schemas.openxmlformats.org/officeDocument/2006/relationships/hyperlink" Target="https://www.saimex.org.mx/saimex/solicitud/downloadAttach/1191783.page" TargetMode="External"/><Relationship Id="rId25" Type="http://schemas.openxmlformats.org/officeDocument/2006/relationships/hyperlink" Target="https://www.saimex.org.mx/saimex/solicitud/downloadAttach/1154228.page" TargetMode="External"/><Relationship Id="rId28" Type="http://schemas.openxmlformats.org/officeDocument/2006/relationships/image" Target="media/image6.png"/><Relationship Id="rId27" Type="http://schemas.openxmlformats.org/officeDocument/2006/relationships/hyperlink" Target="https://www.saimex.org.mx/saimex/solicitud/downloadAttach/1280512.page"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saimex.org.mx/saimex/ciudadano/login.page" TargetMode="External"/><Relationship Id="rId7" Type="http://schemas.openxmlformats.org/officeDocument/2006/relationships/customXml" Target="../customXML/item1.xml"/><Relationship Id="rId8" Type="http://schemas.openxmlformats.org/officeDocument/2006/relationships/hyperlink" Target="https://www.saimex.org.mx/saimex/solicitud/downloadAttach/1172680.page" TargetMode="External"/><Relationship Id="rId31" Type="http://schemas.openxmlformats.org/officeDocument/2006/relationships/image" Target="media/image1.png"/><Relationship Id="rId30" Type="http://schemas.openxmlformats.org/officeDocument/2006/relationships/hyperlink" Target="https://www.saimex.org.mx/saimex/solicitud/downloadAttach/1280512.page" TargetMode="External"/><Relationship Id="rId11" Type="http://schemas.openxmlformats.org/officeDocument/2006/relationships/hyperlink" Target="https://www.saimex.org.mx/saimex/solicitud/downloadAttach/1172682.page" TargetMode="External"/><Relationship Id="rId33" Type="http://schemas.openxmlformats.org/officeDocument/2006/relationships/image" Target="media/image8.png"/><Relationship Id="rId10" Type="http://schemas.openxmlformats.org/officeDocument/2006/relationships/hyperlink" Target="https://www.saimex.org.mx/saimex/solicitud/downloadAttach/1147721.page" TargetMode="External"/><Relationship Id="rId32" Type="http://schemas.openxmlformats.org/officeDocument/2006/relationships/image" Target="media/image12.png"/><Relationship Id="rId13" Type="http://schemas.openxmlformats.org/officeDocument/2006/relationships/hyperlink" Target="https://www.saimex.org.mx/saimex/solicitud/downloadAttach/1173848.page" TargetMode="External"/><Relationship Id="rId35" Type="http://schemas.openxmlformats.org/officeDocument/2006/relationships/image" Target="media/image3.png"/><Relationship Id="rId12" Type="http://schemas.openxmlformats.org/officeDocument/2006/relationships/hyperlink" Target="https://www.saimex.org.mx/saimex/solicitud/downloadAttach/1147721.page" TargetMode="External"/><Relationship Id="rId34" Type="http://schemas.openxmlformats.org/officeDocument/2006/relationships/image" Target="media/image10.png"/><Relationship Id="rId15" Type="http://schemas.openxmlformats.org/officeDocument/2006/relationships/hyperlink" Target="https://www.saimex.org.mx/saimex/solicitud/downloadAttach/1173849.page" TargetMode="External"/><Relationship Id="rId37" Type="http://schemas.openxmlformats.org/officeDocument/2006/relationships/image" Target="media/image5.png"/><Relationship Id="rId14" Type="http://schemas.openxmlformats.org/officeDocument/2006/relationships/hyperlink" Target="https://www.ieem.org.mx/2021/LISTADO_2021.pdf" TargetMode="External"/><Relationship Id="rId36" Type="http://schemas.openxmlformats.org/officeDocument/2006/relationships/image" Target="media/image2.png"/><Relationship Id="rId17" Type="http://schemas.openxmlformats.org/officeDocument/2006/relationships/hyperlink" Target="https://www.saimex.org.mx/saimex/solicitud/downloadAttach/1191778.page" TargetMode="External"/><Relationship Id="rId39" Type="http://schemas.openxmlformats.org/officeDocument/2006/relationships/hyperlink" Target="https://www.saimex.org.mx/saimex/solicitud/downloadAttach/1280516.page" TargetMode="External"/><Relationship Id="rId16" Type="http://schemas.openxmlformats.org/officeDocument/2006/relationships/hyperlink" Target="https://www.saimex.org.mx/saimex/solicitud/downloadAttach/1191777.page" TargetMode="External"/><Relationship Id="rId38" Type="http://schemas.openxmlformats.org/officeDocument/2006/relationships/image" Target="media/image9.png"/><Relationship Id="rId19" Type="http://schemas.openxmlformats.org/officeDocument/2006/relationships/hyperlink" Target="https://www.saimex.org.mx/saimex/solicitud/downloadAttach/1191779.page" TargetMode="External"/><Relationship Id="rId18" Type="http://schemas.openxmlformats.org/officeDocument/2006/relationships/hyperlink" Target="https://www.saimex.org.mx/saimex/solicitud/downloadAttach/1154224.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oFe7Lo4LjvoNUdBd1pj/tlSWw==">AMUW2mUntuxv82ytXUZk8oCjpkAdLKbQuGSl43AiK2VKtdiy5JdMVuNEQ6JoE66BVa1PVnyN7L2MC3mgEWBekQJO0nqasqBAudlZTfwGbJ7avrYLlyP0ekEgN9ZmUeHIsmClXMcSWa4/LAkriLQqjlnHyRYvTXsqGeAuyRwRpOSlaj5HjpaDEE6eMxnmrwRLxeQK100ADB7e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2021-11-29T21:58:00Z</dcterms:created>
  <dc:creator>USUARIO</dc:creator>
</cp:coreProperties>
</file>