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FDB85" w14:textId="77777777" w:rsidR="009B3353" w:rsidRPr="0046696A" w:rsidRDefault="009B3353" w:rsidP="000C1184">
      <w:pPr>
        <w:tabs>
          <w:tab w:val="left" w:pos="0"/>
          <w:tab w:val="left" w:pos="3720"/>
          <w:tab w:val="center" w:pos="4419"/>
        </w:tabs>
        <w:spacing w:line="360" w:lineRule="auto"/>
        <w:jc w:val="center"/>
        <w:rPr>
          <w:rFonts w:ascii="Palatino Linotype" w:eastAsia="MS Mincho" w:hAnsi="Palatino Linotype"/>
          <w:lang w:val="es-ES_tradnl"/>
        </w:rPr>
      </w:pPr>
      <w:r w:rsidRPr="0046696A">
        <w:rPr>
          <w:rFonts w:ascii="Palatino Linotype" w:eastAsia="MS Mincho" w:hAnsi="Palatino Linotype"/>
          <w:b/>
          <w:lang w:val="es-ES_tradnl"/>
        </w:rPr>
        <w:t>ÍNDICE</w:t>
      </w:r>
      <w:r w:rsidRPr="0046696A">
        <w:rPr>
          <w:rFonts w:ascii="Palatino Linotype" w:eastAsia="MS Mincho" w:hAnsi="Palatino Linotype"/>
          <w:lang w:val="es-ES_tradnl"/>
        </w:rPr>
        <w:t>.</w:t>
      </w:r>
      <w:bookmarkStart w:id="0" w:name="_GoBack"/>
      <w:bookmarkEnd w:id="0"/>
    </w:p>
    <w:sdt>
      <w:sdtPr>
        <w:rPr>
          <w:rFonts w:ascii="Palatino Linotype" w:eastAsia="Calibri" w:hAnsi="Palatino Linotype"/>
          <w:b/>
          <w:lang w:eastAsia="en-US"/>
        </w:rPr>
        <w:id w:val="-1091387415"/>
        <w:docPartObj>
          <w:docPartGallery w:val="Table of Contents"/>
          <w:docPartUnique/>
        </w:docPartObj>
      </w:sdtPr>
      <w:sdtEndPr>
        <w:rPr>
          <w:bCs/>
        </w:rPr>
      </w:sdtEndPr>
      <w:sdtContent>
        <w:p w14:paraId="2D557F05" w14:textId="05842F6F" w:rsidR="009B3353" w:rsidRPr="0046696A" w:rsidRDefault="009B3353" w:rsidP="0046696A">
          <w:pPr>
            <w:keepNext/>
            <w:keepLines/>
            <w:tabs>
              <w:tab w:val="left" w:pos="0"/>
            </w:tabs>
            <w:spacing w:line="360" w:lineRule="auto"/>
            <w:rPr>
              <w:rFonts w:ascii="Palatino Linotype" w:hAnsi="Palatino Linotype"/>
              <w:b/>
              <w:color w:val="000000" w:themeColor="text1"/>
              <w:sz w:val="22"/>
              <w:szCs w:val="22"/>
              <w:lang w:val="es-MX" w:eastAsia="es-MX"/>
            </w:rPr>
          </w:pPr>
        </w:p>
        <w:p w14:paraId="631F5070" w14:textId="77777777" w:rsidR="003E65E9" w:rsidRDefault="009B3353" w:rsidP="003E65E9">
          <w:pPr>
            <w:pStyle w:val="TDC1"/>
            <w:tabs>
              <w:tab w:val="right" w:leader="dot" w:pos="8828"/>
            </w:tabs>
            <w:spacing w:after="0"/>
            <w:rPr>
              <w:rFonts w:asciiTheme="minorHAnsi" w:eastAsiaTheme="minorEastAsia" w:hAnsiTheme="minorHAnsi" w:cstheme="minorBidi"/>
              <w:noProof/>
              <w:sz w:val="22"/>
              <w:szCs w:val="22"/>
              <w:lang w:val="es-MX" w:eastAsia="es-MX"/>
            </w:rPr>
          </w:pPr>
          <w:r w:rsidRPr="0046696A">
            <w:rPr>
              <w:rFonts w:ascii="Palatino Linotype" w:eastAsia="Calibri" w:hAnsi="Palatino Linotype"/>
              <w:color w:val="000000" w:themeColor="text1"/>
              <w:sz w:val="22"/>
              <w:szCs w:val="22"/>
              <w:lang w:val="es-MX" w:eastAsia="en-US"/>
            </w:rPr>
            <w:fldChar w:fldCharType="begin"/>
          </w:r>
          <w:r w:rsidRPr="0046696A">
            <w:rPr>
              <w:rFonts w:ascii="Palatino Linotype" w:eastAsia="Calibri" w:hAnsi="Palatino Linotype"/>
              <w:color w:val="000000" w:themeColor="text1"/>
              <w:sz w:val="22"/>
              <w:szCs w:val="22"/>
              <w:lang w:val="es-MX" w:eastAsia="en-US"/>
            </w:rPr>
            <w:instrText xml:space="preserve"> TOC \o "1-3" \h \z \u </w:instrText>
          </w:r>
          <w:r w:rsidRPr="0046696A">
            <w:rPr>
              <w:rFonts w:ascii="Palatino Linotype" w:eastAsia="Calibri" w:hAnsi="Palatino Linotype"/>
              <w:color w:val="000000" w:themeColor="text1"/>
              <w:sz w:val="22"/>
              <w:szCs w:val="22"/>
              <w:lang w:val="es-MX" w:eastAsia="en-US"/>
            </w:rPr>
            <w:fldChar w:fldCharType="separate"/>
          </w:r>
          <w:hyperlink w:anchor="_Toc85717348" w:history="1">
            <w:r w:rsidR="003E65E9" w:rsidRPr="00B801D3">
              <w:rPr>
                <w:rStyle w:val="Hipervnculo"/>
                <w:rFonts w:ascii="Palatino Linotype" w:hAnsi="Palatino Linotype"/>
                <w:b/>
                <w:noProof/>
                <w:lang w:val="es-MX" w:eastAsia="en-US"/>
              </w:rPr>
              <w:t>ANTECEDENTES</w:t>
            </w:r>
            <w:r w:rsidR="003E65E9">
              <w:rPr>
                <w:noProof/>
                <w:webHidden/>
              </w:rPr>
              <w:tab/>
            </w:r>
            <w:r w:rsidR="003E65E9">
              <w:rPr>
                <w:noProof/>
                <w:webHidden/>
              </w:rPr>
              <w:fldChar w:fldCharType="begin"/>
            </w:r>
            <w:r w:rsidR="003E65E9">
              <w:rPr>
                <w:noProof/>
                <w:webHidden/>
              </w:rPr>
              <w:instrText xml:space="preserve"> PAGEREF _Toc85717348 \h </w:instrText>
            </w:r>
            <w:r w:rsidR="003E65E9">
              <w:rPr>
                <w:noProof/>
                <w:webHidden/>
              </w:rPr>
            </w:r>
            <w:r w:rsidR="003E65E9">
              <w:rPr>
                <w:noProof/>
                <w:webHidden/>
              </w:rPr>
              <w:fldChar w:fldCharType="separate"/>
            </w:r>
            <w:r w:rsidR="002C42D4">
              <w:rPr>
                <w:noProof/>
                <w:webHidden/>
              </w:rPr>
              <w:t>2</w:t>
            </w:r>
            <w:r w:rsidR="003E65E9">
              <w:rPr>
                <w:noProof/>
                <w:webHidden/>
              </w:rPr>
              <w:fldChar w:fldCharType="end"/>
            </w:r>
          </w:hyperlink>
        </w:p>
        <w:p w14:paraId="435DD512"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49" w:history="1">
            <w:r w:rsidR="003E65E9" w:rsidRPr="00B801D3">
              <w:rPr>
                <w:rStyle w:val="Hipervnculo"/>
                <w:rFonts w:ascii="Palatino Linotype" w:hAnsi="Palatino Linotype"/>
                <w:b/>
                <w:noProof/>
                <w:lang w:val="es-MX" w:eastAsia="en-US"/>
              </w:rPr>
              <w:t>CONSIDERANDO</w:t>
            </w:r>
            <w:r w:rsidR="003E65E9">
              <w:rPr>
                <w:noProof/>
                <w:webHidden/>
              </w:rPr>
              <w:tab/>
            </w:r>
            <w:r w:rsidR="003E65E9">
              <w:rPr>
                <w:noProof/>
                <w:webHidden/>
              </w:rPr>
              <w:fldChar w:fldCharType="begin"/>
            </w:r>
            <w:r w:rsidR="003E65E9">
              <w:rPr>
                <w:noProof/>
                <w:webHidden/>
              </w:rPr>
              <w:instrText xml:space="preserve"> PAGEREF _Toc85717349 \h </w:instrText>
            </w:r>
            <w:r w:rsidR="003E65E9">
              <w:rPr>
                <w:noProof/>
                <w:webHidden/>
              </w:rPr>
            </w:r>
            <w:r w:rsidR="003E65E9">
              <w:rPr>
                <w:noProof/>
                <w:webHidden/>
              </w:rPr>
              <w:fldChar w:fldCharType="separate"/>
            </w:r>
            <w:r w:rsidR="002C42D4">
              <w:rPr>
                <w:noProof/>
                <w:webHidden/>
              </w:rPr>
              <w:t>7</w:t>
            </w:r>
            <w:r w:rsidR="003E65E9">
              <w:rPr>
                <w:noProof/>
                <w:webHidden/>
              </w:rPr>
              <w:fldChar w:fldCharType="end"/>
            </w:r>
          </w:hyperlink>
        </w:p>
        <w:p w14:paraId="01C3DB1A"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0" w:history="1">
            <w:r w:rsidR="003E65E9" w:rsidRPr="00B801D3">
              <w:rPr>
                <w:rStyle w:val="Hipervnculo"/>
                <w:rFonts w:ascii="Palatino Linotype" w:hAnsi="Palatino Linotype"/>
                <w:b/>
                <w:noProof/>
                <w:lang w:val="es-MX" w:eastAsia="en-US"/>
              </w:rPr>
              <w:t>PRIMERO. De la competencia.</w:t>
            </w:r>
            <w:r w:rsidR="003E65E9">
              <w:rPr>
                <w:noProof/>
                <w:webHidden/>
              </w:rPr>
              <w:tab/>
            </w:r>
            <w:r w:rsidR="003E65E9">
              <w:rPr>
                <w:noProof/>
                <w:webHidden/>
              </w:rPr>
              <w:fldChar w:fldCharType="begin"/>
            </w:r>
            <w:r w:rsidR="003E65E9">
              <w:rPr>
                <w:noProof/>
                <w:webHidden/>
              </w:rPr>
              <w:instrText xml:space="preserve"> PAGEREF _Toc85717350 \h </w:instrText>
            </w:r>
            <w:r w:rsidR="003E65E9">
              <w:rPr>
                <w:noProof/>
                <w:webHidden/>
              </w:rPr>
            </w:r>
            <w:r w:rsidR="003E65E9">
              <w:rPr>
                <w:noProof/>
                <w:webHidden/>
              </w:rPr>
              <w:fldChar w:fldCharType="separate"/>
            </w:r>
            <w:r w:rsidR="002C42D4">
              <w:rPr>
                <w:noProof/>
                <w:webHidden/>
              </w:rPr>
              <w:t>7</w:t>
            </w:r>
            <w:r w:rsidR="003E65E9">
              <w:rPr>
                <w:noProof/>
                <w:webHidden/>
              </w:rPr>
              <w:fldChar w:fldCharType="end"/>
            </w:r>
          </w:hyperlink>
        </w:p>
        <w:p w14:paraId="51B91377"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1" w:history="1">
            <w:r w:rsidR="003E65E9" w:rsidRPr="00B801D3">
              <w:rPr>
                <w:rStyle w:val="Hipervnculo"/>
                <w:rFonts w:ascii="Palatino Linotype" w:hAnsi="Palatino Linotype"/>
                <w:b/>
                <w:noProof/>
                <w:lang w:val="es-MX" w:eastAsia="en-US"/>
              </w:rPr>
              <w:t>SEGUNDO. De la oportunidad y procedencia.</w:t>
            </w:r>
            <w:r w:rsidR="003E65E9">
              <w:rPr>
                <w:noProof/>
                <w:webHidden/>
              </w:rPr>
              <w:tab/>
            </w:r>
            <w:r w:rsidR="003E65E9">
              <w:rPr>
                <w:noProof/>
                <w:webHidden/>
              </w:rPr>
              <w:fldChar w:fldCharType="begin"/>
            </w:r>
            <w:r w:rsidR="003E65E9">
              <w:rPr>
                <w:noProof/>
                <w:webHidden/>
              </w:rPr>
              <w:instrText xml:space="preserve"> PAGEREF _Toc85717351 \h </w:instrText>
            </w:r>
            <w:r w:rsidR="003E65E9">
              <w:rPr>
                <w:noProof/>
                <w:webHidden/>
              </w:rPr>
            </w:r>
            <w:r w:rsidR="003E65E9">
              <w:rPr>
                <w:noProof/>
                <w:webHidden/>
              </w:rPr>
              <w:fldChar w:fldCharType="separate"/>
            </w:r>
            <w:r w:rsidR="002C42D4">
              <w:rPr>
                <w:noProof/>
                <w:webHidden/>
              </w:rPr>
              <w:t>8</w:t>
            </w:r>
            <w:r w:rsidR="003E65E9">
              <w:rPr>
                <w:noProof/>
                <w:webHidden/>
              </w:rPr>
              <w:fldChar w:fldCharType="end"/>
            </w:r>
          </w:hyperlink>
        </w:p>
        <w:p w14:paraId="442C9DB7"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2" w:history="1">
            <w:r w:rsidR="003E65E9" w:rsidRPr="00B801D3">
              <w:rPr>
                <w:rStyle w:val="Hipervnculo"/>
                <w:rFonts w:ascii="Palatino Linotype" w:hAnsi="Palatino Linotype"/>
                <w:b/>
                <w:noProof/>
                <w:lang w:val="es-MX" w:eastAsia="en-US"/>
              </w:rPr>
              <w:t>I. De la interposición del recurso.</w:t>
            </w:r>
            <w:r w:rsidR="003E65E9">
              <w:rPr>
                <w:noProof/>
                <w:webHidden/>
              </w:rPr>
              <w:tab/>
            </w:r>
            <w:r w:rsidR="003E65E9">
              <w:rPr>
                <w:noProof/>
                <w:webHidden/>
              </w:rPr>
              <w:fldChar w:fldCharType="begin"/>
            </w:r>
            <w:r w:rsidR="003E65E9">
              <w:rPr>
                <w:noProof/>
                <w:webHidden/>
              </w:rPr>
              <w:instrText xml:space="preserve"> PAGEREF _Toc85717352 \h </w:instrText>
            </w:r>
            <w:r w:rsidR="003E65E9">
              <w:rPr>
                <w:noProof/>
                <w:webHidden/>
              </w:rPr>
            </w:r>
            <w:r w:rsidR="003E65E9">
              <w:rPr>
                <w:noProof/>
                <w:webHidden/>
              </w:rPr>
              <w:fldChar w:fldCharType="separate"/>
            </w:r>
            <w:r w:rsidR="002C42D4">
              <w:rPr>
                <w:noProof/>
                <w:webHidden/>
              </w:rPr>
              <w:t>8</w:t>
            </w:r>
            <w:r w:rsidR="003E65E9">
              <w:rPr>
                <w:noProof/>
                <w:webHidden/>
              </w:rPr>
              <w:fldChar w:fldCharType="end"/>
            </w:r>
          </w:hyperlink>
        </w:p>
        <w:p w14:paraId="7EAB4C05"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3" w:history="1">
            <w:r w:rsidR="003E65E9" w:rsidRPr="00B801D3">
              <w:rPr>
                <w:rStyle w:val="Hipervnculo"/>
                <w:rFonts w:ascii="Palatino Linotype" w:eastAsiaTheme="majorEastAsia" w:hAnsi="Palatino Linotype" w:cstheme="majorBidi"/>
                <w:b/>
                <w:noProof/>
              </w:rPr>
              <w:t xml:space="preserve">II. </w:t>
            </w:r>
            <w:r w:rsidR="003E65E9" w:rsidRPr="00B801D3">
              <w:rPr>
                <w:rStyle w:val="Hipervnculo"/>
                <w:rFonts w:ascii="Palatino Linotype" w:hAnsi="Palatino Linotype"/>
                <w:b/>
                <w:noProof/>
                <w:lang w:eastAsia="en-US"/>
              </w:rPr>
              <w:t>De la determinación sobre la procedibilidad del recurso.</w:t>
            </w:r>
            <w:r w:rsidR="003E65E9">
              <w:rPr>
                <w:noProof/>
                <w:webHidden/>
              </w:rPr>
              <w:tab/>
            </w:r>
            <w:r w:rsidR="003E65E9">
              <w:rPr>
                <w:noProof/>
                <w:webHidden/>
              </w:rPr>
              <w:fldChar w:fldCharType="begin"/>
            </w:r>
            <w:r w:rsidR="003E65E9">
              <w:rPr>
                <w:noProof/>
                <w:webHidden/>
              </w:rPr>
              <w:instrText xml:space="preserve"> PAGEREF _Toc85717353 \h </w:instrText>
            </w:r>
            <w:r w:rsidR="003E65E9">
              <w:rPr>
                <w:noProof/>
                <w:webHidden/>
              </w:rPr>
            </w:r>
            <w:r w:rsidR="003E65E9">
              <w:rPr>
                <w:noProof/>
                <w:webHidden/>
              </w:rPr>
              <w:fldChar w:fldCharType="separate"/>
            </w:r>
            <w:r w:rsidR="002C42D4">
              <w:rPr>
                <w:noProof/>
                <w:webHidden/>
              </w:rPr>
              <w:t>8</w:t>
            </w:r>
            <w:r w:rsidR="003E65E9">
              <w:rPr>
                <w:noProof/>
                <w:webHidden/>
              </w:rPr>
              <w:fldChar w:fldCharType="end"/>
            </w:r>
          </w:hyperlink>
        </w:p>
        <w:p w14:paraId="0C905428"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4" w:history="1">
            <w:r w:rsidR="003E65E9" w:rsidRPr="00B801D3">
              <w:rPr>
                <w:rStyle w:val="Hipervnculo"/>
                <w:rFonts w:ascii="Palatino Linotype" w:eastAsia="MS Mincho" w:hAnsi="Palatino Linotype"/>
                <w:b/>
                <w:noProof/>
                <w:lang w:val="es-ES_tradnl"/>
              </w:rPr>
              <w:t>TERCERO</w:t>
            </w:r>
            <w:r w:rsidR="003E65E9" w:rsidRPr="00B801D3">
              <w:rPr>
                <w:rStyle w:val="Hipervnculo"/>
                <w:rFonts w:ascii="Palatino Linotype" w:hAnsi="Palatino Linotype"/>
                <w:b/>
                <w:noProof/>
              </w:rPr>
              <w:t xml:space="preserve">. </w:t>
            </w:r>
            <w:r w:rsidR="003E65E9" w:rsidRPr="00B801D3">
              <w:rPr>
                <w:rStyle w:val="Hipervnculo"/>
                <w:rFonts w:ascii="Palatino Linotype" w:hAnsi="Palatino Linotype"/>
                <w:b/>
                <w:noProof/>
                <w:lang w:val="es-MX" w:eastAsia="en-US"/>
              </w:rPr>
              <w:t xml:space="preserve">Del planteamiento de la </w:t>
            </w:r>
            <w:r w:rsidR="003E65E9" w:rsidRPr="00B801D3">
              <w:rPr>
                <w:rStyle w:val="Hipervnculo"/>
                <w:rFonts w:ascii="Palatino Linotype" w:hAnsi="Palatino Linotype"/>
                <w:b/>
                <w:i/>
                <w:noProof/>
                <w:lang w:val="es-MX" w:eastAsia="en-US"/>
              </w:rPr>
              <w:t>Litis.</w:t>
            </w:r>
            <w:r w:rsidR="003E65E9">
              <w:rPr>
                <w:noProof/>
                <w:webHidden/>
              </w:rPr>
              <w:tab/>
            </w:r>
            <w:r w:rsidR="003E65E9">
              <w:rPr>
                <w:noProof/>
                <w:webHidden/>
              </w:rPr>
              <w:fldChar w:fldCharType="begin"/>
            </w:r>
            <w:r w:rsidR="003E65E9">
              <w:rPr>
                <w:noProof/>
                <w:webHidden/>
              </w:rPr>
              <w:instrText xml:space="preserve"> PAGEREF _Toc85717354 \h </w:instrText>
            </w:r>
            <w:r w:rsidR="003E65E9">
              <w:rPr>
                <w:noProof/>
                <w:webHidden/>
              </w:rPr>
            </w:r>
            <w:r w:rsidR="003E65E9">
              <w:rPr>
                <w:noProof/>
                <w:webHidden/>
              </w:rPr>
              <w:fldChar w:fldCharType="separate"/>
            </w:r>
            <w:r w:rsidR="002C42D4">
              <w:rPr>
                <w:noProof/>
                <w:webHidden/>
              </w:rPr>
              <w:t>9</w:t>
            </w:r>
            <w:r w:rsidR="003E65E9">
              <w:rPr>
                <w:noProof/>
                <w:webHidden/>
              </w:rPr>
              <w:fldChar w:fldCharType="end"/>
            </w:r>
          </w:hyperlink>
        </w:p>
        <w:p w14:paraId="17F92B38"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5" w:history="1">
            <w:r w:rsidR="003E65E9" w:rsidRPr="00B801D3">
              <w:rPr>
                <w:rStyle w:val="Hipervnculo"/>
                <w:rFonts w:ascii="Palatino Linotype" w:hAnsi="Palatino Linotype"/>
                <w:b/>
                <w:noProof/>
                <w:lang w:val="es-MX" w:eastAsia="en-US"/>
              </w:rPr>
              <w:t>CUARTO. Estudio y resolución del asunto.</w:t>
            </w:r>
            <w:r w:rsidR="003E65E9">
              <w:rPr>
                <w:noProof/>
                <w:webHidden/>
              </w:rPr>
              <w:tab/>
            </w:r>
            <w:r w:rsidR="003E65E9">
              <w:rPr>
                <w:noProof/>
                <w:webHidden/>
              </w:rPr>
              <w:fldChar w:fldCharType="begin"/>
            </w:r>
            <w:r w:rsidR="003E65E9">
              <w:rPr>
                <w:noProof/>
                <w:webHidden/>
              </w:rPr>
              <w:instrText xml:space="preserve"> PAGEREF _Toc85717355 \h </w:instrText>
            </w:r>
            <w:r w:rsidR="003E65E9">
              <w:rPr>
                <w:noProof/>
                <w:webHidden/>
              </w:rPr>
            </w:r>
            <w:r w:rsidR="003E65E9">
              <w:rPr>
                <w:noProof/>
                <w:webHidden/>
              </w:rPr>
              <w:fldChar w:fldCharType="separate"/>
            </w:r>
            <w:r w:rsidR="002C42D4">
              <w:rPr>
                <w:noProof/>
                <w:webHidden/>
              </w:rPr>
              <w:t>10</w:t>
            </w:r>
            <w:r w:rsidR="003E65E9">
              <w:rPr>
                <w:noProof/>
                <w:webHidden/>
              </w:rPr>
              <w:fldChar w:fldCharType="end"/>
            </w:r>
          </w:hyperlink>
        </w:p>
        <w:p w14:paraId="4CFBCF05" w14:textId="77777777" w:rsidR="003E65E9" w:rsidRDefault="006C4B20" w:rsidP="003E65E9">
          <w:pPr>
            <w:pStyle w:val="TDC3"/>
            <w:spacing w:after="0"/>
            <w:rPr>
              <w:rFonts w:asciiTheme="minorHAnsi" w:eastAsiaTheme="minorEastAsia" w:hAnsiTheme="minorHAnsi" w:cstheme="minorBidi"/>
              <w:noProof/>
              <w:sz w:val="22"/>
              <w:szCs w:val="22"/>
              <w:lang w:val="es-MX" w:eastAsia="es-MX"/>
            </w:rPr>
          </w:pPr>
          <w:hyperlink w:anchor="_Toc85717356" w:history="1">
            <w:r w:rsidR="003E65E9" w:rsidRPr="00B801D3">
              <w:rPr>
                <w:rStyle w:val="Hipervnculo"/>
                <w:rFonts w:ascii="Palatino Linotype" w:hAnsi="Palatino Linotype"/>
                <w:b/>
                <w:bCs/>
                <w:noProof/>
                <w:lang w:val="es-MX"/>
              </w:rPr>
              <w:t>I.</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bCs/>
                <w:noProof/>
                <w:lang w:val="es-MX"/>
              </w:rPr>
              <w:t>Del deber de las autoridades de promover, respetar, proteger y garantizar el derecho de acceso a la información pública.</w:t>
            </w:r>
            <w:r w:rsidR="003E65E9">
              <w:rPr>
                <w:noProof/>
                <w:webHidden/>
              </w:rPr>
              <w:tab/>
            </w:r>
            <w:r w:rsidR="003E65E9">
              <w:rPr>
                <w:noProof/>
                <w:webHidden/>
              </w:rPr>
              <w:fldChar w:fldCharType="begin"/>
            </w:r>
            <w:r w:rsidR="003E65E9">
              <w:rPr>
                <w:noProof/>
                <w:webHidden/>
              </w:rPr>
              <w:instrText xml:space="preserve"> PAGEREF _Toc85717356 \h </w:instrText>
            </w:r>
            <w:r w:rsidR="003E65E9">
              <w:rPr>
                <w:noProof/>
                <w:webHidden/>
              </w:rPr>
            </w:r>
            <w:r w:rsidR="003E65E9">
              <w:rPr>
                <w:noProof/>
                <w:webHidden/>
              </w:rPr>
              <w:fldChar w:fldCharType="separate"/>
            </w:r>
            <w:r w:rsidR="002C42D4">
              <w:rPr>
                <w:noProof/>
                <w:webHidden/>
              </w:rPr>
              <w:t>10</w:t>
            </w:r>
            <w:r w:rsidR="003E65E9">
              <w:rPr>
                <w:noProof/>
                <w:webHidden/>
              </w:rPr>
              <w:fldChar w:fldCharType="end"/>
            </w:r>
          </w:hyperlink>
        </w:p>
        <w:p w14:paraId="7341DE30"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57" w:history="1">
            <w:r w:rsidR="003E65E9" w:rsidRPr="00B801D3">
              <w:rPr>
                <w:rStyle w:val="Hipervnculo"/>
                <w:rFonts w:ascii="Palatino Linotype" w:hAnsi="Palatino Linotype"/>
                <w:b/>
                <w:noProof/>
                <w:lang w:val="es-MX" w:eastAsia="en-US"/>
              </w:rPr>
              <w:t>II.</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noProof/>
                <w:lang w:val="es-MX" w:eastAsia="en-US"/>
              </w:rPr>
              <w:t>De la solicitud de información y la respuesta otorgada.</w:t>
            </w:r>
            <w:r w:rsidR="003E65E9">
              <w:rPr>
                <w:noProof/>
                <w:webHidden/>
              </w:rPr>
              <w:tab/>
            </w:r>
            <w:r w:rsidR="003E65E9">
              <w:rPr>
                <w:noProof/>
                <w:webHidden/>
              </w:rPr>
              <w:fldChar w:fldCharType="begin"/>
            </w:r>
            <w:r w:rsidR="003E65E9">
              <w:rPr>
                <w:noProof/>
                <w:webHidden/>
              </w:rPr>
              <w:instrText xml:space="preserve"> PAGEREF _Toc85717357 \h </w:instrText>
            </w:r>
            <w:r w:rsidR="003E65E9">
              <w:rPr>
                <w:noProof/>
                <w:webHidden/>
              </w:rPr>
            </w:r>
            <w:r w:rsidR="003E65E9">
              <w:rPr>
                <w:noProof/>
                <w:webHidden/>
              </w:rPr>
              <w:fldChar w:fldCharType="separate"/>
            </w:r>
            <w:r w:rsidR="002C42D4">
              <w:rPr>
                <w:noProof/>
                <w:webHidden/>
              </w:rPr>
              <w:t>12</w:t>
            </w:r>
            <w:r w:rsidR="003E65E9">
              <w:rPr>
                <w:noProof/>
                <w:webHidden/>
              </w:rPr>
              <w:fldChar w:fldCharType="end"/>
            </w:r>
          </w:hyperlink>
        </w:p>
        <w:p w14:paraId="40F5BC71"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8" w:history="1">
            <w:r w:rsidR="003E65E9" w:rsidRPr="00B801D3">
              <w:rPr>
                <w:rStyle w:val="Hipervnculo"/>
                <w:rFonts w:ascii="Palatino Linotype" w:hAnsi="Palatino Linotype"/>
                <w:b/>
                <w:noProof/>
                <w:lang w:val="es-MX" w:eastAsia="en-US"/>
              </w:rPr>
              <w:t>III. De la naturaleza de la información solicitada.</w:t>
            </w:r>
            <w:r w:rsidR="003E65E9">
              <w:rPr>
                <w:noProof/>
                <w:webHidden/>
              </w:rPr>
              <w:tab/>
            </w:r>
            <w:r w:rsidR="003E65E9">
              <w:rPr>
                <w:noProof/>
                <w:webHidden/>
              </w:rPr>
              <w:fldChar w:fldCharType="begin"/>
            </w:r>
            <w:r w:rsidR="003E65E9">
              <w:rPr>
                <w:noProof/>
                <w:webHidden/>
              </w:rPr>
              <w:instrText xml:space="preserve"> PAGEREF _Toc85717358 \h </w:instrText>
            </w:r>
            <w:r w:rsidR="003E65E9">
              <w:rPr>
                <w:noProof/>
                <w:webHidden/>
              </w:rPr>
            </w:r>
            <w:r w:rsidR="003E65E9">
              <w:rPr>
                <w:noProof/>
                <w:webHidden/>
              </w:rPr>
              <w:fldChar w:fldCharType="separate"/>
            </w:r>
            <w:r w:rsidR="002C42D4">
              <w:rPr>
                <w:noProof/>
                <w:webHidden/>
              </w:rPr>
              <w:t>14</w:t>
            </w:r>
            <w:r w:rsidR="003E65E9">
              <w:rPr>
                <w:noProof/>
                <w:webHidden/>
              </w:rPr>
              <w:fldChar w:fldCharType="end"/>
            </w:r>
          </w:hyperlink>
        </w:p>
        <w:p w14:paraId="2E4B0F32"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59" w:history="1">
            <w:r w:rsidR="003E65E9" w:rsidRPr="00B801D3">
              <w:rPr>
                <w:rStyle w:val="Hipervnculo"/>
                <w:rFonts w:ascii="Palatino Linotype" w:hAnsi="Palatino Linotype"/>
                <w:b/>
                <w:noProof/>
              </w:rPr>
              <w:t>IV. Del cobro de la información.</w:t>
            </w:r>
            <w:r w:rsidR="003E65E9">
              <w:rPr>
                <w:noProof/>
                <w:webHidden/>
              </w:rPr>
              <w:tab/>
            </w:r>
            <w:r w:rsidR="003E65E9">
              <w:rPr>
                <w:noProof/>
                <w:webHidden/>
              </w:rPr>
              <w:fldChar w:fldCharType="begin"/>
            </w:r>
            <w:r w:rsidR="003E65E9">
              <w:rPr>
                <w:noProof/>
                <w:webHidden/>
              </w:rPr>
              <w:instrText xml:space="preserve"> PAGEREF _Toc85717359 \h </w:instrText>
            </w:r>
            <w:r w:rsidR="003E65E9">
              <w:rPr>
                <w:noProof/>
                <w:webHidden/>
              </w:rPr>
            </w:r>
            <w:r w:rsidR="003E65E9">
              <w:rPr>
                <w:noProof/>
                <w:webHidden/>
              </w:rPr>
              <w:fldChar w:fldCharType="separate"/>
            </w:r>
            <w:r w:rsidR="002C42D4">
              <w:rPr>
                <w:noProof/>
                <w:webHidden/>
              </w:rPr>
              <w:t>22</w:t>
            </w:r>
            <w:r w:rsidR="003E65E9">
              <w:rPr>
                <w:noProof/>
                <w:webHidden/>
              </w:rPr>
              <w:fldChar w:fldCharType="end"/>
            </w:r>
          </w:hyperlink>
        </w:p>
        <w:p w14:paraId="1092CA55"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0" w:history="1">
            <w:r w:rsidR="003E65E9" w:rsidRPr="00B801D3">
              <w:rPr>
                <w:rStyle w:val="Hipervnculo"/>
                <w:rFonts w:ascii="Palatino Linotype" w:hAnsi="Palatino Linotype"/>
                <w:b/>
                <w:noProof/>
              </w:rPr>
              <w:t>V. De las condiciones que se deberán observar en la entrega de la información.</w:t>
            </w:r>
            <w:r w:rsidR="003E65E9">
              <w:rPr>
                <w:noProof/>
                <w:webHidden/>
              </w:rPr>
              <w:tab/>
            </w:r>
            <w:r w:rsidR="003E65E9">
              <w:rPr>
                <w:noProof/>
                <w:webHidden/>
              </w:rPr>
              <w:fldChar w:fldCharType="begin"/>
            </w:r>
            <w:r w:rsidR="003E65E9">
              <w:rPr>
                <w:noProof/>
                <w:webHidden/>
              </w:rPr>
              <w:instrText xml:space="preserve"> PAGEREF _Toc85717360 \h </w:instrText>
            </w:r>
            <w:r w:rsidR="003E65E9">
              <w:rPr>
                <w:noProof/>
                <w:webHidden/>
              </w:rPr>
            </w:r>
            <w:r w:rsidR="003E65E9">
              <w:rPr>
                <w:noProof/>
                <w:webHidden/>
              </w:rPr>
              <w:fldChar w:fldCharType="separate"/>
            </w:r>
            <w:r w:rsidR="002C42D4">
              <w:rPr>
                <w:noProof/>
                <w:webHidden/>
              </w:rPr>
              <w:t>26</w:t>
            </w:r>
            <w:r w:rsidR="003E65E9">
              <w:rPr>
                <w:noProof/>
                <w:webHidden/>
              </w:rPr>
              <w:fldChar w:fldCharType="end"/>
            </w:r>
          </w:hyperlink>
        </w:p>
        <w:p w14:paraId="6A68D832"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1" w:history="1">
            <w:r w:rsidR="003E65E9" w:rsidRPr="00B801D3">
              <w:rPr>
                <w:rStyle w:val="Hipervnculo"/>
                <w:rFonts w:ascii="Palatino Linotype" w:eastAsia="MS Gothic" w:hAnsi="Palatino Linotype"/>
                <w:b/>
                <w:noProof/>
                <w:lang w:val="es-ES_tradnl" w:eastAsia="es-ES_tradnl"/>
              </w:rPr>
              <w:t xml:space="preserve">QUINTO. </w:t>
            </w:r>
            <w:r w:rsidR="003E65E9" w:rsidRPr="00B801D3">
              <w:rPr>
                <w:rStyle w:val="Hipervnculo"/>
                <w:rFonts w:ascii="Palatino Linotype" w:eastAsia="MS Mincho" w:hAnsi="Palatino Linotype"/>
                <w:b/>
                <w:noProof/>
                <w:lang w:val="es-ES_tradnl"/>
              </w:rPr>
              <w:t>De la elaboración de la versión pública y el acuerdo de clasificación como información confidencial o reservada.</w:t>
            </w:r>
            <w:r w:rsidR="003E65E9">
              <w:rPr>
                <w:noProof/>
                <w:webHidden/>
              </w:rPr>
              <w:tab/>
            </w:r>
            <w:r w:rsidR="003E65E9">
              <w:rPr>
                <w:noProof/>
                <w:webHidden/>
              </w:rPr>
              <w:fldChar w:fldCharType="begin"/>
            </w:r>
            <w:r w:rsidR="003E65E9">
              <w:rPr>
                <w:noProof/>
                <w:webHidden/>
              </w:rPr>
              <w:instrText xml:space="preserve"> PAGEREF _Toc85717361 \h </w:instrText>
            </w:r>
            <w:r w:rsidR="003E65E9">
              <w:rPr>
                <w:noProof/>
                <w:webHidden/>
              </w:rPr>
            </w:r>
            <w:r w:rsidR="003E65E9">
              <w:rPr>
                <w:noProof/>
                <w:webHidden/>
              </w:rPr>
              <w:fldChar w:fldCharType="separate"/>
            </w:r>
            <w:r w:rsidR="002C42D4">
              <w:rPr>
                <w:noProof/>
                <w:webHidden/>
              </w:rPr>
              <w:t>37</w:t>
            </w:r>
            <w:r w:rsidR="003E65E9">
              <w:rPr>
                <w:noProof/>
                <w:webHidden/>
              </w:rPr>
              <w:fldChar w:fldCharType="end"/>
            </w:r>
          </w:hyperlink>
        </w:p>
        <w:p w14:paraId="533AF4A4"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62" w:history="1">
            <w:r w:rsidR="003E65E9" w:rsidRPr="00B801D3">
              <w:rPr>
                <w:rStyle w:val="Hipervnculo"/>
                <w:rFonts w:ascii="Palatino Linotype" w:hAnsi="Palatino Linotype"/>
                <w:b/>
                <w:noProof/>
                <w:lang w:val="es-ES_tradnl"/>
              </w:rPr>
              <w:t>I.</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noProof/>
                <w:lang w:val="es-ES_tradnl"/>
              </w:rPr>
              <w:t>De la clasificación de la información.</w:t>
            </w:r>
            <w:r w:rsidR="003E65E9">
              <w:rPr>
                <w:noProof/>
                <w:webHidden/>
              </w:rPr>
              <w:tab/>
            </w:r>
            <w:r w:rsidR="003E65E9">
              <w:rPr>
                <w:noProof/>
                <w:webHidden/>
              </w:rPr>
              <w:fldChar w:fldCharType="begin"/>
            </w:r>
            <w:r w:rsidR="003E65E9">
              <w:rPr>
                <w:noProof/>
                <w:webHidden/>
              </w:rPr>
              <w:instrText xml:space="preserve"> PAGEREF _Toc85717362 \h </w:instrText>
            </w:r>
            <w:r w:rsidR="003E65E9">
              <w:rPr>
                <w:noProof/>
                <w:webHidden/>
              </w:rPr>
            </w:r>
            <w:r w:rsidR="003E65E9">
              <w:rPr>
                <w:noProof/>
                <w:webHidden/>
              </w:rPr>
              <w:fldChar w:fldCharType="separate"/>
            </w:r>
            <w:r w:rsidR="002C42D4">
              <w:rPr>
                <w:noProof/>
                <w:webHidden/>
              </w:rPr>
              <w:t>38</w:t>
            </w:r>
            <w:r w:rsidR="003E65E9">
              <w:rPr>
                <w:noProof/>
                <w:webHidden/>
              </w:rPr>
              <w:fldChar w:fldCharType="end"/>
            </w:r>
          </w:hyperlink>
        </w:p>
        <w:p w14:paraId="17C828CC"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3" w:history="1">
            <w:r w:rsidR="003E65E9" w:rsidRPr="00B801D3">
              <w:rPr>
                <w:rStyle w:val="Hipervnculo"/>
                <w:rFonts w:ascii="Palatino Linotype" w:hAnsi="Palatino Linotype"/>
                <w:b/>
                <w:noProof/>
                <w:lang w:val="es-MX" w:eastAsia="en-US"/>
              </w:rPr>
              <w:t>II. Requisitos previos.</w:t>
            </w:r>
            <w:r w:rsidR="003E65E9">
              <w:rPr>
                <w:noProof/>
                <w:webHidden/>
              </w:rPr>
              <w:tab/>
            </w:r>
            <w:r w:rsidR="003E65E9">
              <w:rPr>
                <w:noProof/>
                <w:webHidden/>
              </w:rPr>
              <w:fldChar w:fldCharType="begin"/>
            </w:r>
            <w:r w:rsidR="003E65E9">
              <w:rPr>
                <w:noProof/>
                <w:webHidden/>
              </w:rPr>
              <w:instrText xml:space="preserve"> PAGEREF _Toc85717363 \h </w:instrText>
            </w:r>
            <w:r w:rsidR="003E65E9">
              <w:rPr>
                <w:noProof/>
                <w:webHidden/>
              </w:rPr>
            </w:r>
            <w:r w:rsidR="003E65E9">
              <w:rPr>
                <w:noProof/>
                <w:webHidden/>
              </w:rPr>
              <w:fldChar w:fldCharType="separate"/>
            </w:r>
            <w:r w:rsidR="002C42D4">
              <w:rPr>
                <w:noProof/>
                <w:webHidden/>
              </w:rPr>
              <w:t>39</w:t>
            </w:r>
            <w:r w:rsidR="003E65E9">
              <w:rPr>
                <w:noProof/>
                <w:webHidden/>
              </w:rPr>
              <w:fldChar w:fldCharType="end"/>
            </w:r>
          </w:hyperlink>
        </w:p>
        <w:p w14:paraId="74D1DF31"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4" w:history="1">
            <w:r w:rsidR="003E65E9" w:rsidRPr="00B801D3">
              <w:rPr>
                <w:rStyle w:val="Hipervnculo"/>
                <w:rFonts w:ascii="Palatino Linotype" w:hAnsi="Palatino Linotype"/>
                <w:b/>
                <w:noProof/>
                <w:lang w:val="es-MX" w:eastAsia="en-US"/>
              </w:rPr>
              <w:t>III. La intervención del comité de transparencia.</w:t>
            </w:r>
            <w:r w:rsidR="003E65E9">
              <w:rPr>
                <w:noProof/>
                <w:webHidden/>
              </w:rPr>
              <w:tab/>
            </w:r>
            <w:r w:rsidR="003E65E9">
              <w:rPr>
                <w:noProof/>
                <w:webHidden/>
              </w:rPr>
              <w:fldChar w:fldCharType="begin"/>
            </w:r>
            <w:r w:rsidR="003E65E9">
              <w:rPr>
                <w:noProof/>
                <w:webHidden/>
              </w:rPr>
              <w:instrText xml:space="preserve"> PAGEREF _Toc85717364 \h </w:instrText>
            </w:r>
            <w:r w:rsidR="003E65E9">
              <w:rPr>
                <w:noProof/>
                <w:webHidden/>
              </w:rPr>
            </w:r>
            <w:r w:rsidR="003E65E9">
              <w:rPr>
                <w:noProof/>
                <w:webHidden/>
              </w:rPr>
              <w:fldChar w:fldCharType="separate"/>
            </w:r>
            <w:r w:rsidR="002C42D4">
              <w:rPr>
                <w:noProof/>
                <w:webHidden/>
              </w:rPr>
              <w:t>40</w:t>
            </w:r>
            <w:r w:rsidR="003E65E9">
              <w:rPr>
                <w:noProof/>
                <w:webHidden/>
              </w:rPr>
              <w:fldChar w:fldCharType="end"/>
            </w:r>
          </w:hyperlink>
        </w:p>
        <w:p w14:paraId="326C46C6"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65" w:history="1">
            <w:r w:rsidR="003E65E9" w:rsidRPr="00B801D3">
              <w:rPr>
                <w:rStyle w:val="Hipervnculo"/>
                <w:rFonts w:ascii="Palatino Linotype" w:hAnsi="Palatino Linotype"/>
                <w:b/>
                <w:noProof/>
                <w:lang w:val="es-MX" w:eastAsia="en-US"/>
              </w:rPr>
              <w:t>a)</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noProof/>
                <w:lang w:val="es-MX" w:eastAsia="en-US"/>
              </w:rPr>
              <w:t>Formalidades para emitir el acuerdo de clasificación.</w:t>
            </w:r>
            <w:r w:rsidR="003E65E9">
              <w:rPr>
                <w:noProof/>
                <w:webHidden/>
              </w:rPr>
              <w:tab/>
            </w:r>
            <w:r w:rsidR="003E65E9">
              <w:rPr>
                <w:noProof/>
                <w:webHidden/>
              </w:rPr>
              <w:fldChar w:fldCharType="begin"/>
            </w:r>
            <w:r w:rsidR="003E65E9">
              <w:rPr>
                <w:noProof/>
                <w:webHidden/>
              </w:rPr>
              <w:instrText xml:space="preserve"> PAGEREF _Toc85717365 \h </w:instrText>
            </w:r>
            <w:r w:rsidR="003E65E9">
              <w:rPr>
                <w:noProof/>
                <w:webHidden/>
              </w:rPr>
            </w:r>
            <w:r w:rsidR="003E65E9">
              <w:rPr>
                <w:noProof/>
                <w:webHidden/>
              </w:rPr>
              <w:fldChar w:fldCharType="separate"/>
            </w:r>
            <w:r w:rsidR="002C42D4">
              <w:rPr>
                <w:noProof/>
                <w:webHidden/>
              </w:rPr>
              <w:t>40</w:t>
            </w:r>
            <w:r w:rsidR="003E65E9">
              <w:rPr>
                <w:noProof/>
                <w:webHidden/>
              </w:rPr>
              <w:fldChar w:fldCharType="end"/>
            </w:r>
          </w:hyperlink>
        </w:p>
        <w:p w14:paraId="7EE3EA06"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6" w:history="1">
            <w:r w:rsidR="003E65E9" w:rsidRPr="00B801D3">
              <w:rPr>
                <w:rStyle w:val="Hipervnculo"/>
                <w:rFonts w:ascii="Palatino Linotype" w:hAnsi="Palatino Linotype"/>
                <w:b/>
                <w:noProof/>
                <w:lang w:val="es-MX" w:eastAsia="en-US"/>
              </w:rPr>
              <w:t>b) Requisitos de fondo del acuerdo de clasificación.</w:t>
            </w:r>
            <w:r w:rsidR="003E65E9">
              <w:rPr>
                <w:noProof/>
                <w:webHidden/>
              </w:rPr>
              <w:tab/>
            </w:r>
            <w:r w:rsidR="003E65E9">
              <w:rPr>
                <w:noProof/>
                <w:webHidden/>
              </w:rPr>
              <w:fldChar w:fldCharType="begin"/>
            </w:r>
            <w:r w:rsidR="003E65E9">
              <w:rPr>
                <w:noProof/>
                <w:webHidden/>
              </w:rPr>
              <w:instrText xml:space="preserve"> PAGEREF _Toc85717366 \h </w:instrText>
            </w:r>
            <w:r w:rsidR="003E65E9">
              <w:rPr>
                <w:noProof/>
                <w:webHidden/>
              </w:rPr>
            </w:r>
            <w:r w:rsidR="003E65E9">
              <w:rPr>
                <w:noProof/>
                <w:webHidden/>
              </w:rPr>
              <w:fldChar w:fldCharType="separate"/>
            </w:r>
            <w:r w:rsidR="002C42D4">
              <w:rPr>
                <w:noProof/>
                <w:webHidden/>
              </w:rPr>
              <w:t>42</w:t>
            </w:r>
            <w:r w:rsidR="003E65E9">
              <w:rPr>
                <w:noProof/>
                <w:webHidden/>
              </w:rPr>
              <w:fldChar w:fldCharType="end"/>
            </w:r>
          </w:hyperlink>
        </w:p>
        <w:p w14:paraId="0895EF0E"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67" w:history="1">
            <w:r w:rsidR="003E65E9" w:rsidRPr="00B801D3">
              <w:rPr>
                <w:rStyle w:val="Hipervnculo"/>
                <w:rFonts w:ascii="Palatino Linotype" w:hAnsi="Palatino Linotype"/>
                <w:b/>
                <w:noProof/>
                <w:lang w:val="es-MX" w:eastAsia="en-US"/>
              </w:rPr>
              <w:t>IV. Condiciones especiales de la clasificación de la información como confidencial.</w:t>
            </w:r>
            <w:r w:rsidR="003E65E9">
              <w:rPr>
                <w:noProof/>
                <w:webHidden/>
              </w:rPr>
              <w:tab/>
            </w:r>
            <w:r w:rsidR="003E65E9">
              <w:rPr>
                <w:noProof/>
                <w:webHidden/>
              </w:rPr>
              <w:fldChar w:fldCharType="begin"/>
            </w:r>
            <w:r w:rsidR="003E65E9">
              <w:rPr>
                <w:noProof/>
                <w:webHidden/>
              </w:rPr>
              <w:instrText xml:space="preserve"> PAGEREF _Toc85717367 \h </w:instrText>
            </w:r>
            <w:r w:rsidR="003E65E9">
              <w:rPr>
                <w:noProof/>
                <w:webHidden/>
              </w:rPr>
            </w:r>
            <w:r w:rsidR="003E65E9">
              <w:rPr>
                <w:noProof/>
                <w:webHidden/>
              </w:rPr>
              <w:fldChar w:fldCharType="separate"/>
            </w:r>
            <w:r w:rsidR="002C42D4">
              <w:rPr>
                <w:noProof/>
                <w:webHidden/>
              </w:rPr>
              <w:t>46</w:t>
            </w:r>
            <w:r w:rsidR="003E65E9">
              <w:rPr>
                <w:noProof/>
                <w:webHidden/>
              </w:rPr>
              <w:fldChar w:fldCharType="end"/>
            </w:r>
          </w:hyperlink>
        </w:p>
        <w:p w14:paraId="7B009DC3"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68" w:history="1">
            <w:r w:rsidR="003E65E9" w:rsidRPr="00B801D3">
              <w:rPr>
                <w:rStyle w:val="Hipervnculo"/>
                <w:rFonts w:ascii="Palatino Linotype" w:eastAsia="MS Gothic" w:hAnsi="Palatino Linotype"/>
                <w:b/>
                <w:noProof/>
                <w:lang w:val="es-MX" w:eastAsia="en-US"/>
              </w:rPr>
              <w:t>a)</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eastAsia="MS Gothic" w:hAnsi="Palatino Linotype"/>
                <w:b/>
                <w:noProof/>
                <w:lang w:val="es-MX" w:eastAsia="en-US"/>
              </w:rPr>
              <w:t>Del consentimiento.</w:t>
            </w:r>
            <w:r w:rsidR="003E65E9">
              <w:rPr>
                <w:noProof/>
                <w:webHidden/>
              </w:rPr>
              <w:tab/>
            </w:r>
            <w:r w:rsidR="003E65E9">
              <w:rPr>
                <w:noProof/>
                <w:webHidden/>
              </w:rPr>
              <w:fldChar w:fldCharType="begin"/>
            </w:r>
            <w:r w:rsidR="003E65E9">
              <w:rPr>
                <w:noProof/>
                <w:webHidden/>
              </w:rPr>
              <w:instrText xml:space="preserve"> PAGEREF _Toc85717368 \h </w:instrText>
            </w:r>
            <w:r w:rsidR="003E65E9">
              <w:rPr>
                <w:noProof/>
                <w:webHidden/>
              </w:rPr>
            </w:r>
            <w:r w:rsidR="003E65E9">
              <w:rPr>
                <w:noProof/>
                <w:webHidden/>
              </w:rPr>
              <w:fldChar w:fldCharType="separate"/>
            </w:r>
            <w:r w:rsidR="002C42D4">
              <w:rPr>
                <w:noProof/>
                <w:webHidden/>
              </w:rPr>
              <w:t>48</w:t>
            </w:r>
            <w:r w:rsidR="003E65E9">
              <w:rPr>
                <w:noProof/>
                <w:webHidden/>
              </w:rPr>
              <w:fldChar w:fldCharType="end"/>
            </w:r>
          </w:hyperlink>
        </w:p>
        <w:p w14:paraId="61B12C16"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69" w:history="1">
            <w:r w:rsidR="003E65E9" w:rsidRPr="00B801D3">
              <w:rPr>
                <w:rStyle w:val="Hipervnculo"/>
                <w:rFonts w:ascii="Palatino Linotype" w:hAnsi="Palatino Linotype"/>
                <w:b/>
                <w:noProof/>
                <w:lang w:val="es-ES_tradnl"/>
              </w:rPr>
              <w:t>b)</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noProof/>
                <w:lang w:val="es-MX" w:eastAsia="en-US"/>
              </w:rPr>
              <w:t>De la firma de los servidores públicos.</w:t>
            </w:r>
            <w:r w:rsidR="003E65E9">
              <w:rPr>
                <w:noProof/>
                <w:webHidden/>
              </w:rPr>
              <w:tab/>
            </w:r>
            <w:r w:rsidR="003E65E9">
              <w:rPr>
                <w:noProof/>
                <w:webHidden/>
              </w:rPr>
              <w:fldChar w:fldCharType="begin"/>
            </w:r>
            <w:r w:rsidR="003E65E9">
              <w:rPr>
                <w:noProof/>
                <w:webHidden/>
              </w:rPr>
              <w:instrText xml:space="preserve"> PAGEREF _Toc85717369 \h </w:instrText>
            </w:r>
            <w:r w:rsidR="003E65E9">
              <w:rPr>
                <w:noProof/>
                <w:webHidden/>
              </w:rPr>
            </w:r>
            <w:r w:rsidR="003E65E9">
              <w:rPr>
                <w:noProof/>
                <w:webHidden/>
              </w:rPr>
              <w:fldChar w:fldCharType="separate"/>
            </w:r>
            <w:r w:rsidR="002C42D4">
              <w:rPr>
                <w:noProof/>
                <w:webHidden/>
              </w:rPr>
              <w:t>49</w:t>
            </w:r>
            <w:r w:rsidR="003E65E9">
              <w:rPr>
                <w:noProof/>
                <w:webHidden/>
              </w:rPr>
              <w:fldChar w:fldCharType="end"/>
            </w:r>
          </w:hyperlink>
        </w:p>
        <w:p w14:paraId="64F537B5"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70" w:history="1">
            <w:r w:rsidR="003E65E9" w:rsidRPr="00B801D3">
              <w:rPr>
                <w:rStyle w:val="Hipervnculo"/>
                <w:rFonts w:ascii="Palatino Linotype" w:hAnsi="Palatino Linotype"/>
                <w:b/>
                <w:noProof/>
                <w:lang w:val="es-MX"/>
              </w:rPr>
              <w:t>V. Condiciones especiales de la clasificación de la información como reservada.</w:t>
            </w:r>
            <w:r w:rsidR="003E65E9">
              <w:rPr>
                <w:noProof/>
                <w:webHidden/>
              </w:rPr>
              <w:tab/>
            </w:r>
            <w:r w:rsidR="003E65E9">
              <w:rPr>
                <w:noProof/>
                <w:webHidden/>
              </w:rPr>
              <w:fldChar w:fldCharType="begin"/>
            </w:r>
            <w:r w:rsidR="003E65E9">
              <w:rPr>
                <w:noProof/>
                <w:webHidden/>
              </w:rPr>
              <w:instrText xml:space="preserve"> PAGEREF _Toc85717370 \h </w:instrText>
            </w:r>
            <w:r w:rsidR="003E65E9">
              <w:rPr>
                <w:noProof/>
                <w:webHidden/>
              </w:rPr>
            </w:r>
            <w:r w:rsidR="003E65E9">
              <w:rPr>
                <w:noProof/>
                <w:webHidden/>
              </w:rPr>
              <w:fldChar w:fldCharType="separate"/>
            </w:r>
            <w:r w:rsidR="002C42D4">
              <w:rPr>
                <w:noProof/>
                <w:webHidden/>
              </w:rPr>
              <w:t>51</w:t>
            </w:r>
            <w:r w:rsidR="003E65E9">
              <w:rPr>
                <w:noProof/>
                <w:webHidden/>
              </w:rPr>
              <w:fldChar w:fldCharType="end"/>
            </w:r>
          </w:hyperlink>
        </w:p>
        <w:p w14:paraId="2E67144A" w14:textId="77777777" w:rsidR="003E65E9" w:rsidRDefault="006C4B20" w:rsidP="003E65E9">
          <w:pPr>
            <w:pStyle w:val="TDC1"/>
            <w:tabs>
              <w:tab w:val="left" w:pos="660"/>
              <w:tab w:val="right" w:leader="dot" w:pos="8828"/>
            </w:tabs>
            <w:spacing w:after="0"/>
            <w:rPr>
              <w:rFonts w:asciiTheme="minorHAnsi" w:eastAsiaTheme="minorEastAsia" w:hAnsiTheme="minorHAnsi" w:cstheme="minorBidi"/>
              <w:noProof/>
              <w:sz w:val="22"/>
              <w:szCs w:val="22"/>
              <w:lang w:val="es-MX" w:eastAsia="es-MX"/>
            </w:rPr>
          </w:pPr>
          <w:hyperlink w:anchor="_Toc85717371" w:history="1">
            <w:r w:rsidR="003E65E9" w:rsidRPr="00B801D3">
              <w:rPr>
                <w:rStyle w:val="Hipervnculo"/>
                <w:rFonts w:ascii="Palatino Linotype" w:hAnsi="Palatino Linotype"/>
                <w:b/>
                <w:noProof/>
              </w:rPr>
              <w:t>a)</w:t>
            </w:r>
            <w:r w:rsidR="003E65E9">
              <w:rPr>
                <w:rFonts w:asciiTheme="minorHAnsi" w:eastAsiaTheme="minorEastAsia" w:hAnsiTheme="minorHAnsi" w:cstheme="minorBidi"/>
                <w:noProof/>
                <w:sz w:val="22"/>
                <w:szCs w:val="22"/>
                <w:lang w:val="es-MX" w:eastAsia="es-MX"/>
              </w:rPr>
              <w:tab/>
            </w:r>
            <w:r w:rsidR="003E65E9" w:rsidRPr="00B801D3">
              <w:rPr>
                <w:rStyle w:val="Hipervnculo"/>
                <w:rFonts w:ascii="Palatino Linotype" w:hAnsi="Palatino Linotype"/>
                <w:b/>
                <w:noProof/>
              </w:rPr>
              <w:t>Fundamentación específica.</w:t>
            </w:r>
            <w:r w:rsidR="003E65E9">
              <w:rPr>
                <w:noProof/>
                <w:webHidden/>
              </w:rPr>
              <w:tab/>
            </w:r>
            <w:r w:rsidR="003E65E9">
              <w:rPr>
                <w:noProof/>
                <w:webHidden/>
              </w:rPr>
              <w:fldChar w:fldCharType="begin"/>
            </w:r>
            <w:r w:rsidR="003E65E9">
              <w:rPr>
                <w:noProof/>
                <w:webHidden/>
              </w:rPr>
              <w:instrText xml:space="preserve"> PAGEREF _Toc85717371 \h </w:instrText>
            </w:r>
            <w:r w:rsidR="003E65E9">
              <w:rPr>
                <w:noProof/>
                <w:webHidden/>
              </w:rPr>
            </w:r>
            <w:r w:rsidR="003E65E9">
              <w:rPr>
                <w:noProof/>
                <w:webHidden/>
              </w:rPr>
              <w:fldChar w:fldCharType="separate"/>
            </w:r>
            <w:r w:rsidR="002C42D4">
              <w:rPr>
                <w:noProof/>
                <w:webHidden/>
              </w:rPr>
              <w:t>54</w:t>
            </w:r>
            <w:r w:rsidR="003E65E9">
              <w:rPr>
                <w:noProof/>
                <w:webHidden/>
              </w:rPr>
              <w:fldChar w:fldCharType="end"/>
            </w:r>
          </w:hyperlink>
        </w:p>
        <w:p w14:paraId="43822630"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72" w:history="1">
            <w:r w:rsidR="003E65E9" w:rsidRPr="00B801D3">
              <w:rPr>
                <w:rStyle w:val="Hipervnculo"/>
                <w:rFonts w:ascii="Palatino Linotype" w:hAnsi="Palatino Linotype"/>
                <w:b/>
                <w:noProof/>
              </w:rPr>
              <w:t>b) La prueba de daño.</w:t>
            </w:r>
            <w:r w:rsidR="003E65E9">
              <w:rPr>
                <w:noProof/>
                <w:webHidden/>
              </w:rPr>
              <w:tab/>
            </w:r>
            <w:r w:rsidR="003E65E9">
              <w:rPr>
                <w:noProof/>
                <w:webHidden/>
              </w:rPr>
              <w:fldChar w:fldCharType="begin"/>
            </w:r>
            <w:r w:rsidR="003E65E9">
              <w:rPr>
                <w:noProof/>
                <w:webHidden/>
              </w:rPr>
              <w:instrText xml:space="preserve"> PAGEREF _Toc85717372 \h </w:instrText>
            </w:r>
            <w:r w:rsidR="003E65E9">
              <w:rPr>
                <w:noProof/>
                <w:webHidden/>
              </w:rPr>
            </w:r>
            <w:r w:rsidR="003E65E9">
              <w:rPr>
                <w:noProof/>
                <w:webHidden/>
              </w:rPr>
              <w:fldChar w:fldCharType="separate"/>
            </w:r>
            <w:r w:rsidR="002C42D4">
              <w:rPr>
                <w:noProof/>
                <w:webHidden/>
              </w:rPr>
              <w:t>54</w:t>
            </w:r>
            <w:r w:rsidR="003E65E9">
              <w:rPr>
                <w:noProof/>
                <w:webHidden/>
              </w:rPr>
              <w:fldChar w:fldCharType="end"/>
            </w:r>
          </w:hyperlink>
        </w:p>
        <w:p w14:paraId="72FFC7F7"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73" w:history="1">
            <w:r w:rsidR="003E65E9" w:rsidRPr="00B801D3">
              <w:rPr>
                <w:rStyle w:val="Hipervnculo"/>
                <w:rFonts w:ascii="Palatino Linotype" w:hAnsi="Palatino Linotype"/>
                <w:b/>
                <w:noProof/>
                <w:lang w:eastAsia="en-US"/>
              </w:rPr>
              <w:t>c) La clasificación de la información reservada debe ser de manera temporal.</w:t>
            </w:r>
            <w:r w:rsidR="003E65E9">
              <w:rPr>
                <w:noProof/>
                <w:webHidden/>
              </w:rPr>
              <w:tab/>
            </w:r>
            <w:r w:rsidR="003E65E9">
              <w:rPr>
                <w:noProof/>
                <w:webHidden/>
              </w:rPr>
              <w:fldChar w:fldCharType="begin"/>
            </w:r>
            <w:r w:rsidR="003E65E9">
              <w:rPr>
                <w:noProof/>
                <w:webHidden/>
              </w:rPr>
              <w:instrText xml:space="preserve"> PAGEREF _Toc85717373 \h </w:instrText>
            </w:r>
            <w:r w:rsidR="003E65E9">
              <w:rPr>
                <w:noProof/>
                <w:webHidden/>
              </w:rPr>
            </w:r>
            <w:r w:rsidR="003E65E9">
              <w:rPr>
                <w:noProof/>
                <w:webHidden/>
              </w:rPr>
              <w:fldChar w:fldCharType="separate"/>
            </w:r>
            <w:r w:rsidR="002C42D4">
              <w:rPr>
                <w:noProof/>
                <w:webHidden/>
              </w:rPr>
              <w:t>58</w:t>
            </w:r>
            <w:r w:rsidR="003E65E9">
              <w:rPr>
                <w:noProof/>
                <w:webHidden/>
              </w:rPr>
              <w:fldChar w:fldCharType="end"/>
            </w:r>
          </w:hyperlink>
        </w:p>
        <w:p w14:paraId="59A74856" w14:textId="77777777" w:rsidR="003E65E9" w:rsidRDefault="006C4B20" w:rsidP="003E65E9">
          <w:pPr>
            <w:pStyle w:val="TDC2"/>
            <w:tabs>
              <w:tab w:val="right" w:leader="dot" w:pos="8828"/>
            </w:tabs>
            <w:spacing w:after="0"/>
            <w:ind w:left="0"/>
            <w:rPr>
              <w:rFonts w:asciiTheme="minorHAnsi" w:eastAsiaTheme="minorEastAsia" w:hAnsiTheme="minorHAnsi" w:cstheme="minorBidi"/>
              <w:noProof/>
              <w:sz w:val="22"/>
              <w:szCs w:val="22"/>
              <w:lang w:val="es-MX" w:eastAsia="es-MX"/>
            </w:rPr>
          </w:pPr>
          <w:hyperlink w:anchor="_Toc85717374" w:history="1">
            <w:r w:rsidR="003E65E9" w:rsidRPr="00B801D3">
              <w:rPr>
                <w:rStyle w:val="Hipervnculo"/>
                <w:rFonts w:ascii="Palatino Linotype" w:eastAsia="MS Mincho" w:hAnsi="Palatino Linotype"/>
                <w:b/>
                <w:noProof/>
                <w:lang w:val="es-ES_tradnl"/>
              </w:rPr>
              <w:t>SEXTO. De la decisión.</w:t>
            </w:r>
            <w:r w:rsidR="003E65E9">
              <w:rPr>
                <w:noProof/>
                <w:webHidden/>
              </w:rPr>
              <w:tab/>
            </w:r>
            <w:r w:rsidR="003E65E9">
              <w:rPr>
                <w:noProof/>
                <w:webHidden/>
              </w:rPr>
              <w:fldChar w:fldCharType="begin"/>
            </w:r>
            <w:r w:rsidR="003E65E9">
              <w:rPr>
                <w:noProof/>
                <w:webHidden/>
              </w:rPr>
              <w:instrText xml:space="preserve"> PAGEREF _Toc85717374 \h </w:instrText>
            </w:r>
            <w:r w:rsidR="003E65E9">
              <w:rPr>
                <w:noProof/>
                <w:webHidden/>
              </w:rPr>
            </w:r>
            <w:r w:rsidR="003E65E9">
              <w:rPr>
                <w:noProof/>
                <w:webHidden/>
              </w:rPr>
              <w:fldChar w:fldCharType="separate"/>
            </w:r>
            <w:r w:rsidR="002C42D4">
              <w:rPr>
                <w:noProof/>
                <w:webHidden/>
              </w:rPr>
              <w:t>59</w:t>
            </w:r>
            <w:r w:rsidR="003E65E9">
              <w:rPr>
                <w:noProof/>
                <w:webHidden/>
              </w:rPr>
              <w:fldChar w:fldCharType="end"/>
            </w:r>
          </w:hyperlink>
        </w:p>
        <w:p w14:paraId="018F03F5" w14:textId="77777777" w:rsidR="003E65E9" w:rsidRDefault="006C4B20" w:rsidP="003E65E9">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717375" w:history="1">
            <w:r w:rsidR="003E65E9" w:rsidRPr="00B801D3">
              <w:rPr>
                <w:rStyle w:val="Hipervnculo"/>
                <w:rFonts w:ascii="Palatino Linotype" w:hAnsi="Palatino Linotype"/>
                <w:b/>
                <w:noProof/>
                <w:lang w:val="es-ES_tradnl"/>
              </w:rPr>
              <w:t>R E S O L U T I V O S</w:t>
            </w:r>
            <w:r w:rsidR="003E65E9">
              <w:rPr>
                <w:noProof/>
                <w:webHidden/>
              </w:rPr>
              <w:tab/>
            </w:r>
            <w:r w:rsidR="003E65E9">
              <w:rPr>
                <w:noProof/>
                <w:webHidden/>
              </w:rPr>
              <w:fldChar w:fldCharType="begin"/>
            </w:r>
            <w:r w:rsidR="003E65E9">
              <w:rPr>
                <w:noProof/>
                <w:webHidden/>
              </w:rPr>
              <w:instrText xml:space="preserve"> PAGEREF _Toc85717375 \h </w:instrText>
            </w:r>
            <w:r w:rsidR="003E65E9">
              <w:rPr>
                <w:noProof/>
                <w:webHidden/>
              </w:rPr>
            </w:r>
            <w:r w:rsidR="003E65E9">
              <w:rPr>
                <w:noProof/>
                <w:webHidden/>
              </w:rPr>
              <w:fldChar w:fldCharType="separate"/>
            </w:r>
            <w:r w:rsidR="002C42D4">
              <w:rPr>
                <w:noProof/>
                <w:webHidden/>
              </w:rPr>
              <w:t>60</w:t>
            </w:r>
            <w:r w:rsidR="003E65E9">
              <w:rPr>
                <w:noProof/>
                <w:webHidden/>
              </w:rPr>
              <w:fldChar w:fldCharType="end"/>
            </w:r>
          </w:hyperlink>
        </w:p>
        <w:p w14:paraId="074C737F" w14:textId="02C80A98" w:rsidR="009B3353" w:rsidRPr="0046696A" w:rsidRDefault="009B3353" w:rsidP="0046696A">
          <w:pPr>
            <w:tabs>
              <w:tab w:val="left" w:pos="0"/>
            </w:tabs>
            <w:spacing w:line="360" w:lineRule="auto"/>
            <w:rPr>
              <w:rFonts w:ascii="Palatino Linotype" w:eastAsia="Calibri" w:hAnsi="Palatino Linotype"/>
              <w:b/>
              <w:bCs/>
              <w:lang w:eastAsia="en-US"/>
            </w:rPr>
          </w:pPr>
          <w:r w:rsidRPr="0046696A">
            <w:rPr>
              <w:rFonts w:ascii="Palatino Linotype" w:eastAsia="Calibri" w:hAnsi="Palatino Linotype"/>
              <w:b/>
              <w:bCs/>
              <w:color w:val="000000" w:themeColor="text1"/>
              <w:sz w:val="22"/>
              <w:szCs w:val="22"/>
              <w:lang w:eastAsia="en-US"/>
            </w:rPr>
            <w:lastRenderedPageBreak/>
            <w:fldChar w:fldCharType="end"/>
          </w:r>
        </w:p>
      </w:sdtContent>
    </w:sdt>
    <w:p w14:paraId="4F6A6BD6" w14:textId="0B69F757" w:rsidR="00EA0165" w:rsidRPr="0046696A"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6696A">
        <w:rPr>
          <w:rFonts w:ascii="Palatino Linotype" w:eastAsiaTheme="minorEastAsia" w:hAnsi="Palatino Linotype" w:cstheme="minorBidi"/>
          <w:color w:val="000000" w:themeColor="text1"/>
          <w:lang w:val="es-ES_tradnl"/>
        </w:rPr>
        <w:t xml:space="preserve">n Metepec, Estado </w:t>
      </w:r>
      <w:r w:rsidR="0006775F" w:rsidRPr="0046696A">
        <w:rPr>
          <w:rFonts w:ascii="Palatino Linotype" w:eastAsiaTheme="minorEastAsia" w:hAnsi="Palatino Linotype" w:cstheme="minorBidi"/>
          <w:color w:val="000000" w:themeColor="text1"/>
          <w:lang w:val="es-ES_tradnl"/>
        </w:rPr>
        <w:t>de México; de veintisiete</w:t>
      </w:r>
      <w:r w:rsidRPr="0046696A">
        <w:rPr>
          <w:rFonts w:ascii="Palatino Linotype" w:eastAsiaTheme="minorEastAsia" w:hAnsi="Palatino Linotype" w:cstheme="minorBidi"/>
          <w:color w:val="000000" w:themeColor="text1"/>
          <w:lang w:val="es-MX"/>
        </w:rPr>
        <w:t xml:space="preserve"> (</w:t>
      </w:r>
      <w:r w:rsidR="0006775F" w:rsidRPr="0046696A">
        <w:rPr>
          <w:rFonts w:ascii="Palatino Linotype" w:eastAsiaTheme="minorEastAsia" w:hAnsi="Palatino Linotype" w:cstheme="minorBidi"/>
          <w:color w:val="000000" w:themeColor="text1"/>
          <w:lang w:val="es-MX"/>
        </w:rPr>
        <w:t>27</w:t>
      </w:r>
      <w:r w:rsidRPr="0046696A">
        <w:rPr>
          <w:rFonts w:ascii="Palatino Linotype" w:eastAsiaTheme="minorEastAsia" w:hAnsi="Palatino Linotype" w:cstheme="minorBidi"/>
          <w:color w:val="000000" w:themeColor="text1"/>
          <w:lang w:val="es-MX"/>
        </w:rPr>
        <w:t>) de</w:t>
      </w:r>
      <w:r w:rsidR="00F03AFC" w:rsidRPr="0046696A">
        <w:rPr>
          <w:rFonts w:ascii="Palatino Linotype" w:eastAsiaTheme="minorEastAsia" w:hAnsi="Palatino Linotype" w:cstheme="minorBidi"/>
          <w:color w:val="000000" w:themeColor="text1"/>
          <w:lang w:val="es-MX"/>
        </w:rPr>
        <w:t xml:space="preserve"> octubre </w:t>
      </w:r>
      <w:r w:rsidRPr="0046696A">
        <w:rPr>
          <w:rFonts w:ascii="Palatino Linotype" w:eastAsiaTheme="minorEastAsia" w:hAnsi="Palatino Linotype" w:cstheme="minorBidi"/>
          <w:color w:val="000000" w:themeColor="text1"/>
          <w:lang w:val="es-MX"/>
        </w:rPr>
        <w:t>de dos mil veintiuno</w:t>
      </w:r>
      <w:r w:rsidRPr="0046696A">
        <w:rPr>
          <w:rFonts w:ascii="Palatino Linotype" w:eastAsiaTheme="minorEastAsia" w:hAnsi="Palatino Linotype" w:cstheme="minorBidi"/>
          <w:color w:val="000000" w:themeColor="text1"/>
          <w:lang w:val="es-ES_tradnl"/>
        </w:rPr>
        <w:t xml:space="preserve">. </w:t>
      </w:r>
    </w:p>
    <w:p w14:paraId="68E5E524" w14:textId="5320E880" w:rsidR="00EA0165" w:rsidRPr="0046696A" w:rsidRDefault="00EA0165" w:rsidP="000C1184">
      <w:pPr>
        <w:pStyle w:val="Prrafodelista"/>
        <w:tabs>
          <w:tab w:val="left" w:pos="0"/>
        </w:tabs>
        <w:spacing w:line="360" w:lineRule="auto"/>
        <w:ind w:left="0"/>
        <w:jc w:val="both"/>
        <w:rPr>
          <w:rFonts w:ascii="Palatino Linotype" w:eastAsia="MS Mincho" w:hAnsi="Palatino Linotype"/>
          <w:lang w:val="es-ES_tradnl"/>
        </w:rPr>
      </w:pPr>
      <w:r w:rsidRPr="0046696A">
        <w:rPr>
          <w:rFonts w:ascii="Palatino Linotype" w:eastAsia="MS Mincho" w:hAnsi="Palatino Linotype"/>
          <w:b/>
          <w:lang w:val="es-ES_tradnl"/>
        </w:rPr>
        <w:t>VISTO</w:t>
      </w:r>
      <w:r w:rsidRPr="0046696A">
        <w:rPr>
          <w:rFonts w:ascii="Palatino Linotype" w:eastAsia="MS Mincho" w:hAnsi="Palatino Linotype"/>
          <w:lang w:val="es-ES_tradnl"/>
        </w:rPr>
        <w:t xml:space="preserve"> el expediente electrónico formado con motivo del recurso de revisión </w:t>
      </w:r>
      <w:r w:rsidR="003C5758">
        <w:rPr>
          <w:rFonts w:ascii="Palatino Linotype" w:eastAsia="MS Mincho" w:hAnsi="Palatino Linotype"/>
          <w:b/>
          <w:bCs/>
          <w:lang w:val="es-ES_tradnl"/>
        </w:rPr>
        <w:t>04038</w:t>
      </w:r>
      <w:r w:rsidRPr="0046696A">
        <w:rPr>
          <w:rFonts w:ascii="Palatino Linotype" w:eastAsia="MS Mincho" w:hAnsi="Palatino Linotype"/>
          <w:b/>
          <w:bCs/>
          <w:lang w:val="es-ES_tradnl"/>
        </w:rPr>
        <w:t xml:space="preserve">/INFOEM/IP/RR/2021, </w:t>
      </w:r>
      <w:r w:rsidRPr="0046696A">
        <w:rPr>
          <w:rFonts w:ascii="Palatino Linotype" w:eastAsia="MS Mincho" w:hAnsi="Palatino Linotype"/>
          <w:lang w:val="es-ES_tradnl"/>
        </w:rPr>
        <w:t>promovido por</w:t>
      </w:r>
      <w:r w:rsidR="0006775F" w:rsidRPr="0046696A">
        <w:rPr>
          <w:rFonts w:ascii="Palatino Linotype" w:hAnsi="Palatino Linotype"/>
        </w:rPr>
        <w:t xml:space="preserve"> </w:t>
      </w:r>
      <w:r w:rsidR="00B5066A" w:rsidRPr="00B5066A">
        <w:rPr>
          <w:rFonts w:ascii="Palatino Linotype" w:hAnsi="Palatino Linotype"/>
          <w:b/>
        </w:rPr>
        <w:t>XXXXXXXXX XXXXXXXXX XXXXX</w:t>
      </w:r>
      <w:r w:rsidR="00B5066A" w:rsidRPr="00B5066A">
        <w:rPr>
          <w:rFonts w:ascii="Palatino Linotype" w:eastAsia="MS Mincho" w:hAnsi="Palatino Linotype"/>
        </w:rPr>
        <w:t xml:space="preserve"> </w:t>
      </w:r>
      <w:r w:rsidRPr="0046696A">
        <w:rPr>
          <w:rFonts w:ascii="Palatino Linotype" w:eastAsia="MS Mincho" w:hAnsi="Palatino Linotype"/>
          <w:lang w:val="es-ES_tradnl"/>
        </w:rPr>
        <w:t xml:space="preserve">en su calidad de </w:t>
      </w:r>
      <w:r w:rsidRPr="0046696A">
        <w:rPr>
          <w:rFonts w:ascii="Palatino Linotype" w:eastAsia="MS Mincho" w:hAnsi="Palatino Linotype"/>
          <w:b/>
          <w:lang w:val="es-ES_tradnl"/>
        </w:rPr>
        <w:t>RECURRENTE</w:t>
      </w:r>
      <w:r w:rsidR="00B4299A" w:rsidRPr="0046696A">
        <w:rPr>
          <w:rFonts w:ascii="Palatino Linotype" w:eastAsia="MS Mincho" w:hAnsi="Palatino Linotype"/>
          <w:lang w:val="es-ES_tradnl"/>
        </w:rPr>
        <w:t xml:space="preserve">, </w:t>
      </w:r>
      <w:r w:rsidR="0006775F" w:rsidRPr="0046696A">
        <w:rPr>
          <w:rFonts w:ascii="Palatino Linotype" w:eastAsia="MS Mincho" w:hAnsi="Palatino Linotype"/>
          <w:lang w:val="es-ES_tradnl"/>
        </w:rPr>
        <w:t>en contra de la respuesta del</w:t>
      </w:r>
      <w:r w:rsidR="0006775F" w:rsidRPr="0046696A">
        <w:rPr>
          <w:rFonts w:ascii="Palatino Linotype" w:eastAsia="MS Mincho" w:hAnsi="Palatino Linotype"/>
          <w:b/>
          <w:lang w:val="es-ES_tradnl"/>
        </w:rPr>
        <w:t xml:space="preserve"> Ayuntamiento de Nicolás Romero</w:t>
      </w:r>
      <w:r w:rsidR="00B4299A" w:rsidRPr="0046696A">
        <w:rPr>
          <w:rFonts w:ascii="Palatino Linotype" w:eastAsia="MS Mincho" w:hAnsi="Palatino Linotype"/>
          <w:b/>
          <w:lang w:val="es-ES_tradnl"/>
        </w:rPr>
        <w:t xml:space="preserve"> </w:t>
      </w:r>
      <w:r w:rsidRPr="0046696A">
        <w:rPr>
          <w:rFonts w:ascii="Palatino Linotype" w:eastAsia="MS Mincho" w:hAnsi="Palatino Linotype"/>
          <w:lang w:val="es-ES_tradnl"/>
        </w:rPr>
        <w:t>en lo sucesivo el</w:t>
      </w:r>
      <w:r w:rsidRPr="0046696A">
        <w:rPr>
          <w:rFonts w:ascii="Palatino Linotype" w:eastAsia="MS Mincho" w:hAnsi="Palatino Linotype"/>
          <w:b/>
          <w:lang w:val="es-ES_tradnl"/>
        </w:rPr>
        <w:t xml:space="preserve"> SUJETO OBLIGADO, </w:t>
      </w:r>
      <w:r w:rsidRPr="0046696A">
        <w:rPr>
          <w:rFonts w:ascii="Palatino Linotype" w:eastAsia="MS Mincho" w:hAnsi="Palatino Linotype"/>
          <w:lang w:val="es-ES_tradnl"/>
        </w:rPr>
        <w:t xml:space="preserve">se procede a dictar la presente resolución, con base en los siguientes: </w:t>
      </w:r>
    </w:p>
    <w:p w14:paraId="64D30E95" w14:textId="2F57A823" w:rsidR="00F216D7" w:rsidRPr="0046696A"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5717348"/>
      <w:r w:rsidRPr="0046696A">
        <w:rPr>
          <w:rFonts w:ascii="Palatino Linotype" w:hAnsi="Palatino Linotype"/>
          <w:b/>
          <w:color w:val="000000" w:themeColor="text1"/>
          <w:sz w:val="24"/>
          <w:szCs w:val="24"/>
          <w:lang w:val="es-MX" w:eastAsia="en-US"/>
        </w:rPr>
        <w:t>ANTECEDENTES</w:t>
      </w:r>
      <w:bookmarkEnd w:id="1"/>
      <w:bookmarkEnd w:id="2"/>
      <w:bookmarkEnd w:id="3"/>
      <w:bookmarkEnd w:id="4"/>
    </w:p>
    <w:p w14:paraId="18BB8EDB" w14:textId="08D675AE" w:rsidR="00EA0165" w:rsidRPr="003C5758" w:rsidRDefault="00EA0165" w:rsidP="003C5758">
      <w:pPr>
        <w:pStyle w:val="Prrafodelista"/>
        <w:numPr>
          <w:ilvl w:val="0"/>
          <w:numId w:val="4"/>
        </w:numPr>
        <w:tabs>
          <w:tab w:val="left" w:pos="0"/>
        </w:tabs>
        <w:spacing w:before="240" w:after="240" w:line="360" w:lineRule="auto"/>
        <w:ind w:left="0" w:firstLine="0"/>
        <w:contextualSpacing/>
        <w:jc w:val="both"/>
        <w:rPr>
          <w:rFonts w:ascii="Palatino Linotype" w:eastAsia="Calibri" w:hAnsi="Palatino Linotype" w:cs="Arial"/>
          <w:color w:val="000000" w:themeColor="text1"/>
        </w:rPr>
      </w:pPr>
      <w:r w:rsidRPr="0046696A">
        <w:rPr>
          <w:rFonts w:ascii="Palatino Linotype" w:eastAsia="Calibri" w:hAnsi="Palatino Linotype" w:cs="Arial"/>
          <w:color w:val="000000" w:themeColor="text1"/>
        </w:rPr>
        <w:t>El</w:t>
      </w:r>
      <w:r w:rsidR="00F216D7" w:rsidRPr="0046696A">
        <w:rPr>
          <w:rFonts w:ascii="Palatino Linotype" w:eastAsia="Calibri" w:hAnsi="Palatino Linotype" w:cs="Arial"/>
          <w:color w:val="000000" w:themeColor="text1"/>
        </w:rPr>
        <w:t xml:space="preserve"> </w:t>
      </w:r>
      <w:r w:rsidR="003C5758">
        <w:rPr>
          <w:rFonts w:ascii="Palatino Linotype" w:eastAsia="Calibri" w:hAnsi="Palatino Linotype" w:cs="Arial"/>
          <w:color w:val="000000" w:themeColor="text1"/>
        </w:rPr>
        <w:t>seis</w:t>
      </w:r>
      <w:r w:rsidRPr="0046696A">
        <w:rPr>
          <w:rFonts w:ascii="Palatino Linotype" w:eastAsia="Calibri" w:hAnsi="Palatino Linotype" w:cs="Arial"/>
          <w:color w:val="000000" w:themeColor="text1"/>
        </w:rPr>
        <w:t xml:space="preserve"> (</w:t>
      </w:r>
      <w:r w:rsidR="003C5758">
        <w:rPr>
          <w:rFonts w:ascii="Palatino Linotype" w:eastAsia="Calibri" w:hAnsi="Palatino Linotype" w:cs="Arial"/>
          <w:color w:val="000000" w:themeColor="text1"/>
        </w:rPr>
        <w:t>06</w:t>
      </w:r>
      <w:r w:rsidRPr="0046696A">
        <w:rPr>
          <w:rFonts w:ascii="Palatino Linotype" w:eastAsia="Calibri" w:hAnsi="Palatino Linotype" w:cs="Arial"/>
          <w:color w:val="000000" w:themeColor="text1"/>
        </w:rPr>
        <w:t>) de</w:t>
      </w:r>
      <w:r w:rsidR="003C5758">
        <w:rPr>
          <w:rFonts w:ascii="Palatino Linotype" w:eastAsia="Calibri" w:hAnsi="Palatino Linotype" w:cs="Arial"/>
          <w:color w:val="000000" w:themeColor="text1"/>
        </w:rPr>
        <w:t xml:space="preserve"> jul</w:t>
      </w:r>
      <w:r w:rsidR="0006775F" w:rsidRPr="0046696A">
        <w:rPr>
          <w:rFonts w:ascii="Palatino Linotype" w:eastAsia="Calibri" w:hAnsi="Palatino Linotype" w:cs="Arial"/>
          <w:color w:val="000000" w:themeColor="text1"/>
        </w:rPr>
        <w:t>io</w:t>
      </w:r>
      <w:r w:rsidRPr="0046696A">
        <w:rPr>
          <w:rFonts w:ascii="Palatino Linotype" w:eastAsia="Calibri" w:hAnsi="Palatino Linotype" w:cs="Arial"/>
          <w:color w:val="000000" w:themeColor="text1"/>
        </w:rPr>
        <w:t xml:space="preserve"> de dos mil </w:t>
      </w:r>
      <w:r w:rsidR="002B2B24" w:rsidRPr="0046696A">
        <w:rPr>
          <w:rFonts w:ascii="Palatino Linotype" w:eastAsia="Calibri" w:hAnsi="Palatino Linotype" w:cs="Arial"/>
          <w:color w:val="000000" w:themeColor="text1"/>
        </w:rPr>
        <w:t>veintiuno</w:t>
      </w:r>
      <w:r w:rsidRPr="0046696A">
        <w:rPr>
          <w:rFonts w:ascii="Palatino Linotype" w:eastAsia="Calibri" w:hAnsi="Palatino Linotype" w:cs="Arial"/>
          <w:color w:val="000000" w:themeColor="text1"/>
        </w:rPr>
        <w:t xml:space="preserve">, </w:t>
      </w:r>
      <w:r w:rsidRPr="0046696A">
        <w:rPr>
          <w:rFonts w:ascii="Palatino Linotype" w:eastAsiaTheme="minorEastAsia" w:hAnsi="Palatino Linotype" w:cstheme="minorBidi"/>
          <w:color w:val="000000" w:themeColor="text1"/>
          <w:lang w:val="es-ES_tradnl"/>
        </w:rPr>
        <w:t>el particular presentó</w:t>
      </w:r>
      <w:r w:rsidRPr="0046696A">
        <w:rPr>
          <w:rFonts w:ascii="Palatino Linotype" w:eastAsiaTheme="minorEastAsia" w:hAnsi="Palatino Linotype" w:cstheme="minorBidi"/>
          <w:b/>
          <w:color w:val="000000" w:themeColor="text1"/>
          <w:lang w:val="es-ES_tradnl"/>
        </w:rPr>
        <w:t xml:space="preserve"> </w:t>
      </w:r>
      <w:r w:rsidRPr="0046696A">
        <w:rPr>
          <w:rFonts w:ascii="Palatino Linotype" w:eastAsiaTheme="minorEastAsia" w:hAnsi="Palatino Linotype" w:cstheme="minorBidi"/>
          <w:bCs/>
          <w:color w:val="000000" w:themeColor="text1"/>
          <w:lang w:val="es-ES_tradnl"/>
        </w:rPr>
        <w:t xml:space="preserve">a través del </w:t>
      </w:r>
      <w:r w:rsidR="00DD24BD" w:rsidRPr="0046696A">
        <w:rPr>
          <w:rFonts w:ascii="Palatino Linotype" w:eastAsia="Calibri" w:hAnsi="Palatino Linotype" w:cs="Arial"/>
          <w:color w:val="000000" w:themeColor="text1"/>
        </w:rPr>
        <w:t>Sistema de Acceso</w:t>
      </w:r>
      <w:r w:rsidRPr="0046696A">
        <w:rPr>
          <w:rFonts w:ascii="Palatino Linotype" w:eastAsia="Calibri" w:hAnsi="Palatino Linotype" w:cs="Arial"/>
          <w:color w:val="000000" w:themeColor="text1"/>
        </w:rPr>
        <w:t xml:space="preserve"> a la Información Mexiquense</w:t>
      </w:r>
      <w:r w:rsidRPr="0046696A">
        <w:rPr>
          <w:rFonts w:ascii="Palatino Linotype" w:eastAsia="Calibri" w:hAnsi="Palatino Linotype" w:cs="Arial"/>
          <w:b/>
          <w:color w:val="000000" w:themeColor="text1"/>
        </w:rPr>
        <w:t xml:space="preserve"> </w:t>
      </w:r>
      <w:r w:rsidRPr="0046696A">
        <w:rPr>
          <w:rFonts w:ascii="Palatino Linotype" w:eastAsia="Calibri" w:hAnsi="Palatino Linotype" w:cs="Arial"/>
          <w:b/>
          <w:bCs/>
          <w:color w:val="000000" w:themeColor="text1"/>
        </w:rPr>
        <w:t>(SAIMEX)</w:t>
      </w:r>
      <w:r w:rsidRPr="0046696A">
        <w:rPr>
          <w:rFonts w:ascii="Palatino Linotype" w:eastAsia="Calibri" w:hAnsi="Palatino Linotype" w:cs="Arial"/>
          <w:b/>
          <w:color w:val="000000" w:themeColor="text1"/>
        </w:rPr>
        <w:t xml:space="preserve">, </w:t>
      </w:r>
      <w:r w:rsidRPr="0046696A">
        <w:rPr>
          <w:rFonts w:ascii="Palatino Linotype" w:eastAsia="Calibri" w:hAnsi="Palatino Linotype" w:cs="Arial"/>
          <w:color w:val="000000" w:themeColor="text1"/>
        </w:rPr>
        <w:t>la solicitud de información pública registrada con el número</w:t>
      </w:r>
      <w:r w:rsidR="003C5758">
        <w:rPr>
          <w:rFonts w:ascii="Palatino Linotype" w:eastAsia="Calibri" w:hAnsi="Palatino Linotype" w:cs="Arial"/>
          <w:color w:val="000000" w:themeColor="text1"/>
        </w:rPr>
        <w:t xml:space="preserve"> </w:t>
      </w:r>
      <w:r w:rsidR="003C5758" w:rsidRPr="003C5758">
        <w:rPr>
          <w:rFonts w:ascii="Palatino Linotype" w:eastAsia="Calibri" w:hAnsi="Palatino Linotype" w:cs="Arial"/>
          <w:b/>
          <w:color w:val="000000" w:themeColor="text1"/>
        </w:rPr>
        <w:t>00153/NICOROM/IP/2021</w:t>
      </w:r>
      <w:r w:rsidRPr="003C5758">
        <w:rPr>
          <w:rFonts w:ascii="Palatino Linotype" w:eastAsiaTheme="minorEastAsia" w:hAnsi="Palatino Linotype" w:cstheme="minorBidi"/>
          <w:b/>
          <w:bCs/>
          <w:color w:val="000000" w:themeColor="text1"/>
          <w:lang w:val="es-ES_tradnl"/>
        </w:rPr>
        <w:t>,</w:t>
      </w:r>
      <w:r w:rsidRPr="003C5758">
        <w:rPr>
          <w:rFonts w:ascii="Palatino Linotype" w:eastAsia="Calibri" w:hAnsi="Palatino Linotype" w:cs="Arial"/>
          <w:color w:val="000000" w:themeColor="text1"/>
        </w:rPr>
        <w:t xml:space="preserve"> mediante la cual requirió:</w:t>
      </w:r>
    </w:p>
    <w:p w14:paraId="6E641C3B" w14:textId="77777777" w:rsidR="00EA0165" w:rsidRPr="0046696A"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524ECFA0" w:rsidR="00EA0165" w:rsidRPr="0046696A"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i/>
          <w:color w:val="000000" w:themeColor="text1"/>
          <w:lang w:val="es-ES_tradnl"/>
        </w:rPr>
        <w:t>“</w:t>
      </w:r>
      <w:r w:rsidR="003C5758" w:rsidRPr="003C5758">
        <w:rPr>
          <w:rFonts w:ascii="Palatino Linotype" w:eastAsiaTheme="minorEastAsia" w:hAnsi="Palatino Linotype" w:cstheme="minorBidi"/>
          <w:i/>
          <w:color w:val="000000" w:themeColor="text1"/>
          <w:lang w:val="es-ES_tradnl"/>
        </w:rPr>
        <w:t>SOLICITO LA NOMINA DEL AYUNTAMIENTO DE NICO</w:t>
      </w:r>
      <w:r w:rsidR="003C5758">
        <w:rPr>
          <w:rFonts w:ascii="Palatino Linotype" w:eastAsiaTheme="minorEastAsia" w:hAnsi="Palatino Linotype" w:cstheme="minorBidi"/>
          <w:i/>
          <w:color w:val="000000" w:themeColor="text1"/>
          <w:lang w:val="es-ES_tradnl"/>
        </w:rPr>
        <w:t>LAS ROMERO DEL MES DE MAYO 2021</w:t>
      </w:r>
      <w:r w:rsidRPr="0046696A">
        <w:rPr>
          <w:rFonts w:ascii="Palatino Linotype" w:eastAsiaTheme="minorEastAsia" w:hAnsi="Palatino Linotype" w:cstheme="minorBidi"/>
          <w:i/>
          <w:color w:val="000000" w:themeColor="text1"/>
          <w:lang w:val="es-ES_tradnl"/>
        </w:rPr>
        <w:t xml:space="preserve">.” </w:t>
      </w:r>
      <w:r w:rsidRPr="0046696A">
        <w:rPr>
          <w:rFonts w:ascii="Palatino Linotype" w:eastAsiaTheme="minorEastAsia" w:hAnsi="Palatino Linotype" w:cstheme="minorBidi"/>
          <w:color w:val="000000" w:themeColor="text1"/>
          <w:lang w:val="es-ES_tradnl"/>
        </w:rPr>
        <w:t>(Sic).</w:t>
      </w:r>
    </w:p>
    <w:p w14:paraId="1046CCE1" w14:textId="304A6F03" w:rsidR="00A415DB" w:rsidRPr="0046696A"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46696A" w:rsidRDefault="00EA0165" w:rsidP="00E62DBE">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6696A">
        <w:rPr>
          <w:rFonts w:ascii="Palatino Linotype" w:eastAsiaTheme="minorEastAsia" w:hAnsi="Palatino Linotype" w:cs="Arial"/>
          <w:color w:val="000000" w:themeColor="text1"/>
          <w:lang w:val="es-ES_tradnl"/>
        </w:rPr>
        <w:t xml:space="preserve">Se hace constar que </w:t>
      </w:r>
      <w:r w:rsidRPr="0046696A">
        <w:rPr>
          <w:rFonts w:ascii="Palatino Linotype" w:hAnsi="Palatino Linotype" w:cs="Arial"/>
          <w:color w:val="000000" w:themeColor="text1"/>
        </w:rPr>
        <w:t xml:space="preserve">el entonces </w:t>
      </w:r>
      <w:r w:rsidRPr="0046696A">
        <w:rPr>
          <w:rFonts w:ascii="Palatino Linotype" w:hAnsi="Palatino Linotype" w:cs="Arial"/>
          <w:b/>
          <w:color w:val="000000" w:themeColor="text1"/>
        </w:rPr>
        <w:t>SOLICITANTE</w:t>
      </w:r>
      <w:r w:rsidRPr="0046696A">
        <w:rPr>
          <w:rFonts w:ascii="Palatino Linotype" w:hAnsi="Palatino Linotype" w:cs="Arial"/>
          <w:color w:val="000000" w:themeColor="text1"/>
        </w:rPr>
        <w:t xml:space="preserve"> señaló como modalidad de entrega de la información</w:t>
      </w:r>
      <w:r w:rsidRPr="0046696A">
        <w:rPr>
          <w:rFonts w:ascii="Palatino Linotype" w:hAnsi="Palatino Linotype" w:cs="Arial"/>
          <w:b/>
          <w:color w:val="000000" w:themeColor="text1"/>
        </w:rPr>
        <w:t>:</w:t>
      </w:r>
      <w:r w:rsidRPr="0046696A">
        <w:rPr>
          <w:rFonts w:ascii="Palatino Linotype" w:hAnsi="Palatino Linotype" w:cs="Arial"/>
          <w:color w:val="000000" w:themeColor="text1"/>
        </w:rPr>
        <w:t xml:space="preserve"> </w:t>
      </w:r>
      <w:r w:rsidRPr="0046696A">
        <w:rPr>
          <w:rFonts w:ascii="Palatino Linotype" w:hAnsi="Palatino Linotype" w:cs="Arial"/>
          <w:b/>
          <w:color w:val="000000" w:themeColor="text1"/>
        </w:rPr>
        <w:t>A través del SAIMEX</w:t>
      </w:r>
      <w:r w:rsidRPr="0046696A">
        <w:rPr>
          <w:rFonts w:ascii="Palatino Linotype" w:eastAsia="Calibri" w:hAnsi="Palatino Linotype" w:cs="Arial"/>
          <w:color w:val="000000" w:themeColor="text1"/>
          <w:lang w:val="es-AR"/>
        </w:rPr>
        <w:t>.</w:t>
      </w:r>
    </w:p>
    <w:p w14:paraId="73E918B8" w14:textId="77777777" w:rsidR="0042021B" w:rsidRPr="0046696A" w:rsidRDefault="0042021B"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66DA6A81" w:rsidR="00EA0165" w:rsidRPr="0046696A" w:rsidRDefault="001A0598" w:rsidP="00E62DBE">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6696A">
        <w:rPr>
          <w:rFonts w:ascii="Palatino Linotype" w:eastAsiaTheme="minorEastAsia" w:hAnsi="Palatino Linotype" w:cstheme="minorBidi"/>
          <w:color w:val="000000" w:themeColor="text1"/>
          <w:lang w:val="es-ES_tradnl"/>
        </w:rPr>
        <w:lastRenderedPageBreak/>
        <w:t xml:space="preserve">El </w:t>
      </w:r>
      <w:r w:rsidR="003C5758">
        <w:rPr>
          <w:rFonts w:ascii="Palatino Linotype" w:eastAsiaTheme="minorEastAsia" w:hAnsi="Palatino Linotype" w:cstheme="minorBidi"/>
          <w:color w:val="000000" w:themeColor="text1"/>
          <w:lang w:val="es-ES_tradnl"/>
        </w:rPr>
        <w:t>diez (10</w:t>
      </w:r>
      <w:r w:rsidR="00BA3CDE" w:rsidRPr="0046696A">
        <w:rPr>
          <w:rFonts w:ascii="Palatino Linotype" w:eastAsiaTheme="minorEastAsia" w:hAnsi="Palatino Linotype" w:cstheme="minorBidi"/>
          <w:color w:val="000000" w:themeColor="text1"/>
          <w:lang w:val="es-ES_tradnl"/>
        </w:rPr>
        <w:t>) de</w:t>
      </w:r>
      <w:r w:rsidR="003C5758">
        <w:rPr>
          <w:rFonts w:ascii="Palatino Linotype" w:eastAsiaTheme="minorEastAsia" w:hAnsi="Palatino Linotype" w:cstheme="minorBidi"/>
          <w:color w:val="000000" w:themeColor="text1"/>
          <w:lang w:val="es-ES_tradnl"/>
        </w:rPr>
        <w:t xml:space="preserve"> agosto </w:t>
      </w:r>
      <w:r w:rsidR="00EA0165" w:rsidRPr="0046696A">
        <w:rPr>
          <w:rFonts w:ascii="Palatino Linotype" w:eastAsiaTheme="minorEastAsia" w:hAnsi="Palatino Linotype" w:cstheme="minorBidi"/>
          <w:color w:val="000000" w:themeColor="text1"/>
          <w:lang w:val="es-ES_tradnl"/>
        </w:rPr>
        <w:t xml:space="preserve">de dos mil veintiuno, el </w:t>
      </w:r>
      <w:r w:rsidR="00EA0165" w:rsidRPr="0046696A">
        <w:rPr>
          <w:rFonts w:ascii="Palatino Linotype" w:eastAsiaTheme="minorEastAsia" w:hAnsi="Palatino Linotype" w:cstheme="minorBidi"/>
          <w:b/>
          <w:color w:val="000000" w:themeColor="text1"/>
          <w:lang w:val="es-ES_tradnl"/>
        </w:rPr>
        <w:t>SUJETO OBLIGADO</w:t>
      </w:r>
      <w:r w:rsidR="00EA0165" w:rsidRPr="0046696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46696A"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13D9F70E" w14:textId="77777777" w:rsidR="003C5758" w:rsidRPr="003C5758" w:rsidRDefault="00EA0165" w:rsidP="003C575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6696A">
        <w:rPr>
          <w:rFonts w:ascii="Palatino Linotype" w:eastAsiaTheme="minorEastAsia" w:hAnsi="Palatino Linotype" w:cstheme="minorBidi"/>
          <w:i/>
          <w:noProof/>
          <w:color w:val="000000" w:themeColor="text1"/>
          <w:lang w:val="es-MX" w:eastAsia="es-MX"/>
        </w:rPr>
        <w:t>“</w:t>
      </w:r>
      <w:r w:rsidR="003C5758" w:rsidRPr="003C5758">
        <w:rPr>
          <w:rFonts w:ascii="Palatino Linotype" w:eastAsiaTheme="minorEastAsia" w:hAnsi="Palatino Linotype" w:cstheme="minorBidi"/>
          <w:i/>
          <w:noProof/>
          <w:color w:val="000000" w:themeColor="text1"/>
          <w:lang w:val="es-MX" w:eastAsia="es-MX"/>
        </w:rPr>
        <w:t>Nicolás Romero, México a 10 de Agosto de 2021</w:t>
      </w:r>
    </w:p>
    <w:p w14:paraId="2BE7955A" w14:textId="439427FE" w:rsidR="003C5758" w:rsidRPr="003C5758" w:rsidRDefault="003C5758" w:rsidP="003C575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 xml:space="preserve">Nombre del solicitante: </w:t>
      </w:r>
      <w:r w:rsidR="00B5066A" w:rsidRPr="00B5066A">
        <w:rPr>
          <w:rFonts w:ascii="Palatino Linotype" w:eastAsiaTheme="minorEastAsia" w:hAnsi="Palatino Linotype" w:cstheme="minorBidi"/>
          <w:i/>
          <w:noProof/>
          <w:color w:val="000000" w:themeColor="text1"/>
          <w:lang w:val="es-MX" w:eastAsia="es-MX"/>
        </w:rPr>
        <w:t>XXXXXXXXX XXXXXXXXX XXXXX</w:t>
      </w:r>
    </w:p>
    <w:p w14:paraId="6E595930" w14:textId="77777777" w:rsidR="003C5758" w:rsidRDefault="003C5758" w:rsidP="003C575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Folio de la solicitud: 00153/NICOROM/IP/2021</w:t>
      </w:r>
    </w:p>
    <w:p w14:paraId="4E69E06A" w14:textId="77777777" w:rsidR="003C5758" w:rsidRPr="003C5758" w:rsidRDefault="003C5758" w:rsidP="003C5758">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4BF68D1" w14:textId="77777777" w:rsidR="003C5758" w:rsidRPr="003C5758" w:rsidRDefault="003C5758" w:rsidP="003C575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2506CB" w14:textId="77777777" w:rsidR="003C5758" w:rsidRDefault="003C5758" w:rsidP="003C575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Buenas tardes, por este medio envío respuesta a su solicitud de información. Sin mas por el momento, reciba un cordial saludo.</w:t>
      </w:r>
    </w:p>
    <w:p w14:paraId="4D3A3E03" w14:textId="77777777" w:rsidR="003C5758" w:rsidRPr="003C5758" w:rsidRDefault="003C5758" w:rsidP="003C5758">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D82971B" w14:textId="77777777" w:rsidR="003C5758" w:rsidRPr="003C5758" w:rsidRDefault="003C5758" w:rsidP="003C5758">
      <w:pPr>
        <w:spacing w:line="360" w:lineRule="auto"/>
        <w:ind w:left="567" w:right="567"/>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ATENTAMENTE</w:t>
      </w:r>
    </w:p>
    <w:p w14:paraId="373EF026" w14:textId="4ED32EDB" w:rsidR="002B2B24" w:rsidRPr="0046696A" w:rsidRDefault="003C5758" w:rsidP="003C5758">
      <w:pPr>
        <w:spacing w:line="360" w:lineRule="auto"/>
        <w:ind w:left="567" w:right="567"/>
        <w:rPr>
          <w:rFonts w:ascii="Palatino Linotype" w:eastAsiaTheme="minorEastAsia" w:hAnsi="Palatino Linotype" w:cstheme="minorBidi"/>
          <w:i/>
          <w:noProof/>
          <w:color w:val="000000" w:themeColor="text1"/>
          <w:lang w:val="es-MX" w:eastAsia="es-MX"/>
        </w:rPr>
      </w:pPr>
      <w:r w:rsidRPr="003C5758">
        <w:rPr>
          <w:rFonts w:ascii="Palatino Linotype" w:eastAsiaTheme="minorEastAsia" w:hAnsi="Palatino Linotype" w:cstheme="minorBidi"/>
          <w:i/>
          <w:noProof/>
          <w:color w:val="000000" w:themeColor="text1"/>
          <w:lang w:val="es-MX" w:eastAsia="es-MX"/>
        </w:rPr>
        <w:t>LIC. ALFONSO HERNANDEZ GASCA</w:t>
      </w:r>
      <w:r w:rsidR="001A0598" w:rsidRPr="0046696A">
        <w:rPr>
          <w:rFonts w:ascii="Palatino Linotype" w:eastAsiaTheme="minorEastAsia" w:hAnsi="Palatino Linotype" w:cstheme="minorBidi"/>
          <w:i/>
          <w:noProof/>
          <w:color w:val="000000" w:themeColor="text1"/>
          <w:lang w:val="es-MX" w:eastAsia="es-MX"/>
        </w:rPr>
        <w:t>.” (Sic)</w:t>
      </w:r>
    </w:p>
    <w:p w14:paraId="1CD10B41" w14:textId="77777777" w:rsidR="00EA0165" w:rsidRPr="0046696A" w:rsidRDefault="00EA0165" w:rsidP="000C1184">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4671A015" w14:textId="376141C1" w:rsidR="0006775F" w:rsidRPr="0046696A" w:rsidRDefault="00EA0165" w:rsidP="00E62DBE">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color w:val="000000" w:themeColor="text1"/>
          <w:lang w:val="es-ES_tradnl"/>
        </w:rPr>
        <w:t xml:space="preserve">Asimismo, el </w:t>
      </w:r>
      <w:r w:rsidRPr="0046696A">
        <w:rPr>
          <w:rFonts w:ascii="Palatino Linotype" w:eastAsiaTheme="minorEastAsia" w:hAnsi="Palatino Linotype" w:cstheme="minorBidi"/>
          <w:b/>
          <w:bCs/>
          <w:color w:val="000000" w:themeColor="text1"/>
          <w:lang w:val="es-ES_tradnl"/>
        </w:rPr>
        <w:t>SUJETO OBLIGADO</w:t>
      </w:r>
      <w:r w:rsidRPr="0046696A">
        <w:rPr>
          <w:rFonts w:ascii="Palatino Linotype" w:eastAsiaTheme="minorEastAsia" w:hAnsi="Palatino Linotype" w:cstheme="minorBidi"/>
          <w:color w:val="000000" w:themeColor="text1"/>
          <w:lang w:val="es-ES_tradnl"/>
        </w:rPr>
        <w:t xml:space="preserve"> adjuntó a su respuesta </w:t>
      </w:r>
      <w:r w:rsidR="00376142" w:rsidRPr="0046696A">
        <w:rPr>
          <w:rFonts w:ascii="Palatino Linotype" w:eastAsiaTheme="minorEastAsia" w:hAnsi="Palatino Linotype" w:cstheme="minorBidi"/>
          <w:color w:val="000000" w:themeColor="text1"/>
          <w:lang w:val="es-ES_tradnl"/>
        </w:rPr>
        <w:t>el</w:t>
      </w:r>
      <w:r w:rsidR="00F11AAF" w:rsidRPr="0046696A">
        <w:rPr>
          <w:rFonts w:ascii="Palatino Linotype" w:eastAsiaTheme="minorEastAsia" w:hAnsi="Palatino Linotype" w:cstheme="minorBidi"/>
          <w:color w:val="000000" w:themeColor="text1"/>
          <w:lang w:val="es-ES_tradnl"/>
        </w:rPr>
        <w:t xml:space="preserve"> archivo</w:t>
      </w:r>
      <w:r w:rsidR="00376142" w:rsidRPr="0046696A">
        <w:rPr>
          <w:rFonts w:ascii="Palatino Linotype" w:eastAsiaTheme="minorEastAsia" w:hAnsi="Palatino Linotype" w:cstheme="minorBidi"/>
          <w:color w:val="000000" w:themeColor="text1"/>
          <w:lang w:val="es-ES_tradnl"/>
        </w:rPr>
        <w:t xml:space="preserve"> </w:t>
      </w:r>
      <w:r w:rsidRPr="0046696A">
        <w:rPr>
          <w:rFonts w:ascii="Palatino Linotype" w:eastAsiaTheme="minorEastAsia" w:hAnsi="Palatino Linotype" w:cstheme="minorBidi"/>
          <w:color w:val="000000" w:themeColor="text1"/>
          <w:lang w:val="es-ES_tradnl"/>
        </w:rPr>
        <w:t>electrónico</w:t>
      </w:r>
      <w:r w:rsidR="00AE125E" w:rsidRPr="0046696A">
        <w:rPr>
          <w:rFonts w:ascii="Palatino Linotype" w:eastAsiaTheme="minorEastAsia" w:hAnsi="Palatino Linotype" w:cstheme="minorBidi"/>
          <w:color w:val="000000" w:themeColor="text1"/>
          <w:lang w:val="es-ES_tradnl"/>
        </w:rPr>
        <w:t>s</w:t>
      </w:r>
      <w:r w:rsidRPr="0046696A">
        <w:rPr>
          <w:rFonts w:ascii="Palatino Linotype" w:eastAsiaTheme="minorEastAsia" w:hAnsi="Palatino Linotype" w:cstheme="minorBidi"/>
          <w:color w:val="000000" w:themeColor="text1"/>
          <w:lang w:val="es-ES_tradnl"/>
        </w:rPr>
        <w:t xml:space="preserve"> que se describe a continuación:</w:t>
      </w:r>
    </w:p>
    <w:p w14:paraId="1017144F" w14:textId="77777777" w:rsidR="0006775F" w:rsidRPr="0046696A" w:rsidRDefault="0006775F" w:rsidP="0006775F">
      <w:pPr>
        <w:tabs>
          <w:tab w:val="left" w:pos="284"/>
          <w:tab w:val="left" w:pos="993"/>
          <w:tab w:val="left" w:pos="1134"/>
        </w:tabs>
        <w:spacing w:line="360" w:lineRule="auto"/>
        <w:ind w:left="567" w:right="616"/>
        <w:contextualSpacing/>
        <w:jc w:val="both"/>
        <w:rPr>
          <w:rFonts w:ascii="Palatino Linotype" w:eastAsiaTheme="minorEastAsia" w:hAnsi="Palatino Linotype" w:cstheme="minorBidi"/>
          <w:b/>
          <w:color w:val="000000" w:themeColor="text1"/>
          <w:lang w:val="es-ES_tradnl"/>
        </w:rPr>
      </w:pPr>
    </w:p>
    <w:p w14:paraId="1DA9A40B" w14:textId="14D3F86F" w:rsidR="003C5758" w:rsidRDefault="0006775F" w:rsidP="00A05700">
      <w:pPr>
        <w:tabs>
          <w:tab w:val="left" w:pos="284"/>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6696A">
        <w:rPr>
          <w:rFonts w:ascii="Palatino Linotype" w:eastAsiaTheme="minorEastAsia" w:hAnsi="Palatino Linotype" w:cstheme="minorBidi"/>
          <w:color w:val="000000" w:themeColor="text1"/>
          <w:lang w:val="es-ES_tradnl"/>
        </w:rPr>
        <w:t>•</w:t>
      </w:r>
      <w:r w:rsidRPr="0046696A">
        <w:rPr>
          <w:rFonts w:ascii="Palatino Linotype" w:eastAsiaTheme="minorEastAsia" w:hAnsi="Palatino Linotype" w:cstheme="minorBidi"/>
          <w:color w:val="000000" w:themeColor="text1"/>
          <w:lang w:val="es-ES_tradnl"/>
        </w:rPr>
        <w:tab/>
      </w:r>
      <w:r w:rsidRPr="0046696A">
        <w:rPr>
          <w:rFonts w:ascii="Palatino Linotype" w:eastAsiaTheme="minorEastAsia" w:hAnsi="Palatino Linotype" w:cstheme="minorBidi"/>
          <w:b/>
          <w:color w:val="000000" w:themeColor="text1"/>
          <w:lang w:val="es-ES_tradnl"/>
        </w:rPr>
        <w:t>NR_DA_RH_858_2021 00141 .pdf</w:t>
      </w:r>
      <w:r w:rsidR="00EA0165" w:rsidRPr="0046696A">
        <w:rPr>
          <w:rFonts w:ascii="Palatino Linotype" w:eastAsiaTheme="minorEastAsia" w:hAnsi="Palatino Linotype" w:cstheme="minorBidi"/>
          <w:b/>
          <w:color w:val="000000" w:themeColor="text1"/>
          <w:lang w:val="es-ES_tradnl"/>
        </w:rPr>
        <w:t>:</w:t>
      </w:r>
      <w:r w:rsidR="00EA0165" w:rsidRPr="0046696A">
        <w:rPr>
          <w:rFonts w:ascii="Palatino Linotype" w:eastAsiaTheme="minorEastAsia" w:hAnsi="Palatino Linotype" w:cstheme="minorBidi"/>
          <w:color w:val="000000" w:themeColor="text1"/>
          <w:lang w:val="es-ES_tradnl"/>
        </w:rPr>
        <w:t xml:space="preserve"> Documento</w:t>
      </w:r>
      <w:r w:rsidR="001A0598" w:rsidRPr="0046696A">
        <w:rPr>
          <w:rFonts w:ascii="Palatino Linotype" w:eastAsiaTheme="minorEastAsia" w:hAnsi="Palatino Linotype" w:cstheme="minorBidi"/>
          <w:color w:val="000000" w:themeColor="text1"/>
          <w:lang w:val="es-ES_tradnl"/>
        </w:rPr>
        <w:t>s</w:t>
      </w:r>
      <w:r w:rsidR="00EA0165" w:rsidRPr="0046696A">
        <w:rPr>
          <w:rFonts w:ascii="Palatino Linotype" w:eastAsiaTheme="minorEastAsia" w:hAnsi="Palatino Linotype" w:cstheme="minorBidi"/>
          <w:color w:val="000000" w:themeColor="text1"/>
          <w:lang w:val="es-ES_tradnl"/>
        </w:rPr>
        <w:t xml:space="preserve"> electrónico</w:t>
      </w:r>
      <w:r w:rsidR="00AE125E" w:rsidRPr="0046696A">
        <w:rPr>
          <w:rFonts w:ascii="Palatino Linotype" w:eastAsiaTheme="minorEastAsia" w:hAnsi="Palatino Linotype" w:cstheme="minorBidi"/>
          <w:color w:val="000000" w:themeColor="text1"/>
          <w:lang w:val="es-ES_tradnl"/>
        </w:rPr>
        <w:t xml:space="preserve"> que en </w:t>
      </w:r>
      <w:r w:rsidR="003C5758">
        <w:rPr>
          <w:rFonts w:ascii="Palatino Linotype" w:eastAsiaTheme="minorEastAsia" w:hAnsi="Palatino Linotype" w:cstheme="minorBidi"/>
          <w:color w:val="000000" w:themeColor="text1"/>
          <w:lang w:val="es-ES_tradnl"/>
        </w:rPr>
        <w:t>dos (02</w:t>
      </w:r>
      <w:r w:rsidRPr="0046696A">
        <w:rPr>
          <w:rFonts w:ascii="Palatino Linotype" w:eastAsiaTheme="minorEastAsia" w:hAnsi="Palatino Linotype" w:cstheme="minorBidi"/>
          <w:color w:val="000000" w:themeColor="text1"/>
          <w:lang w:val="es-ES_tradnl"/>
        </w:rPr>
        <w:t>) hoja</w:t>
      </w:r>
      <w:r w:rsidR="003C5758">
        <w:rPr>
          <w:rFonts w:ascii="Palatino Linotype" w:eastAsiaTheme="minorEastAsia" w:hAnsi="Palatino Linotype" w:cstheme="minorBidi"/>
          <w:color w:val="000000" w:themeColor="text1"/>
          <w:lang w:val="es-ES_tradnl"/>
        </w:rPr>
        <w:t>s</w:t>
      </w:r>
      <w:r w:rsidR="00AE125E" w:rsidRPr="0046696A">
        <w:rPr>
          <w:rFonts w:ascii="Palatino Linotype" w:eastAsiaTheme="minorEastAsia" w:hAnsi="Palatino Linotype" w:cstheme="minorBidi"/>
          <w:color w:val="000000" w:themeColor="text1"/>
          <w:lang w:val="es-ES_tradnl"/>
        </w:rPr>
        <w:t xml:space="preserve"> </w:t>
      </w:r>
      <w:r w:rsidR="00F11AAF" w:rsidRPr="0046696A">
        <w:rPr>
          <w:rFonts w:ascii="Palatino Linotype" w:eastAsiaTheme="minorEastAsia" w:hAnsi="Palatino Linotype" w:cstheme="minorBidi"/>
          <w:color w:val="000000" w:themeColor="text1"/>
          <w:lang w:val="es-ES_tradnl"/>
        </w:rPr>
        <w:t>contiene</w:t>
      </w:r>
      <w:r w:rsidR="00676566" w:rsidRPr="0046696A">
        <w:rPr>
          <w:rFonts w:ascii="Palatino Linotype" w:eastAsiaTheme="minorEastAsia" w:hAnsi="Palatino Linotype" w:cstheme="minorBidi"/>
          <w:color w:val="000000" w:themeColor="text1"/>
          <w:lang w:val="es-ES_tradnl"/>
        </w:rPr>
        <w:t xml:space="preserve">, el </w:t>
      </w:r>
      <w:r w:rsidR="003C5758">
        <w:rPr>
          <w:rFonts w:ascii="Palatino Linotype" w:eastAsiaTheme="minorEastAsia" w:hAnsi="Palatino Linotype" w:cstheme="minorBidi"/>
          <w:color w:val="000000" w:themeColor="text1"/>
          <w:lang w:val="es-ES_tradnl"/>
        </w:rPr>
        <w:t>oficio NR/DA/RH/874</w:t>
      </w:r>
      <w:r w:rsidRPr="0046696A">
        <w:rPr>
          <w:rFonts w:ascii="Palatino Linotype" w:eastAsiaTheme="minorEastAsia" w:hAnsi="Palatino Linotype" w:cstheme="minorBidi"/>
          <w:color w:val="000000" w:themeColor="text1"/>
          <w:lang w:val="es-ES_tradnl"/>
        </w:rPr>
        <w:t>/2021</w:t>
      </w:r>
      <w:r w:rsidR="00640D71" w:rsidRPr="0046696A">
        <w:rPr>
          <w:rFonts w:ascii="Palatino Linotype" w:eastAsiaTheme="minorEastAsia" w:hAnsi="Palatino Linotype" w:cstheme="minorBidi"/>
          <w:color w:val="000000" w:themeColor="text1"/>
          <w:lang w:val="es-ES_tradnl"/>
        </w:rPr>
        <w:t xml:space="preserve">, suscrito por </w:t>
      </w:r>
      <w:r w:rsidR="00C3500A" w:rsidRPr="0046696A">
        <w:rPr>
          <w:rFonts w:ascii="Palatino Linotype" w:eastAsiaTheme="minorEastAsia" w:hAnsi="Palatino Linotype" w:cstheme="minorBidi"/>
          <w:color w:val="000000" w:themeColor="text1"/>
          <w:lang w:val="es-ES_tradnl"/>
        </w:rPr>
        <w:t xml:space="preserve">el </w:t>
      </w:r>
      <w:r w:rsidRPr="0046696A">
        <w:rPr>
          <w:rFonts w:ascii="Palatino Linotype" w:eastAsiaTheme="minorEastAsia" w:hAnsi="Palatino Linotype" w:cstheme="minorBidi"/>
          <w:color w:val="000000" w:themeColor="text1"/>
          <w:lang w:val="es-ES_tradnl"/>
        </w:rPr>
        <w:t xml:space="preserve">Director de Administración y dirigido a la Titular de la Unidad de </w:t>
      </w:r>
      <w:r w:rsidRPr="0046696A">
        <w:rPr>
          <w:rFonts w:ascii="Palatino Linotype" w:eastAsiaTheme="minorEastAsia" w:hAnsi="Palatino Linotype" w:cstheme="minorBidi"/>
          <w:color w:val="000000" w:themeColor="text1"/>
          <w:lang w:val="es-ES_tradnl"/>
        </w:rPr>
        <w:lastRenderedPageBreak/>
        <w:t>Transparencia, mediante el cual se refiere que “</w:t>
      </w:r>
      <w:r w:rsidRPr="0046696A">
        <w:rPr>
          <w:rFonts w:ascii="Palatino Linotype" w:eastAsiaTheme="minorEastAsia" w:hAnsi="Palatino Linotype" w:cstheme="minorBidi"/>
          <w:i/>
          <w:color w:val="000000" w:themeColor="text1"/>
          <w:lang w:val="es-ES_tradnl"/>
        </w:rPr>
        <w:t>Es menester hacer de su conocimiento</w:t>
      </w:r>
      <w:r w:rsidR="00A05700" w:rsidRPr="0046696A">
        <w:rPr>
          <w:rFonts w:ascii="Palatino Linotype" w:eastAsiaTheme="minorEastAsia" w:hAnsi="Palatino Linotype" w:cstheme="minorBidi"/>
          <w:i/>
          <w:color w:val="000000" w:themeColor="text1"/>
          <w:lang w:val="es-ES_tradnl"/>
        </w:rPr>
        <w:t>, que</w:t>
      </w:r>
      <w:r w:rsidR="003C5758">
        <w:rPr>
          <w:rFonts w:ascii="Palatino Linotype" w:eastAsiaTheme="minorEastAsia" w:hAnsi="Palatino Linotype" w:cstheme="minorBidi"/>
          <w:i/>
          <w:color w:val="000000" w:themeColor="text1"/>
          <w:lang w:val="es-ES_tradnl"/>
        </w:rPr>
        <w:t xml:space="preserve"> la documental requerida por el solicitante consta de 3330 recibos impresos por su anverso en copia simple, mismas que se requieren para dar atención a lo solicitado; y de conformidad con los artículos 85 fracción IV de la Ley General de Protección de Datos Personales en Posesión de Sujetos Obligados; 174 de la Ley de Transparencia y Acceso a la Información Pública del Estado de México y Municipios, la reproducción de los mismos genera un costo en materiales de lo anteriormente señalado...</w:t>
      </w:r>
      <w:r w:rsidR="00B944ED">
        <w:rPr>
          <w:rFonts w:ascii="Palatino Linotype" w:eastAsiaTheme="minorEastAsia" w:hAnsi="Palatino Linotype" w:cstheme="minorBidi"/>
          <w:i/>
          <w:color w:val="000000" w:themeColor="text1"/>
          <w:lang w:val="es-ES_tradnl"/>
        </w:rPr>
        <w:t xml:space="preserve"> generando un total de $4793.58 (CUATRO MIL SETECIENTOS NOVENTA Y TRES PESOS 58/100 M.N)</w:t>
      </w:r>
    </w:p>
    <w:p w14:paraId="7153D672" w14:textId="2EC920A4" w:rsidR="003C5758" w:rsidRDefault="003C5758" w:rsidP="00B944ED">
      <w:pPr>
        <w:tabs>
          <w:tab w:val="left" w:pos="284"/>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4F686D2A" w14:textId="24D6F356" w:rsidR="005171DE" w:rsidRPr="0046696A" w:rsidRDefault="00B944ED" w:rsidP="00A05700">
      <w:pPr>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i/>
          <w:color w:val="000000" w:themeColor="text1"/>
          <w:lang w:val="es-ES_tradnl"/>
        </w:rPr>
        <w:t xml:space="preserve">Por lo que hace </w:t>
      </w:r>
      <w:r w:rsidR="00A05700" w:rsidRPr="0046696A">
        <w:rPr>
          <w:rFonts w:ascii="Palatino Linotype" w:eastAsiaTheme="minorEastAsia" w:hAnsi="Palatino Linotype" w:cstheme="minorBidi"/>
          <w:i/>
          <w:color w:val="000000" w:themeColor="text1"/>
          <w:lang w:val="es-ES_tradnl"/>
        </w:rPr>
        <w:t>a la nómina de los cuerpos de Seguridad Pública y Tránsito Municipal, esta deberá de considerarse como reservada, lo anterior con fundamento en lo dispuesto por el artículo 140 fracción I de la Ley de Transparencia y Acceso a la Información Pública del Estado de México y Municipios, en virtud de que al entregar la nómina de todos y cada uno de los elementos adscritos al cuerpo que nos ocupa, se estaría dando información elativa al estado de fuerza. Poniendo en riesgo la operatividad de la misma, ya que suponiendo sin conceder, la delincuencia podría tomar ventaja con la divulgación de dicha información… En ese orden de ideas, el artículo 110 de la Ley General Sistema Nacional de Seguridad Pública, establece que se deberá clasificar como reservada la información que se contenga en la base de datos concerniente, entre otros, al personal de seguridad…</w:t>
      </w:r>
      <w:r w:rsidR="00A05700" w:rsidRPr="0046696A">
        <w:rPr>
          <w:rFonts w:ascii="Palatino Linotype" w:eastAsiaTheme="minorEastAsia" w:hAnsi="Palatino Linotype" w:cstheme="minorBidi"/>
          <w:color w:val="000000" w:themeColor="text1"/>
          <w:lang w:val="es-ES_tradnl"/>
        </w:rPr>
        <w:t xml:space="preserve"> [Se reproduce artículo 110 de la Ley General Sistema Nacional de Seguridad Pública]” (Sic)</w:t>
      </w:r>
    </w:p>
    <w:p w14:paraId="73F9A82D" w14:textId="77777777" w:rsidR="00EA0165" w:rsidRPr="0046696A"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BB5C5BA" w14:textId="590C7E38" w:rsidR="00EA0165" w:rsidRPr="0046696A" w:rsidRDefault="00EA0165" w:rsidP="005052BD">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6696A">
        <w:rPr>
          <w:rFonts w:ascii="Palatino Linotype" w:hAnsi="Palatino Linotype" w:cs="Arial"/>
          <w:color w:val="000000" w:themeColor="text1"/>
        </w:rPr>
        <w:lastRenderedPageBreak/>
        <w:t xml:space="preserve">Derivado de la respuesta emitida por el </w:t>
      </w:r>
      <w:r w:rsidRPr="0046696A">
        <w:rPr>
          <w:rFonts w:ascii="Palatino Linotype" w:hAnsi="Palatino Linotype" w:cs="Arial"/>
          <w:b/>
          <w:color w:val="000000" w:themeColor="text1"/>
        </w:rPr>
        <w:t>SUJETO OBLIGADO</w:t>
      </w:r>
      <w:r w:rsidRPr="0046696A">
        <w:rPr>
          <w:rFonts w:ascii="Palatino Linotype" w:hAnsi="Palatino Linotype" w:cs="Arial"/>
          <w:color w:val="000000" w:themeColor="text1"/>
        </w:rPr>
        <w:t>, e</w:t>
      </w:r>
      <w:r w:rsidR="005052BD">
        <w:rPr>
          <w:rFonts w:ascii="Palatino Linotype" w:hAnsi="Palatino Linotype" w:cs="Arial"/>
          <w:color w:val="000000" w:themeColor="text1"/>
        </w:rPr>
        <w:t>l dieciséis (16</w:t>
      </w:r>
      <w:r w:rsidR="00724328">
        <w:rPr>
          <w:rFonts w:ascii="Palatino Linotype" w:hAnsi="Palatino Linotype" w:cs="Arial"/>
          <w:color w:val="000000" w:themeColor="text1"/>
        </w:rPr>
        <w:t xml:space="preserve">) agosto </w:t>
      </w:r>
      <w:r w:rsidRPr="0046696A">
        <w:rPr>
          <w:rFonts w:ascii="Palatino Linotype" w:hAnsi="Palatino Linotype" w:cs="Arial"/>
          <w:color w:val="000000" w:themeColor="text1"/>
        </w:rPr>
        <w:t>de dos mil veintiuno, el particular interpuso el recurso de revisión</w:t>
      </w:r>
      <w:r w:rsidR="005052BD" w:rsidRPr="005052BD">
        <w:t xml:space="preserve"> </w:t>
      </w:r>
      <w:r w:rsidR="005052BD" w:rsidRPr="005052BD">
        <w:rPr>
          <w:rFonts w:ascii="Palatino Linotype" w:hAnsi="Palatino Linotype" w:cs="Arial"/>
          <w:b/>
          <w:color w:val="000000" w:themeColor="text1"/>
        </w:rPr>
        <w:t>04038/INFOEM/IP/RR/2021</w:t>
      </w:r>
      <w:r w:rsidRPr="0046696A">
        <w:rPr>
          <w:rFonts w:ascii="Palatino Linotype" w:eastAsia="Calibri" w:hAnsi="Palatino Linotype" w:cs="Arial"/>
          <w:b/>
          <w:color w:val="000000" w:themeColor="text1"/>
        </w:rPr>
        <w:t>;</w:t>
      </w:r>
      <w:r w:rsidRPr="0046696A">
        <w:rPr>
          <w:rFonts w:ascii="Palatino Linotype" w:hAnsi="Palatino Linotype" w:cs="Arial"/>
          <w:color w:val="000000" w:themeColor="text1"/>
        </w:rPr>
        <w:t xml:space="preserve"> impugnación en la que refirió lo siguiente:</w:t>
      </w:r>
    </w:p>
    <w:p w14:paraId="176F4252" w14:textId="77777777" w:rsidR="00EA0165" w:rsidRPr="0046696A"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37AEA5A2" w:rsidR="00EA0165" w:rsidRPr="0046696A" w:rsidRDefault="00EA0165" w:rsidP="005052BD">
      <w:pPr>
        <w:numPr>
          <w:ilvl w:val="0"/>
          <w:numId w:val="1"/>
        </w:numPr>
        <w:tabs>
          <w:tab w:val="left" w:pos="426"/>
          <w:tab w:val="left" w:pos="567"/>
        </w:tabs>
        <w:spacing w:line="360" w:lineRule="auto"/>
        <w:ind w:left="709" w:right="616" w:hanging="142"/>
        <w:contextualSpacing/>
        <w:jc w:val="both"/>
        <w:rPr>
          <w:rFonts w:ascii="Palatino Linotype" w:hAnsi="Palatino Linotype" w:cs="Arial"/>
          <w:color w:val="000000" w:themeColor="text1"/>
        </w:rPr>
      </w:pPr>
      <w:r w:rsidRPr="0046696A">
        <w:rPr>
          <w:rFonts w:ascii="Palatino Linotype" w:hAnsi="Palatino Linotype" w:cs="Arial"/>
          <w:b/>
          <w:color w:val="000000" w:themeColor="text1"/>
        </w:rPr>
        <w:t>Acto impugnado:</w:t>
      </w:r>
      <w:r w:rsidRPr="0046696A">
        <w:rPr>
          <w:rFonts w:ascii="Palatino Linotype" w:hAnsi="Palatino Linotype" w:cs="Arial"/>
          <w:color w:val="000000" w:themeColor="text1"/>
        </w:rPr>
        <w:t xml:space="preserve"> </w:t>
      </w:r>
      <w:r w:rsidRPr="0046696A">
        <w:rPr>
          <w:rFonts w:ascii="Palatino Linotype" w:hAnsi="Palatino Linotype" w:cs="Arial"/>
          <w:i/>
          <w:color w:val="000000" w:themeColor="text1"/>
        </w:rPr>
        <w:t>“</w:t>
      </w:r>
      <w:r w:rsidR="005052BD" w:rsidRPr="005052BD">
        <w:rPr>
          <w:rFonts w:ascii="Palatino Linotype" w:hAnsi="Palatino Linotype" w:cs="Arial"/>
          <w:i/>
          <w:color w:val="000000" w:themeColor="text1"/>
        </w:rPr>
        <w:t>RESPUESTA A MI SOLICITUD DE INFORMACIÓN</w:t>
      </w:r>
      <w:r w:rsidR="008426D8" w:rsidRPr="0046696A">
        <w:rPr>
          <w:rFonts w:ascii="Palatino Linotype" w:hAnsi="Palatino Linotype" w:cs="Arial"/>
          <w:i/>
          <w:color w:val="000000" w:themeColor="text1"/>
        </w:rPr>
        <w:t>.</w:t>
      </w:r>
      <w:r w:rsidRPr="0046696A">
        <w:rPr>
          <w:rFonts w:ascii="Palatino Linotype" w:hAnsi="Palatino Linotype" w:cs="Arial"/>
          <w:i/>
          <w:color w:val="000000" w:themeColor="text1"/>
        </w:rPr>
        <w:t>”</w:t>
      </w:r>
      <w:r w:rsidRPr="0046696A">
        <w:rPr>
          <w:rFonts w:ascii="Palatino Linotype" w:hAnsi="Palatino Linotype" w:cs="Arial"/>
          <w:color w:val="000000" w:themeColor="text1"/>
        </w:rPr>
        <w:t xml:space="preserve"> (Sic).</w:t>
      </w:r>
    </w:p>
    <w:p w14:paraId="71C7D21F" w14:textId="77777777" w:rsidR="00EA0165" w:rsidRPr="0046696A" w:rsidRDefault="00EA0165" w:rsidP="00D34B24">
      <w:pPr>
        <w:tabs>
          <w:tab w:val="left" w:pos="0"/>
        </w:tabs>
        <w:spacing w:line="360" w:lineRule="auto"/>
        <w:ind w:left="567" w:right="616"/>
        <w:contextualSpacing/>
        <w:jc w:val="both"/>
        <w:rPr>
          <w:rFonts w:ascii="Palatino Linotype" w:hAnsi="Palatino Linotype" w:cs="Arial"/>
          <w:color w:val="000000" w:themeColor="text1"/>
        </w:rPr>
      </w:pPr>
    </w:p>
    <w:p w14:paraId="19D4E1C1" w14:textId="13816E04" w:rsidR="00EA0165" w:rsidRPr="0046696A" w:rsidRDefault="00EA0165" w:rsidP="005052BD">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46696A">
        <w:rPr>
          <w:rFonts w:ascii="Palatino Linotype" w:hAnsi="Palatino Linotype" w:cs="Arial"/>
          <w:b/>
          <w:color w:val="000000" w:themeColor="text1"/>
        </w:rPr>
        <w:t>Razones o motivos de inconformidad:</w:t>
      </w:r>
      <w:r w:rsidRPr="0046696A">
        <w:rPr>
          <w:rFonts w:ascii="Palatino Linotype" w:hAnsi="Palatino Linotype" w:cs="Arial"/>
          <w:color w:val="000000" w:themeColor="text1"/>
        </w:rPr>
        <w:t xml:space="preserve"> </w:t>
      </w:r>
      <w:r w:rsidRPr="0046696A">
        <w:rPr>
          <w:rFonts w:ascii="Palatino Linotype" w:hAnsi="Palatino Linotype" w:cs="Arial"/>
          <w:i/>
          <w:color w:val="000000" w:themeColor="text1"/>
        </w:rPr>
        <w:t>“</w:t>
      </w:r>
      <w:r w:rsidR="005052BD" w:rsidRPr="005052BD">
        <w:rPr>
          <w:rFonts w:ascii="Palatino Linotype" w:hAnsi="Palatino Linotype" w:cs="Arial"/>
          <w:i/>
          <w:color w:val="000000" w:themeColor="text1"/>
        </w:rPr>
        <w:t>LA NEGATIVA DEL RESPONSABLE DE ADMNISTRACIÓN ASI COMO LA NEGLINTE ORIENTACIÓN DEL TITULAR DE TRANSPARENCIA DE INFORMAR Y ASESORAR A SU SERVIDOR PUBLICO PARA LA ATENCIÓN OPORTUNA Y CONGRUENTE YA QUE CARECE DE LOS ELEMENTOS MINIMOS PARA UNA RESERVA DE INFORMACIÓN ASI MISMO NO ES APLICABLE EN ALGUNOS DE SUS CONSIDERANDOS. ASI MISMO Y TODA VEZ QUE LOS COMISIONADOS EMITEN VOTOS PARTICULARES ESPERO TOMEN EN CUENTA Y EMITAN UN VOTO PARTICULAR SOBRE LA NEGLIGENTE ATENCIÓN Y EN SU CASO ATENCIÓN Y SANCIÓN DE LA CONTRALORIA DEL INFOEM O EN SU CASO EL EXTRAÑAMIENTO PUBLICO RESPECTIVO.</w:t>
      </w:r>
      <w:r w:rsidRPr="0046696A">
        <w:rPr>
          <w:rFonts w:ascii="Palatino Linotype" w:hAnsi="Palatino Linotype" w:cs="Arial"/>
          <w:i/>
          <w:color w:val="000000" w:themeColor="text1"/>
        </w:rPr>
        <w:t xml:space="preserve">” </w:t>
      </w:r>
      <w:r w:rsidRPr="0046696A">
        <w:rPr>
          <w:rFonts w:ascii="Palatino Linotype" w:hAnsi="Palatino Linotype" w:cs="Arial"/>
          <w:color w:val="000000" w:themeColor="text1"/>
        </w:rPr>
        <w:t>(Sic).</w:t>
      </w:r>
    </w:p>
    <w:p w14:paraId="16E57192" w14:textId="77777777" w:rsidR="00EA0165" w:rsidRPr="0046696A" w:rsidRDefault="00EA0165" w:rsidP="000C1184">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3B09638D" w:rsidR="00EA0165" w:rsidRPr="0046696A" w:rsidRDefault="00EA0165" w:rsidP="00E62DBE">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6696A">
        <w:rPr>
          <w:rFonts w:ascii="Palatino Linotype" w:hAnsi="Palatino Linotype" w:cs="Arial"/>
          <w:color w:val="000000" w:themeColor="text1"/>
        </w:rPr>
        <w:t xml:space="preserve">Se registró el recurso de revisión bajo el número de expediente </w:t>
      </w:r>
      <w:r w:rsidRPr="0046696A">
        <w:rPr>
          <w:rFonts w:ascii="Palatino Linotype" w:eastAsiaTheme="minorEastAsia" w:hAnsi="Palatino Linotype" w:cs="Arial"/>
          <w:bCs/>
          <w:color w:val="000000" w:themeColor="text1"/>
          <w:lang w:val="es-ES_tradnl"/>
        </w:rPr>
        <w:t xml:space="preserve">al rubro indicado, asimismo, con fundamento en lo dispuesto por el </w:t>
      </w:r>
      <w:r w:rsidRPr="0046696A">
        <w:rPr>
          <w:rFonts w:ascii="Palatino Linotype" w:eastAsia="Calibri" w:hAnsi="Palatino Linotype" w:cs="Arial"/>
          <w:color w:val="000000" w:themeColor="text1"/>
        </w:rPr>
        <w:t xml:space="preserve">artículo 185 fracción I de la </w:t>
      </w:r>
      <w:r w:rsidRPr="0046696A">
        <w:rPr>
          <w:rFonts w:ascii="Palatino Linotype" w:eastAsia="Calibri" w:hAnsi="Palatino Linotype" w:cs="Arial"/>
          <w:b/>
          <w:color w:val="000000" w:themeColor="text1"/>
        </w:rPr>
        <w:t xml:space="preserve">Ley de Transparencia y Acceso a la Información Pública del Estado de México y </w:t>
      </w:r>
      <w:r w:rsidRPr="0046696A">
        <w:rPr>
          <w:rFonts w:ascii="Palatino Linotype" w:eastAsia="Calibri" w:hAnsi="Palatino Linotype" w:cs="Arial"/>
          <w:b/>
          <w:color w:val="000000" w:themeColor="text1"/>
        </w:rPr>
        <w:lastRenderedPageBreak/>
        <w:t xml:space="preserve">Municipios </w:t>
      </w:r>
      <w:r w:rsidR="005E6282" w:rsidRPr="0046696A">
        <w:rPr>
          <w:rFonts w:ascii="Palatino Linotype" w:hAnsi="Palatino Linotype" w:cs="Arial"/>
          <w:color w:val="000000" w:themeColor="text1"/>
        </w:rPr>
        <w:t>se turnó a la</w:t>
      </w:r>
      <w:r w:rsidR="008426D8" w:rsidRPr="0046696A">
        <w:rPr>
          <w:rFonts w:ascii="Palatino Linotype" w:hAnsi="Palatino Linotype" w:cs="Arial"/>
          <w:color w:val="000000" w:themeColor="text1"/>
        </w:rPr>
        <w:t xml:space="preserve"> </w:t>
      </w:r>
      <w:r w:rsidR="00E3149E" w:rsidRPr="0046696A">
        <w:rPr>
          <w:rFonts w:ascii="Palatino Linotype" w:hAnsi="Palatino Linotype" w:cs="Arial"/>
          <w:b/>
          <w:color w:val="000000" w:themeColor="text1"/>
        </w:rPr>
        <w:t>C</w:t>
      </w:r>
      <w:r w:rsidR="005E6282" w:rsidRPr="0046696A">
        <w:rPr>
          <w:rFonts w:ascii="Palatino Linotype" w:hAnsi="Palatino Linotype" w:cs="Arial"/>
          <w:b/>
          <w:color w:val="000000" w:themeColor="text1"/>
        </w:rPr>
        <w:t>omisionada</w:t>
      </w:r>
      <w:r w:rsidR="00D34B24" w:rsidRPr="0046696A">
        <w:rPr>
          <w:rFonts w:ascii="Palatino Linotype" w:hAnsi="Palatino Linotype" w:cs="Arial"/>
          <w:b/>
          <w:color w:val="000000" w:themeColor="text1"/>
        </w:rPr>
        <w:t xml:space="preserve"> María del Rosario Mejía Ayala</w:t>
      </w:r>
      <w:r w:rsidRPr="0046696A">
        <w:rPr>
          <w:rFonts w:ascii="Palatino Linotype" w:hAnsi="Palatino Linotype" w:cs="Arial"/>
          <w:b/>
          <w:color w:val="000000" w:themeColor="text1"/>
        </w:rPr>
        <w:t xml:space="preserve">, </w:t>
      </w:r>
      <w:r w:rsidRPr="0046696A">
        <w:rPr>
          <w:rFonts w:ascii="Palatino Linotype" w:hAnsi="Palatino Linotype" w:cs="Arial"/>
          <w:color w:val="000000" w:themeColor="text1"/>
        </w:rPr>
        <w:t xml:space="preserve">con el objeto de </w:t>
      </w:r>
      <w:r w:rsidRPr="0046696A">
        <w:rPr>
          <w:rFonts w:ascii="Palatino Linotype" w:hAnsi="Palatino Linotype" w:cs="Arial"/>
          <w:color w:val="000000" w:themeColor="text1"/>
          <w:lang w:val="es-MX"/>
        </w:rPr>
        <w:t>su análisis.</w:t>
      </w:r>
    </w:p>
    <w:p w14:paraId="49F28BD1" w14:textId="77777777" w:rsidR="00EA0165" w:rsidRPr="0046696A"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78EABB65" w14:textId="0211866C" w:rsidR="00EA0165" w:rsidRPr="0046696A" w:rsidRDefault="00572DA9" w:rsidP="00E62DBE">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6696A">
        <w:rPr>
          <w:rFonts w:ascii="Palatino Linotype" w:hAnsi="Palatino Linotype" w:cs="Arial"/>
          <w:color w:val="000000" w:themeColor="text1"/>
        </w:rPr>
        <w:t>La</w:t>
      </w:r>
      <w:r w:rsidR="008426D8" w:rsidRPr="0046696A">
        <w:rPr>
          <w:rFonts w:ascii="Palatino Linotype" w:hAnsi="Palatino Linotype" w:cs="Arial"/>
          <w:color w:val="000000" w:themeColor="text1"/>
        </w:rPr>
        <w:t xml:space="preserve"> </w:t>
      </w:r>
      <w:r w:rsidR="00D34B24" w:rsidRPr="0046696A">
        <w:rPr>
          <w:rFonts w:ascii="Palatino Linotype" w:hAnsi="Palatino Linotype" w:cs="Arial"/>
          <w:b/>
          <w:color w:val="000000" w:themeColor="text1"/>
        </w:rPr>
        <w:t>Comisionada María del Rosario Mejía Ayala</w:t>
      </w:r>
      <w:r w:rsidR="00EA0165" w:rsidRPr="0046696A">
        <w:rPr>
          <w:rFonts w:ascii="Palatino Linotype" w:eastAsia="Calibri" w:hAnsi="Palatino Linotype" w:cs="Arial"/>
          <w:color w:val="000000" w:themeColor="text1"/>
        </w:rPr>
        <w:t>, con fundamento en lo dispuesto por el artículo 185 fracción II de la ley de la materia, a través del acuerdo de admisión de</w:t>
      </w:r>
      <w:r w:rsidR="00D34B24" w:rsidRPr="0046696A">
        <w:rPr>
          <w:rFonts w:ascii="Palatino Linotype" w:eastAsia="Calibri" w:hAnsi="Palatino Linotype" w:cs="Arial"/>
          <w:color w:val="000000" w:themeColor="text1"/>
        </w:rPr>
        <w:t xml:space="preserve"> veintisiete </w:t>
      </w:r>
      <w:r w:rsidR="00EA0165" w:rsidRPr="0046696A">
        <w:rPr>
          <w:rFonts w:ascii="Palatino Linotype" w:eastAsia="Calibri" w:hAnsi="Palatino Linotype" w:cs="Arial"/>
          <w:color w:val="000000" w:themeColor="text1"/>
        </w:rPr>
        <w:t>(</w:t>
      </w:r>
      <w:r w:rsidR="00D34B24" w:rsidRPr="0046696A">
        <w:rPr>
          <w:rFonts w:ascii="Palatino Linotype" w:eastAsia="Calibri" w:hAnsi="Palatino Linotype" w:cs="Arial"/>
          <w:color w:val="000000" w:themeColor="text1"/>
        </w:rPr>
        <w:t>27</w:t>
      </w:r>
      <w:r w:rsidR="00EA0165" w:rsidRPr="0046696A">
        <w:rPr>
          <w:rFonts w:ascii="Palatino Linotype" w:eastAsia="Calibri" w:hAnsi="Palatino Linotype" w:cs="Arial"/>
          <w:color w:val="000000" w:themeColor="text1"/>
        </w:rPr>
        <w:t>) de</w:t>
      </w:r>
      <w:r w:rsidR="008426D8" w:rsidRPr="0046696A">
        <w:rPr>
          <w:rFonts w:ascii="Palatino Linotype" w:eastAsia="Calibri" w:hAnsi="Palatino Linotype" w:cs="Arial"/>
          <w:color w:val="000000" w:themeColor="text1"/>
        </w:rPr>
        <w:t xml:space="preserve"> agosto</w:t>
      </w:r>
      <w:r w:rsidR="00EA0165" w:rsidRPr="0046696A">
        <w:rPr>
          <w:rFonts w:ascii="Palatino Linotype" w:eastAsia="Calibri" w:hAnsi="Palatino Linotype" w:cs="Arial"/>
          <w:color w:val="000000" w:themeColor="text1"/>
        </w:rPr>
        <w:t xml:space="preserve"> de dos mil veintiuno, puso a disposición de las partes el expediente electrónico </w:t>
      </w:r>
      <w:r w:rsidR="00EA0165" w:rsidRPr="0046696A">
        <w:rPr>
          <w:rFonts w:ascii="Palatino Linotype" w:eastAsia="Calibri" w:hAnsi="Palatino Linotype" w:cs="Arial"/>
          <w:color w:val="000000" w:themeColor="text1"/>
          <w:lang w:val="es-ES_tradnl"/>
        </w:rPr>
        <w:t xml:space="preserve">vía </w:t>
      </w:r>
      <w:r w:rsidR="00EA0165" w:rsidRPr="0046696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6696A">
        <w:rPr>
          <w:rFonts w:ascii="Palatino Linotype" w:eastAsia="Calibri" w:hAnsi="Palatino Linotype" w:cs="Arial"/>
          <w:b/>
          <w:color w:val="000000" w:themeColor="text1"/>
        </w:rPr>
        <w:t>SUJETO OBLIGADO</w:t>
      </w:r>
      <w:r w:rsidR="00EA0165" w:rsidRPr="0046696A">
        <w:rPr>
          <w:rFonts w:ascii="Palatino Linotype" w:eastAsia="Calibri" w:hAnsi="Palatino Linotype" w:cs="Arial"/>
          <w:color w:val="000000" w:themeColor="text1"/>
        </w:rPr>
        <w:t xml:space="preserve"> presentara el</w:t>
      </w:r>
      <w:r w:rsidR="00266490" w:rsidRPr="0046696A">
        <w:rPr>
          <w:rFonts w:ascii="Palatino Linotype" w:eastAsia="Calibri" w:hAnsi="Palatino Linotype" w:cs="Arial"/>
          <w:color w:val="000000" w:themeColor="text1"/>
        </w:rPr>
        <w:t xml:space="preserve"> </w:t>
      </w:r>
      <w:r w:rsidR="00D75922" w:rsidRPr="0046696A">
        <w:rPr>
          <w:rFonts w:ascii="Palatino Linotype" w:eastAsia="Calibri" w:hAnsi="Palatino Linotype" w:cs="Arial"/>
          <w:color w:val="000000" w:themeColor="text1"/>
        </w:rPr>
        <w:t>informe justificado procedente.</w:t>
      </w:r>
    </w:p>
    <w:p w14:paraId="1A8BF10D" w14:textId="77777777" w:rsidR="00D75922" w:rsidRPr="0046696A" w:rsidRDefault="00D75922" w:rsidP="000C1184">
      <w:pPr>
        <w:tabs>
          <w:tab w:val="left" w:pos="426"/>
        </w:tabs>
        <w:spacing w:line="360" w:lineRule="auto"/>
        <w:contextualSpacing/>
        <w:jc w:val="both"/>
        <w:rPr>
          <w:rFonts w:ascii="Palatino Linotype" w:eastAsia="Calibri" w:hAnsi="Palatino Linotype" w:cs="Arial"/>
          <w:color w:val="000000" w:themeColor="text1"/>
        </w:rPr>
      </w:pPr>
    </w:p>
    <w:p w14:paraId="05AB312E" w14:textId="11EFCD23" w:rsidR="00D75922" w:rsidRPr="0046696A" w:rsidRDefault="00C83B36" w:rsidP="00E62DBE">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46696A">
        <w:rPr>
          <w:rFonts w:ascii="Palatino Linotype" w:eastAsia="Calibri" w:hAnsi="Palatino Linotype" w:cs="Arial"/>
          <w:color w:val="000000" w:themeColor="text1"/>
        </w:rPr>
        <w:t xml:space="preserve">En fecha </w:t>
      </w:r>
      <w:r w:rsidR="00D34B24" w:rsidRPr="0046696A">
        <w:rPr>
          <w:rFonts w:ascii="Palatino Linotype" w:eastAsia="Calibri" w:hAnsi="Palatino Linotype" w:cs="Arial"/>
          <w:color w:val="000000" w:themeColor="text1"/>
        </w:rPr>
        <w:t>uno (01</w:t>
      </w:r>
      <w:r w:rsidR="00D75922" w:rsidRPr="0046696A">
        <w:rPr>
          <w:rFonts w:ascii="Palatino Linotype" w:eastAsia="Calibri" w:hAnsi="Palatino Linotype" w:cs="Arial"/>
          <w:color w:val="000000" w:themeColor="text1"/>
        </w:rPr>
        <w:t>) de</w:t>
      </w:r>
      <w:r w:rsidR="00D34B24" w:rsidRPr="0046696A">
        <w:rPr>
          <w:rFonts w:ascii="Palatino Linotype" w:eastAsia="Calibri" w:hAnsi="Palatino Linotype" w:cs="Arial"/>
          <w:color w:val="000000" w:themeColor="text1"/>
        </w:rPr>
        <w:t xml:space="preserve"> septiembre</w:t>
      </w:r>
      <w:r w:rsidRPr="0046696A">
        <w:rPr>
          <w:rFonts w:ascii="Palatino Linotype" w:eastAsia="Calibri" w:hAnsi="Palatino Linotype" w:cs="Arial"/>
          <w:color w:val="000000" w:themeColor="text1"/>
        </w:rPr>
        <w:t xml:space="preserve"> </w:t>
      </w:r>
      <w:r w:rsidR="00D75922" w:rsidRPr="0046696A">
        <w:rPr>
          <w:rFonts w:ascii="Palatino Linotype" w:eastAsia="Calibri" w:hAnsi="Palatino Linotype" w:cs="Arial"/>
          <w:color w:val="000000" w:themeColor="text1"/>
        </w:rPr>
        <w:t xml:space="preserve">de dos mil veintiuno el </w:t>
      </w:r>
      <w:r w:rsidR="00D75922" w:rsidRPr="0046696A">
        <w:rPr>
          <w:rFonts w:ascii="Palatino Linotype" w:eastAsia="Calibri" w:hAnsi="Palatino Linotype" w:cs="Arial"/>
          <w:b/>
          <w:color w:val="000000" w:themeColor="text1"/>
        </w:rPr>
        <w:t xml:space="preserve">SUJETO OBLIGADO </w:t>
      </w:r>
      <w:r w:rsidR="003F0926">
        <w:rPr>
          <w:rFonts w:ascii="Palatino Linotype" w:eastAsia="Calibri" w:hAnsi="Palatino Linotype" w:cs="Arial"/>
          <w:color w:val="000000" w:themeColor="text1"/>
        </w:rPr>
        <w:t xml:space="preserve">realizó entrega del mismo documento entregado en respuesta </w:t>
      </w:r>
      <w:r w:rsidR="00D75922" w:rsidRPr="0046696A">
        <w:rPr>
          <w:rFonts w:ascii="Palatino Linotype" w:eastAsia="Calibri" w:hAnsi="Palatino Linotype" w:cs="Arial"/>
          <w:color w:val="000000" w:themeColor="text1"/>
        </w:rPr>
        <w:t>en calidad de in</w:t>
      </w:r>
      <w:r w:rsidR="002B6937" w:rsidRPr="0046696A">
        <w:rPr>
          <w:rFonts w:ascii="Palatino Linotype" w:eastAsia="Calibri" w:hAnsi="Palatino Linotype" w:cs="Arial"/>
          <w:color w:val="000000" w:themeColor="text1"/>
        </w:rPr>
        <w:t>forme justificado, mism</w:t>
      </w:r>
      <w:r w:rsidR="00886EEC">
        <w:rPr>
          <w:rFonts w:ascii="Palatino Linotype" w:eastAsia="Calibri" w:hAnsi="Palatino Linotype" w:cs="Arial"/>
          <w:color w:val="000000" w:themeColor="text1"/>
        </w:rPr>
        <w:t>o</w:t>
      </w:r>
      <w:r w:rsidRPr="0046696A">
        <w:rPr>
          <w:rFonts w:ascii="Palatino Linotype" w:eastAsia="Calibri" w:hAnsi="Palatino Linotype" w:cs="Arial"/>
          <w:color w:val="000000" w:themeColor="text1"/>
        </w:rPr>
        <w:t xml:space="preserve"> que </w:t>
      </w:r>
      <w:r w:rsidR="00EC5949" w:rsidRPr="0046696A">
        <w:rPr>
          <w:rFonts w:ascii="Palatino Linotype" w:eastAsia="Calibri" w:hAnsi="Palatino Linotype" w:cs="Arial"/>
          <w:color w:val="000000" w:themeColor="text1"/>
        </w:rPr>
        <w:t>se hizo</w:t>
      </w:r>
      <w:r w:rsidR="00D75922" w:rsidRPr="0046696A">
        <w:rPr>
          <w:rFonts w:ascii="Palatino Linotype" w:eastAsia="Calibri" w:hAnsi="Palatino Linotype" w:cs="Arial"/>
          <w:color w:val="000000" w:themeColor="text1"/>
        </w:rPr>
        <w:t xml:space="preserve"> de conocimiento </w:t>
      </w:r>
      <w:r w:rsidR="006E2585" w:rsidRPr="0046696A">
        <w:rPr>
          <w:rFonts w:ascii="Palatino Linotype" w:eastAsia="Calibri" w:hAnsi="Palatino Linotype" w:cs="Arial"/>
          <w:color w:val="000000" w:themeColor="text1"/>
        </w:rPr>
        <w:t xml:space="preserve">del Recurrente </w:t>
      </w:r>
      <w:r w:rsidR="00EC5949" w:rsidRPr="0046696A">
        <w:rPr>
          <w:rFonts w:ascii="Palatino Linotype" w:eastAsia="Calibri" w:hAnsi="Palatino Linotype" w:cs="Arial"/>
          <w:color w:val="000000" w:themeColor="text1"/>
        </w:rPr>
        <w:t>medi</w:t>
      </w:r>
      <w:r w:rsidR="003F0926">
        <w:rPr>
          <w:rFonts w:ascii="Palatino Linotype" w:eastAsia="Calibri" w:hAnsi="Palatino Linotype" w:cs="Arial"/>
          <w:color w:val="000000" w:themeColor="text1"/>
        </w:rPr>
        <w:t>ante acuerdo de fecha siete (07)</w:t>
      </w:r>
      <w:r w:rsidRPr="0046696A">
        <w:rPr>
          <w:rFonts w:ascii="Palatino Linotype" w:eastAsia="Calibri" w:hAnsi="Palatino Linotype" w:cs="Arial"/>
          <w:color w:val="000000" w:themeColor="text1"/>
        </w:rPr>
        <w:t xml:space="preserve"> de septiembre de dos mil veintiuno</w:t>
      </w:r>
      <w:r w:rsidR="00C24F5E" w:rsidRPr="0046696A">
        <w:rPr>
          <w:rFonts w:ascii="Palatino Linotype" w:eastAsia="Calibri" w:hAnsi="Palatino Linotype" w:cs="Arial"/>
          <w:color w:val="000000" w:themeColor="text1"/>
        </w:rPr>
        <w:t>, no obstante</w:t>
      </w:r>
      <w:r w:rsidR="009C61F1" w:rsidRPr="0046696A">
        <w:rPr>
          <w:rFonts w:ascii="Palatino Linotype" w:eastAsia="Calibri" w:hAnsi="Palatino Linotype" w:cs="Arial"/>
          <w:color w:val="000000" w:themeColor="text1"/>
        </w:rPr>
        <w:t xml:space="preserve">, </w:t>
      </w:r>
      <w:r w:rsidR="006B497B" w:rsidRPr="0046696A">
        <w:rPr>
          <w:rFonts w:ascii="Palatino Linotype" w:eastAsia="Calibri" w:hAnsi="Palatino Linotype" w:cs="Arial"/>
          <w:color w:val="000000" w:themeColor="text1"/>
        </w:rPr>
        <w:t>y afecto de que</w:t>
      </w:r>
      <w:r w:rsidR="002B6937" w:rsidRPr="0046696A">
        <w:rPr>
          <w:rFonts w:ascii="Palatino Linotype" w:eastAsia="Calibri" w:hAnsi="Palatino Linotype" w:cs="Arial"/>
          <w:color w:val="000000" w:themeColor="text1"/>
        </w:rPr>
        <w:t xml:space="preserve"> no exista opacidad se describe</w:t>
      </w:r>
      <w:r w:rsidR="003F0926">
        <w:rPr>
          <w:rFonts w:ascii="Palatino Linotype" w:eastAsia="Calibri" w:hAnsi="Palatino Linotype" w:cs="Arial"/>
          <w:color w:val="000000" w:themeColor="text1"/>
        </w:rPr>
        <w:t xml:space="preserve"> a continuación.</w:t>
      </w:r>
    </w:p>
    <w:p w14:paraId="33988708" w14:textId="77777777" w:rsidR="00346090" w:rsidRPr="0046696A" w:rsidRDefault="00346090" w:rsidP="000C1184">
      <w:pPr>
        <w:tabs>
          <w:tab w:val="left" w:pos="709"/>
        </w:tabs>
        <w:spacing w:line="360" w:lineRule="auto"/>
        <w:ind w:right="616"/>
        <w:contextualSpacing/>
        <w:jc w:val="both"/>
        <w:rPr>
          <w:rFonts w:ascii="Palatino Linotype" w:eastAsia="Calibri" w:hAnsi="Palatino Linotype" w:cs="Arial"/>
          <w:color w:val="000000" w:themeColor="text1"/>
        </w:rPr>
      </w:pPr>
      <w:bookmarkStart w:id="5" w:name="_Toc461555889"/>
      <w:bookmarkStart w:id="6" w:name="_Toc466371858"/>
    </w:p>
    <w:p w14:paraId="1F97DBB1" w14:textId="2BAB1893" w:rsidR="00B13EF8" w:rsidRPr="0046696A" w:rsidRDefault="00B13EF8" w:rsidP="00E62DBE">
      <w:pPr>
        <w:pStyle w:val="Prrafodelista"/>
        <w:numPr>
          <w:ilvl w:val="0"/>
          <w:numId w:val="8"/>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color w:val="000000" w:themeColor="text1"/>
          <w:lang w:val="es-ES_tradnl"/>
        </w:rPr>
        <w:t>Así las cosas</w:t>
      </w:r>
      <w:r w:rsidR="00E3149E" w:rsidRPr="0046696A">
        <w:rPr>
          <w:rFonts w:ascii="Palatino Linotype" w:eastAsiaTheme="minorEastAsia" w:hAnsi="Palatino Linotype" w:cstheme="minorBidi"/>
          <w:color w:val="000000" w:themeColor="text1"/>
          <w:lang w:val="es-ES_tradnl"/>
        </w:rPr>
        <w:t>,</w:t>
      </w:r>
      <w:r w:rsidRPr="0046696A">
        <w:rPr>
          <w:rFonts w:ascii="Palatino Linotype" w:eastAsiaTheme="minorEastAsia" w:hAnsi="Palatino Linotype" w:cstheme="minorBidi"/>
          <w:color w:val="000000" w:themeColor="text1"/>
          <w:lang w:val="es-ES_tradnl"/>
        </w:rPr>
        <w:t xml:space="preserve"> la</w:t>
      </w:r>
      <w:r w:rsidRPr="0046696A">
        <w:rPr>
          <w:rFonts w:ascii="Palatino Linotype" w:eastAsiaTheme="minorEastAsia" w:hAnsi="Palatino Linotype" w:cstheme="minorBidi"/>
          <w:b/>
          <w:color w:val="000000" w:themeColor="text1"/>
          <w:lang w:val="es-ES_tradnl"/>
        </w:rPr>
        <w:t xml:space="preserve"> Comisionada María del Rosario Mejía Ayala</w:t>
      </w:r>
      <w:r w:rsidRPr="0046696A">
        <w:rPr>
          <w:rFonts w:ascii="Palatino Linotype" w:eastAsiaTheme="minorEastAsia" w:hAnsi="Palatino Linotype" w:cstheme="minorBidi"/>
          <w:color w:val="000000" w:themeColor="text1"/>
          <w:lang w:val="es-ES_tradnl"/>
        </w:rPr>
        <w:t xml:space="preserve"> decretó el cierre de instrucción me</w:t>
      </w:r>
      <w:r w:rsidR="005079B9" w:rsidRPr="0046696A">
        <w:rPr>
          <w:rFonts w:ascii="Palatino Linotype" w:eastAsiaTheme="minorEastAsia" w:hAnsi="Palatino Linotype" w:cstheme="minorBidi"/>
          <w:color w:val="000000" w:themeColor="text1"/>
          <w:lang w:val="es-ES_tradnl"/>
        </w:rPr>
        <w:t>di</w:t>
      </w:r>
      <w:r w:rsidR="003F0926">
        <w:rPr>
          <w:rFonts w:ascii="Palatino Linotype" w:eastAsiaTheme="minorEastAsia" w:hAnsi="Palatino Linotype" w:cstheme="minorBidi"/>
          <w:color w:val="000000" w:themeColor="text1"/>
          <w:lang w:val="es-ES_tradnl"/>
        </w:rPr>
        <w:t>ante acuerdo de fecha catorce (14</w:t>
      </w:r>
      <w:r w:rsidR="005079B9" w:rsidRPr="0046696A">
        <w:rPr>
          <w:rFonts w:ascii="Palatino Linotype" w:eastAsiaTheme="minorEastAsia" w:hAnsi="Palatino Linotype" w:cstheme="minorBidi"/>
          <w:color w:val="000000" w:themeColor="text1"/>
          <w:lang w:val="es-ES_tradnl"/>
        </w:rPr>
        <w:t>) de</w:t>
      </w:r>
      <w:r w:rsidR="001A3553" w:rsidRPr="0046696A">
        <w:rPr>
          <w:rFonts w:ascii="Palatino Linotype" w:eastAsiaTheme="minorEastAsia" w:hAnsi="Palatino Linotype" w:cstheme="minorBidi"/>
          <w:color w:val="000000" w:themeColor="text1"/>
          <w:lang w:val="es-ES_tradnl"/>
        </w:rPr>
        <w:t xml:space="preserve"> septiembre</w:t>
      </w:r>
      <w:r w:rsidR="00724328">
        <w:rPr>
          <w:rFonts w:ascii="Palatino Linotype" w:eastAsiaTheme="minorEastAsia" w:hAnsi="Palatino Linotype" w:cstheme="minorBidi"/>
          <w:color w:val="000000" w:themeColor="text1"/>
          <w:lang w:val="es-ES_tradnl"/>
        </w:rPr>
        <w:t xml:space="preserve"> de dos mil veintiuno</w:t>
      </w:r>
      <w:r w:rsidRPr="0046696A">
        <w:rPr>
          <w:rFonts w:ascii="Palatino Linotype" w:eastAsiaTheme="minorEastAsia" w:hAnsi="Palatino Linotype" w:cstheme="minorBidi"/>
          <w:color w:val="000000" w:themeColor="text1"/>
          <w:lang w:val="es-ES_tradnl"/>
        </w:rPr>
        <w:t>.</w:t>
      </w:r>
    </w:p>
    <w:p w14:paraId="0B120FD0" w14:textId="77777777" w:rsidR="00F62E09" w:rsidRPr="0046696A" w:rsidRDefault="00F62E09" w:rsidP="000C1184">
      <w:pPr>
        <w:spacing w:line="360" w:lineRule="auto"/>
        <w:rPr>
          <w:rFonts w:ascii="Palatino Linotype" w:eastAsiaTheme="minorEastAsia" w:hAnsi="Palatino Linotype" w:cstheme="minorBidi"/>
          <w:color w:val="000000" w:themeColor="text1"/>
          <w:lang w:val="es-MX"/>
        </w:rPr>
      </w:pPr>
    </w:p>
    <w:p w14:paraId="3B4E2360" w14:textId="204C3945" w:rsidR="00C24F5E" w:rsidRPr="0046696A" w:rsidRDefault="00C24F5E" w:rsidP="00E62DBE">
      <w:pPr>
        <w:pStyle w:val="Prrafodelista"/>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6696A">
        <w:rPr>
          <w:rFonts w:ascii="Palatino Linotype" w:eastAsiaTheme="minorEastAsia" w:hAnsi="Palatino Linotype" w:cstheme="minorBidi"/>
          <w:color w:val="000000" w:themeColor="text1"/>
          <w:lang w:val="es-MX"/>
        </w:rPr>
        <w:t xml:space="preserve">El </w:t>
      </w:r>
      <w:r w:rsidR="001A3553" w:rsidRPr="0046696A">
        <w:rPr>
          <w:rFonts w:ascii="Palatino Linotype" w:eastAsiaTheme="minorEastAsia" w:hAnsi="Palatino Linotype" w:cstheme="minorBidi"/>
          <w:color w:val="000000" w:themeColor="text1"/>
          <w:lang w:val="es-MX"/>
        </w:rPr>
        <w:t>veintiuno (21</w:t>
      </w:r>
      <w:r w:rsidRPr="0046696A">
        <w:rPr>
          <w:rFonts w:ascii="Palatino Linotype" w:eastAsiaTheme="minorEastAsia" w:hAnsi="Palatino Linotype" w:cstheme="minorBidi"/>
          <w:color w:val="000000" w:themeColor="text1"/>
          <w:lang w:val="es-MX"/>
        </w:rPr>
        <w:t>) de</w:t>
      </w:r>
      <w:r w:rsidR="00B13EF8" w:rsidRPr="0046696A">
        <w:rPr>
          <w:rFonts w:ascii="Palatino Linotype" w:eastAsiaTheme="minorEastAsia" w:hAnsi="Palatino Linotype" w:cstheme="minorBidi"/>
          <w:color w:val="000000" w:themeColor="text1"/>
          <w:lang w:val="es-MX"/>
        </w:rPr>
        <w:t xml:space="preserve"> octubre</w:t>
      </w:r>
      <w:r w:rsidRPr="0046696A">
        <w:rPr>
          <w:rFonts w:ascii="Palatino Linotype" w:eastAsiaTheme="minorEastAsia" w:hAnsi="Palatino Linotype" w:cstheme="minorBidi"/>
          <w:color w:val="000000" w:themeColor="text1"/>
          <w:lang w:val="es-MX"/>
        </w:rPr>
        <w:t xml:space="preserve"> de dos mil veintiuno, con fundamento en el artículo 181 tercer párrafo de la Ley de Transparencia y Acceso a la Información Pública del </w:t>
      </w:r>
      <w:r w:rsidRPr="0046696A">
        <w:rPr>
          <w:rFonts w:ascii="Palatino Linotype" w:eastAsiaTheme="minorEastAsia" w:hAnsi="Palatino Linotype" w:cstheme="minorBidi"/>
          <w:color w:val="000000" w:themeColor="text1"/>
          <w:lang w:val="es-MX"/>
        </w:rPr>
        <w:lastRenderedPageBreak/>
        <w:t>Estado de México y Municipios, se acordó el plazo de treinta (30) días para resolver el recurso de revisión, sería ampliado por un periodo de quince (15) días hábiles adicionales; por lo que no habiendo más que hacer constar, y:</w:t>
      </w:r>
      <w:r w:rsidR="009C61F1" w:rsidRPr="0046696A">
        <w:rPr>
          <w:rFonts w:ascii="Palatino Linotype" w:eastAsiaTheme="minorEastAsia" w:hAnsi="Palatino Linotype" w:cstheme="minorBidi"/>
          <w:color w:val="000000" w:themeColor="text1"/>
          <w:lang w:val="es-MX"/>
        </w:rPr>
        <w:t>-----------------------------</w:t>
      </w:r>
    </w:p>
    <w:p w14:paraId="1A06EC63" w14:textId="77777777" w:rsidR="0028674A" w:rsidRPr="0046696A" w:rsidRDefault="0028674A" w:rsidP="000C1184">
      <w:pPr>
        <w:spacing w:line="360" w:lineRule="auto"/>
        <w:rPr>
          <w:rFonts w:ascii="Palatino Linotype" w:hAnsi="Palatino Linotype"/>
          <w:lang w:val="es-MX" w:eastAsia="en-US"/>
        </w:rPr>
      </w:pPr>
      <w:bookmarkStart w:id="7" w:name="_Toc68804758"/>
    </w:p>
    <w:p w14:paraId="494F97AD" w14:textId="77777777" w:rsidR="00EA0165" w:rsidRPr="0046696A"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8" w:name="_Toc85717349"/>
      <w:r w:rsidRPr="0046696A">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46696A" w:rsidRDefault="00EA0165" w:rsidP="000C1184">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46696A" w:rsidRDefault="00EA0165" w:rsidP="000C1184">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5717350"/>
      <w:r w:rsidRPr="0046696A">
        <w:rPr>
          <w:rFonts w:ascii="Palatino Linotype" w:hAnsi="Palatino Linotype"/>
          <w:b/>
          <w:color w:val="000000" w:themeColor="text1"/>
          <w:sz w:val="24"/>
          <w:szCs w:val="24"/>
          <w:lang w:val="es-MX" w:eastAsia="en-US"/>
        </w:rPr>
        <w:t>PRIMERO. De la competencia</w:t>
      </w:r>
      <w:bookmarkEnd w:id="9"/>
      <w:bookmarkEnd w:id="10"/>
      <w:bookmarkEnd w:id="11"/>
      <w:r w:rsidR="00537427" w:rsidRPr="0046696A">
        <w:rPr>
          <w:rFonts w:ascii="Palatino Linotype" w:hAnsi="Palatino Linotype"/>
          <w:b/>
          <w:color w:val="000000" w:themeColor="text1"/>
          <w:sz w:val="24"/>
          <w:szCs w:val="24"/>
          <w:lang w:val="es-MX" w:eastAsia="en-US"/>
        </w:rPr>
        <w:t>.</w:t>
      </w:r>
      <w:bookmarkEnd w:id="12"/>
    </w:p>
    <w:p w14:paraId="341F67EC" w14:textId="77777777" w:rsidR="00EA0165" w:rsidRPr="0046696A"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46696A" w:rsidRDefault="00EA0165" w:rsidP="00E62DBE">
      <w:pPr>
        <w:pStyle w:val="Prrafodelista"/>
        <w:numPr>
          <w:ilvl w:val="0"/>
          <w:numId w:val="8"/>
        </w:numPr>
        <w:tabs>
          <w:tab w:val="left" w:pos="0"/>
        </w:tabs>
        <w:spacing w:after="160" w:line="360" w:lineRule="auto"/>
        <w:ind w:left="0" w:hanging="11"/>
        <w:contextualSpacing/>
        <w:jc w:val="both"/>
        <w:rPr>
          <w:rFonts w:ascii="Palatino Linotype" w:eastAsia="MS Mincho" w:hAnsi="Palatino Linotype"/>
          <w:lang w:val="es-ES_tradnl"/>
        </w:rPr>
      </w:pPr>
      <w:r w:rsidRPr="0046696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696A">
        <w:rPr>
          <w:rFonts w:ascii="Palatino Linotype" w:eastAsia="Calibri" w:hAnsi="Palatino Linotype"/>
          <w:b/>
        </w:rPr>
        <w:t>Constitución Política de los Estados Unidos Mexicanos</w:t>
      </w:r>
      <w:r w:rsidRPr="0046696A">
        <w:rPr>
          <w:rFonts w:ascii="Palatino Linotype" w:eastAsia="Calibri" w:hAnsi="Palatino Linotype"/>
        </w:rPr>
        <w:t xml:space="preserve">; </w:t>
      </w:r>
      <w:r w:rsidRPr="0046696A">
        <w:rPr>
          <w:rFonts w:ascii="Palatino Linotype" w:eastAsia="Calibri" w:hAnsi="Palatino Linotype" w:cs="Arial"/>
          <w:bCs/>
          <w:color w:val="222222"/>
          <w:shd w:val="clear" w:color="auto" w:fill="FFFFFF"/>
          <w:lang w:eastAsia="en-US"/>
        </w:rPr>
        <w:t>5, párrafo</w:t>
      </w:r>
      <w:r w:rsidR="00543BF9" w:rsidRPr="0046696A">
        <w:rPr>
          <w:rFonts w:ascii="Palatino Linotype" w:eastAsia="Calibri" w:hAnsi="Palatino Linotype"/>
          <w:lang w:val="es-MX" w:eastAsia="en-US"/>
        </w:rPr>
        <w:t xml:space="preserve"> trigésimo, trigésimo primero y trigésimo segundo, fracciones I, II, III, IV y V</w:t>
      </w:r>
      <w:r w:rsidR="00543BF9" w:rsidRPr="0046696A">
        <w:rPr>
          <w:rFonts w:ascii="Palatino Linotype" w:eastAsia="MS Mincho" w:hAnsi="Palatino Linotype"/>
          <w:lang w:val="es-ES_tradnl"/>
        </w:rPr>
        <w:t xml:space="preserve"> </w:t>
      </w:r>
      <w:r w:rsidRPr="0046696A">
        <w:rPr>
          <w:rFonts w:ascii="Palatino Linotype" w:eastAsia="Calibri" w:hAnsi="Palatino Linotype"/>
        </w:rPr>
        <w:t xml:space="preserve">de la </w:t>
      </w:r>
      <w:r w:rsidRPr="0046696A">
        <w:rPr>
          <w:rFonts w:ascii="Palatino Linotype" w:eastAsia="Calibri" w:hAnsi="Palatino Linotype"/>
          <w:b/>
        </w:rPr>
        <w:t>Constitución Política del Estado Libre y Soberano de México</w:t>
      </w:r>
      <w:r w:rsidRPr="0046696A">
        <w:rPr>
          <w:rFonts w:ascii="Palatino Linotype" w:eastAsia="Calibri" w:hAnsi="Palatino Linotype"/>
        </w:rPr>
        <w:t xml:space="preserve">; artículos 1, 2 fracción II, 13, 29, 36 fracciones I y II, 176, 178, 179, 181 párrafo tercero y 185 </w:t>
      </w:r>
      <w:r w:rsidRPr="0046696A">
        <w:rPr>
          <w:rFonts w:ascii="Palatino Linotype" w:eastAsia="Calibri" w:hAnsi="Palatino Linotype" w:cs="Arial"/>
        </w:rPr>
        <w:t xml:space="preserve">de la </w:t>
      </w:r>
      <w:r w:rsidRPr="0046696A">
        <w:rPr>
          <w:rFonts w:ascii="Palatino Linotype" w:eastAsia="Calibri" w:hAnsi="Palatino Linotype" w:cs="Arial"/>
          <w:b/>
        </w:rPr>
        <w:t>Ley de Transparencia y Acceso a la Información Pública del Estado de México y Municipios</w:t>
      </w:r>
      <w:r w:rsidRPr="0046696A">
        <w:rPr>
          <w:rFonts w:ascii="Palatino Linotype" w:eastAsia="Calibri" w:hAnsi="Palatino Linotype" w:cs="Arial"/>
        </w:rPr>
        <w:t xml:space="preserve">; </w:t>
      </w:r>
      <w:r w:rsidRPr="0046696A">
        <w:rPr>
          <w:rFonts w:ascii="Palatino Linotype" w:eastAsia="Calibri" w:hAnsi="Palatino Linotype" w:cs="Arial"/>
          <w:b/>
        </w:rPr>
        <w:t>7, 9 fracciones I y XXIV, y 11</w:t>
      </w:r>
      <w:r w:rsidRPr="0046696A">
        <w:rPr>
          <w:rFonts w:ascii="Palatino Linotype" w:eastAsia="Calibri" w:hAnsi="Palatino Linotype" w:cs="Arial"/>
        </w:rPr>
        <w:t xml:space="preserve"> del </w:t>
      </w:r>
      <w:r w:rsidRPr="0046696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6696A">
        <w:rPr>
          <w:rFonts w:ascii="Palatino Linotype" w:eastAsia="Calibri" w:hAnsi="Palatino Linotype" w:cs="Arial"/>
          <w:b/>
        </w:rPr>
        <w:t>.</w:t>
      </w:r>
    </w:p>
    <w:p w14:paraId="2D767389" w14:textId="4E4CCC64" w:rsidR="00EA0165" w:rsidRPr="0046696A" w:rsidRDefault="00EA0165" w:rsidP="000C1184">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5717351"/>
      <w:r w:rsidRPr="0046696A">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343B0FCF" w14:textId="77777777" w:rsidR="00EA0165" w:rsidRPr="0046696A" w:rsidRDefault="00EA0165" w:rsidP="000C1184">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46696A" w:rsidRDefault="00EA0165" w:rsidP="000C1184">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85717352"/>
      <w:r w:rsidRPr="0046696A">
        <w:rPr>
          <w:rFonts w:ascii="Palatino Linotype" w:hAnsi="Palatino Linotype"/>
          <w:b/>
          <w:color w:val="000000" w:themeColor="text1"/>
          <w:sz w:val="24"/>
          <w:szCs w:val="24"/>
          <w:lang w:val="es-MX" w:eastAsia="en-US"/>
        </w:rPr>
        <w:t>I. De la interposición del recurso.</w:t>
      </w:r>
      <w:bookmarkEnd w:id="17"/>
      <w:bookmarkEnd w:id="18"/>
      <w:bookmarkEnd w:id="19"/>
      <w:r w:rsidRPr="0046696A">
        <w:rPr>
          <w:rFonts w:ascii="Palatino Linotype" w:hAnsi="Palatino Linotype"/>
          <w:b/>
          <w:color w:val="000000" w:themeColor="text1"/>
          <w:sz w:val="24"/>
          <w:szCs w:val="24"/>
          <w:lang w:val="es-MX" w:eastAsia="en-US"/>
        </w:rPr>
        <w:t xml:space="preserve"> </w:t>
      </w:r>
    </w:p>
    <w:p w14:paraId="489BB18C" w14:textId="77777777" w:rsidR="00EA0165" w:rsidRPr="0046696A" w:rsidRDefault="00EA0165" w:rsidP="000C1184">
      <w:pPr>
        <w:keepNext/>
        <w:keepLines/>
        <w:tabs>
          <w:tab w:val="left" w:pos="0"/>
        </w:tabs>
        <w:spacing w:line="360" w:lineRule="auto"/>
        <w:contextualSpacing/>
        <w:outlineLvl w:val="0"/>
        <w:rPr>
          <w:rFonts w:ascii="Palatino Linotype" w:eastAsia="MS Gothic" w:hAnsi="Palatino Linotype"/>
          <w:b/>
          <w:lang w:val="es-MX" w:eastAsia="en-US"/>
        </w:rPr>
      </w:pPr>
    </w:p>
    <w:p w14:paraId="00F8797F" w14:textId="383DDF18" w:rsidR="001A3553" w:rsidRPr="0046696A" w:rsidRDefault="00EA0165" w:rsidP="00E62DBE">
      <w:pPr>
        <w:pStyle w:val="Prrafodelista"/>
        <w:numPr>
          <w:ilvl w:val="0"/>
          <w:numId w:val="8"/>
        </w:numPr>
        <w:spacing w:after="160" w:line="360" w:lineRule="auto"/>
        <w:ind w:left="0" w:right="49" w:firstLine="0"/>
        <w:contextualSpacing/>
        <w:jc w:val="both"/>
        <w:rPr>
          <w:rFonts w:ascii="Palatino Linotype" w:hAnsi="Palatino Linotype"/>
          <w:lang w:val="es-ES_tradnl"/>
        </w:rPr>
      </w:pPr>
      <w:r w:rsidRPr="0046696A">
        <w:rPr>
          <w:rFonts w:ascii="Palatino Linotype" w:eastAsia="Calibri" w:hAnsi="Palatino Linotype" w:cs="Arial"/>
          <w:lang w:val="es-ES_tradnl"/>
        </w:rPr>
        <w:t xml:space="preserve">El medio de impugnación fue presentado a través del </w:t>
      </w:r>
      <w:r w:rsidRPr="0046696A">
        <w:rPr>
          <w:rFonts w:ascii="Palatino Linotype" w:eastAsia="Calibri" w:hAnsi="Palatino Linotype" w:cs="Arial"/>
          <w:b/>
          <w:lang w:val="es-ES_tradnl"/>
        </w:rPr>
        <w:t>SAIMEX,</w:t>
      </w:r>
      <w:r w:rsidRPr="0046696A">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6696A">
        <w:rPr>
          <w:rFonts w:ascii="Palatino Linotype" w:eastAsia="Calibri" w:hAnsi="Palatino Linotype" w:cs="Arial"/>
          <w:lang w:val="es-ES_tradnl"/>
        </w:rPr>
        <w:t xml:space="preserve">particular es de señalar que si el </w:t>
      </w:r>
      <w:r w:rsidRPr="0046696A">
        <w:rPr>
          <w:rFonts w:ascii="Palatino Linotype" w:eastAsia="Calibri" w:hAnsi="Palatino Linotype" w:cs="Arial"/>
          <w:b/>
          <w:lang w:val="es-ES_tradnl"/>
        </w:rPr>
        <w:t>SUJETO OBLIGADO</w:t>
      </w:r>
      <w:r w:rsidRPr="0046696A">
        <w:rPr>
          <w:rFonts w:ascii="Palatino Linotype" w:eastAsia="Calibri" w:hAnsi="Palatino Linotype" w:cs="Arial"/>
          <w:lang w:val="es-ES_tradnl"/>
        </w:rPr>
        <w:t xml:space="preserve"> entregó respuesta el d</w:t>
      </w:r>
      <w:r w:rsidR="003F0926">
        <w:rPr>
          <w:rFonts w:ascii="Palatino Linotype" w:eastAsia="Calibri" w:hAnsi="Palatino Linotype" w:cs="Arial"/>
          <w:lang w:val="es-ES_tradnl"/>
        </w:rPr>
        <w:t>ía diez (10</w:t>
      </w:r>
      <w:r w:rsidRPr="0046696A">
        <w:rPr>
          <w:rFonts w:ascii="Palatino Linotype" w:eastAsia="Calibri" w:hAnsi="Palatino Linotype" w:cs="Arial"/>
          <w:lang w:val="es-ES_tradnl"/>
        </w:rPr>
        <w:t>) de</w:t>
      </w:r>
      <w:r w:rsidR="003F0926">
        <w:rPr>
          <w:rFonts w:ascii="Palatino Linotype" w:eastAsia="Calibri" w:hAnsi="Palatino Linotype" w:cs="Arial"/>
          <w:lang w:val="es-ES_tradnl"/>
        </w:rPr>
        <w:t xml:space="preserve"> agosto</w:t>
      </w:r>
      <w:r w:rsidRPr="0046696A">
        <w:rPr>
          <w:rFonts w:ascii="Palatino Linotype" w:eastAsia="Calibri" w:hAnsi="Palatino Linotype" w:cs="Arial"/>
          <w:lang w:val="es-ES_tradnl"/>
        </w:rPr>
        <w:t xml:space="preserve"> de dos mil veintiuno</w:t>
      </w:r>
      <w:r w:rsidRPr="0046696A">
        <w:rPr>
          <w:rFonts w:ascii="Palatino Linotype" w:eastAsia="Calibri" w:hAnsi="Palatino Linotype" w:cs="Arial"/>
          <w:lang w:val="es-MX" w:eastAsia="en-US"/>
        </w:rPr>
        <w:t>, el plazo para interponer el recurso de rev</w:t>
      </w:r>
      <w:r w:rsidR="00E62DC6" w:rsidRPr="0046696A">
        <w:rPr>
          <w:rFonts w:ascii="Palatino Linotype" w:eastAsia="Calibri" w:hAnsi="Palatino Linotype" w:cs="Arial"/>
          <w:lang w:val="es-MX" w:eastAsia="en-US"/>
        </w:rPr>
        <w:t xml:space="preserve">isión </w:t>
      </w:r>
      <w:r w:rsidR="003F0926">
        <w:rPr>
          <w:rFonts w:ascii="Palatino Linotype" w:eastAsia="Calibri" w:hAnsi="Palatino Linotype" w:cs="Arial"/>
          <w:lang w:val="es-MX" w:eastAsia="en-US"/>
        </w:rPr>
        <w:t>trascurrió del once (11</w:t>
      </w:r>
      <w:r w:rsidRPr="0046696A">
        <w:rPr>
          <w:rFonts w:ascii="Palatino Linotype" w:eastAsia="Calibri" w:hAnsi="Palatino Linotype" w:cs="Arial"/>
          <w:lang w:val="es-MX" w:eastAsia="en-US"/>
        </w:rPr>
        <w:t>)</w:t>
      </w:r>
      <w:r w:rsidR="00BD6857" w:rsidRPr="0046696A">
        <w:rPr>
          <w:rFonts w:ascii="Palatino Linotype" w:eastAsia="Calibri" w:hAnsi="Palatino Linotype" w:cs="Arial"/>
          <w:lang w:val="es-MX" w:eastAsia="en-US"/>
        </w:rPr>
        <w:t xml:space="preserve"> </w:t>
      </w:r>
      <w:r w:rsidRPr="0046696A">
        <w:rPr>
          <w:rFonts w:ascii="Palatino Linotype" w:eastAsia="Calibri" w:hAnsi="Palatino Linotype" w:cs="Arial"/>
          <w:lang w:val="es-MX" w:eastAsia="en-US"/>
        </w:rPr>
        <w:t xml:space="preserve">al </w:t>
      </w:r>
      <w:r w:rsidR="003F0926">
        <w:rPr>
          <w:rFonts w:ascii="Palatino Linotype" w:eastAsia="Calibri" w:hAnsi="Palatino Linotype" w:cs="Arial"/>
          <w:lang w:val="es-MX" w:eastAsia="en-US"/>
        </w:rPr>
        <w:t>treinta y uno (31</w:t>
      </w:r>
      <w:r w:rsidR="00543427" w:rsidRPr="0046696A">
        <w:rPr>
          <w:rFonts w:ascii="Palatino Linotype" w:eastAsia="Calibri" w:hAnsi="Palatino Linotype" w:cs="Arial"/>
          <w:lang w:val="es-MX" w:eastAsia="en-US"/>
        </w:rPr>
        <w:t>) de</w:t>
      </w:r>
      <w:r w:rsidR="00BD6857" w:rsidRPr="0046696A">
        <w:rPr>
          <w:rFonts w:ascii="Palatino Linotype" w:eastAsia="Calibri" w:hAnsi="Palatino Linotype" w:cs="Arial"/>
          <w:lang w:val="es-MX" w:eastAsia="en-US"/>
        </w:rPr>
        <w:t xml:space="preserve"> agosto</w:t>
      </w:r>
      <w:r w:rsidR="00E62DC6" w:rsidRPr="0046696A">
        <w:rPr>
          <w:rFonts w:ascii="Palatino Linotype" w:eastAsia="Calibri" w:hAnsi="Palatino Linotype" w:cs="Arial"/>
          <w:lang w:val="es-MX" w:eastAsia="en-US"/>
        </w:rPr>
        <w:t xml:space="preserve"> de dos mil veintiuno, </w:t>
      </w:r>
      <w:r w:rsidRPr="0046696A">
        <w:rPr>
          <w:rFonts w:ascii="Palatino Linotype" w:eastAsia="Calibri" w:hAnsi="Palatino Linotype" w:cs="Arial"/>
          <w:lang w:val="es-MX" w:eastAsia="en-US"/>
        </w:rPr>
        <w:t>por lo que si el particular i</w:t>
      </w:r>
      <w:r w:rsidR="00392E2B" w:rsidRPr="0046696A">
        <w:rPr>
          <w:rFonts w:ascii="Palatino Linotype" w:eastAsia="Calibri" w:hAnsi="Palatino Linotype" w:cs="Arial"/>
          <w:lang w:val="es-MX" w:eastAsia="en-US"/>
        </w:rPr>
        <w:t>nterpus</w:t>
      </w:r>
      <w:r w:rsidR="001A3553" w:rsidRPr="0046696A">
        <w:rPr>
          <w:rFonts w:ascii="Palatino Linotype" w:eastAsia="Calibri" w:hAnsi="Palatino Linotype" w:cs="Arial"/>
          <w:lang w:val="es-MX" w:eastAsia="en-US"/>
        </w:rPr>
        <w:t>o recurso de revisión el catorce (14</w:t>
      </w:r>
      <w:r w:rsidR="003F0926">
        <w:rPr>
          <w:rFonts w:ascii="Palatino Linotype" w:eastAsia="Calibri" w:hAnsi="Palatino Linotype" w:cs="Arial"/>
          <w:lang w:val="es-MX" w:eastAsia="en-US"/>
        </w:rPr>
        <w:t>) de agosto</w:t>
      </w:r>
      <w:r w:rsidRPr="0046696A">
        <w:rPr>
          <w:rFonts w:ascii="Palatino Linotype" w:eastAsia="Calibri" w:hAnsi="Palatino Linotype" w:cs="Arial"/>
          <w:lang w:val="es-MX" w:eastAsia="en-US"/>
        </w:rPr>
        <w:t xml:space="preserve"> </w:t>
      </w:r>
      <w:r w:rsidR="003D1DF9" w:rsidRPr="0046696A">
        <w:rPr>
          <w:rFonts w:ascii="Palatino Linotype" w:eastAsia="Calibri" w:hAnsi="Palatino Linotype" w:cs="Arial"/>
          <w:lang w:val="es-MX" w:eastAsia="en-US"/>
        </w:rPr>
        <w:t>siendo enviado electrónicamente</w:t>
      </w:r>
      <w:r w:rsidR="00955ADE" w:rsidRPr="0046696A">
        <w:rPr>
          <w:rFonts w:ascii="Palatino Linotype" w:eastAsia="Calibri" w:hAnsi="Palatino Linotype" w:cs="Arial"/>
          <w:lang w:val="es-MX" w:eastAsia="en-US"/>
        </w:rPr>
        <w:t xml:space="preserve"> a este instituto</w:t>
      </w:r>
      <w:r w:rsidR="001A3553" w:rsidRPr="0046696A">
        <w:rPr>
          <w:rFonts w:ascii="Palatino Linotype" w:eastAsia="Calibri" w:hAnsi="Palatino Linotype" w:cs="Arial"/>
          <w:lang w:val="es-MX" w:eastAsia="en-US"/>
        </w:rPr>
        <w:t xml:space="preserve"> el dieciséis (16</w:t>
      </w:r>
      <w:r w:rsidR="003D1DF9" w:rsidRPr="0046696A">
        <w:rPr>
          <w:rFonts w:ascii="Palatino Linotype" w:eastAsia="Calibri" w:hAnsi="Palatino Linotype" w:cs="Arial"/>
          <w:lang w:val="es-MX" w:eastAsia="en-US"/>
        </w:rPr>
        <w:t>) de agosto de dos mil veintiuno</w:t>
      </w:r>
      <w:r w:rsidR="00BD6857" w:rsidRPr="0046696A">
        <w:rPr>
          <w:rFonts w:ascii="Palatino Linotype" w:eastAsia="Calibri" w:hAnsi="Palatino Linotype" w:cs="Arial"/>
          <w:lang w:val="es-MX" w:eastAsia="en-US"/>
        </w:rPr>
        <w:t>, sin considerar en el computo los días del diecinueve (19) al treinta (30) de julio por corresponder a días inhábiles de conformidad con el calendario vigente en materia de Transparencia,</w:t>
      </w:r>
      <w:r w:rsidRPr="0046696A">
        <w:rPr>
          <w:rFonts w:ascii="Palatino Linotype" w:eastAsia="Calibri" w:hAnsi="Palatino Linotype" w:cs="Arial"/>
          <w:lang w:val="es-MX" w:eastAsia="en-US"/>
        </w:rPr>
        <w:t xml:space="preserve"> </w:t>
      </w:r>
      <w:r w:rsidRPr="0046696A">
        <w:rPr>
          <w:rFonts w:ascii="Palatino Linotype" w:hAnsi="Palatino Linotype"/>
          <w:lang w:val="es-ES_tradnl"/>
        </w:rPr>
        <w:t xml:space="preserve">se encuentra dentro del periodo establecido por la Ley. </w:t>
      </w:r>
    </w:p>
    <w:p w14:paraId="153DC671" w14:textId="1CD4461A" w:rsidR="00EA0165" w:rsidRPr="0046696A" w:rsidRDefault="001A3553" w:rsidP="00724328">
      <w:pPr>
        <w:keepNext/>
        <w:keepLines/>
        <w:spacing w:before="240" w:line="360" w:lineRule="auto"/>
        <w:jc w:val="both"/>
        <w:outlineLvl w:val="0"/>
        <w:rPr>
          <w:rFonts w:ascii="Palatino Linotype" w:hAnsi="Palatino Linotype"/>
          <w:b/>
          <w:lang w:eastAsia="en-US"/>
        </w:rPr>
      </w:pPr>
      <w:bookmarkStart w:id="20" w:name="_Toc85137160"/>
      <w:bookmarkStart w:id="21" w:name="_Toc85627632"/>
      <w:bookmarkStart w:id="22" w:name="_Toc85717353"/>
      <w:r w:rsidRPr="0046696A">
        <w:rPr>
          <w:rFonts w:ascii="Palatino Linotype" w:eastAsiaTheme="majorEastAsia" w:hAnsi="Palatino Linotype" w:cstheme="majorBidi"/>
          <w:b/>
        </w:rPr>
        <w:t xml:space="preserve">II. </w:t>
      </w:r>
      <w:bookmarkStart w:id="23" w:name="_Toc67587987"/>
      <w:bookmarkStart w:id="24" w:name="_Toc68804763"/>
      <w:bookmarkEnd w:id="20"/>
      <w:bookmarkEnd w:id="21"/>
      <w:r w:rsidR="00EA0165" w:rsidRPr="0046696A">
        <w:rPr>
          <w:rFonts w:ascii="Palatino Linotype" w:hAnsi="Palatino Linotype"/>
          <w:b/>
          <w:lang w:eastAsia="en-US"/>
        </w:rPr>
        <w:t>De la determinación sobre la procedibilidad del recurso.</w:t>
      </w:r>
      <w:bookmarkEnd w:id="22"/>
      <w:bookmarkEnd w:id="23"/>
      <w:bookmarkEnd w:id="24"/>
      <w:r w:rsidR="00EA0165" w:rsidRPr="0046696A">
        <w:rPr>
          <w:rFonts w:ascii="Palatino Linotype" w:hAnsi="Palatino Linotype"/>
          <w:b/>
          <w:lang w:eastAsia="en-US"/>
        </w:rPr>
        <w:t xml:space="preserve"> </w:t>
      </w:r>
    </w:p>
    <w:p w14:paraId="3667250E" w14:textId="77777777" w:rsidR="00D217A4" w:rsidRPr="0046696A" w:rsidRDefault="00D217A4" w:rsidP="000C1184">
      <w:pPr>
        <w:keepNext/>
        <w:keepLines/>
        <w:spacing w:before="240" w:line="360" w:lineRule="auto"/>
        <w:outlineLvl w:val="0"/>
        <w:rPr>
          <w:rFonts w:ascii="Palatino Linotype" w:hAnsi="Palatino Linotype"/>
          <w:b/>
          <w:lang w:val="es-MX" w:eastAsia="en-US"/>
        </w:rPr>
      </w:pPr>
    </w:p>
    <w:p w14:paraId="7DF2873B" w14:textId="0EC6D713" w:rsidR="00EA0165" w:rsidRPr="0046696A" w:rsidRDefault="00EA0165" w:rsidP="00E62DBE">
      <w:pPr>
        <w:pStyle w:val="Prrafodelista"/>
        <w:numPr>
          <w:ilvl w:val="0"/>
          <w:numId w:val="8"/>
        </w:numPr>
        <w:spacing w:after="160" w:line="360" w:lineRule="auto"/>
        <w:ind w:left="0" w:right="49" w:firstLine="0"/>
        <w:contextualSpacing/>
        <w:jc w:val="both"/>
        <w:rPr>
          <w:rFonts w:ascii="Palatino Linotype" w:hAnsi="Palatino Linotype"/>
          <w:lang w:val="es-ES_tradnl"/>
        </w:rPr>
      </w:pPr>
      <w:r w:rsidRPr="0046696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46696A" w:rsidRDefault="00992BC7" w:rsidP="000C1184">
      <w:pPr>
        <w:pStyle w:val="Ttulo1"/>
        <w:spacing w:line="360" w:lineRule="auto"/>
        <w:rPr>
          <w:rFonts w:ascii="Palatino Linotype" w:hAnsi="Palatino Linotype"/>
          <w:sz w:val="24"/>
          <w:szCs w:val="24"/>
          <w:lang w:eastAsia="es-ES_tradnl"/>
        </w:rPr>
      </w:pPr>
      <w:bookmarkStart w:id="25" w:name="_Toc85717354"/>
      <w:r w:rsidRPr="0046696A">
        <w:rPr>
          <w:rFonts w:ascii="Palatino Linotype" w:eastAsia="MS Mincho" w:hAnsi="Palatino Linotype"/>
          <w:b/>
          <w:color w:val="000000" w:themeColor="text1"/>
          <w:sz w:val="24"/>
          <w:szCs w:val="24"/>
          <w:lang w:val="es-ES_tradnl"/>
        </w:rPr>
        <w:lastRenderedPageBreak/>
        <w:t>TERCERO</w:t>
      </w:r>
      <w:r w:rsidRPr="0046696A">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0065578F" w:rsidRPr="0046696A">
        <w:rPr>
          <w:rFonts w:ascii="Palatino Linotype" w:hAnsi="Palatino Linotype" w:cs="Times New Roman"/>
          <w:b/>
          <w:color w:val="000000" w:themeColor="text1"/>
          <w:sz w:val="24"/>
          <w:szCs w:val="24"/>
        </w:rPr>
        <w:t xml:space="preserve"> </w:t>
      </w:r>
      <w:r w:rsidR="00EA0165" w:rsidRPr="0046696A">
        <w:rPr>
          <w:rFonts w:ascii="Palatino Linotype" w:hAnsi="Palatino Linotype"/>
          <w:b/>
          <w:color w:val="000000" w:themeColor="text1"/>
          <w:sz w:val="24"/>
          <w:szCs w:val="24"/>
          <w:lang w:val="es-MX" w:eastAsia="en-US"/>
        </w:rPr>
        <w:t xml:space="preserve">Del planteamiento de la </w:t>
      </w:r>
      <w:r w:rsidR="00EA0165" w:rsidRPr="0046696A">
        <w:rPr>
          <w:rFonts w:ascii="Palatino Linotype" w:hAnsi="Palatino Linotype"/>
          <w:b/>
          <w:i/>
          <w:color w:val="000000" w:themeColor="text1"/>
          <w:sz w:val="24"/>
          <w:szCs w:val="24"/>
          <w:lang w:val="es-MX" w:eastAsia="en-US"/>
        </w:rPr>
        <w:t>Litis.</w:t>
      </w:r>
      <w:bookmarkEnd w:id="25"/>
      <w:bookmarkEnd w:id="26"/>
      <w:bookmarkEnd w:id="27"/>
    </w:p>
    <w:p w14:paraId="6B097BE2" w14:textId="0929F460" w:rsidR="00D217A4" w:rsidRPr="0046696A" w:rsidRDefault="00EA0165" w:rsidP="00E62DBE">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46696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6696A">
        <w:rPr>
          <w:rFonts w:ascii="Palatino Linotype" w:eastAsia="Calibri" w:hAnsi="Palatino Linotype" w:cs="Arial"/>
          <w:b/>
        </w:rPr>
        <w:t>Ley de Transparencia y Acceso a la Información Pública del Estado de México y Municipios</w:t>
      </w:r>
      <w:r w:rsidRPr="0046696A">
        <w:rPr>
          <w:rFonts w:ascii="Palatino Linotype" w:hAnsi="Palatino Linotype" w:cs="Arial"/>
          <w:lang w:val="es-ES_tradnl"/>
        </w:rPr>
        <w:t xml:space="preserve"> y determinar la confirmación; revocación o modificación; desechamiento o sobreseimiento; y en su </w:t>
      </w:r>
      <w:r w:rsidRPr="0046696A">
        <w:rPr>
          <w:rFonts w:ascii="Palatino Linotype" w:hAnsi="Palatino Linotype" w:cs="Arial"/>
          <w:b/>
          <w:lang w:val="es-ES_tradnl"/>
        </w:rPr>
        <w:t>caso ordenar la entrega de la información,</w:t>
      </w:r>
      <w:r w:rsidRPr="0046696A">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5F6627" w14:textId="77777777" w:rsidR="00D217A4" w:rsidRPr="0046696A" w:rsidRDefault="00D217A4" w:rsidP="000C1184">
      <w:pPr>
        <w:pStyle w:val="Prrafodelista"/>
        <w:spacing w:before="240" w:after="240" w:line="360" w:lineRule="auto"/>
        <w:ind w:left="0"/>
        <w:contextualSpacing/>
        <w:jc w:val="both"/>
        <w:rPr>
          <w:rFonts w:ascii="Palatino Linotype" w:hAnsi="Palatino Linotype"/>
          <w:i/>
          <w:lang w:val="es-ES_tradnl"/>
        </w:rPr>
      </w:pPr>
    </w:p>
    <w:p w14:paraId="22E5B958" w14:textId="6939EE4B" w:rsidR="00D217A4" w:rsidRPr="0046696A" w:rsidRDefault="00EA0165" w:rsidP="00E62DBE">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46696A">
        <w:rPr>
          <w:rFonts w:ascii="Palatino Linotype" w:eastAsia="MS Mincho" w:hAnsi="Palatino Linotype"/>
          <w:lang w:val="es-ES_tradnl"/>
        </w:rPr>
        <w:t xml:space="preserve">De las constancias en el expediente al rubro indicado, se desprende que el particular solicitó </w:t>
      </w:r>
      <w:r w:rsidR="003669E8" w:rsidRPr="0046696A">
        <w:rPr>
          <w:rFonts w:ascii="Palatino Linotype" w:eastAsia="MS Mincho" w:hAnsi="Palatino Linotype"/>
          <w:lang w:val="es-ES_tradnl"/>
        </w:rPr>
        <w:t xml:space="preserve">acceso </w:t>
      </w:r>
      <w:r w:rsidR="003D1DF9" w:rsidRPr="0046696A">
        <w:rPr>
          <w:rFonts w:ascii="Palatino Linotype" w:eastAsia="MS Mincho" w:hAnsi="Palatino Linotype"/>
          <w:lang w:val="es-ES_tradnl"/>
        </w:rPr>
        <w:t>a</w:t>
      </w:r>
      <w:r w:rsidR="00E00BFD" w:rsidRPr="0046696A">
        <w:rPr>
          <w:rFonts w:ascii="Palatino Linotype" w:eastAsia="MS Mincho" w:hAnsi="Palatino Linotype"/>
          <w:lang w:val="es-ES_tradnl"/>
        </w:rPr>
        <w:t xml:space="preserve"> diversa</w:t>
      </w:r>
      <w:r w:rsidR="003D1DF9" w:rsidRPr="0046696A">
        <w:rPr>
          <w:rFonts w:ascii="Palatino Linotype" w:eastAsia="MS Mincho" w:hAnsi="Palatino Linotype"/>
          <w:lang w:val="es-ES_tradnl"/>
        </w:rPr>
        <w:t xml:space="preserve"> información relacionada con </w:t>
      </w:r>
      <w:r w:rsidR="001A3553" w:rsidRPr="0046696A">
        <w:rPr>
          <w:rFonts w:ascii="Palatino Linotype" w:eastAsia="MS Mincho" w:hAnsi="Palatino Linotype"/>
          <w:lang w:val="es-ES_tradnl"/>
        </w:rPr>
        <w:t>la nómina de</w:t>
      </w:r>
      <w:r w:rsidR="0001145F">
        <w:rPr>
          <w:rFonts w:ascii="Palatino Linotype" w:eastAsia="MS Mincho" w:hAnsi="Palatino Linotype"/>
          <w:lang w:val="es-ES_tradnl"/>
        </w:rPr>
        <w:t>l ayuntamiento de Nicolás Romero del mes de mayo del</w:t>
      </w:r>
      <w:r w:rsidR="001A3553" w:rsidRPr="0046696A">
        <w:rPr>
          <w:rFonts w:ascii="Palatino Linotype" w:eastAsia="MS Mincho" w:hAnsi="Palatino Linotype"/>
          <w:lang w:val="es-ES_tradnl"/>
        </w:rPr>
        <w:t xml:space="preserve"> año dos mil veintiuno</w:t>
      </w:r>
      <w:r w:rsidRPr="0046696A">
        <w:rPr>
          <w:rFonts w:ascii="Palatino Linotype" w:eastAsia="MS Mincho" w:hAnsi="Palatino Linotype"/>
          <w:lang w:val="es-ES_tradnl"/>
        </w:rPr>
        <w:t>, re</w:t>
      </w:r>
      <w:r w:rsidR="00562ACE" w:rsidRPr="0046696A">
        <w:rPr>
          <w:rFonts w:ascii="Palatino Linotype" w:eastAsia="MS Mincho" w:hAnsi="Palatino Linotype"/>
          <w:lang w:val="es-ES_tradnl"/>
        </w:rPr>
        <w:t>querimiento, al que se respondió</w:t>
      </w:r>
      <w:r w:rsidR="00EC6134" w:rsidRPr="0046696A">
        <w:rPr>
          <w:rFonts w:ascii="Palatino Linotype" w:eastAsia="MS Mincho" w:hAnsi="Palatino Linotype"/>
          <w:lang w:val="es-ES_tradnl"/>
        </w:rPr>
        <w:t xml:space="preserve"> a través de</w:t>
      </w:r>
      <w:r w:rsidR="00E00BFD" w:rsidRPr="0046696A">
        <w:rPr>
          <w:rFonts w:ascii="Palatino Linotype" w:eastAsia="MS Mincho" w:hAnsi="Palatino Linotype"/>
          <w:lang w:val="es-ES_tradnl"/>
        </w:rPr>
        <w:t>l</w:t>
      </w:r>
      <w:r w:rsidR="001A3553" w:rsidRPr="0046696A">
        <w:rPr>
          <w:rFonts w:ascii="Palatino Linotype" w:eastAsia="MS Mincho" w:hAnsi="Palatino Linotype"/>
          <w:lang w:val="es-ES_tradnl"/>
        </w:rPr>
        <w:t xml:space="preserve"> Director de Administración</w:t>
      </w:r>
      <w:r w:rsidR="00444949" w:rsidRPr="0046696A">
        <w:rPr>
          <w:rFonts w:ascii="Palatino Linotype" w:eastAsia="MS Mincho" w:hAnsi="Palatino Linotype"/>
          <w:lang w:val="es-ES_tradnl"/>
        </w:rPr>
        <w:t xml:space="preserve"> refiriendo que</w:t>
      </w:r>
      <w:r w:rsidR="0001145F">
        <w:rPr>
          <w:rFonts w:ascii="Palatino Linotype" w:eastAsia="MS Mincho" w:hAnsi="Palatino Linotype"/>
          <w:lang w:val="es-ES_tradnl"/>
        </w:rPr>
        <w:t xml:space="preserve"> previo a la entrega de la información se tenía que realizar el pago correspondiente por los costos de reproducción, además de que</w:t>
      </w:r>
      <w:r w:rsidR="00444949" w:rsidRPr="0046696A">
        <w:rPr>
          <w:rFonts w:ascii="Palatino Linotype" w:eastAsia="MS Mincho" w:hAnsi="Palatino Linotype"/>
          <w:lang w:val="es-ES_tradnl"/>
        </w:rPr>
        <w:t xml:space="preserve"> no era posible poner a disposición la información </w:t>
      </w:r>
      <w:r w:rsidR="0001145F">
        <w:rPr>
          <w:rFonts w:ascii="Palatino Linotype" w:eastAsia="MS Mincho" w:hAnsi="Palatino Linotype"/>
          <w:lang w:val="es-ES_tradnl"/>
        </w:rPr>
        <w:t>relacionada con elementos de seguridad y</w:t>
      </w:r>
      <w:r w:rsidR="00444949" w:rsidRPr="0046696A">
        <w:rPr>
          <w:rFonts w:ascii="Palatino Linotype" w:eastAsia="MS Mincho" w:hAnsi="Palatino Linotype"/>
          <w:lang w:val="es-ES_tradnl"/>
        </w:rPr>
        <w:t>a que la misma se consideraba reservada</w:t>
      </w:r>
      <w:r w:rsidR="00EC6134" w:rsidRPr="0046696A">
        <w:rPr>
          <w:rFonts w:ascii="Palatino Linotype" w:eastAsia="MS Mincho" w:hAnsi="Palatino Linotype"/>
          <w:lang w:val="es-ES_tradnl"/>
        </w:rPr>
        <w:t>, no</w:t>
      </w:r>
      <w:r w:rsidR="009C61F1" w:rsidRPr="0046696A">
        <w:rPr>
          <w:rFonts w:ascii="Palatino Linotype" w:eastAsia="MS Mincho" w:hAnsi="Palatino Linotype"/>
          <w:lang w:val="es-ES_tradnl"/>
        </w:rPr>
        <w:t xml:space="preserve"> obstante lo anterior, </w:t>
      </w:r>
      <w:r w:rsidR="00EC6134" w:rsidRPr="0046696A">
        <w:rPr>
          <w:rFonts w:ascii="Palatino Linotype" w:eastAsia="MS Mincho" w:hAnsi="Palatino Linotype"/>
          <w:lang w:val="es-ES_tradnl"/>
        </w:rPr>
        <w:t xml:space="preserve">el </w:t>
      </w:r>
      <w:r w:rsidR="00543427" w:rsidRPr="0046696A">
        <w:rPr>
          <w:rFonts w:ascii="Palatino Linotype" w:eastAsia="MS Mincho" w:hAnsi="Palatino Linotype"/>
          <w:lang w:val="es-ES_tradnl"/>
        </w:rPr>
        <w:t>particular</w:t>
      </w:r>
      <w:r w:rsidR="009C61F1" w:rsidRPr="0046696A">
        <w:rPr>
          <w:rFonts w:ascii="Palatino Linotype" w:eastAsia="MS Mincho" w:hAnsi="Palatino Linotype"/>
          <w:lang w:val="es-ES_tradnl"/>
        </w:rPr>
        <w:t xml:space="preserve"> </w:t>
      </w:r>
      <w:r w:rsidRPr="0046696A">
        <w:rPr>
          <w:rFonts w:ascii="Palatino Linotype" w:eastAsia="MS Mincho" w:hAnsi="Palatino Linotype"/>
          <w:lang w:val="es-ES_tradnl"/>
        </w:rPr>
        <w:t>se inconforma e interpone el presente recurso de revisión, argumentado como raz</w:t>
      </w:r>
      <w:r w:rsidR="00B153AD" w:rsidRPr="0046696A">
        <w:rPr>
          <w:rFonts w:ascii="Palatino Linotype" w:eastAsia="MS Mincho" w:hAnsi="Palatino Linotype"/>
          <w:lang w:val="es-ES_tradnl"/>
        </w:rPr>
        <w:t xml:space="preserve">ones o motivos de inconformidad la falta de fundamentación en la respuesta. </w:t>
      </w:r>
    </w:p>
    <w:p w14:paraId="44EC49A6" w14:textId="77777777" w:rsidR="00B153AD" w:rsidRPr="0046696A" w:rsidRDefault="00B153AD" w:rsidP="000C1184">
      <w:pPr>
        <w:pStyle w:val="Prrafodelista"/>
        <w:spacing w:before="240" w:after="240" w:line="360" w:lineRule="auto"/>
        <w:ind w:left="0"/>
        <w:contextualSpacing/>
        <w:jc w:val="both"/>
        <w:rPr>
          <w:rFonts w:ascii="Palatino Linotype" w:hAnsi="Palatino Linotype"/>
          <w:i/>
          <w:lang w:val="es-ES_tradnl"/>
        </w:rPr>
      </w:pPr>
    </w:p>
    <w:p w14:paraId="4F030FC3" w14:textId="796E265C" w:rsidR="00D217A4" w:rsidRPr="0046696A" w:rsidRDefault="00EA0165" w:rsidP="00E62DBE">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46696A">
        <w:rPr>
          <w:rFonts w:ascii="Palatino Linotype" w:eastAsia="MS Mincho" w:hAnsi="Palatino Linotype"/>
          <w:lang w:val="es-ES_tradnl"/>
        </w:rPr>
        <w:t xml:space="preserve">En ese sentido, el agravio del recurrente consiste en que la respuesta proporcionada por el </w:t>
      </w:r>
      <w:r w:rsidRPr="0046696A">
        <w:rPr>
          <w:rFonts w:ascii="Palatino Linotype" w:eastAsia="MS Mincho" w:hAnsi="Palatino Linotype"/>
          <w:b/>
          <w:lang w:val="es-ES_tradnl"/>
        </w:rPr>
        <w:t>SUJETO OBLIGADO</w:t>
      </w:r>
      <w:r w:rsidRPr="0046696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w:t>
      </w:r>
      <w:r w:rsidRPr="0046696A">
        <w:rPr>
          <w:rFonts w:ascii="Palatino Linotype" w:eastAsia="MS Mincho" w:hAnsi="Palatino Linotype"/>
          <w:lang w:val="es-ES_tradnl"/>
        </w:rPr>
        <w:lastRenderedPageBreak/>
        <w:t>entrega de información</w:t>
      </w:r>
      <w:r w:rsidR="00562ACE" w:rsidRPr="0046696A">
        <w:rPr>
          <w:rFonts w:ascii="Palatino Linotype" w:eastAsia="MS Mincho" w:hAnsi="Palatino Linotype"/>
          <w:lang w:val="es-ES_tradnl"/>
        </w:rPr>
        <w:t xml:space="preserve"> se deberá garantiza</w:t>
      </w:r>
      <w:r w:rsidR="00543427" w:rsidRPr="0046696A">
        <w:rPr>
          <w:rFonts w:ascii="Palatino Linotype" w:eastAsia="MS Mincho" w:hAnsi="Palatino Linotype"/>
          <w:lang w:val="es-ES_tradnl"/>
        </w:rPr>
        <w:t xml:space="preserve">r </w:t>
      </w:r>
      <w:r w:rsidR="00444949" w:rsidRPr="0046696A">
        <w:rPr>
          <w:rFonts w:ascii="Palatino Linotype" w:eastAsia="MS Mincho" w:hAnsi="Palatino Linotype"/>
          <w:lang w:val="es-ES_tradnl"/>
        </w:rPr>
        <w:t xml:space="preserve">que sea confiable y dicha restricción deberá estar sujeta a un claro régimen de excepciones. </w:t>
      </w:r>
    </w:p>
    <w:p w14:paraId="35853B1F" w14:textId="77777777" w:rsidR="00D217A4" w:rsidRPr="0046696A" w:rsidRDefault="00D217A4" w:rsidP="000C1184">
      <w:pPr>
        <w:pStyle w:val="Prrafodelista"/>
        <w:spacing w:line="360" w:lineRule="auto"/>
        <w:rPr>
          <w:rFonts w:ascii="Palatino Linotype" w:eastAsia="MS Mincho" w:hAnsi="Palatino Linotype"/>
          <w:lang w:val="es-ES_tradnl"/>
        </w:rPr>
      </w:pPr>
    </w:p>
    <w:p w14:paraId="566EE704" w14:textId="093EE077" w:rsidR="0006184D" w:rsidRPr="0046696A" w:rsidRDefault="00EA0165" w:rsidP="00E62DBE">
      <w:pPr>
        <w:pStyle w:val="Prrafodelista"/>
        <w:numPr>
          <w:ilvl w:val="0"/>
          <w:numId w:val="8"/>
        </w:numPr>
        <w:spacing w:before="240" w:after="240" w:line="360" w:lineRule="auto"/>
        <w:ind w:left="0" w:firstLine="0"/>
        <w:contextualSpacing/>
        <w:jc w:val="both"/>
        <w:rPr>
          <w:rFonts w:ascii="Palatino Linotype" w:hAnsi="Palatino Linotype"/>
          <w:i/>
          <w:lang w:val="es-ES_tradnl"/>
        </w:rPr>
      </w:pPr>
      <w:r w:rsidRPr="0046696A">
        <w:rPr>
          <w:rFonts w:ascii="Palatino Linotype" w:eastAsia="MS Mincho" w:hAnsi="Palatino Linotype"/>
          <w:lang w:val="es-ES_tradnl"/>
        </w:rPr>
        <w:t xml:space="preserve">Por lo que de este modo, el presente recurso de revisión se circunscribe a determinar si el </w:t>
      </w:r>
      <w:r w:rsidRPr="0046696A">
        <w:rPr>
          <w:rFonts w:ascii="Palatino Linotype" w:eastAsia="MS Mincho" w:hAnsi="Palatino Linotype"/>
          <w:b/>
          <w:lang w:val="es-ES_tradnl"/>
        </w:rPr>
        <w:t>SUJETO OBLIGADO</w:t>
      </w:r>
      <w:r w:rsidR="009C4F62" w:rsidRPr="0046696A">
        <w:rPr>
          <w:rFonts w:ascii="Palatino Linotype" w:eastAsia="MS Mincho" w:hAnsi="Palatino Linotype"/>
          <w:lang w:val="es-ES_tradnl"/>
        </w:rPr>
        <w:t xml:space="preserve"> con la respuesta otorgada</w:t>
      </w:r>
      <w:r w:rsidR="00562ACE" w:rsidRPr="0046696A">
        <w:rPr>
          <w:rFonts w:ascii="Palatino Linotype" w:eastAsia="MS Mincho" w:hAnsi="Palatino Linotype"/>
          <w:lang w:val="es-ES_tradnl"/>
        </w:rPr>
        <w:t xml:space="preserve">, </w:t>
      </w:r>
      <w:r w:rsidRPr="0046696A">
        <w:rPr>
          <w:rFonts w:ascii="Palatino Linotype" w:eastAsia="MS Mincho" w:hAnsi="Palatino Linotype"/>
          <w:lang w:val="es-ES_tradnl"/>
        </w:rPr>
        <w:t>vulnera el derecho de acceso a la información accionado por el particular a</w:t>
      </w:r>
      <w:r w:rsidR="005F7AD4" w:rsidRPr="0046696A">
        <w:rPr>
          <w:rFonts w:ascii="Palatino Linotype" w:eastAsia="MS Mincho" w:hAnsi="Palatino Linotype"/>
          <w:lang w:val="es-ES_tradnl"/>
        </w:rPr>
        <w:t>ctualizando la causal</w:t>
      </w:r>
      <w:r w:rsidRPr="0046696A">
        <w:rPr>
          <w:rFonts w:ascii="Palatino Linotype" w:eastAsia="MS Mincho" w:hAnsi="Palatino Linotype"/>
          <w:lang w:val="es-ES_tradnl"/>
        </w:rPr>
        <w:t xml:space="preserve"> de procedencia prevista</w:t>
      </w:r>
      <w:r w:rsidR="00E00BFD" w:rsidRPr="0046696A">
        <w:rPr>
          <w:rFonts w:ascii="Palatino Linotype" w:eastAsia="MS Mincho" w:hAnsi="Palatino Linotype"/>
          <w:lang w:val="es-ES_tradnl"/>
        </w:rPr>
        <w:t xml:space="preserve"> </w:t>
      </w:r>
      <w:r w:rsidR="00444949" w:rsidRPr="0046696A">
        <w:rPr>
          <w:rFonts w:ascii="Palatino Linotype" w:eastAsia="MS Mincho" w:hAnsi="Palatino Linotype"/>
          <w:lang w:val="es-ES_tradnl"/>
        </w:rPr>
        <w:t xml:space="preserve">en el artículo 179 fracciones </w:t>
      </w:r>
      <w:r w:rsidR="0001145F">
        <w:rPr>
          <w:rFonts w:ascii="Palatino Linotype" w:eastAsia="MS Mincho" w:hAnsi="Palatino Linotype"/>
          <w:lang w:val="es-ES_tradnl"/>
        </w:rPr>
        <w:t xml:space="preserve">II, VI, X y </w:t>
      </w:r>
      <w:r w:rsidR="00453A09" w:rsidRPr="0046696A">
        <w:rPr>
          <w:rFonts w:ascii="Palatino Linotype" w:eastAsia="MS Mincho" w:hAnsi="Palatino Linotype"/>
          <w:lang w:val="es-ES_tradnl"/>
        </w:rPr>
        <w:t>XIII</w:t>
      </w:r>
      <w:r w:rsidR="009C4F62" w:rsidRPr="0046696A">
        <w:rPr>
          <w:rStyle w:val="Refdenotaalpie"/>
          <w:rFonts w:ascii="Palatino Linotype" w:eastAsia="MS Mincho" w:hAnsi="Palatino Linotype"/>
          <w:lang w:val="es-ES_tradnl"/>
        </w:rPr>
        <w:footnoteReference w:id="1"/>
      </w:r>
      <w:r w:rsidR="00562ACE" w:rsidRPr="0046696A">
        <w:rPr>
          <w:rFonts w:ascii="Palatino Linotype" w:eastAsia="MS Mincho" w:hAnsi="Palatino Linotype"/>
          <w:lang w:val="es-ES_tradnl"/>
        </w:rPr>
        <w:t xml:space="preserve"> </w:t>
      </w:r>
      <w:r w:rsidRPr="0046696A">
        <w:rPr>
          <w:rFonts w:ascii="Palatino Linotype" w:eastAsia="MS Mincho" w:hAnsi="Palatino Linotype"/>
          <w:lang w:val="es-ES_tradnl"/>
        </w:rPr>
        <w:t>de la Ley de Transparencia y Acceso a la Información del Estado de México y Municipios.</w:t>
      </w:r>
    </w:p>
    <w:p w14:paraId="5162A17C" w14:textId="71549F44" w:rsidR="00286C23" w:rsidRPr="0046696A" w:rsidRDefault="009A1E3F" w:rsidP="0006184D">
      <w:pPr>
        <w:pStyle w:val="Ttulo1"/>
        <w:spacing w:line="360" w:lineRule="auto"/>
        <w:rPr>
          <w:rFonts w:ascii="Palatino Linotype" w:hAnsi="Palatino Linotype"/>
          <w:b/>
          <w:color w:val="000000" w:themeColor="text1"/>
          <w:sz w:val="24"/>
          <w:szCs w:val="24"/>
          <w:lang w:val="es-MX" w:eastAsia="en-US"/>
        </w:rPr>
      </w:pPr>
      <w:bookmarkStart w:id="45" w:name="_Toc68804767"/>
      <w:bookmarkStart w:id="46" w:name="_Toc85717355"/>
      <w:bookmarkStart w:id="47" w:name="_Toc459174366"/>
      <w:bookmarkStart w:id="48" w:name="_Toc459659884"/>
      <w:bookmarkStart w:id="49" w:name="_Toc461687280"/>
      <w:bookmarkStart w:id="50" w:name="_Toc462771051"/>
      <w:bookmarkStart w:id="51" w:name="_Toc464139201"/>
      <w:r w:rsidRPr="0046696A">
        <w:rPr>
          <w:rFonts w:ascii="Palatino Linotype" w:hAnsi="Palatino Linotype"/>
          <w:b/>
          <w:color w:val="000000" w:themeColor="text1"/>
          <w:sz w:val="24"/>
          <w:szCs w:val="24"/>
          <w:lang w:val="es-MX" w:eastAsia="en-US"/>
        </w:rPr>
        <w:t>CUARTO</w:t>
      </w:r>
      <w:r w:rsidR="00F041CF" w:rsidRPr="0046696A">
        <w:rPr>
          <w:rFonts w:ascii="Palatino Linotype" w:hAnsi="Palatino Linotype"/>
          <w:b/>
          <w:color w:val="000000" w:themeColor="text1"/>
          <w:sz w:val="24"/>
          <w:szCs w:val="24"/>
          <w:lang w:val="es-MX" w:eastAsia="en-US"/>
        </w:rPr>
        <w:t>. Estudio y r</w:t>
      </w:r>
      <w:r w:rsidR="00EA0165" w:rsidRPr="0046696A">
        <w:rPr>
          <w:rFonts w:ascii="Palatino Linotype" w:hAnsi="Palatino Linotype"/>
          <w:b/>
          <w:color w:val="000000" w:themeColor="text1"/>
          <w:sz w:val="24"/>
          <w:szCs w:val="24"/>
          <w:lang w:val="es-MX" w:eastAsia="en-US"/>
        </w:rPr>
        <w:t>esolución del asunto.</w:t>
      </w:r>
      <w:bookmarkEnd w:id="45"/>
      <w:bookmarkEnd w:id="46"/>
    </w:p>
    <w:p w14:paraId="06F00F11" w14:textId="766B338E" w:rsidR="00286C23" w:rsidRPr="0046696A" w:rsidRDefault="00286C23" w:rsidP="00E62DBE">
      <w:pPr>
        <w:pStyle w:val="Prrafodelista"/>
        <w:numPr>
          <w:ilvl w:val="0"/>
          <w:numId w:val="10"/>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2" w:name="_Toc85717356"/>
      <w:r w:rsidRPr="0046696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2"/>
    </w:p>
    <w:p w14:paraId="09A5BF5B" w14:textId="77777777" w:rsidR="00286C23" w:rsidRPr="0046696A" w:rsidRDefault="00286C23" w:rsidP="000C1184">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6696A" w:rsidRDefault="00286C23" w:rsidP="00E62DBE">
      <w:pPr>
        <w:pStyle w:val="Prrafodelista"/>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6696A">
        <w:rPr>
          <w:rFonts w:ascii="Palatino Linotype" w:eastAsiaTheme="minorEastAsia" w:hAnsi="Palatino Linotype" w:cstheme="minorBidi"/>
          <w:color w:val="000000" w:themeColor="text1"/>
          <w:lang w:val="es-MX"/>
        </w:rPr>
        <w:t>Es menester precisar</w:t>
      </w:r>
      <w:r w:rsidRPr="0046696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46696A">
        <w:rPr>
          <w:rFonts w:ascii="Palatino Linotype" w:eastAsiaTheme="minorEastAsia" w:hAnsi="Palatino Linotype" w:cstheme="minorBidi"/>
          <w:bCs/>
          <w:color w:val="000000" w:themeColor="text1"/>
          <w:lang w:val="es-MX"/>
        </w:rPr>
        <w:lastRenderedPageBreak/>
        <w:t xml:space="preserve">Estado de México, por lo que al respecto el </w:t>
      </w:r>
      <w:r w:rsidRPr="0046696A">
        <w:rPr>
          <w:rFonts w:ascii="Palatino Linotype" w:eastAsiaTheme="minorEastAsia" w:hAnsi="Palatino Linotype" w:cstheme="minorBidi"/>
          <w:b/>
          <w:bCs/>
          <w:color w:val="000000" w:themeColor="text1"/>
          <w:lang w:val="es-MX"/>
        </w:rPr>
        <w:t>SUJETO OBLIGADO</w:t>
      </w:r>
      <w:r w:rsidRPr="0046696A">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6696A">
        <w:rPr>
          <w:rFonts w:ascii="Palatino Linotype" w:eastAsiaTheme="minorEastAsia" w:hAnsi="Palatino Linotype" w:cstheme="minorBidi"/>
          <w:b/>
          <w:bCs/>
          <w:color w:val="000000" w:themeColor="text1"/>
          <w:lang w:val="es-MX"/>
        </w:rPr>
        <w:t>Constitución Política de los Estados Unidos Mexicanos</w:t>
      </w:r>
      <w:r w:rsidRPr="0046696A">
        <w:rPr>
          <w:rFonts w:ascii="Palatino Linotype" w:eastAsiaTheme="minorEastAsia" w:hAnsi="Palatino Linotype" w:cstheme="minorBidi"/>
          <w:bCs/>
          <w:color w:val="000000" w:themeColor="text1"/>
          <w:lang w:val="es-MX"/>
        </w:rPr>
        <w:t>, tienen</w:t>
      </w:r>
      <w:r w:rsidRPr="0046696A">
        <w:rPr>
          <w:rFonts w:ascii="Palatino Linotype" w:eastAsiaTheme="minorEastAsia" w:hAnsi="Palatino Linotype" w:cstheme="minorBidi"/>
          <w:b/>
          <w:bCs/>
          <w:color w:val="000000" w:themeColor="text1"/>
          <w:lang w:val="es-MX"/>
        </w:rPr>
        <w:t xml:space="preserve"> </w:t>
      </w:r>
      <w:r w:rsidRPr="0046696A">
        <w:rPr>
          <w:rFonts w:ascii="Palatino Linotype" w:eastAsiaTheme="minorEastAsia" w:hAnsi="Palatino Linotype" w:cstheme="minorBidi"/>
          <w:bCs/>
          <w:color w:val="000000" w:themeColor="text1"/>
          <w:lang w:val="es-MX"/>
        </w:rPr>
        <w:t xml:space="preserve">la obligación de “promover, </w:t>
      </w:r>
      <w:r w:rsidRPr="0046696A">
        <w:rPr>
          <w:rFonts w:ascii="Palatino Linotype" w:eastAsiaTheme="minorEastAsia" w:hAnsi="Palatino Linotype" w:cstheme="minorBidi"/>
          <w:b/>
          <w:bCs/>
          <w:color w:val="000000" w:themeColor="text1"/>
          <w:lang w:val="es-MX"/>
        </w:rPr>
        <w:t>respetar</w:t>
      </w:r>
      <w:r w:rsidRPr="0046696A">
        <w:rPr>
          <w:rFonts w:ascii="Palatino Linotype" w:eastAsiaTheme="minorEastAsia" w:hAnsi="Palatino Linotype" w:cstheme="minorBidi"/>
          <w:bCs/>
          <w:color w:val="000000" w:themeColor="text1"/>
          <w:lang w:val="es-MX"/>
        </w:rPr>
        <w:t xml:space="preserve">, proteger y </w:t>
      </w:r>
      <w:r w:rsidRPr="0046696A">
        <w:rPr>
          <w:rFonts w:ascii="Palatino Linotype" w:eastAsiaTheme="minorEastAsia" w:hAnsi="Palatino Linotype" w:cstheme="minorBidi"/>
          <w:b/>
          <w:bCs/>
          <w:color w:val="000000" w:themeColor="text1"/>
          <w:lang w:val="es-MX"/>
        </w:rPr>
        <w:t>garantizar</w:t>
      </w:r>
      <w:r w:rsidRPr="0046696A">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6696A"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6696A" w:rsidRDefault="00286C23"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6696A">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6696A"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6696A" w:rsidRDefault="00286C23"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6696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6696A">
        <w:rPr>
          <w:rFonts w:ascii="Palatino Linotype" w:eastAsiaTheme="minorEastAsia" w:hAnsi="Palatino Linotype" w:cstheme="minorBidi"/>
          <w:i/>
          <w:color w:val="000000" w:themeColor="text1"/>
          <w:lang w:val="es-MX"/>
        </w:rPr>
        <w:t>La igualdad de oportunidades para recibir, buscar e impartir información</w:t>
      </w:r>
      <w:r w:rsidRPr="0046696A">
        <w:rPr>
          <w:rFonts w:ascii="Palatino Linotype" w:eastAsiaTheme="minorEastAsia" w:hAnsi="Palatino Linotype" w:cstheme="minorBidi"/>
          <w:i/>
          <w:color w:val="000000" w:themeColor="text1"/>
          <w:vertAlign w:val="superscript"/>
          <w:lang w:val="es-MX"/>
        </w:rPr>
        <w:footnoteReference w:id="2"/>
      </w:r>
      <w:r w:rsidRPr="0046696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696A">
        <w:rPr>
          <w:rFonts w:ascii="Palatino Linotype" w:eastAsiaTheme="minorEastAsia" w:hAnsi="Palatino Linotype" w:cstheme="minorBidi"/>
          <w:i/>
          <w:color w:val="000000" w:themeColor="text1"/>
          <w:vertAlign w:val="superscript"/>
          <w:lang w:val="es-MX"/>
        </w:rPr>
        <w:footnoteReference w:id="3"/>
      </w:r>
      <w:r w:rsidRPr="0046696A">
        <w:rPr>
          <w:rFonts w:ascii="Palatino Linotype" w:eastAsiaTheme="minorEastAsia" w:hAnsi="Palatino Linotype" w:cstheme="minorBidi"/>
          <w:color w:val="000000" w:themeColor="text1"/>
          <w:lang w:val="es-MX"/>
        </w:rPr>
        <w:t>que se constituye como una herramienta fundamental para ejercer</w:t>
      </w:r>
      <w:r w:rsidRPr="0046696A">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w:t>
      </w:r>
      <w:r w:rsidRPr="0046696A">
        <w:rPr>
          <w:rFonts w:ascii="Palatino Linotype" w:eastAsiaTheme="minorEastAsia" w:hAnsi="Palatino Linotype" w:cstheme="minorBidi"/>
          <w:i/>
          <w:color w:val="000000" w:themeColor="text1"/>
          <w:lang w:val="es-MX"/>
        </w:rPr>
        <w:lastRenderedPageBreak/>
        <w:t>cumplimiento a las funciones públicas,</w:t>
      </w:r>
      <w:r w:rsidRPr="0046696A">
        <w:rPr>
          <w:rFonts w:ascii="Palatino Linotype" w:eastAsiaTheme="minorEastAsia" w:hAnsi="Palatino Linotype" w:cstheme="minorBidi"/>
          <w:i/>
          <w:color w:val="000000" w:themeColor="text1"/>
          <w:vertAlign w:val="superscript"/>
          <w:lang w:val="es-MX"/>
        </w:rPr>
        <w:footnoteReference w:id="4"/>
      </w:r>
      <w:r w:rsidRPr="0046696A">
        <w:rPr>
          <w:rFonts w:ascii="Palatino Linotype" w:eastAsiaTheme="minorEastAsia" w:hAnsi="Palatino Linotype" w:cstheme="minorBidi"/>
          <w:i/>
          <w:color w:val="000000" w:themeColor="text1"/>
          <w:lang w:val="es-MX"/>
        </w:rPr>
        <w:t xml:space="preserve"> </w:t>
      </w:r>
      <w:r w:rsidRPr="0046696A">
        <w:rPr>
          <w:rFonts w:ascii="Palatino Linotype" w:eastAsiaTheme="minorEastAsia" w:hAnsi="Palatino Linotype" w:cstheme="minorBidi"/>
          <w:color w:val="000000" w:themeColor="text1"/>
          <w:lang w:val="es-MX"/>
        </w:rPr>
        <w:t>fomentando</w:t>
      </w:r>
      <w:r w:rsidRPr="0046696A">
        <w:rPr>
          <w:rFonts w:ascii="Palatino Linotype" w:eastAsiaTheme="minorEastAsia" w:hAnsi="Palatino Linotype" w:cstheme="minorBidi"/>
          <w:i/>
          <w:color w:val="000000" w:themeColor="text1"/>
          <w:lang w:val="es-MX"/>
        </w:rPr>
        <w:t xml:space="preserve"> la transparencia de las actividades estatales y </w:t>
      </w:r>
      <w:r w:rsidRPr="0046696A">
        <w:rPr>
          <w:rFonts w:ascii="Palatino Linotype" w:eastAsiaTheme="minorEastAsia" w:hAnsi="Palatino Linotype" w:cstheme="minorBidi"/>
          <w:color w:val="000000" w:themeColor="text1"/>
          <w:lang w:val="es-MX"/>
        </w:rPr>
        <w:t>promoviendo</w:t>
      </w:r>
      <w:r w:rsidRPr="0046696A">
        <w:rPr>
          <w:rFonts w:ascii="Palatino Linotype" w:eastAsiaTheme="minorEastAsia" w:hAnsi="Palatino Linotype" w:cstheme="minorBidi"/>
          <w:i/>
          <w:color w:val="000000" w:themeColor="text1"/>
          <w:lang w:val="es-MX"/>
        </w:rPr>
        <w:t xml:space="preserve"> la responsabilidad de los funcionarios sobre su gestión pública,</w:t>
      </w:r>
      <w:r w:rsidRPr="0046696A">
        <w:rPr>
          <w:rFonts w:ascii="Palatino Linotype" w:eastAsiaTheme="minorEastAsia" w:hAnsi="Palatino Linotype" w:cstheme="minorBidi"/>
          <w:i/>
          <w:color w:val="000000" w:themeColor="text1"/>
          <w:vertAlign w:val="superscript"/>
          <w:lang w:val="es-MX"/>
        </w:rPr>
        <w:footnoteReference w:id="5"/>
      </w:r>
      <w:r w:rsidRPr="0046696A">
        <w:rPr>
          <w:rFonts w:ascii="Palatino Linotype" w:eastAsiaTheme="minorEastAsia" w:hAnsi="Palatino Linotype" w:cstheme="minorBidi"/>
          <w:color w:val="000000" w:themeColor="text1"/>
          <w:lang w:val="es-MX"/>
        </w:rPr>
        <w:t>que permite</w:t>
      </w:r>
      <w:r w:rsidRPr="0046696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6696A"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C0FDD31" w14:textId="77777777" w:rsidR="00286C23" w:rsidRPr="0046696A" w:rsidRDefault="00286C23"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6696A">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4F65A52" w14:textId="77777777" w:rsidR="001D60A4" w:rsidRPr="0046696A" w:rsidRDefault="001D60A4" w:rsidP="001D60A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C48BE97" w14:textId="1C92B791" w:rsidR="003523DE" w:rsidRPr="0046696A" w:rsidRDefault="00D91C33" w:rsidP="00E62DBE">
      <w:pPr>
        <w:pStyle w:val="Ttulo1"/>
        <w:numPr>
          <w:ilvl w:val="0"/>
          <w:numId w:val="10"/>
        </w:numPr>
        <w:ind w:left="0" w:firstLine="0"/>
        <w:rPr>
          <w:rFonts w:ascii="Palatino Linotype" w:hAnsi="Palatino Linotype"/>
          <w:b/>
          <w:color w:val="auto"/>
          <w:sz w:val="24"/>
          <w:szCs w:val="24"/>
          <w:lang w:val="es-MX" w:eastAsia="en-US"/>
        </w:rPr>
      </w:pPr>
      <w:bookmarkStart w:id="53" w:name="_Toc85717357"/>
      <w:r w:rsidRPr="0046696A">
        <w:rPr>
          <w:rFonts w:ascii="Palatino Linotype" w:hAnsi="Palatino Linotype"/>
          <w:b/>
          <w:color w:val="auto"/>
          <w:sz w:val="24"/>
          <w:szCs w:val="24"/>
          <w:lang w:val="es-MX" w:eastAsia="en-US"/>
        </w:rPr>
        <w:t>De la solicitud de información y la respuesta otorgada.</w:t>
      </w:r>
      <w:bookmarkEnd w:id="53"/>
      <w:r w:rsidRPr="0046696A">
        <w:rPr>
          <w:rFonts w:ascii="Palatino Linotype" w:hAnsi="Palatino Linotype"/>
          <w:b/>
          <w:color w:val="auto"/>
          <w:sz w:val="24"/>
          <w:szCs w:val="24"/>
          <w:lang w:val="es-MX" w:eastAsia="en-US"/>
        </w:rPr>
        <w:t xml:space="preserve"> </w:t>
      </w:r>
    </w:p>
    <w:p w14:paraId="4BF3BCA3" w14:textId="77777777" w:rsidR="00D91C33" w:rsidRPr="0046696A" w:rsidRDefault="00D91C33" w:rsidP="000C1184">
      <w:pPr>
        <w:pStyle w:val="Prrafodelista"/>
        <w:spacing w:line="360" w:lineRule="auto"/>
        <w:ind w:left="1080"/>
        <w:rPr>
          <w:rFonts w:ascii="Palatino Linotype" w:hAnsi="Palatino Linotype"/>
          <w:lang w:val="es-MX" w:eastAsia="en-US"/>
        </w:rPr>
      </w:pPr>
    </w:p>
    <w:p w14:paraId="113D11EC" w14:textId="77777777" w:rsidR="00D91C33" w:rsidRPr="0046696A" w:rsidRDefault="00EA0165" w:rsidP="00E62DBE">
      <w:pPr>
        <w:pStyle w:val="Prrafodelista"/>
        <w:numPr>
          <w:ilvl w:val="0"/>
          <w:numId w:val="8"/>
        </w:numPr>
        <w:spacing w:before="240" w:after="360" w:line="360" w:lineRule="auto"/>
        <w:ind w:left="0" w:firstLine="0"/>
        <w:contextualSpacing/>
        <w:jc w:val="both"/>
        <w:rPr>
          <w:rFonts w:ascii="Palatino Linotype" w:eastAsia="MS Mincho" w:hAnsi="Palatino Linotype" w:cs="Arial"/>
          <w:i/>
          <w:lang w:val="es-MX"/>
        </w:rPr>
      </w:pPr>
      <w:r w:rsidRPr="0046696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w:t>
      </w:r>
      <w:r w:rsidRPr="0046696A">
        <w:rPr>
          <w:rFonts w:ascii="Palatino Linotype" w:eastAsia="Cambria" w:hAnsi="Palatino Linotype" w:cs="Arial"/>
          <w:lang w:val="es-MX" w:eastAsia="en-US"/>
        </w:rPr>
        <w:lastRenderedPageBreak/>
        <w:t xml:space="preserve">en consideración los elementos aportados por las partes y apegándose en todo momento al principio de máxima publicidad de acuerdo con lo establecido en el artículo 8 de la </w:t>
      </w:r>
      <w:r w:rsidRPr="0046696A">
        <w:rPr>
          <w:rFonts w:ascii="Palatino Linotype" w:eastAsia="Calibri" w:hAnsi="Palatino Linotype" w:cs="Arial"/>
          <w:b/>
          <w:lang w:eastAsia="en-US"/>
        </w:rPr>
        <w:t>Ley de Transparencia y Acceso a la Información Pública del Estado de México y Municipios</w:t>
      </w:r>
      <w:r w:rsidR="006C693D" w:rsidRPr="0046696A">
        <w:rPr>
          <w:rFonts w:ascii="Palatino Linotype" w:hAnsi="Palatino Linotype" w:cs="Arial"/>
          <w:lang w:eastAsia="es-MX"/>
        </w:rPr>
        <w:t>.</w:t>
      </w:r>
    </w:p>
    <w:p w14:paraId="6DCC758D" w14:textId="77777777" w:rsidR="00D91C33" w:rsidRPr="0046696A" w:rsidRDefault="00D91C33" w:rsidP="000C1184">
      <w:pPr>
        <w:pStyle w:val="Prrafodelista"/>
        <w:spacing w:before="240" w:after="360" w:line="360" w:lineRule="auto"/>
        <w:ind w:left="0"/>
        <w:contextualSpacing/>
        <w:jc w:val="both"/>
        <w:rPr>
          <w:rFonts w:ascii="Palatino Linotype" w:eastAsia="MS Mincho" w:hAnsi="Palatino Linotype" w:cs="Arial"/>
          <w:i/>
          <w:lang w:val="es-MX"/>
        </w:rPr>
      </w:pPr>
    </w:p>
    <w:p w14:paraId="39FC42AB" w14:textId="0A86CA42" w:rsidR="00C548CF" w:rsidRPr="0001145F" w:rsidRDefault="00D91C33" w:rsidP="0001145F">
      <w:pPr>
        <w:pStyle w:val="Prrafodelista"/>
        <w:numPr>
          <w:ilvl w:val="0"/>
          <w:numId w:val="8"/>
        </w:numPr>
        <w:spacing w:before="240" w:after="360" w:line="360" w:lineRule="auto"/>
        <w:ind w:left="0" w:firstLine="0"/>
        <w:contextualSpacing/>
        <w:jc w:val="both"/>
        <w:rPr>
          <w:rFonts w:ascii="Palatino Linotype" w:eastAsia="MS Mincho" w:hAnsi="Palatino Linotype" w:cs="Arial"/>
          <w:i/>
          <w:lang w:val="es-MX"/>
        </w:rPr>
      </w:pPr>
      <w:r w:rsidRPr="0046696A">
        <w:rPr>
          <w:rFonts w:ascii="Palatino Linotype" w:eastAsia="MS Mincho" w:hAnsi="Palatino Linotype" w:cs="Arial"/>
          <w:lang w:val="es-MX"/>
        </w:rPr>
        <w:t xml:space="preserve">Así, de la lectura a la solicitud de información se observa </w:t>
      </w:r>
      <w:r w:rsidR="008A4E4D" w:rsidRPr="0046696A">
        <w:rPr>
          <w:rFonts w:ascii="Palatino Linotype" w:eastAsia="MS Mincho" w:hAnsi="Palatino Linotype" w:cs="Arial"/>
          <w:lang w:val="es-MX"/>
        </w:rPr>
        <w:t xml:space="preserve">que el particular requirió al </w:t>
      </w:r>
      <w:r w:rsidR="008A4E4D" w:rsidRPr="0046696A">
        <w:rPr>
          <w:rFonts w:ascii="Palatino Linotype" w:eastAsia="MS Mincho" w:hAnsi="Palatino Linotype" w:cs="Arial"/>
          <w:b/>
          <w:lang w:val="es-MX"/>
        </w:rPr>
        <w:t>Ayuntamiento de Nicolás Romero</w:t>
      </w:r>
      <w:r w:rsidRPr="0046696A">
        <w:rPr>
          <w:rFonts w:ascii="Palatino Linotype" w:eastAsia="MS Mincho" w:hAnsi="Palatino Linotype" w:cs="Arial"/>
          <w:lang w:val="es-MX"/>
        </w:rPr>
        <w:t xml:space="preserve"> acceder </w:t>
      </w:r>
      <w:r w:rsidR="0001145F">
        <w:rPr>
          <w:rFonts w:ascii="Palatino Linotype" w:eastAsia="MS Mincho" w:hAnsi="Palatino Linotype" w:cs="Arial"/>
          <w:lang w:val="es-MX"/>
        </w:rPr>
        <w:t>a la nómina del mes de mayo</w:t>
      </w:r>
      <w:r w:rsidR="0001145F">
        <w:rPr>
          <w:rFonts w:ascii="Palatino Linotype" w:eastAsia="MS Mincho" w:hAnsi="Palatino Linotype" w:cs="Arial"/>
          <w:i/>
          <w:lang w:val="es-MX"/>
        </w:rPr>
        <w:t xml:space="preserve">, </w:t>
      </w:r>
      <w:r w:rsidR="0001145F">
        <w:rPr>
          <w:rFonts w:ascii="Palatino Linotype" w:eastAsia="MS Mincho" w:hAnsi="Palatino Linotype" w:cs="Arial"/>
          <w:lang w:val="es-MX"/>
        </w:rPr>
        <w:t>e</w:t>
      </w:r>
      <w:r w:rsidRPr="0001145F">
        <w:rPr>
          <w:rFonts w:ascii="Palatino Linotype" w:eastAsia="MS Mincho" w:hAnsi="Palatino Linotype" w:cs="Arial"/>
          <w:lang w:val="es-MX"/>
        </w:rPr>
        <w:t xml:space="preserve">n calidad de respuesta a </w:t>
      </w:r>
      <w:r w:rsidR="00A917E6" w:rsidRPr="0001145F">
        <w:rPr>
          <w:rFonts w:ascii="Palatino Linotype" w:eastAsia="MS Mincho" w:hAnsi="Palatino Linotype" w:cs="Arial"/>
          <w:lang w:val="es-MX"/>
        </w:rPr>
        <w:t>la solicitud de i</w:t>
      </w:r>
      <w:r w:rsidR="00453A09" w:rsidRPr="0001145F">
        <w:rPr>
          <w:rFonts w:ascii="Palatino Linotype" w:eastAsia="MS Mincho" w:hAnsi="Palatino Linotype" w:cs="Arial"/>
          <w:lang w:val="es-MX"/>
        </w:rPr>
        <w:t xml:space="preserve">nformación, </w:t>
      </w:r>
      <w:r w:rsidR="0001145F" w:rsidRPr="0001145F">
        <w:rPr>
          <w:rFonts w:ascii="Palatino Linotype" w:eastAsia="MS Mincho" w:hAnsi="Palatino Linotype"/>
          <w:lang w:val="es-ES_tradnl"/>
        </w:rPr>
        <w:t>el Director de Administración refiriendo que previo a la entrega de la información se tenía que realizar el pago correspondiente por los costos de reproducción, además de que no era posible poner a disposición la información relacionada con elementos de seguridad ya que la misma se consideraba reservada</w:t>
      </w:r>
      <w:r w:rsidR="00453A09" w:rsidRPr="0001145F">
        <w:rPr>
          <w:rFonts w:ascii="Palatino Linotype" w:eastAsia="MS Mincho" w:hAnsi="Palatino Linotype" w:cs="Arial"/>
          <w:lang w:val="es-MX"/>
        </w:rPr>
        <w:t>, no obstante, la</w:t>
      </w:r>
      <w:r w:rsidR="00B0148A" w:rsidRPr="0001145F">
        <w:rPr>
          <w:rFonts w:ascii="Palatino Linotype" w:eastAsia="MS Mincho" w:hAnsi="Palatino Linotype" w:cs="Arial"/>
          <w:lang w:val="es-MX"/>
        </w:rPr>
        <w:t xml:space="preserve"> </w:t>
      </w:r>
      <w:bookmarkStart w:id="54" w:name="_Toc84264165"/>
      <w:r w:rsidR="00453A09" w:rsidRPr="0001145F">
        <w:rPr>
          <w:rFonts w:ascii="Palatino Linotype" w:eastAsia="MS Mincho" w:hAnsi="Palatino Linotype" w:cs="Arial"/>
          <w:lang w:val="es-MX"/>
        </w:rPr>
        <w:t xml:space="preserve">particular se inconformó al no encontrarse debidamente sustentada la reserva de la información. </w:t>
      </w:r>
    </w:p>
    <w:p w14:paraId="6C515FDC" w14:textId="517E9E82" w:rsidR="00E5288E" w:rsidRPr="0046696A" w:rsidRDefault="00C548CF" w:rsidP="00E62DBE">
      <w:pPr>
        <w:numPr>
          <w:ilvl w:val="0"/>
          <w:numId w:val="8"/>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46696A">
        <w:rPr>
          <w:rFonts w:ascii="Palatino Linotype" w:eastAsia="MS Mincho" w:hAnsi="Palatino Linotype" w:cs="Arial"/>
          <w:color w:val="000000"/>
          <w:lang w:val="es-ES_tradnl"/>
        </w:rPr>
        <w:t>Así las cosas, este Instituto de Transparencia, de conformidad con los principios de eficacia y profesionalismo</w:t>
      </w:r>
      <w:r w:rsidRPr="0046696A">
        <w:rPr>
          <w:rStyle w:val="Refdenotaalpie"/>
          <w:rFonts w:ascii="Palatino Linotype" w:eastAsia="MS Mincho" w:hAnsi="Palatino Linotype" w:cs="Arial"/>
          <w:color w:val="000000"/>
          <w:lang w:val="es-ES_tradnl"/>
        </w:rPr>
        <w:footnoteReference w:id="6"/>
      </w:r>
      <w:r w:rsidRPr="0046696A">
        <w:rPr>
          <w:rFonts w:ascii="Palatino Linotype" w:eastAsia="MS Mincho" w:hAnsi="Palatino Linotype" w:cs="Arial"/>
          <w:color w:val="000000"/>
          <w:lang w:val="es-ES_tradnl"/>
        </w:rPr>
        <w:t xml:space="preserve">, procederá a verificar la </w:t>
      </w:r>
      <w:r w:rsidR="00453A09" w:rsidRPr="0046696A">
        <w:rPr>
          <w:rFonts w:ascii="Palatino Linotype" w:eastAsia="MS Mincho" w:hAnsi="Palatino Linotype" w:cs="Arial"/>
          <w:color w:val="000000"/>
          <w:lang w:val="es-ES_tradnl"/>
        </w:rPr>
        <w:t>procedencia de</w:t>
      </w:r>
      <w:r w:rsidR="0001145F">
        <w:rPr>
          <w:rFonts w:ascii="Palatino Linotype" w:eastAsia="MS Mincho" w:hAnsi="Palatino Linotype" w:cs="Arial"/>
          <w:color w:val="000000"/>
          <w:lang w:val="es-ES_tradnl"/>
        </w:rPr>
        <w:t xml:space="preserve">l cobro y la </w:t>
      </w:r>
      <w:r w:rsidR="00453A09" w:rsidRPr="0046696A">
        <w:rPr>
          <w:rFonts w:ascii="Palatino Linotype" w:eastAsia="MS Mincho" w:hAnsi="Palatino Linotype" w:cs="Arial"/>
          <w:color w:val="000000"/>
          <w:lang w:val="es-ES_tradnl"/>
        </w:rPr>
        <w:t xml:space="preserve">reserva propuesta.  </w:t>
      </w:r>
    </w:p>
    <w:p w14:paraId="65694028" w14:textId="64271EA1" w:rsidR="00E5288E" w:rsidRPr="003E65E9" w:rsidRDefault="00E5288E" w:rsidP="003E65E9">
      <w:pPr>
        <w:pStyle w:val="Ttulo1"/>
        <w:rPr>
          <w:rFonts w:ascii="Palatino Linotype" w:eastAsia="MS Mincho" w:hAnsi="Palatino Linotype" w:cs="Arial"/>
          <w:b/>
          <w:color w:val="000000" w:themeColor="text1"/>
          <w:sz w:val="24"/>
          <w:szCs w:val="24"/>
          <w:lang w:val="es-MX"/>
        </w:rPr>
      </w:pPr>
      <w:bookmarkStart w:id="55" w:name="_Toc85717358"/>
      <w:r w:rsidRPr="003E65E9">
        <w:rPr>
          <w:rFonts w:ascii="Palatino Linotype" w:hAnsi="Palatino Linotype"/>
          <w:b/>
          <w:color w:val="000000" w:themeColor="text1"/>
          <w:sz w:val="24"/>
          <w:szCs w:val="24"/>
          <w:lang w:val="es-MX" w:eastAsia="en-US"/>
        </w:rPr>
        <w:lastRenderedPageBreak/>
        <w:t>I</w:t>
      </w:r>
      <w:r w:rsidR="0006184D" w:rsidRPr="003E65E9">
        <w:rPr>
          <w:rFonts w:ascii="Palatino Linotype" w:hAnsi="Palatino Linotype"/>
          <w:b/>
          <w:color w:val="000000" w:themeColor="text1"/>
          <w:sz w:val="24"/>
          <w:szCs w:val="24"/>
          <w:lang w:val="es-MX" w:eastAsia="en-US"/>
        </w:rPr>
        <w:t>I</w:t>
      </w:r>
      <w:r w:rsidR="003E65E9" w:rsidRPr="003E65E9">
        <w:rPr>
          <w:rFonts w:ascii="Palatino Linotype" w:hAnsi="Palatino Linotype"/>
          <w:b/>
          <w:color w:val="000000" w:themeColor="text1"/>
          <w:sz w:val="24"/>
          <w:szCs w:val="24"/>
          <w:lang w:val="es-MX" w:eastAsia="en-US"/>
        </w:rPr>
        <w:t>I</w:t>
      </w:r>
      <w:r w:rsidRPr="003E65E9">
        <w:rPr>
          <w:rFonts w:ascii="Palatino Linotype" w:hAnsi="Palatino Linotype"/>
          <w:b/>
          <w:color w:val="000000" w:themeColor="text1"/>
          <w:sz w:val="24"/>
          <w:szCs w:val="24"/>
          <w:lang w:val="es-MX" w:eastAsia="en-US"/>
        </w:rPr>
        <w:t xml:space="preserve">. De la </w:t>
      </w:r>
      <w:bookmarkEnd w:id="54"/>
      <w:r w:rsidR="00453A09" w:rsidRPr="003E65E9">
        <w:rPr>
          <w:rFonts w:ascii="Palatino Linotype" w:hAnsi="Palatino Linotype"/>
          <w:b/>
          <w:color w:val="000000" w:themeColor="text1"/>
          <w:sz w:val="24"/>
          <w:szCs w:val="24"/>
          <w:lang w:val="es-MX" w:eastAsia="en-US"/>
        </w:rPr>
        <w:t>naturaleza de la información solicitada.</w:t>
      </w:r>
      <w:bookmarkEnd w:id="55"/>
      <w:r w:rsidR="00453A09" w:rsidRPr="003E65E9">
        <w:rPr>
          <w:rFonts w:ascii="Palatino Linotype" w:hAnsi="Palatino Linotype"/>
          <w:b/>
          <w:color w:val="000000" w:themeColor="text1"/>
          <w:sz w:val="24"/>
          <w:szCs w:val="24"/>
          <w:lang w:val="es-MX" w:eastAsia="en-US"/>
        </w:rPr>
        <w:t xml:space="preserve"> </w:t>
      </w:r>
    </w:p>
    <w:p w14:paraId="7A9004CE" w14:textId="77777777" w:rsidR="003C4A72" w:rsidRPr="0046696A" w:rsidRDefault="003C4A72" w:rsidP="000C1184">
      <w:pPr>
        <w:pStyle w:val="Prrafodelista"/>
        <w:spacing w:before="240" w:after="360" w:line="360" w:lineRule="auto"/>
        <w:ind w:left="0"/>
        <w:contextualSpacing/>
        <w:jc w:val="both"/>
        <w:rPr>
          <w:rFonts w:ascii="Palatino Linotype" w:eastAsia="MS Mincho" w:hAnsi="Palatino Linotype" w:cs="Arial"/>
          <w:i/>
          <w:lang w:val="es-MX"/>
        </w:rPr>
      </w:pPr>
    </w:p>
    <w:p w14:paraId="02153D77" w14:textId="332B0608" w:rsidR="003C4A72" w:rsidRPr="0046696A" w:rsidRDefault="003C4A72" w:rsidP="00E62DBE">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46696A">
        <w:rPr>
          <w:rFonts w:ascii="Palatino Linotype" w:hAnsi="Palatino Linotype" w:cs="Arial"/>
          <w:lang w:eastAsia="es-MX"/>
        </w:rPr>
        <w:t xml:space="preserve">Precisado lo anterior, </w:t>
      </w:r>
      <w:r w:rsidRPr="0046696A">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73F0DE60" w14:textId="77777777" w:rsidR="003C4A72" w:rsidRPr="0046696A" w:rsidRDefault="003C4A72" w:rsidP="000C1184">
      <w:pPr>
        <w:pStyle w:val="Prrafodelista"/>
        <w:spacing w:line="360" w:lineRule="auto"/>
        <w:rPr>
          <w:rFonts w:ascii="Palatino Linotype" w:eastAsia="Calibri" w:hAnsi="Palatino Linotype"/>
          <w:lang w:val="es-ES_tradnl"/>
        </w:rPr>
      </w:pPr>
    </w:p>
    <w:p w14:paraId="1F258923" w14:textId="0B6942A2" w:rsidR="009354D3" w:rsidRPr="0046696A" w:rsidRDefault="00C548CF" w:rsidP="00E62DBE">
      <w:pPr>
        <w:pStyle w:val="Prrafodelista"/>
        <w:numPr>
          <w:ilvl w:val="0"/>
          <w:numId w:val="8"/>
        </w:numPr>
        <w:spacing w:before="240" w:after="360" w:line="360" w:lineRule="auto"/>
        <w:ind w:left="0" w:firstLine="0"/>
        <w:contextualSpacing/>
        <w:jc w:val="both"/>
        <w:rPr>
          <w:rFonts w:ascii="Palatino Linotype" w:eastAsia="Calibri" w:hAnsi="Palatino Linotype"/>
          <w:b/>
        </w:rPr>
      </w:pPr>
      <w:r w:rsidRPr="0046696A">
        <w:rPr>
          <w:rFonts w:ascii="Palatino Linotype" w:eastAsia="Calibri" w:hAnsi="Palatino Linotype"/>
          <w:lang w:val="es-ES_tradnl"/>
        </w:rPr>
        <w:t>Así, y en relación a la</w:t>
      </w:r>
      <w:r w:rsidR="009354D3" w:rsidRPr="0046696A">
        <w:rPr>
          <w:rFonts w:ascii="Palatino Linotype" w:eastAsia="Calibri" w:hAnsi="Palatino Linotype"/>
          <w:lang w:val="es-ES_tradnl"/>
        </w:rPr>
        <w:t xml:space="preserve"> información solicitada el ente recurrido </w:t>
      </w:r>
      <w:r w:rsidR="0001145F">
        <w:rPr>
          <w:rFonts w:ascii="Palatino Linotype" w:eastAsia="Calibri" w:hAnsi="Palatino Linotype"/>
          <w:lang w:val="es-ES_tradnl"/>
        </w:rPr>
        <w:t xml:space="preserve">requirió el cobro por reproducción de parte de la información y señaló la reserva, </w:t>
      </w:r>
      <w:r w:rsidR="009354D3" w:rsidRPr="0046696A">
        <w:rPr>
          <w:rFonts w:ascii="Palatino Linotype" w:eastAsia="Calibri" w:hAnsi="Palatino Linotype"/>
          <w:lang w:val="es-ES_tradnl"/>
        </w:rPr>
        <w:t>por lo que</w:t>
      </w:r>
      <w:r w:rsidR="009354D3" w:rsidRPr="0046696A">
        <w:rPr>
          <w:rFonts w:ascii="Palatino Linotype" w:eastAsia="MS Mincho" w:hAnsi="Palatino Linotype"/>
          <w:lang w:val="es-ES_tradnl"/>
        </w:rPr>
        <w:t xml:space="preserve"> </w:t>
      </w:r>
      <w:r w:rsidR="009354D3" w:rsidRPr="0046696A">
        <w:rPr>
          <w:rFonts w:ascii="Palatino Linotype" w:eastAsia="MS Mincho" w:hAnsi="Palatino Linotype"/>
        </w:rPr>
        <w:t xml:space="preserve">no niega contar con la misma, </w:t>
      </w:r>
      <w:r w:rsidR="009354D3" w:rsidRPr="0046696A">
        <w:rPr>
          <w:rFonts w:ascii="Palatino Linotype" w:eastAsia="MS Mincho" w:hAnsi="Palatino Linotype"/>
          <w:lang w:val="es-MX"/>
        </w:rPr>
        <w:t>por lo contrario, se presume que dicha información la posee o administra al manifestar que no es posible entregarla, por considerar que es</w:t>
      </w:r>
      <w:r w:rsidR="0001145F">
        <w:rPr>
          <w:rFonts w:ascii="Palatino Linotype" w:eastAsia="MS Mincho" w:hAnsi="Palatino Linotype"/>
          <w:lang w:val="es-MX"/>
        </w:rPr>
        <w:t xml:space="preserve"> procedente el cobro por reproducción y adquirir el carácter de</w:t>
      </w:r>
      <w:r w:rsidR="009354D3" w:rsidRPr="0046696A">
        <w:rPr>
          <w:rFonts w:ascii="Palatino Linotype" w:eastAsia="MS Mincho" w:hAnsi="Palatino Linotype"/>
          <w:lang w:val="es-MX"/>
        </w:rPr>
        <w:t xml:space="preserve"> información clasificada como reservada, de conformidad con los dispositivos jurídicos que sistemáticamente ha referido en su respuesta, en informe justificado.</w:t>
      </w:r>
    </w:p>
    <w:p w14:paraId="37C85DC9" w14:textId="77777777" w:rsidR="009354D3" w:rsidRPr="0046696A" w:rsidRDefault="009354D3" w:rsidP="009354D3">
      <w:pPr>
        <w:pStyle w:val="Prrafodelista"/>
        <w:spacing w:before="240" w:after="360" w:line="360" w:lineRule="auto"/>
        <w:ind w:left="0"/>
        <w:contextualSpacing/>
        <w:jc w:val="both"/>
        <w:rPr>
          <w:rFonts w:ascii="Palatino Linotype" w:eastAsia="Calibri" w:hAnsi="Palatino Linotype"/>
          <w:b/>
        </w:rPr>
      </w:pPr>
    </w:p>
    <w:p w14:paraId="7E0AC4F9" w14:textId="77777777" w:rsidR="009354D3" w:rsidRPr="0046696A" w:rsidRDefault="009354D3" w:rsidP="00E62DBE">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46696A">
        <w:rPr>
          <w:rFonts w:ascii="Palatino Linotype" w:eastAsia="MS Mincho" w:hAnsi="Palatino Linotype"/>
        </w:rPr>
        <w:t xml:space="preserve">Lo anterior se afirma así, ya que ante una clasificación de la información, no puede coexistir a su vez inexistencia de la misma, en virtud de que la inexistencia significa necesariamente que la información solicitada no se encuentra en los archivos del Sujeto Obligado, en atención a que no la genera, administra y/o posee ; y la clasificación de manera contraria implica que la información se ubica en los archivos del Sujeto Obligado, tan es así que le otorga el carácter de confidencial o </w:t>
      </w:r>
      <w:r w:rsidRPr="0046696A">
        <w:rPr>
          <w:rFonts w:ascii="Palatino Linotype" w:eastAsia="MS Mincho" w:hAnsi="Palatino Linotype"/>
        </w:rPr>
        <w:lastRenderedPageBreak/>
        <w:t>reservada.</w:t>
      </w:r>
      <w:r w:rsidRPr="0046696A">
        <w:rPr>
          <w:rFonts w:ascii="Palatino Linotype" w:eastAsia="MS Mincho" w:hAnsi="Palatino Linotype"/>
          <w:lang w:val="es-ES_tradnl"/>
        </w:rPr>
        <w:t xml:space="preserve"> </w:t>
      </w:r>
      <w:r w:rsidRPr="0046696A">
        <w:rPr>
          <w:rFonts w:ascii="Palatino Linotype" w:hAnsi="Palatino Linotype"/>
          <w:lang w:val="es-ES_tradnl"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7E338CAC" w14:textId="77777777" w:rsidR="009354D3" w:rsidRPr="0046696A" w:rsidRDefault="009354D3" w:rsidP="009354D3">
      <w:pPr>
        <w:spacing w:line="360" w:lineRule="auto"/>
        <w:ind w:left="720"/>
        <w:contextualSpacing/>
        <w:rPr>
          <w:rFonts w:ascii="Palatino Linotype" w:hAnsi="Palatino Linotype"/>
          <w:lang w:eastAsia="es-MX"/>
        </w:rPr>
      </w:pPr>
    </w:p>
    <w:p w14:paraId="1AA8AB62" w14:textId="77777777" w:rsidR="009354D3" w:rsidRPr="0046696A" w:rsidRDefault="009354D3" w:rsidP="00E62DBE">
      <w:pPr>
        <w:numPr>
          <w:ilvl w:val="0"/>
          <w:numId w:val="4"/>
        </w:numPr>
        <w:spacing w:before="240" w:after="240" w:line="360" w:lineRule="auto"/>
        <w:ind w:left="0" w:right="49" w:firstLine="0"/>
        <w:contextualSpacing/>
        <w:jc w:val="both"/>
        <w:rPr>
          <w:rFonts w:ascii="Palatino Linotype" w:hAnsi="Palatino Linotype" w:cs="Arial"/>
          <w:lang w:val="es-ES_tradnl"/>
        </w:rPr>
      </w:pPr>
      <w:r w:rsidRPr="0046696A">
        <w:rPr>
          <w:rFonts w:ascii="Palatino Linotype" w:hAnsi="Palatino Linotype"/>
          <w:lang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0D931441" w14:textId="77777777" w:rsidR="009354D3" w:rsidRPr="0046696A" w:rsidRDefault="009354D3" w:rsidP="009354D3">
      <w:pPr>
        <w:spacing w:before="240" w:after="240" w:line="360" w:lineRule="auto"/>
        <w:ind w:right="49"/>
        <w:contextualSpacing/>
        <w:jc w:val="both"/>
        <w:rPr>
          <w:rFonts w:ascii="Palatino Linotype" w:hAnsi="Palatino Linotype" w:cs="Arial"/>
          <w:lang w:val="es-ES_tradnl"/>
        </w:rPr>
      </w:pPr>
    </w:p>
    <w:p w14:paraId="5E7CAA73" w14:textId="77777777" w:rsidR="009354D3" w:rsidRPr="0046696A" w:rsidRDefault="009354D3" w:rsidP="009354D3">
      <w:pPr>
        <w:spacing w:before="240" w:after="240" w:line="360" w:lineRule="auto"/>
        <w:ind w:left="851" w:right="900"/>
        <w:jc w:val="both"/>
        <w:rPr>
          <w:rFonts w:ascii="Palatino Linotype" w:hAnsi="Palatino Linotype"/>
        </w:rPr>
      </w:pPr>
      <w:r w:rsidRPr="0046696A">
        <w:rPr>
          <w:rFonts w:ascii="Palatino Linotype" w:hAnsi="Palatino Linotype"/>
          <w:b/>
          <w:i/>
        </w:rPr>
        <w:t>“La clasificación y la inexistencia de información son conceptos que no pueden coexistir.</w:t>
      </w:r>
      <w:r w:rsidRPr="0046696A">
        <w:rPr>
          <w:rFonts w:ascii="Palatino Linotype" w:hAnsi="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w:t>
      </w:r>
      <w:r w:rsidRPr="0046696A">
        <w:rPr>
          <w:rFonts w:ascii="Palatino Linotype" w:hAnsi="Palatino Linotype"/>
          <w:i/>
        </w:rPr>
        <w:lastRenderedPageBreak/>
        <w:t>implica invariablemente la existencia de un documento o documentos determinados, mientras que la inexistencia conlleva la ausencia de los mismos en los archivos de la dependencia o entidad de que se trate.”</w:t>
      </w:r>
    </w:p>
    <w:p w14:paraId="108F54DD" w14:textId="77777777" w:rsidR="009354D3" w:rsidRPr="0046696A" w:rsidRDefault="009354D3" w:rsidP="009354D3">
      <w:pPr>
        <w:pStyle w:val="Prrafodelista"/>
        <w:spacing w:before="240" w:after="360" w:line="360" w:lineRule="auto"/>
        <w:ind w:left="0"/>
        <w:contextualSpacing/>
        <w:jc w:val="both"/>
        <w:rPr>
          <w:rFonts w:ascii="Palatino Linotype" w:eastAsia="Calibri" w:hAnsi="Palatino Linotype"/>
          <w:b/>
        </w:rPr>
      </w:pPr>
    </w:p>
    <w:p w14:paraId="2CA1617A" w14:textId="73CB8931" w:rsidR="00301624" w:rsidRPr="0046696A" w:rsidRDefault="009354D3" w:rsidP="00E62DBE">
      <w:pPr>
        <w:pStyle w:val="Prrafodelista"/>
        <w:numPr>
          <w:ilvl w:val="0"/>
          <w:numId w:val="8"/>
        </w:numPr>
        <w:spacing w:before="240" w:after="360" w:line="360" w:lineRule="auto"/>
        <w:ind w:left="0" w:firstLine="0"/>
        <w:contextualSpacing/>
        <w:jc w:val="both"/>
        <w:rPr>
          <w:rFonts w:ascii="Palatino Linotype" w:eastAsia="Calibri" w:hAnsi="Palatino Linotype"/>
          <w:b/>
        </w:rPr>
      </w:pPr>
      <w:r w:rsidRPr="0046696A">
        <w:rPr>
          <w:rFonts w:ascii="Palatino Linotype" w:eastAsia="Calibri" w:hAnsi="Palatino Linotype"/>
          <w:lang w:val="es-ES_tradnl"/>
        </w:rPr>
        <w:t xml:space="preserve">No obstante, </w:t>
      </w:r>
      <w:r w:rsidR="00301624" w:rsidRPr="0046696A">
        <w:rPr>
          <w:rFonts w:ascii="Palatino Linotype" w:eastAsia="Calibri" w:hAnsi="Palatino Linotype"/>
          <w:lang w:val="es-ES_tradnl"/>
        </w:rPr>
        <w:t xml:space="preserve">es oportuno establecer que </w:t>
      </w:r>
      <w:r w:rsidR="00301624" w:rsidRPr="0046696A">
        <w:rPr>
          <w:rFonts w:ascii="Palatino Linotype" w:hAnsi="Palatino Linotype"/>
          <w:lang w:eastAsia="es-MX"/>
        </w:rPr>
        <w:t xml:space="preserve">las fracción VIII, del artículo 92 de la Ley de Transparencia y Acceso a la Información del Estado de México y Municipios, </w:t>
      </w:r>
      <w:r w:rsidR="00B906B8" w:rsidRPr="0046696A">
        <w:rPr>
          <w:rFonts w:ascii="Palatino Linotype" w:hAnsi="Palatino Linotype"/>
          <w:lang w:eastAsia="es-MX"/>
        </w:rPr>
        <w:t xml:space="preserve">establece que las remuneraciones der servidores públicos constituyen una </w:t>
      </w:r>
      <w:r w:rsidR="00195520" w:rsidRPr="0046696A">
        <w:rPr>
          <w:rFonts w:ascii="Palatino Linotype" w:hAnsi="Palatino Linotype"/>
          <w:lang w:eastAsia="es-MX"/>
        </w:rPr>
        <w:t xml:space="preserve">obligación </w:t>
      </w:r>
      <w:r w:rsidR="00B906B8" w:rsidRPr="0046696A">
        <w:rPr>
          <w:rFonts w:ascii="Palatino Linotype" w:hAnsi="Palatino Linotype"/>
          <w:lang w:eastAsia="es-MX"/>
        </w:rPr>
        <w:t>de</w:t>
      </w:r>
      <w:r w:rsidR="00195520" w:rsidRPr="0046696A">
        <w:rPr>
          <w:rFonts w:ascii="Palatino Linotype" w:hAnsi="Palatino Linotype"/>
          <w:lang w:eastAsia="es-MX"/>
        </w:rPr>
        <w:t xml:space="preserve"> transparencia común </w:t>
      </w:r>
      <w:r w:rsidR="00301624" w:rsidRPr="0046696A">
        <w:rPr>
          <w:rFonts w:ascii="Palatino Linotype" w:hAnsi="Palatino Linotype"/>
          <w:lang w:eastAsia="es-MX"/>
        </w:rPr>
        <w:t xml:space="preserve">, como a continuación se observa: </w:t>
      </w:r>
    </w:p>
    <w:p w14:paraId="46255964" w14:textId="77777777" w:rsidR="00301624" w:rsidRPr="0046696A" w:rsidRDefault="00301624" w:rsidP="00301624">
      <w:pPr>
        <w:spacing w:before="240" w:after="360" w:line="360" w:lineRule="auto"/>
        <w:contextualSpacing/>
        <w:jc w:val="both"/>
        <w:rPr>
          <w:rFonts w:ascii="Palatino Linotype" w:hAnsi="Palatino Linotype"/>
          <w:lang w:eastAsia="es-MX"/>
        </w:rPr>
      </w:pPr>
    </w:p>
    <w:p w14:paraId="21E32F07" w14:textId="77777777" w:rsidR="00301624" w:rsidRPr="0046696A" w:rsidRDefault="00301624" w:rsidP="00301624">
      <w:pPr>
        <w:spacing w:before="240" w:after="360" w:line="360" w:lineRule="auto"/>
        <w:ind w:left="567" w:right="616"/>
        <w:contextualSpacing/>
        <w:jc w:val="both"/>
        <w:rPr>
          <w:rFonts w:ascii="Palatino Linotype" w:hAnsi="Palatino Linotype"/>
          <w:i/>
        </w:rPr>
      </w:pPr>
      <w:r w:rsidRPr="0046696A">
        <w:rPr>
          <w:rFonts w:ascii="Palatino Linotype" w:hAnsi="Palatino Linotype"/>
          <w:i/>
        </w:rPr>
        <w:t>“</w:t>
      </w:r>
      <w:r w:rsidRPr="0046696A">
        <w:rPr>
          <w:rFonts w:ascii="Palatino Linotype" w:hAnsi="Palatino Linotype"/>
          <w:b/>
          <w:i/>
        </w:rPr>
        <w:t>Artículo 92.</w:t>
      </w:r>
      <w:r w:rsidRPr="0046696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8FEBAC" w14:textId="77777777" w:rsidR="00301624" w:rsidRPr="0046696A" w:rsidRDefault="00301624" w:rsidP="00301624">
      <w:pPr>
        <w:spacing w:before="240" w:after="360" w:line="360" w:lineRule="auto"/>
        <w:ind w:left="567" w:right="616"/>
        <w:contextualSpacing/>
        <w:jc w:val="both"/>
        <w:rPr>
          <w:rFonts w:ascii="Palatino Linotype" w:hAnsi="Palatino Linotype"/>
          <w:i/>
        </w:rPr>
      </w:pPr>
    </w:p>
    <w:p w14:paraId="78141E86"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rPr>
      </w:pPr>
    </w:p>
    <w:p w14:paraId="36E3F9FC"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rPr>
      </w:pPr>
      <w:r w:rsidRPr="0046696A">
        <w:rPr>
          <w:rFonts w:ascii="Palatino Linotype" w:eastAsia="MS Mincho" w:hAnsi="Palatino Linotype"/>
          <w:i/>
        </w:rPr>
        <w:t>(…)</w:t>
      </w:r>
    </w:p>
    <w:p w14:paraId="62FA0366"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rPr>
      </w:pPr>
    </w:p>
    <w:p w14:paraId="2C614B81"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rPr>
      </w:pPr>
      <w:r w:rsidRPr="0046696A">
        <w:rPr>
          <w:rFonts w:ascii="Palatino Linotype" w:eastAsia="MS Mincho"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B9A5979"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rPr>
      </w:pPr>
    </w:p>
    <w:p w14:paraId="5B6746FB" w14:textId="77777777" w:rsidR="00301624" w:rsidRPr="0046696A" w:rsidRDefault="00301624" w:rsidP="00301624">
      <w:pPr>
        <w:pStyle w:val="Prrafodelista"/>
        <w:spacing w:before="240" w:after="240" w:line="360" w:lineRule="auto"/>
        <w:ind w:left="567" w:right="616"/>
        <w:contextualSpacing/>
        <w:jc w:val="both"/>
        <w:rPr>
          <w:rFonts w:ascii="Palatino Linotype" w:eastAsia="MS Mincho" w:hAnsi="Palatino Linotype"/>
          <w:i/>
          <w:lang w:val="es-ES_tradnl"/>
        </w:rPr>
      </w:pPr>
      <w:r w:rsidRPr="0046696A">
        <w:rPr>
          <w:rFonts w:ascii="Palatino Linotype" w:eastAsia="MS Mincho" w:hAnsi="Palatino Linotype"/>
          <w:i/>
        </w:rPr>
        <w:t>(…)” (Sic)</w:t>
      </w:r>
    </w:p>
    <w:p w14:paraId="241AE4BA" w14:textId="77777777" w:rsidR="00301624" w:rsidRPr="0046696A" w:rsidRDefault="00301624" w:rsidP="00301624">
      <w:pPr>
        <w:pStyle w:val="Prrafodelista"/>
        <w:spacing w:before="240" w:after="240" w:line="360" w:lineRule="auto"/>
        <w:ind w:left="0" w:right="49"/>
        <w:contextualSpacing/>
        <w:jc w:val="both"/>
        <w:rPr>
          <w:rFonts w:ascii="Palatino Linotype" w:eastAsia="MS Mincho" w:hAnsi="Palatino Linotype"/>
          <w:lang w:val="es-ES_tradnl"/>
        </w:rPr>
      </w:pPr>
    </w:p>
    <w:p w14:paraId="36C5695F" w14:textId="42C1A555" w:rsidR="00301624" w:rsidRPr="0046696A" w:rsidRDefault="00301624" w:rsidP="00E62DBE">
      <w:pPr>
        <w:pStyle w:val="Prrafodelista"/>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eastAsia="MS Mincho" w:hAnsi="Palatino Linotype"/>
          <w:lang w:val="es-ES_tradnl"/>
        </w:rPr>
        <w:t xml:space="preserve"> Ahora bien, en relación a la nómina solicitada y toda vez que las remuneraciones son pagadas </w:t>
      </w:r>
      <w:r w:rsidRPr="0046696A">
        <w:rPr>
          <w:rFonts w:ascii="Palatino Linotype" w:hAnsi="Palatino Linotype" w:cs="Arial"/>
        </w:rPr>
        <w:t>mediante la aplicación de recursos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4E682506" w14:textId="77777777" w:rsidR="00301624" w:rsidRPr="0046696A" w:rsidRDefault="00301624" w:rsidP="00301624">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0C6123E9" w14:textId="77777777" w:rsidR="00301624" w:rsidRPr="0046696A" w:rsidRDefault="00301624" w:rsidP="00301624">
      <w:pPr>
        <w:spacing w:line="360" w:lineRule="auto"/>
        <w:ind w:left="567" w:right="567"/>
        <w:contextualSpacing/>
        <w:jc w:val="both"/>
        <w:rPr>
          <w:rFonts w:ascii="Palatino Linotype" w:eastAsiaTheme="minorEastAsia" w:hAnsi="Palatino Linotype" w:cs="Arial"/>
          <w:b/>
          <w:i/>
          <w:iCs/>
          <w:lang w:val="es-ES_tradnl"/>
        </w:rPr>
      </w:pPr>
      <w:r w:rsidRPr="0046696A">
        <w:rPr>
          <w:rFonts w:ascii="Palatino Linotype" w:eastAsiaTheme="minorEastAsia" w:hAnsi="Palatino Linotype" w:cs="Arial"/>
          <w:b/>
          <w:i/>
          <w:iCs/>
          <w:lang w:val="es-ES_tradnl"/>
        </w:rPr>
        <w:t>“Artículo 61.</w:t>
      </w:r>
    </w:p>
    <w:p w14:paraId="05AB5520" w14:textId="77777777" w:rsidR="00301624" w:rsidRPr="0046696A" w:rsidRDefault="00301624" w:rsidP="00301624">
      <w:pPr>
        <w:spacing w:line="360" w:lineRule="auto"/>
        <w:ind w:left="567" w:right="567"/>
        <w:contextualSpacing/>
        <w:jc w:val="both"/>
        <w:rPr>
          <w:rFonts w:ascii="Palatino Linotype" w:eastAsiaTheme="minorEastAsia" w:hAnsi="Palatino Linotype" w:cs="Arial"/>
          <w:iCs/>
          <w:lang w:val="es-ES_tradnl"/>
        </w:rPr>
      </w:pPr>
      <w:r w:rsidRPr="0046696A">
        <w:rPr>
          <w:rFonts w:ascii="Palatino Linotype" w:eastAsiaTheme="minorEastAsia" w:hAnsi="Palatino Linotype" w:cs="Arial"/>
          <w:iCs/>
          <w:lang w:val="es-ES_tradnl"/>
        </w:rPr>
        <w:t>(…)</w:t>
      </w:r>
    </w:p>
    <w:p w14:paraId="18ED57F0" w14:textId="77777777" w:rsidR="00301624" w:rsidRPr="0046696A" w:rsidRDefault="00301624" w:rsidP="00301624">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46696A">
        <w:rPr>
          <w:rFonts w:ascii="Palatino Linotype" w:eastAsiaTheme="minorEastAsia" w:hAnsi="Palatino Linotype" w:cs="Bookman Old Style"/>
          <w:b/>
          <w:i/>
          <w:iCs/>
          <w:lang w:val="es-ES_tradnl"/>
        </w:rPr>
        <w:t>XXXIII.</w:t>
      </w:r>
      <w:r w:rsidRPr="0046696A">
        <w:rPr>
          <w:rFonts w:ascii="Palatino Linotype" w:eastAsiaTheme="minorEastAsia" w:hAnsi="Palatino Linotype" w:cs="Bookman Old Style"/>
          <w:i/>
          <w:iCs/>
          <w:lang w:val="es-ES_tradnl"/>
        </w:rPr>
        <w:t xml:space="preserve"> Revisar, por conducto del </w:t>
      </w:r>
      <w:r w:rsidRPr="0046696A">
        <w:rPr>
          <w:rFonts w:ascii="Palatino Linotype" w:eastAsiaTheme="minorEastAsia" w:hAnsi="Palatino Linotype" w:cs="Bookman Old Style"/>
          <w:b/>
          <w:i/>
          <w:iCs/>
          <w:lang w:val="es-ES_tradnl"/>
        </w:rPr>
        <w:t>Órgano Superior de Fiscalización del Estado de México</w:t>
      </w:r>
      <w:r w:rsidRPr="0046696A">
        <w:rPr>
          <w:rFonts w:ascii="Palatino Linotype" w:eastAsiaTheme="minorEastAsia" w:hAnsi="Palatino Linotype" w:cs="Bookman Old Style"/>
          <w:i/>
          <w:iCs/>
          <w:lang w:val="es-ES_tradnl"/>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4534536" w14:textId="77777777" w:rsidR="00301624" w:rsidRPr="0046696A" w:rsidRDefault="00301624" w:rsidP="00301624">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46696A">
        <w:rPr>
          <w:rFonts w:ascii="Palatino Linotype" w:eastAsiaTheme="minorEastAsia" w:hAnsi="Palatino Linotype" w:cs="Bookman Old Style"/>
          <w:i/>
          <w:iCs/>
          <w:lang w:val="es-ES_tradnl"/>
        </w:rPr>
        <w:t>(…)</w:t>
      </w:r>
    </w:p>
    <w:p w14:paraId="69931D34" w14:textId="77777777" w:rsidR="00301624" w:rsidRPr="0046696A" w:rsidRDefault="00301624" w:rsidP="00301624">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46696A">
        <w:rPr>
          <w:rFonts w:ascii="Palatino Linotype" w:eastAsiaTheme="minorEastAsia" w:hAnsi="Palatino Linotype" w:cs="Bookman Old Style"/>
          <w:b/>
          <w:i/>
          <w:iCs/>
          <w:lang w:val="es-ES_tradnl"/>
        </w:rPr>
        <w:t>XXXIV.</w:t>
      </w:r>
      <w:r w:rsidRPr="0046696A">
        <w:rPr>
          <w:rFonts w:ascii="Palatino Linotype" w:eastAsiaTheme="minorEastAsia" w:hAnsi="Palatino Linotype" w:cs="Bookman Old Style"/>
          <w:i/>
          <w:iCs/>
          <w:lang w:val="es-ES_tradnl"/>
        </w:rPr>
        <w:t xml:space="preserve"> Fiscalizar la administración de los ingresos y egresos del Estado y de los Municipios, que incluyen a los Poderes Públicos, organismos autónomos, organismos auxiliares, fideicomisos públicos o privados y demás entes públicos </w:t>
      </w:r>
      <w:r w:rsidRPr="0046696A">
        <w:rPr>
          <w:rFonts w:ascii="Palatino Linotype" w:eastAsiaTheme="minorEastAsia" w:hAnsi="Palatino Linotype" w:cs="Bookman Old Style"/>
          <w:i/>
          <w:iCs/>
          <w:lang w:val="es-ES_tradnl"/>
        </w:rPr>
        <w:lastRenderedPageBreak/>
        <w:t xml:space="preserve">que manejen recursos del Estado y Municipios, a través del </w:t>
      </w:r>
      <w:r w:rsidRPr="0046696A">
        <w:rPr>
          <w:rFonts w:ascii="Palatino Linotype" w:eastAsiaTheme="minorEastAsia" w:hAnsi="Palatino Linotype" w:cs="Bookman Old Style"/>
          <w:b/>
          <w:i/>
          <w:iCs/>
          <w:lang w:val="es-ES_tradnl"/>
        </w:rPr>
        <w:t>Órgano Superior de Fiscalización</w:t>
      </w:r>
      <w:r w:rsidRPr="0046696A">
        <w:rPr>
          <w:rFonts w:ascii="Palatino Linotype" w:eastAsiaTheme="minorEastAsia" w:hAnsi="Palatino Linotype" w:cs="Bookman Old Style"/>
          <w:i/>
          <w:iCs/>
          <w:lang w:val="es-ES_tradnl"/>
        </w:rPr>
        <w:t>.”</w:t>
      </w:r>
    </w:p>
    <w:p w14:paraId="4BD44602" w14:textId="77777777" w:rsidR="00301624" w:rsidRPr="0046696A" w:rsidRDefault="00301624" w:rsidP="00301624">
      <w:pPr>
        <w:autoSpaceDE w:val="0"/>
        <w:autoSpaceDN w:val="0"/>
        <w:adjustRightInd w:val="0"/>
        <w:spacing w:line="360" w:lineRule="auto"/>
        <w:ind w:left="567" w:right="567"/>
        <w:contextualSpacing/>
        <w:jc w:val="both"/>
        <w:rPr>
          <w:rFonts w:ascii="Palatino Linotype" w:eastAsiaTheme="minorEastAsia" w:hAnsi="Palatino Linotype" w:cs="Bookman Old Style"/>
          <w:iCs/>
          <w:lang w:val="es-ES_tradnl"/>
        </w:rPr>
      </w:pPr>
      <w:r w:rsidRPr="0046696A">
        <w:rPr>
          <w:rFonts w:ascii="Palatino Linotype" w:eastAsiaTheme="minorEastAsia" w:hAnsi="Palatino Linotype" w:cs="Bookman Old Style"/>
          <w:iCs/>
          <w:lang w:val="es-ES_tradnl"/>
        </w:rPr>
        <w:t>(Énfasis añadido)</w:t>
      </w:r>
    </w:p>
    <w:p w14:paraId="298E86B5"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BD28846" w14:textId="77777777" w:rsidR="00301624" w:rsidRPr="0046696A" w:rsidRDefault="00301624" w:rsidP="00E62DBE">
      <w:pPr>
        <w:pStyle w:val="Prrafodelista"/>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color w:val="000000" w:themeColor="text1"/>
          <w:lang w:val="es-ES_tradnl"/>
        </w:rPr>
        <w:t xml:space="preserve">Ahora </w:t>
      </w:r>
      <w:r w:rsidRPr="0046696A">
        <w:rPr>
          <w:rFonts w:ascii="Palatino Linotype" w:eastAsiaTheme="minorEastAsia" w:hAnsi="Palatino Linotype" w:cstheme="minorBidi"/>
          <w:color w:val="000000" w:themeColor="text1"/>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46696A">
        <w:rPr>
          <w:rFonts w:ascii="Palatino Linotype" w:eastAsiaTheme="minorEastAsia" w:hAnsi="Palatino Linotype" w:cstheme="minorBidi"/>
          <w:b/>
          <w:color w:val="000000" w:themeColor="text1"/>
        </w:rPr>
        <w:t>SUJETO OBLIGADO</w:t>
      </w:r>
      <w:r w:rsidRPr="0046696A">
        <w:rPr>
          <w:rFonts w:ascii="Palatino Linotype" w:eastAsiaTheme="minorEastAsia" w:hAnsi="Palatino Linotype" w:cstheme="minorBidi"/>
          <w:color w:val="000000" w:themeColor="text1"/>
        </w:rPr>
        <w:t xml:space="preserve"> se halla reconocido como un Sujeto de Fiscalización con base en los artículos 2, fracción II, y 4, fracción II:</w:t>
      </w:r>
    </w:p>
    <w:p w14:paraId="36C2B9F3" w14:textId="77777777" w:rsidR="00301624" w:rsidRPr="0046696A" w:rsidRDefault="00301624" w:rsidP="00301624">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676474EB"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i/>
          <w:lang w:val="es-ES_tradnl"/>
        </w:rPr>
        <w:t>“</w:t>
      </w:r>
      <w:r w:rsidRPr="0046696A">
        <w:rPr>
          <w:rFonts w:ascii="Palatino Linotype" w:eastAsiaTheme="minorEastAsia" w:hAnsi="Palatino Linotype" w:cstheme="minorBidi"/>
          <w:b/>
          <w:i/>
          <w:lang w:val="es-ES_tradnl"/>
        </w:rPr>
        <w:t>Artículo 2.</w:t>
      </w:r>
      <w:r w:rsidRPr="0046696A">
        <w:rPr>
          <w:rFonts w:ascii="Palatino Linotype" w:eastAsiaTheme="minorEastAsia" w:hAnsi="Palatino Linotype" w:cstheme="minorBidi"/>
          <w:i/>
          <w:lang w:val="es-ES_tradnl"/>
        </w:rPr>
        <w:t xml:space="preserve"> Para los efectos de la presente Ley, se entenderá por:</w:t>
      </w:r>
    </w:p>
    <w:p w14:paraId="13E64CD1"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i/>
          <w:lang w:val="es-ES_tradnl"/>
        </w:rPr>
        <w:t>(…)</w:t>
      </w:r>
    </w:p>
    <w:p w14:paraId="051DA18E"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b/>
          <w:i/>
          <w:lang w:val="es-ES_tradnl"/>
        </w:rPr>
        <w:t>II.</w:t>
      </w:r>
      <w:r w:rsidRPr="0046696A">
        <w:rPr>
          <w:rFonts w:ascii="Palatino Linotype" w:eastAsiaTheme="minorEastAsia" w:hAnsi="Palatino Linotype" w:cstheme="minorBidi"/>
          <w:i/>
          <w:lang w:val="es-ES_tradnl"/>
        </w:rPr>
        <w:t xml:space="preserve"> Municipios: A los Municipios del Estado;</w:t>
      </w:r>
    </w:p>
    <w:p w14:paraId="5CCB7DD4"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i/>
          <w:lang w:val="es-ES_tradnl"/>
        </w:rPr>
        <w:t>(…)</w:t>
      </w:r>
    </w:p>
    <w:p w14:paraId="05A72588"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p>
    <w:p w14:paraId="78577B04"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b/>
          <w:i/>
          <w:lang w:val="es-ES_tradnl"/>
        </w:rPr>
        <w:t>Artículo 4.-</w:t>
      </w:r>
      <w:r w:rsidRPr="0046696A">
        <w:rPr>
          <w:rFonts w:ascii="Palatino Linotype" w:eastAsiaTheme="minorEastAsia" w:hAnsi="Palatino Linotype" w:cstheme="minorBidi"/>
          <w:i/>
          <w:lang w:val="es-ES_tradnl"/>
        </w:rPr>
        <w:t xml:space="preserve"> Son sujetos de fiscalización:</w:t>
      </w:r>
    </w:p>
    <w:p w14:paraId="4F173386"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i/>
          <w:lang w:val="es-ES_tradnl"/>
        </w:rPr>
        <w:t>(…)</w:t>
      </w:r>
    </w:p>
    <w:p w14:paraId="48208B3F"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b/>
          <w:i/>
          <w:lang w:val="es-ES_tradnl"/>
        </w:rPr>
        <w:t>II.</w:t>
      </w:r>
      <w:r w:rsidRPr="0046696A">
        <w:rPr>
          <w:rFonts w:ascii="Palatino Linotype" w:eastAsiaTheme="minorEastAsia" w:hAnsi="Palatino Linotype" w:cstheme="minorBidi"/>
          <w:i/>
          <w:lang w:val="es-ES_tradnl"/>
        </w:rPr>
        <w:t xml:space="preserve"> Los municipios del Estado de México; </w:t>
      </w:r>
    </w:p>
    <w:p w14:paraId="238ADB7C" w14:textId="77777777" w:rsidR="00301624" w:rsidRPr="0046696A" w:rsidRDefault="00301624" w:rsidP="00301624">
      <w:pPr>
        <w:spacing w:line="276" w:lineRule="auto"/>
        <w:ind w:left="567" w:right="567"/>
        <w:contextualSpacing/>
        <w:jc w:val="both"/>
        <w:rPr>
          <w:rFonts w:ascii="Palatino Linotype" w:eastAsiaTheme="minorEastAsia" w:hAnsi="Palatino Linotype" w:cstheme="minorBidi"/>
          <w:i/>
          <w:lang w:val="es-ES_tradnl"/>
        </w:rPr>
      </w:pPr>
      <w:r w:rsidRPr="0046696A">
        <w:rPr>
          <w:rFonts w:ascii="Palatino Linotype" w:eastAsiaTheme="minorEastAsia" w:hAnsi="Palatino Linotype" w:cstheme="minorBidi"/>
          <w:i/>
          <w:lang w:val="es-ES_tradnl"/>
        </w:rPr>
        <w:t>(…)”</w:t>
      </w:r>
    </w:p>
    <w:p w14:paraId="2112F798"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FB149FF" w14:textId="77777777" w:rsidR="00301624" w:rsidRPr="0046696A" w:rsidRDefault="00301624"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eastAsiaTheme="minorEastAsia" w:hAnsi="Palatino Linotype" w:cstheme="minorBidi"/>
          <w:color w:val="000000" w:themeColor="text1"/>
          <w:lang w:val="es-ES_tradnl"/>
        </w:rPr>
        <w:t xml:space="preserve">Establecido </w:t>
      </w:r>
      <w:r w:rsidRPr="0046696A">
        <w:rPr>
          <w:rFonts w:ascii="Palatino Linotype" w:hAnsi="Palatino Linotype" w:cs="Arial"/>
        </w:rPr>
        <w:t xml:space="preserve">lo anterior, el Órgano Superior de Fiscalización del Estado de México (OSFEM), emite anualmente una herramienta para elaborar y presentar los informes mensuales, denominado </w:t>
      </w:r>
      <w:r w:rsidRPr="0046696A">
        <w:rPr>
          <w:rFonts w:ascii="Palatino Linotype" w:hAnsi="Palatino Linotype" w:cs="Arial"/>
          <w:b/>
          <w:bCs/>
        </w:rPr>
        <w:t xml:space="preserve">“Lineamientos para la Entrega del Informe </w:t>
      </w:r>
      <w:r w:rsidRPr="0046696A">
        <w:rPr>
          <w:rFonts w:ascii="Palatino Linotype" w:hAnsi="Palatino Linotype" w:cs="Arial"/>
          <w:b/>
          <w:bCs/>
        </w:rPr>
        <w:lastRenderedPageBreak/>
        <w:t>Mensual Municipal”</w:t>
      </w:r>
      <w:r w:rsidRPr="0046696A">
        <w:rPr>
          <w:rFonts w:ascii="Palatino Linotype" w:hAnsi="Palatino Linotype" w:cs="Arial"/>
        </w:rPr>
        <w:t>, cuyo objetivo es establecer las especificaciones necesarias para que las entidades fiscales elaboren y presentes los referidos informes.</w:t>
      </w:r>
    </w:p>
    <w:p w14:paraId="7F70BC49"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2F43814" w14:textId="77777777" w:rsidR="00301624" w:rsidRPr="0046696A" w:rsidRDefault="00301624"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hAnsi="Palatino Linotype" w:cs="Arial"/>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46696A">
        <w:rPr>
          <w:rFonts w:ascii="Palatino Linotype" w:hAnsi="Palatino Linotype" w:cs="Arial"/>
          <w:b/>
          <w:bCs/>
        </w:rPr>
        <w:t>Órgano Superior de Fiscalización del Estado de México</w:t>
      </w:r>
      <w:r w:rsidRPr="0046696A">
        <w:rPr>
          <w:rFonts w:ascii="Palatino Linotype" w:hAnsi="Palatino Linotype" w:cs="Arial"/>
        </w:rPr>
        <w:t xml:space="preserve"> dentro de los veinte días hábiles posteriores al mes correspondiente.</w:t>
      </w:r>
    </w:p>
    <w:p w14:paraId="0E181EFA"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E6909C7" w14:textId="77777777" w:rsidR="00301624" w:rsidRPr="0046696A" w:rsidRDefault="00301624"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hAnsi="Palatino Linotype" w:cs="Arial"/>
        </w:rPr>
        <w:t>La integración del Informe Mensual se entregará de manera física al Órgano Superior de Fiscalización del Estado de México, y estará compuesto de la siguiente manera:</w:t>
      </w:r>
    </w:p>
    <w:p w14:paraId="2EA8F089"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220780F" w14:textId="77777777" w:rsidR="00301624" w:rsidRPr="0046696A" w:rsidRDefault="00301624" w:rsidP="00301624">
      <w:pPr>
        <w:autoSpaceDE w:val="0"/>
        <w:autoSpaceDN w:val="0"/>
        <w:adjustRightInd w:val="0"/>
        <w:spacing w:line="276" w:lineRule="auto"/>
        <w:ind w:left="567" w:right="616"/>
        <w:contextualSpacing/>
        <w:jc w:val="both"/>
        <w:rPr>
          <w:rFonts w:ascii="Palatino Linotype" w:eastAsiaTheme="minorEastAsia" w:hAnsi="Palatino Linotype" w:cs="Arial"/>
          <w:i/>
          <w:iCs/>
          <w:lang w:val="es-ES_tradnl"/>
        </w:rPr>
      </w:pPr>
      <w:r w:rsidRPr="0046696A">
        <w:rPr>
          <w:rFonts w:ascii="Palatino Linotype" w:eastAsiaTheme="minorEastAsia" w:hAnsi="Palatino Linotype" w:cs="Arial"/>
          <w:b/>
          <w:bCs/>
          <w:i/>
          <w:iCs/>
          <w:lang w:val="es-ES_tradnl"/>
        </w:rPr>
        <w:t>a)</w:t>
      </w:r>
      <w:r w:rsidRPr="0046696A">
        <w:rPr>
          <w:rFonts w:ascii="Palatino Linotype" w:eastAsiaTheme="minorEastAsia" w:hAnsi="Palatino Linotype" w:cs="Arial"/>
          <w:i/>
          <w:iCs/>
          <w:lang w:val="es-ES_tradnl"/>
        </w:rPr>
        <w:t xml:space="preserve"> Información impresa.</w:t>
      </w:r>
    </w:p>
    <w:p w14:paraId="52AAAB71" w14:textId="77777777" w:rsidR="00301624" w:rsidRPr="0046696A" w:rsidRDefault="00301624" w:rsidP="00301624">
      <w:pPr>
        <w:autoSpaceDE w:val="0"/>
        <w:autoSpaceDN w:val="0"/>
        <w:adjustRightInd w:val="0"/>
        <w:spacing w:line="276" w:lineRule="auto"/>
        <w:ind w:left="567" w:right="616"/>
        <w:contextualSpacing/>
        <w:jc w:val="both"/>
        <w:rPr>
          <w:rFonts w:ascii="Palatino Linotype" w:eastAsia="Arial" w:hAnsi="Palatino Linotype" w:cs="Arial"/>
          <w:lang w:val="es-MX" w:eastAsia="en-US"/>
        </w:rPr>
      </w:pPr>
      <w:r w:rsidRPr="0046696A">
        <w:rPr>
          <w:rFonts w:ascii="Palatino Linotype" w:eastAsiaTheme="minorEastAsia" w:hAnsi="Palatino Linotype" w:cs="Arial"/>
          <w:b/>
          <w:bCs/>
          <w:i/>
          <w:iCs/>
          <w:lang w:val="es-ES_tradnl"/>
        </w:rPr>
        <w:t>b)</w:t>
      </w:r>
      <w:r w:rsidRPr="0046696A">
        <w:rPr>
          <w:rFonts w:ascii="Palatino Linotype" w:eastAsiaTheme="minorEastAsia" w:hAnsi="Palatino Linotype" w:cs="Arial"/>
          <w:i/>
          <w:iCs/>
          <w:lang w:val="es-ES_tradnl"/>
        </w:rPr>
        <w:t xml:space="preserve"> Información en medio de almacenamiento electrónico, discos compactos (CD).</w:t>
      </w:r>
    </w:p>
    <w:p w14:paraId="787FFFA4"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17F1E81" w14:textId="77777777" w:rsidR="00301624" w:rsidRPr="0046696A" w:rsidRDefault="00301624"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hAnsi="Palatino Linotype" w:cs="Arial"/>
        </w:rPr>
        <w:t xml:space="preserve">Por 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r w:rsidRPr="0046696A">
        <w:rPr>
          <w:rFonts w:ascii="Palatino Linotype" w:hAnsi="Palatino Linotype" w:cs="Arial"/>
          <w:i/>
        </w:rPr>
        <w:t>CD’s</w:t>
      </w:r>
      <w:r w:rsidRPr="0046696A">
        <w:rPr>
          <w:rFonts w:ascii="Palatino Linotype" w:hAnsi="Palatino Linotype" w:cs="Arial"/>
        </w:rPr>
        <w:t>, de la siguiente manera:</w:t>
      </w:r>
    </w:p>
    <w:p w14:paraId="64C2124D" w14:textId="77777777" w:rsidR="00301624" w:rsidRPr="0046696A" w:rsidRDefault="00301624" w:rsidP="00301624">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04451334" w14:textId="77777777" w:rsidR="00301624" w:rsidRPr="0046696A" w:rsidRDefault="00301624" w:rsidP="00301624">
      <w:pPr>
        <w:tabs>
          <w:tab w:val="left" w:pos="426"/>
        </w:tabs>
        <w:spacing w:line="276" w:lineRule="auto"/>
        <w:ind w:left="567" w:right="567"/>
        <w:contextualSpacing/>
        <w:jc w:val="center"/>
        <w:rPr>
          <w:rFonts w:ascii="Palatino Linotype" w:eastAsia="MS Mincho" w:hAnsi="Palatino Linotype" w:cstheme="minorBidi"/>
          <w:b/>
          <w:i/>
          <w:lang w:val="es-ES_tradnl"/>
        </w:rPr>
      </w:pPr>
      <w:r w:rsidRPr="0046696A">
        <w:rPr>
          <w:rFonts w:ascii="Palatino Linotype" w:eastAsia="MS Mincho" w:hAnsi="Palatino Linotype" w:cstheme="minorBidi"/>
          <w:b/>
          <w:i/>
          <w:lang w:val="es-ES_tradnl"/>
        </w:rPr>
        <w:t>Informe Mensual Municipal en CD’s:</w:t>
      </w:r>
    </w:p>
    <w:p w14:paraId="68FE75B3" w14:textId="77777777" w:rsidR="00301624" w:rsidRPr="0046696A" w:rsidRDefault="00301624" w:rsidP="00301624">
      <w:pPr>
        <w:tabs>
          <w:tab w:val="left" w:pos="426"/>
        </w:tabs>
        <w:spacing w:line="276" w:lineRule="auto"/>
        <w:ind w:left="567" w:right="567"/>
        <w:contextualSpacing/>
        <w:jc w:val="center"/>
        <w:rPr>
          <w:rFonts w:ascii="Palatino Linotype" w:eastAsia="MS Mincho" w:hAnsi="Palatino Linotype" w:cstheme="minorBidi"/>
          <w:b/>
          <w:i/>
          <w:lang w:val="es-ES_tradnl"/>
        </w:rPr>
      </w:pPr>
    </w:p>
    <w:p w14:paraId="04F63CA2"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lastRenderedPageBreak/>
        <w:t>Disco 1.-</w:t>
      </w:r>
      <w:r w:rsidRPr="0046696A">
        <w:rPr>
          <w:rFonts w:ascii="Palatino Linotype" w:eastAsia="MS Mincho" w:hAnsi="Palatino Linotype" w:cstheme="minorBidi"/>
          <w:i/>
          <w:lang w:val="es-ES_tradnl"/>
        </w:rPr>
        <w:t xml:space="preserve"> Información Patrimonial (Contable y Administrativa).</w:t>
      </w:r>
    </w:p>
    <w:p w14:paraId="7580B5D7"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Disco 2.-</w:t>
      </w:r>
      <w:r w:rsidRPr="0046696A">
        <w:rPr>
          <w:rFonts w:ascii="Palatino Linotype" w:eastAsia="MS Mincho" w:hAnsi="Palatino Linotype" w:cstheme="minorBidi"/>
          <w:i/>
          <w:lang w:val="es-ES_tradnl"/>
        </w:rPr>
        <w:t xml:space="preserve"> Información Presupuestal, de Bienes Muebles e Inmuebles y de Recaudación del Impuesto Predial y Derechos de Agua.</w:t>
      </w:r>
    </w:p>
    <w:p w14:paraId="65CCF2A3"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Disco 3.-</w:t>
      </w:r>
      <w:r w:rsidRPr="0046696A">
        <w:rPr>
          <w:rFonts w:ascii="Palatino Linotype" w:eastAsia="MS Mincho" w:hAnsi="Palatino Linotype" w:cstheme="minorBidi"/>
          <w:i/>
          <w:lang w:val="es-ES_tradnl"/>
        </w:rPr>
        <w:t xml:space="preserve"> Información de Obra.</w:t>
      </w:r>
    </w:p>
    <w:p w14:paraId="02854909"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Disco 4.-</w:t>
      </w:r>
      <w:r w:rsidRPr="0046696A">
        <w:rPr>
          <w:rFonts w:ascii="Palatino Linotype" w:eastAsia="MS Mincho" w:hAnsi="Palatino Linotype" w:cstheme="minorBidi"/>
          <w:i/>
          <w:lang w:val="es-ES_tradnl"/>
        </w:rPr>
        <w:t xml:space="preserve"> Información de Nómina.</w:t>
      </w:r>
    </w:p>
    <w:p w14:paraId="4E4F8E5F"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Disco 5.-</w:t>
      </w:r>
      <w:r w:rsidRPr="0046696A">
        <w:rPr>
          <w:rFonts w:ascii="Palatino Linotype" w:eastAsia="MS Mincho" w:hAnsi="Palatino Linotype" w:cstheme="minorBidi"/>
          <w:i/>
          <w:lang w:val="es-ES_tradnl"/>
        </w:rPr>
        <w:t xml:space="preserve"> Imágenes Digitalizadas.</w:t>
      </w:r>
    </w:p>
    <w:p w14:paraId="5D15C3E1"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Disco 6.-</w:t>
      </w:r>
      <w:r w:rsidRPr="0046696A">
        <w:rPr>
          <w:rFonts w:ascii="Palatino Linotype" w:eastAsia="MS Mincho" w:hAnsi="Palatino Linotype" w:cstheme="minorBidi"/>
          <w:i/>
          <w:lang w:val="es-ES_tradnl"/>
        </w:rPr>
        <w:t xml:space="preserve"> Información de evaluación Programática (archivo de texto plano  TXT y PDF)*</w:t>
      </w:r>
    </w:p>
    <w:p w14:paraId="270878C3"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p>
    <w:p w14:paraId="0B0DAB82" w14:textId="77777777" w:rsidR="00301624" w:rsidRPr="0046696A" w:rsidRDefault="00301624" w:rsidP="00301624">
      <w:pPr>
        <w:tabs>
          <w:tab w:val="left" w:pos="426"/>
        </w:tabs>
        <w:spacing w:line="276" w:lineRule="auto"/>
        <w:ind w:left="567" w:right="567"/>
        <w:contextualSpacing/>
        <w:jc w:val="both"/>
        <w:rPr>
          <w:rFonts w:ascii="Palatino Linotype" w:eastAsia="MS Mincho" w:hAnsi="Palatino Linotype" w:cstheme="minorBidi"/>
          <w:i/>
          <w:lang w:val="es-ES_tradnl"/>
        </w:rPr>
      </w:pPr>
      <w:r w:rsidRPr="0046696A">
        <w:rPr>
          <w:rFonts w:ascii="Palatino Linotype" w:eastAsia="MS Mincho" w:hAnsi="Palatino Linotype" w:cstheme="minorBidi"/>
          <w:b/>
          <w:i/>
          <w:lang w:val="es-ES_tradnl"/>
        </w:rPr>
        <w:t>*Nota 1:</w:t>
      </w:r>
      <w:r w:rsidRPr="0046696A">
        <w:rPr>
          <w:rFonts w:ascii="Palatino Linotype" w:eastAsia="MS Mincho" w:hAnsi="Palatino Linotype" w:cstheme="minorBidi"/>
          <w:i/>
          <w:lang w:val="es-ES_tradnl"/>
        </w:rPr>
        <w:t xml:space="preserve"> En la periodicidad que corresponda de acuerdo a los requerimientos establecidos en el apartado del Disco 6.</w:t>
      </w:r>
    </w:p>
    <w:p w14:paraId="26794576"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56A924B" w14:textId="77777777" w:rsidR="00301624" w:rsidRPr="0046696A" w:rsidRDefault="00301624" w:rsidP="00E62DBE">
      <w:pPr>
        <w:numPr>
          <w:ilvl w:val="0"/>
          <w:numId w:val="8"/>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6696A">
        <w:rPr>
          <w:rFonts w:ascii="Palatino Linotype" w:hAnsi="Palatino Linotype" w:cs="Arial"/>
        </w:rPr>
        <w:t xml:space="preserve">De lo anterior, se advierte que el análisis que nos ocupa estudiar es específicamente lo relativo al </w:t>
      </w:r>
      <w:r w:rsidRPr="0046696A">
        <w:rPr>
          <w:rFonts w:ascii="Palatino Linotype" w:hAnsi="Palatino Linotype" w:cs="Arial"/>
          <w:bCs/>
          <w:i/>
        </w:rPr>
        <w:t>Disco 4.- Información de Nómina</w:t>
      </w:r>
      <w:r w:rsidRPr="0046696A">
        <w:rPr>
          <w:rFonts w:ascii="Palatino Linotype" w:hAnsi="Palatino Linotype" w:cs="Arial"/>
        </w:rPr>
        <w:t>, cuya matriz de clasificación</w:t>
      </w:r>
      <w:r w:rsidRPr="0046696A">
        <w:rPr>
          <w:rFonts w:ascii="Palatino Linotype" w:hAnsi="Palatino Linotype" w:cs="Arial"/>
          <w:vertAlign w:val="superscript"/>
        </w:rPr>
        <w:footnoteReference w:id="7"/>
      </w:r>
      <w:r w:rsidRPr="0046696A">
        <w:rPr>
          <w:rFonts w:ascii="Palatino Linotype" w:hAnsi="Palatino Linotype" w:cs="Arial"/>
        </w:rPr>
        <w:t xml:space="preserve"> describe cómo debe llevarse a cabo la integración y presentación de la información de la misma:</w:t>
      </w:r>
    </w:p>
    <w:p w14:paraId="347AF33B"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BD1E9CF" w14:textId="77777777" w:rsidR="00301624" w:rsidRPr="0046696A" w:rsidRDefault="00301624" w:rsidP="00301624">
      <w:pPr>
        <w:tabs>
          <w:tab w:val="left" w:pos="426"/>
        </w:tabs>
        <w:spacing w:before="240" w:after="240" w:line="360" w:lineRule="auto"/>
        <w:ind w:right="51"/>
        <w:contextualSpacing/>
        <w:jc w:val="center"/>
        <w:rPr>
          <w:rFonts w:ascii="Palatino Linotype" w:eastAsiaTheme="minorEastAsia" w:hAnsi="Palatino Linotype" w:cstheme="minorBidi"/>
          <w:color w:val="000000" w:themeColor="text1"/>
          <w:lang w:val="es-ES_tradnl"/>
        </w:rPr>
      </w:pPr>
      <w:r w:rsidRPr="0046696A">
        <w:rPr>
          <w:rFonts w:ascii="Palatino Linotype" w:hAnsi="Palatino Linotype" w:cs="Arial"/>
          <w:noProof/>
          <w:lang w:val="es-MX" w:eastAsia="es-MX"/>
        </w:rPr>
        <w:lastRenderedPageBreak/>
        <w:drawing>
          <wp:inline distT="0" distB="0" distL="0" distR="0" wp14:anchorId="12493178" wp14:editId="1CFB93E6">
            <wp:extent cx="4993257" cy="4381500"/>
            <wp:effectExtent l="57150" t="57150" r="93345" b="9525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587" cy="43888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03A00F" w14:textId="77777777" w:rsidR="00301624" w:rsidRPr="0046696A" w:rsidRDefault="00301624" w:rsidP="0030162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1926F89" w14:textId="5DC47AFE" w:rsidR="00195520" w:rsidRPr="0001145F" w:rsidRDefault="00301624" w:rsidP="00E62DBE">
      <w:pPr>
        <w:numPr>
          <w:ilvl w:val="0"/>
          <w:numId w:val="8"/>
        </w:numPr>
        <w:tabs>
          <w:tab w:val="left" w:pos="426"/>
        </w:tabs>
        <w:spacing w:before="240" w:after="240" w:line="360" w:lineRule="auto"/>
        <w:ind w:left="0" w:right="51" w:firstLine="0"/>
        <w:contextualSpacing/>
        <w:jc w:val="both"/>
        <w:rPr>
          <w:rFonts w:ascii="Palatino Linotype" w:hAnsi="Palatino Linotype" w:cs="Arial"/>
          <w:lang w:val="es-ES_tradnl"/>
        </w:rPr>
      </w:pPr>
      <w:r w:rsidRPr="0046696A">
        <w:rPr>
          <w:rFonts w:ascii="Palatino Linotype" w:hAnsi="Palatino Linotype" w:cs="Arial"/>
          <w:lang w:val="es-ES_tradnl"/>
        </w:rPr>
        <w:t xml:space="preserve">Como puede observarse, la matriz considera toda la información y documentos relativos a las remuneraciones, mismos que </w:t>
      </w:r>
      <w:r w:rsidRPr="0046696A">
        <w:rPr>
          <w:rFonts w:ascii="Palatino Linotype" w:hAnsi="Palatino Linotype" w:cs="Arial"/>
          <w:i/>
          <w:lang w:val="es-ES_tradnl"/>
        </w:rPr>
        <w:t>a fortiori</w:t>
      </w:r>
      <w:r w:rsidRPr="0046696A">
        <w:rPr>
          <w:rFonts w:ascii="Palatino Linotype" w:hAnsi="Palatino Linotype" w:cs="Arial"/>
          <w:lang w:val="es-ES_tradnl"/>
        </w:rPr>
        <w:t xml:space="preserve"> deben obrar en los archivos del </w:t>
      </w:r>
      <w:r w:rsidRPr="0046696A">
        <w:rPr>
          <w:rFonts w:ascii="Palatino Linotype" w:hAnsi="Palatino Linotype" w:cs="Arial"/>
          <w:b/>
          <w:bCs/>
          <w:lang w:val="es-ES_tradnl"/>
        </w:rPr>
        <w:t>SUJETO OBLIGADO</w:t>
      </w:r>
      <w:r w:rsidRPr="0046696A">
        <w:rPr>
          <w:rFonts w:ascii="Palatino Linotype" w:hAnsi="Palatino Linotype" w:cs="Arial"/>
          <w:lang w:val="es-ES_tradnl"/>
        </w:rPr>
        <w:t>, pues éstos deben generarse quincenalmente y remitirse mensualmente al Órgano Superior de Fiscalización del Estado de México.</w:t>
      </w:r>
      <w:r w:rsidRPr="0046696A">
        <w:rPr>
          <w:rFonts w:ascii="Palatino Linotype" w:eastAsiaTheme="minorEastAsia" w:hAnsi="Palatino Linotype" w:cstheme="minorBidi"/>
          <w:color w:val="000000" w:themeColor="text1"/>
          <w:lang w:val="es-ES_tradnl"/>
        </w:rPr>
        <w:t xml:space="preserve"> </w:t>
      </w:r>
      <w:r w:rsidR="001A6349" w:rsidRPr="0046696A">
        <w:rPr>
          <w:rFonts w:ascii="Palatino Linotype" w:hAnsi="Palatino Linotype" w:cs="Arial"/>
        </w:rPr>
        <w:t xml:space="preserve">Por lo que invariablemente el sujeto </w:t>
      </w:r>
      <w:r w:rsidR="00546FA0" w:rsidRPr="0046696A">
        <w:rPr>
          <w:rFonts w:ascii="Palatino Linotype" w:hAnsi="Palatino Linotype" w:cs="Arial"/>
        </w:rPr>
        <w:t xml:space="preserve">obligado </w:t>
      </w:r>
      <w:r w:rsidR="001A6349" w:rsidRPr="0046696A">
        <w:rPr>
          <w:rFonts w:ascii="Palatino Linotype" w:hAnsi="Palatino Linotype" w:cs="Arial"/>
        </w:rPr>
        <w:t xml:space="preserve">cuenta con la información </w:t>
      </w:r>
      <w:r w:rsidR="00546FA0" w:rsidRPr="0046696A">
        <w:rPr>
          <w:rFonts w:ascii="Palatino Linotype" w:hAnsi="Palatino Linotype" w:cs="Arial"/>
        </w:rPr>
        <w:t>solicitada</w:t>
      </w:r>
      <w:r w:rsidR="001A6349" w:rsidRPr="0046696A">
        <w:rPr>
          <w:rFonts w:ascii="Palatino Linotype" w:hAnsi="Palatino Linotype" w:cs="Arial"/>
        </w:rPr>
        <w:t xml:space="preserve">. </w:t>
      </w:r>
    </w:p>
    <w:p w14:paraId="602DFDBB" w14:textId="77777777" w:rsidR="0001145F" w:rsidRDefault="0001145F" w:rsidP="0001145F">
      <w:pPr>
        <w:tabs>
          <w:tab w:val="left" w:pos="426"/>
        </w:tabs>
        <w:spacing w:before="240" w:after="240" w:line="360" w:lineRule="auto"/>
        <w:ind w:right="51"/>
        <w:contextualSpacing/>
        <w:jc w:val="both"/>
        <w:rPr>
          <w:rFonts w:ascii="Palatino Linotype" w:hAnsi="Palatino Linotype" w:cs="Arial"/>
        </w:rPr>
      </w:pPr>
    </w:p>
    <w:p w14:paraId="5F6BCBF5" w14:textId="77777777" w:rsidR="0001145F" w:rsidRDefault="0001145F" w:rsidP="0001145F">
      <w:pPr>
        <w:tabs>
          <w:tab w:val="left" w:pos="426"/>
        </w:tabs>
        <w:spacing w:before="240" w:after="240" w:line="360" w:lineRule="auto"/>
        <w:ind w:right="51"/>
        <w:contextualSpacing/>
        <w:jc w:val="both"/>
        <w:rPr>
          <w:rFonts w:ascii="Palatino Linotype" w:hAnsi="Palatino Linotype" w:cs="Arial"/>
        </w:rPr>
      </w:pPr>
    </w:p>
    <w:p w14:paraId="457C5011" w14:textId="77777777" w:rsidR="0001145F" w:rsidRDefault="0001145F" w:rsidP="0001145F">
      <w:pPr>
        <w:tabs>
          <w:tab w:val="left" w:pos="426"/>
        </w:tabs>
        <w:spacing w:before="240" w:after="240" w:line="360" w:lineRule="auto"/>
        <w:ind w:right="51"/>
        <w:contextualSpacing/>
        <w:jc w:val="both"/>
        <w:rPr>
          <w:rFonts w:ascii="Palatino Linotype" w:hAnsi="Palatino Linotype" w:cs="Arial"/>
        </w:rPr>
      </w:pPr>
    </w:p>
    <w:p w14:paraId="5E105792" w14:textId="7FB4EED3" w:rsidR="00195520" w:rsidRPr="003E65E9" w:rsidRDefault="003E65E9" w:rsidP="003E65E9">
      <w:pPr>
        <w:pStyle w:val="Ttulo1"/>
        <w:rPr>
          <w:rFonts w:ascii="Palatino Linotype" w:hAnsi="Palatino Linotype"/>
          <w:b/>
          <w:color w:val="000000" w:themeColor="text1"/>
          <w:sz w:val="24"/>
          <w:szCs w:val="24"/>
        </w:rPr>
      </w:pPr>
      <w:bookmarkStart w:id="56" w:name="_Toc85717359"/>
      <w:r w:rsidRPr="003E65E9">
        <w:rPr>
          <w:rFonts w:ascii="Palatino Linotype" w:hAnsi="Palatino Linotype"/>
          <w:b/>
          <w:color w:val="000000" w:themeColor="text1"/>
          <w:sz w:val="24"/>
          <w:szCs w:val="24"/>
        </w:rPr>
        <w:lastRenderedPageBreak/>
        <w:t xml:space="preserve">IV. </w:t>
      </w:r>
      <w:r w:rsidR="0001145F" w:rsidRPr="003E65E9">
        <w:rPr>
          <w:rFonts w:ascii="Palatino Linotype" w:hAnsi="Palatino Linotype"/>
          <w:b/>
          <w:color w:val="000000" w:themeColor="text1"/>
          <w:sz w:val="24"/>
          <w:szCs w:val="24"/>
        </w:rPr>
        <w:t>Del cobro de la información</w:t>
      </w:r>
      <w:r>
        <w:rPr>
          <w:rFonts w:ascii="Palatino Linotype" w:hAnsi="Palatino Linotype"/>
          <w:b/>
          <w:color w:val="000000" w:themeColor="text1"/>
          <w:sz w:val="24"/>
          <w:szCs w:val="24"/>
        </w:rPr>
        <w:t>.</w:t>
      </w:r>
      <w:bookmarkEnd w:id="56"/>
    </w:p>
    <w:p w14:paraId="415F8388" w14:textId="77777777" w:rsidR="002502B2" w:rsidRPr="002502B2" w:rsidRDefault="002502B2" w:rsidP="002502B2">
      <w:pPr>
        <w:rPr>
          <w:rFonts w:eastAsiaTheme="minorEastAsia"/>
          <w:lang w:val="es-ES_tradnl"/>
        </w:rPr>
      </w:pPr>
    </w:p>
    <w:p w14:paraId="1126EA7E" w14:textId="27B8C823" w:rsidR="002502B2" w:rsidRPr="002502B2" w:rsidRDefault="002502B2" w:rsidP="002502B2">
      <w:pPr>
        <w:pStyle w:val="Prrafodelista"/>
        <w:numPr>
          <w:ilvl w:val="0"/>
          <w:numId w:val="8"/>
        </w:numPr>
        <w:spacing w:before="240" w:after="240" w:line="360" w:lineRule="auto"/>
        <w:ind w:left="0" w:right="49" w:firstLine="0"/>
        <w:jc w:val="both"/>
        <w:rPr>
          <w:rFonts w:ascii="Palatino Linotype" w:eastAsiaTheme="minorEastAsia" w:hAnsi="Palatino Linotype" w:cs="Arial"/>
        </w:rPr>
      </w:pPr>
      <w:r>
        <w:rPr>
          <w:rFonts w:ascii="Palatino Linotype" w:eastAsiaTheme="minorEastAsia" w:hAnsi="Palatino Linotype" w:cs="Arial"/>
        </w:rPr>
        <w:t xml:space="preserve">No pasa desapercibido para este Órgano Garante que el </w:t>
      </w:r>
      <w:r>
        <w:rPr>
          <w:rFonts w:ascii="Palatino Linotype" w:eastAsiaTheme="minorEastAsia" w:hAnsi="Palatino Linotype" w:cs="Arial"/>
          <w:b/>
        </w:rPr>
        <w:t xml:space="preserve">Ayuntamiento de Nicolás Romero </w:t>
      </w:r>
      <w:r>
        <w:rPr>
          <w:rFonts w:ascii="Palatino Linotype" w:eastAsiaTheme="minorEastAsia" w:hAnsi="Palatino Linotype" w:cs="Arial"/>
        </w:rPr>
        <w:t>pretende el cobro de la información solicitada</w:t>
      </w:r>
      <w:r w:rsidRPr="002502B2">
        <w:rPr>
          <w:rFonts w:ascii="Palatino Linotype" w:eastAsiaTheme="minorEastAsia" w:hAnsi="Palatino Linotype" w:cs="Arial"/>
        </w:rPr>
        <w:t xml:space="preserve">, por lo que es necesario traer a colación </w:t>
      </w:r>
      <w:r w:rsidRPr="002502B2">
        <w:rPr>
          <w:rFonts w:ascii="Palatino Linotype" w:eastAsiaTheme="minorEastAsia" w:hAnsi="Palatino Linotype" w:cs="Arial"/>
          <w:lang w:val="es-ES_tradnl"/>
        </w:rPr>
        <w:t xml:space="preserve">la fracción II del artículo 2 de la Ley de Transparencia y Acceso a la Información Pública del Estado de México y Municipios, la cual menciona que son objetivos de la misma, proveer lo necesario para garantizar a toda persona el derecho de acceso a la información pública, a través de procedimientos sencillos, expeditos, oportunos y </w:t>
      </w:r>
      <w:r w:rsidRPr="002502B2">
        <w:rPr>
          <w:rFonts w:ascii="Palatino Linotype" w:eastAsiaTheme="minorEastAsia" w:hAnsi="Palatino Linotype" w:cs="Arial"/>
          <w:b/>
          <w:lang w:val="es-ES_tradnl"/>
        </w:rPr>
        <w:t>gratuitos</w:t>
      </w:r>
      <w:r>
        <w:rPr>
          <w:rFonts w:ascii="Palatino Linotype" w:eastAsiaTheme="minorEastAsia" w:hAnsi="Palatino Linotype" w:cs="Arial"/>
          <w:lang w:val="es-ES_tradnl"/>
        </w:rPr>
        <w:t xml:space="preserve">, como a continuación ser observa: </w:t>
      </w:r>
    </w:p>
    <w:p w14:paraId="76E2A92C" w14:textId="77777777" w:rsidR="002502B2" w:rsidRPr="002502B2" w:rsidRDefault="002502B2" w:rsidP="002502B2">
      <w:pPr>
        <w:pStyle w:val="Prrafodelista"/>
        <w:spacing w:before="240" w:after="240" w:line="360" w:lineRule="auto"/>
        <w:ind w:left="0" w:right="49"/>
        <w:jc w:val="both"/>
        <w:rPr>
          <w:rFonts w:ascii="Palatino Linotype" w:eastAsiaTheme="minorEastAsia" w:hAnsi="Palatino Linotype" w:cs="Arial"/>
          <w:b/>
          <w:lang w:val="es-ES_tradnl"/>
        </w:rPr>
      </w:pPr>
    </w:p>
    <w:p w14:paraId="25B90B2F" w14:textId="5CD2ED08" w:rsidR="002502B2" w:rsidRPr="002502B2" w:rsidRDefault="002502B2" w:rsidP="002502B2">
      <w:pPr>
        <w:pStyle w:val="Prrafodelista"/>
        <w:spacing w:before="240" w:after="240" w:line="360" w:lineRule="auto"/>
        <w:ind w:left="567" w:right="616"/>
        <w:jc w:val="both"/>
        <w:rPr>
          <w:rFonts w:ascii="Palatino Linotype" w:hAnsi="Palatino Linotype"/>
          <w:b/>
          <w:i/>
        </w:rPr>
      </w:pPr>
      <w:r>
        <w:rPr>
          <w:rFonts w:ascii="Palatino Linotype" w:hAnsi="Palatino Linotype"/>
          <w:b/>
          <w:i/>
        </w:rPr>
        <w:t>“</w:t>
      </w:r>
      <w:r w:rsidRPr="002502B2">
        <w:rPr>
          <w:rFonts w:ascii="Palatino Linotype" w:hAnsi="Palatino Linotype"/>
          <w:b/>
          <w:i/>
        </w:rPr>
        <w:t>Artículo 2. Son objetivos de esta Ley:</w:t>
      </w:r>
    </w:p>
    <w:p w14:paraId="511E2E0E" w14:textId="77777777" w:rsidR="002502B2" w:rsidRPr="002502B2" w:rsidRDefault="002502B2" w:rsidP="002502B2">
      <w:pPr>
        <w:pStyle w:val="Prrafodelista"/>
        <w:spacing w:before="240" w:after="240" w:line="360" w:lineRule="auto"/>
        <w:ind w:left="567" w:right="616"/>
        <w:jc w:val="both"/>
        <w:rPr>
          <w:rFonts w:ascii="Palatino Linotype" w:hAnsi="Palatino Linotype"/>
          <w:i/>
        </w:rPr>
      </w:pPr>
      <w:r w:rsidRPr="002502B2">
        <w:rPr>
          <w:rFonts w:ascii="Palatino Linotype" w:hAnsi="Palatino Linotype"/>
          <w:i/>
        </w:rPr>
        <w:t xml:space="preserve"> I. Establecer la competencia, operación y funcionamiento del Instituto, en materia de transparencia y acceso a la información; </w:t>
      </w:r>
    </w:p>
    <w:p w14:paraId="7081019B" w14:textId="0DD9BBE3" w:rsidR="002502B2" w:rsidRDefault="002502B2" w:rsidP="002502B2">
      <w:pPr>
        <w:pStyle w:val="Prrafodelista"/>
        <w:spacing w:before="240" w:after="240" w:line="360" w:lineRule="auto"/>
        <w:ind w:left="567" w:right="616"/>
        <w:jc w:val="both"/>
        <w:rPr>
          <w:rFonts w:ascii="Palatino Linotype" w:hAnsi="Palatino Linotype"/>
          <w:i/>
        </w:rPr>
      </w:pPr>
      <w:r w:rsidRPr="002502B2">
        <w:rPr>
          <w:rFonts w:ascii="Palatino Linotype" w:hAnsi="Palatino Linotype"/>
          <w:i/>
        </w:rPr>
        <w:t>II. Proveer lo necesario para garantizar a toda persona el derecho de acceso a la información pública, a través de procedimientos sencillos, expeditos, oportunos y gratuitos, determinando las bases mínimas sobre las cuales se regirán los mismos;</w:t>
      </w:r>
    </w:p>
    <w:p w14:paraId="22DC3EA0" w14:textId="3E1CEF1F" w:rsidR="002502B2" w:rsidRPr="002502B2" w:rsidRDefault="002502B2" w:rsidP="002502B2">
      <w:pPr>
        <w:pStyle w:val="Prrafodelista"/>
        <w:spacing w:before="240" w:after="240" w:line="360" w:lineRule="auto"/>
        <w:ind w:left="567" w:right="616"/>
        <w:jc w:val="both"/>
        <w:rPr>
          <w:rFonts w:ascii="Palatino Linotype" w:eastAsiaTheme="minorEastAsia" w:hAnsi="Palatino Linotype" w:cs="Arial"/>
          <w:i/>
        </w:rPr>
      </w:pPr>
      <w:r>
        <w:rPr>
          <w:rFonts w:ascii="Palatino Linotype" w:hAnsi="Palatino Linotype"/>
          <w:i/>
        </w:rPr>
        <w:t>(…)” (Sic)</w:t>
      </w:r>
    </w:p>
    <w:p w14:paraId="19937815" w14:textId="77777777" w:rsidR="002502B2" w:rsidRPr="002502B2" w:rsidRDefault="002502B2" w:rsidP="002502B2">
      <w:pPr>
        <w:pStyle w:val="Prrafodelista"/>
        <w:spacing w:before="240" w:after="240" w:line="360" w:lineRule="auto"/>
        <w:ind w:left="0" w:right="49"/>
        <w:jc w:val="both"/>
        <w:rPr>
          <w:rFonts w:ascii="Palatino Linotype" w:eastAsiaTheme="minorEastAsia" w:hAnsi="Palatino Linotype" w:cs="Arial"/>
        </w:rPr>
      </w:pPr>
    </w:p>
    <w:p w14:paraId="7110E07C" w14:textId="77777777" w:rsidR="002502B2" w:rsidRPr="002502B2" w:rsidRDefault="002502B2" w:rsidP="002502B2">
      <w:pPr>
        <w:pStyle w:val="Prrafodelista"/>
        <w:spacing w:before="240" w:after="240" w:line="360" w:lineRule="auto"/>
        <w:ind w:left="0" w:right="49"/>
        <w:jc w:val="both"/>
        <w:rPr>
          <w:rFonts w:ascii="Palatino Linotype" w:eastAsiaTheme="minorEastAsia" w:hAnsi="Palatino Linotype" w:cs="Arial"/>
        </w:rPr>
      </w:pPr>
    </w:p>
    <w:p w14:paraId="7A016122" w14:textId="494414C6" w:rsidR="002502B2" w:rsidRPr="002502B2" w:rsidRDefault="002502B2" w:rsidP="002502B2">
      <w:pPr>
        <w:pStyle w:val="Prrafodelista"/>
        <w:numPr>
          <w:ilvl w:val="0"/>
          <w:numId w:val="8"/>
        </w:numPr>
        <w:spacing w:before="240" w:after="240" w:line="360" w:lineRule="auto"/>
        <w:ind w:left="0" w:right="49" w:firstLine="0"/>
        <w:jc w:val="both"/>
        <w:rPr>
          <w:rFonts w:ascii="Palatino Linotype" w:eastAsiaTheme="minorEastAsia" w:hAnsi="Palatino Linotype" w:cs="Arial"/>
        </w:rPr>
      </w:pPr>
      <w:r>
        <w:rPr>
          <w:rFonts w:ascii="Palatino Linotype" w:eastAsiaTheme="minorEastAsia" w:hAnsi="Palatino Linotype" w:cs="Arial"/>
          <w:lang w:val="es-ES_tradnl"/>
        </w:rPr>
        <w:lastRenderedPageBreak/>
        <w:t xml:space="preserve">Por otro lado, </w:t>
      </w:r>
      <w:r w:rsidRPr="002502B2">
        <w:rPr>
          <w:rFonts w:ascii="Palatino Linotype" w:eastAsiaTheme="minorEastAsia" w:hAnsi="Palatino Linotype" w:cs="Arial"/>
          <w:lang w:val="es-ES_tradnl"/>
        </w:rPr>
        <w:t xml:space="preserve">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se rige por los principios de simplicidad, rapidez, </w:t>
      </w:r>
      <w:r w:rsidRPr="002502B2">
        <w:rPr>
          <w:rFonts w:ascii="Palatino Linotype" w:eastAsiaTheme="minorEastAsia" w:hAnsi="Palatino Linotype" w:cs="Arial"/>
          <w:b/>
          <w:lang w:val="es-ES_tradnl"/>
        </w:rPr>
        <w:t>gratuidad</w:t>
      </w:r>
      <w:r w:rsidRPr="002502B2">
        <w:rPr>
          <w:rFonts w:ascii="Palatino Linotype" w:eastAsiaTheme="minorEastAsia" w:hAnsi="Palatino Linotype" w:cs="Arial"/>
          <w:lang w:val="es-ES_tradnl"/>
        </w:rPr>
        <w:t>, auxilio y orientación a los particulares, en virtud de que constituye el primer paso para integrar activamente a la ciudada</w:t>
      </w:r>
      <w:r>
        <w:rPr>
          <w:rFonts w:ascii="Palatino Linotype" w:eastAsiaTheme="minorEastAsia" w:hAnsi="Palatino Linotype" w:cs="Arial"/>
          <w:lang w:val="es-ES_tradnl"/>
        </w:rPr>
        <w:t xml:space="preserve">nía en la acción gubernamental: </w:t>
      </w:r>
    </w:p>
    <w:p w14:paraId="5A780426" w14:textId="3C9725AC" w:rsidR="002502B2" w:rsidRPr="002502B2" w:rsidRDefault="002502B2" w:rsidP="002502B2">
      <w:pPr>
        <w:pStyle w:val="Prrafodelista"/>
        <w:spacing w:before="240" w:after="240" w:line="360" w:lineRule="auto"/>
        <w:ind w:left="567" w:right="616"/>
        <w:jc w:val="both"/>
        <w:rPr>
          <w:rFonts w:ascii="Palatino Linotype" w:eastAsiaTheme="minorEastAsia" w:hAnsi="Palatino Linotype" w:cs="Arial"/>
          <w:i/>
        </w:rPr>
      </w:pPr>
      <w:r>
        <w:rPr>
          <w:rFonts w:ascii="Palatino Linotype" w:eastAsiaTheme="minorEastAsia" w:hAnsi="Palatino Linotype" w:cs="Arial"/>
          <w:i/>
        </w:rPr>
        <w:t>“</w:t>
      </w:r>
      <w:r w:rsidRPr="002502B2">
        <w:rPr>
          <w:rFonts w:ascii="Palatino Linotype" w:eastAsiaTheme="minorEastAsia" w:hAnsi="Palatino Linotype" w:cs="Arial"/>
          <w:b/>
          <w:i/>
        </w:rPr>
        <w:t>Artículo 17.</w:t>
      </w:r>
      <w:r w:rsidRPr="002502B2">
        <w:rPr>
          <w:rFonts w:ascii="Palatino Linotype" w:eastAsiaTheme="minorEastAsia" w:hAnsi="Palatino Linotype" w:cs="Arial"/>
          <w:i/>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562629B5" w14:textId="77777777" w:rsidR="002502B2" w:rsidRPr="002502B2" w:rsidRDefault="002502B2" w:rsidP="002502B2">
      <w:pPr>
        <w:pStyle w:val="Prrafodelista"/>
        <w:spacing w:before="240" w:after="240" w:line="360" w:lineRule="auto"/>
        <w:ind w:left="567" w:right="616"/>
        <w:jc w:val="both"/>
        <w:rPr>
          <w:rFonts w:ascii="Palatino Linotype" w:eastAsiaTheme="minorEastAsia" w:hAnsi="Palatino Linotype" w:cs="Arial"/>
          <w:b/>
          <w:i/>
        </w:rPr>
      </w:pPr>
    </w:p>
    <w:p w14:paraId="607FBB7D" w14:textId="0196A719" w:rsidR="002502B2" w:rsidRPr="002502B2" w:rsidRDefault="002502B2" w:rsidP="002502B2">
      <w:pPr>
        <w:pStyle w:val="Prrafodelista"/>
        <w:spacing w:before="240" w:after="240" w:line="360" w:lineRule="auto"/>
        <w:ind w:left="567" w:right="616"/>
        <w:jc w:val="both"/>
        <w:rPr>
          <w:rFonts w:ascii="Palatino Linotype" w:eastAsiaTheme="minorEastAsia" w:hAnsi="Palatino Linotype" w:cs="Arial"/>
          <w:i/>
        </w:rPr>
      </w:pPr>
      <w:r w:rsidRPr="002502B2">
        <w:rPr>
          <w:rFonts w:ascii="Palatino Linotype" w:hAnsi="Palatino Linotype"/>
          <w:b/>
          <w:i/>
        </w:rPr>
        <w:t>Artículo 150.</w:t>
      </w:r>
      <w:r w:rsidRPr="002502B2">
        <w:rPr>
          <w:rFonts w:ascii="Palatino Linotype" w:hAnsi="Palatino Linotype"/>
          <w:i/>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i/>
        </w:rPr>
        <w:t>” (Sic)</w:t>
      </w:r>
    </w:p>
    <w:p w14:paraId="4F6CD4F4" w14:textId="1C5DBDEC" w:rsidR="002502B2" w:rsidRPr="002502B2" w:rsidRDefault="00B75951" w:rsidP="00B75951">
      <w:pPr>
        <w:numPr>
          <w:ilvl w:val="0"/>
          <w:numId w:val="8"/>
        </w:numPr>
        <w:spacing w:before="240" w:after="240" w:line="360" w:lineRule="auto"/>
        <w:ind w:left="0" w:right="49" w:firstLine="0"/>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este contexto,</w:t>
      </w:r>
      <w:r w:rsidR="002502B2" w:rsidRPr="002502B2">
        <w:rPr>
          <w:rFonts w:ascii="Palatino Linotype" w:eastAsiaTheme="minorEastAsia" w:hAnsi="Palatino Linotype" w:cs="Arial"/>
          <w:lang w:val="es-ES_tradnl"/>
        </w:rPr>
        <w:t xml:space="preserve">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w:t>
      </w:r>
      <w:r w:rsidR="002502B2" w:rsidRPr="002502B2">
        <w:rPr>
          <w:rFonts w:ascii="Palatino Linotype" w:eastAsiaTheme="minorEastAsia" w:hAnsi="Palatino Linotype" w:cs="Arial"/>
          <w:b/>
          <w:lang w:val="es-ES_tradnl"/>
        </w:rPr>
        <w:t>SUJETO OBLIGADO</w:t>
      </w:r>
      <w:r w:rsidR="002502B2" w:rsidRPr="002502B2">
        <w:rPr>
          <w:rFonts w:ascii="Palatino Linotype" w:eastAsiaTheme="minorEastAsia" w:hAnsi="Palatino Linotype" w:cs="Arial"/>
          <w:lang w:val="es-ES_tradnl"/>
        </w:rPr>
        <w:t xml:space="preserve"> para solicitar un pago para la entrega de la información y que se considera es interpretado en perjuicio del solicitante como se explica enseguida, para lo cual es necesario traer a contexto su texto, en su parte conducente a saber:</w:t>
      </w:r>
    </w:p>
    <w:p w14:paraId="1D3284E3" w14:textId="77777777" w:rsidR="002502B2" w:rsidRPr="002502B2" w:rsidRDefault="002502B2" w:rsidP="002502B2">
      <w:pPr>
        <w:spacing w:before="240" w:after="240" w:line="360" w:lineRule="auto"/>
        <w:ind w:right="425"/>
        <w:jc w:val="both"/>
        <w:rPr>
          <w:rFonts w:ascii="Palatino Linotype" w:eastAsiaTheme="minorEastAsia" w:hAnsi="Palatino Linotype" w:cs="Arial"/>
          <w:lang w:val="es-ES_tradnl"/>
        </w:rPr>
      </w:pPr>
    </w:p>
    <w:p w14:paraId="3620AFB0"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bCs/>
          <w:i/>
          <w:lang w:val="es-ES_tradnl"/>
        </w:rPr>
      </w:pPr>
      <w:r w:rsidRPr="002502B2">
        <w:rPr>
          <w:rFonts w:ascii="Palatino Linotype" w:eastAsiaTheme="minorEastAsia" w:hAnsi="Palatino Linotype" w:cs="Arial"/>
          <w:b/>
          <w:bCs/>
          <w:i/>
          <w:lang w:val="es-ES_tradnl"/>
        </w:rPr>
        <w:t>“Artículo 174. En caso de existir costos para obtener la información</w:t>
      </w:r>
      <w:r w:rsidRPr="002502B2">
        <w:rPr>
          <w:rFonts w:ascii="Palatino Linotype" w:eastAsiaTheme="minorEastAsia" w:hAnsi="Palatino Linotype" w:cs="Arial"/>
          <w:bCs/>
          <w:i/>
          <w:lang w:val="es-ES_tradnl"/>
        </w:rPr>
        <w:t xml:space="preserve"> deberán cubrirse de manera previa a la entrega y </w:t>
      </w:r>
      <w:r w:rsidRPr="002502B2">
        <w:rPr>
          <w:rFonts w:ascii="Palatino Linotype" w:eastAsiaTheme="minorEastAsia" w:hAnsi="Palatino Linotype" w:cs="Arial"/>
          <w:b/>
          <w:bCs/>
          <w:i/>
          <w:lang w:val="es-ES_tradnl"/>
        </w:rPr>
        <w:t>no podrán ser superiores a la suma de</w:t>
      </w:r>
      <w:r w:rsidRPr="002502B2">
        <w:rPr>
          <w:rFonts w:ascii="Palatino Linotype" w:eastAsiaTheme="minorEastAsia" w:hAnsi="Palatino Linotype" w:cs="Arial"/>
          <w:bCs/>
          <w:i/>
          <w:lang w:val="es-ES_tradnl"/>
        </w:rPr>
        <w:t>:</w:t>
      </w:r>
    </w:p>
    <w:p w14:paraId="1F00C7C2"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bCs/>
          <w:i/>
          <w:lang w:val="es-ES_tradnl"/>
        </w:rPr>
      </w:pPr>
      <w:r w:rsidRPr="002502B2">
        <w:rPr>
          <w:rFonts w:ascii="Palatino Linotype" w:eastAsiaTheme="minorEastAsia" w:hAnsi="Palatino Linotype" w:cs="Arial"/>
          <w:b/>
          <w:bCs/>
          <w:i/>
          <w:lang w:val="es-ES_tradnl"/>
        </w:rPr>
        <w:t>I.</w:t>
      </w:r>
      <w:r w:rsidRPr="002502B2">
        <w:rPr>
          <w:rFonts w:ascii="Palatino Linotype" w:eastAsiaTheme="minorEastAsia" w:hAnsi="Palatino Linotype" w:cs="Arial"/>
          <w:bCs/>
          <w:i/>
          <w:lang w:val="es-ES_tradnl"/>
        </w:rPr>
        <w:t xml:space="preserve"> </w:t>
      </w:r>
      <w:r w:rsidRPr="002502B2">
        <w:rPr>
          <w:rFonts w:ascii="Palatino Linotype" w:eastAsiaTheme="minorEastAsia" w:hAnsi="Palatino Linotype" w:cs="Arial"/>
          <w:b/>
          <w:bCs/>
          <w:i/>
          <w:lang w:val="es-ES_tradnl"/>
        </w:rPr>
        <w:t>El costo de los materiales utilizados en la reproducción</w:t>
      </w:r>
      <w:r w:rsidRPr="002502B2">
        <w:rPr>
          <w:rFonts w:ascii="Palatino Linotype" w:eastAsiaTheme="minorEastAsia" w:hAnsi="Palatino Linotype" w:cs="Arial"/>
          <w:bCs/>
          <w:i/>
          <w:lang w:val="es-ES_tradnl"/>
        </w:rPr>
        <w:t xml:space="preserve"> de la información;</w:t>
      </w:r>
    </w:p>
    <w:p w14:paraId="7BFC28A0"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bCs/>
          <w:i/>
          <w:lang w:val="es-ES_tradnl"/>
        </w:rPr>
      </w:pPr>
      <w:r w:rsidRPr="002502B2">
        <w:rPr>
          <w:rFonts w:ascii="Palatino Linotype" w:eastAsiaTheme="minorEastAsia" w:hAnsi="Palatino Linotype" w:cs="Arial"/>
          <w:b/>
          <w:bCs/>
          <w:i/>
          <w:lang w:val="es-ES_tradnl"/>
        </w:rPr>
        <w:t>II.</w:t>
      </w:r>
      <w:r w:rsidRPr="002502B2">
        <w:rPr>
          <w:rFonts w:ascii="Palatino Linotype" w:eastAsiaTheme="minorEastAsia" w:hAnsi="Palatino Linotype" w:cs="Arial"/>
          <w:bCs/>
          <w:i/>
          <w:lang w:val="es-ES_tradnl"/>
        </w:rPr>
        <w:t xml:space="preserve"> </w:t>
      </w:r>
      <w:r w:rsidRPr="002502B2">
        <w:rPr>
          <w:rFonts w:ascii="Palatino Linotype" w:eastAsiaTheme="minorEastAsia" w:hAnsi="Palatino Linotype" w:cs="Arial"/>
          <w:b/>
          <w:bCs/>
          <w:i/>
          <w:lang w:val="es-ES_tradnl"/>
        </w:rPr>
        <w:t>El costo de envío</w:t>
      </w:r>
      <w:r w:rsidRPr="002502B2">
        <w:rPr>
          <w:rFonts w:ascii="Palatino Linotype" w:eastAsiaTheme="minorEastAsia" w:hAnsi="Palatino Linotype" w:cs="Arial"/>
          <w:bCs/>
          <w:i/>
          <w:lang w:val="es-ES_tradnl"/>
        </w:rPr>
        <w:t>, en su caso; y</w:t>
      </w:r>
    </w:p>
    <w:p w14:paraId="13AF8973"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bCs/>
          <w:i/>
          <w:lang w:val="es-ES_tradnl"/>
        </w:rPr>
      </w:pPr>
      <w:r w:rsidRPr="002502B2">
        <w:rPr>
          <w:rFonts w:ascii="Palatino Linotype" w:eastAsiaTheme="minorEastAsia" w:hAnsi="Palatino Linotype" w:cs="Arial"/>
          <w:b/>
          <w:bCs/>
          <w:i/>
          <w:lang w:val="es-ES_tradnl"/>
        </w:rPr>
        <w:t>III.</w:t>
      </w:r>
      <w:r w:rsidRPr="002502B2">
        <w:rPr>
          <w:rFonts w:ascii="Palatino Linotype" w:eastAsiaTheme="minorEastAsia" w:hAnsi="Palatino Linotype" w:cs="Arial"/>
          <w:bCs/>
          <w:i/>
          <w:lang w:val="es-ES_tradnl"/>
        </w:rPr>
        <w:t xml:space="preserve"> </w:t>
      </w:r>
      <w:r w:rsidRPr="002502B2">
        <w:rPr>
          <w:rFonts w:ascii="Palatino Linotype" w:eastAsiaTheme="minorEastAsia" w:hAnsi="Palatino Linotype" w:cs="Arial"/>
          <w:b/>
          <w:bCs/>
          <w:i/>
          <w:lang w:val="es-ES_tradnl"/>
        </w:rPr>
        <w:t>El pago de la certificación de los documentos</w:t>
      </w:r>
      <w:r w:rsidRPr="002502B2">
        <w:rPr>
          <w:rFonts w:ascii="Palatino Linotype" w:eastAsiaTheme="minorEastAsia" w:hAnsi="Palatino Linotype" w:cs="Arial"/>
          <w:bCs/>
          <w:i/>
          <w:lang w:val="es-ES_tradnl"/>
        </w:rPr>
        <w:t>, cuando proceda.</w:t>
      </w:r>
    </w:p>
    <w:p w14:paraId="5038B60D"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lang w:val="es-ES_tradnl"/>
        </w:rPr>
      </w:pPr>
      <w:r w:rsidRPr="002502B2">
        <w:rPr>
          <w:rFonts w:ascii="Palatino Linotype" w:eastAsiaTheme="minorEastAsia" w:hAnsi="Palatino Linotype" w:cs="Arial"/>
          <w:bCs/>
          <w:i/>
          <w:lang w:val="es-ES_tradnl"/>
        </w:rPr>
        <w:t xml:space="preserve">Las cuotas de los derechos aplicables deberán establecerse, en su caso, en el </w:t>
      </w:r>
      <w:r w:rsidRPr="002502B2">
        <w:rPr>
          <w:rFonts w:ascii="Palatino Linotype" w:eastAsiaTheme="minorEastAsia" w:hAnsi="Palatino Linotype" w:cs="Arial"/>
          <w:b/>
          <w:bCs/>
          <w:i/>
          <w:lang w:val="es-ES_tradnl"/>
        </w:rPr>
        <w:t>Código Financiero del Estado de México y Municipios</w:t>
      </w:r>
      <w:r w:rsidRPr="002502B2">
        <w:rPr>
          <w:rFonts w:ascii="Palatino Linotype" w:eastAsiaTheme="minorEastAsia" w:hAnsi="Palatino Linotype" w:cs="Arial"/>
          <w:bCs/>
          <w:i/>
          <w:lang w:val="es-ES_tradnl"/>
        </w:rPr>
        <w:t xml:space="preserve"> y demás </w:t>
      </w:r>
      <w:r w:rsidRPr="002502B2">
        <w:rPr>
          <w:rFonts w:ascii="Palatino Linotype" w:eastAsiaTheme="minorEastAsia" w:hAnsi="Palatino Linotype" w:cs="Arial"/>
          <w:bCs/>
          <w:i/>
          <w:lang w:val="es-ES_tradnl"/>
        </w:rPr>
        <w:lastRenderedPageBreak/>
        <w:t>disposiciones jurídicas aplicables, las cuales se publicarán en los sitios de internet de los sujetos obligados…”</w:t>
      </w:r>
      <w:r w:rsidRPr="002502B2">
        <w:rPr>
          <w:rFonts w:ascii="Palatino Linotype" w:eastAsiaTheme="minorEastAsia" w:hAnsi="Palatino Linotype" w:cs="Arial"/>
          <w:lang w:val="es-ES_tradnl"/>
        </w:rPr>
        <w:t xml:space="preserve"> </w:t>
      </w:r>
    </w:p>
    <w:p w14:paraId="2AACF02F"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i/>
          <w:lang w:val="es-ES_tradnl"/>
        </w:rPr>
      </w:pPr>
      <w:r w:rsidRPr="002502B2">
        <w:rPr>
          <w:rFonts w:ascii="Palatino Linotype" w:eastAsiaTheme="minorEastAsia" w:hAnsi="Palatino Linotype" w:cs="Arial"/>
          <w:i/>
          <w:lang w:val="es-ES_tradnl"/>
        </w:rPr>
        <w:t>(Énfasis añadido)</w:t>
      </w:r>
    </w:p>
    <w:p w14:paraId="4786FE49" w14:textId="77777777" w:rsidR="002502B2" w:rsidRPr="002502B2" w:rsidRDefault="002502B2" w:rsidP="002502B2">
      <w:pPr>
        <w:spacing w:before="240" w:after="240" w:line="360" w:lineRule="auto"/>
        <w:ind w:left="709" w:right="425"/>
        <w:jc w:val="both"/>
        <w:rPr>
          <w:rFonts w:ascii="Palatino Linotype" w:eastAsiaTheme="minorEastAsia" w:hAnsi="Palatino Linotype" w:cs="Arial"/>
          <w:i/>
          <w:lang w:val="es-ES_tradnl"/>
        </w:rPr>
      </w:pPr>
    </w:p>
    <w:p w14:paraId="0FFC64FE" w14:textId="799C85C1" w:rsidR="00B75951" w:rsidRDefault="002502B2" w:rsidP="002502B2">
      <w:pPr>
        <w:numPr>
          <w:ilvl w:val="0"/>
          <w:numId w:val="8"/>
        </w:numPr>
        <w:spacing w:before="240" w:after="240" w:line="360" w:lineRule="auto"/>
        <w:ind w:left="0" w:right="49" w:firstLine="0"/>
        <w:jc w:val="both"/>
        <w:rPr>
          <w:rFonts w:ascii="Palatino Linotype" w:eastAsiaTheme="minorEastAsia" w:hAnsi="Palatino Linotype" w:cs="Arial"/>
          <w:lang w:val="es-ES_tradnl"/>
        </w:rPr>
      </w:pPr>
      <w:r w:rsidRPr="002502B2">
        <w:rPr>
          <w:rFonts w:ascii="Palatino Linotype" w:eastAsiaTheme="minorEastAsia" w:hAnsi="Palatino Linotype" w:cs="Arial"/>
          <w:lang w:val="es-ES_tradnl"/>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w:t>
      </w:r>
      <w:r w:rsidR="00B75951">
        <w:rPr>
          <w:rFonts w:ascii="Palatino Linotype" w:eastAsiaTheme="minorEastAsia" w:hAnsi="Palatino Linotype" w:cs="Arial"/>
          <w:lang w:val="es-ES_tradnl"/>
        </w:rPr>
        <w:t xml:space="preserve">sin embargo, </w:t>
      </w:r>
      <w:r w:rsidRPr="002502B2">
        <w:rPr>
          <w:rFonts w:ascii="Palatino Linotype" w:eastAsiaTheme="minorEastAsia" w:hAnsi="Palatino Linotype" w:cs="Arial"/>
          <w:lang w:val="es-ES_tradnl"/>
        </w:rPr>
        <w:t>en el caso particular que se comenta no se estima que se actualice ningu</w:t>
      </w:r>
      <w:r w:rsidR="00B75951">
        <w:rPr>
          <w:rFonts w:ascii="Palatino Linotype" w:eastAsiaTheme="minorEastAsia" w:hAnsi="Palatino Linotype" w:cs="Arial"/>
          <w:lang w:val="es-ES_tradnl"/>
        </w:rPr>
        <w:t xml:space="preserve">no de esos supuestos. </w:t>
      </w:r>
    </w:p>
    <w:p w14:paraId="3B78FC6A" w14:textId="75B0AEC8" w:rsidR="00B75951" w:rsidRPr="00B75951" w:rsidRDefault="00B75951" w:rsidP="00B75951">
      <w:pPr>
        <w:numPr>
          <w:ilvl w:val="0"/>
          <w:numId w:val="8"/>
        </w:numPr>
        <w:spacing w:before="240" w:after="240" w:line="360" w:lineRule="auto"/>
        <w:ind w:left="0" w:right="49" w:firstLine="0"/>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Además, el artículo 175 de la Ley de Transparencia y Acceso a la Información Pública del Estado de México y Municipios señala que la información que en términos de Ley deba ser generada de manera electrónica por los Sujetos Obligados podrá tener ningún costo, como a continuación se observa: </w:t>
      </w:r>
    </w:p>
    <w:p w14:paraId="1D7ED4CD" w14:textId="580C78AE" w:rsidR="00B75951" w:rsidRDefault="00B75951" w:rsidP="00B75951">
      <w:pPr>
        <w:spacing w:before="240" w:after="240" w:line="360" w:lineRule="auto"/>
        <w:ind w:left="567" w:right="616"/>
        <w:jc w:val="both"/>
        <w:rPr>
          <w:rFonts w:ascii="Palatino Linotype" w:eastAsiaTheme="minorEastAsia" w:hAnsi="Palatino Linotype" w:cs="Arial"/>
          <w:i/>
        </w:rPr>
      </w:pPr>
      <w:r>
        <w:rPr>
          <w:rFonts w:ascii="Palatino Linotype" w:eastAsiaTheme="minorEastAsia" w:hAnsi="Palatino Linotype" w:cs="Arial"/>
          <w:i/>
        </w:rPr>
        <w:t>“</w:t>
      </w:r>
      <w:r w:rsidRPr="00B75951">
        <w:rPr>
          <w:rFonts w:ascii="Palatino Linotype" w:eastAsiaTheme="minorEastAsia" w:hAnsi="Palatino Linotype" w:cs="Arial"/>
          <w:b/>
          <w:i/>
        </w:rPr>
        <w:t>Artículo 175</w:t>
      </w:r>
      <w:r w:rsidRPr="00B75951">
        <w:rPr>
          <w:rFonts w:ascii="Palatino Linotype" w:eastAsiaTheme="minorEastAsia" w:hAnsi="Palatino Linotype" w:cs="Arial"/>
          <w:i/>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098BCC0B" w14:textId="431D7B7E" w:rsidR="00B75951" w:rsidRPr="00FA67A8" w:rsidRDefault="00B75951" w:rsidP="00FA67A8">
      <w:pPr>
        <w:spacing w:before="240" w:after="240" w:line="360" w:lineRule="auto"/>
        <w:ind w:left="567" w:right="616"/>
        <w:jc w:val="both"/>
        <w:rPr>
          <w:rFonts w:ascii="Palatino Linotype" w:eastAsiaTheme="minorEastAsia" w:hAnsi="Palatino Linotype" w:cs="Arial"/>
          <w:i/>
          <w:lang w:val="es-ES_tradnl"/>
        </w:rPr>
      </w:pPr>
      <w:r w:rsidRPr="00B75951">
        <w:rPr>
          <w:rFonts w:ascii="Palatino Linotype" w:eastAsiaTheme="minorEastAsia" w:hAnsi="Palatino Linotype" w:cs="Arial"/>
          <w:i/>
        </w:rPr>
        <w:t xml:space="preserve">En ningún caso, el pago de derechos deberá exceder el costo de reproducción de la información en el material solicitado. Los ajustes razonables que se realicen </w:t>
      </w:r>
      <w:r w:rsidRPr="00B75951">
        <w:rPr>
          <w:rFonts w:ascii="Palatino Linotype" w:eastAsiaTheme="minorEastAsia" w:hAnsi="Palatino Linotype" w:cs="Arial"/>
          <w:i/>
        </w:rPr>
        <w:lastRenderedPageBreak/>
        <w:t>para el acceso de la información de solicitantes con discapacidad serán sin costo para los mismos.</w:t>
      </w:r>
      <w:r>
        <w:rPr>
          <w:rFonts w:ascii="Palatino Linotype" w:eastAsiaTheme="minorEastAsia" w:hAnsi="Palatino Linotype" w:cs="Arial"/>
          <w:i/>
        </w:rPr>
        <w:t>”</w:t>
      </w:r>
    </w:p>
    <w:p w14:paraId="2A37CE8C" w14:textId="46018378" w:rsidR="0001145F" w:rsidRPr="00FA67A8" w:rsidRDefault="00B75951" w:rsidP="00FA67A8">
      <w:pPr>
        <w:numPr>
          <w:ilvl w:val="0"/>
          <w:numId w:val="8"/>
        </w:numPr>
        <w:spacing w:before="240" w:after="240" w:line="360" w:lineRule="auto"/>
        <w:ind w:left="0" w:right="49" w:firstLine="0"/>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ese sentido y como ya quedó demostrado anteriormente, la Nómina General se remite de forma electrónica al Órgano Superior de Fiscalización del Estado de México y Municipios, por lo que este Órgano Garante desestima el cobro de la información señalado por el </w:t>
      </w:r>
      <w:r>
        <w:rPr>
          <w:rFonts w:ascii="Palatino Linotype" w:eastAsiaTheme="minorEastAsia" w:hAnsi="Palatino Linotype" w:cs="Arial"/>
          <w:b/>
          <w:lang w:val="es-ES_tradnl"/>
        </w:rPr>
        <w:t>Ayuntamiento de Nicolás Romero, apercibiéndole</w:t>
      </w:r>
      <w:r w:rsidR="00FA67A8">
        <w:rPr>
          <w:rFonts w:ascii="Palatino Linotype" w:eastAsiaTheme="minorEastAsia" w:hAnsi="Palatino Linotype" w:cs="Arial"/>
          <w:b/>
          <w:lang w:val="es-ES_tradnl"/>
        </w:rPr>
        <w:t xml:space="preserve"> de la alta responsabilidad que implica una </w:t>
      </w:r>
      <w:r w:rsidR="00FA67A8">
        <w:rPr>
          <w:rFonts w:ascii="Palatino Linotype" w:eastAsiaTheme="minorEastAsia" w:hAnsi="Palatino Linotype" w:cs="Arial"/>
          <w:lang w:val="es-ES_tradnl"/>
        </w:rPr>
        <w:t xml:space="preserve">actuación discrecional, como lo es </w:t>
      </w:r>
      <w:r w:rsidR="00FA67A8">
        <w:rPr>
          <w:rFonts w:ascii="Palatino Linotype" w:eastAsiaTheme="minorEastAsia" w:hAnsi="Palatino Linotype" w:cs="Arial"/>
          <w:b/>
          <w:lang w:val="es-ES_tradnl"/>
        </w:rPr>
        <w:t xml:space="preserve">el pretendido </w:t>
      </w:r>
      <w:r w:rsidR="00FA67A8" w:rsidRPr="00FA67A8">
        <w:rPr>
          <w:rFonts w:ascii="Palatino Linotype" w:eastAsiaTheme="minorEastAsia" w:hAnsi="Palatino Linotype" w:cs="Arial"/>
          <w:b/>
          <w:lang w:val="es-ES_tradnl"/>
        </w:rPr>
        <w:t>cobro</w:t>
      </w:r>
      <w:r w:rsidR="00FA67A8" w:rsidRPr="00FA67A8">
        <w:rPr>
          <w:rFonts w:ascii="Palatino Linotype" w:eastAsiaTheme="minorEastAsia" w:hAnsi="Palatino Linotype" w:cs="Arial"/>
          <w:lang w:val="es-ES_tradnl"/>
        </w:rPr>
        <w:t xml:space="preserve"> </w:t>
      </w:r>
      <w:r w:rsidR="00FA67A8">
        <w:rPr>
          <w:rFonts w:ascii="Palatino Linotype" w:eastAsiaTheme="minorEastAsia" w:hAnsi="Palatino Linotype" w:cs="Arial"/>
          <w:lang w:val="es-ES_tradnl"/>
        </w:rPr>
        <w:t>por reproducción de la información mismo que</w:t>
      </w:r>
      <w:r w:rsidR="00FA67A8" w:rsidRPr="00FA67A8">
        <w:rPr>
          <w:rFonts w:ascii="Palatino Linotype" w:eastAsiaTheme="minorEastAsia" w:hAnsi="Palatino Linotype" w:cs="Arial"/>
          <w:lang w:val="es-ES_tradnl"/>
        </w:rPr>
        <w:t xml:space="preserve"> tuvo como resultado el retraso en el ejercicio de un derecho convencional y constitucionalmente reconocido como lo es el de acceder a la información pública gubernamental. </w:t>
      </w:r>
    </w:p>
    <w:p w14:paraId="2D0A5572" w14:textId="40CD6CFF" w:rsidR="001D60A4" w:rsidRPr="003E65E9" w:rsidRDefault="003E65E9" w:rsidP="003E65E9">
      <w:pPr>
        <w:pStyle w:val="Ttulo1"/>
        <w:rPr>
          <w:rFonts w:ascii="Palatino Linotype" w:hAnsi="Palatino Linotype"/>
          <w:b/>
          <w:color w:val="000000" w:themeColor="text1"/>
          <w:sz w:val="24"/>
          <w:szCs w:val="24"/>
        </w:rPr>
      </w:pPr>
      <w:bookmarkStart w:id="57" w:name="_Toc85717360"/>
      <w:r w:rsidRPr="003E65E9">
        <w:rPr>
          <w:rFonts w:ascii="Palatino Linotype" w:hAnsi="Palatino Linotype"/>
          <w:b/>
          <w:color w:val="000000" w:themeColor="text1"/>
          <w:sz w:val="24"/>
          <w:szCs w:val="24"/>
        </w:rPr>
        <w:t xml:space="preserve">V. </w:t>
      </w:r>
      <w:r>
        <w:rPr>
          <w:rFonts w:ascii="Palatino Linotype" w:hAnsi="Palatino Linotype"/>
          <w:b/>
          <w:color w:val="000000" w:themeColor="text1"/>
          <w:sz w:val="24"/>
          <w:szCs w:val="24"/>
        </w:rPr>
        <w:t xml:space="preserve">De las </w:t>
      </w:r>
      <w:r w:rsidR="00546FA0" w:rsidRPr="003E65E9">
        <w:rPr>
          <w:rFonts w:ascii="Palatino Linotype" w:hAnsi="Palatino Linotype"/>
          <w:b/>
          <w:color w:val="000000" w:themeColor="text1"/>
          <w:sz w:val="24"/>
          <w:szCs w:val="24"/>
        </w:rPr>
        <w:t>condiciones que se deberán observar en la entrega de la información.</w:t>
      </w:r>
      <w:bookmarkEnd w:id="57"/>
      <w:r w:rsidR="00546FA0" w:rsidRPr="003E65E9">
        <w:rPr>
          <w:rFonts w:ascii="Palatino Linotype" w:hAnsi="Palatino Linotype"/>
          <w:b/>
          <w:color w:val="000000" w:themeColor="text1"/>
          <w:sz w:val="24"/>
          <w:szCs w:val="24"/>
        </w:rPr>
        <w:t xml:space="preserve"> </w:t>
      </w:r>
    </w:p>
    <w:p w14:paraId="68086F6A" w14:textId="77777777" w:rsidR="000E6EA5" w:rsidRDefault="000E6EA5" w:rsidP="00FA67A8"/>
    <w:p w14:paraId="69025212" w14:textId="77777777" w:rsidR="000E6EA5" w:rsidRPr="000E6EA5" w:rsidRDefault="000E6EA5" w:rsidP="000E6EA5"/>
    <w:p w14:paraId="5B63C37E" w14:textId="0E50100A" w:rsidR="00EE2D1B" w:rsidRPr="0046696A" w:rsidRDefault="00546FA0" w:rsidP="00E62DBE">
      <w:pPr>
        <w:numPr>
          <w:ilvl w:val="0"/>
          <w:numId w:val="8"/>
        </w:numPr>
        <w:spacing w:before="240" w:after="240" w:line="360" w:lineRule="auto"/>
        <w:ind w:left="0" w:right="49" w:firstLine="0"/>
        <w:contextualSpacing/>
        <w:jc w:val="both"/>
        <w:rPr>
          <w:rFonts w:ascii="Palatino Linotype" w:eastAsia="Calibri" w:hAnsi="Palatino Linotype"/>
        </w:rPr>
      </w:pPr>
      <w:r w:rsidRPr="0046696A">
        <w:rPr>
          <w:rFonts w:ascii="Palatino Linotype" w:eastAsia="Calibri" w:hAnsi="Palatino Linotype"/>
        </w:rPr>
        <w:t>Precisado lo anterior y en atención a que se observa que se requiere información sobre elementos de seguridad</w:t>
      </w:r>
      <w:r w:rsidR="005E0A50" w:rsidRPr="0046696A">
        <w:rPr>
          <w:rFonts w:ascii="Palatino Linotype" w:eastAsia="Calibri" w:hAnsi="Palatino Linotype"/>
        </w:rPr>
        <w:t xml:space="preserve"> pública</w:t>
      </w:r>
      <w:r w:rsidRPr="0046696A">
        <w:rPr>
          <w:rFonts w:ascii="Palatino Linotype" w:eastAsia="Calibri" w:hAnsi="Palatino Linotype"/>
        </w:rPr>
        <w:t xml:space="preserve"> es necesario</w:t>
      </w:r>
      <w:r w:rsidR="0046696A" w:rsidRPr="0046696A">
        <w:rPr>
          <w:rFonts w:ascii="Palatino Linotype" w:eastAsia="Calibri" w:hAnsi="Palatino Linotype"/>
        </w:rPr>
        <w:t xml:space="preserve"> señalar</w:t>
      </w:r>
      <w:r w:rsidRPr="0046696A">
        <w:rPr>
          <w:rFonts w:ascii="Palatino Linotype" w:eastAsia="Calibri" w:hAnsi="Palatino Linotype"/>
        </w:rPr>
        <w:t xml:space="preserve"> que las condiciones en las cuales de sebera entregar la información solicitada adquieren una especial naturaleza. En efecto</w:t>
      </w:r>
      <w:r w:rsidRPr="0046696A">
        <w:rPr>
          <w:rFonts w:ascii="Palatino Linotype" w:hAnsi="Palatino Linotype"/>
          <w:lang w:val="es-MX" w:eastAsia="es-MX"/>
        </w:rPr>
        <w:t xml:space="preserve">, este instituto advierte que otorgar acceso al nombre de policías operativos podría comprometer  </w:t>
      </w:r>
      <w:r w:rsidR="00EE2D1B" w:rsidRPr="0046696A">
        <w:rPr>
          <w:rFonts w:ascii="Palatino Linotype" w:hAnsi="Palatino Linotype"/>
          <w:lang w:val="es-MX" w:eastAsia="es-MX"/>
        </w:rPr>
        <w:t xml:space="preserve">la integridad de los mismos, de conformidad con lo que establece el artículo 140 de la Ley de Transparencia y Acceso a la Información Pública del  Estado de México y Municipios: </w:t>
      </w:r>
    </w:p>
    <w:p w14:paraId="151F3004" w14:textId="77777777" w:rsidR="00EE2D1B" w:rsidRPr="0046696A" w:rsidRDefault="00EE2D1B" w:rsidP="00EE2D1B">
      <w:pPr>
        <w:pStyle w:val="Prrafodelista"/>
        <w:rPr>
          <w:rFonts w:ascii="Palatino Linotype" w:hAnsi="Palatino Linotype"/>
          <w:lang w:val="es-MX" w:eastAsia="es-MX"/>
        </w:rPr>
      </w:pPr>
    </w:p>
    <w:p w14:paraId="27D2CDBE" w14:textId="183C9D6B" w:rsidR="00EE2D1B" w:rsidRPr="0046696A" w:rsidRDefault="00EE2D1B" w:rsidP="00EE2D1B">
      <w:pPr>
        <w:spacing w:before="240" w:after="240" w:line="360" w:lineRule="auto"/>
        <w:ind w:left="567" w:right="616"/>
        <w:contextualSpacing/>
        <w:jc w:val="both"/>
        <w:rPr>
          <w:rFonts w:ascii="Palatino Linotype" w:hAnsi="Palatino Linotype"/>
          <w:i/>
        </w:rPr>
      </w:pPr>
      <w:r w:rsidRPr="0046696A">
        <w:rPr>
          <w:rFonts w:ascii="Palatino Linotype" w:hAnsi="Palatino Linotype"/>
          <w:b/>
          <w:i/>
        </w:rPr>
        <w:lastRenderedPageBreak/>
        <w:t>“Artículo 140.</w:t>
      </w:r>
      <w:r w:rsidRPr="0046696A">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70AF37B1" w14:textId="77777777" w:rsidR="00EE2D1B" w:rsidRPr="0046696A" w:rsidRDefault="00EE2D1B" w:rsidP="00EE2D1B">
      <w:pPr>
        <w:spacing w:before="240" w:after="240" w:line="360" w:lineRule="auto"/>
        <w:ind w:left="567" w:right="616"/>
        <w:contextualSpacing/>
        <w:jc w:val="both"/>
        <w:rPr>
          <w:rFonts w:ascii="Palatino Linotype" w:hAnsi="Palatino Linotype"/>
          <w:i/>
        </w:rPr>
      </w:pPr>
      <w:r w:rsidRPr="0046696A">
        <w:rPr>
          <w:rFonts w:ascii="Palatino Linotype" w:hAnsi="Palatino Linotype"/>
          <w:i/>
        </w:rPr>
        <w:t xml:space="preserve">I. Comprometa la seguridad pública y cuente con un propósito genuino y un efecto demostrable; </w:t>
      </w:r>
    </w:p>
    <w:p w14:paraId="4347A0B1" w14:textId="77777777" w:rsidR="00EE2D1B" w:rsidRPr="0046696A" w:rsidRDefault="00EE2D1B" w:rsidP="00EE2D1B">
      <w:pPr>
        <w:spacing w:before="240" w:after="240" w:line="360" w:lineRule="auto"/>
        <w:ind w:left="567" w:right="616"/>
        <w:contextualSpacing/>
        <w:jc w:val="both"/>
        <w:rPr>
          <w:rFonts w:ascii="Palatino Linotype" w:hAnsi="Palatino Linotype"/>
          <w:i/>
        </w:rPr>
      </w:pPr>
      <w:r w:rsidRPr="0046696A">
        <w:rPr>
          <w:rFonts w:ascii="Palatino Linotype" w:hAnsi="Palatino Linotype"/>
          <w:i/>
        </w:rPr>
        <w:t xml:space="preserve">II. Pueda menoscabar la conducción de las negociaciones y relaciones internacionales; </w:t>
      </w:r>
    </w:p>
    <w:p w14:paraId="0BA51F7A" w14:textId="77777777" w:rsidR="00EE2D1B" w:rsidRPr="0046696A" w:rsidRDefault="00EE2D1B" w:rsidP="00EE2D1B">
      <w:pPr>
        <w:spacing w:before="240" w:after="240" w:line="360" w:lineRule="auto"/>
        <w:ind w:left="567" w:right="616"/>
        <w:contextualSpacing/>
        <w:jc w:val="both"/>
        <w:rPr>
          <w:rFonts w:ascii="Palatino Linotype" w:hAnsi="Palatino Linotype"/>
          <w:i/>
        </w:rPr>
      </w:pPr>
      <w:r w:rsidRPr="0046696A">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4C61935" w14:textId="58B535F4" w:rsidR="00EE2D1B" w:rsidRPr="0046696A" w:rsidRDefault="00EE2D1B" w:rsidP="00EE2D1B">
      <w:pPr>
        <w:spacing w:before="240" w:after="240" w:line="360" w:lineRule="auto"/>
        <w:ind w:left="567" w:right="616"/>
        <w:contextualSpacing/>
        <w:jc w:val="both"/>
        <w:rPr>
          <w:rFonts w:ascii="Palatino Linotype" w:hAnsi="Palatino Linotype"/>
          <w:b/>
          <w:i/>
        </w:rPr>
      </w:pPr>
      <w:r w:rsidRPr="0046696A">
        <w:rPr>
          <w:rFonts w:ascii="Palatino Linotype" w:hAnsi="Palatino Linotype"/>
          <w:b/>
          <w:i/>
        </w:rPr>
        <w:t>IV. Ponga en riesgo la vida, la seguridad o la salud de una persona física;</w:t>
      </w:r>
    </w:p>
    <w:p w14:paraId="6881B848" w14:textId="0A34337C" w:rsidR="00EE2D1B" w:rsidRPr="0046696A" w:rsidRDefault="00EE2D1B" w:rsidP="00EE2D1B">
      <w:pPr>
        <w:spacing w:before="240" w:after="240" w:line="360" w:lineRule="auto"/>
        <w:ind w:left="567" w:right="616"/>
        <w:contextualSpacing/>
        <w:jc w:val="both"/>
        <w:rPr>
          <w:rFonts w:ascii="Palatino Linotype" w:eastAsia="Calibri" w:hAnsi="Palatino Linotype"/>
          <w:i/>
        </w:rPr>
      </w:pPr>
      <w:r w:rsidRPr="0046696A">
        <w:rPr>
          <w:rFonts w:ascii="Palatino Linotype" w:hAnsi="Palatino Linotype"/>
          <w:i/>
        </w:rPr>
        <w:t xml:space="preserve"> (…)” (Sic)</w:t>
      </w:r>
    </w:p>
    <w:p w14:paraId="12B1F486" w14:textId="77777777" w:rsidR="00EE2D1B" w:rsidRPr="0046696A" w:rsidRDefault="00EE2D1B" w:rsidP="00EE2D1B">
      <w:pPr>
        <w:spacing w:before="240" w:after="240" w:line="360" w:lineRule="auto"/>
        <w:ind w:right="49"/>
        <w:contextualSpacing/>
        <w:jc w:val="both"/>
        <w:rPr>
          <w:rFonts w:ascii="Palatino Linotype" w:eastAsia="Calibri" w:hAnsi="Palatino Linotype"/>
        </w:rPr>
      </w:pPr>
    </w:p>
    <w:p w14:paraId="100DCC5C" w14:textId="17C9D8B5" w:rsidR="005E0A50" w:rsidRPr="0046696A" w:rsidRDefault="005E0A50" w:rsidP="00E62DBE">
      <w:pPr>
        <w:numPr>
          <w:ilvl w:val="0"/>
          <w:numId w:val="8"/>
        </w:numPr>
        <w:spacing w:line="360" w:lineRule="auto"/>
        <w:ind w:left="0" w:firstLine="0"/>
        <w:contextualSpacing/>
        <w:jc w:val="both"/>
        <w:rPr>
          <w:rFonts w:ascii="Palatino Linotype" w:hAnsi="Palatino Linotype"/>
          <w:lang w:val="es-MX" w:eastAsia="es-MX"/>
        </w:rPr>
      </w:pPr>
      <w:r w:rsidRPr="0046696A">
        <w:rPr>
          <w:rFonts w:ascii="Palatino Linotype" w:hAnsi="Palatino Linotype"/>
          <w:lang w:val="es-MX" w:eastAsia="es-MX"/>
        </w:rPr>
        <w:t>En este contexto, este Pleno considera que dar a conocer los nombres de servidores p</w:t>
      </w:r>
      <w:r w:rsidR="00E46F10" w:rsidRPr="0046696A">
        <w:rPr>
          <w:rFonts w:ascii="Palatino Linotype" w:hAnsi="Palatino Linotype"/>
          <w:lang w:val="es-MX" w:eastAsia="es-MX"/>
        </w:rPr>
        <w:t xml:space="preserve">úblicos que realizan funciones </w:t>
      </w:r>
      <w:r w:rsidRPr="0046696A">
        <w:rPr>
          <w:rFonts w:ascii="Palatino Linotype" w:hAnsi="Palatino Linotype"/>
          <w:lang w:val="es-MX" w:eastAsia="es-MX"/>
        </w:rPr>
        <w:t>en materia de seguridad, tal como es el caso de los policías, los vuelve identificables y posiblemente reconoc</w:t>
      </w:r>
      <w:r w:rsidR="00E46F10" w:rsidRPr="0046696A">
        <w:rPr>
          <w:rFonts w:ascii="Palatino Linotype" w:hAnsi="Palatino Linotype"/>
          <w:lang w:val="es-MX" w:eastAsia="es-MX"/>
        </w:rPr>
        <w:t>ibles para grupos delictivos</w:t>
      </w:r>
      <w:r w:rsidRPr="0046696A">
        <w:rPr>
          <w:rFonts w:ascii="Palatino Linotype" w:hAnsi="Palatino Linotype" w:cs="Tahoma"/>
          <w:bCs/>
          <w:lang w:val="es-MX" w:eastAsia="es-MX"/>
        </w:rPr>
        <w:t xml:space="preserve">; así, dicha información puede ser utilizada para </w:t>
      </w:r>
      <w:r w:rsidRPr="0046696A">
        <w:rPr>
          <w:rFonts w:ascii="Palatino Linotype" w:hAnsi="Palatino Linotype" w:cs="Tahoma"/>
          <w:b/>
          <w:bCs/>
          <w:lang w:val="es-MX" w:eastAsia="es-MX"/>
        </w:rPr>
        <w:t>vulnerar la vida, seguridad o salud de dichos elementos, incluso la d</w:t>
      </w:r>
      <w:r w:rsidR="00E46F10" w:rsidRPr="0046696A">
        <w:rPr>
          <w:rFonts w:ascii="Palatino Linotype" w:hAnsi="Palatino Linotype" w:cs="Tahoma"/>
          <w:b/>
          <w:bCs/>
          <w:lang w:val="es-MX" w:eastAsia="es-MX"/>
        </w:rPr>
        <w:t xml:space="preserve">e sus familias o entorno social, </w:t>
      </w:r>
      <w:r w:rsidRPr="0046696A">
        <w:rPr>
          <w:rFonts w:ascii="Palatino Linotype" w:hAnsi="Palatino Linotype" w:cs="Tahoma"/>
          <w:bCs/>
          <w:lang w:val="es-MX" w:eastAsia="es-MX"/>
        </w:rPr>
        <w:t xml:space="preserve">demás, </w:t>
      </w:r>
      <w:r w:rsidR="00E46F10" w:rsidRPr="0046696A">
        <w:rPr>
          <w:rFonts w:ascii="Palatino Linotype" w:hAnsi="Palatino Linotype" w:cs="Tahoma"/>
          <w:bCs/>
          <w:lang w:val="es-MX" w:eastAsia="es-MX"/>
        </w:rPr>
        <w:t xml:space="preserve">de </w:t>
      </w:r>
      <w:r w:rsidRPr="0046696A">
        <w:rPr>
          <w:rFonts w:ascii="Palatino Linotype" w:hAnsi="Palatino Linotype" w:cs="Tahoma"/>
          <w:bCs/>
          <w:lang w:val="es-MX" w:eastAsia="es-MX"/>
        </w:rPr>
        <w:t>que aumenta el riesgo de que personas ajenas a los intereses institucionales e intenten realizar actos tendientes a inhibir o entrometerse en las funciones de los policías municipales, lo cual causaría una vulneración a la seguridad municipal.</w:t>
      </w:r>
    </w:p>
    <w:p w14:paraId="7C65AB2D" w14:textId="77777777" w:rsidR="005E0A50" w:rsidRPr="0046696A" w:rsidRDefault="005E0A50" w:rsidP="005E0A50">
      <w:pPr>
        <w:spacing w:line="360" w:lineRule="auto"/>
        <w:contextualSpacing/>
        <w:jc w:val="both"/>
        <w:rPr>
          <w:rFonts w:ascii="Palatino Linotype" w:hAnsi="Palatino Linotype"/>
          <w:lang w:val="es-MX" w:eastAsia="es-MX"/>
        </w:rPr>
      </w:pPr>
    </w:p>
    <w:p w14:paraId="358B59EB" w14:textId="77777777" w:rsidR="00E46F1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lastRenderedPageBreak/>
        <w:t>En ese sentido, el proporcionar el nombre de los elementos policiales operativos en la nómina general de la Comisaría de Seguridad Pública y Tránsito Municipal del Ayuntamiento de Nicolás Romero, pone en riesgo de manera directa la vida y la seguridad de dicho servidor, siendo obligación de la Institución protegerla en todo momento para salvaguarda de sus integrantes.</w:t>
      </w:r>
      <w:r w:rsidR="00E46F10" w:rsidRPr="0046696A">
        <w:rPr>
          <w:rFonts w:ascii="Palatino Linotype" w:eastAsia="Calibri" w:hAnsi="Palatino Linotype" w:cs="Tahoma"/>
          <w:bCs/>
          <w:lang w:eastAsia="es-MX"/>
        </w:rPr>
        <w:t xml:space="preserve"> </w:t>
      </w:r>
    </w:p>
    <w:p w14:paraId="6CAB3FC4" w14:textId="77777777" w:rsidR="00E46F10" w:rsidRPr="0046696A" w:rsidRDefault="00E46F10" w:rsidP="00E46F10">
      <w:pPr>
        <w:pStyle w:val="Prrafodelista"/>
        <w:rPr>
          <w:rFonts w:ascii="Palatino Linotype" w:eastAsia="Calibri" w:hAnsi="Palatino Linotype" w:cs="Tahoma"/>
          <w:bCs/>
          <w:lang w:eastAsia="es-MX"/>
        </w:rPr>
      </w:pPr>
    </w:p>
    <w:p w14:paraId="6364E1AB" w14:textId="2FA26B7A" w:rsidR="005E0A50" w:rsidRPr="0046696A" w:rsidRDefault="00E46F1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Lo anterior adquiere razón t</w:t>
      </w:r>
      <w:r w:rsidR="005E0A50" w:rsidRPr="0046696A">
        <w:rPr>
          <w:rFonts w:ascii="Palatino Linotype" w:eastAsia="Calibri" w:hAnsi="Palatino Linotype" w:cs="Tahoma"/>
          <w:bCs/>
          <w:lang w:eastAsia="es-MX"/>
        </w:rPr>
        <w:t xml:space="preserve">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03254EF"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15F11950" w14:textId="35217026"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Asimismo, existe la posibilidad de que personas ajenas a la Institución la utilicen para sorprender a la ciudadanía y realicen extorsiones telefónicas al amparo de usurpar la</w:t>
      </w:r>
      <w:r w:rsidR="00E46F10" w:rsidRPr="0046696A">
        <w:rPr>
          <w:rFonts w:ascii="Palatino Linotype" w:eastAsia="Calibri" w:hAnsi="Palatino Linotype" w:cs="Tahoma"/>
          <w:bCs/>
          <w:lang w:eastAsia="es-MX"/>
        </w:rPr>
        <w:t xml:space="preserve"> identidad </w:t>
      </w:r>
      <w:r w:rsidRPr="0046696A">
        <w:rPr>
          <w:rFonts w:ascii="Palatino Linotype" w:eastAsia="Calibri" w:hAnsi="Palatino Linotype" w:cs="Tahoma"/>
          <w:bCs/>
          <w:lang w:eastAsia="es-MX"/>
        </w:rPr>
        <w:t>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6696A">
        <w:rPr>
          <w:rFonts w:ascii="Palatino Linotype" w:eastAsia="Calibri" w:hAnsi="Palatino Linotype" w:cs="Tahoma"/>
          <w:b/>
          <w:bCs/>
          <w:lang w:eastAsia="es-MX"/>
        </w:rPr>
        <w:t xml:space="preserve"> SUJETO OBLIGADO</w:t>
      </w:r>
      <w:r w:rsidRPr="0046696A">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D64C649"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7E17CF82" w14:textId="77777777"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w:t>
      </w:r>
      <w:r w:rsidRPr="0046696A">
        <w:rPr>
          <w:rFonts w:ascii="Palatino Linotype" w:eastAsia="Calibri" w:hAnsi="Palatino Linotype" w:cs="Tahoma"/>
          <w:bCs/>
          <w:lang w:eastAsia="es-MX"/>
        </w:rPr>
        <w:lastRenderedPageBreak/>
        <w:t xml:space="preserve">Humanos en su artículo 30. Bajo este contexto es necesario confrontar ambos derechos fundamentales, cuyo ejercicio en este caso particular es por lo que es necesaria la ponderación de ambos para que uno de ellos sea ejercido en la mayor medida posible. </w:t>
      </w:r>
    </w:p>
    <w:p w14:paraId="7280AB21"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4D320966" w14:textId="3384413F"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El dar el nombre de los servidores públicos</w:t>
      </w:r>
      <w:r w:rsidR="003159A7" w:rsidRPr="0046696A">
        <w:rPr>
          <w:rFonts w:ascii="Palatino Linotype" w:eastAsia="Calibri" w:hAnsi="Palatino Linotype" w:cs="Tahoma"/>
          <w:bCs/>
          <w:lang w:eastAsia="es-MX"/>
        </w:rPr>
        <w:t xml:space="preserve"> operativos</w:t>
      </w:r>
      <w:r w:rsidRPr="0046696A">
        <w:rPr>
          <w:rFonts w:ascii="Palatino Linotype" w:eastAsia="Calibri" w:hAnsi="Palatino Linotype" w:cs="Tahoma"/>
          <w:bCs/>
          <w:lang w:eastAsia="es-MX"/>
        </w:rPr>
        <w:t xml:space="preserve"> </w:t>
      </w:r>
      <w:r w:rsidR="003159A7" w:rsidRPr="0046696A">
        <w:rPr>
          <w:rFonts w:ascii="Palatino Linotype" w:eastAsia="Calibri" w:hAnsi="Palatino Linotype" w:cs="Tahoma"/>
          <w:bCs/>
          <w:lang w:eastAsia="es-MX"/>
        </w:rPr>
        <w:t xml:space="preserve">de la </w:t>
      </w:r>
      <w:r w:rsidR="003159A7" w:rsidRPr="0046696A">
        <w:rPr>
          <w:rFonts w:ascii="Palatino Linotype" w:eastAsia="Calibri" w:hAnsi="Palatino Linotype" w:cs="Tahoma"/>
          <w:bCs/>
          <w:lang w:val="es-MX" w:eastAsia="es-MX"/>
        </w:rPr>
        <w:t>Comisaría de Seguridad Pública y Tránsito Municipal del Ayuntamiento de Nicolás Romero</w:t>
      </w:r>
      <w:r w:rsidR="003159A7" w:rsidRPr="0046696A">
        <w:rPr>
          <w:rFonts w:ascii="Palatino Linotype" w:eastAsia="Calibri" w:hAnsi="Palatino Linotype" w:cs="Tahoma"/>
          <w:bCs/>
          <w:lang w:eastAsia="es-MX"/>
        </w:rPr>
        <w:t xml:space="preserve"> </w:t>
      </w:r>
      <w:r w:rsidRPr="0046696A">
        <w:rPr>
          <w:rFonts w:ascii="Palatino Linotype" w:eastAsia="Calibri" w:hAnsi="Palatino Linotype" w:cs="Tahoma"/>
          <w:bCs/>
          <w:lang w:eastAsia="es-MX"/>
        </w:rPr>
        <w:t>pone en riesgo s</w:t>
      </w:r>
      <w:r w:rsidR="003159A7" w:rsidRPr="0046696A">
        <w:rPr>
          <w:rFonts w:ascii="Palatino Linotype" w:eastAsia="Calibri" w:hAnsi="Palatino Linotype" w:cs="Tahoma"/>
          <w:bCs/>
          <w:lang w:eastAsia="es-MX"/>
        </w:rPr>
        <w:t xml:space="preserve">us vidas y seguridad, ya que </w:t>
      </w:r>
      <w:r w:rsidRPr="0046696A">
        <w:rPr>
          <w:rFonts w:ascii="Palatino Linotype" w:eastAsia="Calibri" w:hAnsi="Palatino Linotype" w:cs="Tahoma"/>
          <w:bCs/>
          <w:lang w:eastAsia="es-MX"/>
        </w:rPr>
        <w:t>pueden ser identificarle</w:t>
      </w:r>
      <w:r w:rsidR="003159A7" w:rsidRPr="0046696A">
        <w:rPr>
          <w:rFonts w:ascii="Palatino Linotype" w:eastAsia="Calibri" w:hAnsi="Palatino Linotype" w:cs="Tahoma"/>
          <w:bCs/>
          <w:lang w:eastAsia="es-MX"/>
        </w:rPr>
        <w:t xml:space="preserve">s, provocando que se </w:t>
      </w:r>
      <w:r w:rsidRPr="0046696A">
        <w:rPr>
          <w:rFonts w:ascii="Palatino Linotype" w:eastAsia="Calibri" w:hAnsi="Palatino Linotype" w:cs="Tahoma"/>
          <w:bCs/>
          <w:lang w:eastAsia="es-MX"/>
        </w:rPr>
        <w:t>utilice la información para amenazar, intimidar o extorsionar al integrante</w:t>
      </w:r>
      <w:r w:rsidR="003159A7" w:rsidRPr="0046696A">
        <w:rPr>
          <w:rFonts w:ascii="Palatino Linotype" w:eastAsia="Calibri" w:hAnsi="Palatino Linotype" w:cs="Tahoma"/>
          <w:bCs/>
          <w:lang w:eastAsia="es-MX"/>
        </w:rPr>
        <w:t xml:space="preserve">. </w:t>
      </w:r>
      <w:r w:rsidRPr="0046696A">
        <w:rPr>
          <w:rFonts w:ascii="Palatino Linotype" w:eastAsia="Calibri" w:hAnsi="Palatino Linotype" w:cs="Tahoma"/>
          <w:bCs/>
          <w:lang w:eastAsia="es-MX"/>
        </w:rPr>
        <w:t xml:space="preserve"> </w:t>
      </w:r>
    </w:p>
    <w:p w14:paraId="139F6400"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64CC1496" w14:textId="77777777"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043EAE5D"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73B3E087" w14:textId="77777777"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w:t>
      </w:r>
      <w:r w:rsidRPr="0046696A">
        <w:rPr>
          <w:rFonts w:ascii="Palatino Linotype" w:eastAsia="Calibri" w:hAnsi="Palatino Linotype" w:cs="Tahoma"/>
          <w:bCs/>
          <w:lang w:eastAsia="es-MX"/>
        </w:rPr>
        <w:lastRenderedPageBreak/>
        <w:t>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56B98477" w14:textId="77777777" w:rsidR="005E0A50" w:rsidRPr="0046696A" w:rsidRDefault="005E0A50" w:rsidP="00E62DBE">
      <w:pPr>
        <w:numPr>
          <w:ilvl w:val="0"/>
          <w:numId w:val="8"/>
        </w:numPr>
        <w:spacing w:line="360" w:lineRule="auto"/>
        <w:ind w:left="0" w:firstLine="0"/>
        <w:contextualSpacing/>
        <w:jc w:val="both"/>
        <w:rPr>
          <w:rFonts w:ascii="Palatino Linotype" w:eastAsia="Calibri" w:hAnsi="Palatino Linotype" w:cs="Tahoma"/>
          <w:bCs/>
          <w:lang w:eastAsia="es-MX"/>
        </w:rPr>
      </w:pPr>
      <w:r w:rsidRPr="0046696A">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261BB8F3" w14:textId="77777777" w:rsidR="005E0A50" w:rsidRPr="0046696A" w:rsidRDefault="005E0A50" w:rsidP="005E0A50">
      <w:pPr>
        <w:spacing w:line="360" w:lineRule="auto"/>
        <w:contextualSpacing/>
        <w:jc w:val="both"/>
        <w:rPr>
          <w:rFonts w:ascii="Palatino Linotype" w:eastAsia="Calibri" w:hAnsi="Palatino Linotype" w:cs="Tahoma"/>
          <w:bCs/>
          <w:lang w:eastAsia="es-MX"/>
        </w:rPr>
      </w:pPr>
    </w:p>
    <w:p w14:paraId="10931573" w14:textId="77777777" w:rsidR="005E0A50" w:rsidRPr="0046696A" w:rsidRDefault="005E0A50" w:rsidP="00E62DBE">
      <w:pPr>
        <w:numPr>
          <w:ilvl w:val="0"/>
          <w:numId w:val="8"/>
        </w:numPr>
        <w:spacing w:line="360" w:lineRule="auto"/>
        <w:ind w:left="0" w:firstLine="0"/>
        <w:contextualSpacing/>
        <w:jc w:val="both"/>
        <w:rPr>
          <w:rFonts w:ascii="Palatino Linotype" w:eastAsia="MS Mincho" w:hAnsi="Palatino Linotype" w:cs="Arial"/>
          <w:lang w:val="es-MX" w:eastAsia="es-MX"/>
        </w:rPr>
      </w:pPr>
      <w:r w:rsidRPr="0046696A">
        <w:rPr>
          <w:rFonts w:ascii="Palatino Linotype" w:eastAsia="MS Mincho" w:hAnsi="Palatino Linotype" w:cs="Arial"/>
          <w:lang w:val="es-ES_tradnl" w:eastAsia="es-MX"/>
        </w:rPr>
        <w:t xml:space="preserve">Al respecto, cabe hacer mención que el artículo 81 fracción III de la Ley de Seguridad del Estado de México, establece lo siguiente: </w:t>
      </w:r>
    </w:p>
    <w:p w14:paraId="75AAA814" w14:textId="77777777" w:rsidR="005E0A50" w:rsidRPr="0046696A" w:rsidRDefault="005E0A50" w:rsidP="005E0A50">
      <w:pPr>
        <w:spacing w:line="360" w:lineRule="auto"/>
        <w:ind w:left="720" w:right="851"/>
        <w:contextualSpacing/>
        <w:jc w:val="both"/>
        <w:rPr>
          <w:rFonts w:ascii="Palatino Linotype" w:eastAsia="MS Mincho" w:hAnsi="Palatino Linotype" w:cs="Arial"/>
          <w:i/>
          <w:lang w:val="es-ES_tradnl" w:eastAsia="es-MX"/>
        </w:rPr>
      </w:pPr>
    </w:p>
    <w:p w14:paraId="2EFEF629" w14:textId="77777777" w:rsidR="005E0A50" w:rsidRPr="0046696A" w:rsidRDefault="005E0A50" w:rsidP="005E0A50">
      <w:pPr>
        <w:spacing w:line="360" w:lineRule="auto"/>
        <w:ind w:left="720" w:right="567"/>
        <w:contextualSpacing/>
        <w:jc w:val="both"/>
        <w:rPr>
          <w:rFonts w:ascii="Palatino Linotype" w:eastAsia="MS Mincho" w:hAnsi="Palatino Linotype" w:cs="Arial"/>
          <w:i/>
          <w:lang w:val="es-ES_tradnl" w:eastAsia="es-MX"/>
        </w:rPr>
      </w:pPr>
      <w:r w:rsidRPr="0046696A">
        <w:rPr>
          <w:rFonts w:ascii="Palatino Linotype" w:eastAsia="MS Mincho" w:hAnsi="Palatino Linotype" w:cs="Arial"/>
          <w:i/>
          <w:lang w:val="es-ES_tradnl" w:eastAsia="es-MX"/>
        </w:rPr>
        <w:t>“</w:t>
      </w:r>
      <w:r w:rsidRPr="0046696A">
        <w:rPr>
          <w:rFonts w:ascii="Palatino Linotype" w:eastAsia="MS Mincho" w:hAnsi="Palatino Linotype" w:cs="Arial"/>
          <w:b/>
          <w:i/>
          <w:lang w:val="es-ES_tradnl" w:eastAsia="es-MX"/>
        </w:rPr>
        <w:t>Artículo 81.-</w:t>
      </w:r>
      <w:r w:rsidRPr="0046696A">
        <w:rPr>
          <w:rFonts w:ascii="Palatino Linotype" w:eastAsia="MS Mincho" w:hAnsi="Palatino Linotype" w:cs="Arial"/>
          <w:i/>
          <w:lang w:val="es-ES_tradnl" w:eastAsia="es-MX"/>
        </w:rPr>
        <w:t xml:space="preserve"> </w:t>
      </w:r>
      <w:r w:rsidRPr="0046696A">
        <w:rPr>
          <w:rFonts w:ascii="Palatino Linotype" w:eastAsia="MS Mincho" w:hAnsi="Palatino Linotype" w:cs="Arial"/>
          <w:b/>
          <w:i/>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6696A">
        <w:rPr>
          <w:rFonts w:ascii="Palatino Linotype" w:eastAsia="MS Mincho" w:hAnsi="Palatino Linotype" w:cs="Arial"/>
          <w:i/>
          <w:lang w:val="es-ES_tradnl" w:eastAsia="es-MX"/>
        </w:rPr>
        <w:t xml:space="preserve"> en los casos siguientes:</w:t>
      </w:r>
    </w:p>
    <w:p w14:paraId="06365625" w14:textId="77777777" w:rsidR="005E0A50" w:rsidRPr="0046696A" w:rsidRDefault="005E0A50" w:rsidP="005E0A50">
      <w:pPr>
        <w:spacing w:line="360" w:lineRule="auto"/>
        <w:ind w:left="720" w:right="567"/>
        <w:contextualSpacing/>
        <w:jc w:val="both"/>
        <w:rPr>
          <w:rFonts w:ascii="Palatino Linotype" w:eastAsia="MS Mincho" w:hAnsi="Palatino Linotype" w:cs="Arial"/>
          <w:i/>
          <w:lang w:val="es-ES_tradnl" w:eastAsia="es-MX"/>
        </w:rPr>
      </w:pPr>
      <w:r w:rsidRPr="0046696A">
        <w:rPr>
          <w:rFonts w:ascii="Palatino Linotype" w:eastAsia="MS Mincho" w:hAnsi="Palatino Linotype" w:cs="Arial"/>
          <w:i/>
          <w:lang w:val="es-ES_tradnl" w:eastAsia="es-MX"/>
        </w:rPr>
        <w:t>…</w:t>
      </w:r>
    </w:p>
    <w:p w14:paraId="6D937559" w14:textId="77777777" w:rsidR="005E0A50" w:rsidRPr="0046696A" w:rsidRDefault="005E0A50" w:rsidP="005E0A50">
      <w:pPr>
        <w:spacing w:line="360" w:lineRule="auto"/>
        <w:ind w:left="720" w:right="567"/>
        <w:contextualSpacing/>
        <w:jc w:val="both"/>
        <w:rPr>
          <w:rFonts w:ascii="Palatino Linotype" w:eastAsia="MS Mincho" w:hAnsi="Palatino Linotype" w:cs="Arial"/>
          <w:i/>
          <w:lang w:val="es-ES_tradnl" w:eastAsia="es-MX"/>
        </w:rPr>
      </w:pPr>
      <w:r w:rsidRPr="0046696A">
        <w:rPr>
          <w:rFonts w:ascii="Palatino Linotype" w:eastAsia="MS Mincho" w:hAnsi="Palatino Linotype" w:cs="Arial"/>
          <w:b/>
          <w:i/>
          <w:lang w:val="es-ES_tradnl" w:eastAsia="es-MX"/>
        </w:rPr>
        <w:t>III.</w:t>
      </w:r>
      <w:r w:rsidRPr="0046696A">
        <w:rPr>
          <w:rFonts w:ascii="Palatino Linotype" w:eastAsia="MS Mincho" w:hAnsi="Palatino Linotype" w:cs="Arial"/>
          <w:i/>
          <w:lang w:val="es-ES_tradnl" w:eastAsia="es-MX"/>
        </w:rPr>
        <w:t xml:space="preserve"> </w:t>
      </w:r>
      <w:r w:rsidRPr="0046696A">
        <w:rPr>
          <w:rFonts w:ascii="Palatino Linotype" w:eastAsia="MS Mincho" w:hAnsi="Palatino Linotype" w:cs="Arial"/>
          <w:b/>
          <w:i/>
          <w:lang w:val="es-ES_tradnl" w:eastAsia="es-MX"/>
        </w:rPr>
        <w:t>La relativa a servidores públicos miembros de las instituciones de seguridad pública, cuya revelación pueda poner en riesgo su vida e integridad física con motivo de sus funciones;</w:t>
      </w:r>
      <w:r w:rsidRPr="0046696A">
        <w:rPr>
          <w:rFonts w:ascii="Palatino Linotype" w:eastAsia="MS Mincho" w:hAnsi="Palatino Linotype" w:cs="Arial"/>
          <w:i/>
          <w:lang w:val="es-ES_tradnl" w:eastAsia="es-MX"/>
        </w:rPr>
        <w:t>”</w:t>
      </w:r>
    </w:p>
    <w:p w14:paraId="4D09C21B" w14:textId="77777777" w:rsidR="005E0A50" w:rsidRPr="0046696A" w:rsidRDefault="005E0A50" w:rsidP="005E0A50">
      <w:pPr>
        <w:spacing w:line="360" w:lineRule="auto"/>
        <w:ind w:left="720" w:right="851"/>
        <w:contextualSpacing/>
        <w:jc w:val="both"/>
        <w:rPr>
          <w:rFonts w:ascii="Palatino Linotype" w:eastAsia="MS Mincho" w:hAnsi="Palatino Linotype" w:cs="Arial"/>
          <w:lang w:val="es-ES_tradnl" w:eastAsia="es-MX"/>
        </w:rPr>
      </w:pPr>
      <w:r w:rsidRPr="0046696A">
        <w:rPr>
          <w:rFonts w:ascii="Palatino Linotype" w:eastAsia="MS Mincho" w:hAnsi="Palatino Linotype" w:cs="Arial"/>
          <w:lang w:val="es-ES_tradnl" w:eastAsia="es-MX"/>
        </w:rPr>
        <w:lastRenderedPageBreak/>
        <w:t>(Énfasis añadido)</w:t>
      </w:r>
    </w:p>
    <w:p w14:paraId="0A685982" w14:textId="77777777" w:rsidR="005E0A50" w:rsidRPr="0046696A" w:rsidRDefault="005E0A50" w:rsidP="005E0A50">
      <w:pPr>
        <w:spacing w:line="360" w:lineRule="auto"/>
        <w:contextualSpacing/>
        <w:jc w:val="both"/>
        <w:rPr>
          <w:rFonts w:ascii="Palatino Linotype" w:eastAsia="MS Mincho" w:hAnsi="Palatino Linotype" w:cs="Arial"/>
          <w:lang w:val="es-MX" w:eastAsia="es-MX"/>
        </w:rPr>
      </w:pPr>
    </w:p>
    <w:p w14:paraId="603E7F94" w14:textId="77777777" w:rsidR="005E0A50" w:rsidRPr="0046696A" w:rsidRDefault="005E0A50" w:rsidP="00E62DBE">
      <w:pPr>
        <w:numPr>
          <w:ilvl w:val="0"/>
          <w:numId w:val="8"/>
        </w:numPr>
        <w:spacing w:line="360" w:lineRule="auto"/>
        <w:ind w:left="0" w:firstLine="0"/>
        <w:contextualSpacing/>
        <w:jc w:val="both"/>
        <w:rPr>
          <w:rFonts w:ascii="Palatino Linotype" w:eastAsia="MS Mincho" w:hAnsi="Palatino Linotype" w:cs="Arial"/>
          <w:lang w:val="es-MX" w:eastAsia="es-MX"/>
        </w:rPr>
      </w:pPr>
      <w:r w:rsidRPr="0046696A">
        <w:rPr>
          <w:rFonts w:ascii="Palatino Linotype" w:hAnsi="Palatino Linotype" w:cs="Arial"/>
          <w:lang w:val="es-MX" w:eastAsia="es-MX"/>
        </w:rPr>
        <w:t>Argumento que se fortalece con lo estipulado en el criterio número 6-09, del Instituto Nacional de Transparencia, Acceso a la Información y Protección de Datos Personales, antes (INAI)</w:t>
      </w:r>
      <w:r w:rsidRPr="0046696A">
        <w:rPr>
          <w:rFonts w:ascii="Palatino Linotype" w:hAnsi="Palatino Linotype" w:cs="Arial"/>
          <w:b/>
          <w:bCs/>
          <w:lang w:val="es-MX" w:eastAsia="es-MX"/>
        </w:rPr>
        <w:t xml:space="preserve">, </w:t>
      </w:r>
      <w:r w:rsidRPr="0046696A">
        <w:rPr>
          <w:rFonts w:ascii="Palatino Linotype" w:hAnsi="Palatino Linotype" w:cs="Arial"/>
          <w:lang w:val="es-MX" w:eastAsia="es-MX"/>
        </w:rPr>
        <w:t xml:space="preserve">el cual refiere: </w:t>
      </w:r>
    </w:p>
    <w:p w14:paraId="58B1492D" w14:textId="77777777" w:rsidR="005E0A50" w:rsidRPr="0046696A" w:rsidRDefault="005E0A50" w:rsidP="005E0A50">
      <w:pPr>
        <w:spacing w:line="360" w:lineRule="auto"/>
        <w:jc w:val="both"/>
        <w:rPr>
          <w:rFonts w:ascii="Palatino Linotype" w:hAnsi="Palatino Linotype" w:cs="Arial"/>
          <w:lang w:val="es-MX" w:eastAsia="es-MX"/>
        </w:rPr>
      </w:pPr>
    </w:p>
    <w:p w14:paraId="24511938" w14:textId="77777777" w:rsidR="005E0A50" w:rsidRPr="0046696A" w:rsidRDefault="005E0A50" w:rsidP="00E46F10">
      <w:pPr>
        <w:autoSpaceDE w:val="0"/>
        <w:autoSpaceDN w:val="0"/>
        <w:adjustRightInd w:val="0"/>
        <w:spacing w:line="360" w:lineRule="auto"/>
        <w:ind w:left="720" w:right="567"/>
        <w:contextualSpacing/>
        <w:jc w:val="center"/>
        <w:rPr>
          <w:rFonts w:ascii="Palatino Linotype" w:hAnsi="Palatino Linotype" w:cs="Arial"/>
          <w:i/>
          <w:lang w:val="es-MX" w:eastAsia="es-MX"/>
        </w:rPr>
      </w:pPr>
      <w:r w:rsidRPr="0046696A">
        <w:rPr>
          <w:rFonts w:ascii="Palatino Linotype" w:hAnsi="Palatino Linotype" w:cs="Arial"/>
          <w:b/>
          <w:bCs/>
          <w:i/>
          <w:lang w:val="es-MX" w:eastAsia="es-MX"/>
        </w:rPr>
        <w:t>“Criterio 6-09</w:t>
      </w:r>
    </w:p>
    <w:p w14:paraId="564132F6" w14:textId="77777777" w:rsidR="005E0A50" w:rsidRPr="0046696A" w:rsidRDefault="005E0A50" w:rsidP="005E0A50">
      <w:pPr>
        <w:autoSpaceDE w:val="0"/>
        <w:autoSpaceDN w:val="0"/>
        <w:adjustRightInd w:val="0"/>
        <w:spacing w:line="360" w:lineRule="auto"/>
        <w:ind w:left="720" w:right="567"/>
        <w:contextualSpacing/>
        <w:jc w:val="both"/>
        <w:rPr>
          <w:rFonts w:ascii="Palatino Linotype" w:hAnsi="Palatino Linotype" w:cs="Arial"/>
          <w:i/>
          <w:lang w:val="es-MX" w:eastAsia="es-MX"/>
        </w:rPr>
      </w:pPr>
      <w:r w:rsidRPr="0046696A">
        <w:rPr>
          <w:rFonts w:ascii="Palatino Linotype" w:hAnsi="Palatino Linotype" w:cs="Arial"/>
          <w:b/>
          <w:bCs/>
          <w:i/>
          <w:lang w:val="es-MX" w:eastAsia="es-MX"/>
        </w:rPr>
        <w:t xml:space="preserve">Nombres de servidores públicos dedicados a actividades en materia de seguridad, por excepción pueden considerarse información reservada. </w:t>
      </w:r>
      <w:r w:rsidRPr="0046696A">
        <w:rPr>
          <w:rFonts w:ascii="Palatino Linotype" w:hAnsi="Palatino Linotype" w:cs="Arial"/>
          <w:bCs/>
          <w:i/>
          <w:lang w:val="es-MX" w:eastAsia="es-MX"/>
        </w:rPr>
        <w:t xml:space="preserve">De conformidad con el artículo 7, fracciones I y III de la Ley Federal de Transparencia y Acceso a la Información Pública Gubernamental </w:t>
      </w:r>
      <w:r w:rsidRPr="0046696A">
        <w:rPr>
          <w:rFonts w:ascii="Palatino Linotype" w:hAnsi="Palatino Linotype" w:cs="Arial"/>
          <w:b/>
          <w:bCs/>
          <w:i/>
          <w:lang w:val="es-MX"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6696A">
        <w:rPr>
          <w:rFonts w:ascii="Palatino Linotype" w:hAnsi="Palatino Linotype" w:cs="Arial"/>
          <w:bCs/>
          <w:i/>
          <w:lang w:val="es-MX"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6696A">
        <w:rPr>
          <w:rFonts w:ascii="Palatino Linotype" w:hAnsi="Palatino Linotype" w:cs="Arial"/>
          <w:b/>
          <w:bCs/>
          <w:i/>
          <w:lang w:val="es-MX" w:eastAsia="es-MX"/>
        </w:rPr>
        <w:t>el artículo 13, fracción I de la ley de referencia se establece que podrá clasificarse aquella información cuya difusión pueda comprometer la seguridad nacional y pública</w:t>
      </w:r>
      <w:r w:rsidRPr="0046696A">
        <w:rPr>
          <w:rFonts w:ascii="Palatino Linotype" w:hAnsi="Palatino Linotype" w:cs="Arial"/>
          <w:bCs/>
          <w:i/>
          <w:lang w:val="es-MX" w:eastAsia="es-MX"/>
        </w:rPr>
        <w:t xml:space="preserve">. En este orden de ideas, una de las formas en que la delincuencia puede llegar a poner en riesgo la seguridad </w:t>
      </w:r>
      <w:r w:rsidRPr="0046696A">
        <w:rPr>
          <w:rFonts w:ascii="Palatino Linotype" w:hAnsi="Palatino Linotype" w:cs="Arial"/>
          <w:bCs/>
          <w:i/>
          <w:lang w:val="es-MX" w:eastAsia="es-MX"/>
        </w:rPr>
        <w:lastRenderedPageBreak/>
        <w:t xml:space="preserve">del país es precisamente anulando, impidiendo u obstaculizando la actuación de los servidores públicos que realizan funciones de carácter operativo, mediante el conocimiento de dicha situación, </w:t>
      </w:r>
      <w:r w:rsidRPr="0046696A">
        <w:rPr>
          <w:rFonts w:ascii="Palatino Linotype" w:hAnsi="Palatino Linotype" w:cs="Arial"/>
          <w:b/>
          <w:bCs/>
          <w:i/>
          <w:lang w:val="es-MX" w:eastAsia="es-MX"/>
        </w:rPr>
        <w:t>por lo que la reserva de la relación de los nombres y las funciones que desempeñan los servidores públicos que prestan sus servicios en áreas de seguridad nacional o pública</w:t>
      </w:r>
      <w:r w:rsidRPr="0046696A">
        <w:rPr>
          <w:rFonts w:ascii="Palatino Linotype" w:hAnsi="Palatino Linotype" w:cs="Arial"/>
          <w:bCs/>
          <w:i/>
          <w:lang w:val="es-MX" w:eastAsia="es-MX"/>
        </w:rPr>
        <w:t>, puede llegar a constituirse en un componente fundamental en el esfuerzo que realiza el Estado Mexicano para garantizar la seguridad del país en sus diferentes vertientes</w:t>
      </w:r>
      <w:r w:rsidRPr="0046696A">
        <w:rPr>
          <w:rFonts w:ascii="Palatino Linotype" w:hAnsi="Palatino Linotype" w:cs="Arial"/>
          <w:i/>
          <w:lang w:val="es-MX" w:eastAsia="es-MX"/>
        </w:rPr>
        <w:t>” (Sic)</w:t>
      </w:r>
    </w:p>
    <w:p w14:paraId="1E4CFB5C" w14:textId="77777777" w:rsidR="005E0A50" w:rsidRPr="0046696A" w:rsidRDefault="005E0A50" w:rsidP="005E0A50">
      <w:pPr>
        <w:tabs>
          <w:tab w:val="left" w:pos="3583"/>
        </w:tabs>
        <w:autoSpaceDE w:val="0"/>
        <w:autoSpaceDN w:val="0"/>
        <w:adjustRightInd w:val="0"/>
        <w:spacing w:line="360" w:lineRule="auto"/>
        <w:ind w:left="720" w:right="567"/>
        <w:contextualSpacing/>
        <w:jc w:val="both"/>
        <w:rPr>
          <w:rFonts w:ascii="Palatino Linotype" w:hAnsi="Palatino Linotype" w:cs="Arial"/>
          <w:lang w:val="es-MX" w:eastAsia="es-MX"/>
        </w:rPr>
      </w:pPr>
      <w:r w:rsidRPr="0046696A">
        <w:rPr>
          <w:rFonts w:ascii="Palatino Linotype" w:hAnsi="Palatino Linotype" w:cs="Arial"/>
          <w:lang w:val="es-MX" w:eastAsia="es-MX"/>
        </w:rPr>
        <w:t>(Énfasis añadido).</w:t>
      </w:r>
    </w:p>
    <w:p w14:paraId="3A1D45DC" w14:textId="77777777" w:rsidR="005E0A50" w:rsidRPr="0046696A" w:rsidRDefault="005E0A50" w:rsidP="00EE2D1B">
      <w:pPr>
        <w:spacing w:before="240" w:after="240" w:line="360" w:lineRule="auto"/>
        <w:ind w:right="49"/>
        <w:contextualSpacing/>
        <w:jc w:val="both"/>
        <w:rPr>
          <w:rFonts w:ascii="Palatino Linotype" w:eastAsia="Calibri" w:hAnsi="Palatino Linotype"/>
        </w:rPr>
      </w:pPr>
    </w:p>
    <w:p w14:paraId="2998F922" w14:textId="5EED4EB8" w:rsidR="00546FA0" w:rsidRPr="0046696A" w:rsidRDefault="00E46F10" w:rsidP="00E62DBE">
      <w:pPr>
        <w:numPr>
          <w:ilvl w:val="0"/>
          <w:numId w:val="8"/>
        </w:numPr>
        <w:spacing w:before="240" w:after="240" w:line="360" w:lineRule="auto"/>
        <w:ind w:left="0" w:right="49" w:firstLine="0"/>
        <w:contextualSpacing/>
        <w:jc w:val="both"/>
        <w:rPr>
          <w:rFonts w:ascii="Palatino Linotype" w:eastAsia="Calibri" w:hAnsi="Palatino Linotype"/>
        </w:rPr>
      </w:pPr>
      <w:r w:rsidRPr="0046696A">
        <w:rPr>
          <w:rFonts w:ascii="Palatino Linotype" w:hAnsi="Palatino Linotype"/>
          <w:lang w:val="es-MX" w:eastAsia="es-MX"/>
        </w:rPr>
        <w:t xml:space="preserve">Precisado lo anterior, se advierte que pretendió clasificar </w:t>
      </w:r>
      <w:r w:rsidR="00EE2D1B" w:rsidRPr="0046696A">
        <w:rPr>
          <w:rFonts w:ascii="Palatino Linotype" w:hAnsi="Palatino Linotype"/>
          <w:lang w:val="es-MX" w:eastAsia="es-MX"/>
        </w:rPr>
        <w:t xml:space="preserve">información solicitada, no obstante, la </w:t>
      </w:r>
      <w:r w:rsidR="00546FA0" w:rsidRPr="0046696A">
        <w:rPr>
          <w:rFonts w:ascii="Palatino Linotype" w:hAnsi="Palatino Linotype"/>
          <w:lang w:val="es-MX" w:eastAsia="es-MX"/>
        </w:rPr>
        <w:t xml:space="preserve">Ley de Transparencia y Acceso a la Información Pública del Estado de México y Municipios señala que para la clasificación formal de la información solicitada, el </w:t>
      </w:r>
      <w:r w:rsidR="00546FA0" w:rsidRPr="0046696A">
        <w:rPr>
          <w:rFonts w:ascii="Palatino Linotype" w:hAnsi="Palatino Linotype"/>
          <w:b/>
          <w:lang w:val="es-MX" w:eastAsia="es-MX"/>
        </w:rPr>
        <w:t>SUJETO OBLIGADO</w:t>
      </w:r>
      <w:r w:rsidR="00546FA0" w:rsidRPr="0046696A">
        <w:rPr>
          <w:rFonts w:ascii="Palatino Linotype" w:hAnsi="Palatino Linotype"/>
          <w:lang w:val="es-MX"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6C9A62D8" w14:textId="77777777" w:rsidR="00546FA0" w:rsidRPr="0046696A" w:rsidRDefault="00546FA0" w:rsidP="00546FA0">
      <w:pPr>
        <w:spacing w:line="360" w:lineRule="auto"/>
        <w:contextualSpacing/>
        <w:jc w:val="both"/>
        <w:rPr>
          <w:rFonts w:ascii="Palatino Linotype" w:hAnsi="Palatino Linotype"/>
          <w:lang w:val="es-MX" w:eastAsia="es-MX"/>
        </w:rPr>
      </w:pPr>
    </w:p>
    <w:p w14:paraId="79CEDBF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“Artículo 49</w:t>
      </w:r>
      <w:r w:rsidRPr="0046696A">
        <w:rPr>
          <w:rFonts w:ascii="Palatino Linotype" w:hAnsi="Palatino Linotype"/>
          <w:i/>
          <w:lang w:val="es-MX" w:eastAsia="es-MX"/>
        </w:rPr>
        <w:t xml:space="preserve">. Los Comités de Transparencia tendrán las siguientes atribuciones: </w:t>
      </w:r>
    </w:p>
    <w:p w14:paraId="0FD9C1B1"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lastRenderedPageBreak/>
        <w:t xml:space="preserve">VIII. Aprobar, modificar o revocar la clasificación de la información; </w:t>
      </w:r>
    </w:p>
    <w:p w14:paraId="3FA2C61B" w14:textId="77777777" w:rsidR="003159A7" w:rsidRPr="0046696A" w:rsidRDefault="003159A7" w:rsidP="00546FA0">
      <w:pPr>
        <w:spacing w:line="360" w:lineRule="auto"/>
        <w:ind w:left="720" w:right="538"/>
        <w:contextualSpacing/>
        <w:jc w:val="both"/>
        <w:rPr>
          <w:rFonts w:ascii="Palatino Linotype" w:hAnsi="Palatino Linotype"/>
          <w:i/>
          <w:lang w:val="es-MX" w:eastAsia="es-MX"/>
        </w:rPr>
      </w:pPr>
    </w:p>
    <w:p w14:paraId="2FE85BDF"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Artículo 132</w:t>
      </w:r>
      <w:r w:rsidRPr="0046696A">
        <w:rPr>
          <w:rFonts w:ascii="Palatino Linotype" w:hAnsi="Palatino Linotype"/>
          <w:i/>
          <w:lang w:val="es-MX" w:eastAsia="es-MX"/>
        </w:rPr>
        <w:t xml:space="preserve">. La clasificación de la información se llevará a cabo en el momento en que: </w:t>
      </w:r>
    </w:p>
    <w:p w14:paraId="0019592D"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I. Se reciba una solicitud de acceso a la información; </w:t>
      </w:r>
    </w:p>
    <w:p w14:paraId="677EBAAF"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II. Se determine mediante resolución de autoridad competente; o </w:t>
      </w:r>
    </w:p>
    <w:p w14:paraId="03CCB34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III. Se generen versiones públicas para dar cumplimiento a las obligaciones de transparencia previstas en esta Ley.” </w:t>
      </w:r>
    </w:p>
    <w:p w14:paraId="5F067AE4"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16A55D57"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Cuarto.</w:t>
      </w:r>
      <w:r w:rsidRPr="0046696A">
        <w:rPr>
          <w:rFonts w:ascii="Palatino Linotype" w:hAnsi="Palatino Linotype"/>
          <w:i/>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0FA844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05B1A869"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Quinto.</w:t>
      </w:r>
      <w:r w:rsidRPr="0046696A">
        <w:rPr>
          <w:rFonts w:ascii="Palatino Linotype" w:hAnsi="Palatino Linotype"/>
          <w:i/>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w:t>
      </w:r>
      <w:r w:rsidRPr="0046696A">
        <w:rPr>
          <w:rFonts w:ascii="Palatino Linotype" w:hAnsi="Palatino Linotype"/>
          <w:i/>
          <w:lang w:val="es-MX" w:eastAsia="es-MX"/>
        </w:rPr>
        <w:lastRenderedPageBreak/>
        <w:t>generen versiones públicas para dar cumplimiento a las obligaciones de transparencia, observando lo dispuesto en la Ley General y las demás disposiciones aplicables en la materia.</w:t>
      </w:r>
    </w:p>
    <w:p w14:paraId="0B9666FD"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23F9BD25"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Sexto.</w:t>
      </w:r>
      <w:r w:rsidRPr="0046696A">
        <w:rPr>
          <w:rFonts w:ascii="Palatino Linotype" w:hAnsi="Palatino Linotype"/>
          <w:i/>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3EDA07FD"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4D713CB1"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La clasificación de información se realizará conforme a un análisis caso por caso, mediante la aplicación de la prueba de daño y de interés público. </w:t>
      </w:r>
    </w:p>
    <w:p w14:paraId="0C322C9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7BE571F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Séptimo.</w:t>
      </w:r>
      <w:r w:rsidRPr="0046696A">
        <w:rPr>
          <w:rFonts w:ascii="Palatino Linotype" w:hAnsi="Palatino Linotype"/>
          <w:i/>
          <w:lang w:val="es-MX" w:eastAsia="es-MX"/>
        </w:rPr>
        <w:t xml:space="preserve"> La clasificación de la información se llevará a cabo en el momento en que: I. Se reciba una solicitud de acceso a la información; </w:t>
      </w:r>
    </w:p>
    <w:p w14:paraId="2C52447C"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6B1A199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II. Se determine mediante resolución de autoridad competente, o </w:t>
      </w:r>
    </w:p>
    <w:p w14:paraId="6354C02C"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III. Se generen versiones públicas para dar cumplimiento a las obligaciones de transparencia previstas en la Ley General, la Ley Federal y las correspondientes de las entidades federativas. </w:t>
      </w:r>
    </w:p>
    <w:p w14:paraId="455D3DD0"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251928A2"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Los titulares de las áreas deberán revisar la clasificación al momento de la recepción de una solicitud de acceso a la información, para verificar si encuadra en una causal de reserva o de confidencialidad. </w:t>
      </w:r>
    </w:p>
    <w:p w14:paraId="5138A10C"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04872D2B"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lastRenderedPageBreak/>
        <w:t>Octavo.</w:t>
      </w:r>
      <w:r w:rsidRPr="0046696A">
        <w:rPr>
          <w:rFonts w:ascii="Palatino Linotype" w:hAnsi="Palatino Linotype"/>
          <w:i/>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50DC7C00"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Para motivar la clasificación se deberán señalar las razones o circunstancias especiales que lo llevaron a concluir que el caso particular se ajusta al supuesto previsto por la norma legal invocada como fundamento. </w:t>
      </w:r>
    </w:p>
    <w:p w14:paraId="358DDA60"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1DFF6E91"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En caso de referirse a información reservada, la motivación de la clasificación también deberá comprender las circunstancias que justifican el establecimiento de determinado plazo de reserva. </w:t>
      </w:r>
    </w:p>
    <w:p w14:paraId="6B417469"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491BC1C7"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E5BCD8"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308A843C"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CFFBC80"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09EF5804"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Décimo</w:t>
      </w:r>
      <w:r w:rsidRPr="0046696A">
        <w:rPr>
          <w:rFonts w:ascii="Palatino Linotype" w:hAnsi="Palatino Linotype"/>
          <w:i/>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3E1038F1"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0F6544D4"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i/>
          <w:lang w:val="es-MX" w:eastAsia="es-MX"/>
        </w:rPr>
        <w:t xml:space="preserve">En ausencia de los titulares de las áreas, la información será clasificada o desclasificada por la persona que lo supla, en términos de la normativa que rija la actuación del sujeto obligado. </w:t>
      </w:r>
    </w:p>
    <w:p w14:paraId="3B0E333C" w14:textId="77777777" w:rsidR="00546FA0" w:rsidRPr="0046696A" w:rsidRDefault="00546FA0" w:rsidP="00546FA0">
      <w:pPr>
        <w:spacing w:line="360" w:lineRule="auto"/>
        <w:ind w:left="720" w:right="538"/>
        <w:contextualSpacing/>
        <w:jc w:val="both"/>
        <w:rPr>
          <w:rFonts w:ascii="Palatino Linotype" w:hAnsi="Palatino Linotype"/>
          <w:i/>
          <w:lang w:val="es-MX" w:eastAsia="es-MX"/>
        </w:rPr>
      </w:pPr>
    </w:p>
    <w:p w14:paraId="2AD063CF" w14:textId="77777777" w:rsidR="00546FA0" w:rsidRDefault="00546FA0" w:rsidP="00546FA0">
      <w:pPr>
        <w:spacing w:line="360" w:lineRule="auto"/>
        <w:ind w:left="720" w:right="538"/>
        <w:contextualSpacing/>
        <w:jc w:val="both"/>
        <w:rPr>
          <w:rFonts w:ascii="Palatino Linotype" w:hAnsi="Palatino Linotype"/>
          <w:i/>
          <w:lang w:val="es-MX" w:eastAsia="es-MX"/>
        </w:rPr>
      </w:pPr>
      <w:r w:rsidRPr="0046696A">
        <w:rPr>
          <w:rFonts w:ascii="Palatino Linotype" w:hAnsi="Palatino Linotype"/>
          <w:b/>
          <w:i/>
          <w:lang w:val="es-MX" w:eastAsia="es-MX"/>
        </w:rPr>
        <w:t>Décimo primero</w:t>
      </w:r>
      <w:r w:rsidRPr="0046696A">
        <w:rPr>
          <w:rFonts w:ascii="Palatino Linotype" w:hAnsi="Palatino Linotype"/>
          <w:i/>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187F60A" w14:textId="77777777" w:rsidR="00886EEC" w:rsidRDefault="00886EEC" w:rsidP="00546FA0">
      <w:pPr>
        <w:spacing w:line="360" w:lineRule="auto"/>
        <w:ind w:left="720" w:right="538"/>
        <w:contextualSpacing/>
        <w:jc w:val="both"/>
        <w:rPr>
          <w:rFonts w:ascii="Palatino Linotype" w:hAnsi="Palatino Linotype"/>
          <w:i/>
          <w:lang w:val="es-MX" w:eastAsia="es-MX"/>
        </w:rPr>
      </w:pPr>
    </w:p>
    <w:p w14:paraId="0186F633" w14:textId="13C5AABF" w:rsidR="00886EEC" w:rsidRPr="000E6EA5" w:rsidRDefault="00886EEC" w:rsidP="00E62DBE">
      <w:pPr>
        <w:pStyle w:val="Prrafodelista"/>
        <w:numPr>
          <w:ilvl w:val="0"/>
          <w:numId w:val="8"/>
        </w:numPr>
        <w:spacing w:line="360" w:lineRule="auto"/>
        <w:ind w:left="0" w:right="538" w:firstLine="0"/>
        <w:contextualSpacing/>
        <w:jc w:val="both"/>
        <w:rPr>
          <w:rFonts w:ascii="Palatino Linotype" w:hAnsi="Palatino Linotype"/>
          <w:b/>
          <w:i/>
          <w:lang w:val="es-MX" w:eastAsia="es-MX"/>
        </w:rPr>
      </w:pPr>
      <w:r w:rsidRPr="000E6EA5">
        <w:rPr>
          <w:rFonts w:ascii="Palatino Linotype" w:hAnsi="Palatino Linotype"/>
          <w:b/>
          <w:lang w:val="es-MX" w:eastAsia="es-MX"/>
        </w:rPr>
        <w:t xml:space="preserve">En razón de lo anterior se deberá de realizar entrega de la nómina general en su versión </w:t>
      </w:r>
      <w:r w:rsidR="000E6EA5" w:rsidRPr="000E6EA5">
        <w:rPr>
          <w:rFonts w:ascii="Palatino Linotype" w:hAnsi="Palatino Linotype"/>
          <w:b/>
          <w:lang w:val="es-MX" w:eastAsia="es-MX"/>
        </w:rPr>
        <w:t>pública</w:t>
      </w:r>
      <w:r w:rsidRPr="000E6EA5">
        <w:rPr>
          <w:rFonts w:ascii="Palatino Linotype" w:hAnsi="Palatino Linotype"/>
          <w:b/>
          <w:lang w:val="es-MX" w:eastAsia="es-MX"/>
        </w:rPr>
        <w:t xml:space="preserve">, clasificando los datos de carácter confidencial y </w:t>
      </w:r>
      <w:r w:rsidR="000E6EA5" w:rsidRPr="000E6EA5">
        <w:rPr>
          <w:rFonts w:ascii="Palatino Linotype" w:hAnsi="Palatino Linotype"/>
          <w:b/>
          <w:lang w:val="es-MX" w:eastAsia="es-MX"/>
        </w:rPr>
        <w:t xml:space="preserve">como dato reservado </w:t>
      </w:r>
      <w:r w:rsidRPr="000E6EA5">
        <w:rPr>
          <w:rFonts w:ascii="Palatino Linotype" w:hAnsi="Palatino Linotype"/>
          <w:b/>
          <w:lang w:val="es-MX" w:eastAsia="es-MX"/>
        </w:rPr>
        <w:t>el nombre de los el</w:t>
      </w:r>
      <w:r w:rsidR="000E6EA5" w:rsidRPr="000E6EA5">
        <w:rPr>
          <w:rFonts w:ascii="Palatino Linotype" w:hAnsi="Palatino Linotype"/>
          <w:b/>
          <w:lang w:val="es-MX" w:eastAsia="es-MX"/>
        </w:rPr>
        <w:t>ementos de seguridad operativos. E</w:t>
      </w:r>
      <w:r w:rsidRPr="000E6EA5">
        <w:rPr>
          <w:rFonts w:ascii="Palatino Linotype" w:hAnsi="Palatino Linotype"/>
          <w:b/>
          <w:lang w:val="es-MX" w:eastAsia="es-MX"/>
        </w:rPr>
        <w:t xml:space="preserve">ntregándose en un ejercicio de máxima publicidad las remuneraciones de </w:t>
      </w:r>
      <w:r w:rsidR="000E6EA5" w:rsidRPr="000E6EA5">
        <w:rPr>
          <w:rFonts w:ascii="Palatino Linotype" w:hAnsi="Palatino Linotype"/>
          <w:b/>
          <w:lang w:val="es-MX" w:eastAsia="es-MX"/>
        </w:rPr>
        <w:t xml:space="preserve">todos </w:t>
      </w:r>
      <w:r w:rsidRPr="000E6EA5">
        <w:rPr>
          <w:rFonts w:ascii="Palatino Linotype" w:hAnsi="Palatino Linotype"/>
          <w:b/>
          <w:lang w:val="es-MX" w:eastAsia="es-MX"/>
        </w:rPr>
        <w:t>los Servidores Públicos adscritos a la Comisaría de Seguridad Pública y Tránsito del Ayuntamiento de Nicolás Romero.</w:t>
      </w:r>
    </w:p>
    <w:p w14:paraId="59D94A4C" w14:textId="77777777" w:rsidR="006C1CF7" w:rsidRDefault="006C1CF7" w:rsidP="006C1CF7">
      <w:pPr>
        <w:pStyle w:val="Prrafodelista"/>
        <w:tabs>
          <w:tab w:val="left" w:pos="426"/>
        </w:tabs>
        <w:spacing w:line="360" w:lineRule="auto"/>
        <w:ind w:left="0" w:right="49"/>
        <w:contextualSpacing/>
        <w:jc w:val="both"/>
        <w:rPr>
          <w:rFonts w:ascii="Palatino Linotype" w:eastAsiaTheme="minorEastAsia" w:hAnsi="Palatino Linotype" w:cstheme="minorBidi"/>
          <w:color w:val="000000" w:themeColor="text1"/>
          <w:lang w:val="es-ES_tradnl"/>
        </w:rPr>
      </w:pPr>
    </w:p>
    <w:p w14:paraId="7B61C232" w14:textId="77777777" w:rsidR="006C1CF7" w:rsidRPr="00085B05" w:rsidRDefault="006C1CF7" w:rsidP="006C1CF7">
      <w:pPr>
        <w:pStyle w:val="Prrafodelista"/>
        <w:spacing w:line="360" w:lineRule="auto"/>
        <w:ind w:left="0"/>
        <w:jc w:val="both"/>
        <w:rPr>
          <w:rFonts w:ascii="Palatino Linotype" w:eastAsia="Calibri" w:hAnsi="Palatino Linotype" w:cs="Arial"/>
          <w:b/>
          <w:lang w:val="es-ES_tradnl"/>
        </w:rPr>
      </w:pPr>
    </w:p>
    <w:p w14:paraId="76444D5D" w14:textId="6296C5B6" w:rsidR="008F1049" w:rsidRPr="0046696A" w:rsidRDefault="00AC3EC5" w:rsidP="000C1184">
      <w:pPr>
        <w:keepNext/>
        <w:keepLines/>
        <w:spacing w:before="240" w:line="360" w:lineRule="auto"/>
        <w:outlineLvl w:val="0"/>
        <w:rPr>
          <w:rFonts w:ascii="Palatino Linotype" w:eastAsia="MS Mincho" w:hAnsi="Palatino Linotype"/>
          <w:b/>
          <w:lang w:val="es-ES_tradnl"/>
        </w:rPr>
      </w:pPr>
      <w:bookmarkStart w:id="58" w:name="_Toc34310247"/>
      <w:bookmarkStart w:id="59" w:name="_Toc34849558"/>
      <w:bookmarkStart w:id="60" w:name="_Toc53659481"/>
      <w:bookmarkStart w:id="61" w:name="_Toc67598514"/>
      <w:bookmarkStart w:id="62" w:name="_Toc69999203"/>
      <w:bookmarkStart w:id="63" w:name="_Toc73033012"/>
      <w:bookmarkStart w:id="64" w:name="_Toc85717361"/>
      <w:bookmarkStart w:id="65" w:name="_Toc466371865"/>
      <w:bookmarkStart w:id="66" w:name="_Toc466377653"/>
      <w:bookmarkEnd w:id="47"/>
      <w:bookmarkEnd w:id="48"/>
      <w:bookmarkEnd w:id="49"/>
      <w:bookmarkEnd w:id="50"/>
      <w:bookmarkEnd w:id="51"/>
      <w:r w:rsidRPr="0046696A">
        <w:rPr>
          <w:rFonts w:ascii="Palatino Linotype" w:eastAsia="MS Gothic" w:hAnsi="Palatino Linotype"/>
          <w:b/>
          <w:lang w:val="es-ES_tradnl" w:eastAsia="es-ES_tradnl"/>
        </w:rPr>
        <w:t>QUINTO</w:t>
      </w:r>
      <w:r w:rsidR="008F1049" w:rsidRPr="0046696A">
        <w:rPr>
          <w:rFonts w:ascii="Palatino Linotype" w:eastAsia="MS Gothic" w:hAnsi="Palatino Linotype"/>
          <w:b/>
          <w:lang w:val="es-ES_tradnl" w:eastAsia="es-ES_tradnl"/>
        </w:rPr>
        <w:t xml:space="preserve">. </w:t>
      </w:r>
      <w:r w:rsidR="008F1049" w:rsidRPr="0046696A">
        <w:rPr>
          <w:rFonts w:ascii="Palatino Linotype" w:eastAsia="MS Mincho" w:hAnsi="Palatino Linotype"/>
          <w:b/>
          <w:lang w:val="es-ES_tradnl"/>
        </w:rPr>
        <w:t>De la elaboración de la versión pública y el acuerdo de clasificación como información confidencial</w:t>
      </w:r>
      <w:bookmarkEnd w:id="58"/>
      <w:bookmarkEnd w:id="59"/>
      <w:bookmarkEnd w:id="60"/>
      <w:bookmarkEnd w:id="61"/>
      <w:bookmarkEnd w:id="62"/>
      <w:bookmarkEnd w:id="63"/>
      <w:r w:rsidR="003159A7" w:rsidRPr="0046696A">
        <w:rPr>
          <w:rFonts w:ascii="Palatino Linotype" w:eastAsia="MS Mincho" w:hAnsi="Palatino Linotype"/>
          <w:b/>
          <w:lang w:val="es-ES_tradnl"/>
        </w:rPr>
        <w:t xml:space="preserve"> o reservada</w:t>
      </w:r>
      <w:r w:rsidR="007F4FC6" w:rsidRPr="0046696A">
        <w:rPr>
          <w:rFonts w:ascii="Palatino Linotype" w:eastAsia="MS Mincho" w:hAnsi="Palatino Linotype"/>
          <w:b/>
          <w:lang w:val="es-ES_tradnl"/>
        </w:rPr>
        <w:t>.</w:t>
      </w:r>
      <w:bookmarkEnd w:id="64"/>
    </w:p>
    <w:p w14:paraId="579C7F0B" w14:textId="5B39B2CC"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rPr>
      </w:pPr>
      <w:r w:rsidRPr="0046696A">
        <w:rPr>
          <w:rFonts w:ascii="Palatino Linotype" w:hAnsi="Palatino Linotype" w:cs="Arial"/>
          <w:color w:val="000000"/>
          <w:lang w:val="es-ES_tradnl"/>
        </w:rPr>
        <w:t xml:space="preserve">Debe destacarse que debido a la naturaleza de </w:t>
      </w:r>
      <w:r w:rsidRPr="0046696A">
        <w:rPr>
          <w:rFonts w:ascii="Palatino Linotype" w:hAnsi="Palatino Linotype"/>
          <w:color w:val="000000"/>
          <w:lang w:val="es-ES_tradnl"/>
        </w:rPr>
        <w:t xml:space="preserve">la información solicitada, en la misma pudieran obrar datos personales o información reservada susceptibles de protegerse </w:t>
      </w:r>
      <w:r w:rsidRPr="0046696A">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9C2BCD6"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rPr>
      </w:pPr>
    </w:p>
    <w:p w14:paraId="2ED3308A" w14:textId="77777777" w:rsidR="003159A7" w:rsidRPr="0046696A" w:rsidRDefault="003159A7" w:rsidP="00E62DBE">
      <w:pPr>
        <w:pStyle w:val="Prrafodelista"/>
        <w:numPr>
          <w:ilvl w:val="0"/>
          <w:numId w:val="8"/>
        </w:numPr>
        <w:spacing w:before="240" w:after="240" w:line="360" w:lineRule="auto"/>
        <w:ind w:left="0" w:hanging="11"/>
        <w:contextualSpacing/>
        <w:jc w:val="both"/>
        <w:rPr>
          <w:rFonts w:ascii="Palatino Linotype" w:hAnsi="Palatino Linotype" w:cs="Arial"/>
        </w:rPr>
      </w:pPr>
      <w:r w:rsidRPr="0046696A">
        <w:rPr>
          <w:rFonts w:ascii="Palatino Linotype" w:eastAsia="Calibri" w:hAnsi="Palatino Linotype" w:cs="Arial"/>
          <w:color w:val="000000"/>
          <w:lang w:eastAsia="es-MX"/>
        </w:rPr>
        <w:t xml:space="preserve">Es de señalar que, por lo que hace a las versiones públicas, el </w:t>
      </w:r>
      <w:r w:rsidRPr="0046696A">
        <w:rPr>
          <w:rFonts w:ascii="Palatino Linotype" w:eastAsia="Calibri" w:hAnsi="Palatino Linotype" w:cs="Arial"/>
          <w:b/>
          <w:color w:val="000000"/>
          <w:lang w:eastAsia="es-MX"/>
        </w:rPr>
        <w:t>SUJETO OBLIGADO</w:t>
      </w:r>
      <w:r w:rsidRPr="0046696A">
        <w:rPr>
          <w:rFonts w:ascii="Palatino Linotype" w:eastAsia="Calibri" w:hAnsi="Palatino Linotype" w:cs="Arial"/>
          <w:color w:val="000000"/>
          <w:lang w:eastAsia="es-MX"/>
        </w:rPr>
        <w:t xml:space="preserve"> debe cumplir con las formalidades exigidas en la Ley, por lo que </w:t>
      </w:r>
      <w:r w:rsidRPr="0046696A">
        <w:rPr>
          <w:rFonts w:ascii="Palatino Linotype" w:hAnsi="Palatino Linotype" w:cs="Arial"/>
          <w:color w:val="000000"/>
          <w:lang w:val="es-ES_tradnl" w:eastAsia="es-MX"/>
        </w:rPr>
        <w:t xml:space="preserve">para tal efecto emitirá el </w:t>
      </w:r>
      <w:r w:rsidRPr="0046696A">
        <w:rPr>
          <w:rFonts w:ascii="Palatino Linotype" w:eastAsia="Calibri" w:hAnsi="Palatino Linotype" w:cs="Arial"/>
          <w:color w:val="000000"/>
          <w:lang w:eastAsia="es-MX"/>
        </w:rPr>
        <w:t>Acuerdo del Comité de Transparencia en términos de los artículos 49 fracción</w:t>
      </w:r>
      <w:r w:rsidRPr="0046696A">
        <w:rPr>
          <w:rFonts w:ascii="Palatino Linotype" w:eastAsia="Calibri" w:hAnsi="Palatino Linotype" w:cs="Arial"/>
          <w:bCs/>
          <w:color w:val="000000"/>
          <w:lang w:val="es-ES_tradnl"/>
        </w:rPr>
        <w:t xml:space="preserve"> VIII,</w:t>
      </w:r>
      <w:r w:rsidRPr="0046696A">
        <w:rPr>
          <w:rFonts w:ascii="Palatino Linotype" w:eastAsia="Calibri" w:hAnsi="Palatino Linotype" w:cs="Arial"/>
          <w:color w:val="000000"/>
          <w:lang w:eastAsia="es-MX"/>
        </w:rPr>
        <w:t xml:space="preserve"> 122</w:t>
      </w:r>
      <w:r w:rsidRPr="0046696A">
        <w:rPr>
          <w:rFonts w:ascii="Palatino Linotype" w:hAnsi="Palatino Linotype"/>
          <w:vertAlign w:val="superscript"/>
          <w:lang w:eastAsia="es-MX"/>
        </w:rPr>
        <w:footnoteReference w:id="8"/>
      </w:r>
      <w:r w:rsidRPr="0046696A">
        <w:rPr>
          <w:rFonts w:ascii="Palatino Linotype" w:eastAsia="Calibri" w:hAnsi="Palatino Linotype" w:cs="Arial"/>
          <w:color w:val="000000"/>
          <w:lang w:eastAsia="es-MX"/>
        </w:rPr>
        <w:t>, 135</w:t>
      </w:r>
      <w:r w:rsidRPr="0046696A">
        <w:rPr>
          <w:rFonts w:ascii="Palatino Linotype" w:hAnsi="Palatino Linotype"/>
          <w:vertAlign w:val="superscript"/>
          <w:lang w:eastAsia="es-MX"/>
        </w:rPr>
        <w:footnoteReference w:id="9"/>
      </w:r>
      <w:r w:rsidRPr="0046696A">
        <w:rPr>
          <w:rFonts w:ascii="Palatino Linotype" w:eastAsia="Calibri" w:hAnsi="Palatino Linotype" w:cs="Arial"/>
          <w:color w:val="000000"/>
          <w:lang w:eastAsia="es-MX"/>
        </w:rPr>
        <w:t xml:space="preserve"> y 149 de la </w:t>
      </w:r>
      <w:r w:rsidRPr="0046696A">
        <w:rPr>
          <w:rFonts w:ascii="Palatino Linotype" w:eastAsia="Calibri" w:hAnsi="Palatino Linotype" w:cs="Arial"/>
          <w:b/>
          <w:color w:val="000000"/>
          <w:lang w:eastAsia="es-MX"/>
        </w:rPr>
        <w:t>Ley de Transparencia y Acceso a la Información Pública del Estado de México y Municipios</w:t>
      </w:r>
      <w:r w:rsidRPr="0046696A">
        <w:rPr>
          <w:rFonts w:ascii="Palatino Linotype" w:eastAsia="Calibri" w:hAnsi="Palatino Linotype" w:cs="Arial"/>
          <w:color w:val="000000"/>
          <w:lang w:eastAsia="es-MX"/>
        </w:rPr>
        <w:t xml:space="preserve">, con el cual sustentara de </w:t>
      </w:r>
      <w:r w:rsidRPr="0046696A">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76F9ECF4"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rPr>
      </w:pPr>
    </w:p>
    <w:p w14:paraId="6D045023" w14:textId="77777777" w:rsidR="003159A7" w:rsidRPr="0046696A" w:rsidRDefault="003159A7" w:rsidP="00E62DBE">
      <w:pPr>
        <w:pStyle w:val="Ttulo1"/>
        <w:numPr>
          <w:ilvl w:val="0"/>
          <w:numId w:val="6"/>
        </w:numPr>
        <w:ind w:left="284" w:hanging="284"/>
        <w:rPr>
          <w:rFonts w:ascii="Palatino Linotype" w:hAnsi="Palatino Linotype"/>
          <w:b/>
          <w:color w:val="000000" w:themeColor="text1"/>
          <w:sz w:val="24"/>
          <w:szCs w:val="24"/>
          <w:lang w:val="es-ES_tradnl"/>
        </w:rPr>
      </w:pPr>
      <w:bookmarkStart w:id="67" w:name="_Toc83127114"/>
      <w:bookmarkStart w:id="68" w:name="_Toc85717362"/>
      <w:r w:rsidRPr="0046696A">
        <w:rPr>
          <w:rFonts w:ascii="Palatino Linotype" w:hAnsi="Palatino Linotype"/>
          <w:b/>
          <w:color w:val="000000" w:themeColor="text1"/>
          <w:sz w:val="24"/>
          <w:szCs w:val="24"/>
          <w:lang w:val="es-ES_tradnl"/>
        </w:rPr>
        <w:t>De la clasificación de la información.</w:t>
      </w:r>
      <w:bookmarkEnd w:id="67"/>
      <w:bookmarkEnd w:id="68"/>
      <w:r w:rsidRPr="0046696A">
        <w:rPr>
          <w:rFonts w:ascii="Palatino Linotype" w:hAnsi="Palatino Linotype"/>
          <w:b/>
          <w:color w:val="000000" w:themeColor="text1"/>
          <w:sz w:val="24"/>
          <w:szCs w:val="24"/>
          <w:lang w:val="es-ES_tradnl"/>
        </w:rPr>
        <w:t xml:space="preserve"> </w:t>
      </w:r>
    </w:p>
    <w:p w14:paraId="59834686" w14:textId="77777777" w:rsidR="003159A7" w:rsidRPr="0046696A" w:rsidRDefault="003159A7" w:rsidP="003159A7">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1C356D9B"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L</w:t>
      </w:r>
      <w:r w:rsidRPr="0046696A">
        <w:rPr>
          <w:rFonts w:ascii="Palatino Linotype" w:hAnsi="Palatino Linotype"/>
          <w:color w:val="000000"/>
          <w:lang w:val="es-ES_tradnl"/>
        </w:rPr>
        <w:t>a</w:t>
      </w:r>
      <w:r w:rsidRPr="0046696A">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6696A">
        <w:rPr>
          <w:rFonts w:ascii="Palatino Linotype" w:hAnsi="Palatino Linotype"/>
          <w:vertAlign w:val="superscript"/>
          <w:lang w:val="es-ES_tradnl"/>
        </w:rPr>
        <w:footnoteReference w:id="10"/>
      </w:r>
      <w:r w:rsidRPr="0046696A">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w:t>
      </w:r>
      <w:r w:rsidRPr="0046696A">
        <w:rPr>
          <w:rFonts w:ascii="Palatino Linotype" w:hAnsi="Palatino Linotype"/>
          <w:lang w:val="es-ES_tradnl"/>
        </w:rPr>
        <w:lastRenderedPageBreak/>
        <w:t>legítimo y ser estrictamente proporcional con el principio o valor que se pretende preservar.</w:t>
      </w:r>
      <w:r w:rsidRPr="0046696A">
        <w:rPr>
          <w:rFonts w:ascii="Palatino Linotype" w:hAnsi="Palatino Linotype"/>
          <w:vertAlign w:val="superscript"/>
          <w:lang w:val="es-ES_tradnl"/>
        </w:rPr>
        <w:footnoteReference w:id="11"/>
      </w:r>
      <w:r w:rsidRPr="0046696A">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8BA8E80" w14:textId="77777777" w:rsidR="003159A7" w:rsidRPr="0046696A" w:rsidRDefault="003159A7" w:rsidP="003159A7">
      <w:pPr>
        <w:pStyle w:val="Prrafodelista"/>
        <w:rPr>
          <w:rFonts w:ascii="Palatino Linotype" w:hAnsi="Palatino Linotype" w:cs="Arial"/>
          <w:color w:val="000000"/>
          <w:lang w:val="es-ES_tradnl"/>
        </w:rPr>
      </w:pPr>
    </w:p>
    <w:p w14:paraId="37F9B15F"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0116606F" w14:textId="77777777" w:rsidR="003159A7" w:rsidRPr="0046696A" w:rsidRDefault="003159A7" w:rsidP="003159A7">
      <w:pPr>
        <w:keepNext/>
        <w:keepLines/>
        <w:spacing w:before="240" w:line="360" w:lineRule="auto"/>
        <w:outlineLvl w:val="0"/>
        <w:rPr>
          <w:rFonts w:ascii="Palatino Linotype" w:hAnsi="Palatino Linotype"/>
          <w:b/>
          <w:lang w:val="es-MX" w:eastAsia="en-US"/>
        </w:rPr>
      </w:pPr>
      <w:bookmarkStart w:id="69" w:name="_Toc5890461"/>
      <w:bookmarkStart w:id="70" w:name="_Toc50062187"/>
      <w:bookmarkStart w:id="71" w:name="_Toc63348478"/>
      <w:bookmarkStart w:id="72" w:name="_Toc67598515"/>
      <w:bookmarkStart w:id="73" w:name="_Toc69999204"/>
      <w:bookmarkStart w:id="74" w:name="_Toc73033013"/>
      <w:bookmarkStart w:id="75" w:name="_Toc83127115"/>
      <w:bookmarkStart w:id="76" w:name="_Toc85717363"/>
      <w:r w:rsidRPr="0046696A">
        <w:rPr>
          <w:rFonts w:ascii="Palatino Linotype" w:hAnsi="Palatino Linotype"/>
          <w:b/>
          <w:lang w:val="es-MX" w:eastAsia="en-US"/>
        </w:rPr>
        <w:t>II. Requisitos previos.</w:t>
      </w:r>
      <w:bookmarkEnd w:id="69"/>
      <w:bookmarkEnd w:id="70"/>
      <w:bookmarkEnd w:id="71"/>
      <w:bookmarkEnd w:id="72"/>
      <w:bookmarkEnd w:id="73"/>
      <w:bookmarkEnd w:id="74"/>
      <w:bookmarkEnd w:id="75"/>
      <w:bookmarkEnd w:id="76"/>
    </w:p>
    <w:p w14:paraId="527E2A6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lang w:val="es-ES_tradnl"/>
        </w:rPr>
        <w:t>Los</w:t>
      </w:r>
      <w:r w:rsidRPr="0046696A">
        <w:rPr>
          <w:rFonts w:ascii="Palatino Linotype" w:hAnsi="Palatino Linotype" w:cs="Arial"/>
          <w:color w:val="000000"/>
          <w:lang w:val="es-ES_tradnl"/>
        </w:rPr>
        <w:t xml:space="preserve"> </w:t>
      </w:r>
      <w:r w:rsidRPr="0046696A">
        <w:rPr>
          <w:rFonts w:ascii="Palatino Linotype" w:hAnsi="Palatino Linotype"/>
          <w:lang w:val="es-ES_tradnl"/>
        </w:rPr>
        <w:t>artículos</w:t>
      </w:r>
      <w:r w:rsidRPr="0046696A">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46696A">
        <w:rPr>
          <w:rFonts w:ascii="Palatino Linotype" w:hAnsi="Palatino Linotype" w:cs="Arial"/>
          <w:color w:val="000000"/>
          <w:lang w:val="es-ES_tradnl"/>
        </w:rPr>
        <w:lastRenderedPageBreak/>
        <w:t>póliza, entre otros), señalando el supuesto de clasificación (confidencialidad o reserva).</w:t>
      </w:r>
    </w:p>
    <w:p w14:paraId="4D2DDECD"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73C94FE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D0B9E00" w14:textId="77777777" w:rsidR="003159A7" w:rsidRPr="0046696A" w:rsidRDefault="003159A7" w:rsidP="003159A7">
      <w:pPr>
        <w:pStyle w:val="Prrafodelista"/>
        <w:rPr>
          <w:rFonts w:ascii="Palatino Linotype" w:hAnsi="Palatino Linotype" w:cs="Arial"/>
          <w:color w:val="000000"/>
          <w:lang w:val="es-ES_tradnl"/>
        </w:rPr>
      </w:pPr>
    </w:p>
    <w:p w14:paraId="11B91F53"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46696A">
        <w:rPr>
          <w:rFonts w:ascii="Palatino Linotype" w:hAnsi="Palatino Linotype" w:cs="Arial"/>
          <w:b/>
          <w:color w:val="000000"/>
          <w:lang w:val="es-ES_tradnl"/>
        </w:rPr>
        <w:t xml:space="preserve">no se puede hacer un acuerdo para clasificar de manera general todos los documentos de un expediente o área,  </w:t>
      </w:r>
      <w:r w:rsidRPr="0046696A">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05F364E9" w14:textId="77777777" w:rsidR="003159A7" w:rsidRPr="0046696A" w:rsidRDefault="003159A7" w:rsidP="003159A7">
      <w:pPr>
        <w:keepNext/>
        <w:keepLines/>
        <w:spacing w:before="240" w:line="360" w:lineRule="auto"/>
        <w:outlineLvl w:val="0"/>
        <w:rPr>
          <w:rFonts w:ascii="Palatino Linotype" w:hAnsi="Palatino Linotype" w:cs="Arial"/>
          <w:color w:val="000000"/>
          <w:lang w:val="es-ES_tradnl"/>
        </w:rPr>
      </w:pPr>
      <w:bookmarkStart w:id="77" w:name="_Toc5890462"/>
      <w:bookmarkStart w:id="78" w:name="_Toc50062188"/>
      <w:bookmarkStart w:id="79" w:name="_Toc63348479"/>
      <w:bookmarkStart w:id="80" w:name="_Toc67598516"/>
      <w:bookmarkStart w:id="81" w:name="_Toc69999205"/>
      <w:bookmarkStart w:id="82" w:name="_Toc73033014"/>
      <w:bookmarkStart w:id="83" w:name="_Toc83127116"/>
      <w:bookmarkStart w:id="84" w:name="_Toc85717364"/>
      <w:r w:rsidRPr="0046696A">
        <w:rPr>
          <w:rFonts w:ascii="Palatino Linotype" w:hAnsi="Palatino Linotype"/>
          <w:b/>
          <w:lang w:val="es-MX" w:eastAsia="en-US"/>
        </w:rPr>
        <w:t>III</w:t>
      </w:r>
      <w:bookmarkStart w:id="85" w:name="_Toc5890463"/>
      <w:bookmarkStart w:id="86" w:name="_Toc50062189"/>
      <w:bookmarkStart w:id="87" w:name="_Toc63348480"/>
      <w:bookmarkStart w:id="88" w:name="_Toc67598517"/>
      <w:bookmarkStart w:id="89" w:name="_Toc69999206"/>
      <w:bookmarkStart w:id="90" w:name="_Toc73033015"/>
      <w:bookmarkEnd w:id="77"/>
      <w:bookmarkEnd w:id="78"/>
      <w:bookmarkEnd w:id="79"/>
      <w:bookmarkEnd w:id="80"/>
      <w:bookmarkEnd w:id="81"/>
      <w:bookmarkEnd w:id="82"/>
      <w:r w:rsidRPr="0046696A">
        <w:rPr>
          <w:rFonts w:ascii="Palatino Linotype" w:hAnsi="Palatino Linotype"/>
          <w:b/>
          <w:lang w:val="es-MX" w:eastAsia="en-US"/>
        </w:rPr>
        <w:t>. La intervención del comité de transparencia.</w:t>
      </w:r>
      <w:bookmarkEnd w:id="83"/>
      <w:bookmarkEnd w:id="84"/>
      <w:bookmarkEnd w:id="85"/>
      <w:bookmarkEnd w:id="86"/>
      <w:bookmarkEnd w:id="87"/>
      <w:bookmarkEnd w:id="88"/>
      <w:bookmarkEnd w:id="89"/>
      <w:bookmarkEnd w:id="90"/>
    </w:p>
    <w:p w14:paraId="6572E322" w14:textId="77777777" w:rsidR="003159A7" w:rsidRPr="0046696A" w:rsidRDefault="003159A7" w:rsidP="00E62DBE">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91" w:name="_Toc5890464"/>
      <w:bookmarkStart w:id="92" w:name="_Toc50062190"/>
      <w:bookmarkStart w:id="93" w:name="_Toc63348481"/>
      <w:bookmarkStart w:id="94" w:name="_Toc67598518"/>
      <w:bookmarkStart w:id="95" w:name="_Toc69999207"/>
      <w:bookmarkStart w:id="96" w:name="_Toc73033016"/>
      <w:bookmarkStart w:id="97" w:name="_Toc83127117"/>
      <w:bookmarkStart w:id="98" w:name="_Toc85717365"/>
      <w:r w:rsidRPr="0046696A">
        <w:rPr>
          <w:rFonts w:ascii="Palatino Linotype" w:hAnsi="Palatino Linotype"/>
          <w:b/>
          <w:lang w:val="es-MX" w:eastAsia="en-US"/>
        </w:rPr>
        <w:t>Formalidades para emitir el acuerdo de clasificación.</w:t>
      </w:r>
      <w:bookmarkEnd w:id="91"/>
      <w:bookmarkEnd w:id="92"/>
      <w:bookmarkEnd w:id="93"/>
      <w:bookmarkEnd w:id="94"/>
      <w:bookmarkEnd w:id="95"/>
      <w:bookmarkEnd w:id="96"/>
      <w:bookmarkEnd w:id="97"/>
      <w:bookmarkEnd w:id="98"/>
    </w:p>
    <w:p w14:paraId="03807ACE"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lang w:val="es-ES_tradnl" w:eastAsia="es-ES_tradnl"/>
        </w:rPr>
      </w:pPr>
      <w:r w:rsidRPr="0046696A">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46696A">
        <w:rPr>
          <w:rFonts w:ascii="Palatino Linotype" w:hAnsi="Palatino Linotype"/>
          <w:lang w:val="es-ES_tradnl"/>
        </w:rPr>
        <w:t xml:space="preserve">la fracción III del numeral Segundo de los </w:t>
      </w:r>
      <w:r w:rsidRPr="0046696A">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46696A">
        <w:rPr>
          <w:rFonts w:ascii="Palatino Linotype" w:hAnsi="Palatino Linotype"/>
          <w:lang w:val="es-ES_tradnl"/>
        </w:rPr>
        <w:t xml:space="preserve"> </w:t>
      </w:r>
      <w:r w:rsidRPr="0046696A">
        <w:rPr>
          <w:rFonts w:ascii="Palatino Linotype" w:hAnsi="Palatino Linotype" w:cs="Arial"/>
          <w:color w:val="000000"/>
          <w:lang w:val="es-ES_tradnl"/>
        </w:rPr>
        <w:t xml:space="preserve">cuenta con las facultades para </w:t>
      </w:r>
      <w:r w:rsidRPr="0046696A">
        <w:rPr>
          <w:rFonts w:ascii="Palatino Linotype" w:hAnsi="Palatino Linotype" w:cs="Arial"/>
          <w:b/>
          <w:color w:val="000000"/>
          <w:lang w:val="es-ES_tradnl"/>
        </w:rPr>
        <w:t xml:space="preserve">confirmar, modificar o </w:t>
      </w:r>
      <w:r w:rsidRPr="0046696A">
        <w:rPr>
          <w:rFonts w:ascii="Palatino Linotype" w:hAnsi="Palatino Linotype" w:cs="Arial"/>
          <w:b/>
          <w:color w:val="000000"/>
          <w:lang w:val="es-ES_tradnl"/>
        </w:rPr>
        <w:lastRenderedPageBreak/>
        <w:t>revocar</w:t>
      </w:r>
      <w:r w:rsidRPr="0046696A">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46696A">
        <w:rPr>
          <w:rFonts w:ascii="Palatino Linotype" w:hAnsi="Palatino Linotype" w:cs="Arial"/>
          <w:b/>
          <w:color w:val="000000"/>
          <w:lang w:val="es-ES_tradnl"/>
        </w:rPr>
        <w:t>no aprueba</w:t>
      </w:r>
      <w:r w:rsidRPr="0046696A">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2F3D014" w14:textId="77777777" w:rsidR="003159A7" w:rsidRPr="0046696A" w:rsidRDefault="003159A7" w:rsidP="003159A7">
      <w:pPr>
        <w:pStyle w:val="Prrafodelista"/>
        <w:spacing w:before="240" w:after="240" w:line="360" w:lineRule="auto"/>
        <w:ind w:left="0"/>
        <w:contextualSpacing/>
        <w:jc w:val="both"/>
        <w:rPr>
          <w:rFonts w:ascii="Palatino Linotype" w:hAnsi="Palatino Linotype"/>
          <w:lang w:val="es-ES_tradnl" w:eastAsia="es-ES_tradnl"/>
        </w:rPr>
      </w:pPr>
    </w:p>
    <w:p w14:paraId="0E8285A8"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lang w:val="es-ES_tradnl" w:eastAsia="es-ES_tradnl"/>
        </w:rPr>
      </w:pPr>
      <w:r w:rsidRPr="0046696A">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46696A">
        <w:rPr>
          <w:rFonts w:ascii="Palatino Linotype" w:hAnsi="Palatino Linotype" w:cs="Arial"/>
          <w:b/>
          <w:color w:val="000000"/>
          <w:lang w:val="es-ES_tradnl"/>
        </w:rPr>
        <w:t>el acto reúna con los requisitos elementales</w:t>
      </w:r>
      <w:r w:rsidRPr="0046696A">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4E3135" w14:textId="77777777" w:rsidR="003159A7" w:rsidRPr="0046696A" w:rsidRDefault="003159A7" w:rsidP="003159A7">
      <w:pPr>
        <w:pStyle w:val="Prrafodelista"/>
        <w:rPr>
          <w:rFonts w:ascii="Palatino Linotype" w:hAnsi="Palatino Linotype"/>
          <w:lang w:val="es-ES_tradnl"/>
        </w:rPr>
      </w:pPr>
    </w:p>
    <w:p w14:paraId="12C29A6B"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lang w:val="es-ES_tradnl" w:eastAsia="es-ES_tradnl"/>
        </w:rPr>
      </w:pPr>
      <w:r w:rsidRPr="0046696A">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6696A">
        <w:rPr>
          <w:rFonts w:ascii="Palatino Linotype" w:hAnsi="Palatino Linotype"/>
          <w:lang w:val="es-ES_tradnl"/>
        </w:rPr>
        <w:lastRenderedPageBreak/>
        <w:t xml:space="preserve">por los titulares de áreas y que son sujetas a control, en primera instancia, por el Comité de Transparencia. </w:t>
      </w:r>
    </w:p>
    <w:p w14:paraId="4EAABE62" w14:textId="77777777" w:rsidR="003159A7" w:rsidRPr="0046696A" w:rsidRDefault="003159A7" w:rsidP="003159A7">
      <w:pPr>
        <w:keepNext/>
        <w:keepLines/>
        <w:spacing w:before="240" w:line="360" w:lineRule="auto"/>
        <w:outlineLvl w:val="0"/>
        <w:rPr>
          <w:rFonts w:ascii="Palatino Linotype" w:hAnsi="Palatino Linotype"/>
          <w:b/>
          <w:lang w:val="es-MX" w:eastAsia="en-US"/>
        </w:rPr>
      </w:pPr>
      <w:bookmarkStart w:id="99" w:name="_Toc63348482"/>
      <w:bookmarkStart w:id="100" w:name="_Toc67598519"/>
      <w:bookmarkStart w:id="101" w:name="_Toc69999208"/>
      <w:bookmarkStart w:id="102" w:name="_Toc73033017"/>
      <w:bookmarkStart w:id="103" w:name="_Toc83127118"/>
      <w:bookmarkStart w:id="104" w:name="_Toc85717366"/>
      <w:r w:rsidRPr="0046696A">
        <w:rPr>
          <w:rFonts w:ascii="Palatino Linotype" w:hAnsi="Palatino Linotype"/>
          <w:b/>
          <w:lang w:val="es-MX" w:eastAsia="en-US"/>
        </w:rPr>
        <w:t xml:space="preserve">b) </w:t>
      </w:r>
      <w:bookmarkStart w:id="105" w:name="_Toc5890465"/>
      <w:bookmarkStart w:id="106" w:name="_Toc50062191"/>
      <w:r w:rsidRPr="0046696A">
        <w:rPr>
          <w:rFonts w:ascii="Palatino Linotype" w:hAnsi="Palatino Linotype"/>
          <w:b/>
          <w:lang w:val="es-MX" w:eastAsia="en-US"/>
        </w:rPr>
        <w:t>Requisitos de fondo del acuerdo de clasificación.</w:t>
      </w:r>
      <w:bookmarkEnd w:id="99"/>
      <w:bookmarkEnd w:id="100"/>
      <w:bookmarkEnd w:id="101"/>
      <w:bookmarkEnd w:id="102"/>
      <w:bookmarkEnd w:id="103"/>
      <w:bookmarkEnd w:id="104"/>
      <w:bookmarkEnd w:id="105"/>
      <w:bookmarkEnd w:id="106"/>
    </w:p>
    <w:p w14:paraId="07568255"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CD2AA5B"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58DE36BB"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FE67D52" w14:textId="77777777" w:rsidR="003159A7" w:rsidRPr="0046696A" w:rsidRDefault="003159A7" w:rsidP="003159A7">
      <w:pPr>
        <w:pStyle w:val="Prrafodelista"/>
        <w:rPr>
          <w:rFonts w:ascii="Palatino Linotype" w:hAnsi="Palatino Linotype" w:cs="Arial"/>
          <w:color w:val="000000"/>
          <w:lang w:val="es-ES_tradnl"/>
        </w:rPr>
      </w:pPr>
    </w:p>
    <w:p w14:paraId="2862A761"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6BBBFFFD"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w:t>
      </w:r>
      <w:r w:rsidRPr="0046696A">
        <w:rPr>
          <w:rFonts w:ascii="Palatino Linotype" w:hAnsi="Palatino Linotype" w:cs="Arial"/>
          <w:color w:val="222222"/>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6696A">
        <w:rPr>
          <w:rFonts w:ascii="Palatino Linotype" w:hAnsi="Palatino Linotype"/>
          <w:vertAlign w:val="superscript"/>
          <w:lang w:val="es-ES_tradnl"/>
        </w:rPr>
        <w:footnoteReference w:id="12"/>
      </w:r>
    </w:p>
    <w:p w14:paraId="26587F41" w14:textId="77777777" w:rsidR="003159A7" w:rsidRPr="0046696A" w:rsidRDefault="003159A7" w:rsidP="003159A7">
      <w:pPr>
        <w:pStyle w:val="Prrafodelista"/>
        <w:rPr>
          <w:rFonts w:ascii="Palatino Linotype" w:hAnsi="Palatino Linotype" w:cs="Arial"/>
          <w:color w:val="222222"/>
          <w:lang w:val="es-ES_tradnl" w:eastAsia="es-MX"/>
        </w:rPr>
      </w:pPr>
    </w:p>
    <w:p w14:paraId="2C169B4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7A4FFB9C" w14:textId="77777777" w:rsidR="003159A7" w:rsidRPr="0046696A" w:rsidRDefault="003159A7" w:rsidP="003159A7">
      <w:pPr>
        <w:spacing w:before="240" w:after="240" w:line="360" w:lineRule="auto"/>
        <w:contextualSpacing/>
        <w:jc w:val="both"/>
        <w:rPr>
          <w:rFonts w:ascii="Palatino Linotype" w:hAnsi="Palatino Linotype" w:cs="Arial"/>
          <w:color w:val="222222"/>
          <w:lang w:val="es-ES_tradnl" w:eastAsia="es-MX"/>
        </w:rPr>
      </w:pPr>
    </w:p>
    <w:p w14:paraId="6974836F"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b/>
          <w:i/>
          <w:color w:val="000000"/>
          <w:lang w:val="es-ES_tradnl"/>
        </w:rPr>
        <w:t>FUNDAMENTACIÓN Y MOTIVACIÓN.</w:t>
      </w:r>
      <w:r w:rsidRPr="0046696A">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5E32B97"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lastRenderedPageBreak/>
        <w:t>SEGUNDO TRIBUNAL COLEGIADO DEL SEXTO CIRCUITO.</w:t>
      </w:r>
    </w:p>
    <w:p w14:paraId="670C19C4"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6457335"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41618D86"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567F1C47"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56CBE63" w14:textId="77777777" w:rsidR="003159A7" w:rsidRPr="0046696A" w:rsidRDefault="003159A7" w:rsidP="003159A7">
      <w:pPr>
        <w:spacing w:line="360" w:lineRule="auto"/>
        <w:ind w:left="851" w:right="618"/>
        <w:contextualSpacing/>
        <w:jc w:val="both"/>
        <w:rPr>
          <w:rFonts w:ascii="Palatino Linotype" w:hAnsi="Palatino Linotype" w:cs="Arial"/>
          <w:i/>
          <w:color w:val="000000"/>
          <w:lang w:val="es-ES_tradnl"/>
        </w:rPr>
      </w:pPr>
      <w:r w:rsidRPr="0046696A">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17D0B9B4" w14:textId="77777777" w:rsidR="003159A7" w:rsidRPr="0046696A" w:rsidRDefault="003159A7" w:rsidP="003159A7">
      <w:pPr>
        <w:spacing w:line="360" w:lineRule="auto"/>
        <w:contextualSpacing/>
        <w:jc w:val="both"/>
        <w:rPr>
          <w:rFonts w:ascii="Palatino Linotype" w:hAnsi="Palatino Linotype" w:cs="Arial"/>
          <w:i/>
          <w:color w:val="000000"/>
          <w:lang w:val="es-ES_tradnl"/>
        </w:rPr>
      </w:pPr>
    </w:p>
    <w:p w14:paraId="3D70EAC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EBE3EF"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222222"/>
          <w:lang w:val="es-ES_tradnl" w:eastAsia="es-MX"/>
        </w:rPr>
      </w:pPr>
    </w:p>
    <w:p w14:paraId="0794032C"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44A5D10"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222222"/>
          <w:lang w:val="es-ES_tradnl" w:eastAsia="es-MX"/>
        </w:rPr>
      </w:pPr>
    </w:p>
    <w:p w14:paraId="43E123DA"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2F293165"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222222"/>
          <w:lang w:val="es-ES_tradnl" w:eastAsia="es-MX"/>
        </w:rPr>
      </w:pPr>
    </w:p>
    <w:p w14:paraId="5A58C94E" w14:textId="77777777" w:rsidR="003159A7" w:rsidRPr="0046696A" w:rsidRDefault="003159A7" w:rsidP="003159A7">
      <w:pPr>
        <w:pStyle w:val="Prrafodelista"/>
        <w:rPr>
          <w:rFonts w:ascii="Palatino Linotype" w:hAnsi="Palatino Linotype" w:cs="Arial"/>
          <w:color w:val="222222"/>
          <w:lang w:val="es-ES_tradnl" w:eastAsia="es-MX"/>
        </w:rPr>
      </w:pPr>
    </w:p>
    <w:p w14:paraId="1B2F9878"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hAnsi="Palatino Linotype" w:cs="Arial"/>
          <w:color w:val="222222"/>
          <w:lang w:val="es-ES_tradnl" w:eastAsia="es-MX"/>
        </w:rPr>
        <w:t xml:space="preserve">Ahora bien, </w:t>
      </w:r>
      <w:r w:rsidRPr="0046696A">
        <w:rPr>
          <w:rFonts w:ascii="Palatino Linotype" w:hAnsi="Palatino Linotype" w:cs="Arial"/>
          <w:b/>
          <w:color w:val="222222"/>
          <w:lang w:val="es-ES_tradnl" w:eastAsia="es-MX"/>
        </w:rPr>
        <w:t>para cada caso además de fundar y motivar</w:t>
      </w:r>
      <w:r w:rsidRPr="0046696A">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46696A">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5032995D" w14:textId="77777777" w:rsidR="00BD6BF7" w:rsidRPr="0046696A" w:rsidRDefault="00BD6BF7" w:rsidP="00BD6BF7">
      <w:pPr>
        <w:pStyle w:val="Prrafodelista"/>
        <w:spacing w:before="240" w:after="240" w:line="360" w:lineRule="auto"/>
        <w:ind w:left="0"/>
        <w:contextualSpacing/>
        <w:jc w:val="both"/>
        <w:rPr>
          <w:rFonts w:ascii="Palatino Linotype" w:hAnsi="Palatino Linotype" w:cs="Arial"/>
          <w:color w:val="222222"/>
          <w:lang w:val="es-ES_tradnl" w:eastAsia="es-MX"/>
        </w:rPr>
      </w:pPr>
    </w:p>
    <w:p w14:paraId="0BF8F2FD"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222222"/>
          <w:lang w:val="es-ES_tradnl" w:eastAsia="es-MX"/>
        </w:rPr>
      </w:pPr>
      <w:r w:rsidRPr="0046696A">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w:t>
      </w:r>
      <w:r w:rsidRPr="0046696A">
        <w:rPr>
          <w:rFonts w:ascii="Palatino Linotype" w:eastAsia="Calibri" w:hAnsi="Palatino Linotype" w:cs="Arial"/>
          <w:lang w:eastAsia="es-MX"/>
        </w:rPr>
        <w:lastRenderedPageBreak/>
        <w:t xml:space="preserve">total, como de manera enunciativa más no limitativa pueden ser el acta de nacimiento, la credencial de elector o la cartilla militar. </w:t>
      </w:r>
    </w:p>
    <w:p w14:paraId="688E7AA5" w14:textId="77777777" w:rsidR="003159A7" w:rsidRPr="0046696A" w:rsidRDefault="003159A7" w:rsidP="003159A7">
      <w:pPr>
        <w:spacing w:before="240" w:after="240" w:line="360" w:lineRule="auto"/>
        <w:contextualSpacing/>
        <w:jc w:val="both"/>
        <w:rPr>
          <w:rFonts w:ascii="Palatino Linotype" w:eastAsia="Calibri" w:hAnsi="Palatino Linotype" w:cs="Arial"/>
          <w:lang w:eastAsia="es-MX"/>
        </w:rPr>
      </w:pPr>
    </w:p>
    <w:p w14:paraId="5ECB9F31" w14:textId="7D6614A2" w:rsidR="003159A7" w:rsidRPr="0046696A" w:rsidRDefault="003159A7" w:rsidP="003159A7">
      <w:pPr>
        <w:keepNext/>
        <w:keepLines/>
        <w:spacing w:before="240" w:line="360" w:lineRule="auto"/>
        <w:jc w:val="both"/>
        <w:outlineLvl w:val="0"/>
        <w:rPr>
          <w:rFonts w:ascii="Palatino Linotype" w:hAnsi="Palatino Linotype"/>
          <w:b/>
          <w:lang w:val="es-MX" w:eastAsia="en-US"/>
        </w:rPr>
      </w:pPr>
      <w:bookmarkStart w:id="107" w:name="_Toc5711929"/>
      <w:bookmarkStart w:id="108" w:name="_Toc5890466"/>
      <w:bookmarkStart w:id="109" w:name="_Toc50062192"/>
      <w:bookmarkStart w:id="110" w:name="_Toc63348483"/>
      <w:bookmarkStart w:id="111" w:name="_Toc67598520"/>
      <w:bookmarkStart w:id="112" w:name="_Toc69999209"/>
      <w:bookmarkStart w:id="113" w:name="_Toc73033018"/>
      <w:bookmarkStart w:id="114" w:name="_Toc83127119"/>
      <w:bookmarkStart w:id="115" w:name="_Toc85717367"/>
      <w:r w:rsidRPr="0046696A">
        <w:rPr>
          <w:rFonts w:ascii="Palatino Linotype" w:hAnsi="Palatino Linotype"/>
          <w:b/>
          <w:lang w:val="es-MX" w:eastAsia="en-US"/>
        </w:rPr>
        <w:t>IV. Condiciones especiales de la clasificación de la información como confidencial.</w:t>
      </w:r>
      <w:bookmarkEnd w:id="107"/>
      <w:bookmarkEnd w:id="108"/>
      <w:bookmarkEnd w:id="109"/>
      <w:bookmarkEnd w:id="110"/>
      <w:bookmarkEnd w:id="111"/>
      <w:bookmarkEnd w:id="112"/>
      <w:bookmarkEnd w:id="113"/>
      <w:bookmarkEnd w:id="114"/>
      <w:bookmarkEnd w:id="115"/>
    </w:p>
    <w:p w14:paraId="44A6F610" w14:textId="77777777" w:rsidR="003159A7" w:rsidRPr="0046696A" w:rsidRDefault="003159A7" w:rsidP="00E62DBE">
      <w:pPr>
        <w:pStyle w:val="Prrafodelista"/>
        <w:numPr>
          <w:ilvl w:val="0"/>
          <w:numId w:val="8"/>
        </w:numPr>
        <w:spacing w:before="240" w:after="240" w:line="360" w:lineRule="auto"/>
        <w:ind w:left="-142" w:firstLine="142"/>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543AA6CB"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691D918F"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2E6616A8" w14:textId="77777777" w:rsidR="003159A7" w:rsidRPr="0046696A" w:rsidRDefault="003159A7" w:rsidP="003159A7">
      <w:pPr>
        <w:spacing w:before="240" w:after="240" w:line="360" w:lineRule="auto"/>
        <w:contextualSpacing/>
        <w:jc w:val="both"/>
        <w:rPr>
          <w:rFonts w:ascii="Palatino Linotype" w:hAnsi="Palatino Linotype" w:cs="Arial"/>
          <w:color w:val="000000"/>
          <w:lang w:val="es-ES_tradnl"/>
        </w:rPr>
      </w:pPr>
    </w:p>
    <w:p w14:paraId="1D80009A" w14:textId="77777777" w:rsidR="003159A7" w:rsidRPr="0046696A" w:rsidRDefault="003159A7" w:rsidP="003159A7">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6696A">
        <w:rPr>
          <w:rFonts w:ascii="Palatino Linotype" w:hAnsi="Palatino Linotype" w:cs="Bookman Old Style"/>
          <w:bCs/>
          <w:i/>
          <w:color w:val="000000"/>
          <w:lang w:val="es-ES_tradnl"/>
        </w:rPr>
        <w:t xml:space="preserve">I. </w:t>
      </w:r>
      <w:r w:rsidRPr="0046696A">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52A3D80E" w14:textId="77777777" w:rsidR="003159A7" w:rsidRPr="0046696A" w:rsidRDefault="003159A7" w:rsidP="003159A7">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6696A">
        <w:rPr>
          <w:rFonts w:ascii="Palatino Linotype" w:hAnsi="Palatino Linotype" w:cs="Bookman Old Style"/>
          <w:bCs/>
          <w:i/>
          <w:color w:val="000000"/>
          <w:lang w:val="es-ES_tradnl"/>
        </w:rPr>
        <w:t xml:space="preserve">II. </w:t>
      </w:r>
      <w:r w:rsidRPr="0046696A">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A46F31" w14:textId="77777777" w:rsidR="003159A7" w:rsidRPr="0046696A" w:rsidRDefault="003159A7" w:rsidP="003159A7">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6696A">
        <w:rPr>
          <w:rFonts w:ascii="Palatino Linotype" w:hAnsi="Palatino Linotype" w:cs="Bookman Old Style"/>
          <w:bCs/>
          <w:i/>
          <w:color w:val="000000"/>
          <w:lang w:val="es-ES_tradnl"/>
        </w:rPr>
        <w:t xml:space="preserve">III. </w:t>
      </w:r>
      <w:r w:rsidRPr="0046696A">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94AB066" w14:textId="77777777" w:rsidR="003159A7" w:rsidRPr="0046696A" w:rsidRDefault="003159A7" w:rsidP="003159A7">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6696A">
        <w:rPr>
          <w:rFonts w:ascii="Palatino Linotype" w:hAnsi="Palatino Linotype" w:cs="Bookman Old Style"/>
          <w:i/>
          <w:color w:val="000000"/>
          <w:lang w:val="es-ES_tradnl"/>
        </w:rPr>
        <w:t xml:space="preserve">La información confidencial no estará sujeta a temporalidad alguna y sólo podrán </w:t>
      </w:r>
      <w:r w:rsidRPr="0046696A">
        <w:rPr>
          <w:rFonts w:ascii="Palatino Linotype" w:hAnsi="Palatino Linotype" w:cs="Bookman Old Style"/>
          <w:i/>
          <w:color w:val="000000"/>
          <w:lang w:val="es-ES_tradnl"/>
        </w:rPr>
        <w:lastRenderedPageBreak/>
        <w:t xml:space="preserve">tener acceso a ella los titulares de la misma, sus representantes y los servidores públicos facultados para ello. </w:t>
      </w:r>
    </w:p>
    <w:p w14:paraId="315E0DCD" w14:textId="77777777" w:rsidR="003159A7" w:rsidRPr="0046696A" w:rsidRDefault="003159A7" w:rsidP="003159A7">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46696A">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004435A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3CB531C"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3A403449"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 xml:space="preserve">Como consecuencia de lo anterior, el </w:t>
      </w:r>
      <w:r w:rsidRPr="0046696A">
        <w:rPr>
          <w:rFonts w:ascii="Palatino Linotype" w:hAnsi="Palatino Linotype" w:cs="Arial"/>
          <w:b/>
          <w:color w:val="000000"/>
          <w:lang w:val="es-ES_tradnl"/>
        </w:rPr>
        <w:t>SUJETO OBLIGADO</w:t>
      </w:r>
      <w:r w:rsidRPr="0046696A">
        <w:rPr>
          <w:rFonts w:ascii="Palatino Linotype" w:hAnsi="Palatino Linotype" w:cs="Arial"/>
          <w:color w:val="000000"/>
          <w:lang w:val="es-ES_tradnl"/>
        </w:rPr>
        <w:t xml:space="preserve"> debe identificar claramente el tipo de información y hacer un juicio de subsunción o encaje</w:t>
      </w:r>
      <w:r w:rsidRPr="0046696A">
        <w:rPr>
          <w:rFonts w:ascii="Palatino Linotype" w:hAnsi="Palatino Linotype"/>
          <w:vertAlign w:val="superscript"/>
          <w:lang w:val="es-ES_tradnl"/>
        </w:rPr>
        <w:footnoteReference w:id="13"/>
      </w:r>
      <w:r w:rsidRPr="0046696A">
        <w:rPr>
          <w:rFonts w:ascii="Palatino Linotype" w:hAnsi="Palatino Linotype" w:cs="Arial"/>
          <w:color w:val="000000"/>
          <w:lang w:val="es-ES_tradnl"/>
        </w:rPr>
        <w:t xml:space="preserve"> para acreditar que el supuesto de hecho corresponde estrictamente con la hipótesis </w:t>
      </w:r>
      <w:r w:rsidRPr="0046696A">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4C22B7F3" w14:textId="77777777" w:rsidR="003159A7" w:rsidRPr="0046696A" w:rsidRDefault="003159A7" w:rsidP="003159A7">
      <w:pPr>
        <w:pStyle w:val="Prrafodelista"/>
        <w:rPr>
          <w:rFonts w:ascii="Palatino Linotype" w:hAnsi="Palatino Linotype" w:cs="Arial"/>
          <w:color w:val="000000"/>
          <w:lang w:val="es-ES_tradnl"/>
        </w:rPr>
      </w:pPr>
    </w:p>
    <w:p w14:paraId="6AF7C08A" w14:textId="77777777" w:rsidR="003159A7" w:rsidRPr="0046696A" w:rsidRDefault="003159A7" w:rsidP="00E62DBE">
      <w:pPr>
        <w:pStyle w:val="Prrafodelista"/>
        <w:numPr>
          <w:ilvl w:val="0"/>
          <w:numId w:val="8"/>
        </w:numPr>
        <w:spacing w:before="240" w:after="24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DA2511D" w14:textId="77777777" w:rsidR="003159A7" w:rsidRPr="0046696A" w:rsidRDefault="003159A7" w:rsidP="003159A7">
      <w:pPr>
        <w:pStyle w:val="Prrafodelista"/>
        <w:rPr>
          <w:rFonts w:ascii="Palatino Linotype" w:hAnsi="Palatino Linotype" w:cs="Arial"/>
          <w:color w:val="000000"/>
          <w:lang w:val="es-ES_tradnl"/>
        </w:rPr>
      </w:pPr>
    </w:p>
    <w:p w14:paraId="170E9D6E" w14:textId="77777777" w:rsidR="003159A7" w:rsidRPr="0046696A" w:rsidRDefault="003159A7" w:rsidP="003159A7">
      <w:pPr>
        <w:pStyle w:val="Prrafodelista"/>
        <w:spacing w:before="240" w:after="240" w:line="360" w:lineRule="auto"/>
        <w:ind w:left="0"/>
        <w:contextualSpacing/>
        <w:jc w:val="both"/>
        <w:rPr>
          <w:rFonts w:ascii="Palatino Linotype" w:hAnsi="Palatino Linotype" w:cs="Arial"/>
          <w:color w:val="000000"/>
          <w:lang w:val="es-ES_tradnl"/>
        </w:rPr>
      </w:pPr>
    </w:p>
    <w:p w14:paraId="26BA3AE9" w14:textId="77777777" w:rsidR="003159A7" w:rsidRPr="0046696A" w:rsidRDefault="003159A7" w:rsidP="00E62DBE">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116" w:name="_Toc5711930"/>
      <w:bookmarkStart w:id="117" w:name="_Toc5890467"/>
      <w:bookmarkStart w:id="118" w:name="_Toc50062193"/>
      <w:r w:rsidRPr="0046696A">
        <w:rPr>
          <w:rFonts w:ascii="Palatino Linotype" w:eastAsia="MS Gothic" w:hAnsi="Palatino Linotype"/>
          <w:b/>
          <w:lang w:val="es-MX" w:eastAsia="en-US"/>
        </w:rPr>
        <w:t xml:space="preserve"> </w:t>
      </w:r>
      <w:bookmarkStart w:id="119" w:name="_Toc63348484"/>
      <w:bookmarkStart w:id="120" w:name="_Toc67598521"/>
      <w:bookmarkStart w:id="121" w:name="_Toc69999210"/>
      <w:bookmarkStart w:id="122" w:name="_Toc73033019"/>
      <w:bookmarkStart w:id="123" w:name="_Toc83127120"/>
      <w:bookmarkStart w:id="124" w:name="_Toc85717368"/>
      <w:r w:rsidRPr="0046696A">
        <w:rPr>
          <w:rFonts w:ascii="Palatino Linotype" w:eastAsia="MS Gothic" w:hAnsi="Palatino Linotype"/>
          <w:b/>
          <w:lang w:val="es-MX" w:eastAsia="en-US"/>
        </w:rPr>
        <w:t>Del consentimiento.</w:t>
      </w:r>
      <w:bookmarkEnd w:id="116"/>
      <w:bookmarkEnd w:id="117"/>
      <w:bookmarkEnd w:id="118"/>
      <w:bookmarkEnd w:id="119"/>
      <w:bookmarkEnd w:id="120"/>
      <w:bookmarkEnd w:id="121"/>
      <w:bookmarkEnd w:id="122"/>
      <w:bookmarkEnd w:id="123"/>
      <w:bookmarkEnd w:id="124"/>
    </w:p>
    <w:p w14:paraId="5172CE17" w14:textId="77777777" w:rsidR="003159A7" w:rsidRPr="0046696A" w:rsidRDefault="003159A7" w:rsidP="003159A7">
      <w:pPr>
        <w:spacing w:line="360" w:lineRule="auto"/>
        <w:rPr>
          <w:rFonts w:ascii="Palatino Linotype" w:eastAsia="MS Mincho" w:hAnsi="Palatino Linotype"/>
          <w:lang w:val="es-MX" w:eastAsia="en-US"/>
        </w:rPr>
      </w:pPr>
    </w:p>
    <w:p w14:paraId="3C593334" w14:textId="77777777" w:rsidR="003159A7" w:rsidRPr="0046696A" w:rsidRDefault="003159A7" w:rsidP="00E62DBE">
      <w:pPr>
        <w:pStyle w:val="Prrafodelista"/>
        <w:numPr>
          <w:ilvl w:val="0"/>
          <w:numId w:val="8"/>
        </w:numPr>
        <w:spacing w:after="120" w:line="360" w:lineRule="auto"/>
        <w:ind w:left="0" w:right="49" w:firstLine="0"/>
        <w:contextualSpacing/>
        <w:jc w:val="both"/>
        <w:rPr>
          <w:rFonts w:ascii="Palatino Linotype" w:eastAsia="MS Mincho" w:hAnsi="Palatino Linotype" w:cs="Arial"/>
          <w:color w:val="000000"/>
          <w:lang w:val="es-ES_tradnl"/>
        </w:rPr>
      </w:pPr>
      <w:r w:rsidRPr="0046696A">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50E2C7B" w14:textId="77777777" w:rsidR="003159A7" w:rsidRPr="0046696A" w:rsidRDefault="003159A7" w:rsidP="003159A7">
      <w:pPr>
        <w:spacing w:after="120" w:line="360" w:lineRule="auto"/>
        <w:ind w:left="426" w:right="49" w:hanging="426"/>
        <w:contextualSpacing/>
        <w:jc w:val="both"/>
        <w:rPr>
          <w:rFonts w:ascii="Palatino Linotype" w:eastAsia="MS Mincho" w:hAnsi="Palatino Linotype" w:cs="Arial"/>
          <w:color w:val="000000"/>
          <w:lang w:val="es-ES_tradnl"/>
        </w:rPr>
      </w:pPr>
    </w:p>
    <w:p w14:paraId="4BCD3550" w14:textId="77777777" w:rsidR="003159A7" w:rsidRPr="0046696A" w:rsidRDefault="003159A7" w:rsidP="003159A7">
      <w:pPr>
        <w:spacing w:after="120" w:line="360" w:lineRule="auto"/>
        <w:ind w:left="567" w:right="567"/>
        <w:contextualSpacing/>
        <w:jc w:val="both"/>
        <w:rPr>
          <w:rFonts w:ascii="Palatino Linotype" w:eastAsia="MS Mincho" w:hAnsi="Palatino Linotype" w:cs="Arial"/>
          <w:bCs/>
          <w:i/>
          <w:color w:val="000000"/>
          <w:lang w:val="es-MX"/>
        </w:rPr>
      </w:pPr>
      <w:r w:rsidRPr="0046696A">
        <w:rPr>
          <w:rFonts w:ascii="Palatino Linotype" w:eastAsia="MS Mincho" w:hAnsi="Palatino Linotype" w:cs="Arial"/>
          <w:bCs/>
          <w:i/>
          <w:color w:val="000000"/>
          <w:lang w:val="es-MX"/>
        </w:rPr>
        <w:t>I.</w:t>
      </w:r>
      <w:r w:rsidRPr="0046696A">
        <w:rPr>
          <w:rFonts w:ascii="Palatino Linotype" w:eastAsia="MS Mincho" w:hAnsi="Palatino Linotype" w:cs="Arial"/>
          <w:i/>
          <w:color w:val="000000"/>
          <w:lang w:val="es-MX"/>
        </w:rPr>
        <w:t xml:space="preserve"> La información se encuentre en registros públicos o fuentes de acceso público;</w:t>
      </w:r>
    </w:p>
    <w:p w14:paraId="1A83149B" w14:textId="77777777" w:rsidR="003159A7" w:rsidRPr="0046696A" w:rsidRDefault="003159A7" w:rsidP="003159A7">
      <w:pPr>
        <w:spacing w:after="120" w:line="360" w:lineRule="auto"/>
        <w:ind w:left="567" w:right="567"/>
        <w:contextualSpacing/>
        <w:jc w:val="both"/>
        <w:rPr>
          <w:rFonts w:ascii="Palatino Linotype" w:eastAsia="MS Mincho" w:hAnsi="Palatino Linotype" w:cs="Arial"/>
          <w:bCs/>
          <w:i/>
          <w:color w:val="000000"/>
          <w:lang w:val="es-MX"/>
        </w:rPr>
      </w:pPr>
      <w:r w:rsidRPr="0046696A">
        <w:rPr>
          <w:rFonts w:ascii="Palatino Linotype" w:eastAsia="MS Mincho" w:hAnsi="Palatino Linotype" w:cs="Arial"/>
          <w:bCs/>
          <w:i/>
          <w:color w:val="000000"/>
          <w:lang w:val="es-MX"/>
        </w:rPr>
        <w:t xml:space="preserve">II. </w:t>
      </w:r>
      <w:r w:rsidRPr="0046696A">
        <w:rPr>
          <w:rFonts w:ascii="Palatino Linotype" w:eastAsia="MS Mincho" w:hAnsi="Palatino Linotype" w:cs="Arial"/>
          <w:i/>
          <w:color w:val="000000"/>
          <w:lang w:val="es-MX"/>
        </w:rPr>
        <w:t>Por Ley tenga el carácter de pública;</w:t>
      </w:r>
    </w:p>
    <w:p w14:paraId="31BA5048" w14:textId="77777777" w:rsidR="003159A7" w:rsidRPr="0046696A" w:rsidRDefault="003159A7" w:rsidP="003159A7">
      <w:pPr>
        <w:spacing w:after="120" w:line="360" w:lineRule="auto"/>
        <w:ind w:left="567" w:right="567"/>
        <w:contextualSpacing/>
        <w:jc w:val="both"/>
        <w:rPr>
          <w:rFonts w:ascii="Palatino Linotype" w:eastAsia="MS Mincho" w:hAnsi="Palatino Linotype" w:cs="Arial"/>
          <w:i/>
          <w:color w:val="000000"/>
          <w:lang w:val="es-MX"/>
        </w:rPr>
      </w:pPr>
      <w:r w:rsidRPr="0046696A">
        <w:rPr>
          <w:rFonts w:ascii="Palatino Linotype" w:eastAsia="MS Mincho" w:hAnsi="Palatino Linotype" w:cs="Arial"/>
          <w:bCs/>
          <w:i/>
          <w:color w:val="000000"/>
          <w:lang w:val="es-MX"/>
        </w:rPr>
        <w:t xml:space="preserve">III. </w:t>
      </w:r>
      <w:r w:rsidRPr="0046696A">
        <w:rPr>
          <w:rFonts w:ascii="Palatino Linotype" w:eastAsia="MS Mincho" w:hAnsi="Palatino Linotype" w:cs="Arial"/>
          <w:i/>
          <w:color w:val="000000"/>
          <w:lang w:val="es-MX"/>
        </w:rPr>
        <w:t xml:space="preserve">Exista una orden judicial; </w:t>
      </w:r>
    </w:p>
    <w:p w14:paraId="53A6A90E" w14:textId="77777777" w:rsidR="003159A7" w:rsidRPr="0046696A" w:rsidRDefault="003159A7" w:rsidP="003159A7">
      <w:pPr>
        <w:spacing w:after="120" w:line="360" w:lineRule="auto"/>
        <w:ind w:left="567" w:right="567"/>
        <w:contextualSpacing/>
        <w:jc w:val="both"/>
        <w:rPr>
          <w:rFonts w:ascii="Palatino Linotype" w:eastAsia="MS Mincho" w:hAnsi="Palatino Linotype" w:cs="Arial"/>
          <w:i/>
          <w:color w:val="000000"/>
          <w:lang w:val="es-MX"/>
        </w:rPr>
      </w:pPr>
      <w:r w:rsidRPr="0046696A">
        <w:rPr>
          <w:rFonts w:ascii="Palatino Linotype" w:eastAsia="MS Mincho" w:hAnsi="Palatino Linotype" w:cs="Arial"/>
          <w:bCs/>
          <w:i/>
          <w:color w:val="000000"/>
          <w:lang w:val="es-MX"/>
        </w:rPr>
        <w:t xml:space="preserve">IV. </w:t>
      </w:r>
      <w:r w:rsidRPr="0046696A">
        <w:rPr>
          <w:rFonts w:ascii="Palatino Linotype" w:eastAsia="MS Mincho" w:hAnsi="Palatino Linotype" w:cs="Arial"/>
          <w:i/>
          <w:color w:val="000000"/>
          <w:lang w:val="es-MX"/>
        </w:rPr>
        <w:t xml:space="preserve">Por razones de seguridad pública, o para proteger los derechos de terceros, se requiera su publicación; o </w:t>
      </w:r>
    </w:p>
    <w:p w14:paraId="3BB06231" w14:textId="77777777" w:rsidR="003159A7" w:rsidRPr="0046696A" w:rsidRDefault="003159A7" w:rsidP="003159A7">
      <w:pPr>
        <w:spacing w:after="120" w:line="360" w:lineRule="auto"/>
        <w:ind w:left="567" w:right="567"/>
        <w:contextualSpacing/>
        <w:jc w:val="both"/>
        <w:rPr>
          <w:rFonts w:ascii="Palatino Linotype" w:eastAsia="MS Mincho" w:hAnsi="Palatino Linotype" w:cs="Arial"/>
          <w:i/>
          <w:color w:val="000000"/>
          <w:lang w:val="es-MX"/>
        </w:rPr>
      </w:pPr>
      <w:r w:rsidRPr="0046696A">
        <w:rPr>
          <w:rFonts w:ascii="Palatino Linotype" w:eastAsia="MS Mincho" w:hAnsi="Palatino Linotype" w:cs="Arial"/>
          <w:bCs/>
          <w:i/>
          <w:color w:val="000000"/>
          <w:lang w:val="es-MX"/>
        </w:rPr>
        <w:t xml:space="preserve">V. </w:t>
      </w:r>
      <w:r w:rsidRPr="0046696A">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w:t>
      </w:r>
      <w:r w:rsidRPr="0046696A">
        <w:rPr>
          <w:rFonts w:ascii="Palatino Linotype" w:eastAsia="MS Mincho" w:hAnsi="Palatino Linotype" w:cs="Arial"/>
          <w:i/>
          <w:color w:val="000000"/>
          <w:lang w:val="es-MX"/>
        </w:rPr>
        <w:lastRenderedPageBreak/>
        <w:t xml:space="preserve">interinstitucionales, siempre y cuando la información se utilice para el ejercicio de facultades propias de los mismos. </w:t>
      </w:r>
    </w:p>
    <w:p w14:paraId="78B3BF0C" w14:textId="77777777" w:rsidR="003159A7" w:rsidRPr="0046696A" w:rsidRDefault="003159A7" w:rsidP="003159A7">
      <w:pPr>
        <w:spacing w:after="120" w:line="360" w:lineRule="auto"/>
        <w:ind w:left="426" w:right="49" w:hanging="426"/>
        <w:contextualSpacing/>
        <w:jc w:val="both"/>
        <w:rPr>
          <w:rFonts w:ascii="Palatino Linotype" w:eastAsia="MS Mincho" w:hAnsi="Palatino Linotype" w:cs="Arial"/>
          <w:color w:val="000000"/>
          <w:lang w:val="es-ES_tradnl"/>
        </w:rPr>
      </w:pPr>
    </w:p>
    <w:p w14:paraId="22B539FB" w14:textId="77777777" w:rsidR="003159A7" w:rsidRPr="0046696A" w:rsidRDefault="003159A7" w:rsidP="00E62DBE">
      <w:pPr>
        <w:pStyle w:val="Prrafodelista"/>
        <w:numPr>
          <w:ilvl w:val="0"/>
          <w:numId w:val="8"/>
        </w:numPr>
        <w:spacing w:after="120" w:line="360" w:lineRule="auto"/>
        <w:ind w:left="0" w:firstLine="0"/>
        <w:contextualSpacing/>
        <w:jc w:val="both"/>
        <w:rPr>
          <w:rFonts w:ascii="Palatino Linotype" w:eastAsia="MS Mincho" w:hAnsi="Palatino Linotype" w:cs="Arial"/>
          <w:color w:val="000000"/>
          <w:lang w:val="es-ES_tradnl"/>
        </w:rPr>
      </w:pPr>
      <w:r w:rsidRPr="0046696A">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E0729" w14:textId="77777777" w:rsidR="003159A7" w:rsidRPr="0046696A" w:rsidRDefault="003159A7" w:rsidP="003159A7">
      <w:pPr>
        <w:pStyle w:val="Prrafodelista"/>
        <w:spacing w:after="120" w:line="360" w:lineRule="auto"/>
        <w:ind w:left="0"/>
        <w:contextualSpacing/>
        <w:jc w:val="both"/>
        <w:rPr>
          <w:rFonts w:ascii="Palatino Linotype" w:eastAsia="MS Mincho" w:hAnsi="Palatino Linotype" w:cs="Arial"/>
          <w:color w:val="000000"/>
          <w:lang w:val="es-ES_tradnl"/>
        </w:rPr>
      </w:pPr>
    </w:p>
    <w:p w14:paraId="06E5737C" w14:textId="77777777" w:rsidR="003159A7" w:rsidRPr="0046696A" w:rsidRDefault="003159A7" w:rsidP="00E62DBE">
      <w:pPr>
        <w:pStyle w:val="Prrafodelista"/>
        <w:numPr>
          <w:ilvl w:val="0"/>
          <w:numId w:val="8"/>
        </w:numPr>
        <w:spacing w:after="120" w:line="360" w:lineRule="auto"/>
        <w:ind w:left="0" w:firstLine="0"/>
        <w:contextualSpacing/>
        <w:jc w:val="both"/>
        <w:rPr>
          <w:rFonts w:ascii="Palatino Linotype" w:eastAsia="MS Mincho" w:hAnsi="Palatino Linotype" w:cs="Arial"/>
          <w:color w:val="000000"/>
          <w:lang w:val="es-ES_tradnl"/>
        </w:rPr>
      </w:pPr>
      <w:r w:rsidRPr="0046696A">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B8C0961" w14:textId="77777777" w:rsidR="003159A7" w:rsidRPr="0046696A" w:rsidRDefault="003159A7" w:rsidP="00E62DBE">
      <w:pPr>
        <w:keepNext/>
        <w:keepLines/>
        <w:numPr>
          <w:ilvl w:val="0"/>
          <w:numId w:val="2"/>
        </w:numPr>
        <w:spacing w:before="240" w:after="160" w:line="360" w:lineRule="auto"/>
        <w:ind w:left="0" w:firstLine="0"/>
        <w:outlineLvl w:val="0"/>
        <w:rPr>
          <w:rFonts w:ascii="Palatino Linotype" w:hAnsi="Palatino Linotype"/>
          <w:b/>
          <w:color w:val="000000"/>
          <w:lang w:val="es-ES_tradnl"/>
        </w:rPr>
      </w:pPr>
      <w:r w:rsidRPr="0046696A">
        <w:rPr>
          <w:rFonts w:ascii="Palatino Linotype" w:eastAsia="MS Gothic" w:hAnsi="Palatino Linotype"/>
          <w:b/>
          <w:lang w:val="es-MX" w:eastAsia="en-US"/>
        </w:rPr>
        <w:t xml:space="preserve"> </w:t>
      </w:r>
      <w:bookmarkStart w:id="125" w:name="_Toc63348485"/>
      <w:bookmarkStart w:id="126" w:name="_Toc67598522"/>
      <w:bookmarkStart w:id="127" w:name="_Toc69999211"/>
      <w:bookmarkStart w:id="128" w:name="_Toc73033020"/>
      <w:bookmarkStart w:id="129" w:name="_Toc83127121"/>
      <w:bookmarkStart w:id="130" w:name="_Toc85717369"/>
      <w:r w:rsidRPr="0046696A">
        <w:rPr>
          <w:rFonts w:ascii="Palatino Linotype" w:hAnsi="Palatino Linotype"/>
          <w:b/>
          <w:lang w:val="es-MX" w:eastAsia="en-US"/>
        </w:rPr>
        <w:t>De la firma de los servidores públicos.</w:t>
      </w:r>
      <w:bookmarkEnd w:id="125"/>
      <w:bookmarkEnd w:id="126"/>
      <w:bookmarkEnd w:id="127"/>
      <w:bookmarkEnd w:id="128"/>
      <w:bookmarkEnd w:id="129"/>
      <w:bookmarkEnd w:id="130"/>
    </w:p>
    <w:p w14:paraId="3650A3F5" w14:textId="77777777" w:rsidR="003159A7" w:rsidRPr="0046696A" w:rsidRDefault="003159A7" w:rsidP="00E62DBE">
      <w:pPr>
        <w:pStyle w:val="Prrafodelista"/>
        <w:numPr>
          <w:ilvl w:val="0"/>
          <w:numId w:val="8"/>
        </w:numPr>
        <w:tabs>
          <w:tab w:val="left" w:pos="567"/>
        </w:tabs>
        <w:spacing w:after="160" w:line="360" w:lineRule="auto"/>
        <w:ind w:left="0" w:firstLine="0"/>
        <w:contextualSpacing/>
        <w:jc w:val="both"/>
        <w:rPr>
          <w:rFonts w:ascii="Palatino Linotype" w:hAnsi="Palatino Linotype"/>
          <w:b/>
          <w:lang w:val="es-ES_tradnl"/>
        </w:rPr>
      </w:pPr>
      <w:r w:rsidRPr="0046696A">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EAEC00D" w14:textId="77777777" w:rsidR="003159A7" w:rsidRPr="0046696A" w:rsidRDefault="003159A7" w:rsidP="003159A7">
      <w:pPr>
        <w:tabs>
          <w:tab w:val="left" w:pos="567"/>
        </w:tabs>
        <w:spacing w:line="360" w:lineRule="auto"/>
        <w:contextualSpacing/>
        <w:jc w:val="both"/>
        <w:rPr>
          <w:rFonts w:ascii="Palatino Linotype" w:hAnsi="Palatino Linotype"/>
          <w:b/>
          <w:lang w:val="es-ES_tradnl"/>
        </w:rPr>
      </w:pPr>
    </w:p>
    <w:p w14:paraId="210A8898" w14:textId="77777777" w:rsidR="003159A7" w:rsidRPr="0046696A" w:rsidRDefault="003159A7" w:rsidP="003159A7">
      <w:pPr>
        <w:tabs>
          <w:tab w:val="left" w:pos="567"/>
        </w:tabs>
        <w:spacing w:line="360" w:lineRule="auto"/>
        <w:ind w:left="567" w:right="616"/>
        <w:jc w:val="both"/>
        <w:rPr>
          <w:rFonts w:ascii="Palatino Linotype" w:hAnsi="Palatino Linotype"/>
          <w:i/>
          <w:color w:val="000000"/>
          <w:lang w:val="es-MX"/>
        </w:rPr>
      </w:pPr>
      <w:r w:rsidRPr="0046696A">
        <w:rPr>
          <w:rFonts w:ascii="Palatino Linotype" w:hAnsi="Palatino Linotype"/>
          <w:i/>
          <w:color w:val="000000"/>
          <w:lang w:val="es-MX"/>
        </w:rPr>
        <w:t>“</w:t>
      </w:r>
      <w:r w:rsidRPr="0046696A">
        <w:rPr>
          <w:rFonts w:ascii="Palatino Linotype" w:hAnsi="Palatino Linotype"/>
          <w:b/>
          <w:i/>
          <w:color w:val="000000"/>
          <w:lang w:val="es-MX"/>
        </w:rPr>
        <w:t xml:space="preserve">Firma y rúbrica de servidores públicos. Si bien la firma y la rúbrica son datos personales confidenciales, cuando un servidor público emite un </w:t>
      </w:r>
      <w:r w:rsidRPr="0046696A">
        <w:rPr>
          <w:rFonts w:ascii="Palatino Linotype" w:hAnsi="Palatino Linotype"/>
          <w:b/>
          <w:i/>
          <w:color w:val="000000"/>
          <w:lang w:val="es-MX"/>
        </w:rPr>
        <w:lastRenderedPageBreak/>
        <w:t>acto como autoridad, en ejercicio de las funciones que tiene conferidas, la firma o rúbrica mediante la cual se valida dicho acto es pública</w:t>
      </w:r>
      <w:r w:rsidRPr="0046696A">
        <w:rPr>
          <w:rFonts w:ascii="Palatino Linotype" w:hAnsi="Palatino Linotype"/>
          <w:i/>
          <w:color w:val="000000"/>
          <w:lang w:val="es-MX"/>
        </w:rPr>
        <w:t>.</w:t>
      </w:r>
      <w:r w:rsidRPr="0046696A">
        <w:rPr>
          <w:rFonts w:ascii="Palatino Linotype" w:hAnsi="Palatino Linotype"/>
          <w:bCs/>
          <w:i/>
          <w:color w:val="000000"/>
          <w:lang w:val="es-MX"/>
        </w:rPr>
        <w:t>“</w:t>
      </w:r>
    </w:p>
    <w:p w14:paraId="2C26E8D7" w14:textId="77777777" w:rsidR="003159A7" w:rsidRPr="0046696A" w:rsidRDefault="003159A7" w:rsidP="003159A7">
      <w:pPr>
        <w:spacing w:line="360" w:lineRule="auto"/>
        <w:contextualSpacing/>
        <w:jc w:val="both"/>
        <w:rPr>
          <w:rFonts w:ascii="Palatino Linotype" w:eastAsia="MS Mincho" w:hAnsi="Palatino Linotype"/>
          <w:lang w:val="es-ES_tradnl"/>
        </w:rPr>
      </w:pPr>
    </w:p>
    <w:p w14:paraId="6BBF4DBB" w14:textId="77777777" w:rsidR="003159A7" w:rsidRPr="0046696A" w:rsidRDefault="003159A7" w:rsidP="00E62DBE">
      <w:pPr>
        <w:pStyle w:val="Prrafodelista"/>
        <w:numPr>
          <w:ilvl w:val="0"/>
          <w:numId w:val="8"/>
        </w:numPr>
        <w:spacing w:after="160" w:line="360" w:lineRule="auto"/>
        <w:ind w:left="0" w:firstLine="0"/>
        <w:contextualSpacing/>
        <w:jc w:val="both"/>
        <w:rPr>
          <w:rFonts w:ascii="Palatino Linotype" w:eastAsia="MS Mincho" w:hAnsi="Palatino Linotype"/>
          <w:lang w:val="es-ES_tradnl"/>
        </w:rPr>
      </w:pPr>
      <w:r w:rsidRPr="0046696A">
        <w:rPr>
          <w:rFonts w:ascii="Palatino Linotype" w:eastAsia="MS Mincho" w:hAnsi="Palatino Linotype"/>
          <w:lang w:val="es-ES_tradnl"/>
        </w:rPr>
        <w:t xml:space="preserve">En ese mismo sentido los </w:t>
      </w:r>
      <w:r w:rsidRPr="0046696A">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46696A">
        <w:rPr>
          <w:rFonts w:ascii="Palatino Linotype" w:hAnsi="Palatino Linotype" w:cs="Arial"/>
          <w:lang w:val="es-ES_tradnl"/>
        </w:rPr>
        <w:t>que señalan lo siguiente:</w:t>
      </w:r>
    </w:p>
    <w:p w14:paraId="2515DFAB" w14:textId="77777777" w:rsidR="003159A7" w:rsidRPr="0046696A" w:rsidRDefault="003159A7" w:rsidP="003159A7">
      <w:pPr>
        <w:spacing w:line="360" w:lineRule="auto"/>
        <w:contextualSpacing/>
        <w:jc w:val="both"/>
        <w:rPr>
          <w:rFonts w:ascii="Palatino Linotype" w:eastAsia="MS Mincho" w:hAnsi="Palatino Linotype"/>
          <w:lang w:val="es-ES_tradnl"/>
        </w:rPr>
      </w:pPr>
    </w:p>
    <w:p w14:paraId="533269C7" w14:textId="77777777" w:rsidR="003159A7" w:rsidRPr="0046696A" w:rsidRDefault="003159A7" w:rsidP="003159A7">
      <w:pPr>
        <w:shd w:val="clear" w:color="auto" w:fill="FFFFFF"/>
        <w:spacing w:after="200" w:line="360" w:lineRule="auto"/>
        <w:ind w:left="567" w:right="567"/>
        <w:jc w:val="both"/>
        <w:rPr>
          <w:rFonts w:ascii="Palatino Linotype" w:hAnsi="Palatino Linotype" w:cs="Arial"/>
          <w:i/>
          <w:lang w:val="es-ES_tradnl"/>
        </w:rPr>
      </w:pPr>
      <w:r w:rsidRPr="0046696A">
        <w:rPr>
          <w:rFonts w:ascii="Palatino Linotype" w:hAnsi="Palatino Linotype" w:cs="Arial"/>
          <w:b/>
          <w:i/>
          <w:lang w:val="es-ES_tradnl"/>
        </w:rPr>
        <w:t>Quincuagésimo séptimo</w:t>
      </w:r>
      <w:r w:rsidRPr="0046696A">
        <w:rPr>
          <w:rFonts w:ascii="Palatino Linotype" w:hAnsi="Palatino Linotype" w:cs="Arial"/>
          <w:i/>
          <w:lang w:val="es-ES_tradnl"/>
        </w:rPr>
        <w:t xml:space="preserve">. </w:t>
      </w:r>
      <w:r w:rsidRPr="0046696A">
        <w:rPr>
          <w:rFonts w:ascii="Palatino Linotype" w:hAnsi="Palatino Linotype" w:cs="Arial"/>
          <w:b/>
          <w:i/>
          <w:lang w:val="es-ES_tradnl"/>
        </w:rPr>
        <w:t>Se considera, en principio, como información pública</w:t>
      </w:r>
      <w:r w:rsidRPr="0046696A">
        <w:rPr>
          <w:rFonts w:ascii="Palatino Linotype" w:hAnsi="Palatino Linotype" w:cs="Arial"/>
          <w:i/>
          <w:lang w:val="es-ES_tradnl"/>
        </w:rPr>
        <w:t xml:space="preserve"> y no podrá omitirse de las versiones públicas la siguiente:</w:t>
      </w:r>
    </w:p>
    <w:p w14:paraId="5010DC25" w14:textId="77777777" w:rsidR="003159A7" w:rsidRPr="0046696A" w:rsidRDefault="003159A7" w:rsidP="003159A7">
      <w:pPr>
        <w:shd w:val="clear" w:color="auto" w:fill="FFFFFF"/>
        <w:spacing w:after="200" w:line="360" w:lineRule="auto"/>
        <w:ind w:left="567" w:right="567"/>
        <w:jc w:val="both"/>
        <w:rPr>
          <w:rFonts w:ascii="Palatino Linotype" w:hAnsi="Palatino Linotype" w:cs="Arial"/>
          <w:i/>
          <w:lang w:val="es-ES_tradnl"/>
        </w:rPr>
      </w:pPr>
      <w:r w:rsidRPr="0046696A">
        <w:rPr>
          <w:rFonts w:ascii="Palatino Linotype" w:hAnsi="Palatino Linotype" w:cs="Arial"/>
          <w:i/>
          <w:lang w:val="es-ES_tradnl"/>
        </w:rPr>
        <w:t>La relativa a las Obligaciones de Transparencia que contempla el Título V de la Ley General y las demás disposiciones legales aplicables;</w:t>
      </w:r>
    </w:p>
    <w:p w14:paraId="31DA6404" w14:textId="77777777" w:rsidR="003159A7" w:rsidRPr="0046696A" w:rsidRDefault="003159A7" w:rsidP="003159A7">
      <w:pPr>
        <w:shd w:val="clear" w:color="auto" w:fill="FFFFFF"/>
        <w:spacing w:after="200" w:line="360" w:lineRule="auto"/>
        <w:ind w:left="567" w:right="567"/>
        <w:jc w:val="both"/>
        <w:rPr>
          <w:rFonts w:ascii="Palatino Linotype" w:hAnsi="Palatino Linotype" w:cs="Arial"/>
          <w:b/>
          <w:i/>
          <w:lang w:val="es-ES_tradnl"/>
        </w:rPr>
      </w:pPr>
      <w:r w:rsidRPr="0046696A">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223BA880" w14:textId="77777777" w:rsidR="003159A7" w:rsidRPr="0046696A" w:rsidRDefault="003159A7" w:rsidP="003159A7">
      <w:pPr>
        <w:shd w:val="clear" w:color="auto" w:fill="FFFFFF"/>
        <w:spacing w:after="200" w:line="360" w:lineRule="auto"/>
        <w:ind w:left="567" w:right="567"/>
        <w:jc w:val="both"/>
        <w:rPr>
          <w:rFonts w:ascii="Palatino Linotype" w:hAnsi="Palatino Linotype" w:cs="Arial"/>
          <w:b/>
          <w:i/>
          <w:lang w:val="es-ES_tradnl"/>
        </w:rPr>
      </w:pPr>
      <w:r w:rsidRPr="0046696A">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65BBEF12" w14:textId="77777777" w:rsidR="003159A7" w:rsidRPr="0046696A" w:rsidRDefault="003159A7" w:rsidP="003159A7">
      <w:pPr>
        <w:shd w:val="clear" w:color="auto" w:fill="FFFFFF"/>
        <w:spacing w:after="200" w:line="360" w:lineRule="auto"/>
        <w:ind w:left="567" w:right="567"/>
        <w:jc w:val="both"/>
        <w:rPr>
          <w:rFonts w:ascii="Palatino Linotype" w:hAnsi="Palatino Linotype" w:cs="Arial"/>
          <w:i/>
          <w:lang w:val="es-ES_tradnl"/>
        </w:rPr>
      </w:pPr>
      <w:r w:rsidRPr="0046696A">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06E9F3E6" w14:textId="53BD451B" w:rsidR="0046696A" w:rsidRPr="0046696A" w:rsidRDefault="003159A7" w:rsidP="00E62DBE">
      <w:pPr>
        <w:pStyle w:val="Prrafodelista"/>
        <w:numPr>
          <w:ilvl w:val="0"/>
          <w:numId w:val="8"/>
        </w:numPr>
        <w:spacing w:after="160" w:line="360" w:lineRule="auto"/>
        <w:ind w:left="0" w:firstLine="0"/>
        <w:contextualSpacing/>
        <w:jc w:val="both"/>
        <w:rPr>
          <w:rFonts w:ascii="Palatino Linotype" w:eastAsia="MS Mincho" w:hAnsi="Palatino Linotype"/>
          <w:lang w:val="es-ES_tradnl"/>
        </w:rPr>
      </w:pPr>
      <w:r w:rsidRPr="0046696A">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766D11DA" w14:textId="77777777" w:rsidR="003159A7" w:rsidRPr="0046696A" w:rsidRDefault="003159A7" w:rsidP="003159A7">
      <w:pPr>
        <w:pStyle w:val="Ttulo1"/>
        <w:rPr>
          <w:rFonts w:ascii="Palatino Linotype" w:hAnsi="Palatino Linotype"/>
          <w:b/>
          <w:color w:val="000000" w:themeColor="text1"/>
          <w:sz w:val="24"/>
          <w:szCs w:val="24"/>
          <w:lang w:val="es-MX"/>
        </w:rPr>
      </w:pPr>
      <w:bookmarkStart w:id="131" w:name="_Toc83127123"/>
      <w:bookmarkStart w:id="132" w:name="_Toc85717370"/>
      <w:r w:rsidRPr="0046696A">
        <w:rPr>
          <w:rFonts w:ascii="Palatino Linotype" w:hAnsi="Palatino Linotype"/>
          <w:b/>
          <w:color w:val="000000" w:themeColor="text1"/>
          <w:sz w:val="24"/>
          <w:szCs w:val="24"/>
          <w:lang w:val="es-MX"/>
        </w:rPr>
        <w:t>V. Condiciones especiales de la clasificación de la información como reservada.</w:t>
      </w:r>
      <w:bookmarkEnd w:id="131"/>
      <w:bookmarkEnd w:id="132"/>
      <w:r w:rsidRPr="0046696A">
        <w:rPr>
          <w:rFonts w:ascii="Palatino Linotype" w:hAnsi="Palatino Linotype"/>
          <w:b/>
          <w:color w:val="000000" w:themeColor="text1"/>
          <w:sz w:val="24"/>
          <w:szCs w:val="24"/>
          <w:lang w:val="es-MX"/>
        </w:rPr>
        <w:t xml:space="preserve"> </w:t>
      </w:r>
    </w:p>
    <w:p w14:paraId="5152D95F" w14:textId="77777777" w:rsidR="003159A7" w:rsidRPr="0046696A" w:rsidRDefault="003159A7" w:rsidP="003159A7">
      <w:pPr>
        <w:rPr>
          <w:rFonts w:ascii="Palatino Linotype" w:hAnsi="Palatino Linotype"/>
          <w:lang w:val="es-MX"/>
        </w:rPr>
      </w:pPr>
    </w:p>
    <w:p w14:paraId="7269F10B" w14:textId="77777777" w:rsidR="003159A7" w:rsidRPr="0046696A" w:rsidRDefault="003159A7" w:rsidP="00E62DBE">
      <w:pPr>
        <w:pStyle w:val="Prrafodelista"/>
        <w:numPr>
          <w:ilvl w:val="0"/>
          <w:numId w:val="8"/>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46696A">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6696A">
        <w:rPr>
          <w:rFonts w:ascii="Palatino Linotype" w:hAnsi="Palatino Linotype"/>
          <w:b/>
          <w:color w:val="000000"/>
        </w:rPr>
        <w:t>qué puede clasificarse como información reservada:</w:t>
      </w:r>
    </w:p>
    <w:p w14:paraId="65512389"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74CD3860"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7FF8B382"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I. Comprometa la seguridad pública y cuente con un propósito genuino y un efecto demostrable; </w:t>
      </w:r>
    </w:p>
    <w:p w14:paraId="030B6D27"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II. Pueda menoscabar la conducción de las negociaciones y relaciones internacionales; </w:t>
      </w:r>
    </w:p>
    <w:p w14:paraId="68672C6F"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920922A"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lastRenderedPageBreak/>
        <w:t xml:space="preserve">IV. Ponga en riesgo la vida, la seguridad o la salud de una persona física; </w:t>
      </w:r>
    </w:p>
    <w:p w14:paraId="51943F0E"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V. Aquella cuya divulgación obstruya o pueda causar un serio perjuicio a: </w:t>
      </w:r>
    </w:p>
    <w:p w14:paraId="3F43E835"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2B301737" w14:textId="77777777" w:rsidR="003159A7" w:rsidRPr="0046696A" w:rsidRDefault="003159A7" w:rsidP="003159A7">
      <w:pPr>
        <w:spacing w:before="100" w:beforeAutospacing="1" w:after="100" w:afterAutospacing="1" w:line="360" w:lineRule="auto"/>
        <w:ind w:left="1134" w:right="616"/>
        <w:contextualSpacing/>
        <w:jc w:val="both"/>
        <w:rPr>
          <w:rFonts w:ascii="Palatino Linotype" w:hAnsi="Palatino Linotype"/>
          <w:b/>
          <w:i/>
        </w:rPr>
      </w:pPr>
      <w:r w:rsidRPr="0046696A">
        <w:rPr>
          <w:rFonts w:ascii="Palatino Linotype" w:hAnsi="Palatino Linotype"/>
          <w:b/>
          <w:i/>
        </w:rPr>
        <w:t xml:space="preserve">1. Las actividades de fiscalización, verificación, inspección, comprobación y auditoría sobre el cumplimiento de las Leyes; o </w:t>
      </w:r>
    </w:p>
    <w:p w14:paraId="6EF76A46" w14:textId="77777777" w:rsidR="003159A7" w:rsidRPr="0046696A" w:rsidRDefault="003159A7" w:rsidP="003159A7">
      <w:pPr>
        <w:spacing w:before="100" w:beforeAutospacing="1" w:after="100" w:afterAutospacing="1" w:line="360" w:lineRule="auto"/>
        <w:ind w:left="1134" w:right="616"/>
        <w:contextualSpacing/>
        <w:jc w:val="both"/>
        <w:rPr>
          <w:rFonts w:ascii="Palatino Linotype" w:hAnsi="Palatino Linotype"/>
          <w:b/>
          <w:i/>
        </w:rPr>
      </w:pPr>
    </w:p>
    <w:p w14:paraId="24B502B5" w14:textId="77777777" w:rsidR="003159A7" w:rsidRPr="0046696A" w:rsidRDefault="003159A7" w:rsidP="003159A7">
      <w:pPr>
        <w:spacing w:before="100" w:beforeAutospacing="1" w:after="100" w:afterAutospacing="1" w:line="360" w:lineRule="auto"/>
        <w:ind w:left="1134" w:right="616"/>
        <w:contextualSpacing/>
        <w:jc w:val="both"/>
        <w:rPr>
          <w:rFonts w:ascii="Palatino Linotype" w:hAnsi="Palatino Linotype"/>
          <w:b/>
          <w:i/>
        </w:rPr>
      </w:pPr>
      <w:r w:rsidRPr="0046696A">
        <w:rPr>
          <w:rFonts w:ascii="Palatino Linotype" w:hAnsi="Palatino Linotype"/>
          <w:b/>
          <w:i/>
        </w:rPr>
        <w:t xml:space="preserve">2. La recaudación de las contribuciones. </w:t>
      </w:r>
    </w:p>
    <w:p w14:paraId="4F359638"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55D0D296"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72BA214"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6FF5AE15"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3F244D25"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6EB06579"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 VIII. Vulnere la conducción de los expedientes judiciales o de los procedimientos administrativos seguidos en forma de juicio, en tanto no hayan quedado firmes; </w:t>
      </w:r>
    </w:p>
    <w:p w14:paraId="0031B56B"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0E097110"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IX. Se encuentre contenida dentro de las investigaciones de hechos que la Ley señale como delitos y se tramiten ante el Ministerio Público;</w:t>
      </w:r>
    </w:p>
    <w:p w14:paraId="1B432638"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7A1DE50C"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7E9044E"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p>
    <w:p w14:paraId="7157036B"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i/>
        </w:rPr>
      </w:pPr>
      <w:r w:rsidRPr="0046696A">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322B0CF8" w14:textId="77777777" w:rsidR="003159A7" w:rsidRPr="0046696A" w:rsidRDefault="003159A7" w:rsidP="003159A7">
      <w:pPr>
        <w:spacing w:before="100" w:beforeAutospacing="1" w:after="100" w:afterAutospacing="1" w:line="360" w:lineRule="auto"/>
        <w:ind w:left="720" w:right="616"/>
        <w:contextualSpacing/>
        <w:jc w:val="both"/>
        <w:rPr>
          <w:rFonts w:ascii="Palatino Linotype" w:hAnsi="Palatino Linotype"/>
          <w:b/>
          <w:color w:val="000000"/>
        </w:rPr>
      </w:pPr>
    </w:p>
    <w:p w14:paraId="389D4B8E" w14:textId="77777777" w:rsidR="003159A7" w:rsidRPr="0046696A" w:rsidRDefault="003159A7" w:rsidP="00E62DBE">
      <w:pPr>
        <w:numPr>
          <w:ilvl w:val="0"/>
          <w:numId w:val="8"/>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46696A">
        <w:rPr>
          <w:rFonts w:ascii="Palatino Linotype" w:hAnsi="Palatino Linotype"/>
          <w:color w:val="000000"/>
        </w:rPr>
        <w:lastRenderedPageBreak/>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056848AD" w14:textId="77777777" w:rsidR="003159A7" w:rsidRPr="0046696A" w:rsidRDefault="003159A7" w:rsidP="003159A7">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0CB8D045" w14:textId="77777777" w:rsidR="003159A7" w:rsidRPr="0046696A" w:rsidRDefault="003159A7" w:rsidP="00E62DBE">
      <w:pPr>
        <w:pStyle w:val="Prrafodelista"/>
        <w:keepNext/>
        <w:keepLines/>
        <w:numPr>
          <w:ilvl w:val="0"/>
          <w:numId w:val="5"/>
        </w:numPr>
        <w:suppressAutoHyphens/>
        <w:spacing w:before="240" w:line="360" w:lineRule="auto"/>
        <w:ind w:left="284" w:hanging="284"/>
        <w:outlineLvl w:val="0"/>
        <w:rPr>
          <w:rFonts w:ascii="Palatino Linotype" w:hAnsi="Palatino Linotype"/>
          <w:b/>
          <w:color w:val="000000"/>
        </w:rPr>
      </w:pPr>
      <w:bookmarkStart w:id="133" w:name="_Toc83127124"/>
      <w:bookmarkStart w:id="134" w:name="_Toc85717371"/>
      <w:r w:rsidRPr="0046696A">
        <w:rPr>
          <w:rFonts w:ascii="Palatino Linotype" w:hAnsi="Palatino Linotype"/>
          <w:b/>
          <w:color w:val="000000"/>
        </w:rPr>
        <w:t>Fundamentación específica.</w:t>
      </w:r>
      <w:bookmarkEnd w:id="133"/>
      <w:bookmarkEnd w:id="134"/>
    </w:p>
    <w:p w14:paraId="291A9C1E" w14:textId="77777777" w:rsidR="003159A7" w:rsidRPr="0046696A" w:rsidRDefault="003159A7" w:rsidP="003159A7">
      <w:pPr>
        <w:spacing w:line="360" w:lineRule="auto"/>
        <w:contextualSpacing/>
        <w:jc w:val="both"/>
        <w:rPr>
          <w:rFonts w:ascii="Palatino Linotype" w:hAnsi="Palatino Linotype" w:cs="Arial"/>
          <w:color w:val="000000"/>
          <w:lang w:val="es-ES_tradnl"/>
        </w:rPr>
      </w:pPr>
    </w:p>
    <w:p w14:paraId="7CE3F573" w14:textId="77777777" w:rsidR="003159A7" w:rsidRPr="0046696A" w:rsidRDefault="003159A7" w:rsidP="00E62DBE">
      <w:pPr>
        <w:pStyle w:val="Prrafodelista"/>
        <w:numPr>
          <w:ilvl w:val="0"/>
          <w:numId w:val="8"/>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46696A">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46696A">
        <w:rPr>
          <w:rFonts w:ascii="Palatino Linotype" w:hAnsi="Palatino Linotype" w:cs="Arial"/>
          <w:b/>
          <w:bCs/>
          <w:color w:val="000000"/>
          <w:lang w:val="es-ES_tradnl"/>
        </w:rPr>
        <w:t>SUJETO OBLIGADO</w:t>
      </w:r>
      <w:r w:rsidRPr="0046696A">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04C32B7" w14:textId="77777777" w:rsidR="003159A7" w:rsidRPr="0046696A" w:rsidRDefault="003159A7" w:rsidP="003159A7">
      <w:pPr>
        <w:keepNext/>
        <w:keepLines/>
        <w:suppressAutoHyphens/>
        <w:spacing w:before="240" w:line="360" w:lineRule="auto"/>
        <w:outlineLvl w:val="0"/>
        <w:rPr>
          <w:rFonts w:ascii="Palatino Linotype" w:hAnsi="Palatino Linotype"/>
          <w:b/>
          <w:color w:val="000000"/>
        </w:rPr>
      </w:pPr>
      <w:bookmarkStart w:id="135" w:name="_Toc485631708"/>
      <w:bookmarkStart w:id="136" w:name="_Toc500756718"/>
      <w:bookmarkStart w:id="137" w:name="_Toc536691786"/>
      <w:bookmarkStart w:id="138" w:name="_Toc82023108"/>
      <w:bookmarkStart w:id="139" w:name="_Toc83127125"/>
      <w:bookmarkStart w:id="140" w:name="_Toc85717372"/>
      <w:r w:rsidRPr="0046696A">
        <w:rPr>
          <w:rFonts w:ascii="Palatino Linotype" w:hAnsi="Palatino Linotype"/>
          <w:b/>
          <w:color w:val="000000"/>
        </w:rPr>
        <w:t>b) La prueba de daño.</w:t>
      </w:r>
      <w:bookmarkEnd w:id="135"/>
      <w:bookmarkEnd w:id="136"/>
      <w:bookmarkEnd w:id="137"/>
      <w:bookmarkEnd w:id="138"/>
      <w:bookmarkEnd w:id="139"/>
      <w:bookmarkEnd w:id="140"/>
    </w:p>
    <w:p w14:paraId="16426CBA" w14:textId="77777777" w:rsidR="003159A7" w:rsidRPr="0046696A" w:rsidRDefault="003159A7" w:rsidP="003159A7">
      <w:pPr>
        <w:spacing w:line="360" w:lineRule="auto"/>
        <w:contextualSpacing/>
        <w:jc w:val="both"/>
        <w:rPr>
          <w:rFonts w:ascii="Palatino Linotype" w:hAnsi="Palatino Linotype"/>
          <w:color w:val="000000"/>
          <w:lang w:val="es-ES_tradnl"/>
        </w:rPr>
      </w:pPr>
    </w:p>
    <w:p w14:paraId="0D51D1AC"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6E56C82" w14:textId="77777777" w:rsidR="003159A7" w:rsidRPr="0046696A" w:rsidRDefault="003159A7" w:rsidP="003159A7">
      <w:pPr>
        <w:tabs>
          <w:tab w:val="left" w:pos="426"/>
        </w:tabs>
        <w:spacing w:after="160" w:line="360" w:lineRule="auto"/>
        <w:contextualSpacing/>
        <w:jc w:val="both"/>
        <w:rPr>
          <w:rFonts w:ascii="Palatino Linotype" w:hAnsi="Palatino Linotype"/>
          <w:color w:val="000000"/>
          <w:lang w:val="es-ES_tradnl"/>
        </w:rPr>
      </w:pPr>
    </w:p>
    <w:p w14:paraId="7A807377"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Para aplicar la prueba de daño, se deberán de precisar las razones objetivas por las que la apertura genera una afectación, acreditando que:</w:t>
      </w:r>
    </w:p>
    <w:p w14:paraId="2CDA9DEF" w14:textId="77777777" w:rsidR="003159A7" w:rsidRPr="0046696A" w:rsidRDefault="003159A7" w:rsidP="003159A7">
      <w:pPr>
        <w:tabs>
          <w:tab w:val="left" w:pos="426"/>
        </w:tabs>
        <w:spacing w:after="160" w:line="360" w:lineRule="auto"/>
        <w:contextualSpacing/>
        <w:jc w:val="both"/>
        <w:rPr>
          <w:rFonts w:ascii="Palatino Linotype" w:hAnsi="Palatino Linotype"/>
          <w:color w:val="000000"/>
          <w:lang w:val="es-ES_tradnl"/>
        </w:rPr>
      </w:pPr>
    </w:p>
    <w:p w14:paraId="59E99D7C" w14:textId="77777777" w:rsidR="003159A7" w:rsidRPr="0046696A" w:rsidRDefault="003159A7" w:rsidP="00E62DBE">
      <w:pPr>
        <w:numPr>
          <w:ilvl w:val="1"/>
          <w:numId w:val="8"/>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46696A">
        <w:rPr>
          <w:rFonts w:ascii="Palatino Linotype" w:hAnsi="Palatino Linotype"/>
          <w:color w:val="000000"/>
          <w:lang w:val="es-ES_tradnl"/>
        </w:rPr>
        <w:t xml:space="preserve">La </w:t>
      </w:r>
      <w:r w:rsidRPr="0046696A">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724B78B5" w14:textId="77777777" w:rsidR="003159A7" w:rsidRPr="0046696A" w:rsidRDefault="003159A7" w:rsidP="00E62DBE">
      <w:pPr>
        <w:numPr>
          <w:ilvl w:val="1"/>
          <w:numId w:val="8"/>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46696A">
        <w:rPr>
          <w:rFonts w:ascii="Palatino Linotype" w:hAnsi="Palatino Linotype"/>
          <w:iCs/>
          <w:color w:val="000000"/>
          <w:lang w:val="es-ES_tradnl"/>
        </w:rPr>
        <w:t xml:space="preserve">El riesgo de perjuicio que supondría la divulgación supera el interés público general de que se difunda; y </w:t>
      </w:r>
    </w:p>
    <w:p w14:paraId="5462AFB7" w14:textId="77777777" w:rsidR="003159A7" w:rsidRPr="0046696A" w:rsidRDefault="003159A7" w:rsidP="00E62DBE">
      <w:pPr>
        <w:numPr>
          <w:ilvl w:val="1"/>
          <w:numId w:val="8"/>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46696A">
        <w:rPr>
          <w:rFonts w:ascii="Palatino Linotype" w:hAnsi="Palatino Linotype"/>
          <w:iCs/>
          <w:color w:val="000000"/>
          <w:lang w:val="es-ES_tradnl"/>
        </w:rPr>
        <w:t>La limitación se adecua al principio de proporcionalidad y representa el medio menos restrictivo disponible para evitar el perjuicio.</w:t>
      </w:r>
    </w:p>
    <w:p w14:paraId="68FBD1F9" w14:textId="77777777" w:rsidR="003159A7" w:rsidRPr="0046696A" w:rsidRDefault="003159A7" w:rsidP="003159A7">
      <w:pPr>
        <w:tabs>
          <w:tab w:val="left" w:pos="426"/>
        </w:tabs>
        <w:spacing w:line="360" w:lineRule="auto"/>
        <w:ind w:left="1134"/>
        <w:contextualSpacing/>
        <w:jc w:val="both"/>
        <w:rPr>
          <w:rFonts w:ascii="Palatino Linotype" w:hAnsi="Palatino Linotype"/>
          <w:iCs/>
          <w:color w:val="000000"/>
          <w:lang w:val="es-ES_tradnl"/>
        </w:rPr>
      </w:pPr>
    </w:p>
    <w:p w14:paraId="1FB33D23" w14:textId="77777777" w:rsidR="003159A7" w:rsidRPr="0046696A" w:rsidRDefault="003159A7" w:rsidP="00E62DBE">
      <w:pPr>
        <w:numPr>
          <w:ilvl w:val="0"/>
          <w:numId w:val="8"/>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46696A">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46696A">
        <w:rPr>
          <w:rFonts w:ascii="Palatino Linotype" w:eastAsia="Calibri" w:hAnsi="Palatino Linotype"/>
          <w:color w:val="000000"/>
          <w:vertAlign w:val="superscript"/>
          <w:lang w:val="es-ES_tradnl" w:eastAsia="es-ES_tradnl"/>
        </w:rPr>
        <w:footnoteReference w:id="14"/>
      </w:r>
      <w:r w:rsidRPr="0046696A">
        <w:rPr>
          <w:rFonts w:ascii="Palatino Linotype" w:eastAsia="Calibri" w:hAnsi="Palatino Linotype"/>
          <w:color w:val="000000"/>
          <w:lang w:val="es-ES_tradnl" w:eastAsia="es-ES_tradnl"/>
        </w:rPr>
        <w:t xml:space="preserve"> mientras que el daño es considerado como un “perjuicio o lesión”</w:t>
      </w:r>
      <w:r w:rsidRPr="0046696A">
        <w:rPr>
          <w:rFonts w:ascii="Palatino Linotype" w:eastAsia="Calibri" w:hAnsi="Palatino Linotype"/>
          <w:color w:val="000000"/>
          <w:vertAlign w:val="superscript"/>
          <w:lang w:val="es-ES_tradnl" w:eastAsia="es-ES_tradnl"/>
        </w:rPr>
        <w:footnoteReference w:id="15"/>
      </w:r>
      <w:r w:rsidRPr="0046696A">
        <w:rPr>
          <w:rFonts w:ascii="Palatino Linotype" w:eastAsia="Calibri" w:hAnsi="Palatino Linotype"/>
          <w:color w:val="000000"/>
          <w:lang w:val="es-ES_tradnl" w:eastAsia="es-ES_tradnl"/>
        </w:rPr>
        <w:t>, mientras que según el Diccionario de la Lengua Española, lo real es</w:t>
      </w:r>
      <w:r w:rsidRPr="0046696A">
        <w:rPr>
          <w:rFonts w:ascii="Palatino Linotype" w:eastAsia="Arial Unicode MS" w:hAnsi="Palatino Linotype" w:cs="Arial Unicode MS"/>
          <w:color w:val="000000"/>
          <w:spacing w:val="4"/>
          <w:shd w:val="clear" w:color="auto" w:fill="FFFFFF"/>
          <w:lang w:val="es-ES_tradnl" w:eastAsia="es-ES_tradnl"/>
        </w:rPr>
        <w:t xml:space="preserve"> lo “</w:t>
      </w:r>
      <w:r w:rsidRPr="0046696A">
        <w:rPr>
          <w:rFonts w:ascii="Palatino Linotype" w:hAnsi="Palatino Linotype"/>
          <w:color w:val="000000"/>
          <w:lang w:val="es-ES_tradnl" w:eastAsia="es-ES_tradnl"/>
        </w:rPr>
        <w:t>(que</w:t>
      </w:r>
      <w:r w:rsidRPr="0046696A">
        <w:rPr>
          <w:rFonts w:ascii="Palatino Linotype" w:eastAsia="Arial Unicode MS" w:hAnsi="Palatino Linotype" w:cs="Arial Unicode MS"/>
          <w:color w:val="000000"/>
          <w:spacing w:val="4"/>
          <w:shd w:val="clear" w:color="auto" w:fill="FFFFFF"/>
          <w:lang w:val="es-ES_tradnl" w:eastAsia="es-ES_tradnl"/>
        </w:rPr>
        <w:t xml:space="preserve"> </w:t>
      </w:r>
      <w:r w:rsidRPr="0046696A">
        <w:rPr>
          <w:rFonts w:ascii="Palatino Linotype" w:hAnsi="Palatino Linotype"/>
          <w:color w:val="000000"/>
          <w:lang w:val="es-ES_tradnl" w:eastAsia="es-ES_tradnl"/>
        </w:rPr>
        <w:t>tiene</w:t>
      </w:r>
      <w:r w:rsidRPr="0046696A">
        <w:rPr>
          <w:rFonts w:ascii="Palatino Linotype" w:eastAsia="Arial Unicode MS" w:hAnsi="Palatino Linotype" w:cs="Arial Unicode MS"/>
          <w:color w:val="000000"/>
          <w:spacing w:val="4"/>
          <w:shd w:val="clear" w:color="auto" w:fill="FFFFFF"/>
          <w:lang w:val="es-ES_tradnl" w:eastAsia="es-ES_tradnl"/>
        </w:rPr>
        <w:t xml:space="preserve"> </w:t>
      </w:r>
      <w:r w:rsidRPr="0046696A">
        <w:rPr>
          <w:rFonts w:ascii="Palatino Linotype" w:hAnsi="Palatino Linotype"/>
          <w:color w:val="000000"/>
          <w:lang w:val="es-ES_tradnl" w:eastAsia="es-ES_tradnl"/>
        </w:rPr>
        <w:t>existencia</w:t>
      </w:r>
      <w:r w:rsidRPr="0046696A">
        <w:rPr>
          <w:rFonts w:ascii="Palatino Linotype" w:eastAsia="Arial Unicode MS" w:hAnsi="Palatino Linotype" w:cs="Arial Unicode MS"/>
          <w:color w:val="000000"/>
          <w:spacing w:val="4"/>
          <w:shd w:val="clear" w:color="auto" w:fill="FFFFFF"/>
          <w:lang w:val="es-ES_tradnl" w:eastAsia="es-ES_tradnl"/>
        </w:rPr>
        <w:t xml:space="preserve"> </w:t>
      </w:r>
      <w:r w:rsidRPr="0046696A">
        <w:rPr>
          <w:rFonts w:ascii="Palatino Linotype" w:hAnsi="Palatino Linotype"/>
          <w:color w:val="000000"/>
          <w:lang w:val="es-ES_tradnl" w:eastAsia="es-ES_tradnl"/>
        </w:rPr>
        <w:t>objetiva”,</w:t>
      </w:r>
      <w:r w:rsidRPr="0046696A">
        <w:rPr>
          <w:rFonts w:ascii="Palatino Linotype" w:hAnsi="Palatino Linotype"/>
          <w:color w:val="000000"/>
          <w:vertAlign w:val="superscript"/>
          <w:lang w:val="es-ES_tradnl" w:eastAsia="es-ES_tradnl"/>
        </w:rPr>
        <w:footnoteReference w:id="16"/>
      </w:r>
      <w:r w:rsidRPr="0046696A">
        <w:rPr>
          <w:rFonts w:ascii="Palatino Linotype" w:hAnsi="Palatino Linotype"/>
          <w:color w:val="000000"/>
          <w:lang w:val="es-ES_tradnl" w:eastAsia="es-ES_tradnl"/>
        </w:rPr>
        <w:t xml:space="preserve"> </w:t>
      </w:r>
      <w:r w:rsidRPr="0046696A">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46696A">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46696A">
        <w:rPr>
          <w:rFonts w:ascii="Palatino Linotype" w:eastAsia="Arial Unicode MS" w:hAnsi="Palatino Linotype" w:cs="Arial Unicode MS"/>
          <w:color w:val="000000"/>
          <w:spacing w:val="4"/>
          <w:shd w:val="clear" w:color="auto" w:fill="FFFFFF"/>
          <w:lang w:val="es-ES_tradnl" w:eastAsia="es-ES_tradnl"/>
        </w:rPr>
        <w:t xml:space="preserve"> es decir, </w:t>
      </w:r>
      <w:r w:rsidRPr="0046696A">
        <w:rPr>
          <w:rFonts w:ascii="Palatino Linotype" w:eastAsia="Calibri" w:hAnsi="Palatino Linotype"/>
          <w:color w:val="000000"/>
          <w:lang w:val="es-MX" w:eastAsia="en-US"/>
        </w:rPr>
        <w:t xml:space="preserve">“(manifestar, declarar. Probar, sirviéndose de cualquier género de demostración, </w:t>
      </w:r>
      <w:hyperlink r:id="rId9" w:anchor="6nAyKjE" w:history="1">
        <w:r w:rsidRPr="0046696A">
          <w:rPr>
            <w:rFonts w:ascii="Palatino Linotype" w:eastAsia="Calibri" w:hAnsi="Palatino Linotype"/>
            <w:color w:val="000000"/>
            <w:lang w:val="es-MX" w:eastAsia="en-US"/>
          </w:rPr>
          <w:t>enseñar</w:t>
        </w:r>
      </w:hyperlink>
      <w:r w:rsidRPr="0046696A">
        <w:rPr>
          <w:rFonts w:ascii="Palatino Linotype" w:eastAsia="Calibri" w:hAnsi="Palatino Linotype"/>
          <w:color w:val="000000"/>
          <w:lang w:val="es-MX" w:eastAsia="en-US"/>
        </w:rPr>
        <w:t xml:space="preserve"> mostrar o exponer algo)”.</w:t>
      </w:r>
      <w:r w:rsidRPr="0046696A">
        <w:rPr>
          <w:rFonts w:ascii="Palatino Linotype" w:eastAsia="Calibri" w:hAnsi="Palatino Linotype"/>
          <w:color w:val="000000"/>
          <w:vertAlign w:val="superscript"/>
          <w:lang w:val="es-MX" w:eastAsia="en-US"/>
        </w:rPr>
        <w:footnoteReference w:id="18"/>
      </w:r>
      <w:r w:rsidRPr="0046696A">
        <w:rPr>
          <w:rFonts w:ascii="Palatino Linotype" w:eastAsia="Calibri" w:hAnsi="Palatino Linotype"/>
          <w:color w:val="000000"/>
          <w:lang w:val="es-MX" w:eastAsia="en-US"/>
        </w:rPr>
        <w:t xml:space="preserve"> Mientras que lo identificable es lo que puede ser identificado,</w:t>
      </w:r>
      <w:r w:rsidRPr="0046696A">
        <w:rPr>
          <w:rFonts w:ascii="Palatino Linotype" w:eastAsia="Calibri" w:hAnsi="Palatino Linotype"/>
          <w:color w:val="000000"/>
          <w:vertAlign w:val="superscript"/>
          <w:lang w:val="es-MX" w:eastAsia="en-US"/>
        </w:rPr>
        <w:footnoteReference w:id="19"/>
      </w:r>
      <w:r w:rsidRPr="0046696A">
        <w:rPr>
          <w:rFonts w:ascii="Palatino Linotype" w:eastAsia="Calibri" w:hAnsi="Palatino Linotype"/>
          <w:color w:val="000000"/>
          <w:lang w:val="es-MX" w:eastAsia="en-US"/>
        </w:rPr>
        <w:t xml:space="preserve"> esto es,</w:t>
      </w:r>
      <w:r w:rsidRPr="0046696A">
        <w:rPr>
          <w:rFonts w:ascii="Palatino Linotype" w:eastAsia="Calibri" w:hAnsi="Palatino Linotype"/>
          <w:color w:val="000000"/>
          <w:lang w:val="es-ES_tradnl" w:eastAsia="es-ES_tradnl"/>
        </w:rPr>
        <w:t xml:space="preserve"> “(dar los datos necesarios para ser reconocido”.</w:t>
      </w:r>
      <w:r w:rsidRPr="0046696A">
        <w:rPr>
          <w:rFonts w:ascii="Palatino Linotype" w:eastAsia="Calibri" w:hAnsi="Palatino Linotype"/>
          <w:color w:val="000000"/>
          <w:vertAlign w:val="superscript"/>
          <w:lang w:val="es-ES_tradnl" w:eastAsia="es-ES_tradnl"/>
        </w:rPr>
        <w:footnoteReference w:id="20"/>
      </w:r>
    </w:p>
    <w:p w14:paraId="3A3D2EF9"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83FD654" w14:textId="77777777" w:rsidR="003159A7" w:rsidRPr="0046696A" w:rsidRDefault="003159A7" w:rsidP="003159A7">
      <w:pPr>
        <w:tabs>
          <w:tab w:val="left" w:pos="426"/>
        </w:tabs>
        <w:spacing w:line="360" w:lineRule="auto"/>
        <w:contextualSpacing/>
        <w:jc w:val="both"/>
        <w:rPr>
          <w:rFonts w:ascii="Palatino Linotype" w:hAnsi="Palatino Linotype"/>
          <w:color w:val="000000"/>
          <w:lang w:val="es-ES_tradnl"/>
        </w:rPr>
      </w:pPr>
    </w:p>
    <w:p w14:paraId="240E467C"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 xml:space="preserve">Identificado ese riesgo, se debe demostrar que el mismo supera el interés público general porque se difunda dicha información. </w:t>
      </w:r>
    </w:p>
    <w:p w14:paraId="52B2C116" w14:textId="77777777" w:rsidR="003159A7" w:rsidRPr="0046696A" w:rsidRDefault="003159A7" w:rsidP="003159A7">
      <w:pPr>
        <w:tabs>
          <w:tab w:val="left" w:pos="426"/>
        </w:tabs>
        <w:spacing w:line="360" w:lineRule="auto"/>
        <w:contextualSpacing/>
        <w:jc w:val="both"/>
        <w:rPr>
          <w:rFonts w:ascii="Palatino Linotype" w:hAnsi="Palatino Linotype"/>
          <w:color w:val="000000"/>
          <w:lang w:val="es-ES_tradnl"/>
        </w:rPr>
      </w:pPr>
    </w:p>
    <w:p w14:paraId="2EA6521E"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lastRenderedPageBreak/>
        <w:t>Y, por último,  que la limitación es acorde con el principio de proporcionalidad, para ello, se sugiere emplear los tres juicios propuestos por la Corte Constitucional Colombiana</w:t>
      </w:r>
      <w:r w:rsidRPr="0046696A">
        <w:rPr>
          <w:rFonts w:ascii="Palatino Linotype" w:hAnsi="Palatino Linotype"/>
          <w:color w:val="000000"/>
          <w:vertAlign w:val="superscript"/>
          <w:lang w:val="es-ES_tradnl"/>
        </w:rPr>
        <w:footnoteReference w:id="21"/>
      </w:r>
      <w:r w:rsidRPr="0046696A">
        <w:rPr>
          <w:rFonts w:ascii="Palatino Linotype" w:hAnsi="Palatino Linotype"/>
          <w:color w:val="000000"/>
          <w:lang w:val="es-ES_tradnl"/>
        </w:rPr>
        <w:t>, siguiendo el principio de ponderación propuesto por el Tribunal Constitucional Alemán,</w:t>
      </w:r>
      <w:r w:rsidRPr="0046696A">
        <w:rPr>
          <w:rFonts w:ascii="Palatino Linotype" w:hAnsi="Palatino Linotype"/>
          <w:color w:val="000000"/>
          <w:vertAlign w:val="superscript"/>
          <w:lang w:val="es-ES_tradnl"/>
        </w:rPr>
        <w:footnoteReference w:id="22"/>
      </w:r>
      <w:r w:rsidRPr="0046696A">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BBDA8CF" w14:textId="77777777" w:rsidR="003159A7" w:rsidRPr="0046696A" w:rsidRDefault="003159A7" w:rsidP="003159A7">
      <w:pPr>
        <w:keepNext/>
        <w:suppressAutoHyphens/>
        <w:spacing w:before="240" w:after="120" w:line="360" w:lineRule="auto"/>
        <w:rPr>
          <w:rFonts w:ascii="Palatino Linotype" w:eastAsia="Noto Sans CJK SC" w:hAnsi="Palatino Linotype" w:cs="Lohit Devanagari"/>
          <w:lang w:val="es-ES_tradnl"/>
        </w:rPr>
      </w:pPr>
    </w:p>
    <w:p w14:paraId="5601DB20" w14:textId="77777777" w:rsidR="003159A7" w:rsidRPr="0046696A" w:rsidRDefault="003159A7" w:rsidP="003159A7">
      <w:pPr>
        <w:keepNext/>
        <w:keepLines/>
        <w:suppressAutoHyphens/>
        <w:spacing w:before="240" w:line="360" w:lineRule="auto"/>
        <w:outlineLvl w:val="0"/>
        <w:rPr>
          <w:rFonts w:ascii="Palatino Linotype" w:hAnsi="Palatino Linotype"/>
          <w:b/>
          <w:color w:val="2E74B5"/>
          <w:lang w:eastAsia="en-US"/>
        </w:rPr>
      </w:pPr>
      <w:bookmarkStart w:id="141" w:name="_Toc485631709"/>
      <w:bookmarkStart w:id="142" w:name="_Toc500756719"/>
      <w:bookmarkStart w:id="143" w:name="_Toc536691787"/>
      <w:bookmarkStart w:id="144" w:name="_Toc82023109"/>
      <w:bookmarkStart w:id="145" w:name="_Toc83127126"/>
      <w:bookmarkStart w:id="146" w:name="_Toc85717373"/>
      <w:r w:rsidRPr="0046696A">
        <w:rPr>
          <w:rFonts w:ascii="Palatino Linotype" w:hAnsi="Palatino Linotype"/>
          <w:b/>
          <w:color w:val="000000"/>
          <w:lang w:eastAsia="en-US"/>
        </w:rPr>
        <w:t>c) La clasificación de la información reservada debe ser de manera temporal.</w:t>
      </w:r>
      <w:bookmarkEnd w:id="141"/>
      <w:bookmarkEnd w:id="142"/>
      <w:bookmarkEnd w:id="143"/>
      <w:bookmarkEnd w:id="144"/>
      <w:bookmarkEnd w:id="145"/>
      <w:bookmarkEnd w:id="146"/>
    </w:p>
    <w:p w14:paraId="204030DF" w14:textId="77777777" w:rsidR="003159A7" w:rsidRPr="0046696A" w:rsidRDefault="003159A7" w:rsidP="003159A7">
      <w:pPr>
        <w:spacing w:line="360" w:lineRule="auto"/>
        <w:jc w:val="both"/>
        <w:rPr>
          <w:rFonts w:ascii="Palatino Linotype" w:hAnsi="Palatino Linotype"/>
          <w:b/>
          <w:color w:val="000000"/>
          <w:lang w:val="es-ES_tradnl"/>
        </w:rPr>
      </w:pPr>
    </w:p>
    <w:p w14:paraId="599F911C"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98EBE8E" w14:textId="77777777" w:rsidR="003159A7" w:rsidRPr="0046696A" w:rsidRDefault="003159A7" w:rsidP="003159A7">
      <w:pPr>
        <w:tabs>
          <w:tab w:val="left" w:pos="426"/>
        </w:tabs>
        <w:spacing w:line="360" w:lineRule="auto"/>
        <w:contextualSpacing/>
        <w:jc w:val="both"/>
        <w:rPr>
          <w:rFonts w:ascii="Palatino Linotype" w:hAnsi="Palatino Linotype"/>
          <w:color w:val="000000"/>
          <w:lang w:val="es-ES_tradnl"/>
        </w:rPr>
      </w:pPr>
    </w:p>
    <w:p w14:paraId="54313031"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E12A323" w14:textId="77777777" w:rsidR="003159A7" w:rsidRPr="0046696A" w:rsidRDefault="003159A7" w:rsidP="003159A7">
      <w:pPr>
        <w:tabs>
          <w:tab w:val="left" w:pos="426"/>
        </w:tabs>
        <w:spacing w:line="360" w:lineRule="auto"/>
        <w:contextualSpacing/>
        <w:rPr>
          <w:rFonts w:ascii="Palatino Linotype" w:hAnsi="Palatino Linotype"/>
          <w:color w:val="000000"/>
          <w:lang w:val="es-ES_tradnl"/>
        </w:rPr>
      </w:pPr>
    </w:p>
    <w:p w14:paraId="2C095FAA"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EA7D099" w14:textId="77777777" w:rsidR="003159A7" w:rsidRPr="0046696A" w:rsidRDefault="003159A7" w:rsidP="003159A7">
      <w:pPr>
        <w:tabs>
          <w:tab w:val="left" w:pos="426"/>
        </w:tabs>
        <w:spacing w:line="360" w:lineRule="auto"/>
        <w:contextualSpacing/>
        <w:rPr>
          <w:rFonts w:ascii="Palatino Linotype" w:hAnsi="Palatino Linotype"/>
          <w:b/>
          <w:color w:val="000000"/>
          <w:lang w:val="es-ES_tradnl"/>
        </w:rPr>
      </w:pPr>
    </w:p>
    <w:p w14:paraId="06FA879B"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De</w:t>
      </w:r>
      <w:r w:rsidRPr="0046696A">
        <w:rPr>
          <w:rFonts w:ascii="Palatino Linotype" w:hAnsi="Palatino Linotype"/>
          <w:b/>
          <w:color w:val="000000"/>
          <w:lang w:val="es-ES_tradnl"/>
        </w:rPr>
        <w:t xml:space="preserve"> </w:t>
      </w:r>
      <w:r w:rsidRPr="0046696A">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w:t>
      </w:r>
      <w:r w:rsidRPr="0046696A">
        <w:rPr>
          <w:rFonts w:ascii="Palatino Linotype" w:hAnsi="Palatino Linotype"/>
          <w:color w:val="000000"/>
          <w:lang w:val="es-ES_tradnl"/>
        </w:rPr>
        <w:lastRenderedPageBreak/>
        <w:t xml:space="preserve">años adicionales y por una sola vez, siempre y cuando justifiquen que subsisten las causas que dieron origen a su clasificación, mediante la aplicación de una prueba de daño. </w:t>
      </w:r>
    </w:p>
    <w:p w14:paraId="5430E8E6" w14:textId="77777777" w:rsidR="003159A7" w:rsidRPr="0046696A" w:rsidRDefault="003159A7" w:rsidP="003159A7">
      <w:pPr>
        <w:tabs>
          <w:tab w:val="left" w:pos="426"/>
        </w:tabs>
        <w:spacing w:line="360" w:lineRule="auto"/>
        <w:contextualSpacing/>
        <w:rPr>
          <w:rFonts w:ascii="Palatino Linotype" w:hAnsi="Palatino Linotype"/>
          <w:color w:val="000000"/>
          <w:lang w:val="es-ES_tradnl"/>
        </w:rPr>
      </w:pPr>
    </w:p>
    <w:p w14:paraId="7363A41B" w14:textId="77777777" w:rsidR="003159A7" w:rsidRPr="0046696A" w:rsidRDefault="003159A7" w:rsidP="00E62DBE">
      <w:pPr>
        <w:numPr>
          <w:ilvl w:val="0"/>
          <w:numId w:val="8"/>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46696A">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0883A28" w14:textId="77777777" w:rsidR="003159A7" w:rsidRPr="0046696A" w:rsidRDefault="003159A7" w:rsidP="003159A7">
      <w:pPr>
        <w:spacing w:line="360" w:lineRule="auto"/>
        <w:contextualSpacing/>
        <w:jc w:val="both"/>
        <w:rPr>
          <w:rFonts w:ascii="Palatino Linotype" w:hAnsi="Palatino Linotype"/>
        </w:rPr>
      </w:pPr>
    </w:p>
    <w:p w14:paraId="66839595" w14:textId="78B5664C" w:rsidR="00EA0165" w:rsidRPr="0046696A" w:rsidRDefault="007F4FC6" w:rsidP="000C1184">
      <w:pPr>
        <w:keepNext/>
        <w:keepLines/>
        <w:spacing w:before="40" w:line="360" w:lineRule="auto"/>
        <w:outlineLvl w:val="1"/>
        <w:rPr>
          <w:rFonts w:ascii="Palatino Linotype" w:eastAsia="MS Mincho" w:hAnsi="Palatino Linotype"/>
          <w:b/>
          <w:color w:val="000000"/>
          <w:lang w:val="es-ES_tradnl"/>
        </w:rPr>
      </w:pPr>
      <w:bookmarkStart w:id="147" w:name="_Toc67588008"/>
      <w:bookmarkStart w:id="148" w:name="_Toc68804770"/>
      <w:bookmarkStart w:id="149" w:name="_Toc85717374"/>
      <w:r w:rsidRPr="0046696A">
        <w:rPr>
          <w:rFonts w:ascii="Palatino Linotype" w:eastAsia="MS Mincho" w:hAnsi="Palatino Linotype"/>
          <w:b/>
          <w:color w:val="000000"/>
          <w:lang w:val="es-ES_tradnl"/>
        </w:rPr>
        <w:t>SEXTO</w:t>
      </w:r>
      <w:r w:rsidR="00EA0165" w:rsidRPr="0046696A">
        <w:rPr>
          <w:rFonts w:ascii="Palatino Linotype" w:eastAsia="MS Mincho" w:hAnsi="Palatino Linotype"/>
          <w:b/>
          <w:color w:val="000000"/>
          <w:lang w:val="es-ES_tradnl"/>
        </w:rPr>
        <w:t>. De la decisión.</w:t>
      </w:r>
      <w:bookmarkEnd w:id="147"/>
      <w:bookmarkEnd w:id="148"/>
      <w:bookmarkEnd w:id="149"/>
      <w:r w:rsidR="00EA0165" w:rsidRPr="0046696A">
        <w:rPr>
          <w:rFonts w:ascii="Palatino Linotype" w:eastAsia="MS Mincho" w:hAnsi="Palatino Linotype"/>
          <w:b/>
          <w:color w:val="000000"/>
          <w:lang w:val="es-ES_tradnl"/>
        </w:rPr>
        <w:t xml:space="preserve"> </w:t>
      </w:r>
    </w:p>
    <w:p w14:paraId="4FB8A67B" w14:textId="4822F948" w:rsidR="00353940" w:rsidRPr="0046696A" w:rsidRDefault="00EA0165" w:rsidP="00E62DBE">
      <w:pPr>
        <w:pStyle w:val="Prrafodelista"/>
        <w:numPr>
          <w:ilvl w:val="0"/>
          <w:numId w:val="9"/>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6696A">
        <w:rPr>
          <w:rFonts w:ascii="Palatino Linotype" w:hAnsi="Palatino Linotype" w:cs="Tahoma"/>
          <w:lang w:val="es-MX"/>
        </w:rPr>
        <w:t>Con base en todo lo expuesto, y con fundamento en el artículo 186, fracción II</w:t>
      </w:r>
      <w:r w:rsidR="002F750C" w:rsidRPr="0046696A">
        <w:rPr>
          <w:rFonts w:ascii="Palatino Linotype" w:hAnsi="Palatino Linotype" w:cs="Tahoma"/>
          <w:lang w:val="es-MX"/>
        </w:rPr>
        <w:t>I</w:t>
      </w:r>
      <w:r w:rsidRPr="0046696A">
        <w:rPr>
          <w:rFonts w:ascii="Palatino Linotype" w:hAnsi="Palatino Linotype" w:cs="Tahoma"/>
          <w:lang w:val="es-MX"/>
        </w:rPr>
        <w:t>, de la Ley de Transparencia y Acceso a la Información Pública del Estado de México y Municipios, este Instituto considera procedente</w:t>
      </w:r>
      <w:r w:rsidRPr="0046696A">
        <w:rPr>
          <w:rFonts w:ascii="Palatino Linotype" w:hAnsi="Palatino Linotype" w:cs="Tahoma"/>
          <w:b/>
          <w:lang w:val="es-MX"/>
        </w:rPr>
        <w:t xml:space="preserve"> </w:t>
      </w:r>
      <w:r w:rsidR="003159A7" w:rsidRPr="0046696A">
        <w:rPr>
          <w:rFonts w:ascii="Palatino Linotype" w:hAnsi="Palatino Linotype" w:cs="Tahoma"/>
          <w:b/>
          <w:lang w:val="es-MX"/>
        </w:rPr>
        <w:t>MODIFICAR</w:t>
      </w:r>
      <w:r w:rsidR="0049105B" w:rsidRPr="0046696A">
        <w:rPr>
          <w:rFonts w:ascii="Palatino Linotype" w:hAnsi="Palatino Linotype" w:cs="Tahoma"/>
          <w:b/>
          <w:lang w:val="es-MX"/>
        </w:rPr>
        <w:t xml:space="preserve"> </w:t>
      </w:r>
      <w:r w:rsidR="003159A7" w:rsidRPr="0046696A">
        <w:rPr>
          <w:rFonts w:ascii="Palatino Linotype" w:hAnsi="Palatino Linotype" w:cs="Tahoma"/>
          <w:lang w:val="es-MX"/>
        </w:rPr>
        <w:t xml:space="preserve">la respuesta otorgada por el Ayuntamiento de Nicolás Romero </w:t>
      </w:r>
      <w:r w:rsidR="007F4FC6" w:rsidRPr="0046696A">
        <w:rPr>
          <w:rFonts w:ascii="Palatino Linotype" w:eastAsia="MS Mincho" w:hAnsi="Palatino Linotype"/>
          <w:lang w:val="es-ES_tradnl"/>
        </w:rPr>
        <w:t xml:space="preserve">y ordenar la entrega de los documentos donde conste la información </w:t>
      </w:r>
      <w:r w:rsidR="003159A7" w:rsidRPr="0046696A">
        <w:rPr>
          <w:rFonts w:ascii="Palatino Linotype" w:eastAsia="MS Mincho" w:hAnsi="Palatino Linotype"/>
          <w:lang w:val="es-ES_tradnl"/>
        </w:rPr>
        <w:t xml:space="preserve">relacionada con la nómina general de la </w:t>
      </w:r>
      <w:r w:rsidR="00880771" w:rsidRPr="0046696A">
        <w:rPr>
          <w:rFonts w:ascii="Palatino Linotype" w:eastAsia="MS Mincho" w:hAnsi="Palatino Linotype" w:cs="Arial"/>
          <w:lang w:val="es-MX"/>
        </w:rPr>
        <w:t>Comisaría de Seguridad Pública y Tránsito Municipal del Ayuntamiento de Nicolás Romero.</w:t>
      </w:r>
    </w:p>
    <w:p w14:paraId="0FEE6846" w14:textId="77777777" w:rsidR="00880771" w:rsidRPr="0046696A" w:rsidRDefault="00880771" w:rsidP="00880771">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A3F9D54" w14:textId="341FA99A" w:rsidR="003C4C4B" w:rsidRPr="0046696A" w:rsidRDefault="00EA0165" w:rsidP="00E62DBE">
      <w:pPr>
        <w:pStyle w:val="Prrafodelista"/>
        <w:numPr>
          <w:ilvl w:val="0"/>
          <w:numId w:val="9"/>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6696A">
        <w:rPr>
          <w:rFonts w:ascii="Palatino Linotype" w:eastAsia="MS Mincho" w:hAnsi="Palatino Linotype"/>
          <w:color w:val="000000"/>
        </w:rPr>
        <w:lastRenderedPageBreak/>
        <w:t xml:space="preserve">Por lo anteriormente expuesto y fundado, este </w:t>
      </w:r>
      <w:r w:rsidRPr="0046696A">
        <w:rPr>
          <w:rFonts w:ascii="Palatino Linotype" w:eastAsia="MS Mincho" w:hAnsi="Palatino Linotype"/>
          <w:b/>
          <w:bCs/>
          <w:color w:val="000000"/>
        </w:rPr>
        <w:t>ÓRGANO GARANTE</w:t>
      </w:r>
      <w:r w:rsidRPr="0046696A">
        <w:rPr>
          <w:rFonts w:ascii="Palatino Linotype" w:eastAsia="MS Mincho" w:hAnsi="Palatino Linotype"/>
          <w:color w:val="000000"/>
        </w:rPr>
        <w:t xml:space="preserve"> emite los siguientes:</w:t>
      </w:r>
      <w:bookmarkStart w:id="150" w:name="_Toc495427547"/>
      <w:bookmarkStart w:id="151" w:name="_Toc497905366"/>
    </w:p>
    <w:p w14:paraId="364F838A" w14:textId="0C22A33F" w:rsidR="002F750C" w:rsidRPr="0046696A" w:rsidRDefault="00EA0165" w:rsidP="000C1184">
      <w:pPr>
        <w:pStyle w:val="Ttulo1"/>
        <w:spacing w:line="360" w:lineRule="auto"/>
        <w:jc w:val="center"/>
        <w:rPr>
          <w:rFonts w:ascii="Palatino Linotype" w:hAnsi="Palatino Linotype"/>
          <w:b/>
          <w:color w:val="000000" w:themeColor="text1"/>
          <w:sz w:val="24"/>
          <w:szCs w:val="24"/>
          <w:lang w:val="es-ES_tradnl"/>
        </w:rPr>
      </w:pPr>
      <w:bookmarkStart w:id="152" w:name="_Toc85717375"/>
      <w:r w:rsidRPr="0046696A">
        <w:rPr>
          <w:rFonts w:ascii="Palatino Linotype" w:hAnsi="Palatino Linotype"/>
          <w:b/>
          <w:color w:val="000000" w:themeColor="text1"/>
          <w:sz w:val="24"/>
          <w:szCs w:val="24"/>
          <w:lang w:val="es-ES_tradnl"/>
        </w:rPr>
        <w:t>R E S O L U T I V O S</w:t>
      </w:r>
      <w:bookmarkEnd w:id="65"/>
      <w:bookmarkEnd w:id="66"/>
      <w:bookmarkEnd w:id="150"/>
      <w:bookmarkEnd w:id="151"/>
      <w:bookmarkEnd w:id="152"/>
    </w:p>
    <w:p w14:paraId="7434775D" w14:textId="77777777" w:rsidR="00985D90" w:rsidRPr="0046696A" w:rsidRDefault="00985D90" w:rsidP="000C1184">
      <w:pPr>
        <w:spacing w:line="360" w:lineRule="auto"/>
        <w:rPr>
          <w:rFonts w:ascii="Palatino Linotype" w:eastAsiaTheme="minorEastAsia" w:hAnsi="Palatino Linotype"/>
          <w:lang w:val="es-ES_tradnl"/>
        </w:rPr>
      </w:pPr>
    </w:p>
    <w:p w14:paraId="0CF404E7" w14:textId="5EE8A0AF" w:rsidR="002F750C" w:rsidRPr="0046696A" w:rsidRDefault="002F750C" w:rsidP="000C1184">
      <w:pPr>
        <w:spacing w:line="360" w:lineRule="auto"/>
        <w:jc w:val="both"/>
        <w:rPr>
          <w:rFonts w:ascii="Palatino Linotype" w:hAnsi="Palatino Linotype"/>
          <w:lang w:val="es-ES_tradnl"/>
        </w:rPr>
      </w:pPr>
      <w:r w:rsidRPr="0046696A">
        <w:rPr>
          <w:rFonts w:ascii="Palatino Linotype" w:hAnsi="Palatino Linotype" w:cs="Arial"/>
          <w:b/>
          <w:lang w:val="es-ES_tradnl"/>
        </w:rPr>
        <w:t xml:space="preserve">PRIMERO. </w:t>
      </w:r>
      <w:r w:rsidRPr="0046696A">
        <w:rPr>
          <w:rFonts w:ascii="Palatino Linotype" w:hAnsi="Palatino Linotype" w:cs="Arial"/>
          <w:lang w:val="es-ES_tradnl"/>
        </w:rPr>
        <w:t>Resultan</w:t>
      </w:r>
      <w:r w:rsidR="0077107A" w:rsidRPr="0046696A">
        <w:rPr>
          <w:rFonts w:ascii="Palatino Linotype" w:hAnsi="Palatino Linotype" w:cs="Arial"/>
          <w:lang w:val="es-ES_tradnl"/>
        </w:rPr>
        <w:t xml:space="preserve"> </w:t>
      </w:r>
      <w:r w:rsidR="00880771" w:rsidRPr="0046696A">
        <w:rPr>
          <w:rFonts w:ascii="Palatino Linotype" w:hAnsi="Palatino Linotype" w:cs="Arial"/>
          <w:lang w:val="es-ES_tradnl"/>
        </w:rPr>
        <w:t xml:space="preserve">parcialmente </w:t>
      </w:r>
      <w:r w:rsidRPr="0046696A">
        <w:rPr>
          <w:rFonts w:ascii="Palatino Linotype" w:hAnsi="Palatino Linotype" w:cs="Arial"/>
          <w:lang w:val="es-ES_tradnl"/>
        </w:rPr>
        <w:t>fundadas las</w:t>
      </w:r>
      <w:r w:rsidRPr="0046696A">
        <w:rPr>
          <w:rFonts w:ascii="Palatino Linotype" w:hAnsi="Palatino Linotype" w:cs="Arial"/>
          <w:b/>
          <w:lang w:val="es-ES_tradnl"/>
        </w:rPr>
        <w:t xml:space="preserve"> </w:t>
      </w:r>
      <w:r w:rsidRPr="0046696A">
        <w:rPr>
          <w:rFonts w:ascii="Palatino Linotype" w:hAnsi="Palatino Linotype" w:cs="Arial"/>
          <w:lang w:val="es-ES_tradnl"/>
        </w:rPr>
        <w:t xml:space="preserve">razones y motivos de inconformidad hechos valer </w:t>
      </w:r>
      <w:r w:rsidRPr="0046696A">
        <w:rPr>
          <w:rFonts w:ascii="Palatino Linotype" w:eastAsia="Calibri" w:hAnsi="Palatino Linotype" w:cs="Arial"/>
          <w:lang w:val="es-ES_tradnl"/>
        </w:rPr>
        <w:t>en el recurso de revisión</w:t>
      </w:r>
      <w:r w:rsidR="004F759E" w:rsidRPr="0046696A">
        <w:rPr>
          <w:rFonts w:ascii="Palatino Linotype" w:eastAsia="Calibri" w:hAnsi="Palatino Linotype" w:cs="Arial"/>
          <w:lang w:val="es-ES_tradnl"/>
        </w:rPr>
        <w:t xml:space="preserve"> </w:t>
      </w:r>
      <w:r w:rsidR="00FA67A8">
        <w:rPr>
          <w:rFonts w:ascii="Palatino Linotype" w:eastAsia="Calibri" w:hAnsi="Palatino Linotype" w:cs="Arial"/>
          <w:b/>
          <w:lang w:val="es-ES_tradnl"/>
        </w:rPr>
        <w:t>04038</w:t>
      </w:r>
      <w:r w:rsidR="004F759E" w:rsidRPr="0046696A">
        <w:rPr>
          <w:rFonts w:ascii="Palatino Linotype" w:eastAsia="Calibri" w:hAnsi="Palatino Linotype" w:cs="Arial"/>
          <w:b/>
          <w:lang w:val="es-ES_tradnl"/>
        </w:rPr>
        <w:t>/INFOEM/IP/RR/2021</w:t>
      </w:r>
      <w:r w:rsidRPr="0046696A">
        <w:rPr>
          <w:rFonts w:ascii="Palatino Linotype" w:eastAsiaTheme="minorEastAsia" w:hAnsi="Palatino Linotype" w:cs="Arial"/>
          <w:b/>
          <w:bCs/>
          <w:lang w:val="es-ES_tradnl"/>
        </w:rPr>
        <w:t xml:space="preserve">, </w:t>
      </w:r>
      <w:r w:rsidR="0077107A" w:rsidRPr="0046696A">
        <w:rPr>
          <w:rFonts w:ascii="Palatino Linotype" w:eastAsiaTheme="minorEastAsia" w:hAnsi="Palatino Linotype" w:cs="Arial"/>
          <w:bCs/>
          <w:lang w:val="es-ES_tradnl"/>
        </w:rPr>
        <w:t xml:space="preserve">en términos de los </w:t>
      </w:r>
      <w:r w:rsidRPr="0046696A">
        <w:rPr>
          <w:rFonts w:ascii="Palatino Linotype" w:eastAsiaTheme="minorEastAsia" w:hAnsi="Palatino Linotype" w:cs="Arial"/>
          <w:b/>
          <w:bCs/>
          <w:lang w:val="es-ES_tradnl"/>
        </w:rPr>
        <w:t>Considerando</w:t>
      </w:r>
      <w:r w:rsidR="0077107A" w:rsidRPr="0046696A">
        <w:rPr>
          <w:rFonts w:ascii="Palatino Linotype" w:eastAsiaTheme="minorEastAsia" w:hAnsi="Palatino Linotype" w:cs="Arial"/>
          <w:b/>
          <w:bCs/>
          <w:lang w:val="es-ES_tradnl"/>
        </w:rPr>
        <w:t>s</w:t>
      </w:r>
      <w:r w:rsidRPr="0046696A">
        <w:rPr>
          <w:rFonts w:ascii="Palatino Linotype" w:eastAsiaTheme="minorEastAsia" w:hAnsi="Palatino Linotype" w:cs="Arial"/>
          <w:bCs/>
          <w:lang w:val="es-ES_tradnl"/>
        </w:rPr>
        <w:t xml:space="preserve"> </w:t>
      </w:r>
      <w:r w:rsidR="00AC3EC5" w:rsidRPr="0046696A">
        <w:rPr>
          <w:rFonts w:ascii="Palatino Linotype" w:eastAsiaTheme="minorEastAsia" w:hAnsi="Palatino Linotype" w:cs="Arial"/>
          <w:b/>
          <w:bCs/>
          <w:lang w:val="es-ES_tradnl"/>
        </w:rPr>
        <w:t>CUARTO y QUINTO</w:t>
      </w:r>
      <w:r w:rsidRPr="0046696A">
        <w:rPr>
          <w:rFonts w:ascii="Palatino Linotype" w:eastAsiaTheme="minorEastAsia" w:hAnsi="Palatino Linotype" w:cs="Arial"/>
          <w:b/>
          <w:bCs/>
          <w:lang w:val="es-ES_tradnl"/>
        </w:rPr>
        <w:t xml:space="preserve"> </w:t>
      </w:r>
      <w:r w:rsidRPr="0046696A">
        <w:rPr>
          <w:rFonts w:ascii="Palatino Linotype" w:eastAsiaTheme="minorEastAsia" w:hAnsi="Palatino Linotype" w:cs="Arial"/>
          <w:bCs/>
          <w:lang w:val="es-ES_tradnl"/>
        </w:rPr>
        <w:t>de la presente resolución.</w:t>
      </w:r>
    </w:p>
    <w:p w14:paraId="2CD64CD3" w14:textId="1C1FA872" w:rsidR="009015DD" w:rsidRPr="0046696A" w:rsidRDefault="00985D90" w:rsidP="000C1184">
      <w:pPr>
        <w:spacing w:before="240" w:line="360" w:lineRule="auto"/>
        <w:jc w:val="both"/>
        <w:rPr>
          <w:rFonts w:ascii="Palatino Linotype" w:eastAsia="MS Mincho" w:hAnsi="Palatino Linotype" w:cs="Arial"/>
          <w:color w:val="000000" w:themeColor="text1"/>
          <w:lang w:val="es-MX"/>
        </w:rPr>
      </w:pPr>
      <w:bookmarkStart w:id="153" w:name="_Toc477891768"/>
      <w:bookmarkStart w:id="154" w:name="_Toc477891858"/>
      <w:bookmarkStart w:id="155" w:name="_Toc481576259"/>
      <w:bookmarkStart w:id="156" w:name="_Toc492590391"/>
      <w:bookmarkStart w:id="157" w:name="_Toc462653937"/>
      <w:bookmarkStart w:id="158" w:name="_Toc453696502"/>
      <w:bookmarkStart w:id="159" w:name="_Toc454301155"/>
      <w:r w:rsidRPr="0046696A">
        <w:rPr>
          <w:rFonts w:ascii="Palatino Linotype" w:eastAsiaTheme="minorEastAsia" w:hAnsi="Palatino Linotype" w:cstheme="minorBidi"/>
          <w:b/>
          <w:lang w:val="es-ES_tradnl"/>
        </w:rPr>
        <w:t>SEGUNDO.</w:t>
      </w:r>
      <w:r w:rsidRPr="0046696A">
        <w:rPr>
          <w:rFonts w:ascii="Palatino Linotype" w:eastAsiaTheme="majorEastAsia" w:hAnsi="Palatino Linotype" w:cstheme="majorBidi"/>
          <w:b/>
          <w:color w:val="365F91" w:themeColor="accent1" w:themeShade="BF"/>
          <w:lang w:val="es-MX" w:eastAsia="en-US"/>
        </w:rPr>
        <w:t xml:space="preserve"> </w:t>
      </w:r>
      <w:bookmarkEnd w:id="153"/>
      <w:bookmarkEnd w:id="154"/>
      <w:bookmarkEnd w:id="155"/>
      <w:bookmarkEnd w:id="156"/>
      <w:bookmarkEnd w:id="157"/>
      <w:bookmarkEnd w:id="158"/>
      <w:bookmarkEnd w:id="159"/>
      <w:r w:rsidRPr="0046696A">
        <w:rPr>
          <w:rFonts w:ascii="Palatino Linotype" w:eastAsia="Calibri" w:hAnsi="Palatino Linotype" w:cs="Arial"/>
          <w:lang w:val="es-ES_tradnl"/>
        </w:rPr>
        <w:t>Se</w:t>
      </w:r>
      <w:r w:rsidR="00880771" w:rsidRPr="0046696A">
        <w:rPr>
          <w:rFonts w:ascii="Palatino Linotype" w:eastAsia="Calibri" w:hAnsi="Palatino Linotype" w:cs="Arial"/>
          <w:b/>
          <w:lang w:val="es-ES_tradnl"/>
        </w:rPr>
        <w:t xml:space="preserve"> MODIFICA</w:t>
      </w:r>
      <w:r w:rsidR="009015DD" w:rsidRPr="0046696A">
        <w:rPr>
          <w:rFonts w:ascii="Palatino Linotype" w:eastAsia="Calibri" w:hAnsi="Palatino Linotype" w:cs="Arial"/>
          <w:b/>
          <w:lang w:val="es-ES_tradnl"/>
        </w:rPr>
        <w:t xml:space="preserve"> </w:t>
      </w:r>
      <w:r w:rsidR="00880771" w:rsidRPr="0046696A">
        <w:rPr>
          <w:rFonts w:ascii="Palatino Linotype" w:eastAsia="Calibri" w:hAnsi="Palatino Linotype" w:cs="Arial"/>
          <w:lang w:val="es-ES_tradnl"/>
        </w:rPr>
        <w:t>la respuesta emitida por el</w:t>
      </w:r>
      <w:r w:rsidR="009015DD" w:rsidRPr="0046696A">
        <w:rPr>
          <w:rFonts w:ascii="Palatino Linotype" w:eastAsia="Calibri" w:hAnsi="Palatino Linotype" w:cs="Arial"/>
          <w:lang w:val="es-ES_tradnl"/>
        </w:rPr>
        <w:t xml:space="preserve"> </w:t>
      </w:r>
      <w:r w:rsidR="00880771" w:rsidRPr="0046696A">
        <w:rPr>
          <w:rFonts w:ascii="Palatino Linotype" w:eastAsia="Calibri" w:hAnsi="Palatino Linotype" w:cs="Arial"/>
          <w:b/>
          <w:lang w:val="es-ES_tradnl"/>
        </w:rPr>
        <w:t xml:space="preserve">Ayuntamiento de Nicolás Romero </w:t>
      </w:r>
      <w:r w:rsidRPr="0046696A">
        <w:rPr>
          <w:rFonts w:ascii="Palatino Linotype" w:eastAsia="Calibri" w:hAnsi="Palatino Linotype" w:cs="Arial"/>
          <w:lang w:val="es-ES_tradnl"/>
        </w:rPr>
        <w:t>y se</w:t>
      </w:r>
      <w:r w:rsidRPr="0046696A">
        <w:rPr>
          <w:rFonts w:ascii="Palatino Linotype" w:eastAsia="Calibri" w:hAnsi="Palatino Linotype" w:cs="Arial"/>
          <w:b/>
          <w:lang w:val="es-ES_tradnl"/>
        </w:rPr>
        <w:t xml:space="preserve"> ORDENA </w:t>
      </w:r>
      <w:r w:rsidRPr="0046696A">
        <w:rPr>
          <w:rFonts w:ascii="Palatino Linotype" w:hAnsi="Palatino Linotype" w:cs="Arial"/>
          <w:lang w:val="es-ES_tradnl"/>
        </w:rPr>
        <w:t xml:space="preserve">entregar vía Sistema de Acceso a la Información Mexiquense </w:t>
      </w:r>
      <w:r w:rsidR="00E0221E" w:rsidRPr="0046696A">
        <w:rPr>
          <w:rFonts w:ascii="Palatino Linotype" w:hAnsi="Palatino Linotype" w:cs="Arial"/>
          <w:b/>
          <w:lang w:val="es-ES_tradnl"/>
        </w:rPr>
        <w:t>(SAIMEX)</w:t>
      </w:r>
      <w:r w:rsidR="00FA67A8">
        <w:rPr>
          <w:rFonts w:ascii="Palatino Linotype" w:hAnsi="Palatino Linotype" w:cs="Arial"/>
          <w:b/>
          <w:lang w:val="es-ES_tradnl"/>
        </w:rPr>
        <w:t xml:space="preserve">, </w:t>
      </w:r>
      <w:r w:rsidR="00880771" w:rsidRPr="0046696A">
        <w:rPr>
          <w:rFonts w:ascii="Palatino Linotype" w:eastAsia="MS Mincho" w:hAnsi="Palatino Linotype" w:cs="Arial"/>
          <w:color w:val="000000" w:themeColor="text1"/>
          <w:lang w:val="es-MX"/>
        </w:rPr>
        <w:t>en versión pública</w:t>
      </w:r>
      <w:r w:rsidR="0049105B" w:rsidRPr="0046696A">
        <w:rPr>
          <w:rFonts w:ascii="Palatino Linotype" w:eastAsia="MS Mincho" w:hAnsi="Palatino Linotype" w:cs="Arial"/>
          <w:lang w:val="es-MX"/>
        </w:rPr>
        <w:t xml:space="preserve">, </w:t>
      </w:r>
      <w:r w:rsidR="00880771" w:rsidRPr="0046696A">
        <w:rPr>
          <w:rFonts w:ascii="Palatino Linotype" w:eastAsia="MS Mincho" w:hAnsi="Palatino Linotype" w:cs="Arial"/>
          <w:lang w:val="es-MX"/>
        </w:rPr>
        <w:t xml:space="preserve">la siguiente información: </w:t>
      </w:r>
    </w:p>
    <w:p w14:paraId="3F95A605" w14:textId="01075FF1" w:rsidR="009015DD" w:rsidRPr="0046696A" w:rsidRDefault="009015DD" w:rsidP="003C4C4B">
      <w:pPr>
        <w:spacing w:line="360" w:lineRule="auto"/>
        <w:rPr>
          <w:rFonts w:ascii="Palatino Linotype" w:eastAsia="MS Mincho" w:hAnsi="Palatino Linotype" w:cs="Arial"/>
          <w:i/>
          <w:lang w:val="es-MX"/>
        </w:rPr>
      </w:pPr>
    </w:p>
    <w:p w14:paraId="335BFD25" w14:textId="7796CEDD" w:rsidR="00880771" w:rsidRPr="008A7993" w:rsidRDefault="00FA67A8" w:rsidP="008A7993">
      <w:pPr>
        <w:pStyle w:val="Prrafodelista"/>
        <w:numPr>
          <w:ilvl w:val="0"/>
          <w:numId w:val="11"/>
        </w:numPr>
        <w:tabs>
          <w:tab w:val="left" w:pos="360"/>
        </w:tabs>
        <w:spacing w:before="240" w:after="240" w:line="360" w:lineRule="auto"/>
        <w:ind w:left="851" w:right="616" w:hanging="284"/>
        <w:contextualSpacing/>
        <w:jc w:val="both"/>
        <w:rPr>
          <w:rFonts w:ascii="Palatino Linotype" w:eastAsia="MS Mincho" w:hAnsi="Palatino Linotype" w:cs="Arial"/>
          <w:b/>
          <w:lang w:val="es-MX"/>
        </w:rPr>
      </w:pPr>
      <w:r>
        <w:rPr>
          <w:rFonts w:ascii="Palatino Linotype" w:eastAsia="MS Mincho" w:hAnsi="Palatino Linotype" w:cs="Arial"/>
          <w:b/>
          <w:lang w:val="es-MX"/>
        </w:rPr>
        <w:t xml:space="preserve">Nómina general </w:t>
      </w:r>
      <w:r w:rsidR="00880771" w:rsidRPr="0046696A">
        <w:rPr>
          <w:rFonts w:ascii="Palatino Linotype" w:eastAsia="MS Mincho" w:hAnsi="Palatino Linotype" w:cs="Arial"/>
          <w:b/>
          <w:lang w:val="es-MX"/>
        </w:rPr>
        <w:t>de</w:t>
      </w:r>
      <w:r w:rsidR="002C42D4">
        <w:rPr>
          <w:rFonts w:ascii="Palatino Linotype" w:eastAsia="MS Mincho" w:hAnsi="Palatino Linotype" w:cs="Arial"/>
          <w:b/>
          <w:lang w:val="es-MX"/>
        </w:rPr>
        <w:t xml:space="preserve"> </w:t>
      </w:r>
      <w:r w:rsidR="00880771" w:rsidRPr="0046696A">
        <w:rPr>
          <w:rFonts w:ascii="Palatino Linotype" w:eastAsia="MS Mincho" w:hAnsi="Palatino Linotype" w:cs="Arial"/>
          <w:b/>
          <w:lang w:val="es-MX"/>
        </w:rPr>
        <w:t>l</w:t>
      </w:r>
      <w:r w:rsidR="002C42D4">
        <w:rPr>
          <w:rFonts w:ascii="Palatino Linotype" w:eastAsia="MS Mincho" w:hAnsi="Palatino Linotype" w:cs="Arial"/>
          <w:b/>
          <w:lang w:val="es-MX"/>
        </w:rPr>
        <w:t xml:space="preserve">a primera y segunda quincena del mes </w:t>
      </w:r>
      <w:r w:rsidR="00880771" w:rsidRPr="0046696A">
        <w:rPr>
          <w:rFonts w:ascii="Palatino Linotype" w:eastAsia="MS Mincho" w:hAnsi="Palatino Linotype" w:cs="Arial"/>
          <w:b/>
          <w:lang w:val="es-MX"/>
        </w:rPr>
        <w:t>de</w:t>
      </w:r>
      <w:r>
        <w:rPr>
          <w:rFonts w:ascii="Palatino Linotype" w:eastAsia="MS Mincho" w:hAnsi="Palatino Linotype" w:cs="Arial"/>
          <w:b/>
          <w:lang w:val="es-MX"/>
        </w:rPr>
        <w:t xml:space="preserve"> mayo</w:t>
      </w:r>
      <w:r w:rsidR="00880771" w:rsidRPr="0046696A">
        <w:rPr>
          <w:rFonts w:ascii="Palatino Linotype" w:eastAsia="MS Mincho" w:hAnsi="Palatino Linotype" w:cs="Arial"/>
          <w:b/>
          <w:lang w:val="es-MX"/>
        </w:rPr>
        <w:t xml:space="preserve"> de dos mil veintiuno. </w:t>
      </w:r>
    </w:p>
    <w:p w14:paraId="66815CD6" w14:textId="0BD37E2C" w:rsidR="00E46F10" w:rsidRPr="0046696A" w:rsidRDefault="0077107A" w:rsidP="00E46F10">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46696A">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B9C1E33" w14:textId="77777777" w:rsidR="00E46F10" w:rsidRPr="00880771" w:rsidRDefault="00E46F10" w:rsidP="00E46F10">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6F8AF2B0" w14:textId="77777777" w:rsidR="008A7993" w:rsidRDefault="008A7993" w:rsidP="00880771">
      <w:pPr>
        <w:spacing w:line="360" w:lineRule="auto"/>
        <w:jc w:val="both"/>
        <w:rPr>
          <w:rFonts w:ascii="Palatino Linotype" w:eastAsia="Calibri" w:hAnsi="Palatino Linotype" w:cs="Arial"/>
          <w:lang w:val="es-MX" w:eastAsia="en-US"/>
        </w:rPr>
      </w:pPr>
    </w:p>
    <w:p w14:paraId="408D3443" w14:textId="77777777" w:rsidR="008A7993" w:rsidRDefault="008A7993" w:rsidP="00880771">
      <w:pPr>
        <w:spacing w:line="360" w:lineRule="auto"/>
        <w:jc w:val="both"/>
        <w:rPr>
          <w:rFonts w:ascii="Palatino Linotype" w:eastAsia="Calibri" w:hAnsi="Palatino Linotype" w:cs="Arial"/>
          <w:lang w:val="es-MX" w:eastAsia="en-US"/>
        </w:rPr>
      </w:pPr>
    </w:p>
    <w:p w14:paraId="041ABE98" w14:textId="77777777" w:rsidR="008A7993" w:rsidRDefault="008A7993" w:rsidP="00880771">
      <w:pPr>
        <w:spacing w:line="360" w:lineRule="auto"/>
        <w:jc w:val="both"/>
        <w:rPr>
          <w:rFonts w:ascii="Palatino Linotype" w:eastAsia="Calibri" w:hAnsi="Palatino Linotype" w:cs="Arial"/>
          <w:lang w:val="es-MX" w:eastAsia="en-US"/>
        </w:rPr>
      </w:pPr>
    </w:p>
    <w:p w14:paraId="0B44C7BE" w14:textId="60F82364" w:rsidR="002066DF" w:rsidRDefault="006F1F18" w:rsidP="00880771">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relación a la información que se ordena entregar en el </w:t>
      </w:r>
      <w:r w:rsidR="00880771" w:rsidRPr="00880771">
        <w:rPr>
          <w:rFonts w:ascii="Palatino Linotype" w:eastAsia="Calibri" w:hAnsi="Palatino Linotype" w:cs="Arial"/>
          <w:lang w:val="es-MX" w:eastAsia="en-US"/>
        </w:rPr>
        <w:t xml:space="preserve">inciso a), se clasificaran como reservados los nombres de los servidores públicos </w:t>
      </w:r>
      <w:r w:rsidR="00880771" w:rsidRPr="0046696A">
        <w:rPr>
          <w:rFonts w:ascii="Palatino Linotype" w:eastAsia="Calibri" w:hAnsi="Palatino Linotype" w:cs="Arial"/>
          <w:lang w:val="es-MX" w:eastAsia="en-US"/>
        </w:rPr>
        <w:t xml:space="preserve">operativos </w:t>
      </w:r>
      <w:r w:rsidR="00880771" w:rsidRPr="00880771">
        <w:rPr>
          <w:rFonts w:ascii="Palatino Linotype" w:eastAsia="Calibri" w:hAnsi="Palatino Linotype" w:cs="Arial"/>
          <w:lang w:val="es-MX" w:eastAsia="en-US"/>
        </w:rPr>
        <w:t xml:space="preserve">adscritos a la </w:t>
      </w:r>
      <w:r w:rsidR="00880771" w:rsidRPr="0046696A">
        <w:rPr>
          <w:rFonts w:ascii="Palatino Linotype" w:eastAsia="Calibri" w:hAnsi="Palatino Linotype" w:cs="Arial"/>
          <w:lang w:val="es-MX" w:eastAsia="en-US"/>
        </w:rPr>
        <w:t>Comisaría de Seguridad Pública y Tránsito Municipal.</w:t>
      </w:r>
    </w:p>
    <w:p w14:paraId="06D65BEE" w14:textId="77777777" w:rsidR="006D7DC5" w:rsidRPr="000E6EA5" w:rsidRDefault="006D7DC5" w:rsidP="000E6EA5">
      <w:pPr>
        <w:spacing w:line="360" w:lineRule="auto"/>
        <w:jc w:val="both"/>
        <w:rPr>
          <w:rFonts w:ascii="Palatino Linotype" w:eastAsia="Calibri" w:hAnsi="Palatino Linotype" w:cs="Arial"/>
          <w:b/>
          <w:lang w:val="es-ES_tradnl"/>
        </w:rPr>
      </w:pPr>
    </w:p>
    <w:p w14:paraId="0122C8F8" w14:textId="2E8483EC" w:rsidR="00593401" w:rsidRPr="0046696A" w:rsidRDefault="00503E5E" w:rsidP="000C1184">
      <w:pPr>
        <w:shd w:val="clear" w:color="auto" w:fill="FFFFFF"/>
        <w:spacing w:before="240" w:line="360" w:lineRule="auto"/>
        <w:ind w:right="49"/>
        <w:jc w:val="both"/>
        <w:rPr>
          <w:rFonts w:ascii="Palatino Linotype" w:hAnsi="Palatino Linotype" w:cs="Arial"/>
          <w:color w:val="222222"/>
          <w:lang w:val="es-ES_tradnl" w:eastAsia="es-MX"/>
        </w:rPr>
      </w:pPr>
      <w:r w:rsidRPr="0046696A">
        <w:rPr>
          <w:rFonts w:ascii="Palatino Linotype" w:hAnsi="Palatino Linotype" w:cs="Arial"/>
          <w:b/>
          <w:bCs/>
          <w:color w:val="222222"/>
          <w:lang w:val="es-ES_tradnl" w:eastAsia="es-MX"/>
        </w:rPr>
        <w:t xml:space="preserve">TERCERO. </w:t>
      </w:r>
      <w:r w:rsidRPr="0046696A">
        <w:rPr>
          <w:rFonts w:ascii="Palatino Linotype" w:hAnsi="Palatino Linotype" w:cs="Arial"/>
          <w:color w:val="222222"/>
          <w:lang w:val="es-ES_tradnl" w:eastAsia="es-MX"/>
        </w:rPr>
        <w:t>Notifíquese</w:t>
      </w:r>
      <w:r w:rsidRPr="0046696A">
        <w:rPr>
          <w:rFonts w:ascii="Palatino Linotype" w:hAnsi="Palatino Linotype" w:cs="Arial"/>
          <w:b/>
          <w:bCs/>
          <w:color w:val="222222"/>
          <w:lang w:val="es-ES_tradnl" w:eastAsia="es-MX"/>
        </w:rPr>
        <w:t xml:space="preserve"> </w:t>
      </w:r>
      <w:r w:rsidRPr="0046696A">
        <w:rPr>
          <w:rFonts w:ascii="Palatino Linotype" w:hAnsi="Palatino Linotype" w:cs="Arial"/>
          <w:color w:val="222222"/>
          <w:lang w:val="es-ES_tradnl" w:eastAsia="es-MX"/>
        </w:rPr>
        <w:t xml:space="preserve">al Titular de la Unidad de Transparencia del </w:t>
      </w:r>
      <w:r w:rsidRPr="0046696A">
        <w:rPr>
          <w:rFonts w:ascii="Palatino Linotype" w:hAnsi="Palatino Linotype" w:cs="Arial"/>
          <w:b/>
          <w:bCs/>
          <w:color w:val="222222"/>
          <w:lang w:val="es-ES_tradnl" w:eastAsia="es-MX"/>
        </w:rPr>
        <w:t>SUJETO OBLIGADO</w:t>
      </w:r>
      <w:r w:rsidRPr="0046696A">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w:t>
      </w:r>
      <w:r w:rsidR="00F05DBF" w:rsidRPr="0046696A">
        <w:rPr>
          <w:rFonts w:ascii="Palatino Linotype" w:hAnsi="Palatino Linotype" w:cs="Arial"/>
          <w:color w:val="222222"/>
          <w:lang w:val="es-ES_tradnl" w:eastAsia="es-MX"/>
        </w:rPr>
        <w:t xml:space="preserve"> tres días hábiles posteriores.</w:t>
      </w:r>
    </w:p>
    <w:p w14:paraId="2CC5C68F" w14:textId="77777777" w:rsidR="00593401" w:rsidRPr="0046696A" w:rsidRDefault="00593401" w:rsidP="000C1184">
      <w:pPr>
        <w:shd w:val="clear" w:color="auto" w:fill="FFFFFF"/>
        <w:spacing w:before="240" w:line="360" w:lineRule="auto"/>
        <w:ind w:right="49"/>
        <w:jc w:val="both"/>
        <w:rPr>
          <w:rFonts w:ascii="Palatino Linotype" w:hAnsi="Palatino Linotype" w:cs="Arial"/>
          <w:color w:val="222222"/>
          <w:lang w:val="es-ES_tradnl" w:eastAsia="es-MX"/>
        </w:rPr>
      </w:pPr>
    </w:p>
    <w:p w14:paraId="2EC25CE5" w14:textId="77777777" w:rsidR="00503E5E" w:rsidRDefault="00503E5E" w:rsidP="000C1184">
      <w:pPr>
        <w:shd w:val="clear" w:color="auto" w:fill="FFFFFF"/>
        <w:spacing w:line="360" w:lineRule="auto"/>
        <w:jc w:val="both"/>
        <w:rPr>
          <w:rFonts w:ascii="Palatino Linotype" w:eastAsia="Calibri" w:hAnsi="Palatino Linotype" w:cs="Arial"/>
          <w:bCs/>
          <w:color w:val="000000"/>
          <w:lang w:val="es-MX" w:eastAsia="en-US"/>
        </w:rPr>
      </w:pPr>
      <w:r w:rsidRPr="0046696A">
        <w:rPr>
          <w:rFonts w:ascii="Palatino Linotype" w:eastAsia="Calibri" w:hAnsi="Palatino Linotype" w:cs="Arial"/>
          <w:b/>
          <w:bCs/>
          <w:color w:val="000000"/>
          <w:lang w:val="es-MX" w:eastAsia="en-US"/>
        </w:rPr>
        <w:t>CUARTO.</w:t>
      </w:r>
      <w:r w:rsidRPr="0046696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FFD8A2" w14:textId="77777777" w:rsidR="00D309DE" w:rsidRPr="0046696A" w:rsidRDefault="00D309DE" w:rsidP="000C1184">
      <w:pPr>
        <w:shd w:val="clear" w:color="auto" w:fill="FFFFFF"/>
        <w:spacing w:line="360" w:lineRule="auto"/>
        <w:jc w:val="both"/>
        <w:rPr>
          <w:rFonts w:ascii="Palatino Linotype" w:eastAsia="MS Mincho" w:hAnsi="Palatino Linotype"/>
          <w:color w:val="000000"/>
          <w:shd w:val="clear" w:color="auto" w:fill="FFFFFF"/>
          <w:lang w:val="es-ES_tradnl"/>
        </w:rPr>
      </w:pPr>
    </w:p>
    <w:p w14:paraId="7DA07716" w14:textId="77777777" w:rsidR="00D309DE" w:rsidRPr="00D309DE" w:rsidRDefault="00D309DE" w:rsidP="00006F99">
      <w:pPr>
        <w:spacing w:line="360" w:lineRule="auto"/>
        <w:jc w:val="both"/>
        <w:rPr>
          <w:rFonts w:ascii="Palatino Linotype" w:eastAsia="MS Mincho" w:hAnsi="Palatino Linotype"/>
          <w:b/>
          <w:lang w:val="es-ES_tradnl"/>
        </w:rPr>
      </w:pPr>
      <w:r w:rsidRPr="00D309DE">
        <w:rPr>
          <w:rFonts w:ascii="Palatino Linotype" w:eastAsia="MS Mincho" w:hAnsi="Palatino Linotype"/>
          <w:b/>
          <w:lang w:val="es-ES_tradnl"/>
        </w:rPr>
        <w:t xml:space="preserve">QUINTO. </w:t>
      </w:r>
      <w:r w:rsidRPr="00D309DE">
        <w:rPr>
          <w:rFonts w:ascii="Palatino Linotype" w:eastAsia="MS Mincho" w:hAnsi="Palatino Linotype"/>
          <w:b/>
          <w:bCs/>
        </w:rPr>
        <w:t xml:space="preserve">Notifíquese </w:t>
      </w:r>
      <w:r w:rsidRPr="00D309DE">
        <w:rPr>
          <w:rFonts w:ascii="Palatino Linotype" w:eastAsia="MS Mincho" w:hAnsi="Palatino Linotype"/>
          <w:bCs/>
        </w:rPr>
        <w:t xml:space="preserve">al </w:t>
      </w:r>
      <w:r w:rsidRPr="00D309DE">
        <w:rPr>
          <w:rFonts w:ascii="Palatino Linotype" w:eastAsia="MS Mincho" w:hAnsi="Palatino Linotype"/>
          <w:b/>
          <w:bCs/>
        </w:rPr>
        <w:t>RECURRENTE</w:t>
      </w:r>
      <w:r w:rsidRPr="00D309DE">
        <w:rPr>
          <w:rFonts w:ascii="Palatino Linotype" w:eastAsia="MS Mincho" w:hAnsi="Palatino Linotype"/>
          <w:bCs/>
        </w:rPr>
        <w:t xml:space="preserve"> </w:t>
      </w:r>
      <w:r w:rsidRPr="00D309DE">
        <w:rPr>
          <w:rFonts w:ascii="Palatino Linotype" w:eastAsia="MS Mincho" w:hAnsi="Palatino Linotype"/>
          <w:lang w:val="es-ES_tradnl"/>
        </w:rPr>
        <w:t xml:space="preserve">la presente resolución vía Sistema de Acceso a la Información Mexiquense </w:t>
      </w:r>
      <w:r w:rsidRPr="00D309DE">
        <w:rPr>
          <w:rFonts w:ascii="Palatino Linotype" w:eastAsia="MS Mincho" w:hAnsi="Palatino Linotype"/>
          <w:b/>
          <w:lang w:val="es-ES_tradnl"/>
        </w:rPr>
        <w:t>(SAIMEX).</w:t>
      </w:r>
    </w:p>
    <w:p w14:paraId="10057909" w14:textId="77777777" w:rsidR="00D309DE" w:rsidRPr="00D309DE" w:rsidRDefault="00D309DE" w:rsidP="00D309DE">
      <w:pPr>
        <w:spacing w:line="360" w:lineRule="auto"/>
        <w:rPr>
          <w:rFonts w:ascii="Palatino Linotype" w:eastAsia="MS Mincho" w:hAnsi="Palatino Linotype"/>
          <w:lang w:val="es-ES_tradnl"/>
        </w:rPr>
      </w:pPr>
    </w:p>
    <w:p w14:paraId="3D01136E" w14:textId="77777777" w:rsidR="00D309DE" w:rsidRPr="00D309DE" w:rsidRDefault="00D309DE" w:rsidP="00006F99">
      <w:pPr>
        <w:spacing w:line="360" w:lineRule="auto"/>
        <w:jc w:val="both"/>
        <w:rPr>
          <w:rFonts w:ascii="Palatino Linotype" w:eastAsia="MS Mincho" w:hAnsi="Palatino Linotype"/>
        </w:rPr>
      </w:pPr>
      <w:r w:rsidRPr="00D309DE">
        <w:rPr>
          <w:rFonts w:ascii="Palatino Linotype" w:eastAsia="MS Mincho" w:hAnsi="Palatino Linotype"/>
          <w:b/>
          <w:lang w:val="es-MX"/>
        </w:rPr>
        <w:t>SEXTO.</w:t>
      </w:r>
      <w:r w:rsidRPr="00D309DE">
        <w:rPr>
          <w:rFonts w:ascii="Palatino Linotype" w:eastAsia="MS Mincho" w:hAnsi="Palatino Linotype"/>
          <w:lang w:val="es-MX"/>
        </w:rPr>
        <w:t xml:space="preserve"> </w:t>
      </w:r>
      <w:r w:rsidRPr="00D309DE">
        <w:rPr>
          <w:rFonts w:ascii="Palatino Linotype" w:eastAsia="MS Mincho" w:hAnsi="Palatino Linotype"/>
        </w:rPr>
        <w:t xml:space="preserve">Se hace del conocimiento del </w:t>
      </w:r>
      <w:r w:rsidRPr="00D309DE">
        <w:rPr>
          <w:rFonts w:ascii="Palatino Linotype" w:eastAsia="MS Mincho" w:hAnsi="Palatino Linotype"/>
          <w:b/>
          <w:bCs/>
        </w:rPr>
        <w:t>RECURRENTE</w:t>
      </w:r>
      <w:r w:rsidRPr="00D309DE">
        <w:rPr>
          <w:rFonts w:ascii="Palatino Linotype" w:eastAsia="MS Mincho" w:hAnsi="Palatino Linotype"/>
          <w:bCs/>
          <w:lang w:val="es-ES_tradnl"/>
        </w:rPr>
        <w:t xml:space="preserve"> </w:t>
      </w:r>
      <w:r w:rsidRPr="00D309DE">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D309DE">
        <w:rPr>
          <w:rFonts w:ascii="Palatino Linotype" w:eastAsia="MS Mincho" w:hAnsi="Palatino Linotype"/>
        </w:rPr>
        <w:lastRenderedPageBreak/>
        <w:t>resolución le cause algún perjuicio podrá impugnarla </w:t>
      </w:r>
      <w:r w:rsidRPr="00D309DE">
        <w:rPr>
          <w:rFonts w:ascii="Palatino Linotype" w:eastAsia="MS Mincho" w:hAnsi="Palatino Linotype"/>
          <w:bCs/>
        </w:rPr>
        <w:t>vía juicio de amparo</w:t>
      </w:r>
      <w:r w:rsidRPr="00D309DE">
        <w:rPr>
          <w:rFonts w:ascii="Palatino Linotype" w:eastAsia="MS Mincho" w:hAnsi="Palatino Linotype"/>
        </w:rPr>
        <w:t> en los términos de las leyes aplicables.</w:t>
      </w:r>
      <w:r w:rsidRPr="00D309DE">
        <w:rPr>
          <w:rFonts w:ascii="Palatino Linotype" w:eastAsia="MS Mincho" w:hAnsi="Palatino Linotype"/>
        </w:rPr>
        <w:tab/>
      </w:r>
      <w:r w:rsidRPr="00D309DE">
        <w:rPr>
          <w:rFonts w:ascii="Palatino Linotype" w:eastAsia="MS Mincho" w:hAnsi="Palatino Linotype"/>
          <w:b/>
          <w:lang w:val="es-MX"/>
        </w:rPr>
        <w:t xml:space="preserve"> </w:t>
      </w:r>
    </w:p>
    <w:p w14:paraId="71728425" w14:textId="77777777" w:rsidR="00503E5E" w:rsidRPr="0046696A" w:rsidRDefault="00503E5E" w:rsidP="000C1184">
      <w:pPr>
        <w:spacing w:line="360" w:lineRule="auto"/>
        <w:rPr>
          <w:rFonts w:ascii="Palatino Linotype" w:eastAsia="MS Mincho" w:hAnsi="Palatino Linotype"/>
        </w:rPr>
      </w:pPr>
    </w:p>
    <w:p w14:paraId="2760D319" w14:textId="0E99E2BC" w:rsidR="00E86EA4" w:rsidRPr="0046696A" w:rsidRDefault="00E86EA4" w:rsidP="00E86EA4">
      <w:pPr>
        <w:spacing w:before="240" w:after="240" w:line="360" w:lineRule="auto"/>
        <w:ind w:firstLine="1"/>
        <w:jc w:val="both"/>
        <w:rPr>
          <w:rFonts w:ascii="Palatino Linotype" w:hAnsi="Palatino Linotype"/>
          <w:lang w:val="es-ES_tradnl"/>
        </w:rPr>
      </w:pPr>
      <w:r w:rsidRPr="0046696A">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5046E">
        <w:rPr>
          <w:rFonts w:ascii="Palatino Linotype" w:hAnsi="Palatino Linotype"/>
          <w:lang w:val="es-ES_tradnl"/>
        </w:rPr>
        <w:t xml:space="preserve"> EMITIENDO VOTO PARTICULAR</w:t>
      </w:r>
      <w:r w:rsidRPr="0046696A">
        <w:rPr>
          <w:rFonts w:ascii="Palatino Linotype" w:hAnsi="Palatino Linotype"/>
          <w:lang w:val="es-ES_tradnl"/>
        </w:rPr>
        <w:t>, LUIS GUSTAVO PARRA NORIEGA Y GUADALUPE</w:t>
      </w:r>
      <w:r w:rsidR="00880771" w:rsidRPr="0046696A">
        <w:rPr>
          <w:rFonts w:ascii="Palatino Linotype" w:hAnsi="Palatino Linotype"/>
          <w:lang w:val="es-ES_tradnl"/>
        </w:rPr>
        <w:t xml:space="preserve"> RAMÍREZ PEÑA; EN LA TRIGÉSIMA OCTAVA</w:t>
      </w:r>
      <w:r w:rsidRPr="0046696A">
        <w:rPr>
          <w:rFonts w:ascii="Palatino Linotype" w:hAnsi="Palatino Linotype"/>
          <w:lang w:val="es-ES_tradnl"/>
        </w:rPr>
        <w:t xml:space="preserve"> SESIÓN ORDINARIA CEL</w:t>
      </w:r>
      <w:r w:rsidR="00880771" w:rsidRPr="0046696A">
        <w:rPr>
          <w:rFonts w:ascii="Palatino Linotype" w:hAnsi="Palatino Linotype"/>
          <w:lang w:val="es-ES_tradnl"/>
        </w:rPr>
        <w:t>EBRADA EL DÍA VEINTISIETE  (27</w:t>
      </w:r>
      <w:r w:rsidRPr="0046696A">
        <w:rPr>
          <w:rFonts w:ascii="Palatino Linotype" w:hAnsi="Palatino Linotype"/>
          <w:lang w:val="es-ES_tradnl"/>
        </w:rPr>
        <w:t>) DE OCTUBRE  DE DOS MIL VEINTIUNO, ANTE EL SECRETARIO TÉCNICO DEL PLENO ALEXIS TAPIA RAMÍREZ.</w:t>
      </w:r>
    </w:p>
    <w:p w14:paraId="333A0845" w14:textId="372BD395" w:rsidR="00EA0165" w:rsidRPr="0046696A" w:rsidRDefault="00EA0165" w:rsidP="000C1184">
      <w:pPr>
        <w:spacing w:before="240" w:after="240" w:line="360" w:lineRule="auto"/>
        <w:ind w:firstLine="1"/>
        <w:jc w:val="both"/>
        <w:rPr>
          <w:rFonts w:ascii="Palatino Linotype" w:hAnsi="Palatino Linotype"/>
          <w:lang w:val="es-ES_tradnl"/>
        </w:rPr>
      </w:pPr>
    </w:p>
    <w:p w14:paraId="3EB89886" w14:textId="77777777" w:rsidR="00EA0165" w:rsidRPr="0046696A"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46696A" w:rsidRDefault="00090DE6" w:rsidP="000C1184">
      <w:pPr>
        <w:spacing w:line="360" w:lineRule="auto"/>
        <w:rPr>
          <w:rFonts w:ascii="Palatino Linotype" w:hAnsi="Palatino Linotype"/>
        </w:rPr>
      </w:pPr>
    </w:p>
    <w:sectPr w:rsidR="00090DE6" w:rsidRPr="0046696A"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B1E3D" w14:textId="77777777" w:rsidR="006C4B20" w:rsidRDefault="006C4B20" w:rsidP="00C80F8C">
      <w:r>
        <w:separator/>
      </w:r>
    </w:p>
  </w:endnote>
  <w:endnote w:type="continuationSeparator" w:id="0">
    <w:p w14:paraId="4CA4B208" w14:textId="77777777" w:rsidR="006C4B20" w:rsidRDefault="006C4B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3C5758" w:rsidRPr="00817AAB" w:rsidRDefault="003C575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B2F17">
      <w:rPr>
        <w:rFonts w:ascii="Palatino Linotype" w:hAnsi="Palatino Linotype" w:cs="Arial"/>
        <w:b/>
        <w:bCs/>
        <w:noProof/>
      </w:rPr>
      <w:t>22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B2F17">
      <w:rPr>
        <w:rFonts w:ascii="Palatino Linotype" w:hAnsi="Palatino Linotype" w:cs="Arial"/>
        <w:b/>
        <w:bCs/>
        <w:noProof/>
      </w:rPr>
      <w:t>62</w:t>
    </w:r>
    <w:r w:rsidRPr="00817AAB">
      <w:rPr>
        <w:rFonts w:ascii="Palatino Linotype" w:hAnsi="Palatino Linotype" w:cs="Arial"/>
        <w:b/>
        <w:bCs/>
      </w:rPr>
      <w:fldChar w:fldCharType="end"/>
    </w:r>
  </w:p>
  <w:p w14:paraId="1192A578" w14:textId="77777777" w:rsidR="003C5758" w:rsidRDefault="003C5758" w:rsidP="00935A0D">
    <w:pPr>
      <w:pStyle w:val="Piedepgina"/>
      <w:rPr>
        <w:rFonts w:ascii="Times New Roman" w:hAnsi="Times New Roman" w:cs="Times New Roman"/>
      </w:rPr>
    </w:pPr>
  </w:p>
  <w:p w14:paraId="14A770F8" w14:textId="77777777" w:rsidR="003C5758" w:rsidRDefault="003C575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3C5758" w:rsidRDefault="003C575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B2F1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B2F17">
      <w:rPr>
        <w:rFonts w:ascii="Arial" w:hAnsi="Arial" w:cs="Arial"/>
        <w:b/>
        <w:bCs/>
        <w:noProof/>
        <w:sz w:val="20"/>
        <w:szCs w:val="20"/>
      </w:rPr>
      <w:t>62</w:t>
    </w:r>
    <w:r>
      <w:rPr>
        <w:rFonts w:ascii="Arial" w:hAnsi="Arial" w:cs="Arial"/>
        <w:b/>
        <w:bCs/>
        <w:sz w:val="20"/>
        <w:szCs w:val="20"/>
      </w:rPr>
      <w:fldChar w:fldCharType="end"/>
    </w:r>
  </w:p>
  <w:p w14:paraId="5D98ABD5" w14:textId="77777777" w:rsidR="003C5758" w:rsidRDefault="003C57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65D5B" w14:textId="77777777" w:rsidR="006C4B20" w:rsidRDefault="006C4B20" w:rsidP="00C80F8C">
      <w:r>
        <w:separator/>
      </w:r>
    </w:p>
  </w:footnote>
  <w:footnote w:type="continuationSeparator" w:id="0">
    <w:p w14:paraId="4C028E20" w14:textId="77777777" w:rsidR="006C4B20" w:rsidRDefault="006C4B20" w:rsidP="00C80F8C">
      <w:r>
        <w:continuationSeparator/>
      </w:r>
    </w:p>
  </w:footnote>
  <w:footnote w:id="1">
    <w:p w14:paraId="0E69A93C" w14:textId="068E0904" w:rsidR="003C5758" w:rsidRDefault="003C575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29716221" w14:textId="3E069ADF" w:rsidR="003C5758" w:rsidRDefault="003C5758" w:rsidP="009C4F62">
      <w:pPr>
        <w:pStyle w:val="Textonotapie"/>
        <w:jc w:val="both"/>
        <w:rPr>
          <w:lang w:val="es-ES"/>
        </w:rPr>
      </w:pPr>
      <w:r w:rsidRPr="00444949">
        <w:rPr>
          <w:lang w:val="es-ES"/>
        </w:rPr>
        <w:t xml:space="preserve">II. La </w:t>
      </w:r>
      <w:r>
        <w:rPr>
          <w:lang w:val="es-ES"/>
        </w:rPr>
        <w:t>clasificación de la información</w:t>
      </w:r>
      <w:r w:rsidRPr="009C4F62">
        <w:rPr>
          <w:lang w:val="es-ES"/>
        </w:rPr>
        <w:t>; y</w:t>
      </w:r>
      <w:r>
        <w:rPr>
          <w:lang w:val="es-ES"/>
        </w:rPr>
        <w:t xml:space="preserve"> </w:t>
      </w:r>
    </w:p>
    <w:p w14:paraId="3EBA8880" w14:textId="676F77A7" w:rsidR="003C5758" w:rsidRDefault="003C5758" w:rsidP="009C4F62">
      <w:pPr>
        <w:pStyle w:val="Textonotapie"/>
        <w:jc w:val="both"/>
        <w:rPr>
          <w:lang w:val="es-ES"/>
        </w:rPr>
      </w:pPr>
      <w:r>
        <w:rPr>
          <w:lang w:val="es-ES"/>
        </w:rPr>
        <w:t>(…)</w:t>
      </w:r>
    </w:p>
    <w:p w14:paraId="6D0682A8" w14:textId="61C5C47B" w:rsidR="003C5758" w:rsidRDefault="003C5758" w:rsidP="009C4F62">
      <w:pPr>
        <w:pStyle w:val="Textonotapie"/>
        <w:jc w:val="both"/>
      </w:pPr>
      <w:r w:rsidRPr="00444949">
        <w:t>VI. La entrega de información que n</w:t>
      </w:r>
      <w:r>
        <w:t>o corresponda con lo solicitado;</w:t>
      </w:r>
    </w:p>
    <w:p w14:paraId="193CEAE7" w14:textId="15C99D9E" w:rsidR="0001145F" w:rsidRDefault="0001145F" w:rsidP="009C4F62">
      <w:pPr>
        <w:pStyle w:val="Textonotapie"/>
        <w:jc w:val="both"/>
      </w:pPr>
      <w:r>
        <w:t>(…)</w:t>
      </w:r>
    </w:p>
    <w:p w14:paraId="4C35DF3A" w14:textId="372172C6" w:rsidR="0001145F" w:rsidRDefault="0001145F" w:rsidP="009C4F62">
      <w:pPr>
        <w:pStyle w:val="Textonotapie"/>
        <w:jc w:val="both"/>
        <w:rPr>
          <w:lang w:val="es-ES"/>
        </w:rPr>
      </w:pPr>
      <w:r>
        <w:t>X. Los costos o tiempos de entrega de la información;</w:t>
      </w:r>
    </w:p>
    <w:p w14:paraId="1867D448" w14:textId="7DCE43A8" w:rsidR="003C5758" w:rsidRDefault="003C5758" w:rsidP="009C4F62">
      <w:pPr>
        <w:pStyle w:val="Textonotapie"/>
        <w:jc w:val="both"/>
        <w:rPr>
          <w:lang w:val="es-ES"/>
        </w:rPr>
      </w:pPr>
      <w:r>
        <w:rPr>
          <w:lang w:val="es-ES"/>
        </w:rPr>
        <w:t>(…)</w:t>
      </w:r>
    </w:p>
    <w:p w14:paraId="70608ADE" w14:textId="18456019" w:rsidR="003C5758" w:rsidRDefault="003C5758" w:rsidP="009C4F62">
      <w:pPr>
        <w:pStyle w:val="Textonotapie"/>
        <w:jc w:val="both"/>
      </w:pPr>
      <w:r w:rsidRPr="00453A09">
        <w:t>XIII.</w:t>
      </w:r>
      <w:r w:rsidRPr="00453A09">
        <w:tab/>
        <w:t>La falta, deficiencia o insuficiencia de la fundamentación y/o motivación en la respuesta; y</w:t>
      </w:r>
    </w:p>
  </w:footnote>
  <w:footnote w:id="2">
    <w:p w14:paraId="77A579AA" w14:textId="77777777" w:rsidR="003C5758" w:rsidRDefault="003C575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3C5758" w:rsidRDefault="003C575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3C5758" w:rsidRDefault="003C575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3C5758" w:rsidRDefault="003C575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3C5758" w:rsidRPr="00F5102E" w:rsidRDefault="003C5758"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3C5758" w:rsidRPr="00F5102E" w:rsidRDefault="003C5758" w:rsidP="00C548CF">
      <w:pPr>
        <w:pStyle w:val="Textonotapie"/>
        <w:jc w:val="both"/>
        <w:rPr>
          <w:rFonts w:ascii="Palatino Linotype" w:hAnsi="Palatino Linotype"/>
        </w:rPr>
      </w:pPr>
      <w:r w:rsidRPr="00F5102E">
        <w:rPr>
          <w:rFonts w:ascii="Palatino Linotype" w:hAnsi="Palatino Linotype"/>
        </w:rPr>
        <w:t>(…)</w:t>
      </w:r>
    </w:p>
    <w:p w14:paraId="42D31E86" w14:textId="77777777" w:rsidR="003C5758" w:rsidRPr="00F5102E" w:rsidRDefault="003C5758"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3C5758" w:rsidRPr="00F5102E" w:rsidRDefault="003C5758"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3C5758" w:rsidRDefault="003C5758"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A65A715" w14:textId="77777777" w:rsidR="003C5758" w:rsidRPr="004372FF" w:rsidRDefault="003C5758" w:rsidP="00301624">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242</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8">
    <w:p w14:paraId="08152112" w14:textId="77777777" w:rsidR="003C5758" w:rsidRPr="00985DD4" w:rsidRDefault="003C5758" w:rsidP="003159A7">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2DA2674A" w14:textId="77777777" w:rsidR="003C5758" w:rsidRPr="00985DD4" w:rsidRDefault="003C5758" w:rsidP="003159A7">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A613AC1" w14:textId="77777777" w:rsidR="003C5758" w:rsidRPr="00BE13A0" w:rsidRDefault="003C5758" w:rsidP="003159A7">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0F17D2C9" w14:textId="77777777" w:rsidR="003C5758" w:rsidRPr="00985DD4" w:rsidRDefault="003C5758" w:rsidP="003159A7">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1FFE263D" w14:textId="77777777" w:rsidR="003C5758" w:rsidRPr="009F19BE" w:rsidRDefault="003C5758" w:rsidP="003159A7">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40DB4FE" w14:textId="77777777" w:rsidR="003C5758" w:rsidRPr="009F19BE" w:rsidRDefault="003C5758" w:rsidP="003159A7">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1">
    <w:p w14:paraId="4CE57560" w14:textId="77777777" w:rsidR="003C5758" w:rsidRPr="009F19BE" w:rsidRDefault="003C5758" w:rsidP="003159A7">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19D4BC85" w14:textId="77777777" w:rsidR="003C5758" w:rsidRPr="00034B44" w:rsidRDefault="003C5758" w:rsidP="003159A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14:paraId="1150E93A" w14:textId="77777777" w:rsidR="003C5758" w:rsidRPr="00034B44" w:rsidRDefault="003C5758" w:rsidP="003159A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80FFE4E" w14:textId="77777777" w:rsidR="003C5758" w:rsidRPr="00034B44" w:rsidRDefault="003C5758" w:rsidP="003159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9BE4EE" w14:textId="77777777" w:rsidR="003C5758" w:rsidRPr="00034B44" w:rsidRDefault="003C5758" w:rsidP="003159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1FAA5C33" w14:textId="77777777" w:rsidR="003C5758" w:rsidRPr="00ED2A04" w:rsidRDefault="003C5758" w:rsidP="003159A7">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659FCCEB" w14:textId="77777777" w:rsidR="003C5758" w:rsidRPr="00ED2A04" w:rsidRDefault="003C5758" w:rsidP="003159A7">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E853CA5" w14:textId="77777777" w:rsidR="003C5758" w:rsidRPr="000406A4" w:rsidRDefault="003C5758" w:rsidP="003159A7">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187467A7" w14:textId="77777777" w:rsidR="003C5758" w:rsidRPr="000406A4" w:rsidRDefault="003C5758" w:rsidP="003159A7">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4B91FC0" w14:textId="77777777" w:rsidR="003C5758" w:rsidRPr="000406A4" w:rsidRDefault="003C5758" w:rsidP="003159A7">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0D03D76E" w14:textId="77777777" w:rsidR="003C5758" w:rsidRPr="000406A4" w:rsidRDefault="003C5758" w:rsidP="003159A7">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76C3FCB" w14:textId="77777777" w:rsidR="003C5758" w:rsidRPr="000406A4" w:rsidRDefault="003C5758" w:rsidP="003159A7">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3ED84EB9" w14:textId="77777777" w:rsidR="003C5758" w:rsidRPr="00191180" w:rsidRDefault="003C5758" w:rsidP="003159A7">
      <w:pPr>
        <w:jc w:val="both"/>
        <w:rPr>
          <w:color w:val="000000"/>
          <w:sz w:val="20"/>
          <w:szCs w:val="20"/>
          <w:lang w:eastAsia="es-ES_tradnl"/>
        </w:rPr>
      </w:pPr>
      <w:r>
        <w:rPr>
          <w:rStyle w:val="Refdenotaalpie"/>
        </w:rPr>
        <w:footnoteRef/>
      </w:r>
      <w:r>
        <w:t xml:space="preserve"> “</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0B50F257" w14:textId="77777777" w:rsidR="003C5758" w:rsidRPr="00A4142C" w:rsidRDefault="003C5758" w:rsidP="003159A7">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C5758" w14:paraId="6B4E3B81" w14:textId="77777777" w:rsidTr="00B4299A">
      <w:tc>
        <w:tcPr>
          <w:tcW w:w="2701" w:type="dxa"/>
          <w:vAlign w:val="center"/>
          <w:hideMark/>
        </w:tcPr>
        <w:p w14:paraId="0ABBC6C0" w14:textId="1226DAAF" w:rsidR="003C5758" w:rsidRPr="00B4299A" w:rsidRDefault="003C575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9E6AD19" w:rsidR="003C5758" w:rsidRPr="00B4299A" w:rsidRDefault="003C5758" w:rsidP="006E011A">
          <w:pPr>
            <w:rPr>
              <w:rFonts w:ascii="Palatino Linotype" w:hAnsi="Palatino Linotype"/>
              <w:b/>
              <w:szCs w:val="22"/>
              <w:lang w:val="es-ES_tradnl"/>
            </w:rPr>
          </w:pPr>
          <w:r>
            <w:rPr>
              <w:rFonts w:ascii="Palatino Linotype" w:eastAsia="Calibri" w:hAnsi="Palatino Linotype" w:cs="Arial"/>
              <w:b/>
              <w:bCs/>
              <w:szCs w:val="22"/>
              <w:lang w:val="es-MX" w:eastAsia="es-MX"/>
            </w:rPr>
            <w:t>04038</w:t>
          </w:r>
          <w:r w:rsidRPr="00B4299A">
            <w:rPr>
              <w:rFonts w:ascii="Palatino Linotype" w:eastAsia="Calibri" w:hAnsi="Palatino Linotype" w:cs="Arial"/>
              <w:b/>
              <w:bCs/>
              <w:szCs w:val="22"/>
              <w:lang w:val="es-MX" w:eastAsia="es-MX"/>
            </w:rPr>
            <w:t>/INFOEM/IP/RR/2021</w:t>
          </w:r>
        </w:p>
      </w:tc>
    </w:tr>
    <w:tr w:rsidR="003C5758" w14:paraId="31CB780F" w14:textId="77777777" w:rsidTr="00B4299A">
      <w:trPr>
        <w:trHeight w:val="228"/>
      </w:trPr>
      <w:tc>
        <w:tcPr>
          <w:tcW w:w="2701" w:type="dxa"/>
          <w:vAlign w:val="center"/>
          <w:hideMark/>
        </w:tcPr>
        <w:p w14:paraId="4F49CB4A" w14:textId="6966D32E" w:rsidR="003C5758" w:rsidRPr="00B4299A" w:rsidRDefault="003C575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A3EE5F2" w:rsidR="003C5758" w:rsidRPr="00B4299A" w:rsidRDefault="003C5758" w:rsidP="00EA0165">
          <w:pPr>
            <w:jc w:val="both"/>
            <w:rPr>
              <w:rFonts w:ascii="Palatino Linotype" w:hAnsi="Palatino Linotype"/>
              <w:b/>
              <w:szCs w:val="22"/>
              <w:lang w:val="es-ES_tradnl"/>
            </w:rPr>
          </w:pPr>
          <w:r>
            <w:rPr>
              <w:rFonts w:ascii="Palatino Linotype" w:hAnsi="Palatino Linotype"/>
              <w:b/>
              <w:szCs w:val="22"/>
              <w:lang w:val="es-ES_tradnl"/>
            </w:rPr>
            <w:t>Ayuntamiento de Nicolás Romero</w:t>
          </w:r>
          <w:r w:rsidRPr="00B4299A">
            <w:rPr>
              <w:rFonts w:ascii="Palatino Linotype" w:hAnsi="Palatino Linotype"/>
              <w:b/>
              <w:szCs w:val="22"/>
              <w:lang w:val="es-ES_tradnl"/>
            </w:rPr>
            <w:t xml:space="preserve"> </w:t>
          </w:r>
        </w:p>
      </w:tc>
    </w:tr>
    <w:tr w:rsidR="003C5758" w14:paraId="69050F56" w14:textId="77777777" w:rsidTr="00B4299A">
      <w:tc>
        <w:tcPr>
          <w:tcW w:w="2701" w:type="dxa"/>
          <w:vAlign w:val="center"/>
          <w:hideMark/>
        </w:tcPr>
        <w:p w14:paraId="65C9B735" w14:textId="75C78F81" w:rsidR="003C5758" w:rsidRPr="00B4299A" w:rsidRDefault="003C575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C5758" w:rsidRPr="00B4299A" w:rsidRDefault="003C575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C5758" w:rsidRDefault="003C575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C5758" w:rsidRDefault="003C575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C5758" w:rsidRDefault="003C575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C5758" w14:paraId="477E149B" w14:textId="77777777" w:rsidTr="00CB57FD">
      <w:trPr>
        <w:trHeight w:val="277"/>
      </w:trPr>
      <w:tc>
        <w:tcPr>
          <w:tcW w:w="2693" w:type="dxa"/>
          <w:vAlign w:val="center"/>
          <w:hideMark/>
        </w:tcPr>
        <w:p w14:paraId="5C0586E4" w14:textId="77777777" w:rsidR="003C5758" w:rsidRPr="009B3353" w:rsidRDefault="003C575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2564498" w:rsidR="003C5758" w:rsidRPr="009B3353" w:rsidRDefault="003C5758" w:rsidP="00761460">
          <w:pPr>
            <w:rPr>
              <w:rFonts w:ascii="Palatino Linotype" w:hAnsi="Palatino Linotype"/>
              <w:b/>
              <w:szCs w:val="22"/>
              <w:lang w:val="es-ES_tradnl"/>
            </w:rPr>
          </w:pPr>
          <w:r>
            <w:rPr>
              <w:rFonts w:ascii="Palatino Linotype" w:eastAsia="Calibri" w:hAnsi="Palatino Linotype" w:cs="Arial"/>
              <w:b/>
              <w:bCs/>
              <w:szCs w:val="22"/>
              <w:lang w:val="es-MX" w:eastAsia="es-MX"/>
            </w:rPr>
            <w:t>04038</w:t>
          </w:r>
          <w:r w:rsidRPr="009B3353">
            <w:rPr>
              <w:rFonts w:ascii="Palatino Linotype" w:eastAsia="Calibri" w:hAnsi="Palatino Linotype" w:cs="Arial"/>
              <w:b/>
              <w:bCs/>
              <w:szCs w:val="22"/>
              <w:lang w:val="es-MX" w:eastAsia="es-MX"/>
            </w:rPr>
            <w:t>/INFOEM/IP/RR/2021</w:t>
          </w:r>
        </w:p>
      </w:tc>
    </w:tr>
    <w:tr w:rsidR="003C5758" w14:paraId="5B5BE21C" w14:textId="77777777" w:rsidTr="00CB57FD">
      <w:tc>
        <w:tcPr>
          <w:tcW w:w="2693" w:type="dxa"/>
          <w:vAlign w:val="center"/>
          <w:hideMark/>
        </w:tcPr>
        <w:p w14:paraId="4AE96902" w14:textId="4E063913" w:rsidR="003C5758" w:rsidRPr="009B3353" w:rsidRDefault="003C575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0BDA2A6" w:rsidR="003C5758" w:rsidRPr="0006775F" w:rsidRDefault="00B5066A" w:rsidP="0006775F">
          <w:pPr>
            <w:rPr>
              <w:rFonts w:ascii="Palatino Linotype" w:hAnsi="Palatino Linotype"/>
              <w:b/>
              <w:lang w:val="es-ES_tradnl"/>
            </w:rPr>
          </w:pPr>
          <w:r>
            <w:rPr>
              <w:rFonts w:ascii="Palatino Linotype" w:hAnsi="Palatino Linotype"/>
              <w:b/>
              <w:color w:val="000000"/>
            </w:rPr>
            <w:t>XXXXXXXXX XXXXXXXXX XXXXX</w:t>
          </w:r>
        </w:p>
      </w:tc>
    </w:tr>
    <w:tr w:rsidR="003C5758" w14:paraId="22601A11" w14:textId="77777777" w:rsidTr="00CB57FD">
      <w:trPr>
        <w:trHeight w:val="228"/>
      </w:trPr>
      <w:tc>
        <w:tcPr>
          <w:tcW w:w="2693" w:type="dxa"/>
          <w:vAlign w:val="center"/>
          <w:hideMark/>
        </w:tcPr>
        <w:p w14:paraId="6EFE221D" w14:textId="49C5F800" w:rsidR="003C5758" w:rsidRPr="009B3353" w:rsidRDefault="003C575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537210E" w:rsidR="003C5758" w:rsidRPr="009B3353" w:rsidRDefault="003C5758"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Nicolás Romero  </w:t>
          </w:r>
        </w:p>
      </w:tc>
    </w:tr>
    <w:tr w:rsidR="003C5758" w14:paraId="2D6C630E" w14:textId="77777777" w:rsidTr="00CB57FD">
      <w:tc>
        <w:tcPr>
          <w:tcW w:w="2693" w:type="dxa"/>
          <w:vAlign w:val="center"/>
          <w:hideMark/>
        </w:tcPr>
        <w:p w14:paraId="5BD4C6DB" w14:textId="7CF21504" w:rsidR="003C5758" w:rsidRPr="009B3353" w:rsidRDefault="003C575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C5758" w:rsidRPr="009B3353" w:rsidRDefault="003C575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C5758" w:rsidRDefault="003C575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EA4B30"/>
    <w:multiLevelType w:val="hybridMultilevel"/>
    <w:tmpl w:val="CF220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EC49DF"/>
    <w:multiLevelType w:val="hybridMultilevel"/>
    <w:tmpl w:val="8710F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BBA96A0"/>
    <w:lvl w:ilvl="0" w:tplc="FB0C99F4">
      <w:start w:val="1"/>
      <w:numFmt w:val="decimal"/>
      <w:lvlText w:val="%1."/>
      <w:lvlJc w:val="left"/>
      <w:pPr>
        <w:ind w:left="36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237E6"/>
    <w:multiLevelType w:val="hybridMultilevel"/>
    <w:tmpl w:val="2596581C"/>
    <w:lvl w:ilvl="0" w:tplc="97E014EA">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13"/>
  </w:num>
  <w:num w:numId="4">
    <w:abstractNumId w:val="12"/>
  </w:num>
  <w:num w:numId="5">
    <w:abstractNumId w:val="10"/>
  </w:num>
  <w:num w:numId="6">
    <w:abstractNumId w:val="11"/>
  </w:num>
  <w:num w:numId="7">
    <w:abstractNumId w:val="0"/>
  </w:num>
  <w:num w:numId="8">
    <w:abstractNumId w:val="7"/>
  </w:num>
  <w:num w:numId="9">
    <w:abstractNumId w:val="4"/>
  </w:num>
  <w:num w:numId="10">
    <w:abstractNumId w:val="3"/>
  </w:num>
  <w:num w:numId="11">
    <w:abstractNumId w:val="6"/>
  </w:num>
  <w:num w:numId="12">
    <w:abstractNumId w:val="5"/>
  </w:num>
  <w:num w:numId="13">
    <w:abstractNumId w:val="9"/>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6F99"/>
    <w:rsid w:val="0000746A"/>
    <w:rsid w:val="0001145F"/>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163"/>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046E"/>
    <w:rsid w:val="0005153C"/>
    <w:rsid w:val="00051773"/>
    <w:rsid w:val="0005205E"/>
    <w:rsid w:val="000535B0"/>
    <w:rsid w:val="00053D74"/>
    <w:rsid w:val="00054EFE"/>
    <w:rsid w:val="00055938"/>
    <w:rsid w:val="00055F7A"/>
    <w:rsid w:val="00057073"/>
    <w:rsid w:val="00060CD1"/>
    <w:rsid w:val="0006184D"/>
    <w:rsid w:val="000646E3"/>
    <w:rsid w:val="000667E0"/>
    <w:rsid w:val="0006775F"/>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B05"/>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DA1"/>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6EA5"/>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7CA"/>
    <w:rsid w:val="00122E4B"/>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6CE7"/>
    <w:rsid w:val="001871B2"/>
    <w:rsid w:val="00190A74"/>
    <w:rsid w:val="001911CC"/>
    <w:rsid w:val="00191ACE"/>
    <w:rsid w:val="00193909"/>
    <w:rsid w:val="00195520"/>
    <w:rsid w:val="00196141"/>
    <w:rsid w:val="00196EF5"/>
    <w:rsid w:val="00197DA4"/>
    <w:rsid w:val="001A0542"/>
    <w:rsid w:val="001A0598"/>
    <w:rsid w:val="001A05BA"/>
    <w:rsid w:val="001A0F86"/>
    <w:rsid w:val="001A1810"/>
    <w:rsid w:val="001A2131"/>
    <w:rsid w:val="001A25D5"/>
    <w:rsid w:val="001A2A37"/>
    <w:rsid w:val="001A2FF3"/>
    <w:rsid w:val="001A3553"/>
    <w:rsid w:val="001A373A"/>
    <w:rsid w:val="001A466C"/>
    <w:rsid w:val="001A4E38"/>
    <w:rsid w:val="001A4F68"/>
    <w:rsid w:val="001A6349"/>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46EB7"/>
    <w:rsid w:val="002500C8"/>
    <w:rsid w:val="002502B2"/>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3308"/>
    <w:rsid w:val="00284224"/>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6937"/>
    <w:rsid w:val="002B7622"/>
    <w:rsid w:val="002B7BCC"/>
    <w:rsid w:val="002B7C06"/>
    <w:rsid w:val="002C053B"/>
    <w:rsid w:val="002C0C63"/>
    <w:rsid w:val="002C0F55"/>
    <w:rsid w:val="002C0F5C"/>
    <w:rsid w:val="002C2743"/>
    <w:rsid w:val="002C3B74"/>
    <w:rsid w:val="002C4011"/>
    <w:rsid w:val="002C42D4"/>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624"/>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59A7"/>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2F17"/>
    <w:rsid w:val="003B4852"/>
    <w:rsid w:val="003B5CA9"/>
    <w:rsid w:val="003B62A2"/>
    <w:rsid w:val="003B6A7C"/>
    <w:rsid w:val="003B72E9"/>
    <w:rsid w:val="003C0863"/>
    <w:rsid w:val="003C375A"/>
    <w:rsid w:val="003C4A72"/>
    <w:rsid w:val="003C4A79"/>
    <w:rsid w:val="003C4C4B"/>
    <w:rsid w:val="003C5222"/>
    <w:rsid w:val="003C5460"/>
    <w:rsid w:val="003C55F5"/>
    <w:rsid w:val="003C5758"/>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5E9"/>
    <w:rsid w:val="003E6A2E"/>
    <w:rsid w:val="003E6D0E"/>
    <w:rsid w:val="003F0926"/>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4949"/>
    <w:rsid w:val="00445454"/>
    <w:rsid w:val="0044547C"/>
    <w:rsid w:val="00446BB3"/>
    <w:rsid w:val="00446C36"/>
    <w:rsid w:val="004471D2"/>
    <w:rsid w:val="00450869"/>
    <w:rsid w:val="00450F57"/>
    <w:rsid w:val="00451E4C"/>
    <w:rsid w:val="00451F5B"/>
    <w:rsid w:val="00452AF2"/>
    <w:rsid w:val="00453028"/>
    <w:rsid w:val="00453918"/>
    <w:rsid w:val="00453A09"/>
    <w:rsid w:val="004553D4"/>
    <w:rsid w:val="00455768"/>
    <w:rsid w:val="00456E2C"/>
    <w:rsid w:val="00457077"/>
    <w:rsid w:val="00457FC7"/>
    <w:rsid w:val="00461796"/>
    <w:rsid w:val="00461A0A"/>
    <w:rsid w:val="00461B3D"/>
    <w:rsid w:val="00462197"/>
    <w:rsid w:val="00462417"/>
    <w:rsid w:val="004645F5"/>
    <w:rsid w:val="00464624"/>
    <w:rsid w:val="00464EB1"/>
    <w:rsid w:val="00465E62"/>
    <w:rsid w:val="0046696A"/>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B6A"/>
    <w:rsid w:val="004A0EA8"/>
    <w:rsid w:val="004A14D9"/>
    <w:rsid w:val="004A21F6"/>
    <w:rsid w:val="004A2680"/>
    <w:rsid w:val="004A4608"/>
    <w:rsid w:val="004A4B61"/>
    <w:rsid w:val="004A6E0B"/>
    <w:rsid w:val="004A6EFE"/>
    <w:rsid w:val="004A70A0"/>
    <w:rsid w:val="004A729A"/>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09B1"/>
    <w:rsid w:val="004F227C"/>
    <w:rsid w:val="004F2CC0"/>
    <w:rsid w:val="004F3B64"/>
    <w:rsid w:val="004F5243"/>
    <w:rsid w:val="004F64AD"/>
    <w:rsid w:val="004F759E"/>
    <w:rsid w:val="004F7AC2"/>
    <w:rsid w:val="00501721"/>
    <w:rsid w:val="00503053"/>
    <w:rsid w:val="00503E5E"/>
    <w:rsid w:val="005052BD"/>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46FA0"/>
    <w:rsid w:val="00547023"/>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45A0"/>
    <w:rsid w:val="005D6415"/>
    <w:rsid w:val="005D6831"/>
    <w:rsid w:val="005D7248"/>
    <w:rsid w:val="005D7B7C"/>
    <w:rsid w:val="005E0300"/>
    <w:rsid w:val="005E0424"/>
    <w:rsid w:val="005E0A50"/>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AC0"/>
    <w:rsid w:val="00634EDF"/>
    <w:rsid w:val="006354DC"/>
    <w:rsid w:val="00635EAF"/>
    <w:rsid w:val="00636313"/>
    <w:rsid w:val="00637407"/>
    <w:rsid w:val="00637C16"/>
    <w:rsid w:val="00637FDB"/>
    <w:rsid w:val="00640D71"/>
    <w:rsid w:val="00640FB3"/>
    <w:rsid w:val="006416A5"/>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1CF7"/>
    <w:rsid w:val="006C24A5"/>
    <w:rsid w:val="006C24CD"/>
    <w:rsid w:val="006C3292"/>
    <w:rsid w:val="006C4B20"/>
    <w:rsid w:val="006C5263"/>
    <w:rsid w:val="006C5282"/>
    <w:rsid w:val="006C60B5"/>
    <w:rsid w:val="006C693D"/>
    <w:rsid w:val="006C7D68"/>
    <w:rsid w:val="006D07EA"/>
    <w:rsid w:val="006D153C"/>
    <w:rsid w:val="006D16CB"/>
    <w:rsid w:val="006D1A5E"/>
    <w:rsid w:val="006D25FC"/>
    <w:rsid w:val="006D396A"/>
    <w:rsid w:val="006D3F2C"/>
    <w:rsid w:val="006D4834"/>
    <w:rsid w:val="006D5C88"/>
    <w:rsid w:val="006D64F9"/>
    <w:rsid w:val="006D6E15"/>
    <w:rsid w:val="006D7A2C"/>
    <w:rsid w:val="006D7DC5"/>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1F18"/>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4328"/>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DAD"/>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0F6C"/>
    <w:rsid w:val="007E16B7"/>
    <w:rsid w:val="007E24F8"/>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5CB6"/>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771"/>
    <w:rsid w:val="0088137B"/>
    <w:rsid w:val="008813ED"/>
    <w:rsid w:val="00882131"/>
    <w:rsid w:val="0088217A"/>
    <w:rsid w:val="008846F1"/>
    <w:rsid w:val="00884E7E"/>
    <w:rsid w:val="0088510A"/>
    <w:rsid w:val="0088524F"/>
    <w:rsid w:val="00885CAF"/>
    <w:rsid w:val="00885CB3"/>
    <w:rsid w:val="008860BB"/>
    <w:rsid w:val="00886BFC"/>
    <w:rsid w:val="00886EE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4E4D"/>
    <w:rsid w:val="008A6085"/>
    <w:rsid w:val="008A663F"/>
    <w:rsid w:val="008A734C"/>
    <w:rsid w:val="008A7993"/>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4D3"/>
    <w:rsid w:val="00935A0D"/>
    <w:rsid w:val="00936419"/>
    <w:rsid w:val="00937737"/>
    <w:rsid w:val="00940803"/>
    <w:rsid w:val="00940FFE"/>
    <w:rsid w:val="009411A0"/>
    <w:rsid w:val="00942B6C"/>
    <w:rsid w:val="00943B74"/>
    <w:rsid w:val="0094486F"/>
    <w:rsid w:val="00944CA2"/>
    <w:rsid w:val="009456A0"/>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58C"/>
    <w:rsid w:val="009F4D23"/>
    <w:rsid w:val="009F5C19"/>
    <w:rsid w:val="009F69BA"/>
    <w:rsid w:val="009F704F"/>
    <w:rsid w:val="00A00110"/>
    <w:rsid w:val="00A00BC6"/>
    <w:rsid w:val="00A014EE"/>
    <w:rsid w:val="00A01821"/>
    <w:rsid w:val="00A037CB"/>
    <w:rsid w:val="00A0469A"/>
    <w:rsid w:val="00A04B89"/>
    <w:rsid w:val="00A04EB0"/>
    <w:rsid w:val="00A05063"/>
    <w:rsid w:val="00A05700"/>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74AC"/>
    <w:rsid w:val="00AC7ABC"/>
    <w:rsid w:val="00AD1C3D"/>
    <w:rsid w:val="00AD1D3D"/>
    <w:rsid w:val="00AD2277"/>
    <w:rsid w:val="00AD5C04"/>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5C4"/>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066A"/>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1DAA"/>
    <w:rsid w:val="00B722A7"/>
    <w:rsid w:val="00B728D6"/>
    <w:rsid w:val="00B72ACE"/>
    <w:rsid w:val="00B7332C"/>
    <w:rsid w:val="00B73BC0"/>
    <w:rsid w:val="00B75951"/>
    <w:rsid w:val="00B76233"/>
    <w:rsid w:val="00B76358"/>
    <w:rsid w:val="00B778AA"/>
    <w:rsid w:val="00B81C55"/>
    <w:rsid w:val="00B82000"/>
    <w:rsid w:val="00B82E36"/>
    <w:rsid w:val="00B84265"/>
    <w:rsid w:val="00B8497B"/>
    <w:rsid w:val="00B85D36"/>
    <w:rsid w:val="00B86A4A"/>
    <w:rsid w:val="00B86DC2"/>
    <w:rsid w:val="00B86E05"/>
    <w:rsid w:val="00B90397"/>
    <w:rsid w:val="00B906B8"/>
    <w:rsid w:val="00B90CBE"/>
    <w:rsid w:val="00B91560"/>
    <w:rsid w:val="00B91A02"/>
    <w:rsid w:val="00B91C28"/>
    <w:rsid w:val="00B91F2F"/>
    <w:rsid w:val="00B92B46"/>
    <w:rsid w:val="00B92E1C"/>
    <w:rsid w:val="00B944ED"/>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6BF7"/>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379B4"/>
    <w:rsid w:val="00C400E5"/>
    <w:rsid w:val="00C4201F"/>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58CF"/>
    <w:rsid w:val="00CF67F8"/>
    <w:rsid w:val="00CF6971"/>
    <w:rsid w:val="00CF6A73"/>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09DE"/>
    <w:rsid w:val="00D31B06"/>
    <w:rsid w:val="00D31BFC"/>
    <w:rsid w:val="00D31F2E"/>
    <w:rsid w:val="00D32B38"/>
    <w:rsid w:val="00D33B5C"/>
    <w:rsid w:val="00D34B24"/>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21E"/>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10"/>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0220"/>
    <w:rsid w:val="00E619AC"/>
    <w:rsid w:val="00E61E9D"/>
    <w:rsid w:val="00E625A0"/>
    <w:rsid w:val="00E62DB9"/>
    <w:rsid w:val="00E62DBE"/>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2D1B"/>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67A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696A"/>
    <w:pPr>
      <w:tabs>
        <w:tab w:val="left" w:pos="880"/>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8226">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FC17-3007-437F-AF46-B510BC6D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12207</Words>
  <Characters>67143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3</cp:revision>
  <cp:lastPrinted>2021-10-21T19:37:00Z</cp:lastPrinted>
  <dcterms:created xsi:type="dcterms:W3CDTF">2021-11-05T00:39:00Z</dcterms:created>
  <dcterms:modified xsi:type="dcterms:W3CDTF">2021-11-05T00:40:00Z</dcterms:modified>
</cp:coreProperties>
</file>