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9FF" w:rsidRPr="0024200F" w:rsidRDefault="006049FF" w:rsidP="006049FF">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C64A50">
        <w:rPr>
          <w:rFonts w:ascii="Palatino Linotype" w:hAnsi="Palatino Linotype"/>
        </w:rPr>
        <w:t xml:space="preserve"> uno de septiembre </w:t>
      </w:r>
      <w:r>
        <w:rPr>
          <w:rFonts w:ascii="Palatino Linotype" w:hAnsi="Palatino Linotype"/>
        </w:rPr>
        <w:t>de dos mil veintiuno</w:t>
      </w:r>
      <w:r w:rsidRPr="0024200F">
        <w:rPr>
          <w:rFonts w:ascii="Palatino Linotype" w:hAnsi="Palatino Linotype"/>
        </w:rPr>
        <w:t>.</w:t>
      </w:r>
    </w:p>
    <w:p w:rsidR="006049FF" w:rsidRPr="0024200F" w:rsidRDefault="006049FF" w:rsidP="006049FF">
      <w:pPr>
        <w:spacing w:line="360" w:lineRule="auto"/>
        <w:jc w:val="both"/>
        <w:rPr>
          <w:rFonts w:ascii="Palatino Linotype" w:hAnsi="Palatino Linotype"/>
        </w:rPr>
      </w:pPr>
    </w:p>
    <w:p w:rsidR="006049FF" w:rsidRPr="0024200F" w:rsidRDefault="006049FF" w:rsidP="006049FF">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S e</w:t>
      </w:r>
      <w:r w:rsidRPr="0024200F">
        <w:rPr>
          <w:rFonts w:ascii="Palatino Linotype" w:hAnsi="Palatino Linotype"/>
        </w:rPr>
        <w:t>l expediente formado con motivo de</w:t>
      </w:r>
      <w:r>
        <w:rPr>
          <w:rFonts w:ascii="Palatino Linotype" w:hAnsi="Palatino Linotype"/>
        </w:rPr>
        <w:t>l</w:t>
      </w:r>
      <w:r w:rsidRPr="0024200F">
        <w:rPr>
          <w:rFonts w:ascii="Palatino Linotype" w:hAnsi="Palatino Linotype"/>
        </w:rPr>
        <w:t xml:space="preserve"> recurso de revisión </w:t>
      </w:r>
      <w:r w:rsidRPr="0024200F">
        <w:rPr>
          <w:rFonts w:ascii="Palatino Linotype" w:hAnsi="Palatino Linotype"/>
          <w:b/>
        </w:rPr>
        <w:t>0</w:t>
      </w:r>
      <w:r w:rsidR="001C439E">
        <w:rPr>
          <w:rFonts w:ascii="Palatino Linotype" w:hAnsi="Palatino Linotype"/>
          <w:b/>
        </w:rPr>
        <w:t>3610</w:t>
      </w:r>
      <w:r>
        <w:rPr>
          <w:rFonts w:ascii="Palatino Linotype" w:hAnsi="Palatino Linotype"/>
          <w:b/>
        </w:rPr>
        <w:t xml:space="preserve">/INFOEM/IP/RR/2021, </w:t>
      </w:r>
      <w:r w:rsidRPr="0024200F">
        <w:rPr>
          <w:rFonts w:ascii="Palatino Linotype" w:hAnsi="Palatino Linotype"/>
        </w:rPr>
        <w:t>promovido por</w:t>
      </w:r>
      <w:r>
        <w:rPr>
          <w:rFonts w:ascii="Palatino Linotype" w:hAnsi="Palatino Linotype"/>
        </w:rPr>
        <w:t xml:space="preserve"> </w:t>
      </w:r>
      <w:r w:rsidR="001C439E">
        <w:rPr>
          <w:rFonts w:ascii="Palatino Linotype" w:hAnsi="Palatino Linotype"/>
        </w:rPr>
        <w:t>un ciudadano que al momento de ingresar la solicitud de información e interponer recurso de revisión, no señalo nombre o seudónimo con el cual desee ser identificado</w:t>
      </w:r>
      <w:r>
        <w:rPr>
          <w:rFonts w:ascii="Palatino Linotype" w:hAnsi="Palatino Linotype"/>
        </w:rPr>
        <w:t xml:space="preserve">, quien en </w:t>
      </w:r>
      <w:r w:rsidRPr="0024200F">
        <w:rPr>
          <w:rFonts w:ascii="Palatino Linotype" w:hAnsi="Palatino Linotype"/>
        </w:rPr>
        <w:t>lo sucesivo</w:t>
      </w:r>
      <w:r>
        <w:rPr>
          <w:rFonts w:ascii="Palatino Linotype" w:hAnsi="Palatino Linotype"/>
        </w:rPr>
        <w:t xml:space="preserve"> y para efectos prácticos se le denominara como</w:t>
      </w:r>
      <w:r w:rsidRPr="0024200F">
        <w:rPr>
          <w:rFonts w:ascii="Palatino Linotype" w:hAnsi="Palatino Linotype"/>
        </w:rPr>
        <w:t xml:space="preserve"> </w:t>
      </w:r>
      <w:r>
        <w:rPr>
          <w:rFonts w:ascii="Palatino Linotype" w:hAnsi="Palatino Linotype"/>
          <w:b/>
        </w:rPr>
        <w:t>el</w:t>
      </w:r>
      <w:r w:rsidRPr="0024200F">
        <w:rPr>
          <w:rFonts w:ascii="Palatino Linotype" w:hAnsi="Palatino Linotype"/>
          <w:b/>
        </w:rPr>
        <w:t xml:space="preserve"> </w:t>
      </w:r>
      <w:r>
        <w:rPr>
          <w:rFonts w:ascii="Palatino Linotype" w:hAnsi="Palatino Linotype"/>
          <w:b/>
        </w:rPr>
        <w:t>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 respuesta de</w:t>
      </w:r>
      <w:r>
        <w:rPr>
          <w:rFonts w:ascii="Palatino Linotype" w:hAnsi="Palatino Linotype"/>
        </w:rPr>
        <w:t>l</w:t>
      </w:r>
      <w:r w:rsidRPr="0024200F">
        <w:rPr>
          <w:rFonts w:ascii="Palatino Linotype" w:hAnsi="Palatino Linotype"/>
        </w:rPr>
        <w:t xml:space="preserve"> </w:t>
      </w:r>
      <w:r w:rsidR="001C439E" w:rsidRPr="001C439E">
        <w:rPr>
          <w:rFonts w:ascii="Palatino Linotype" w:hAnsi="Palatino Linotype"/>
          <w:b/>
        </w:rPr>
        <w:t>Comisión de Conciliación y Arbitraje Médico del Estado de México</w:t>
      </w:r>
      <w:r w:rsidRPr="0024200F">
        <w:rPr>
          <w:rFonts w:ascii="Palatino Linotype" w:hAnsi="Palatino Linotype"/>
        </w:rPr>
        <w:t xml:space="preserve">, en lo sucesivo </w:t>
      </w:r>
      <w:r w:rsidRPr="0024200F">
        <w:rPr>
          <w:rFonts w:ascii="Palatino Linotype" w:hAnsi="Palatino Linotype"/>
          <w:b/>
        </w:rPr>
        <w:t xml:space="preserve">el </w:t>
      </w:r>
      <w:r>
        <w:rPr>
          <w:rFonts w:ascii="Palatino Linotype" w:hAnsi="Palatino Linotype"/>
          <w:b/>
        </w:rPr>
        <w:t>Sujeto Obligado</w:t>
      </w:r>
      <w:r w:rsidRPr="0024200F">
        <w:rPr>
          <w:rFonts w:ascii="Palatino Linotype" w:hAnsi="Palatino Linotype"/>
        </w:rPr>
        <w:t xml:space="preserve">, se procede a dictar la presente resolución con base en lo siguiente: </w:t>
      </w:r>
    </w:p>
    <w:p w:rsidR="006049FF" w:rsidRPr="002478BC" w:rsidRDefault="006049FF" w:rsidP="006049FF">
      <w:pPr>
        <w:spacing w:line="360" w:lineRule="auto"/>
        <w:jc w:val="center"/>
        <w:rPr>
          <w:rFonts w:ascii="Palatino Linotype" w:hAnsi="Palatino Linotype"/>
          <w:b/>
          <w:bCs/>
          <w:spacing w:val="60"/>
          <w:lang w:val="es-ES_tradnl"/>
        </w:rPr>
      </w:pPr>
    </w:p>
    <w:p w:rsidR="006049FF" w:rsidRPr="0024200F" w:rsidRDefault="006049FF" w:rsidP="006049FF">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rsidR="006049FF" w:rsidRPr="0024200F" w:rsidRDefault="006049FF" w:rsidP="006049FF">
      <w:pPr>
        <w:spacing w:line="360" w:lineRule="auto"/>
        <w:jc w:val="center"/>
        <w:rPr>
          <w:rFonts w:ascii="Palatino Linotype" w:hAnsi="Palatino Linotype"/>
          <w:b/>
          <w:bCs/>
          <w:spacing w:val="60"/>
          <w:lang w:val="es-ES_tradnl"/>
        </w:rPr>
      </w:pPr>
    </w:p>
    <w:p w:rsidR="006049FF" w:rsidRPr="0024200F" w:rsidRDefault="006049FF" w:rsidP="006049FF">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Pr>
          <w:rFonts w:ascii="Palatino Linotype" w:hAnsi="Palatino Linotype"/>
        </w:rPr>
        <w:t xml:space="preserve"> </w:t>
      </w:r>
      <w:r w:rsidR="001C439E">
        <w:rPr>
          <w:rFonts w:ascii="Palatino Linotype" w:hAnsi="Palatino Linotype"/>
        </w:rPr>
        <w:t xml:space="preserve">siete de junio </w:t>
      </w:r>
      <w:r>
        <w:rPr>
          <w:rFonts w:ascii="Palatino Linotype" w:hAnsi="Palatino Linotype"/>
        </w:rPr>
        <w:t xml:space="preserve">de dos mil veintiuno, el </w:t>
      </w:r>
      <w:r w:rsidRPr="00695043">
        <w:rPr>
          <w:rFonts w:ascii="Palatino Linotype" w:hAnsi="Palatino Linotype"/>
          <w:b/>
        </w:rPr>
        <w:t>Recurrente</w:t>
      </w:r>
      <w:r>
        <w:rPr>
          <w:rFonts w:ascii="Palatino Linotype" w:hAnsi="Palatino Linotype"/>
        </w:rPr>
        <w:t xml:space="preserve"> presentó a </w:t>
      </w:r>
      <w:proofErr w:type="gramStart"/>
      <w:r>
        <w:rPr>
          <w:rFonts w:ascii="Palatino Linotype" w:hAnsi="Palatino Linotype"/>
        </w:rPr>
        <w:t>través</w:t>
      </w:r>
      <w:proofErr w:type="gramEnd"/>
      <w:r>
        <w:rPr>
          <w:rFonts w:ascii="Palatino Linotype" w:hAnsi="Palatino Linotype"/>
        </w:rPr>
        <w:t xml:space="preserve"> 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 asignó el número de expediente </w:t>
      </w:r>
      <w:r w:rsidR="001C439E" w:rsidRPr="001C439E">
        <w:rPr>
          <w:rFonts w:ascii="Palatino Linotype" w:hAnsi="Palatino Linotype"/>
          <w:b/>
        </w:rPr>
        <w:t>00107/CAMEM/IP/2021</w:t>
      </w:r>
      <w:r>
        <w:rPr>
          <w:rFonts w:ascii="Palatino Linotype" w:hAnsi="Palatino Linotype"/>
          <w:b/>
          <w:bCs/>
        </w:rPr>
        <w:t xml:space="preserve">, </w:t>
      </w:r>
      <w:r w:rsidRPr="0024200F">
        <w:rPr>
          <w:rFonts w:ascii="Palatino Linotype" w:hAnsi="Palatino Linotype"/>
        </w:rPr>
        <w:t>mediante la cual solicitó, lo siguiente:</w:t>
      </w:r>
    </w:p>
    <w:p w:rsidR="006049FF" w:rsidRDefault="006049FF" w:rsidP="006049FF">
      <w:pPr>
        <w:spacing w:line="360" w:lineRule="auto"/>
        <w:jc w:val="both"/>
        <w:rPr>
          <w:rFonts w:ascii="Palatino Linotype" w:hAnsi="Palatino Linotype" w:cs="Arial"/>
        </w:rPr>
      </w:pPr>
    </w:p>
    <w:p w:rsidR="006049FF" w:rsidRDefault="006049FF" w:rsidP="004747B5">
      <w:pPr>
        <w:ind w:left="567" w:right="616"/>
        <w:jc w:val="both"/>
        <w:rPr>
          <w:rFonts w:ascii="Palatino Linotype" w:hAnsi="Palatino Linotype"/>
          <w:bCs/>
          <w:sz w:val="22"/>
        </w:rPr>
      </w:pPr>
      <w:r w:rsidRPr="00157DDD">
        <w:rPr>
          <w:rFonts w:ascii="Palatino Linotype" w:hAnsi="Palatino Linotype"/>
          <w:bCs/>
          <w:i/>
          <w:sz w:val="22"/>
        </w:rPr>
        <w:t>“</w:t>
      </w:r>
      <w:r w:rsidR="001C439E" w:rsidRPr="001C439E">
        <w:rPr>
          <w:rFonts w:ascii="Palatino Linotype" w:hAnsi="Palatino Linotype"/>
          <w:bCs/>
          <w:i/>
          <w:sz w:val="22"/>
        </w:rPr>
        <w:t>Las dimensiones del edificio donde radica la institución en la Ciudad de Toluca de Lerdo, de cada oficina y por cuántas personas están ocupadas y si en ellas se cumple la distancia de seguridad para evitar los contagios de la enfermedad covid19.</w:t>
      </w:r>
      <w:r>
        <w:rPr>
          <w:rFonts w:ascii="Palatino Linotype" w:hAnsi="Palatino Linotype"/>
          <w:bCs/>
          <w:i/>
          <w:sz w:val="22"/>
        </w:rPr>
        <w:t>”</w:t>
      </w:r>
    </w:p>
    <w:p w:rsidR="006049FF" w:rsidRDefault="006049FF" w:rsidP="006049FF">
      <w:pPr>
        <w:spacing w:line="360" w:lineRule="auto"/>
        <w:jc w:val="both"/>
        <w:rPr>
          <w:rFonts w:ascii="Palatino Linotype" w:hAnsi="Palatino Linotype"/>
          <w:szCs w:val="28"/>
          <w:lang w:val="es-MX"/>
        </w:rPr>
      </w:pPr>
    </w:p>
    <w:p w:rsidR="006049FF" w:rsidRDefault="006049FF" w:rsidP="006049FF">
      <w:pPr>
        <w:spacing w:line="360" w:lineRule="auto"/>
        <w:jc w:val="both"/>
        <w:rPr>
          <w:rFonts w:ascii="Palatino Linotype" w:hAnsi="Palatino Linotype"/>
          <w:b/>
          <w:i/>
          <w:szCs w:val="28"/>
          <w:lang w:val="es-MX"/>
        </w:rPr>
      </w:pPr>
      <w:r w:rsidRPr="0024200F">
        <w:rPr>
          <w:rFonts w:ascii="Palatino Linotype" w:hAnsi="Palatino Linotype"/>
          <w:szCs w:val="28"/>
          <w:lang w:val="es-MX"/>
        </w:rPr>
        <w:lastRenderedPageBreak/>
        <w:t>Modalidad de entrega:</w:t>
      </w:r>
      <w:r w:rsidRPr="00E41476">
        <w:rPr>
          <w:rFonts w:ascii="Palatino Linotype" w:hAnsi="Palatino Linotype"/>
          <w:b/>
          <w:i/>
          <w:szCs w:val="28"/>
          <w:lang w:val="es-MX"/>
        </w:rPr>
        <w:t xml:space="preserve"> </w:t>
      </w:r>
      <w:r>
        <w:rPr>
          <w:rFonts w:ascii="Palatino Linotype" w:hAnsi="Palatino Linotype"/>
          <w:b/>
          <w:i/>
          <w:szCs w:val="28"/>
          <w:lang w:val="es-MX"/>
        </w:rPr>
        <w:t>a través del SAIMEX</w:t>
      </w:r>
    </w:p>
    <w:p w:rsidR="006049FF" w:rsidRDefault="006049FF" w:rsidP="006049FF">
      <w:pPr>
        <w:spacing w:line="360" w:lineRule="auto"/>
        <w:jc w:val="both"/>
        <w:rPr>
          <w:rFonts w:ascii="Palatino Linotype" w:hAnsi="Palatino Linotype"/>
          <w:szCs w:val="28"/>
          <w:lang w:val="es-MX"/>
        </w:rPr>
      </w:pPr>
    </w:p>
    <w:p w:rsidR="006049FF" w:rsidRDefault="006049FF" w:rsidP="006049FF">
      <w:pPr>
        <w:spacing w:line="360" w:lineRule="auto"/>
        <w:jc w:val="both"/>
        <w:rPr>
          <w:rFonts w:ascii="Palatino Linotype" w:hAnsi="Palatino Linotype"/>
        </w:rPr>
      </w:pPr>
      <w:r w:rsidRPr="00A42A4D">
        <w:rPr>
          <w:rFonts w:ascii="Palatino Linotype" w:hAnsi="Palatino Linotype"/>
          <w:b/>
          <w:sz w:val="28"/>
          <w:szCs w:val="28"/>
          <w:lang w:val="es-MX"/>
        </w:rPr>
        <w:t>SEGUNDO.</w:t>
      </w:r>
      <w:r w:rsidRPr="00A42A4D">
        <w:rPr>
          <w:rFonts w:ascii="Palatino Linotype" w:hAnsi="Palatino Linotype"/>
          <w:sz w:val="28"/>
          <w:szCs w:val="28"/>
          <w:lang w:val="es-MX"/>
        </w:rPr>
        <w:t xml:space="preserve"> </w:t>
      </w:r>
      <w:r w:rsidRPr="00A42A4D">
        <w:rPr>
          <w:rFonts w:ascii="Palatino Linotype" w:hAnsi="Palatino Linotype"/>
        </w:rPr>
        <w:t xml:space="preserve">De las constancias que obran en </w:t>
      </w:r>
      <w:r>
        <w:rPr>
          <w:rFonts w:ascii="Palatino Linotype" w:hAnsi="Palatino Linotype"/>
        </w:rPr>
        <w:t xml:space="preserve">el </w:t>
      </w:r>
      <w:r w:rsidRPr="00A42A4D">
        <w:rPr>
          <w:rFonts w:ascii="Palatino Linotype" w:hAnsi="Palatino Linotype"/>
        </w:rPr>
        <w:t>expediente electrónico</w:t>
      </w:r>
      <w:r>
        <w:rPr>
          <w:rFonts w:ascii="Palatino Linotype" w:hAnsi="Palatino Linotype"/>
        </w:rPr>
        <w:t xml:space="preserve"> aperturado con motivo del ingreso de la solicitud de información</w:t>
      </w:r>
      <w:r w:rsidRPr="00A42A4D">
        <w:rPr>
          <w:rFonts w:ascii="Palatino Linotype" w:hAnsi="Palatino Linotype"/>
        </w:rPr>
        <w:t>, se advierte</w:t>
      </w:r>
      <w:r w:rsidRPr="0024200F">
        <w:rPr>
          <w:rFonts w:ascii="Palatino Linotype" w:hAnsi="Palatino Linotype"/>
        </w:rPr>
        <w:t xml:space="preserve"> que </w:t>
      </w:r>
      <w:r w:rsidRPr="000A587F">
        <w:rPr>
          <w:rFonts w:ascii="Palatino Linotype" w:hAnsi="Palatino Linotype"/>
        </w:rPr>
        <w:t>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b/>
        </w:rPr>
        <w:t xml:space="preserve"> </w:t>
      </w:r>
      <w:r w:rsidRPr="0024200F">
        <w:rPr>
          <w:rFonts w:ascii="Palatino Linotype" w:hAnsi="Palatino Linotype"/>
        </w:rPr>
        <w:t>emitió respuesta</w:t>
      </w:r>
      <w:r>
        <w:rPr>
          <w:rFonts w:ascii="Palatino Linotype" w:hAnsi="Palatino Linotype"/>
        </w:rPr>
        <w:t xml:space="preserve"> el día </w:t>
      </w:r>
      <w:r w:rsidR="001C439E">
        <w:rPr>
          <w:rFonts w:ascii="Palatino Linotype" w:hAnsi="Palatino Linotype"/>
        </w:rPr>
        <w:t xml:space="preserve">veintiocho de junio </w:t>
      </w:r>
      <w:r>
        <w:rPr>
          <w:rFonts w:ascii="Palatino Linotype" w:hAnsi="Palatino Linotype"/>
        </w:rPr>
        <w:t>de dos mil veintiuno, en los términos siguientes:</w:t>
      </w:r>
    </w:p>
    <w:p w:rsidR="006049FF" w:rsidRDefault="006049FF" w:rsidP="00ED1B43">
      <w:pPr>
        <w:jc w:val="both"/>
        <w:rPr>
          <w:rFonts w:ascii="Palatino Linotype" w:hAnsi="Palatino Linotype"/>
        </w:rPr>
      </w:pPr>
    </w:p>
    <w:p w:rsidR="001C439E" w:rsidRDefault="006049FF" w:rsidP="004747B5">
      <w:pPr>
        <w:ind w:left="567" w:right="616"/>
        <w:jc w:val="both"/>
        <w:rPr>
          <w:rFonts w:ascii="Palatino Linotype" w:hAnsi="Palatino Linotype" w:cs="Arial"/>
          <w:i/>
          <w:sz w:val="22"/>
          <w:szCs w:val="22"/>
        </w:rPr>
      </w:pPr>
      <w:r w:rsidRPr="0024200F">
        <w:rPr>
          <w:rFonts w:ascii="Palatino Linotype" w:hAnsi="Palatino Linotype" w:cs="Arial"/>
          <w:i/>
          <w:sz w:val="22"/>
          <w:szCs w:val="22"/>
        </w:rPr>
        <w:t>“</w:t>
      </w:r>
      <w:r w:rsidR="001C439E" w:rsidRPr="001C439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C439E" w:rsidRPr="001C439E" w:rsidRDefault="001C439E" w:rsidP="004747B5">
      <w:pPr>
        <w:ind w:left="567" w:right="616"/>
        <w:jc w:val="both"/>
        <w:rPr>
          <w:rFonts w:ascii="Palatino Linotype" w:hAnsi="Palatino Linotype" w:cs="Arial"/>
          <w:i/>
          <w:sz w:val="22"/>
          <w:szCs w:val="22"/>
        </w:rPr>
      </w:pPr>
    </w:p>
    <w:p w:rsidR="006049FF" w:rsidRDefault="001C439E" w:rsidP="004747B5">
      <w:pPr>
        <w:ind w:left="567" w:right="616"/>
        <w:jc w:val="both"/>
        <w:rPr>
          <w:rFonts w:ascii="Palatino Linotype" w:hAnsi="Palatino Linotype"/>
          <w:b/>
          <w:szCs w:val="28"/>
          <w:lang w:val="es-MX"/>
        </w:rPr>
      </w:pPr>
      <w:r w:rsidRPr="001C439E">
        <w:rPr>
          <w:rFonts w:ascii="Palatino Linotype" w:hAnsi="Palatino Linotype" w:cs="Arial"/>
          <w:i/>
          <w:sz w:val="22"/>
          <w:szCs w:val="22"/>
        </w:rPr>
        <w:t xml:space="preserve">En atención a la solicitud con folio 00107/CAMEM/IP/2021 y con fundamento en el Artículo 12 de la Ley de Transparencia y Acceso a la Información Pública del Estado de México y Municipios, que a la letra señala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Pr="001C439E">
        <w:rPr>
          <w:rFonts w:ascii="Palatino Linotype" w:hAnsi="Palatino Linotype" w:cs="Arial"/>
          <w:i/>
          <w:sz w:val="22"/>
          <w:szCs w:val="22"/>
          <w:u w:val="single"/>
        </w:rPr>
        <w:t>se informa que, está información la puede consultar en el Sistema IPOMEX del Organismo, en el apartado “El directorio de todos los servidores públicos</w:t>
      </w:r>
      <w:r w:rsidRPr="001C439E">
        <w:rPr>
          <w:rFonts w:ascii="Palatino Linotype" w:hAnsi="Palatino Linotype" w:cs="Arial"/>
          <w:i/>
          <w:sz w:val="22"/>
          <w:szCs w:val="22"/>
        </w:rPr>
        <w:t>” (https://www.ipomex.org.mx/ipo3/lgt/indice/CCAMEM.web), y que el organismo se apega a al Plan “Regreso Seguro” del Gobierno del Estado, disponible en https://salud.edomex.gob.mx/salud/plan_regreso_seguro.</w:t>
      </w:r>
      <w:r w:rsidR="006049FF" w:rsidRPr="0024200F">
        <w:rPr>
          <w:rFonts w:ascii="Palatino Linotype" w:hAnsi="Palatino Linotype" w:cs="Arial"/>
          <w:i/>
          <w:sz w:val="22"/>
          <w:szCs w:val="22"/>
        </w:rPr>
        <w:t xml:space="preserve">” </w:t>
      </w:r>
      <w:r w:rsidR="006049FF">
        <w:rPr>
          <w:rFonts w:ascii="Palatino Linotype" w:hAnsi="Palatino Linotype" w:cs="Arial"/>
          <w:i/>
          <w:sz w:val="22"/>
          <w:szCs w:val="22"/>
        </w:rPr>
        <w:t>(</w:t>
      </w:r>
      <w:proofErr w:type="gramStart"/>
      <w:r w:rsidR="006049FF">
        <w:rPr>
          <w:rFonts w:ascii="Palatino Linotype" w:hAnsi="Palatino Linotype"/>
          <w:i/>
          <w:sz w:val="22"/>
          <w:szCs w:val="22"/>
        </w:rPr>
        <w:t>sic</w:t>
      </w:r>
      <w:proofErr w:type="gramEnd"/>
      <w:r w:rsidR="006049FF">
        <w:rPr>
          <w:rFonts w:ascii="Palatino Linotype" w:hAnsi="Palatino Linotype"/>
          <w:i/>
          <w:sz w:val="22"/>
          <w:szCs w:val="22"/>
        </w:rPr>
        <w:t>)</w:t>
      </w:r>
    </w:p>
    <w:p w:rsidR="006049FF" w:rsidRDefault="006049FF" w:rsidP="004747B5">
      <w:pPr>
        <w:ind w:left="567" w:right="616"/>
        <w:jc w:val="both"/>
        <w:rPr>
          <w:rFonts w:ascii="Palatino Linotype" w:hAnsi="Palatino Linotype"/>
          <w:bCs/>
        </w:rPr>
      </w:pPr>
    </w:p>
    <w:p w:rsidR="001C439E" w:rsidRDefault="001C439E" w:rsidP="004747B5">
      <w:pPr>
        <w:ind w:left="567" w:right="616"/>
        <w:jc w:val="right"/>
        <w:rPr>
          <w:rFonts w:ascii="Palatino Linotype" w:hAnsi="Palatino Linotype"/>
          <w:bCs/>
        </w:rPr>
      </w:pPr>
      <w:r>
        <w:rPr>
          <w:rFonts w:ascii="Palatino Linotype" w:hAnsi="Palatino Linotype"/>
          <w:bCs/>
        </w:rPr>
        <w:t>(Énfasis añadido)</w:t>
      </w:r>
    </w:p>
    <w:p w:rsidR="001C439E" w:rsidRPr="00B02F4C" w:rsidRDefault="001C439E" w:rsidP="006049FF">
      <w:pPr>
        <w:spacing w:line="360" w:lineRule="auto"/>
        <w:ind w:left="567" w:right="616"/>
        <w:jc w:val="both"/>
        <w:rPr>
          <w:rFonts w:ascii="Palatino Linotype" w:hAnsi="Palatino Linotype"/>
          <w:bCs/>
        </w:rPr>
      </w:pPr>
    </w:p>
    <w:p w:rsidR="006049FF" w:rsidRDefault="006049FF" w:rsidP="006049FF">
      <w:pPr>
        <w:spacing w:line="360" w:lineRule="auto"/>
        <w:jc w:val="both"/>
        <w:rPr>
          <w:rFonts w:ascii="Palatino Linotype" w:hAnsi="Palatino Linotype" w:cs="Arial"/>
        </w:rPr>
      </w:pPr>
      <w:r w:rsidRPr="0024200F">
        <w:rPr>
          <w:rFonts w:ascii="Palatino Linotype" w:hAnsi="Palatino Linotype" w:cs="Arial"/>
          <w:b/>
          <w:sz w:val="28"/>
          <w:szCs w:val="28"/>
        </w:rPr>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 respuesta</w:t>
      </w:r>
      <w:r>
        <w:rPr>
          <w:rFonts w:ascii="Palatino Linotype" w:hAnsi="Palatino Linotype" w:cs="Arial"/>
        </w:rPr>
        <w:t xml:space="preserve"> emitida por parte del </w:t>
      </w:r>
      <w:r>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sidR="001C439E">
        <w:rPr>
          <w:rFonts w:ascii="Palatino Linotype" w:hAnsi="Palatino Linotype" w:cs="Arial"/>
        </w:rPr>
        <w:t xml:space="preserve">dos de julio </w:t>
      </w:r>
      <w:r>
        <w:rPr>
          <w:rFonts w:ascii="Palatino Linotype" w:hAnsi="Palatino Linotype" w:cs="Arial"/>
        </w:rPr>
        <w:t xml:space="preserve">de dos mil veintiuno, el </w:t>
      </w:r>
      <w:r w:rsidRPr="00695043">
        <w:rPr>
          <w:rFonts w:ascii="Palatino Linotype" w:hAnsi="Palatino Linotype" w:cs="Arial"/>
          <w:b/>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w:t>
      </w:r>
      <w:r w:rsidRPr="0024200F">
        <w:rPr>
          <w:rFonts w:ascii="Palatino Linotype" w:hAnsi="Palatino Linotype" w:cs="Arial"/>
        </w:rPr>
        <w:t xml:space="preserve">recurso de revisión, </w:t>
      </w:r>
      <w:r>
        <w:rPr>
          <w:rFonts w:ascii="Palatino Linotype" w:hAnsi="Palatino Linotype" w:cs="Arial"/>
        </w:rPr>
        <w:t xml:space="preserve">quedando </w:t>
      </w:r>
      <w:r w:rsidRPr="0024200F">
        <w:rPr>
          <w:rFonts w:ascii="Palatino Linotype" w:hAnsi="Palatino Linotype" w:cs="Arial"/>
        </w:rPr>
        <w:t>registrado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el número de recurso </w:t>
      </w:r>
      <w:r w:rsidRPr="0024200F">
        <w:rPr>
          <w:rFonts w:ascii="Palatino Linotype" w:hAnsi="Palatino Linotype"/>
          <w:b/>
        </w:rPr>
        <w:t>0</w:t>
      </w:r>
      <w:r>
        <w:rPr>
          <w:rFonts w:ascii="Palatino Linotype" w:hAnsi="Palatino Linotype"/>
          <w:b/>
        </w:rPr>
        <w:t>2465/INFOEM/IP/RR/2021</w:t>
      </w:r>
      <w:r w:rsidRPr="00191CA2">
        <w:rPr>
          <w:rFonts w:ascii="Palatino Linotype" w:hAnsi="Palatino Linotype"/>
        </w:rPr>
        <w:t xml:space="preserve">, </w:t>
      </w:r>
      <w:r>
        <w:rPr>
          <w:rFonts w:ascii="Palatino Linotype" w:hAnsi="Palatino Linotype" w:cs="Arial"/>
        </w:rPr>
        <w:t xml:space="preserve">en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que expresó c</w:t>
      </w:r>
      <w:r>
        <w:rPr>
          <w:rFonts w:ascii="Palatino Linotype" w:hAnsi="Palatino Linotype" w:cs="Arial"/>
        </w:rPr>
        <w:t xml:space="preserve">omo acto impugnado, y como razones o motivos de inconformidad los que a continuación se citan: </w:t>
      </w:r>
    </w:p>
    <w:p w:rsidR="006049FF" w:rsidRDefault="006049FF" w:rsidP="006049FF">
      <w:pPr>
        <w:spacing w:line="360" w:lineRule="auto"/>
        <w:jc w:val="both"/>
        <w:rPr>
          <w:rFonts w:ascii="Palatino Linotype" w:hAnsi="Palatino Linotype" w:cs="Arial"/>
        </w:rPr>
      </w:pPr>
    </w:p>
    <w:p w:rsidR="006049FF" w:rsidRPr="00591A86" w:rsidRDefault="006049FF" w:rsidP="00ED1B43">
      <w:pPr>
        <w:ind w:left="567" w:right="616"/>
        <w:jc w:val="both"/>
        <w:rPr>
          <w:rFonts w:ascii="Palatino Linotype" w:hAnsi="Palatino Linotype"/>
          <w:i/>
        </w:rPr>
      </w:pPr>
      <w:r>
        <w:rPr>
          <w:rFonts w:ascii="Palatino Linotype" w:hAnsi="Palatino Linotype"/>
          <w:b/>
        </w:rPr>
        <w:lastRenderedPageBreak/>
        <w:t xml:space="preserve">Acto Impugnado: </w:t>
      </w:r>
      <w:r>
        <w:rPr>
          <w:rFonts w:ascii="Palatino Linotype" w:hAnsi="Palatino Linotype"/>
          <w:i/>
        </w:rPr>
        <w:t>“</w:t>
      </w:r>
      <w:r w:rsidR="00877B6E" w:rsidRPr="00877B6E">
        <w:rPr>
          <w:rFonts w:ascii="Palatino Linotype" w:hAnsi="Palatino Linotype"/>
          <w:i/>
          <w:sz w:val="22"/>
          <w:szCs w:val="22"/>
        </w:rPr>
        <w:t>NO ENTREGA INFORMACIÓN CON PRECISIÓN</w:t>
      </w:r>
      <w:r>
        <w:rPr>
          <w:rFonts w:ascii="Palatino Linotype" w:hAnsi="Palatino Linotype"/>
          <w:i/>
        </w:rPr>
        <w:t>” (sic)</w:t>
      </w:r>
    </w:p>
    <w:p w:rsidR="006049FF" w:rsidRDefault="006049FF" w:rsidP="00ED1B43">
      <w:pPr>
        <w:ind w:right="51"/>
        <w:jc w:val="both"/>
        <w:rPr>
          <w:rFonts w:ascii="Palatino Linotype" w:hAnsi="Palatino Linotype"/>
          <w:b/>
        </w:rPr>
      </w:pPr>
    </w:p>
    <w:p w:rsidR="006049FF" w:rsidRPr="00591A86" w:rsidRDefault="006049FF" w:rsidP="00ED1B43">
      <w:pPr>
        <w:ind w:left="567" w:right="616"/>
        <w:jc w:val="both"/>
        <w:rPr>
          <w:rFonts w:ascii="Palatino Linotype" w:hAnsi="Palatino Linotype"/>
          <w:i/>
        </w:rPr>
      </w:pPr>
      <w:r>
        <w:rPr>
          <w:rFonts w:ascii="Palatino Linotype" w:hAnsi="Palatino Linotype"/>
          <w:b/>
        </w:rPr>
        <w:t>Razones o motivos de inconformidad:</w:t>
      </w:r>
      <w:r>
        <w:rPr>
          <w:rFonts w:ascii="Palatino Linotype" w:hAnsi="Palatino Linotype"/>
        </w:rPr>
        <w:t xml:space="preserve"> </w:t>
      </w:r>
      <w:r w:rsidRPr="00591A86">
        <w:rPr>
          <w:rFonts w:ascii="Palatino Linotype" w:hAnsi="Palatino Linotype"/>
          <w:i/>
          <w:sz w:val="22"/>
        </w:rPr>
        <w:t>“</w:t>
      </w:r>
      <w:r w:rsidR="00877B6E" w:rsidRPr="00877B6E">
        <w:rPr>
          <w:rFonts w:ascii="Palatino Linotype" w:hAnsi="Palatino Linotype"/>
          <w:i/>
          <w:sz w:val="22"/>
        </w:rPr>
        <w:t>no entrega la información solicitada</w:t>
      </w:r>
      <w:r>
        <w:rPr>
          <w:rFonts w:ascii="Palatino Linotype" w:hAnsi="Palatino Linotype"/>
          <w:i/>
          <w:sz w:val="22"/>
        </w:rPr>
        <w:t>” (sic)</w:t>
      </w:r>
    </w:p>
    <w:p w:rsidR="006049FF" w:rsidRDefault="006049FF" w:rsidP="006049FF">
      <w:pPr>
        <w:spacing w:line="360" w:lineRule="auto"/>
        <w:jc w:val="both"/>
        <w:rPr>
          <w:rFonts w:ascii="Palatino Linotype" w:hAnsi="Palatino Linotype"/>
          <w:bCs/>
          <w:lang w:val="es-MX"/>
        </w:rPr>
      </w:pPr>
    </w:p>
    <w:p w:rsidR="006049FF" w:rsidRDefault="006049FF" w:rsidP="006049FF">
      <w:pPr>
        <w:spacing w:line="360" w:lineRule="auto"/>
        <w:jc w:val="both"/>
        <w:rPr>
          <w:rFonts w:ascii="Palatino Linotype" w:hAnsi="Palatino Linotype" w:cs="Arial"/>
          <w:lang w:val="es-ES_tradnl"/>
        </w:rPr>
      </w:pPr>
      <w:r w:rsidRPr="0024200F">
        <w:rPr>
          <w:rFonts w:ascii="Palatino Linotype" w:hAnsi="Palatino Linotype" w:cs="Arial"/>
          <w:b/>
          <w:sz w:val="28"/>
          <w:szCs w:val="22"/>
          <w:lang w:val="es-MX"/>
        </w:rPr>
        <w:t>CUARTO.</w:t>
      </w:r>
      <w:r w:rsidRPr="0024200F">
        <w:rPr>
          <w:rFonts w:ascii="Palatino Linotype" w:hAnsi="Palatino Linotype" w:cs="Arial"/>
          <w:b/>
          <w:szCs w:val="22"/>
          <w:lang w:val="es-MX"/>
        </w:rPr>
        <w:t xml:space="preserve"> </w:t>
      </w:r>
      <w:r w:rsidRPr="0024200F">
        <w:rPr>
          <w:rFonts w:ascii="Palatino Linotype" w:hAnsi="Palatino Linotype" w:cs="Arial"/>
        </w:rPr>
        <w:t>E</w:t>
      </w:r>
      <w:r>
        <w:rPr>
          <w:rFonts w:ascii="Palatino Linotype" w:hAnsi="Palatino Linotype" w:cs="Arial"/>
        </w:rPr>
        <w:t xml:space="preserve">n fecha </w:t>
      </w:r>
      <w:r w:rsidR="00877B6E">
        <w:rPr>
          <w:rFonts w:ascii="Palatino Linotype" w:hAnsi="Palatino Linotype" w:cs="Arial"/>
        </w:rPr>
        <w:t xml:space="preserve">dos de julio </w:t>
      </w:r>
      <w:r>
        <w:rPr>
          <w:rFonts w:ascii="Palatino Linotype" w:hAnsi="Palatino Linotype" w:cs="Arial"/>
        </w:rPr>
        <w:t>de dos mil veintiuno, e</w:t>
      </w:r>
      <w:r w:rsidRPr="0024200F">
        <w:rPr>
          <w:rFonts w:ascii="Palatino Linotype" w:hAnsi="Palatino Linotype" w:cs="Arial"/>
        </w:rPr>
        <w:t xml:space="preserve">l </w:t>
      </w:r>
      <w:r w:rsidRPr="0024200F">
        <w:rPr>
          <w:rFonts w:ascii="Palatino Linotype" w:hAnsi="Palatino Linotype" w:cs="Arial"/>
          <w:lang w:val="es-ES_tradnl"/>
        </w:rPr>
        <w:t>recurso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ó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Ley de Transparencia y Acceso a la Información Pública del Estado de México y Municipios</w:t>
      </w:r>
      <w:r w:rsidRPr="0024200F">
        <w:rPr>
          <w:rFonts w:ascii="Palatino Linotype" w:hAnsi="Palatino Linotype" w:cs="Arial"/>
          <w:lang w:val="es-ES_tradnl"/>
        </w:rPr>
        <w:t>, se turn</w:t>
      </w:r>
      <w:r>
        <w:rPr>
          <w:rFonts w:ascii="Palatino Linotype" w:hAnsi="Palatino Linotype" w:cs="Arial"/>
          <w:lang w:val="es-ES_tradnl"/>
        </w:rPr>
        <w:t xml:space="preserve">ó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24200F">
        <w:rPr>
          <w:rFonts w:ascii="Palatino Linotype" w:eastAsia="Arial Unicode MS" w:hAnsi="Palatino Linotype" w:cs="Arial"/>
          <w:b/>
          <w:lang w:val="es-ES_tradnl"/>
        </w:rPr>
        <w:t>SAIMEX</w:t>
      </w:r>
      <w:r w:rsidRPr="0024200F">
        <w:rPr>
          <w:rFonts w:ascii="Palatino Linotype" w:hAnsi="Palatino Linotype"/>
        </w:rPr>
        <w:t>, a l</w:t>
      </w:r>
      <w:r>
        <w:rPr>
          <w:rFonts w:ascii="Palatino Linotype" w:hAnsi="Palatino Linotype"/>
        </w:rPr>
        <w:t>a</w:t>
      </w:r>
      <w:r w:rsidRPr="0024200F">
        <w:rPr>
          <w:rFonts w:ascii="Palatino Linotype" w:hAnsi="Palatino Linotype"/>
        </w:rPr>
        <w:t xml:space="preserve"> </w:t>
      </w:r>
      <w:r w:rsidR="008E7AA4">
        <w:rPr>
          <w:rFonts w:ascii="Palatino Linotype" w:hAnsi="Palatino Linotype"/>
        </w:rPr>
        <w:t xml:space="preserve">entonces </w:t>
      </w:r>
      <w:r>
        <w:rPr>
          <w:rFonts w:ascii="Palatino Linotype" w:hAnsi="Palatino Linotype" w:cs="Arial"/>
          <w:lang w:val="es-ES_tradnl"/>
        </w:rPr>
        <w:t>Comisionada</w:t>
      </w:r>
      <w:r w:rsidRPr="0024200F">
        <w:rPr>
          <w:rFonts w:ascii="Palatino Linotype" w:hAnsi="Palatino Linotype" w:cs="Arial"/>
          <w:lang w:val="es-ES_tradnl"/>
        </w:rPr>
        <w:t xml:space="preserve"> </w:t>
      </w:r>
      <w:r w:rsidRPr="0024200F">
        <w:rPr>
          <w:rFonts w:ascii="Palatino Linotype" w:hAnsi="Palatino Linotype" w:cs="Arial"/>
          <w:b/>
          <w:lang w:val="es-ES_tradnl"/>
        </w:rPr>
        <w:t>ZULEMA MARTÍNEZ</w:t>
      </w:r>
      <w:r>
        <w:rPr>
          <w:rFonts w:ascii="Palatino Linotype" w:hAnsi="Palatino Linotype" w:cs="Arial"/>
          <w:b/>
          <w:lang w:val="es-ES_tradnl"/>
        </w:rPr>
        <w:t xml:space="preserve"> SÁNCHEZ</w:t>
      </w:r>
      <w:r>
        <w:rPr>
          <w:rFonts w:ascii="Palatino Linotype" w:hAnsi="Palatino Linotype" w:cs="Arial"/>
          <w:lang w:val="es-ES_tradnl"/>
        </w:rPr>
        <w:t xml:space="preserve">, </w:t>
      </w:r>
      <w:r w:rsidRPr="0024200F">
        <w:rPr>
          <w:rFonts w:ascii="Palatino Linotype" w:hAnsi="Palatino Linotype" w:cs="Arial"/>
          <w:lang w:val="es-ES_tradnl"/>
        </w:rPr>
        <w:t>a efecto de</w:t>
      </w:r>
      <w:r>
        <w:rPr>
          <w:rFonts w:ascii="Palatino Linotype" w:hAnsi="Palatino Linotype" w:cs="Arial"/>
          <w:lang w:val="es-ES_tradnl"/>
        </w:rPr>
        <w:t xml:space="preserve"> que</w:t>
      </w:r>
      <w:r w:rsidRPr="0024200F">
        <w:rPr>
          <w:rFonts w:ascii="Palatino Linotype" w:hAnsi="Palatino Linotype" w:cs="Arial"/>
          <w:lang w:val="es-ES_tradnl"/>
        </w:rPr>
        <w:t xml:space="preserve"> decretar</w:t>
      </w:r>
      <w:r>
        <w:rPr>
          <w:rFonts w:ascii="Palatino Linotype" w:hAnsi="Palatino Linotype" w:cs="Arial"/>
          <w:lang w:val="es-ES_tradnl"/>
        </w:rPr>
        <w:t>a</w:t>
      </w:r>
      <w:r w:rsidRPr="0024200F">
        <w:rPr>
          <w:rFonts w:ascii="Palatino Linotype" w:hAnsi="Palatino Linotype" w:cs="Arial"/>
          <w:lang w:val="es-ES_tradnl"/>
        </w:rPr>
        <w:t xml:space="preserve"> su admisión o desechamiento.</w:t>
      </w:r>
    </w:p>
    <w:p w:rsidR="006049FF" w:rsidRDefault="006049FF" w:rsidP="006049FF">
      <w:pPr>
        <w:spacing w:line="360" w:lineRule="auto"/>
        <w:jc w:val="both"/>
        <w:rPr>
          <w:rFonts w:ascii="Palatino Linotype" w:hAnsi="Palatino Linotype" w:cs="Arial"/>
          <w:lang w:val="es-ES_tradnl"/>
        </w:rPr>
      </w:pPr>
    </w:p>
    <w:p w:rsidR="006049FF" w:rsidRDefault="006049FF" w:rsidP="006049FF">
      <w:pPr>
        <w:spacing w:line="360" w:lineRule="auto"/>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 xml:space="preserve">n fecha </w:t>
      </w:r>
      <w:r w:rsidR="008E7AA4">
        <w:rPr>
          <w:rFonts w:ascii="Palatino Linotype" w:hAnsi="Palatino Linotype" w:cs="Arial"/>
        </w:rPr>
        <w:t xml:space="preserve">ocho de julio </w:t>
      </w:r>
      <w:r>
        <w:rPr>
          <w:rFonts w:ascii="Palatino Linotype" w:hAnsi="Palatino Linotype" w:cs="Arial"/>
        </w:rPr>
        <w:t>de dos mil veintiuno,</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 xml:space="preserve">l </w:t>
      </w:r>
      <w:r w:rsidRPr="0024200F">
        <w:rPr>
          <w:rFonts w:ascii="Palatino Linotype" w:hAnsi="Palatino Linotype" w:cs="Arial"/>
        </w:rPr>
        <w:t>recurso de revisión, así como la integración de</w:t>
      </w:r>
      <w:r>
        <w:rPr>
          <w:rFonts w:ascii="Palatino Linotype" w:hAnsi="Palatino Linotype" w:cs="Arial"/>
        </w:rPr>
        <w:t>l</w:t>
      </w:r>
      <w:r w:rsidRPr="0024200F">
        <w:rPr>
          <w:rFonts w:ascii="Palatino Linotype" w:hAnsi="Palatino Linotype" w:cs="Arial"/>
        </w:rPr>
        <w:t xml:space="preserve"> expediente respectivo, mismo que se pus</w:t>
      </w:r>
      <w:r>
        <w:rPr>
          <w:rFonts w:ascii="Palatino Linotype" w:hAnsi="Palatino Linotype" w:cs="Arial"/>
        </w:rPr>
        <w:t xml:space="preserve">o </w:t>
      </w:r>
      <w:r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rsidR="006049FF" w:rsidRDefault="006049FF" w:rsidP="006049FF">
      <w:pPr>
        <w:spacing w:line="360" w:lineRule="auto"/>
        <w:jc w:val="both"/>
        <w:rPr>
          <w:rFonts w:ascii="Palatino Linotype" w:hAnsi="Palatino Linotype" w:cs="Arial"/>
        </w:rPr>
      </w:pPr>
    </w:p>
    <w:p w:rsidR="006049FF" w:rsidRPr="004541BA" w:rsidRDefault="006049FF" w:rsidP="006049FF">
      <w:pPr>
        <w:spacing w:line="360" w:lineRule="auto"/>
        <w:jc w:val="both"/>
        <w:rPr>
          <w:rFonts w:ascii="Palatino Linotype" w:hAnsi="Palatino Linotype" w:cs="Arial"/>
          <w:lang w:val="es-ES_tradnl"/>
        </w:rPr>
      </w:pPr>
      <w:r w:rsidRPr="004541BA">
        <w:rPr>
          <w:rFonts w:ascii="Palatino Linotype" w:eastAsia="Arial Unicode MS" w:hAnsi="Palatino Linotype" w:cs="Arial"/>
          <w:b/>
          <w:sz w:val="28"/>
          <w:szCs w:val="28"/>
        </w:rPr>
        <w:t xml:space="preserve">SEXTO. </w:t>
      </w:r>
      <w:r w:rsidRPr="004541BA">
        <w:rPr>
          <w:rFonts w:ascii="Palatino Linotype" w:hAnsi="Palatino Linotype" w:cs="Arial"/>
        </w:rPr>
        <w:t>De</w:t>
      </w:r>
      <w:r w:rsidRPr="004541BA">
        <w:rPr>
          <w:rFonts w:ascii="Palatino Linotype" w:hAnsi="Palatino Linotype" w:cs="Arial"/>
          <w:lang w:val="es-ES_tradnl"/>
        </w:rPr>
        <w:t xml:space="preserve"> las </w:t>
      </w:r>
      <w:r w:rsidRPr="004541BA">
        <w:rPr>
          <w:rFonts w:ascii="Palatino Linotype" w:hAnsi="Palatino Linotype" w:cs="Arial"/>
        </w:rPr>
        <w:t>constancias</w:t>
      </w:r>
      <w:r w:rsidRPr="004541BA">
        <w:rPr>
          <w:rFonts w:ascii="Palatino Linotype" w:hAnsi="Palatino Linotype" w:cs="Arial"/>
          <w:lang w:val="es-ES_tradnl"/>
        </w:rPr>
        <w:t xml:space="preserve"> que obran en el </w:t>
      </w:r>
      <w:r w:rsidRPr="004541BA">
        <w:rPr>
          <w:rFonts w:ascii="Palatino Linotype" w:hAnsi="Palatino Linotype" w:cs="Arial"/>
          <w:b/>
          <w:lang w:val="es-ES_tradnl"/>
        </w:rPr>
        <w:t>SAIMEX</w:t>
      </w:r>
      <w:r w:rsidRPr="004541BA">
        <w:rPr>
          <w:rFonts w:ascii="Palatino Linotype" w:hAnsi="Palatino Linotype" w:cs="Arial"/>
          <w:lang w:val="es-ES_tradnl"/>
        </w:rPr>
        <w:t>, se advierte que tanto el</w:t>
      </w:r>
      <w:r w:rsidRPr="004541BA">
        <w:rPr>
          <w:rFonts w:ascii="Palatino Linotype" w:hAnsi="Palatino Linotype" w:cs="Arial"/>
          <w:b/>
          <w:lang w:val="es-ES_tradnl"/>
        </w:rPr>
        <w:t xml:space="preserve"> Sujeto Obligado, </w:t>
      </w:r>
      <w:r w:rsidRPr="004541BA">
        <w:rPr>
          <w:rFonts w:ascii="Palatino Linotype" w:hAnsi="Palatino Linotype" w:cs="Arial"/>
          <w:lang w:val="es-ES_tradnl"/>
        </w:rPr>
        <w:t xml:space="preserve">como el </w:t>
      </w:r>
      <w:r w:rsidRPr="004541BA">
        <w:rPr>
          <w:rFonts w:ascii="Palatino Linotype" w:hAnsi="Palatino Linotype" w:cs="Arial"/>
          <w:b/>
          <w:lang w:val="es-ES_tradnl"/>
        </w:rPr>
        <w:t>Recurrente</w:t>
      </w:r>
      <w:r w:rsidRPr="004541BA">
        <w:rPr>
          <w:rFonts w:ascii="Palatino Linotype" w:hAnsi="Palatino Linotype" w:cs="Arial"/>
          <w:lang w:val="es-ES_tradnl"/>
        </w:rPr>
        <w:t xml:space="preserve"> fueron omisos en rendir su informe justificado y manifestaciones, respectivamente, dentro del término de ley que les fue otorgado. Por lo que al no existir prueba alguna o diligencia que desahogar en el expediente citado al rubro, </w:t>
      </w:r>
      <w:r w:rsidRPr="004541BA">
        <w:rPr>
          <w:rFonts w:ascii="Palatino Linotype" w:hAnsi="Palatino Linotype" w:cs="Arial"/>
        </w:rPr>
        <w:t xml:space="preserve">la Comisionada Ponente acordó el cierre de instrucción, así como la remisión del </w:t>
      </w:r>
      <w:r w:rsidRPr="004541BA">
        <w:rPr>
          <w:rFonts w:ascii="Palatino Linotype" w:hAnsi="Palatino Linotype" w:cs="Arial"/>
        </w:rPr>
        <w:lastRenderedPageBreak/>
        <w:t xml:space="preserve">mismo a efecto </w:t>
      </w:r>
      <w:r w:rsidRPr="004541BA">
        <w:rPr>
          <w:rFonts w:ascii="Palatino Linotype" w:hAnsi="Palatino Linotype" w:cs="Arial"/>
          <w:lang w:val="es-ES_tradnl"/>
        </w:rPr>
        <w:t>de</w:t>
      </w:r>
      <w:r w:rsidRPr="004541B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4541BA">
        <w:rPr>
          <w:rFonts w:ascii="Palatino Linotype" w:hAnsi="Palatino Linotype" w:cs="Arial"/>
          <w:lang w:val="es-ES_tradnl"/>
        </w:rPr>
        <w:t>.</w:t>
      </w:r>
    </w:p>
    <w:p w:rsidR="006049FF" w:rsidRPr="004541BA" w:rsidRDefault="006049FF" w:rsidP="006049FF">
      <w:pPr>
        <w:spacing w:line="360" w:lineRule="auto"/>
        <w:jc w:val="both"/>
        <w:rPr>
          <w:rFonts w:ascii="Palatino Linotype" w:hAnsi="Palatino Linotype" w:cs="Arial"/>
          <w:lang w:val="es-ES_tradnl"/>
        </w:rPr>
      </w:pPr>
    </w:p>
    <w:p w:rsidR="006049FF" w:rsidRPr="001D7B53" w:rsidRDefault="006049FF" w:rsidP="006049FF">
      <w:pPr>
        <w:spacing w:line="360" w:lineRule="auto"/>
        <w:jc w:val="both"/>
        <w:rPr>
          <w:rFonts w:ascii="Palatino Linotype" w:eastAsiaTheme="minorHAnsi" w:hAnsi="Palatino Linotype" w:cs="Arial"/>
          <w:lang w:val="es-MX" w:eastAsia="en-US"/>
        </w:rPr>
      </w:pPr>
      <w:r w:rsidRPr="004541BA">
        <w:rPr>
          <w:rFonts w:ascii="Palatino Linotype" w:hAnsi="Palatino Linotype" w:cs="Arial"/>
          <w:b/>
          <w:sz w:val="28"/>
          <w:lang w:val="es-ES_tradnl"/>
        </w:rPr>
        <w:t>SÉPTIMO</w:t>
      </w:r>
      <w:r w:rsidRPr="004541BA">
        <w:rPr>
          <w:rFonts w:ascii="Palatino Linotype" w:hAnsi="Palatino Linotype" w:cs="Arial"/>
          <w:b/>
          <w:lang w:val="es-ES_tradnl"/>
        </w:rPr>
        <w:t xml:space="preserve">. </w:t>
      </w:r>
      <w:r w:rsidRPr="004541BA">
        <w:rPr>
          <w:rFonts w:ascii="Palatino Linotype" w:hAnsi="Palatino Linotype" w:cs="Arial"/>
          <w:lang w:val="es-ES_tradnl"/>
        </w:rPr>
        <w:t>U</w:t>
      </w:r>
      <w:r w:rsidRPr="004541BA">
        <w:rPr>
          <w:rFonts w:ascii="Palatino Linotype" w:eastAsiaTheme="minorHAnsi" w:hAnsi="Palatino Linotype" w:cs="Arial"/>
          <w:lang w:val="es-MX" w:eastAsia="en-US"/>
        </w:rPr>
        <w:t xml:space="preserve">na vez transcurridos el término otorgado a las partes de siete días hábiles para realizar sus manifestaciones en el acuerdo de admisión, y no habiendo prueba pendiente por desahogar, ni que documentos que integrar al expediente electrónico, se decretó el cierre de instrucción en fecha </w:t>
      </w:r>
      <w:r w:rsidR="00757A73">
        <w:rPr>
          <w:rFonts w:ascii="Palatino Linotype" w:eastAsiaTheme="minorHAnsi" w:hAnsi="Palatino Linotype" w:cs="Arial"/>
          <w:lang w:val="es-MX" w:eastAsia="en-US"/>
        </w:rPr>
        <w:t>cinco de agosto</w:t>
      </w:r>
      <w:r w:rsidRPr="004541BA">
        <w:rPr>
          <w:rFonts w:ascii="Palatino Linotype" w:eastAsiaTheme="minorHAnsi" w:hAnsi="Palatino Linotype" w:cs="Arial"/>
          <w:lang w:val="es-MX" w:eastAsia="en-US"/>
        </w:rPr>
        <w:t xml:space="preserve"> del presente año, en términos del artículo 185 fracción VI de la Ley de Transparencia y Acceso a la </w:t>
      </w:r>
      <w:r w:rsidRPr="001D7B53">
        <w:rPr>
          <w:rFonts w:ascii="Palatino Linotype" w:eastAsiaTheme="minorHAnsi" w:hAnsi="Palatino Linotype" w:cs="Arial"/>
          <w:lang w:val="es-MX" w:eastAsia="en-US"/>
        </w:rPr>
        <w:t>Información Pública del Estado de México y Municipios, ordenándose turnar el expediente a la resolución que en derecho proceda.</w:t>
      </w:r>
    </w:p>
    <w:p w:rsidR="006049FF" w:rsidRPr="001D7B53" w:rsidRDefault="006049FF" w:rsidP="006049FF">
      <w:pPr>
        <w:spacing w:line="360" w:lineRule="auto"/>
        <w:jc w:val="both"/>
        <w:rPr>
          <w:rFonts w:ascii="Palatino Linotype" w:eastAsiaTheme="minorHAnsi" w:hAnsi="Palatino Linotype" w:cs="Arial"/>
          <w:lang w:val="es-MX" w:eastAsia="en-US"/>
        </w:rPr>
      </w:pPr>
    </w:p>
    <w:p w:rsidR="006049FF" w:rsidRPr="001D7B53" w:rsidRDefault="006049FF" w:rsidP="006049FF">
      <w:pPr>
        <w:spacing w:line="360" w:lineRule="auto"/>
        <w:jc w:val="both"/>
        <w:rPr>
          <w:rFonts w:ascii="Palatino Linotype" w:eastAsiaTheme="minorHAnsi" w:hAnsi="Palatino Linotype" w:cs="Arial"/>
          <w:b/>
          <w:sz w:val="28"/>
          <w:szCs w:val="28"/>
          <w:lang w:val="es-MX" w:eastAsia="en-US"/>
        </w:rPr>
      </w:pPr>
      <w:r w:rsidRPr="001D7B53">
        <w:rPr>
          <w:rFonts w:ascii="Palatino Linotype" w:eastAsiaTheme="minorHAnsi" w:hAnsi="Palatino Linotype" w:cs="Arial"/>
          <w:b/>
          <w:sz w:val="28"/>
          <w:szCs w:val="28"/>
          <w:lang w:val="es-MX" w:eastAsia="en-US"/>
        </w:rPr>
        <w:t xml:space="preserve">OCTAVO. </w:t>
      </w:r>
      <w:r w:rsidR="00B276A9" w:rsidRPr="007D7AA2">
        <w:rPr>
          <w:rFonts w:ascii="Palatino Linotype" w:hAnsi="Palatino Linotype" w:cs="Arial"/>
          <w:b/>
          <w:sz w:val="28"/>
          <w:szCs w:val="28"/>
        </w:rPr>
        <w:t>Del returno del recurso de revisión</w:t>
      </w:r>
      <w:r w:rsidRPr="001D7B53">
        <w:rPr>
          <w:rFonts w:ascii="Palatino Linotype" w:eastAsiaTheme="minorHAnsi" w:hAnsi="Palatino Linotype" w:cs="Arial"/>
          <w:b/>
          <w:sz w:val="28"/>
          <w:szCs w:val="28"/>
          <w:lang w:val="es-MX" w:eastAsia="en-US"/>
        </w:rPr>
        <w:t>.</w:t>
      </w:r>
    </w:p>
    <w:p w:rsidR="001D7B53" w:rsidRDefault="001D7B53" w:rsidP="001D7B53">
      <w:pPr>
        <w:spacing w:line="360" w:lineRule="auto"/>
        <w:jc w:val="both"/>
        <w:rPr>
          <w:rFonts w:ascii="Palatino Linotype" w:hAnsi="Palatino Linotype" w:cs="Arial"/>
          <w:szCs w:val="28"/>
        </w:rPr>
      </w:pPr>
      <w:r w:rsidRPr="001D7B53">
        <w:rPr>
          <w:rFonts w:ascii="Palatino Linotype" w:hAnsi="Palatino Linotype" w:cs="Arial"/>
          <w:szCs w:val="28"/>
        </w:rPr>
        <w:t xml:space="preserve">En fecha veintitrés de agosto de dos mil veintiuno por acuerdo del Pleno de este Órgano Garante, en la Segunda Sesión Extraordinaria fue </w:t>
      </w:r>
      <w:r w:rsidRPr="007D7AA2">
        <w:rPr>
          <w:rFonts w:ascii="Palatino Linotype" w:hAnsi="Palatino Linotype" w:cs="Arial"/>
          <w:szCs w:val="28"/>
        </w:rPr>
        <w:t>returnado</w:t>
      </w:r>
      <w:r>
        <w:rPr>
          <w:rFonts w:ascii="Palatino Linotype" w:hAnsi="Palatino Linotype" w:cs="Arial"/>
          <w:szCs w:val="28"/>
        </w:rPr>
        <w:t xml:space="preserve"> e</w:t>
      </w:r>
      <w:r w:rsidRPr="007D7AA2">
        <w:rPr>
          <w:rFonts w:ascii="Palatino Linotype" w:hAnsi="Palatino Linotype" w:cs="Arial"/>
          <w:szCs w:val="28"/>
        </w:rPr>
        <w:t xml:space="preserve">l recurso de revisión </w:t>
      </w:r>
      <w:r w:rsidRPr="000E591D">
        <w:rPr>
          <w:rFonts w:ascii="Palatino Linotype" w:hAnsi="Palatino Linotype"/>
          <w:b/>
        </w:rPr>
        <w:t>03</w:t>
      </w:r>
      <w:r w:rsidR="00B276A9">
        <w:rPr>
          <w:rFonts w:ascii="Palatino Linotype" w:hAnsi="Palatino Linotype"/>
          <w:b/>
        </w:rPr>
        <w:t>610</w:t>
      </w:r>
      <w:r w:rsidRPr="000E591D">
        <w:rPr>
          <w:rFonts w:ascii="Palatino Linotype" w:hAnsi="Palatino Linotype"/>
          <w:b/>
        </w:rPr>
        <w:t>/INFOEM/IP/RR/2021</w:t>
      </w:r>
      <w:r w:rsidRPr="007D7AA2">
        <w:rPr>
          <w:rFonts w:ascii="Palatino Linotype" w:hAnsi="Palatino Linotype" w:cs="Arial"/>
          <w:szCs w:val="28"/>
        </w:rPr>
        <w:t>, al Comisionado José Martínez Vilchis para su resolución y presentación al Pleno.</w:t>
      </w:r>
    </w:p>
    <w:p w:rsidR="006049FF" w:rsidRPr="001D7B53" w:rsidRDefault="006049FF" w:rsidP="006049FF">
      <w:pPr>
        <w:pStyle w:val="Prrafodelista"/>
        <w:spacing w:line="360" w:lineRule="auto"/>
        <w:ind w:left="0"/>
        <w:jc w:val="both"/>
        <w:rPr>
          <w:rFonts w:ascii="Palatino Linotype" w:eastAsiaTheme="minorHAnsi" w:hAnsi="Palatino Linotype" w:cs="Arial"/>
          <w:lang w:eastAsia="en-US"/>
        </w:rPr>
      </w:pPr>
    </w:p>
    <w:p w:rsidR="006049FF" w:rsidRPr="0024200F" w:rsidRDefault="006049FF" w:rsidP="006049FF">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757A73" w:rsidRDefault="00757A73" w:rsidP="006049FF">
      <w:pPr>
        <w:spacing w:line="360" w:lineRule="auto"/>
        <w:ind w:right="49"/>
        <w:jc w:val="both"/>
        <w:rPr>
          <w:rFonts w:ascii="Palatino Linotype" w:hAnsi="Palatino Linotype"/>
          <w:szCs w:val="28"/>
        </w:rPr>
      </w:pPr>
    </w:p>
    <w:p w:rsidR="006049FF" w:rsidRPr="00FB3150" w:rsidRDefault="006049FF" w:rsidP="006049FF">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6049FF" w:rsidRDefault="006049FF" w:rsidP="006049FF">
      <w:pPr>
        <w:spacing w:line="360" w:lineRule="auto"/>
        <w:jc w:val="both"/>
        <w:rPr>
          <w:rFonts w:ascii="Palatino Linotype" w:hAnsi="Palatino Linotype" w:cs="Arial"/>
        </w:rPr>
      </w:pPr>
      <w:r w:rsidRPr="001D77CB">
        <w:rPr>
          <w:rFonts w:ascii="Palatino Linotype" w:hAnsi="Palatino Linotype" w:cs="Arial"/>
        </w:rPr>
        <w:t>Este Instituto de Transparencia, Acceso a la Información Pública y Protección de Datos Personales del Estado de México y Municipios, es compe</w:t>
      </w:r>
      <w:r>
        <w:rPr>
          <w:rFonts w:ascii="Palatino Linotype" w:hAnsi="Palatino Linotype" w:cs="Arial"/>
        </w:rPr>
        <w:t xml:space="preserve">tente para conocer y resolver </w:t>
      </w:r>
      <w:r w:rsidRPr="001D77CB">
        <w:rPr>
          <w:rFonts w:ascii="Palatino Linotype" w:hAnsi="Palatino Linotype" w:cs="Arial"/>
        </w:rPr>
        <w:t>l</w:t>
      </w:r>
      <w:r>
        <w:rPr>
          <w:rFonts w:ascii="Palatino Linotype" w:hAnsi="Palatino Linotype" w:cs="Arial"/>
        </w:rPr>
        <w:t>os</w:t>
      </w:r>
      <w:r w:rsidRPr="001D77CB">
        <w:rPr>
          <w:rFonts w:ascii="Palatino Linotype" w:hAnsi="Palatino Linotype" w:cs="Arial"/>
        </w:rPr>
        <w:t xml:space="preserve"> presente</w:t>
      </w:r>
      <w:r>
        <w:rPr>
          <w:rFonts w:ascii="Palatino Linotype" w:hAnsi="Palatino Linotype" w:cs="Arial"/>
        </w:rPr>
        <w:t>s</w:t>
      </w:r>
      <w:r w:rsidRPr="001D77CB">
        <w:rPr>
          <w:rFonts w:ascii="Palatino Linotype" w:hAnsi="Palatino Linotype" w:cs="Arial"/>
        </w:rPr>
        <w:t xml:space="preserve"> recurso</w:t>
      </w:r>
      <w:r>
        <w:rPr>
          <w:rFonts w:ascii="Palatino Linotype" w:hAnsi="Palatino Linotype" w:cs="Arial"/>
        </w:rPr>
        <w:t>s</w:t>
      </w:r>
      <w:r w:rsidRPr="001D77CB">
        <w:rPr>
          <w:rFonts w:ascii="Palatino Linotype" w:hAnsi="Palatino Linotype" w:cs="Arial"/>
        </w:rPr>
        <w:t xml:space="preserve"> de revisión interpuesto</w:t>
      </w:r>
      <w:r>
        <w:rPr>
          <w:rFonts w:ascii="Palatino Linotype" w:hAnsi="Palatino Linotype" w:cs="Arial"/>
        </w:rPr>
        <w:t>s</w:t>
      </w:r>
      <w:r w:rsidRPr="001D77CB">
        <w:rPr>
          <w:rFonts w:ascii="Palatino Linotype" w:hAnsi="Palatino Linotype" w:cs="Arial"/>
        </w:rPr>
        <w:t xml:space="preserve"> por </w:t>
      </w:r>
      <w:r>
        <w:rPr>
          <w:rFonts w:ascii="Palatino Linotype" w:hAnsi="Palatino Linotype" w:cs="Arial"/>
        </w:rPr>
        <w:t>e</w:t>
      </w:r>
      <w:r w:rsidRPr="001D77CB">
        <w:rPr>
          <w:rFonts w:ascii="Palatino Linotype" w:hAnsi="Palatino Linotype" w:cs="Arial"/>
        </w:rPr>
        <w:t xml:space="preserve">l ahora </w:t>
      </w:r>
      <w:r>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 xml:space="preserve">conforme a lo </w:t>
      </w:r>
      <w:r w:rsidRPr="001D77CB">
        <w:rPr>
          <w:rFonts w:ascii="Palatino Linotype" w:hAnsi="Palatino Linotype" w:cs="Arial"/>
        </w:rPr>
        <w:lastRenderedPageBreak/>
        <w:t xml:space="preserve">dispuesto en los artículos </w:t>
      </w:r>
      <w:r w:rsidR="00343F97" w:rsidRPr="00343F97">
        <w:rPr>
          <w:rFonts w:ascii="Palatino Linotype" w:hAnsi="Palatino Linotype" w:cs="Arial"/>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343F97" w:rsidRDefault="00343F97" w:rsidP="006049FF">
      <w:pPr>
        <w:spacing w:line="360" w:lineRule="auto"/>
        <w:jc w:val="both"/>
        <w:rPr>
          <w:rFonts w:ascii="Palatino Linotype" w:hAnsi="Palatino Linotype" w:cs="Arial"/>
        </w:rPr>
      </w:pPr>
    </w:p>
    <w:p w:rsidR="006049FF" w:rsidRDefault="006049FF" w:rsidP="006049FF">
      <w:pPr>
        <w:spacing w:line="360" w:lineRule="auto"/>
        <w:jc w:val="both"/>
        <w:rPr>
          <w:rFonts w:ascii="Palatino Linotype" w:hAnsi="Palatino Linotype" w:cs="Arial"/>
        </w:rPr>
      </w:pPr>
      <w:r w:rsidRPr="00987819">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encuentra con las herramientas técnicas y tecnológicas necesarias que eviten mermar el ejercicio de los derechos correspondientes, si</w:t>
      </w:r>
      <w:r>
        <w:rPr>
          <w:rFonts w:ascii="Palatino Linotype" w:hAnsi="Palatino Linotype" w:cs="Arial"/>
        </w:rPr>
        <w:t>n</w:t>
      </w:r>
      <w:r w:rsidRPr="00987819">
        <w:rPr>
          <w:rFonts w:ascii="Palatino Linotype" w:hAnsi="Palatino Linotype" w:cs="Arial"/>
        </w:rPr>
        <w:t xml:space="preserve"> que ello implique poner en riesgo el diverso derecho a la salud, de todos los partícipes en los procesos que conllevan.</w:t>
      </w:r>
    </w:p>
    <w:p w:rsidR="006049FF" w:rsidRDefault="006049FF" w:rsidP="006049FF">
      <w:pPr>
        <w:spacing w:line="360" w:lineRule="auto"/>
        <w:jc w:val="both"/>
        <w:rPr>
          <w:rFonts w:ascii="Palatino Linotype" w:hAnsi="Palatino Linotype" w:cs="Arial"/>
        </w:rPr>
      </w:pPr>
    </w:p>
    <w:p w:rsidR="006049FF" w:rsidRPr="00FB3150" w:rsidRDefault="006049FF" w:rsidP="006049FF">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6049FF" w:rsidRDefault="006049FF" w:rsidP="006049FF">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w:t>
      </w:r>
      <w:r w:rsidRPr="0024200F">
        <w:rPr>
          <w:rFonts w:ascii="Palatino Linotype" w:hAnsi="Palatino Linotype" w:cs="Arial"/>
        </w:rPr>
        <w:lastRenderedPageBreak/>
        <w:t>derecho de acceso a la información pública y garantizando el principio rector de máxima publicidad.</w:t>
      </w:r>
    </w:p>
    <w:p w:rsidR="00757A73" w:rsidRDefault="00757A73" w:rsidP="006049FF">
      <w:pPr>
        <w:spacing w:line="360" w:lineRule="auto"/>
        <w:ind w:right="49"/>
        <w:jc w:val="both"/>
        <w:rPr>
          <w:rFonts w:ascii="Palatino Linotype" w:hAnsi="Palatino Linotype" w:cs="Arial"/>
        </w:rPr>
      </w:pP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w:t>
      </w:r>
      <w:r w:rsidRPr="00757A73">
        <w:rPr>
          <w:rFonts w:ascii="Palatino Linotype" w:eastAsiaTheme="minorHAnsi" w:hAnsi="Palatino Linotype" w:cs="Arial"/>
          <w:b/>
          <w:i/>
          <w:sz w:val="22"/>
          <w:lang w:val="es-MX" w:eastAsia="en-US"/>
        </w:rPr>
        <w:t>Artículo 180</w:t>
      </w:r>
      <w:r w:rsidRPr="00757A73">
        <w:rPr>
          <w:rFonts w:ascii="Palatino Linotype" w:eastAsiaTheme="minorHAnsi" w:hAnsi="Palatino Linotype" w:cs="Arial"/>
          <w:i/>
          <w:sz w:val="22"/>
          <w:lang w:val="es-MX" w:eastAsia="en-US"/>
        </w:rPr>
        <w:t xml:space="preserve">. El recurso de revisión contendrá: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I</w:t>
      </w:r>
      <w:r w:rsidRPr="00757A73">
        <w:rPr>
          <w:rFonts w:ascii="Palatino Linotype" w:eastAsiaTheme="minorHAnsi" w:hAnsi="Palatino Linotype" w:cs="Arial"/>
          <w:i/>
          <w:sz w:val="22"/>
          <w:lang w:val="es-MX" w:eastAsia="en-US"/>
        </w:rPr>
        <w:t xml:space="preserve">. El sujeto obligado ante la cual se presentó la solicitud;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II</w:t>
      </w:r>
      <w:r w:rsidRPr="00757A73">
        <w:rPr>
          <w:rFonts w:ascii="Palatino Linotype" w:eastAsiaTheme="minorHAnsi" w:hAnsi="Palatino Linotype" w:cs="Arial"/>
          <w:i/>
          <w:sz w:val="22"/>
          <w:lang w:val="es-MX" w:eastAsia="en-US"/>
        </w:rPr>
        <w:t xml:space="preserve">. </w:t>
      </w:r>
      <w:r w:rsidRPr="00757A73">
        <w:rPr>
          <w:rFonts w:ascii="Palatino Linotype" w:eastAsiaTheme="minorHAnsi" w:hAnsi="Palatino Linotype" w:cs="Arial"/>
          <w:i/>
          <w:sz w:val="22"/>
          <w:u w:val="single"/>
          <w:lang w:val="es-MX" w:eastAsia="en-US"/>
        </w:rPr>
        <w:t>El nombre del solicitante</w:t>
      </w:r>
      <w:r w:rsidRPr="00757A73">
        <w:rPr>
          <w:rFonts w:ascii="Palatino Linotype" w:eastAsiaTheme="minorHAnsi" w:hAnsi="Palatino Linotype" w:cs="Arial"/>
          <w:i/>
          <w:sz w:val="22"/>
          <w:lang w:val="es-MX" w:eastAsia="en-US"/>
        </w:rPr>
        <w:t xml:space="preserve"> que recurre o de su representante y, en su caso, del tercero interesado, así como la dirección o medio que señale para recibir notificaciones;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III</w:t>
      </w:r>
      <w:r w:rsidRPr="00757A73">
        <w:rPr>
          <w:rFonts w:ascii="Palatino Linotype" w:eastAsiaTheme="minorHAnsi" w:hAnsi="Palatino Linotype" w:cs="Arial"/>
          <w:i/>
          <w:sz w:val="22"/>
          <w:lang w:val="es-MX" w:eastAsia="en-US"/>
        </w:rPr>
        <w:t xml:space="preserve">. El número de folio de respuesta de la solicitud de acceso;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IV</w:t>
      </w:r>
      <w:r w:rsidRPr="00757A73">
        <w:rPr>
          <w:rFonts w:ascii="Palatino Linotype" w:eastAsiaTheme="minorHAnsi" w:hAnsi="Palatino Linotype" w:cs="Arial"/>
          <w:i/>
          <w:sz w:val="22"/>
          <w:lang w:val="es-MX" w:eastAsia="en-US"/>
        </w:rPr>
        <w:t xml:space="preserve">. La fecha en que fue notificada la respuesta al solicitante o tuvo conocimiento del acto reclamado, o de presentación de la solicitud, en caso de falta de respuesta;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V</w:t>
      </w:r>
      <w:r w:rsidRPr="00757A73">
        <w:rPr>
          <w:rFonts w:ascii="Palatino Linotype" w:eastAsiaTheme="minorHAnsi" w:hAnsi="Palatino Linotype" w:cs="Arial"/>
          <w:i/>
          <w:sz w:val="22"/>
          <w:lang w:val="es-MX" w:eastAsia="en-US"/>
        </w:rPr>
        <w:t xml:space="preserve">. El acto que se recurre;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VI</w:t>
      </w:r>
      <w:r w:rsidRPr="00757A73">
        <w:rPr>
          <w:rFonts w:ascii="Palatino Linotype" w:eastAsiaTheme="minorHAnsi" w:hAnsi="Palatino Linotype" w:cs="Arial"/>
          <w:i/>
          <w:sz w:val="22"/>
          <w:lang w:val="es-MX" w:eastAsia="en-US"/>
        </w:rPr>
        <w:t xml:space="preserve">. Las razones o motivos de inconformidad;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VII</w:t>
      </w:r>
      <w:r w:rsidRPr="00757A73">
        <w:rPr>
          <w:rFonts w:ascii="Palatino Linotype" w:eastAsiaTheme="minorHAnsi" w:hAnsi="Palatino Linotype" w:cs="Arial"/>
          <w:i/>
          <w:sz w:val="22"/>
          <w:lang w:val="es-MX" w:eastAsia="en-US"/>
        </w:rPr>
        <w:t xml:space="preserve">. La copia de la respuesta que se impugna y, en su caso, de la notificación correspondiente, en el caso de respuesta de la solicitud; y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VIII</w:t>
      </w:r>
      <w:r w:rsidRPr="00757A73">
        <w:rPr>
          <w:rFonts w:ascii="Palatino Linotype" w:eastAsiaTheme="minorHAnsi" w:hAnsi="Palatino Linotype" w:cs="Arial"/>
          <w:i/>
          <w:sz w:val="22"/>
          <w:lang w:val="es-MX" w:eastAsia="en-US"/>
        </w:rPr>
        <w:t xml:space="preserve">. Firma del recurrente, en su caso, cuando se presente por escrito, requisito sin el cual se dará trámite al recurso.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 xml:space="preserve">Adicionalmente, se podrán anexar las pruebas y demás elementos que considere procedentes someter a juicio del Instituto.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 xml:space="preserve">En ningún caso será necesario que el particular ratifique el recurso de revisión interpuesto.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u w:val="single"/>
          <w:lang w:val="es-MX" w:eastAsia="en-US"/>
        </w:rPr>
      </w:pPr>
      <w:r w:rsidRPr="00757A73">
        <w:rPr>
          <w:rFonts w:ascii="Palatino Linotype" w:eastAsiaTheme="minorHAnsi" w:hAnsi="Palatino Linotype" w:cs="Arial"/>
          <w:i/>
          <w:sz w:val="22"/>
          <w:u w:val="single"/>
          <w:lang w:val="es-MX" w:eastAsia="en-US"/>
        </w:rPr>
        <w:t>En caso de que el recurso se interponga de manera electrónica no será indispensable que contengan los requisitos establecidos en las fracciones II, IV, VII y VIII.”</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p>
    <w:p w:rsidR="00757A73" w:rsidRPr="00757A73" w:rsidRDefault="00757A73" w:rsidP="00ED2FCD">
      <w:pPr>
        <w:autoSpaceDE w:val="0"/>
        <w:autoSpaceDN w:val="0"/>
        <w:adjustRightInd w:val="0"/>
        <w:ind w:left="567" w:right="567"/>
        <w:jc w:val="right"/>
        <w:rPr>
          <w:rFonts w:ascii="Palatino Linotype" w:eastAsiaTheme="minorHAnsi" w:hAnsi="Palatino Linotype" w:cs="Arial"/>
          <w:sz w:val="22"/>
          <w:lang w:val="es-MX" w:eastAsia="en-US"/>
        </w:rPr>
      </w:pPr>
      <w:r w:rsidRPr="00757A73">
        <w:rPr>
          <w:rFonts w:ascii="Palatino Linotype" w:eastAsiaTheme="minorHAnsi" w:hAnsi="Palatino Linotype" w:cs="Arial"/>
          <w:sz w:val="22"/>
          <w:lang w:val="es-MX" w:eastAsia="en-US"/>
        </w:rPr>
        <w:t>(Énfasis añadido)</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757A73">
        <w:rPr>
          <w:rFonts w:ascii="Palatino Linotype" w:eastAsiaTheme="minorHAnsi" w:hAnsi="Palatino Linotype" w:cs="Arial"/>
          <w:b/>
          <w:lang w:val="es-MX" w:eastAsia="en-US"/>
        </w:rPr>
        <w:t>Recurrente</w:t>
      </w:r>
      <w:r w:rsidRPr="00757A73">
        <w:rPr>
          <w:rFonts w:ascii="Palatino Linotype" w:eastAsiaTheme="minorHAnsi" w:hAnsi="Palatino Linotype" w:cs="Arial"/>
          <w:lang w:val="es-MX" w:eastAsia="en-US"/>
        </w:rPr>
        <w:t xml:space="preserve">, </w:t>
      </w:r>
      <w:r w:rsidRPr="00757A73">
        <w:rPr>
          <w:rFonts w:ascii="Palatino Linotype" w:eastAsiaTheme="minorHAnsi" w:hAnsi="Palatino Linotype" w:cs="Arial"/>
          <w:lang w:val="es-MX" w:eastAsia="en-US"/>
        </w:rPr>
        <w:lastRenderedPageBreak/>
        <w:t>en ejercicio de su derecho de acceso a la información pública, señalo como nombre o seudónimo para que sea identificado el de “</w:t>
      </w:r>
      <w:proofErr w:type="spellStart"/>
      <w:r w:rsidR="0055074D">
        <w:rPr>
          <w:rFonts w:ascii="Palatino Linotype" w:eastAsiaTheme="minorHAnsi" w:hAnsi="Palatino Linotype" w:cs="Arial"/>
          <w:lang w:val="es-MX" w:eastAsia="en-US"/>
        </w:rPr>
        <w:t>xxxxxxxxxxxxxxxxxxxxxxxxxxx</w:t>
      </w:r>
      <w:proofErr w:type="spellEnd"/>
      <w:r w:rsidRPr="00757A73">
        <w:rPr>
          <w:rFonts w:ascii="Palatino Linotype" w:eastAsiaTheme="minorHAnsi" w:hAnsi="Palatino Linotype" w:cs="Arial"/>
          <w:lang w:val="es-MX" w:eastAsia="en-US"/>
        </w:rPr>
        <w:t xml:space="preserve"> </w:t>
      </w:r>
      <w:r w:rsidR="0055074D">
        <w:rPr>
          <w:rFonts w:ascii="Palatino Linotype" w:eastAsiaTheme="minorHAnsi" w:hAnsi="Palatino Linotype" w:cs="Arial"/>
          <w:lang w:val="es-MX" w:eastAsia="en-US"/>
        </w:rPr>
        <w:t>xxxxxxxxxxxxxxxx</w:t>
      </w:r>
      <w:bookmarkStart w:id="0" w:name="_GoBack"/>
      <w:bookmarkEnd w:id="0"/>
      <w:r w:rsidRPr="00757A73">
        <w:rPr>
          <w:rFonts w:ascii="Palatino Linotype" w:eastAsiaTheme="minorHAnsi" w:hAnsi="Palatino Linotype" w:cs="Arial"/>
          <w:lang w:val="es-MX" w:eastAsia="en-US"/>
        </w:rPr>
        <w:t>”, por lo que no tiene certeza sobre su identidad, lo que en estricto sentido, no se colmarían los requisitos establecidos en el citado artículo 180 de la Ley de Transparencia.</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757A73">
        <w:rPr>
          <w:rFonts w:ascii="Palatino Linotype" w:eastAsiaTheme="minorHAnsi" w:hAnsi="Palatino Linotype" w:cs="Arial"/>
          <w:i/>
          <w:lang w:val="es-MX" w:eastAsia="en-US"/>
        </w:rPr>
        <w:t>sine qua non</w:t>
      </w:r>
      <w:r w:rsidRPr="00757A73">
        <w:rPr>
          <w:rFonts w:ascii="Palatino Linotype" w:eastAsiaTheme="minorHAnsi" w:hAnsi="Palatino Linotype" w:cs="Arial"/>
          <w:lang w:val="es-MX" w:eastAsia="en-U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D2FCD" w:rsidRPr="00757A73" w:rsidRDefault="00ED2FCD"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ED2FCD">
      <w:pPr>
        <w:autoSpaceDE w:val="0"/>
        <w:autoSpaceDN w:val="0"/>
        <w:adjustRightInd w:val="0"/>
        <w:jc w:val="center"/>
        <w:rPr>
          <w:rFonts w:ascii="Palatino Linotype" w:eastAsiaTheme="minorHAnsi" w:hAnsi="Palatino Linotype" w:cs="Arial"/>
          <w:b/>
          <w:i/>
          <w:sz w:val="22"/>
          <w:szCs w:val="22"/>
          <w:lang w:val="es-MX" w:eastAsia="en-US"/>
        </w:rPr>
      </w:pPr>
      <w:r w:rsidRPr="00757A73">
        <w:rPr>
          <w:rFonts w:ascii="Palatino Linotype" w:eastAsiaTheme="minorHAnsi" w:hAnsi="Palatino Linotype" w:cs="Arial"/>
          <w:b/>
          <w:i/>
          <w:sz w:val="22"/>
          <w:szCs w:val="22"/>
          <w:lang w:val="es-MX" w:eastAsia="en-US"/>
        </w:rPr>
        <w:t>Constitución Política de los Estados Unidos Mexicanos</w:t>
      </w:r>
    </w:p>
    <w:p w:rsidR="00757A73" w:rsidRPr="00757A73" w:rsidRDefault="00757A73" w:rsidP="00ED2FCD">
      <w:pPr>
        <w:autoSpaceDE w:val="0"/>
        <w:autoSpaceDN w:val="0"/>
        <w:adjustRightInd w:val="0"/>
        <w:jc w:val="both"/>
        <w:rPr>
          <w:rFonts w:ascii="Palatino Linotype" w:eastAsiaTheme="minorHAnsi" w:hAnsi="Palatino Linotype" w:cs="Arial"/>
          <w:sz w:val="22"/>
          <w:szCs w:val="22"/>
          <w:lang w:val="es-MX" w:eastAsia="en-US"/>
        </w:rPr>
      </w:pP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szCs w:val="22"/>
          <w:lang w:val="es-MX" w:eastAsia="en-US"/>
        </w:rPr>
      </w:pPr>
      <w:r w:rsidRPr="00757A73">
        <w:rPr>
          <w:rFonts w:ascii="Palatino Linotype" w:eastAsiaTheme="minorHAnsi" w:hAnsi="Palatino Linotype" w:cs="Arial"/>
          <w:i/>
          <w:sz w:val="22"/>
          <w:szCs w:val="22"/>
          <w:lang w:val="es-MX" w:eastAsia="en-US"/>
        </w:rPr>
        <w:lastRenderedPageBreak/>
        <w:t>“</w:t>
      </w:r>
      <w:r w:rsidRPr="00757A73">
        <w:rPr>
          <w:rFonts w:ascii="Palatino Linotype" w:eastAsiaTheme="minorHAnsi" w:hAnsi="Palatino Linotype" w:cs="Arial"/>
          <w:b/>
          <w:i/>
          <w:sz w:val="22"/>
          <w:szCs w:val="22"/>
          <w:lang w:val="es-MX" w:eastAsia="en-US"/>
        </w:rPr>
        <w:t>Artículo 6o</w:t>
      </w:r>
      <w:r w:rsidRPr="00757A73">
        <w:rPr>
          <w:rFonts w:ascii="Palatino Linotype" w:eastAsiaTheme="minorHAnsi" w:hAnsi="Palatino Linotype" w:cs="Arial"/>
          <w:i/>
          <w:sz w:val="22"/>
          <w:szCs w:val="22"/>
          <w:lang w:val="es-MX" w:eastAsia="en-U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Toda persona tiene derecho al libre acceso a información plural y oportuna, así como a buscar, recibir y difundir información e ideas de toda índole por cualquier medio de expresión.</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Para efectos de lo dispuesto en el presente artículo se observará lo siguiente:</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A</w:t>
      </w:r>
      <w:r w:rsidRPr="00757A73">
        <w:rPr>
          <w:rFonts w:ascii="Palatino Linotype" w:eastAsiaTheme="minorHAnsi" w:hAnsi="Palatino Linotype" w:cs="Arial"/>
          <w:i/>
          <w:sz w:val="22"/>
          <w:lang w:val="es-MX" w:eastAsia="en-US"/>
        </w:rPr>
        <w:t>. Para el ejercicio del derecho de acceso a la información, la Federación, los Estados y el Distrito Federal, en el ámbito de sus respectivas competencias, se regirán por los siguientes principios y bases:</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I</w:t>
      </w:r>
      <w:r w:rsidRPr="00757A73">
        <w:rPr>
          <w:rFonts w:ascii="Palatino Linotype" w:eastAsiaTheme="minorHAnsi" w:hAnsi="Palatino Linotype" w:cs="Arial"/>
          <w:i/>
          <w:sz w:val="22"/>
          <w:lang w:val="es-MX" w:eastAsia="en-US"/>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III.</w:t>
      </w:r>
      <w:r w:rsidRPr="00757A73">
        <w:rPr>
          <w:rFonts w:ascii="Palatino Linotype" w:eastAsiaTheme="minorHAnsi" w:hAnsi="Palatino Linotype" w:cs="Arial"/>
          <w:i/>
          <w:sz w:val="22"/>
          <w:lang w:val="es-MX" w:eastAsia="en-US"/>
        </w:rPr>
        <w:t xml:space="preserve"> Toda persona, sin necesidad de acreditar interés alguno o justificar su utilización, tendrá acceso gratuito a la información pública, a sus datos personales o a la rectificación de éstos.</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V</w:t>
      </w:r>
      <w:r w:rsidRPr="00757A73">
        <w:rPr>
          <w:rFonts w:ascii="Palatino Linotype" w:eastAsiaTheme="minorHAnsi" w:hAnsi="Palatino Linotype" w:cs="Arial"/>
          <w:i/>
          <w:sz w:val="22"/>
          <w:lang w:val="es-MX" w:eastAsia="en-US"/>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VI.</w:t>
      </w:r>
      <w:r w:rsidRPr="00757A73">
        <w:rPr>
          <w:rFonts w:ascii="Palatino Linotype" w:eastAsiaTheme="minorHAnsi" w:hAnsi="Palatino Linotype" w:cs="Arial"/>
          <w:i/>
          <w:sz w:val="22"/>
          <w:lang w:val="es-MX" w:eastAsia="en-US"/>
        </w:rPr>
        <w:t xml:space="preserve"> Las leyes determinarán la manera en que los sujetos obligados deberán hacer pública la información relativa a los recursos públicos que entreguen a personas físicas o morales.”</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La ley establecerá aquella información que se considere reservada o confidencial.</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p>
    <w:p w:rsidR="00757A73" w:rsidRPr="00757A73" w:rsidRDefault="00757A73" w:rsidP="00ED2FCD">
      <w:pPr>
        <w:autoSpaceDE w:val="0"/>
        <w:autoSpaceDN w:val="0"/>
        <w:adjustRightInd w:val="0"/>
        <w:ind w:left="567" w:right="567"/>
        <w:jc w:val="center"/>
        <w:rPr>
          <w:rFonts w:ascii="Palatino Linotype" w:eastAsiaTheme="minorHAnsi" w:hAnsi="Palatino Linotype" w:cs="Arial"/>
          <w:b/>
          <w:i/>
          <w:sz w:val="22"/>
          <w:lang w:val="es-MX" w:eastAsia="en-US"/>
        </w:rPr>
      </w:pPr>
      <w:r w:rsidRPr="00757A73">
        <w:rPr>
          <w:rFonts w:ascii="Palatino Linotype" w:eastAsiaTheme="minorHAnsi" w:hAnsi="Palatino Linotype" w:cs="Arial"/>
          <w:b/>
          <w:i/>
          <w:sz w:val="22"/>
          <w:lang w:val="es-MX" w:eastAsia="en-US"/>
        </w:rPr>
        <w:t>Constitución Política del Estado Libre y Soberano de México</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w:t>
      </w:r>
      <w:r w:rsidRPr="00757A73">
        <w:rPr>
          <w:rFonts w:ascii="Palatino Linotype" w:eastAsiaTheme="minorHAnsi" w:hAnsi="Palatino Linotype" w:cs="Arial"/>
          <w:b/>
          <w:i/>
          <w:sz w:val="22"/>
          <w:lang w:val="es-MX" w:eastAsia="en-US"/>
        </w:rPr>
        <w:t>Artículo 5</w:t>
      </w:r>
      <w:r w:rsidRPr="00757A73">
        <w:rPr>
          <w:rFonts w:ascii="Palatino Linotype" w:eastAsiaTheme="minorHAnsi" w:hAnsi="Palatino Linotype" w:cs="Arial"/>
          <w:i/>
          <w:sz w:val="22"/>
          <w:lang w:val="es-MX" w:eastAsia="en-US"/>
        </w:rPr>
        <w:t xml:space="preserve">. … </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lastRenderedPageBreak/>
        <w:t>…</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El derecho a la información será garantizado por el Estado. La ley establecerá las previsiones que permitan asegurar la protección, el respeto y la difusión de este derecho.</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Este derecho se regirá por los principios y bases siguientes:</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I</w:t>
      </w:r>
      <w:r w:rsidRPr="00757A73">
        <w:rPr>
          <w:rFonts w:ascii="Palatino Linotype" w:eastAsiaTheme="minorHAnsi" w:hAnsi="Palatino Linotype" w:cs="Arial"/>
          <w:i/>
          <w:sz w:val="22"/>
          <w:lang w:val="es-MX" w:eastAsia="en-US"/>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b/>
          <w:i/>
          <w:sz w:val="22"/>
          <w:lang w:val="es-MX" w:eastAsia="en-US"/>
        </w:rPr>
        <w:t>III</w:t>
      </w:r>
      <w:r w:rsidRPr="00757A73">
        <w:rPr>
          <w:rFonts w:ascii="Palatino Linotype" w:eastAsiaTheme="minorHAnsi" w:hAnsi="Palatino Linotype" w:cs="Arial"/>
          <w:i/>
          <w:sz w:val="22"/>
          <w:lang w:val="es-MX" w:eastAsia="en-US"/>
        </w:rPr>
        <w:t>. Toda persona, sin necesidad de acreditar interés alguno o justificar su utilización, tendrá acceso gratuito a la información pública, a sus datos personales o a la rectificación de éstos.”</w:t>
      </w:r>
    </w:p>
    <w:p w:rsidR="00757A73" w:rsidRPr="00757A73" w:rsidRDefault="00757A73" w:rsidP="00ED2FCD">
      <w:pPr>
        <w:autoSpaceDE w:val="0"/>
        <w:autoSpaceDN w:val="0"/>
        <w:adjustRightInd w:val="0"/>
        <w:ind w:left="567" w:right="567"/>
        <w:jc w:val="right"/>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(Énfasis añadido)</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Por otra parte, del contenido del artículo 1 de la Constitución Política de los Estados Unidos Mexicanos, se destaca lo siguiente:</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w:t>
      </w:r>
      <w:r w:rsidRPr="00757A73">
        <w:rPr>
          <w:rFonts w:ascii="Palatino Linotype" w:eastAsiaTheme="minorHAnsi" w:hAnsi="Palatino Linotype" w:cs="Arial"/>
          <w:b/>
          <w:i/>
          <w:sz w:val="22"/>
          <w:lang w:val="es-MX" w:eastAsia="en-US"/>
        </w:rPr>
        <w:t>Artículo 1o.</w:t>
      </w:r>
      <w:r w:rsidRPr="00757A73">
        <w:rPr>
          <w:rFonts w:ascii="Palatino Linotype" w:eastAsiaTheme="minorHAnsi" w:hAnsi="Palatino Linotype" w:cs="Arial"/>
          <w:i/>
          <w:sz w:val="22"/>
          <w:lang w:val="es-MX" w:eastAsia="en-U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Las normas relativas a los derechos humanos se interpretarán de conformidad con esta Constitución y con los tratados internacionales de la materia favoreciendo en todo tiempo a las personas la protección más amplia.</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F6DB9" w:rsidRDefault="007F6DB9"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2"/>
          <w:lang w:val="es-MX" w:eastAsia="en-US"/>
        </w:rPr>
      </w:pPr>
      <w:r w:rsidRPr="00757A73">
        <w:rPr>
          <w:rFonts w:ascii="Palatino Linotype" w:eastAsiaTheme="minorHAnsi" w:hAnsi="Palatino Linotype" w:cs="Arial"/>
          <w:i/>
          <w:sz w:val="22"/>
          <w:lang w:val="es-MX" w:eastAsia="en-US"/>
        </w:rPr>
        <w:t>“</w:t>
      </w:r>
      <w:r w:rsidRPr="00757A73">
        <w:rPr>
          <w:rFonts w:ascii="Palatino Linotype" w:eastAsiaTheme="minorHAnsi" w:hAnsi="Palatino Linotype" w:cs="Arial"/>
          <w:b/>
          <w:i/>
          <w:sz w:val="22"/>
          <w:lang w:val="es-MX" w:eastAsia="en-US"/>
        </w:rPr>
        <w:t>Acceso a información gubernamental. No debe condicionarse a que el solicitante acredite su personalidad, demuestre interés alguno o justifique su utilización.</w:t>
      </w:r>
      <w:r w:rsidRPr="00757A73">
        <w:rPr>
          <w:rFonts w:ascii="Palatino Linotype" w:eastAsiaTheme="minorHAnsi" w:hAnsi="Palatino Linotype" w:cs="Arial"/>
          <w:i/>
          <w:sz w:val="22"/>
          <w:lang w:val="es-MX" w:eastAsia="en-U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0"/>
          <w:lang w:val="es-MX" w:eastAsia="en-US"/>
        </w:rPr>
      </w:pPr>
      <w:r w:rsidRPr="00757A73">
        <w:rPr>
          <w:rFonts w:ascii="Palatino Linotype" w:eastAsiaTheme="minorHAnsi" w:hAnsi="Palatino Linotype" w:cs="Arial"/>
          <w:i/>
          <w:sz w:val="20"/>
          <w:lang w:val="es-MX" w:eastAsia="en-US"/>
        </w:rPr>
        <w:lastRenderedPageBreak/>
        <w:t>Resoluciones</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0"/>
          <w:lang w:val="es-MX" w:eastAsia="en-US"/>
        </w:rPr>
      </w:pPr>
      <w:r w:rsidRPr="00757A73">
        <w:rPr>
          <w:rFonts w:ascii="Palatino Linotype" w:eastAsiaTheme="minorHAnsi" w:hAnsi="Palatino Linotype" w:cs="Arial"/>
          <w:i/>
          <w:sz w:val="20"/>
          <w:lang w:val="es-MX" w:eastAsia="en-US"/>
        </w:rPr>
        <w:t>• RDA 5275/13. Interpuesto en contra de la Secretaría de la Defensa Nacional. Comisionado Ponente Ángel Trinidad Zaldívar.</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0"/>
          <w:lang w:val="es-MX" w:eastAsia="en-US"/>
        </w:rPr>
      </w:pPr>
      <w:r w:rsidRPr="00757A73">
        <w:rPr>
          <w:rFonts w:ascii="Palatino Linotype" w:eastAsiaTheme="minorHAnsi" w:hAnsi="Palatino Linotype" w:cs="Arial"/>
          <w:i/>
          <w:sz w:val="20"/>
          <w:lang w:val="es-MX" w:eastAsia="en-US"/>
        </w:rPr>
        <w:t xml:space="preserve">• RDA 2937/13. Interpuesto en contra de LICONSA, S.A. de C.V. Comisionado. Ponente Gerardo </w:t>
      </w:r>
      <w:proofErr w:type="spellStart"/>
      <w:r w:rsidRPr="00757A73">
        <w:rPr>
          <w:rFonts w:ascii="Palatino Linotype" w:eastAsiaTheme="minorHAnsi" w:hAnsi="Palatino Linotype" w:cs="Arial"/>
          <w:i/>
          <w:sz w:val="20"/>
          <w:lang w:val="es-MX" w:eastAsia="en-US"/>
        </w:rPr>
        <w:t>Laveaga</w:t>
      </w:r>
      <w:proofErr w:type="spellEnd"/>
      <w:r w:rsidRPr="00757A73">
        <w:rPr>
          <w:rFonts w:ascii="Palatino Linotype" w:eastAsiaTheme="minorHAnsi" w:hAnsi="Palatino Linotype" w:cs="Arial"/>
          <w:i/>
          <w:sz w:val="20"/>
          <w:lang w:val="es-MX" w:eastAsia="en-US"/>
        </w:rPr>
        <w:t xml:space="preserve"> Rendón.</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0"/>
          <w:lang w:val="es-MX" w:eastAsia="en-US"/>
        </w:rPr>
      </w:pPr>
      <w:r w:rsidRPr="00757A73">
        <w:rPr>
          <w:rFonts w:ascii="Palatino Linotype" w:eastAsiaTheme="minorHAnsi" w:hAnsi="Palatino Linotype" w:cs="Arial"/>
          <w:i/>
          <w:sz w:val="20"/>
          <w:lang w:val="es-MX" w:eastAsia="en-US"/>
        </w:rPr>
        <w:t xml:space="preserve">• RDA 3609/12. Interpuesto en contra de la Secretaría de Educación Pública. Comisionada Ponente Sigrid </w:t>
      </w:r>
      <w:proofErr w:type="spellStart"/>
      <w:r w:rsidRPr="00757A73">
        <w:rPr>
          <w:rFonts w:ascii="Palatino Linotype" w:eastAsiaTheme="minorHAnsi" w:hAnsi="Palatino Linotype" w:cs="Arial"/>
          <w:i/>
          <w:sz w:val="20"/>
          <w:lang w:val="es-MX" w:eastAsia="en-US"/>
        </w:rPr>
        <w:t>Arzt</w:t>
      </w:r>
      <w:proofErr w:type="spellEnd"/>
      <w:r w:rsidRPr="00757A73">
        <w:rPr>
          <w:rFonts w:ascii="Palatino Linotype" w:eastAsiaTheme="minorHAnsi" w:hAnsi="Palatino Linotype" w:cs="Arial"/>
          <w:i/>
          <w:sz w:val="20"/>
          <w:lang w:val="es-MX" w:eastAsia="en-US"/>
        </w:rPr>
        <w:t xml:space="preserve"> Colunga.</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0"/>
          <w:lang w:val="es-MX" w:eastAsia="en-US"/>
        </w:rPr>
      </w:pPr>
      <w:r w:rsidRPr="00757A73">
        <w:rPr>
          <w:rFonts w:ascii="Palatino Linotype" w:eastAsiaTheme="minorHAnsi" w:hAnsi="Palatino Linotype" w:cs="Arial"/>
          <w:i/>
          <w:sz w:val="20"/>
          <w:lang w:val="es-MX" w:eastAsia="en-US"/>
        </w:rPr>
        <w:t>• RDA 3361/12. Interpuesto en contra del Servicio de Administración Tributaria. Comisionada Ponente María Elena Pérez-Jaén Zermeño.</w:t>
      </w:r>
    </w:p>
    <w:p w:rsidR="00757A73" w:rsidRPr="00757A73" w:rsidRDefault="00757A73" w:rsidP="00ED2FCD">
      <w:pPr>
        <w:autoSpaceDE w:val="0"/>
        <w:autoSpaceDN w:val="0"/>
        <w:adjustRightInd w:val="0"/>
        <w:ind w:left="567" w:right="567"/>
        <w:jc w:val="both"/>
        <w:rPr>
          <w:rFonts w:ascii="Palatino Linotype" w:eastAsiaTheme="minorHAnsi" w:hAnsi="Palatino Linotype" w:cs="Arial"/>
          <w:i/>
          <w:sz w:val="20"/>
          <w:lang w:val="es-MX" w:eastAsia="en-US"/>
        </w:rPr>
      </w:pPr>
      <w:r w:rsidRPr="00757A73">
        <w:rPr>
          <w:rFonts w:ascii="Palatino Linotype" w:eastAsiaTheme="minorHAnsi" w:hAnsi="Palatino Linotype" w:cs="Arial"/>
          <w:i/>
          <w:sz w:val="20"/>
          <w:lang w:val="es-MX" w:eastAsia="en-US"/>
        </w:rPr>
        <w:t xml:space="preserve">• RDA 0563/12. Interpuesto en contra de la Secretaría de la Función Pública. Comisionada Ponente Jacqueline </w:t>
      </w:r>
      <w:proofErr w:type="spellStart"/>
      <w:r w:rsidRPr="00757A73">
        <w:rPr>
          <w:rFonts w:ascii="Palatino Linotype" w:eastAsiaTheme="minorHAnsi" w:hAnsi="Palatino Linotype" w:cs="Arial"/>
          <w:i/>
          <w:sz w:val="20"/>
          <w:lang w:val="es-MX" w:eastAsia="en-US"/>
        </w:rPr>
        <w:t>Peschard</w:t>
      </w:r>
      <w:proofErr w:type="spellEnd"/>
      <w:r w:rsidRPr="00757A73">
        <w:rPr>
          <w:rFonts w:ascii="Palatino Linotype" w:eastAsiaTheme="minorHAnsi" w:hAnsi="Palatino Linotype" w:cs="Arial"/>
          <w:i/>
          <w:sz w:val="20"/>
          <w:lang w:val="es-MX" w:eastAsia="en-US"/>
        </w:rPr>
        <w:t xml:space="preserve"> Mariscal.”</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 xml:space="preserve">En consecuencia, dado lo expuesto y fundado con anterioridad, se estima que el requisito relativo al nombre del recurrente no constituye un presupuesto indispensable </w:t>
      </w:r>
      <w:r w:rsidRPr="00757A73">
        <w:rPr>
          <w:rFonts w:ascii="Palatino Linotype" w:eastAsiaTheme="minorHAnsi" w:hAnsi="Palatino Linotype" w:cs="Arial"/>
          <w:lang w:val="es-MX" w:eastAsia="en-US"/>
        </w:rPr>
        <w:lastRenderedPageBreak/>
        <w:t>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p>
    <w:p w:rsidR="00757A73" w:rsidRPr="00757A73" w:rsidRDefault="00757A73" w:rsidP="00757A73">
      <w:pPr>
        <w:autoSpaceDE w:val="0"/>
        <w:autoSpaceDN w:val="0"/>
        <w:adjustRightInd w:val="0"/>
        <w:spacing w:line="360" w:lineRule="auto"/>
        <w:jc w:val="both"/>
        <w:rPr>
          <w:rFonts w:ascii="Palatino Linotype" w:eastAsiaTheme="minorHAnsi" w:hAnsi="Palatino Linotype" w:cs="Arial"/>
          <w:lang w:val="es-MX" w:eastAsia="en-US"/>
        </w:rPr>
      </w:pPr>
      <w:r w:rsidRPr="00757A73">
        <w:rPr>
          <w:rFonts w:ascii="Palatino Linotype" w:eastAsiaTheme="minorHAnsi" w:hAnsi="Palatino Linotype" w:cs="Arial"/>
          <w:lang w:val="es-MX" w:eastAsia="en-US"/>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757A73" w:rsidRPr="00757A73" w:rsidRDefault="00757A73" w:rsidP="006049FF">
      <w:pPr>
        <w:spacing w:line="360" w:lineRule="auto"/>
        <w:ind w:right="49"/>
        <w:jc w:val="both"/>
        <w:rPr>
          <w:rFonts w:ascii="Palatino Linotype" w:hAnsi="Palatino Linotype" w:cs="Arial"/>
          <w:lang w:val="es-MX"/>
        </w:rPr>
      </w:pPr>
    </w:p>
    <w:p w:rsidR="006049FF" w:rsidRPr="00FB3150" w:rsidRDefault="006049FF" w:rsidP="006049FF">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6049FF" w:rsidRDefault="006049FF" w:rsidP="006049FF">
      <w:pPr>
        <w:spacing w:line="360" w:lineRule="auto"/>
        <w:ind w:right="49"/>
        <w:jc w:val="both"/>
        <w:rPr>
          <w:rFonts w:ascii="Palatino Linotype" w:hAnsi="Palatino Linotype" w:cs="Arial"/>
        </w:rPr>
      </w:pPr>
      <w:r w:rsidRPr="0024200F">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24200F">
        <w:rPr>
          <w:rFonts w:ascii="Palatino Linotype" w:hAnsi="Palatino Linotype" w:cs="Arial"/>
        </w:rPr>
        <w:lastRenderedPageBreak/>
        <w:t>asunto; las circunstancias anteriores que no son incompatibles con el derecho de acceso 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rsidR="00ED1B43" w:rsidRDefault="00ED1B43" w:rsidP="006049FF">
      <w:pPr>
        <w:spacing w:line="360" w:lineRule="auto"/>
        <w:ind w:right="49"/>
        <w:jc w:val="both"/>
        <w:rPr>
          <w:rFonts w:ascii="Palatino Linotype" w:hAnsi="Palatino Linotype" w:cs="Arial"/>
        </w:rPr>
      </w:pPr>
    </w:p>
    <w:p w:rsidR="006049FF" w:rsidRDefault="006049FF" w:rsidP="006049FF">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B276A9" w:rsidRDefault="00B276A9" w:rsidP="006049FF">
      <w:pPr>
        <w:pStyle w:val="Prrafodelista"/>
        <w:autoSpaceDE w:val="0"/>
        <w:autoSpaceDN w:val="0"/>
        <w:adjustRightInd w:val="0"/>
        <w:spacing w:line="360" w:lineRule="auto"/>
        <w:ind w:left="0"/>
        <w:jc w:val="both"/>
        <w:rPr>
          <w:rFonts w:ascii="Palatino Linotype" w:hAnsi="Palatino Linotype" w:cs="Arial"/>
        </w:rPr>
      </w:pPr>
    </w:p>
    <w:p w:rsidR="006049FF" w:rsidRPr="00FB3150" w:rsidRDefault="006049FF" w:rsidP="006049FF">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6049FF" w:rsidRPr="0024200F" w:rsidRDefault="006049FF" w:rsidP="006049FF">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para así estar en </w:t>
      </w:r>
      <w:r w:rsidRPr="0024200F">
        <w:rPr>
          <w:rFonts w:ascii="Palatino Linotype" w:hAnsi="Palatino Linotype" w:cs="Arial"/>
        </w:rPr>
        <w:lastRenderedPageBreak/>
        <w:t>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rsidR="006049FF" w:rsidRDefault="006049FF" w:rsidP="006049FF">
      <w:pPr>
        <w:pStyle w:val="Prrafodelista"/>
        <w:autoSpaceDE w:val="0"/>
        <w:autoSpaceDN w:val="0"/>
        <w:adjustRightInd w:val="0"/>
        <w:spacing w:line="360" w:lineRule="auto"/>
        <w:ind w:left="0"/>
        <w:jc w:val="both"/>
        <w:rPr>
          <w:rFonts w:ascii="Palatino Linotype" w:hAnsi="Palatino Linotype" w:cs="Arial"/>
        </w:rPr>
      </w:pPr>
    </w:p>
    <w:p w:rsidR="006049FF" w:rsidRDefault="006049FF" w:rsidP="006049F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esa virtud, del estudio y análisis de la solicitud de información, el </w:t>
      </w:r>
      <w:r>
        <w:rPr>
          <w:rFonts w:ascii="Palatino Linotype" w:hAnsi="Palatino Linotype"/>
          <w:b/>
        </w:rPr>
        <w:t>Recurrente</w:t>
      </w:r>
      <w:r>
        <w:rPr>
          <w:rFonts w:ascii="Palatino Linotype" w:hAnsi="Palatino Linotype"/>
        </w:rPr>
        <w:t xml:space="preserve"> peticiona </w:t>
      </w:r>
      <w:r w:rsidR="00937461">
        <w:rPr>
          <w:rFonts w:ascii="Palatino Linotype" w:hAnsi="Palatino Linotype"/>
        </w:rPr>
        <w:t xml:space="preserve">que derivado de la pandemia mundial generada por la enfermedad Covid-19, </w:t>
      </w:r>
      <w:r>
        <w:rPr>
          <w:rFonts w:ascii="Palatino Linotype" w:hAnsi="Palatino Linotype"/>
        </w:rPr>
        <w:t xml:space="preserve">le sea entregado </w:t>
      </w:r>
      <w:r w:rsidR="00937461">
        <w:rPr>
          <w:rFonts w:ascii="Palatino Linotype" w:hAnsi="Palatino Linotype"/>
        </w:rPr>
        <w:t xml:space="preserve">el soporte documental donde conste </w:t>
      </w:r>
      <w:r>
        <w:rPr>
          <w:rFonts w:ascii="Palatino Linotype" w:hAnsi="Palatino Linotype"/>
        </w:rPr>
        <w:t>lo siguiente:</w:t>
      </w:r>
    </w:p>
    <w:p w:rsidR="00937461" w:rsidRDefault="00937461" w:rsidP="006049FF">
      <w:pPr>
        <w:pStyle w:val="Prrafodelista"/>
        <w:widowControl w:val="0"/>
        <w:autoSpaceDE w:val="0"/>
        <w:autoSpaceDN w:val="0"/>
        <w:adjustRightInd w:val="0"/>
        <w:spacing w:line="360" w:lineRule="auto"/>
        <w:ind w:left="0"/>
        <w:jc w:val="both"/>
        <w:rPr>
          <w:rFonts w:ascii="Palatino Linotype" w:hAnsi="Palatino Linotype"/>
        </w:rPr>
      </w:pPr>
    </w:p>
    <w:p w:rsidR="00937461" w:rsidRDefault="00837A16" w:rsidP="00837A16">
      <w:pPr>
        <w:pStyle w:val="Prrafodelista"/>
        <w:widowControl w:val="0"/>
        <w:numPr>
          <w:ilvl w:val="0"/>
          <w:numId w:val="6"/>
        </w:numPr>
        <w:autoSpaceDE w:val="0"/>
        <w:autoSpaceDN w:val="0"/>
        <w:adjustRightInd w:val="0"/>
        <w:spacing w:line="360" w:lineRule="auto"/>
        <w:jc w:val="both"/>
        <w:rPr>
          <w:rFonts w:ascii="Palatino Linotype" w:hAnsi="Palatino Linotype"/>
        </w:rPr>
      </w:pPr>
      <w:r w:rsidRPr="00837A16">
        <w:rPr>
          <w:rFonts w:ascii="Palatino Linotype" w:hAnsi="Palatino Linotype"/>
        </w:rPr>
        <w:t>Las dimensiones de</w:t>
      </w:r>
      <w:r w:rsidR="00937461">
        <w:rPr>
          <w:rFonts w:ascii="Palatino Linotype" w:hAnsi="Palatino Linotype"/>
        </w:rPr>
        <w:t xml:space="preserve"> </w:t>
      </w:r>
      <w:r w:rsidRPr="00837A16">
        <w:rPr>
          <w:rFonts w:ascii="Palatino Linotype" w:hAnsi="Palatino Linotype"/>
        </w:rPr>
        <w:t>l</w:t>
      </w:r>
      <w:r w:rsidR="00937461">
        <w:rPr>
          <w:rFonts w:ascii="Palatino Linotype" w:hAnsi="Palatino Linotype"/>
        </w:rPr>
        <w:t>as oficinas y del</w:t>
      </w:r>
      <w:r w:rsidRPr="00837A16">
        <w:rPr>
          <w:rFonts w:ascii="Palatino Linotype" w:hAnsi="Palatino Linotype"/>
        </w:rPr>
        <w:t xml:space="preserve"> edificio donde radica la institución e</w:t>
      </w:r>
      <w:r w:rsidR="00937461">
        <w:rPr>
          <w:rFonts w:ascii="Palatino Linotype" w:hAnsi="Palatino Linotype"/>
        </w:rPr>
        <w:t>n la Ciudad de Toluca de Lerdo;</w:t>
      </w:r>
    </w:p>
    <w:p w:rsidR="00837A16" w:rsidRDefault="00937461" w:rsidP="00837A16">
      <w:pPr>
        <w:pStyle w:val="Prrafodelista"/>
        <w:widowControl w:val="0"/>
        <w:numPr>
          <w:ilvl w:val="0"/>
          <w:numId w:val="6"/>
        </w:numPr>
        <w:autoSpaceDE w:val="0"/>
        <w:autoSpaceDN w:val="0"/>
        <w:adjustRightInd w:val="0"/>
        <w:spacing w:line="360" w:lineRule="auto"/>
        <w:jc w:val="both"/>
        <w:rPr>
          <w:rFonts w:ascii="Palatino Linotype" w:hAnsi="Palatino Linotype"/>
        </w:rPr>
      </w:pPr>
      <w:r>
        <w:rPr>
          <w:rFonts w:ascii="Palatino Linotype" w:hAnsi="Palatino Linotype"/>
        </w:rPr>
        <w:t xml:space="preserve">Número de </w:t>
      </w:r>
      <w:r w:rsidR="00837A16">
        <w:rPr>
          <w:rFonts w:ascii="Palatino Linotype" w:hAnsi="Palatino Linotype"/>
        </w:rPr>
        <w:t xml:space="preserve">personas </w:t>
      </w:r>
      <w:r>
        <w:rPr>
          <w:rFonts w:ascii="Palatino Linotype" w:hAnsi="Palatino Linotype"/>
        </w:rPr>
        <w:t>que las ocupan</w:t>
      </w:r>
      <w:r w:rsidR="00837A16">
        <w:rPr>
          <w:rFonts w:ascii="Palatino Linotype" w:hAnsi="Palatino Linotype"/>
        </w:rPr>
        <w:t xml:space="preserve">; </w:t>
      </w:r>
      <w:r w:rsidR="00837A16" w:rsidRPr="00837A16">
        <w:rPr>
          <w:rFonts w:ascii="Palatino Linotype" w:hAnsi="Palatino Linotype"/>
        </w:rPr>
        <w:t>y</w:t>
      </w:r>
    </w:p>
    <w:p w:rsidR="006049FF" w:rsidRDefault="00837A16" w:rsidP="00837A16">
      <w:pPr>
        <w:pStyle w:val="Prrafodelista"/>
        <w:widowControl w:val="0"/>
        <w:numPr>
          <w:ilvl w:val="0"/>
          <w:numId w:val="6"/>
        </w:numPr>
        <w:autoSpaceDE w:val="0"/>
        <w:autoSpaceDN w:val="0"/>
        <w:adjustRightInd w:val="0"/>
        <w:spacing w:line="360" w:lineRule="auto"/>
        <w:jc w:val="both"/>
        <w:rPr>
          <w:rFonts w:ascii="Palatino Linotype" w:hAnsi="Palatino Linotype"/>
        </w:rPr>
      </w:pPr>
      <w:r w:rsidRPr="00837A16">
        <w:rPr>
          <w:rFonts w:ascii="Palatino Linotype" w:hAnsi="Palatino Linotype"/>
        </w:rPr>
        <w:t>si en ellas se cumple la distancia de seguridad para evitar los contagios</w:t>
      </w:r>
      <w:r w:rsidR="00937461">
        <w:rPr>
          <w:rFonts w:ascii="Palatino Linotype" w:hAnsi="Palatino Linotype"/>
        </w:rPr>
        <w:t>.</w:t>
      </w:r>
    </w:p>
    <w:p w:rsidR="00837A16" w:rsidRDefault="00837A16" w:rsidP="006049FF">
      <w:pPr>
        <w:pStyle w:val="Prrafodelista"/>
        <w:widowControl w:val="0"/>
        <w:autoSpaceDE w:val="0"/>
        <w:autoSpaceDN w:val="0"/>
        <w:adjustRightInd w:val="0"/>
        <w:spacing w:line="360" w:lineRule="auto"/>
        <w:ind w:left="0"/>
        <w:jc w:val="both"/>
        <w:rPr>
          <w:rFonts w:ascii="Palatino Linotype" w:hAnsi="Palatino Linotype"/>
        </w:rPr>
      </w:pPr>
    </w:p>
    <w:p w:rsidR="006049FF" w:rsidRPr="0004629D" w:rsidRDefault="000826DF" w:rsidP="0004629D">
      <w:pPr>
        <w:spacing w:line="360" w:lineRule="auto"/>
        <w:jc w:val="both"/>
        <w:rPr>
          <w:rFonts w:ascii="Palatino Linotype" w:hAnsi="Palatino Linotype"/>
          <w:sz w:val="22"/>
          <w:lang w:val="es-MX"/>
        </w:rPr>
      </w:pPr>
      <w:r>
        <w:rPr>
          <w:rFonts w:ascii="Palatino Linotype" w:eastAsia="Calibri" w:hAnsi="Palatino Linotype"/>
          <w:lang w:val="es-ES_tradnl"/>
        </w:rPr>
        <w:t>E</w:t>
      </w:r>
      <w:r w:rsidR="006049FF" w:rsidRPr="00EB5442">
        <w:rPr>
          <w:rFonts w:ascii="Palatino Linotype" w:eastAsia="Calibri" w:hAnsi="Palatino Linotype"/>
          <w:lang w:val="es-ES_tradnl"/>
        </w:rPr>
        <w:t xml:space="preserve">l </w:t>
      </w:r>
      <w:r w:rsidR="006049FF" w:rsidRPr="00EB5442">
        <w:rPr>
          <w:rFonts w:ascii="Palatino Linotype" w:eastAsia="Calibri" w:hAnsi="Palatino Linotype"/>
          <w:b/>
          <w:lang w:val="es-ES_tradnl"/>
        </w:rPr>
        <w:t>Sujeto Obligado</w:t>
      </w:r>
      <w:r w:rsidR="006049FF" w:rsidRPr="00EB5442">
        <w:rPr>
          <w:rFonts w:ascii="Palatino Linotype" w:eastAsia="Calibri" w:hAnsi="Palatino Linotype"/>
          <w:lang w:val="es-ES_tradnl"/>
        </w:rPr>
        <w:t xml:space="preserve"> se sirvió en dar respuesta, </w:t>
      </w:r>
      <w:r>
        <w:rPr>
          <w:rFonts w:ascii="Palatino Linotype" w:eastAsia="Calibri" w:hAnsi="Palatino Linotype"/>
          <w:lang w:val="es-ES_tradnl"/>
        </w:rPr>
        <w:t xml:space="preserve">manifestando sustancialmente que la información ya se encuentra publicada en el Portal de Información Pública de Oficio Mexiquense “IPOMEX”, en el apartado de Directorio de todos los servidores públicos, </w:t>
      </w:r>
      <w:r w:rsidR="0004629D">
        <w:rPr>
          <w:rFonts w:ascii="Palatino Linotype" w:eastAsia="Calibri" w:hAnsi="Palatino Linotype"/>
          <w:lang w:val="es-ES_tradnl"/>
        </w:rPr>
        <w:t xml:space="preserve">en </w:t>
      </w:r>
      <w:r>
        <w:rPr>
          <w:rFonts w:ascii="Palatino Linotype" w:eastAsia="Calibri" w:hAnsi="Palatino Linotype"/>
          <w:lang w:val="es-ES_tradnl"/>
        </w:rPr>
        <w:t xml:space="preserve">el enlace </w:t>
      </w:r>
      <w:r w:rsidRPr="0004629D">
        <w:rPr>
          <w:rFonts w:ascii="Palatino Linotype" w:eastAsia="Calibri" w:hAnsi="Palatino Linotype"/>
          <w:lang w:val="es-ES_tradnl"/>
        </w:rPr>
        <w:t xml:space="preserve">electrónico </w:t>
      </w:r>
      <w:hyperlink r:id="rId7" w:history="1">
        <w:r w:rsidR="0004629D" w:rsidRPr="0004629D">
          <w:rPr>
            <w:rStyle w:val="Hipervnculo"/>
            <w:rFonts w:ascii="Palatino Linotype" w:hAnsi="Palatino Linotype"/>
            <w:i/>
            <w:lang w:val="es-ES_tradnl"/>
          </w:rPr>
          <w:t>https://www.ipomex.org.mx/ipo3/lgt/indice/CCAMEM.web</w:t>
        </w:r>
      </w:hyperlink>
      <w:r w:rsidR="0004629D" w:rsidRPr="0004629D">
        <w:rPr>
          <w:rFonts w:ascii="Palatino Linotype" w:hAnsi="Palatino Linotype"/>
          <w:lang w:val="es-MX"/>
        </w:rPr>
        <w:t xml:space="preserve">, así mismo que dicho Organismo se apega al Plan “Regreso Seguro” del Gobierno del Estado, disponible en </w:t>
      </w:r>
      <w:hyperlink r:id="rId8" w:history="1">
        <w:r w:rsidR="0004629D" w:rsidRPr="0004629D">
          <w:rPr>
            <w:rStyle w:val="Hipervnculo"/>
            <w:rFonts w:ascii="Palatino Linotype" w:hAnsi="Palatino Linotype"/>
            <w:i/>
            <w:lang w:val="es-MX"/>
          </w:rPr>
          <w:t>https://salud.edomex.gob.mx/salud/plan_regreso_seguro</w:t>
        </w:r>
      </w:hyperlink>
      <w:r w:rsidR="0004629D" w:rsidRPr="0004629D">
        <w:rPr>
          <w:rFonts w:ascii="Palatino Linotype" w:hAnsi="Palatino Linotype"/>
          <w:i/>
          <w:lang w:val="es-MX"/>
        </w:rPr>
        <w:t>.</w:t>
      </w:r>
      <w:r w:rsidR="0004629D">
        <w:rPr>
          <w:rFonts w:ascii="Palatino Linotype" w:hAnsi="Palatino Linotype"/>
          <w:sz w:val="22"/>
          <w:lang w:val="es-MX"/>
        </w:rPr>
        <w:t xml:space="preserve"> </w:t>
      </w:r>
    </w:p>
    <w:p w:rsidR="006049FF" w:rsidRDefault="006049FF" w:rsidP="006049FF">
      <w:pPr>
        <w:spacing w:line="360" w:lineRule="auto"/>
        <w:jc w:val="both"/>
        <w:rPr>
          <w:rFonts w:ascii="Palatino Linotype" w:hAnsi="Palatino Linotype" w:cs="Arial"/>
        </w:rPr>
      </w:pPr>
      <w:r w:rsidRPr="00D13EF1">
        <w:rPr>
          <w:rFonts w:ascii="Palatino Linotype" w:hAnsi="Palatino Linotype" w:cs="Arial"/>
        </w:rPr>
        <w:lastRenderedPageBreak/>
        <w:t>Este Órgano Garante procedió a hacer consulta de la</w:t>
      </w:r>
      <w:r w:rsidR="00656EF5">
        <w:rPr>
          <w:rFonts w:ascii="Palatino Linotype" w:hAnsi="Palatino Linotype" w:cs="Arial"/>
        </w:rPr>
        <w:t>s</w:t>
      </w:r>
      <w:r w:rsidRPr="00D13EF1">
        <w:rPr>
          <w:rFonts w:ascii="Palatino Linotype" w:hAnsi="Palatino Linotype" w:cs="Arial"/>
        </w:rPr>
        <w:t xml:space="preserve"> página</w:t>
      </w:r>
      <w:r w:rsidR="00656EF5">
        <w:rPr>
          <w:rFonts w:ascii="Palatino Linotype" w:hAnsi="Palatino Linotype" w:cs="Arial"/>
        </w:rPr>
        <w:t>s</w:t>
      </w:r>
      <w:r w:rsidRPr="00D13EF1">
        <w:rPr>
          <w:rFonts w:ascii="Palatino Linotype" w:hAnsi="Palatino Linotype" w:cs="Arial"/>
        </w:rPr>
        <w:t xml:space="preserve"> electrónica</w:t>
      </w:r>
      <w:r w:rsidR="00656EF5">
        <w:rPr>
          <w:rFonts w:ascii="Palatino Linotype" w:hAnsi="Palatino Linotype" w:cs="Arial"/>
        </w:rPr>
        <w:t>s</w:t>
      </w:r>
      <w:r w:rsidRPr="00D13EF1">
        <w:rPr>
          <w:rFonts w:ascii="Palatino Linotype" w:hAnsi="Palatino Linotype" w:cs="Arial"/>
        </w:rPr>
        <w:t xml:space="preserve"> proporcionada</w:t>
      </w:r>
      <w:r w:rsidR="00656EF5">
        <w:rPr>
          <w:rFonts w:ascii="Palatino Linotype" w:hAnsi="Palatino Linotype" w:cs="Arial"/>
        </w:rPr>
        <w:t>s</w:t>
      </w:r>
      <w:r>
        <w:rPr>
          <w:rStyle w:val="Refdenotaalpie"/>
          <w:rFonts w:ascii="Palatino Linotype" w:hAnsi="Palatino Linotype" w:cs="Arial"/>
        </w:rPr>
        <w:footnoteReference w:id="2"/>
      </w:r>
      <w:r w:rsidRPr="00D13EF1">
        <w:rPr>
          <w:rFonts w:ascii="Palatino Linotype" w:hAnsi="Palatino Linotype" w:cs="Arial"/>
        </w:rPr>
        <w:t xml:space="preserve">, consistente en la página oficial del </w:t>
      </w:r>
      <w:r w:rsidRPr="0004629D">
        <w:rPr>
          <w:rFonts w:ascii="Palatino Linotype" w:hAnsi="Palatino Linotype" w:cs="Arial"/>
          <w:b/>
        </w:rPr>
        <w:t>Sujeto Obligado</w:t>
      </w:r>
      <w:r>
        <w:rPr>
          <w:rFonts w:ascii="Palatino Linotype" w:hAnsi="Palatino Linotype" w:cs="Arial"/>
        </w:rPr>
        <w:t xml:space="preserve"> en </w:t>
      </w:r>
      <w:r w:rsidR="0004629D">
        <w:rPr>
          <w:rFonts w:ascii="Palatino Linotype" w:eastAsia="Calibri" w:hAnsi="Palatino Linotype"/>
          <w:lang w:val="es-ES_tradnl"/>
        </w:rPr>
        <w:t>el Portal de Información Pública de Oficio Mexiquense “IPOMEX”</w:t>
      </w:r>
      <w:r>
        <w:rPr>
          <w:rFonts w:ascii="Palatino Linotype" w:hAnsi="Palatino Linotype" w:cs="Arial"/>
        </w:rPr>
        <w:t xml:space="preserve">, </w:t>
      </w:r>
      <w:r w:rsidR="00656EF5">
        <w:rPr>
          <w:rFonts w:ascii="Palatino Linotype" w:hAnsi="Palatino Linotype" w:cs="Arial"/>
        </w:rPr>
        <w:t xml:space="preserve">y el Plan Regreso </w:t>
      </w:r>
      <w:proofErr w:type="spellStart"/>
      <w:r w:rsidR="00656EF5">
        <w:rPr>
          <w:rFonts w:ascii="Palatino Linotype" w:hAnsi="Palatino Linotype" w:cs="Arial"/>
        </w:rPr>
        <w:t>Sefuro</w:t>
      </w:r>
      <w:proofErr w:type="spellEnd"/>
      <w:r w:rsidR="00656EF5">
        <w:rPr>
          <w:rFonts w:ascii="Palatino Linotype" w:hAnsi="Palatino Linotype" w:cs="Arial"/>
        </w:rPr>
        <w:t xml:space="preserve">, derivado de las acciones implementadas por la Pandemia generada por </w:t>
      </w:r>
      <w:r w:rsidR="001128CB">
        <w:rPr>
          <w:rFonts w:ascii="Palatino Linotype" w:hAnsi="Palatino Linotype" w:cs="Arial"/>
        </w:rPr>
        <w:t xml:space="preserve">la pandemia del COVID-19, </w:t>
      </w:r>
      <w:r w:rsidRPr="00FB7AA6">
        <w:rPr>
          <w:rFonts w:ascii="Palatino Linotype" w:hAnsi="Palatino Linotype" w:cs="Arial"/>
        </w:rPr>
        <w:t xml:space="preserve">se insertan </w:t>
      </w:r>
      <w:r>
        <w:rPr>
          <w:rFonts w:ascii="Palatino Linotype" w:hAnsi="Palatino Linotype" w:cs="Arial"/>
        </w:rPr>
        <w:t xml:space="preserve">las siguientes </w:t>
      </w:r>
      <w:r w:rsidRPr="00FB7AA6">
        <w:rPr>
          <w:rFonts w:ascii="Palatino Linotype" w:hAnsi="Palatino Linotype" w:cs="Arial"/>
        </w:rPr>
        <w:t>esfinges</w:t>
      </w:r>
      <w:r>
        <w:rPr>
          <w:rFonts w:ascii="Palatino Linotype" w:hAnsi="Palatino Linotype" w:cs="Arial"/>
        </w:rPr>
        <w:t xml:space="preserve"> para mayor referencia</w:t>
      </w:r>
      <w:r w:rsidRPr="00FB7AA6">
        <w:rPr>
          <w:rFonts w:ascii="Palatino Linotype" w:hAnsi="Palatino Linotype" w:cs="Arial"/>
        </w:rPr>
        <w:t>:</w:t>
      </w:r>
    </w:p>
    <w:p w:rsidR="006049FF" w:rsidRDefault="006049FF" w:rsidP="006049FF">
      <w:pPr>
        <w:spacing w:line="360" w:lineRule="auto"/>
        <w:jc w:val="both"/>
        <w:rPr>
          <w:rFonts w:ascii="Palatino Linotype" w:hAnsi="Palatino Linotype" w:cs="Arial"/>
        </w:rPr>
      </w:pPr>
    </w:p>
    <w:p w:rsidR="001128CB" w:rsidRDefault="001A2B25" w:rsidP="001128CB">
      <w:pPr>
        <w:pStyle w:val="Prrafodelista"/>
        <w:numPr>
          <w:ilvl w:val="0"/>
          <w:numId w:val="7"/>
        </w:numPr>
        <w:spacing w:line="360" w:lineRule="auto"/>
        <w:jc w:val="both"/>
        <w:rPr>
          <w:rFonts w:ascii="Palatino Linotype" w:hAnsi="Palatino Linotype" w:cs="Arial"/>
        </w:rPr>
      </w:pPr>
      <w:hyperlink r:id="rId9" w:history="1">
        <w:r w:rsidR="001128CB" w:rsidRPr="00743943">
          <w:rPr>
            <w:rStyle w:val="Hipervnculo"/>
            <w:rFonts w:ascii="Palatino Linotype" w:hAnsi="Palatino Linotype" w:cs="Arial"/>
          </w:rPr>
          <w:t>https://www.ipomex.org.mx/ipo3/lgt/indice/CCAMEM.web</w:t>
        </w:r>
      </w:hyperlink>
      <w:r w:rsidR="001128CB">
        <w:rPr>
          <w:rFonts w:ascii="Palatino Linotype" w:hAnsi="Palatino Linotype" w:cs="Arial"/>
        </w:rPr>
        <w:t xml:space="preserve"> </w:t>
      </w:r>
    </w:p>
    <w:p w:rsidR="00ED1B43" w:rsidRPr="00ED1B43" w:rsidRDefault="00ED1B43" w:rsidP="00ED1B43">
      <w:pPr>
        <w:spacing w:line="360" w:lineRule="auto"/>
        <w:jc w:val="both"/>
        <w:rPr>
          <w:rFonts w:ascii="Palatino Linotype" w:hAnsi="Palatino Linotype" w:cs="Arial"/>
        </w:rPr>
      </w:pPr>
    </w:p>
    <w:p w:rsidR="006049FF" w:rsidRDefault="0004629D" w:rsidP="006049FF">
      <w:pPr>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extent cx="5791835" cy="40951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4095115"/>
                    </a:xfrm>
                    <a:prstGeom prst="rect">
                      <a:avLst/>
                    </a:prstGeom>
                  </pic:spPr>
                </pic:pic>
              </a:graphicData>
            </a:graphic>
          </wp:inline>
        </w:drawing>
      </w:r>
    </w:p>
    <w:p w:rsidR="006049FF" w:rsidRDefault="006049FF" w:rsidP="006049FF">
      <w:pPr>
        <w:spacing w:line="360" w:lineRule="auto"/>
        <w:jc w:val="both"/>
        <w:rPr>
          <w:rFonts w:ascii="Palatino Linotype" w:hAnsi="Palatino Linotype" w:cs="Arial"/>
        </w:rPr>
      </w:pPr>
    </w:p>
    <w:p w:rsidR="006049FF" w:rsidRDefault="00D12392" w:rsidP="006049FF">
      <w:pPr>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791835" cy="24047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2404745"/>
                    </a:xfrm>
                    <a:prstGeom prst="rect">
                      <a:avLst/>
                    </a:prstGeom>
                  </pic:spPr>
                </pic:pic>
              </a:graphicData>
            </a:graphic>
          </wp:inline>
        </w:drawing>
      </w:r>
    </w:p>
    <w:p w:rsidR="006049FF" w:rsidRDefault="006049FF" w:rsidP="006049FF">
      <w:pPr>
        <w:spacing w:line="360" w:lineRule="auto"/>
        <w:jc w:val="both"/>
        <w:rPr>
          <w:rFonts w:ascii="Palatino Linotype" w:hAnsi="Palatino Linotype" w:cs="Arial"/>
        </w:rPr>
      </w:pPr>
    </w:p>
    <w:p w:rsidR="001128CB" w:rsidRPr="001128CB" w:rsidRDefault="001A2B25" w:rsidP="001128CB">
      <w:pPr>
        <w:pStyle w:val="Prrafodelista"/>
        <w:numPr>
          <w:ilvl w:val="0"/>
          <w:numId w:val="7"/>
        </w:numPr>
        <w:spacing w:line="360" w:lineRule="auto"/>
        <w:jc w:val="both"/>
        <w:rPr>
          <w:rFonts w:ascii="Palatino Linotype" w:hAnsi="Palatino Linotype" w:cs="Arial"/>
        </w:rPr>
      </w:pPr>
      <w:hyperlink r:id="rId12" w:history="1">
        <w:r w:rsidR="001128CB" w:rsidRPr="00743943">
          <w:rPr>
            <w:rStyle w:val="Hipervnculo"/>
            <w:rFonts w:ascii="Palatino Linotype" w:hAnsi="Palatino Linotype" w:cs="Arial"/>
          </w:rPr>
          <w:t>https://salud.edomex.gob.mx/salud/plan_regreso_seguro</w:t>
        </w:r>
      </w:hyperlink>
      <w:r w:rsidR="001128CB">
        <w:rPr>
          <w:rFonts w:ascii="Palatino Linotype" w:hAnsi="Palatino Linotype" w:cs="Arial"/>
        </w:rPr>
        <w:t xml:space="preserve"> </w:t>
      </w:r>
    </w:p>
    <w:p w:rsidR="001128CB" w:rsidRDefault="001128CB" w:rsidP="006049FF">
      <w:pPr>
        <w:spacing w:line="360" w:lineRule="auto"/>
        <w:jc w:val="both"/>
        <w:rPr>
          <w:rFonts w:ascii="Palatino Linotype" w:hAnsi="Palatino Linotype" w:cs="Arial"/>
        </w:rPr>
      </w:pPr>
    </w:p>
    <w:p w:rsidR="001128CB" w:rsidRDefault="001128CB" w:rsidP="006049FF">
      <w:pPr>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extent cx="5791835" cy="33991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3399155"/>
                    </a:xfrm>
                    <a:prstGeom prst="rect">
                      <a:avLst/>
                    </a:prstGeom>
                  </pic:spPr>
                </pic:pic>
              </a:graphicData>
            </a:graphic>
          </wp:inline>
        </w:drawing>
      </w:r>
    </w:p>
    <w:p w:rsidR="001128CB" w:rsidRDefault="001128CB" w:rsidP="006049FF">
      <w:pPr>
        <w:spacing w:line="360" w:lineRule="auto"/>
        <w:jc w:val="both"/>
        <w:rPr>
          <w:rFonts w:ascii="Palatino Linotype" w:hAnsi="Palatino Linotype" w:cs="Arial"/>
        </w:rPr>
      </w:pPr>
    </w:p>
    <w:p w:rsidR="006049FF" w:rsidRDefault="00656EF5" w:rsidP="006049FF">
      <w:pPr>
        <w:spacing w:line="360" w:lineRule="auto"/>
        <w:jc w:val="both"/>
        <w:rPr>
          <w:rFonts w:ascii="Palatino Linotype" w:hAnsi="Palatino Linotype" w:cs="Arial"/>
        </w:rPr>
      </w:pPr>
      <w:r>
        <w:rPr>
          <w:rFonts w:ascii="Palatino Linotype" w:hAnsi="Palatino Linotype" w:cs="Arial"/>
        </w:rPr>
        <w:lastRenderedPageBreak/>
        <w:t>De conformidad con las esfinges insertas, podemos observar que</w:t>
      </w:r>
      <w:r w:rsidR="001128CB">
        <w:rPr>
          <w:rFonts w:ascii="Palatino Linotype" w:hAnsi="Palatino Linotype" w:cs="Arial"/>
        </w:rPr>
        <w:t xml:space="preserve"> primeramente</w:t>
      </w:r>
      <w:r>
        <w:rPr>
          <w:rFonts w:ascii="Palatino Linotype" w:hAnsi="Palatino Linotype" w:cs="Arial"/>
        </w:rPr>
        <w:t xml:space="preserve"> el </w:t>
      </w:r>
      <w:r w:rsidRPr="00656EF5">
        <w:rPr>
          <w:rFonts w:ascii="Palatino Linotype" w:hAnsi="Palatino Linotype" w:cs="Arial"/>
          <w:b/>
        </w:rPr>
        <w:t>Sujeto Obligado</w:t>
      </w:r>
      <w:r>
        <w:rPr>
          <w:rFonts w:ascii="Palatino Linotype" w:hAnsi="Palatino Linotype" w:cs="Arial"/>
        </w:rPr>
        <w:t xml:space="preserve"> remite al Portal de Información Pública Mexiquense, en particular a la información que se encuentra obligado de conformidad con la fracción VII del artículo 92 de la Ley de Transparencia y Acceso a la Información Pública del Estado de México y Municipios.</w:t>
      </w:r>
      <w:r w:rsidR="001128CB">
        <w:rPr>
          <w:rFonts w:ascii="Palatino Linotype" w:hAnsi="Palatino Linotype" w:cs="Arial"/>
        </w:rPr>
        <w:t xml:space="preserve"> Y en lo que corresponde al segundo enlace electrónico, corresponde al Plan “Regreso Seguro”, implementado por la Secretaría de Salud del Estado de México, derivado de la pandemia mundial ocasionada por el Covid-19.</w:t>
      </w:r>
    </w:p>
    <w:p w:rsidR="00656EF5" w:rsidRDefault="00656EF5" w:rsidP="006049FF">
      <w:pPr>
        <w:spacing w:line="360" w:lineRule="auto"/>
        <w:jc w:val="both"/>
        <w:rPr>
          <w:rFonts w:ascii="Palatino Linotype" w:hAnsi="Palatino Linotype" w:cs="Arial"/>
        </w:rPr>
      </w:pPr>
    </w:p>
    <w:p w:rsidR="006049FF" w:rsidRPr="00BA3D3C" w:rsidRDefault="007F6DB9" w:rsidP="006049FF">
      <w:pPr>
        <w:spacing w:line="360" w:lineRule="auto"/>
        <w:jc w:val="both"/>
        <w:rPr>
          <w:rFonts w:ascii="Palatino Linotype" w:hAnsi="Palatino Linotype" w:cs="Arial"/>
        </w:rPr>
      </w:pPr>
      <w:r>
        <w:rPr>
          <w:rFonts w:ascii="Palatino Linotype" w:hAnsi="Palatino Linotype" w:cs="Arial"/>
        </w:rPr>
        <w:t xml:space="preserve">Precisado lo anterior, si bien el </w:t>
      </w:r>
      <w:r w:rsidRPr="007F6DB9">
        <w:rPr>
          <w:rFonts w:ascii="Palatino Linotype" w:hAnsi="Palatino Linotype" w:cs="Arial"/>
          <w:b/>
        </w:rPr>
        <w:t>Sujeto Obligado</w:t>
      </w:r>
      <w:r>
        <w:rPr>
          <w:rFonts w:ascii="Palatino Linotype" w:hAnsi="Palatino Linotype" w:cs="Arial"/>
        </w:rPr>
        <w:t xml:space="preserve"> emite respuesta a la solicitud de información, también lo es que la información proporcionada </w:t>
      </w:r>
      <w:r>
        <w:rPr>
          <w:rFonts w:ascii="Palatino Linotype" w:hAnsi="Palatino Linotype" w:cs="Arial"/>
          <w:b/>
        </w:rPr>
        <w:t>no corresponde</w:t>
      </w:r>
      <w:r>
        <w:rPr>
          <w:rFonts w:ascii="Palatino Linotype" w:hAnsi="Palatino Linotype" w:cs="Arial"/>
        </w:rPr>
        <w:t xml:space="preserve"> con la información peticionada, ello es así, atendiendo que el </w:t>
      </w:r>
      <w:r w:rsidRPr="007F6DB9">
        <w:rPr>
          <w:rFonts w:ascii="Palatino Linotype" w:hAnsi="Palatino Linotype" w:cs="Arial"/>
          <w:b/>
        </w:rPr>
        <w:t>Recurrente</w:t>
      </w:r>
      <w:r>
        <w:rPr>
          <w:rFonts w:ascii="Palatino Linotype" w:hAnsi="Palatino Linotype" w:cs="Arial"/>
        </w:rPr>
        <w:t xml:space="preserve"> requiere le sea entregado el soporte documental en el cual consten las dimensiones del edificio y las oficinas ubicado en la ciudad de Toluca, Estado de México; informe el número de personas que las ocupan, y si cumplen con las medidas de distancia de seguridad para evitar los contagios de la enfermedad covid-19. Se comprueba derivado que de la información proporcionada en el primer enlace electrónico, únicamente remite a la página principal de IPOMEX del </w:t>
      </w:r>
      <w:r w:rsidRPr="00B276A9">
        <w:rPr>
          <w:rFonts w:ascii="Palatino Linotype" w:hAnsi="Palatino Linotype" w:cs="Arial"/>
          <w:b/>
        </w:rPr>
        <w:t>Sujeto Obligado</w:t>
      </w:r>
      <w:r>
        <w:rPr>
          <w:rFonts w:ascii="Palatino Linotype" w:hAnsi="Palatino Linotype" w:cs="Arial"/>
        </w:rPr>
        <w:t>, empero, de las imágenes se</w:t>
      </w:r>
      <w:r w:rsidR="006049FF">
        <w:rPr>
          <w:rFonts w:ascii="Palatino Linotype" w:hAnsi="Palatino Linotype" w:cs="Arial"/>
        </w:rPr>
        <w:t xml:space="preserve"> demuestra que si bien reconoce tener en sus arch</w:t>
      </w:r>
      <w:r>
        <w:rPr>
          <w:rFonts w:ascii="Palatino Linotype" w:hAnsi="Palatino Linotype" w:cs="Arial"/>
        </w:rPr>
        <w:t>ivos la información peticionada</w:t>
      </w:r>
      <w:r w:rsidR="006049FF">
        <w:rPr>
          <w:rFonts w:ascii="Palatino Linotype" w:hAnsi="Palatino Linotype" w:cs="Arial"/>
        </w:rPr>
        <w:t xml:space="preserve"> y la misma se encuentra publicada, también lo es que no señala de manera precisa el procedimiento que debe seguir el </w:t>
      </w:r>
      <w:r w:rsidR="006049FF" w:rsidRPr="006B0B72">
        <w:rPr>
          <w:rFonts w:ascii="Palatino Linotype" w:hAnsi="Palatino Linotype" w:cs="Arial"/>
          <w:b/>
        </w:rPr>
        <w:t>Recurrente</w:t>
      </w:r>
      <w:r w:rsidR="006049FF">
        <w:rPr>
          <w:rFonts w:ascii="Palatino Linotype" w:hAnsi="Palatino Linotype" w:cs="Arial"/>
        </w:rPr>
        <w:t xml:space="preserve"> para la consulta de la información, en consecuencia no se tiene por satisfecho el derecho de acceso a la información, resultando dable ordenar haga entrega de la información.</w:t>
      </w:r>
    </w:p>
    <w:p w:rsidR="006049FF" w:rsidRDefault="006049FF" w:rsidP="006049FF">
      <w:pPr>
        <w:spacing w:line="360" w:lineRule="auto"/>
        <w:jc w:val="both"/>
        <w:rPr>
          <w:rFonts w:ascii="Palatino Linotype" w:hAnsi="Palatino Linotype" w:cs="Arial"/>
        </w:rPr>
      </w:pPr>
    </w:p>
    <w:p w:rsidR="006049FF" w:rsidRPr="00D55523" w:rsidRDefault="006049FF" w:rsidP="006049FF">
      <w:pPr>
        <w:spacing w:line="360" w:lineRule="auto"/>
        <w:jc w:val="both"/>
        <w:rPr>
          <w:rFonts w:ascii="Palatino Linotype" w:hAnsi="Palatino Linotype" w:cs="Arial"/>
        </w:rPr>
      </w:pPr>
      <w:r>
        <w:rPr>
          <w:rFonts w:ascii="Palatino Linotype" w:hAnsi="Palatino Linotype" w:cs="Arial"/>
        </w:rPr>
        <w:t>Acotado lo anterior, de conformidad con las respuestas proporcionadas, en las cuales informa que la información ya se encuentra publicada, d</w:t>
      </w:r>
      <w:r w:rsidRPr="00D55523">
        <w:rPr>
          <w:rFonts w:ascii="Palatino Linotype" w:hAnsi="Palatino Linotype" w:cs="Arial"/>
        </w:rPr>
        <w:t xml:space="preserve">ebemos partir de que </w:t>
      </w:r>
      <w:r w:rsidRPr="006B0B72">
        <w:rPr>
          <w:rFonts w:ascii="Palatino Linotype" w:hAnsi="Palatino Linotype" w:cs="Arial"/>
          <w:u w:val="single"/>
        </w:rPr>
        <w:t xml:space="preserve">la </w:t>
      </w:r>
      <w:r w:rsidRPr="006B0B72">
        <w:rPr>
          <w:rFonts w:ascii="Palatino Linotype" w:hAnsi="Palatino Linotype" w:cs="Arial"/>
          <w:u w:val="single"/>
        </w:rPr>
        <w:lastRenderedPageBreak/>
        <w:t>obligación de acceso a la información se tendrá por cumplida cuando el solicitante tenga a su disposición la información requerida, o cuando realice su consulta en el lugar que ésta se localice,</w:t>
      </w:r>
      <w:r w:rsidRPr="00D55523">
        <w:rPr>
          <w:rFonts w:ascii="Palatino Linotype" w:hAnsi="Palatino Linotype" w:cs="Arial"/>
        </w:rPr>
        <w:t xml:space="preserv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rsidR="006049FF" w:rsidRPr="00D55523" w:rsidRDefault="006049FF" w:rsidP="00B276A9">
      <w:pPr>
        <w:widowControl w:val="0"/>
        <w:tabs>
          <w:tab w:val="left" w:pos="1701"/>
          <w:tab w:val="left" w:pos="1843"/>
        </w:tabs>
        <w:suppressAutoHyphens/>
        <w:contextualSpacing/>
        <w:jc w:val="both"/>
        <w:rPr>
          <w:rFonts w:ascii="Palatino Linotype" w:hAnsi="Palatino Linotype" w:cs="Arial"/>
        </w:rPr>
      </w:pPr>
    </w:p>
    <w:p w:rsidR="006049FF" w:rsidRPr="00C64A50" w:rsidRDefault="006049FF" w:rsidP="00ED2FCD">
      <w:pPr>
        <w:widowControl w:val="0"/>
        <w:tabs>
          <w:tab w:val="left" w:pos="1701"/>
          <w:tab w:val="left" w:pos="1843"/>
        </w:tabs>
        <w:suppressAutoHyphens/>
        <w:spacing w:line="276" w:lineRule="auto"/>
        <w:ind w:left="567" w:right="567"/>
        <w:contextualSpacing/>
        <w:jc w:val="both"/>
        <w:rPr>
          <w:rFonts w:ascii="Palatino Linotype" w:hAnsi="Palatino Linotype" w:cs="Arial"/>
          <w:i/>
          <w:sz w:val="22"/>
        </w:rPr>
      </w:pPr>
      <w:r w:rsidRPr="00C64A50">
        <w:rPr>
          <w:rFonts w:ascii="Palatino Linotype" w:hAnsi="Palatino Linotype" w:cs="Arial"/>
          <w:i/>
          <w:sz w:val="22"/>
        </w:rPr>
        <w:t>“</w:t>
      </w:r>
      <w:r w:rsidRPr="00C64A50">
        <w:rPr>
          <w:rFonts w:ascii="Palatino Linotype" w:hAnsi="Palatino Linotype" w:cs="Arial"/>
          <w:b/>
          <w:i/>
          <w:sz w:val="22"/>
        </w:rPr>
        <w:t>Artículo 11.</w:t>
      </w:r>
      <w:r w:rsidRPr="00C64A50">
        <w:rPr>
          <w:rFonts w:ascii="Palatino Linotype" w:hAnsi="Palatino Linotype" w:cs="Arial"/>
          <w:i/>
          <w:sz w:val="22"/>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6049FF" w:rsidRPr="00C64A50" w:rsidRDefault="006049FF" w:rsidP="00ED2FCD">
      <w:pPr>
        <w:widowControl w:val="0"/>
        <w:tabs>
          <w:tab w:val="left" w:pos="1701"/>
          <w:tab w:val="left" w:pos="1843"/>
        </w:tabs>
        <w:suppressAutoHyphens/>
        <w:spacing w:line="276" w:lineRule="auto"/>
        <w:ind w:left="567" w:right="567"/>
        <w:contextualSpacing/>
        <w:jc w:val="both"/>
        <w:rPr>
          <w:rFonts w:ascii="Palatino Linotype" w:hAnsi="Palatino Linotype" w:cs="Arial"/>
          <w:i/>
          <w:sz w:val="22"/>
        </w:rPr>
      </w:pPr>
      <w:r w:rsidRPr="00C64A50">
        <w:rPr>
          <w:rFonts w:ascii="Palatino Linotype" w:hAnsi="Palatino Linotype" w:cs="Arial"/>
          <w:i/>
          <w:sz w:val="22"/>
        </w:rPr>
        <w:t>[…]</w:t>
      </w:r>
    </w:p>
    <w:p w:rsidR="007F6DB9" w:rsidRPr="00C64A50" w:rsidRDefault="007F6DB9" w:rsidP="00ED2FCD">
      <w:pPr>
        <w:widowControl w:val="0"/>
        <w:tabs>
          <w:tab w:val="left" w:pos="1701"/>
          <w:tab w:val="left" w:pos="1843"/>
        </w:tabs>
        <w:suppressAutoHyphens/>
        <w:spacing w:line="276" w:lineRule="auto"/>
        <w:ind w:left="567" w:right="567"/>
        <w:contextualSpacing/>
        <w:jc w:val="both"/>
        <w:rPr>
          <w:rFonts w:ascii="Palatino Linotype" w:hAnsi="Palatino Linotype" w:cs="Arial"/>
          <w:i/>
          <w:sz w:val="22"/>
        </w:rPr>
      </w:pPr>
    </w:p>
    <w:p w:rsidR="006049FF" w:rsidRPr="00C64A50" w:rsidRDefault="006049FF" w:rsidP="00ED2FCD">
      <w:pPr>
        <w:widowControl w:val="0"/>
        <w:tabs>
          <w:tab w:val="left" w:pos="1701"/>
          <w:tab w:val="left" w:pos="1843"/>
        </w:tabs>
        <w:suppressAutoHyphens/>
        <w:spacing w:line="276" w:lineRule="auto"/>
        <w:ind w:left="567" w:right="567"/>
        <w:contextualSpacing/>
        <w:jc w:val="both"/>
        <w:rPr>
          <w:rFonts w:ascii="Palatino Linotype" w:hAnsi="Palatino Linotype" w:cs="Arial"/>
          <w:i/>
          <w:sz w:val="22"/>
        </w:rPr>
      </w:pPr>
      <w:r w:rsidRPr="00C64A50">
        <w:rPr>
          <w:rFonts w:ascii="Palatino Linotype" w:hAnsi="Palatino Linotype" w:cs="Arial"/>
          <w:b/>
          <w:i/>
          <w:sz w:val="22"/>
        </w:rPr>
        <w:t>Artículo 161.</w:t>
      </w:r>
      <w:r w:rsidRPr="00C64A50">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C64A50">
        <w:rPr>
          <w:rFonts w:ascii="Palatino Linotype" w:hAnsi="Palatino Linotype" w:cs="Arial"/>
          <w:i/>
          <w:sz w:val="22"/>
          <w:u w:val="single"/>
        </w:rPr>
        <w:t>La fuente deberá ser precisa y concreta y no debe implicar que el solicitante realice una búsqueda en toda la información que se encuentre disponible.</w:t>
      </w:r>
      <w:r w:rsidRPr="00C64A50">
        <w:rPr>
          <w:rFonts w:ascii="Palatino Linotype" w:hAnsi="Palatino Linotype" w:cs="Arial"/>
          <w:i/>
          <w:sz w:val="22"/>
        </w:rPr>
        <w:t xml:space="preserve">” </w:t>
      </w:r>
    </w:p>
    <w:p w:rsidR="006049FF" w:rsidRPr="00C64A50" w:rsidRDefault="006049FF" w:rsidP="00ED2FCD">
      <w:pPr>
        <w:widowControl w:val="0"/>
        <w:tabs>
          <w:tab w:val="left" w:pos="1701"/>
          <w:tab w:val="left" w:pos="1843"/>
        </w:tabs>
        <w:suppressAutoHyphens/>
        <w:spacing w:line="276" w:lineRule="auto"/>
        <w:ind w:left="567" w:right="567"/>
        <w:contextualSpacing/>
        <w:jc w:val="right"/>
        <w:rPr>
          <w:rFonts w:ascii="Palatino Linotype" w:hAnsi="Palatino Linotype" w:cs="Arial"/>
          <w:i/>
          <w:sz w:val="22"/>
        </w:rPr>
      </w:pPr>
      <w:r w:rsidRPr="00C64A50">
        <w:rPr>
          <w:rFonts w:ascii="Palatino Linotype" w:hAnsi="Palatino Linotype" w:cs="Arial"/>
          <w:sz w:val="22"/>
        </w:rPr>
        <w:t>(Énfasis añadido)</w:t>
      </w:r>
    </w:p>
    <w:p w:rsidR="00ED1B43" w:rsidRPr="00D55523" w:rsidRDefault="00ED1B43" w:rsidP="006049FF">
      <w:pPr>
        <w:widowControl w:val="0"/>
        <w:tabs>
          <w:tab w:val="left" w:pos="1701"/>
          <w:tab w:val="left" w:pos="1843"/>
        </w:tabs>
        <w:suppressAutoHyphens/>
        <w:spacing w:line="360" w:lineRule="auto"/>
        <w:contextualSpacing/>
        <w:jc w:val="both"/>
        <w:rPr>
          <w:rFonts w:ascii="Palatino Linotype" w:hAnsi="Palatino Linotype" w:cs="Arial"/>
        </w:rPr>
      </w:pPr>
    </w:p>
    <w:p w:rsidR="006049FF" w:rsidRDefault="006049FF" w:rsidP="006049FF">
      <w:pPr>
        <w:spacing w:line="360" w:lineRule="auto"/>
        <w:jc w:val="both"/>
        <w:rPr>
          <w:rFonts w:ascii="Palatino Linotype" w:hAnsi="Palatino Linotype"/>
          <w:bCs/>
        </w:rPr>
      </w:pPr>
      <w:r w:rsidRPr="007913AD">
        <w:rPr>
          <w:rFonts w:ascii="Palatino Linotype" w:hAnsi="Palatino Linotype"/>
          <w:bCs/>
        </w:rPr>
        <w:t xml:space="preserve">Ordenamiento que consagra la facultad del </w:t>
      </w:r>
      <w:r>
        <w:rPr>
          <w:rFonts w:ascii="Palatino Linotype" w:hAnsi="Palatino Linotype"/>
          <w:b/>
          <w:bCs/>
        </w:rPr>
        <w:t>Sujeto Obligado</w:t>
      </w:r>
      <w:r w:rsidRPr="007913AD">
        <w:rPr>
          <w:rFonts w:ascii="Palatino Linotype" w:hAnsi="Palatino Linotype"/>
          <w:bCs/>
        </w:rPr>
        <w:t xml:space="preserve"> de poder hacer del conocimiento a los solicitantes que la información peticionada ya se encuentra publicada para su consulta, caso concreto en la plataforma de internet; no obstante, </w:t>
      </w:r>
      <w:r w:rsidRPr="007913AD">
        <w:rPr>
          <w:rFonts w:ascii="Palatino Linotype" w:hAnsi="Palatino Linotype"/>
          <w:bCs/>
        </w:rPr>
        <w:lastRenderedPageBreak/>
        <w:t xml:space="preserve">dicho artículo, precisa de forma clara que se le hará del conocimiento la fuente, lugar y forma de consulta, en un plazo no mayor a 5 (cinco) días hábiles posteriores a la solicitud, circunstancia que no fue observada por el </w:t>
      </w:r>
      <w:r>
        <w:rPr>
          <w:rFonts w:ascii="Palatino Linotype" w:hAnsi="Palatino Linotype"/>
          <w:b/>
          <w:bCs/>
        </w:rPr>
        <w:t>Sujeto Obligado</w:t>
      </w:r>
      <w:r w:rsidRPr="007913AD">
        <w:rPr>
          <w:rFonts w:ascii="Palatino Linotype" w:hAnsi="Palatino Linotype"/>
          <w:bCs/>
        </w:rPr>
        <w:t xml:space="preserve">, </w:t>
      </w:r>
      <w:r>
        <w:rPr>
          <w:rFonts w:ascii="Palatino Linotype" w:hAnsi="Palatino Linotype"/>
          <w:bCs/>
        </w:rPr>
        <w:t>toda vez</w:t>
      </w:r>
      <w:r w:rsidRPr="007913AD">
        <w:rPr>
          <w:rFonts w:ascii="Palatino Linotype" w:hAnsi="Palatino Linotype"/>
          <w:bCs/>
        </w:rPr>
        <w:t xml:space="preserve"> que la</w:t>
      </w:r>
      <w:r>
        <w:rPr>
          <w:rFonts w:ascii="Palatino Linotype" w:hAnsi="Palatino Linotype"/>
          <w:bCs/>
        </w:rPr>
        <w:t>s</w:t>
      </w:r>
      <w:r w:rsidRPr="007913AD">
        <w:rPr>
          <w:rFonts w:ascii="Palatino Linotype" w:hAnsi="Palatino Linotype"/>
          <w:bCs/>
        </w:rPr>
        <w:t xml:space="preserve"> solicitud de información fue</w:t>
      </w:r>
      <w:r>
        <w:rPr>
          <w:rFonts w:ascii="Palatino Linotype" w:hAnsi="Palatino Linotype"/>
          <w:bCs/>
        </w:rPr>
        <w:t xml:space="preserve"> </w:t>
      </w:r>
      <w:r w:rsidRPr="007913AD">
        <w:rPr>
          <w:rFonts w:ascii="Palatino Linotype" w:hAnsi="Palatino Linotype"/>
          <w:bCs/>
        </w:rPr>
        <w:t>presentada</w:t>
      </w:r>
      <w:r>
        <w:rPr>
          <w:rFonts w:ascii="Palatino Linotype" w:hAnsi="Palatino Linotype"/>
          <w:bCs/>
        </w:rPr>
        <w:t xml:space="preserve"> el día </w:t>
      </w:r>
      <w:r w:rsidR="007328BB">
        <w:rPr>
          <w:rFonts w:ascii="Palatino Linotype" w:hAnsi="Palatino Linotype"/>
          <w:bCs/>
        </w:rPr>
        <w:t>07</w:t>
      </w:r>
      <w:r w:rsidRPr="007913AD">
        <w:rPr>
          <w:rFonts w:ascii="Palatino Linotype" w:hAnsi="Palatino Linotype"/>
          <w:bCs/>
        </w:rPr>
        <w:t xml:space="preserve"> (</w:t>
      </w:r>
      <w:r w:rsidR="007328BB">
        <w:rPr>
          <w:rFonts w:ascii="Palatino Linotype" w:hAnsi="Palatino Linotype"/>
          <w:bCs/>
        </w:rPr>
        <w:t>siete</w:t>
      </w:r>
      <w:r w:rsidRPr="007913AD">
        <w:rPr>
          <w:rFonts w:ascii="Palatino Linotype" w:hAnsi="Palatino Linotype"/>
          <w:bCs/>
        </w:rPr>
        <w:t xml:space="preserve">) de </w:t>
      </w:r>
      <w:r w:rsidR="007328BB">
        <w:rPr>
          <w:rFonts w:ascii="Palatino Linotype" w:hAnsi="Palatino Linotype"/>
          <w:bCs/>
        </w:rPr>
        <w:t>junio</w:t>
      </w:r>
      <w:r w:rsidRPr="007913AD">
        <w:rPr>
          <w:rFonts w:ascii="Palatino Linotype" w:hAnsi="Palatino Linotype"/>
          <w:bCs/>
        </w:rPr>
        <w:t xml:space="preserve"> y la respuesta fue proporcionada el </w:t>
      </w:r>
      <w:r w:rsidR="007328BB">
        <w:rPr>
          <w:rFonts w:ascii="Palatino Linotype" w:hAnsi="Palatino Linotype"/>
          <w:bCs/>
        </w:rPr>
        <w:t>28</w:t>
      </w:r>
      <w:r w:rsidRPr="007913AD">
        <w:rPr>
          <w:rFonts w:ascii="Palatino Linotype" w:hAnsi="Palatino Linotype"/>
          <w:bCs/>
        </w:rPr>
        <w:t xml:space="preserve"> (</w:t>
      </w:r>
      <w:r>
        <w:rPr>
          <w:rFonts w:ascii="Palatino Linotype" w:hAnsi="Palatino Linotype"/>
          <w:bCs/>
        </w:rPr>
        <w:t>veinti</w:t>
      </w:r>
      <w:r w:rsidR="007328BB">
        <w:rPr>
          <w:rFonts w:ascii="Palatino Linotype" w:hAnsi="Palatino Linotype"/>
          <w:bCs/>
        </w:rPr>
        <w:t>ocho</w:t>
      </w:r>
      <w:r>
        <w:rPr>
          <w:rFonts w:ascii="Palatino Linotype" w:hAnsi="Palatino Linotype"/>
          <w:bCs/>
        </w:rPr>
        <w:t xml:space="preserve">) </w:t>
      </w:r>
      <w:r w:rsidRPr="007913AD">
        <w:rPr>
          <w:rFonts w:ascii="Palatino Linotype" w:hAnsi="Palatino Linotype"/>
          <w:bCs/>
        </w:rPr>
        <w:t xml:space="preserve">de </w:t>
      </w:r>
      <w:r w:rsidR="007328BB">
        <w:rPr>
          <w:rFonts w:ascii="Palatino Linotype" w:hAnsi="Palatino Linotype"/>
          <w:bCs/>
        </w:rPr>
        <w:t>junio</w:t>
      </w:r>
      <w:r w:rsidRPr="007913AD">
        <w:rPr>
          <w:rFonts w:ascii="Palatino Linotype" w:hAnsi="Palatino Linotype"/>
          <w:bCs/>
        </w:rPr>
        <w:t>, ambas fechas del año 2021 (d</w:t>
      </w:r>
      <w:r>
        <w:rPr>
          <w:rFonts w:ascii="Palatino Linotype" w:hAnsi="Palatino Linotype"/>
          <w:bCs/>
        </w:rPr>
        <w:t xml:space="preserve">os mil veintiuno), es decir al </w:t>
      </w:r>
      <w:r w:rsidR="007328BB">
        <w:rPr>
          <w:rFonts w:ascii="Palatino Linotype" w:hAnsi="Palatino Linotype"/>
          <w:bCs/>
        </w:rPr>
        <w:t>15</w:t>
      </w:r>
      <w:r w:rsidRPr="007913AD">
        <w:rPr>
          <w:rFonts w:ascii="Palatino Linotype" w:hAnsi="Palatino Linotype"/>
          <w:bCs/>
        </w:rPr>
        <w:t>° (</w:t>
      </w:r>
      <w:r w:rsidR="007328BB">
        <w:rPr>
          <w:rFonts w:ascii="Palatino Linotype" w:hAnsi="Palatino Linotype"/>
          <w:bCs/>
        </w:rPr>
        <w:t>décimo quinto</w:t>
      </w:r>
      <w:r w:rsidRPr="007913AD">
        <w:rPr>
          <w:rFonts w:ascii="Palatino Linotype" w:hAnsi="Palatino Linotype"/>
          <w:bCs/>
        </w:rPr>
        <w:t>) día hábil</w:t>
      </w:r>
      <w:r>
        <w:rPr>
          <w:rFonts w:ascii="Palatino Linotype" w:hAnsi="Palatino Linotype"/>
          <w:bCs/>
        </w:rPr>
        <w:t>, circunstancia que fue observada por el Ayuntamiento</w:t>
      </w:r>
      <w:r w:rsidRPr="007913AD">
        <w:rPr>
          <w:rFonts w:ascii="Palatino Linotype" w:hAnsi="Palatino Linotype"/>
          <w:bCs/>
        </w:rPr>
        <w:t>. En ese orden de ideas, se le exhorta</w:t>
      </w:r>
      <w:r>
        <w:rPr>
          <w:rFonts w:ascii="Palatino Linotype" w:hAnsi="Palatino Linotype"/>
          <w:bCs/>
        </w:rPr>
        <w:t xml:space="preserve"> y recuerda</w:t>
      </w:r>
      <w:r w:rsidRPr="007913AD">
        <w:rPr>
          <w:rFonts w:ascii="Palatino Linotype" w:hAnsi="Palatino Linotype"/>
          <w:bCs/>
        </w:rPr>
        <w:t xml:space="preserve"> al </w:t>
      </w:r>
      <w:r>
        <w:rPr>
          <w:rFonts w:ascii="Palatino Linotype" w:hAnsi="Palatino Linotype"/>
          <w:b/>
          <w:bCs/>
        </w:rPr>
        <w:t>Sujeto Obligado</w:t>
      </w:r>
      <w:r w:rsidRPr="007913AD">
        <w:rPr>
          <w:rFonts w:ascii="Palatino Linotype" w:hAnsi="Palatino Linotype"/>
          <w:bCs/>
        </w:rPr>
        <w:t xml:space="preserve"> </w:t>
      </w:r>
      <w:r>
        <w:rPr>
          <w:rFonts w:ascii="Palatino Linotype" w:hAnsi="Palatino Linotype"/>
          <w:bCs/>
        </w:rPr>
        <w:t>para</w:t>
      </w:r>
      <w:r w:rsidRPr="007913AD">
        <w:rPr>
          <w:rFonts w:ascii="Palatino Linotype" w:hAnsi="Palatino Linotype"/>
          <w:bCs/>
        </w:rPr>
        <w:t xml:space="preserve"> que en futuras ocasiones</w:t>
      </w:r>
      <w:r>
        <w:rPr>
          <w:rFonts w:ascii="Palatino Linotype" w:hAnsi="Palatino Linotype"/>
          <w:bCs/>
        </w:rPr>
        <w:t>,</w:t>
      </w:r>
      <w:r w:rsidRPr="007913AD">
        <w:rPr>
          <w:rFonts w:ascii="Palatino Linotype" w:hAnsi="Palatino Linotype"/>
          <w:bCs/>
        </w:rPr>
        <w:t xml:space="preserve"> se sirva en sujetarse a los términos y plazos legalmente est</w:t>
      </w:r>
      <w:r>
        <w:rPr>
          <w:rFonts w:ascii="Palatino Linotype" w:hAnsi="Palatino Linotype"/>
          <w:bCs/>
        </w:rPr>
        <w:t>ablecidos, en los ordenamientos normativos que rigen su actuación.</w:t>
      </w:r>
    </w:p>
    <w:p w:rsidR="00ED1B43" w:rsidRDefault="00ED1B43" w:rsidP="006049FF">
      <w:pPr>
        <w:spacing w:line="360" w:lineRule="auto"/>
        <w:jc w:val="both"/>
        <w:rPr>
          <w:rFonts w:ascii="Palatino Linotype" w:hAnsi="Palatino Linotype"/>
          <w:bCs/>
        </w:rPr>
      </w:pPr>
    </w:p>
    <w:p w:rsidR="006049FF" w:rsidRPr="00D55523" w:rsidRDefault="006049FF" w:rsidP="006049FF">
      <w:pPr>
        <w:widowControl w:val="0"/>
        <w:tabs>
          <w:tab w:val="left" w:pos="1701"/>
          <w:tab w:val="left" w:pos="1843"/>
        </w:tabs>
        <w:suppressAutoHyphens/>
        <w:spacing w:line="360" w:lineRule="auto"/>
        <w:contextualSpacing/>
        <w:jc w:val="both"/>
        <w:rPr>
          <w:rFonts w:ascii="Palatino Linotype" w:hAnsi="Palatino Linotype" w:cs="Arial"/>
        </w:rPr>
      </w:pPr>
      <w:r w:rsidRPr="00D55523">
        <w:rPr>
          <w:rFonts w:ascii="Palatino Linotype" w:hAnsi="Palatino Linotype" w:cs="Arial"/>
        </w:rPr>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w:t>
      </w:r>
      <w:r w:rsidRPr="00336200">
        <w:rPr>
          <w:rFonts w:ascii="Palatino Linotype" w:hAnsi="Palatino Linotype" w:cs="Arial"/>
          <w:u w:val="single"/>
        </w:rPr>
        <w:t>en formatos electrónicos disponibles en Internet</w:t>
      </w:r>
      <w:r w:rsidRPr="00D55523">
        <w:rPr>
          <w:rFonts w:ascii="Palatino Linotype" w:hAnsi="Palatino Linotype" w:cs="Arial"/>
        </w:rPr>
        <w:t xml:space="preserve">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rsidR="006049FF" w:rsidRDefault="006049FF" w:rsidP="006049FF">
      <w:pPr>
        <w:widowControl w:val="0"/>
        <w:tabs>
          <w:tab w:val="left" w:pos="1701"/>
          <w:tab w:val="left" w:pos="1843"/>
        </w:tabs>
        <w:suppressAutoHyphens/>
        <w:spacing w:line="360" w:lineRule="auto"/>
        <w:contextualSpacing/>
        <w:jc w:val="both"/>
        <w:rPr>
          <w:rFonts w:ascii="Palatino Linotype" w:hAnsi="Palatino Linotype" w:cs="Arial"/>
        </w:rPr>
      </w:pPr>
    </w:p>
    <w:p w:rsidR="006049FF" w:rsidRPr="00D55523" w:rsidRDefault="006049FF" w:rsidP="006049FF">
      <w:pPr>
        <w:widowControl w:val="0"/>
        <w:tabs>
          <w:tab w:val="left" w:pos="1701"/>
          <w:tab w:val="left" w:pos="1843"/>
        </w:tabs>
        <w:suppressAutoHyphens/>
        <w:spacing w:line="360" w:lineRule="auto"/>
        <w:contextualSpacing/>
        <w:jc w:val="both"/>
        <w:rPr>
          <w:rFonts w:ascii="Palatino Linotype" w:hAnsi="Palatino Linotype" w:cs="Arial"/>
        </w:rPr>
      </w:pPr>
      <w:r w:rsidRPr="00D55523">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Pr="00D55523">
        <w:rPr>
          <w:rFonts w:ascii="Palatino Linotype" w:hAnsi="Palatino Linotype" w:cs="Arial"/>
          <w:b/>
        </w:rPr>
        <w:t xml:space="preserve">El </w:t>
      </w:r>
      <w:r>
        <w:rPr>
          <w:rFonts w:ascii="Palatino Linotype" w:hAnsi="Palatino Linotype" w:cs="Arial"/>
          <w:b/>
        </w:rPr>
        <w:t>Sujeto Obligado</w:t>
      </w:r>
      <w:r w:rsidRPr="00D55523">
        <w:rPr>
          <w:rFonts w:ascii="Palatino Linotype" w:hAnsi="Palatino Linotype" w:cs="Arial"/>
        </w:rPr>
        <w:t xml:space="preserve"> para informar a los solicitantes sobre información que se encuentre disponible en libros, compendios, </w:t>
      </w:r>
      <w:r w:rsidRPr="00D55523">
        <w:rPr>
          <w:rFonts w:ascii="Palatino Linotype" w:hAnsi="Palatino Linotype" w:cs="Arial"/>
        </w:rPr>
        <w:lastRenderedPageBreak/>
        <w:t>formatos electrónicos, entre otros, haciéndole saber al solicitante como podrá consultar, reproducir o adquirir la información, en un plazo no mayor a cinco días hábiles, comprendiendo:</w:t>
      </w:r>
    </w:p>
    <w:p w:rsidR="006049FF" w:rsidRPr="00D55523" w:rsidRDefault="006049FF" w:rsidP="006049FF">
      <w:pPr>
        <w:widowControl w:val="0"/>
        <w:tabs>
          <w:tab w:val="left" w:pos="1701"/>
          <w:tab w:val="left" w:pos="1843"/>
        </w:tabs>
        <w:suppressAutoHyphens/>
        <w:spacing w:line="360" w:lineRule="auto"/>
        <w:contextualSpacing/>
        <w:jc w:val="both"/>
        <w:rPr>
          <w:rFonts w:ascii="Palatino Linotype" w:hAnsi="Palatino Linotype" w:cs="Arial"/>
        </w:rPr>
      </w:pPr>
    </w:p>
    <w:p w:rsidR="006049FF" w:rsidRPr="00D25FF3" w:rsidRDefault="006049FF" w:rsidP="006049FF">
      <w:pPr>
        <w:pStyle w:val="Prrafodelista"/>
        <w:widowControl w:val="0"/>
        <w:numPr>
          <w:ilvl w:val="0"/>
          <w:numId w:val="3"/>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La fuente</w:t>
      </w:r>
    </w:p>
    <w:p w:rsidR="006049FF" w:rsidRPr="00D25FF3" w:rsidRDefault="006049FF" w:rsidP="006049FF">
      <w:pPr>
        <w:pStyle w:val="Prrafodelista"/>
        <w:widowControl w:val="0"/>
        <w:numPr>
          <w:ilvl w:val="0"/>
          <w:numId w:val="3"/>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El lugar y</w:t>
      </w:r>
    </w:p>
    <w:p w:rsidR="006049FF" w:rsidRPr="00D25FF3" w:rsidRDefault="006049FF" w:rsidP="006049FF">
      <w:pPr>
        <w:pStyle w:val="Prrafodelista"/>
        <w:widowControl w:val="0"/>
        <w:numPr>
          <w:ilvl w:val="0"/>
          <w:numId w:val="3"/>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 xml:space="preserve">La forma </w:t>
      </w:r>
    </w:p>
    <w:p w:rsidR="006049FF" w:rsidRPr="00D55523" w:rsidRDefault="006049FF" w:rsidP="006049FF">
      <w:pPr>
        <w:widowControl w:val="0"/>
        <w:tabs>
          <w:tab w:val="left" w:pos="1701"/>
          <w:tab w:val="left" w:pos="1843"/>
        </w:tabs>
        <w:suppressAutoHyphens/>
        <w:spacing w:line="360" w:lineRule="auto"/>
        <w:contextualSpacing/>
        <w:jc w:val="both"/>
        <w:rPr>
          <w:rFonts w:ascii="Palatino Linotype" w:hAnsi="Palatino Linotype" w:cs="Arial"/>
        </w:rPr>
      </w:pPr>
    </w:p>
    <w:p w:rsidR="006049FF" w:rsidRPr="00D55523" w:rsidRDefault="006049FF" w:rsidP="006049FF">
      <w:pPr>
        <w:widowControl w:val="0"/>
        <w:tabs>
          <w:tab w:val="left" w:pos="1701"/>
          <w:tab w:val="left" w:pos="1843"/>
        </w:tabs>
        <w:suppressAutoHyphens/>
        <w:spacing w:line="360" w:lineRule="auto"/>
        <w:contextualSpacing/>
        <w:jc w:val="both"/>
        <w:rPr>
          <w:rFonts w:ascii="Palatino Linotype" w:hAnsi="Palatino Linotype" w:cs="Arial"/>
        </w:rPr>
      </w:pPr>
      <w:r w:rsidRPr="00D55523">
        <w:rPr>
          <w:rFonts w:ascii="Palatino Linotype" w:hAnsi="Palatino Linotype" w:cs="Arial"/>
        </w:rPr>
        <w:t>Asimismo, se establece que la fuente de la información deberá ser:</w:t>
      </w:r>
    </w:p>
    <w:p w:rsidR="006049FF" w:rsidRPr="00D55523" w:rsidRDefault="006049FF" w:rsidP="006049FF">
      <w:pPr>
        <w:widowControl w:val="0"/>
        <w:tabs>
          <w:tab w:val="left" w:pos="1701"/>
          <w:tab w:val="left" w:pos="1843"/>
        </w:tabs>
        <w:suppressAutoHyphens/>
        <w:spacing w:line="360" w:lineRule="auto"/>
        <w:contextualSpacing/>
        <w:jc w:val="both"/>
        <w:rPr>
          <w:rFonts w:ascii="Palatino Linotype" w:hAnsi="Palatino Linotype" w:cs="Arial"/>
        </w:rPr>
      </w:pPr>
    </w:p>
    <w:p w:rsidR="006049FF" w:rsidRPr="00D25FF3" w:rsidRDefault="006049FF" w:rsidP="006049FF">
      <w:pPr>
        <w:pStyle w:val="Prrafodelista"/>
        <w:widowControl w:val="0"/>
        <w:numPr>
          <w:ilvl w:val="0"/>
          <w:numId w:val="4"/>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Precisa</w:t>
      </w:r>
    </w:p>
    <w:p w:rsidR="006049FF" w:rsidRPr="00D25FF3" w:rsidRDefault="006049FF" w:rsidP="006049FF">
      <w:pPr>
        <w:pStyle w:val="Prrafodelista"/>
        <w:widowControl w:val="0"/>
        <w:numPr>
          <w:ilvl w:val="0"/>
          <w:numId w:val="4"/>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Concreta</w:t>
      </w:r>
    </w:p>
    <w:p w:rsidR="006049FF" w:rsidRPr="00D25FF3" w:rsidRDefault="006049FF" w:rsidP="006049FF">
      <w:pPr>
        <w:pStyle w:val="Prrafodelista"/>
        <w:widowControl w:val="0"/>
        <w:numPr>
          <w:ilvl w:val="0"/>
          <w:numId w:val="4"/>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Y no debe implicar que el solicitante realice una búsqueda en toda la información que se encuentre disponible.</w:t>
      </w:r>
    </w:p>
    <w:p w:rsidR="007328BB" w:rsidRDefault="007328BB" w:rsidP="006049FF">
      <w:pPr>
        <w:widowControl w:val="0"/>
        <w:tabs>
          <w:tab w:val="left" w:pos="1701"/>
          <w:tab w:val="left" w:pos="1843"/>
        </w:tabs>
        <w:suppressAutoHyphens/>
        <w:spacing w:line="360" w:lineRule="auto"/>
        <w:contextualSpacing/>
        <w:jc w:val="both"/>
        <w:rPr>
          <w:rFonts w:ascii="Palatino Linotype" w:hAnsi="Palatino Linotype" w:cs="Arial"/>
        </w:rPr>
      </w:pPr>
    </w:p>
    <w:p w:rsidR="006049FF" w:rsidRDefault="006049FF" w:rsidP="006049FF">
      <w:pPr>
        <w:widowControl w:val="0"/>
        <w:tabs>
          <w:tab w:val="left" w:pos="1701"/>
          <w:tab w:val="left" w:pos="1843"/>
        </w:tabs>
        <w:suppressAutoHyphens/>
        <w:spacing w:line="360" w:lineRule="auto"/>
        <w:contextualSpacing/>
        <w:jc w:val="both"/>
        <w:rPr>
          <w:rFonts w:ascii="Palatino Linotype" w:hAnsi="Palatino Linotype" w:cs="Arial"/>
        </w:rPr>
      </w:pPr>
      <w:r w:rsidRPr="00D55523">
        <w:rPr>
          <w:rFonts w:ascii="Palatino Linotype" w:hAnsi="Palatino Linotype" w:cs="Arial"/>
        </w:rPr>
        <w:t>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w:t>
      </w:r>
      <w:r>
        <w:rPr>
          <w:rFonts w:ascii="Palatino Linotype" w:hAnsi="Palatino Linotype" w:cs="Arial"/>
        </w:rPr>
        <w:t xml:space="preserve"> no se tiene por cumplida por el </w:t>
      </w:r>
      <w:r>
        <w:rPr>
          <w:rFonts w:ascii="Palatino Linotype" w:hAnsi="Palatino Linotype" w:cs="Arial"/>
          <w:b/>
        </w:rPr>
        <w:t xml:space="preserve">Sujeto Obligado, </w:t>
      </w:r>
      <w:r>
        <w:rPr>
          <w:rFonts w:ascii="Palatino Linotype" w:hAnsi="Palatino Linotype" w:cs="Arial"/>
        </w:rPr>
        <w:t>atendiendo que si bien proporciona la liga electrónica para la consulta de la información; no señala de forma exacta el procedimiento para la consulta de la misma, implicando que el Recurrente</w:t>
      </w:r>
      <w:r>
        <w:rPr>
          <w:rFonts w:ascii="Palatino Linotype" w:hAnsi="Palatino Linotype" w:cs="Arial"/>
          <w:b/>
        </w:rPr>
        <w:t xml:space="preserve"> </w:t>
      </w:r>
      <w:r>
        <w:rPr>
          <w:rFonts w:ascii="Palatino Linotype" w:hAnsi="Palatino Linotype" w:cs="Arial"/>
        </w:rPr>
        <w:t>navegue en un sinfín de información.</w:t>
      </w:r>
    </w:p>
    <w:p w:rsidR="006049FF" w:rsidRDefault="006049FF" w:rsidP="006049FF">
      <w:pPr>
        <w:spacing w:line="360" w:lineRule="auto"/>
        <w:jc w:val="both"/>
        <w:rPr>
          <w:rFonts w:ascii="Palatino Linotype" w:hAnsi="Palatino Linotype" w:cs="Arial"/>
        </w:rPr>
      </w:pPr>
    </w:p>
    <w:p w:rsidR="006049FF" w:rsidRDefault="006049FF" w:rsidP="006049FF">
      <w:pPr>
        <w:spacing w:line="360" w:lineRule="auto"/>
        <w:jc w:val="both"/>
        <w:rPr>
          <w:rFonts w:ascii="Palatino Linotype" w:hAnsi="Palatino Linotype" w:cs="Arial"/>
        </w:rPr>
      </w:pPr>
      <w:r>
        <w:rPr>
          <w:rFonts w:ascii="Palatino Linotype" w:hAnsi="Palatino Linotype" w:cs="Arial"/>
        </w:rPr>
        <w:lastRenderedPageBreak/>
        <w:t xml:space="preserve">Es por lo anterior, que con base en las consideraciones de hecho y de derecho, podemos llegar a la conclusión que el </w:t>
      </w:r>
      <w:r w:rsidRPr="00F72829">
        <w:rPr>
          <w:rFonts w:ascii="Palatino Linotype" w:hAnsi="Palatino Linotype" w:cs="Arial"/>
          <w:b/>
        </w:rPr>
        <w:t>Sujeto Obligado</w:t>
      </w:r>
      <w:r>
        <w:rPr>
          <w:rFonts w:ascii="Palatino Linotype" w:hAnsi="Palatino Linotype" w:cs="Arial"/>
        </w:rPr>
        <w:t xml:space="preserve"> es omiso en satisfacer el derecho de acceso a la información del </w:t>
      </w:r>
      <w:r w:rsidRPr="00F72829">
        <w:rPr>
          <w:rFonts w:ascii="Palatino Linotype" w:hAnsi="Palatino Linotype" w:cs="Arial"/>
          <w:b/>
        </w:rPr>
        <w:t>Recurrente</w:t>
      </w:r>
      <w:r>
        <w:rPr>
          <w:rFonts w:ascii="Palatino Linotype" w:hAnsi="Palatino Linotype" w:cs="Arial"/>
        </w:rPr>
        <w:t>, al dejar de informar de forma exacta la liga de consulta, así como el procedimiento para la obtención de la información, en consecuencia resulta dable ordenar su entrega.</w:t>
      </w:r>
    </w:p>
    <w:p w:rsidR="00343F97" w:rsidRDefault="00343F97" w:rsidP="006049FF">
      <w:pPr>
        <w:spacing w:line="360" w:lineRule="auto"/>
        <w:jc w:val="both"/>
        <w:rPr>
          <w:rFonts w:ascii="Palatino Linotype" w:hAnsi="Palatino Linotype" w:cs="Arial"/>
        </w:rPr>
      </w:pPr>
    </w:p>
    <w:p w:rsidR="00343F97" w:rsidRPr="00343F97" w:rsidRDefault="00D141B9" w:rsidP="00343F97">
      <w:pPr>
        <w:spacing w:line="360" w:lineRule="auto"/>
        <w:ind w:right="49"/>
        <w:jc w:val="both"/>
        <w:rPr>
          <w:rFonts w:ascii="Palatino Linotype" w:hAnsi="Palatino Linotype" w:cs="Arial"/>
          <w:lang w:val="es-MX"/>
        </w:rPr>
      </w:pPr>
      <w:r>
        <w:rPr>
          <w:rFonts w:ascii="Palatino Linotype" w:hAnsi="Palatino Linotype" w:cs="Arial"/>
          <w:lang w:val="es-MX"/>
        </w:rPr>
        <w:t xml:space="preserve">Atentos a la calidad de la información peticionada relativa a las medidas del edificio y de las oficinas, la misma pudiera encontrarse en los inventarios de bienes </w:t>
      </w:r>
      <w:proofErr w:type="spellStart"/>
      <w:r>
        <w:rPr>
          <w:rFonts w:ascii="Palatino Linotype" w:hAnsi="Palatino Linotype" w:cs="Arial"/>
          <w:lang w:val="es-MX"/>
        </w:rPr>
        <w:t>bienes</w:t>
      </w:r>
      <w:proofErr w:type="spellEnd"/>
      <w:r>
        <w:rPr>
          <w:rFonts w:ascii="Palatino Linotype" w:hAnsi="Palatino Linotype" w:cs="Arial"/>
          <w:lang w:val="es-MX"/>
        </w:rPr>
        <w:t xml:space="preserve"> e inmuebles elaborados por los Sujetos Obligados, por ello resulta necesario señalar que </w:t>
      </w:r>
      <w:r w:rsidR="00343F97" w:rsidRPr="00343F97">
        <w:rPr>
          <w:rFonts w:ascii="Palatino Linotype" w:hAnsi="Palatino Linotype" w:cs="Arial"/>
          <w:lang w:val="es-MX"/>
        </w:rPr>
        <w:t>los Lineamientos para el registro y control del inventario y la conciliación y desincorporación de bienes muebles e inmuebles para las entidades fiscalizables Municipales del Estado de México que disponen:</w:t>
      </w:r>
    </w:p>
    <w:p w:rsidR="00343F97" w:rsidRPr="00343F97" w:rsidRDefault="00343F97" w:rsidP="00343F97">
      <w:pPr>
        <w:spacing w:line="360" w:lineRule="auto"/>
        <w:ind w:right="49"/>
        <w:jc w:val="both"/>
        <w:rPr>
          <w:rFonts w:ascii="Palatino Linotype" w:hAnsi="Palatino Linotype" w:cs="Arial"/>
          <w:lang w:val="es-MX"/>
        </w:rPr>
      </w:pP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 xml:space="preserve">“DÉCIMO: Son sujetos de los presentes Lineamientos: </w:t>
      </w:r>
    </w:p>
    <w:p w:rsidR="00D141B9" w:rsidRPr="00D141B9" w:rsidRDefault="00D141B9" w:rsidP="00ED2FCD">
      <w:pPr>
        <w:ind w:left="567" w:right="616"/>
        <w:jc w:val="both"/>
        <w:rPr>
          <w:rFonts w:ascii="Palatino Linotype" w:hAnsi="Palatino Linotype"/>
          <w:i/>
          <w:sz w:val="22"/>
          <w:szCs w:val="22"/>
          <w:lang w:val="es-MX"/>
        </w:rPr>
      </w:pPr>
      <w:r w:rsidRPr="00D141B9">
        <w:rPr>
          <w:rFonts w:ascii="Palatino Linotype" w:hAnsi="Palatino Linotype"/>
          <w:i/>
          <w:sz w:val="22"/>
          <w:szCs w:val="22"/>
          <w:lang w:val="es-MX"/>
        </w:rPr>
        <w:t>V. Otros organismos descentralizados:</w:t>
      </w:r>
    </w:p>
    <w:p w:rsidR="00D141B9" w:rsidRPr="00D141B9" w:rsidRDefault="00D141B9" w:rsidP="00ED2FCD">
      <w:pPr>
        <w:ind w:left="567" w:right="616"/>
        <w:jc w:val="both"/>
        <w:rPr>
          <w:rFonts w:ascii="Palatino Linotype" w:hAnsi="Palatino Linotype"/>
          <w:i/>
          <w:sz w:val="22"/>
          <w:szCs w:val="22"/>
          <w:lang w:val="es-MX"/>
        </w:rPr>
      </w:pPr>
      <w:r w:rsidRPr="00D141B9">
        <w:rPr>
          <w:rFonts w:ascii="Palatino Linotype" w:hAnsi="Palatino Linotype"/>
          <w:i/>
          <w:sz w:val="22"/>
          <w:szCs w:val="22"/>
          <w:lang w:val="es-MX"/>
        </w:rPr>
        <w:t>a) Director General o su equivalente;</w:t>
      </w:r>
    </w:p>
    <w:p w:rsidR="00D141B9" w:rsidRPr="00D141B9" w:rsidRDefault="00D141B9" w:rsidP="00ED2FCD">
      <w:pPr>
        <w:ind w:left="567" w:right="616"/>
        <w:jc w:val="both"/>
        <w:rPr>
          <w:rFonts w:ascii="Palatino Linotype" w:hAnsi="Palatino Linotype"/>
          <w:i/>
          <w:sz w:val="22"/>
          <w:szCs w:val="22"/>
          <w:lang w:val="es-MX"/>
        </w:rPr>
      </w:pPr>
      <w:r w:rsidRPr="00D141B9">
        <w:rPr>
          <w:rFonts w:ascii="Palatino Linotype" w:hAnsi="Palatino Linotype"/>
          <w:i/>
          <w:sz w:val="22"/>
          <w:szCs w:val="22"/>
          <w:lang w:val="es-MX"/>
        </w:rPr>
        <w:t>b) Director de Finanzas o Tesorero o su equivalente; y</w:t>
      </w:r>
    </w:p>
    <w:p w:rsidR="00343F97" w:rsidRDefault="00D141B9" w:rsidP="00ED2FCD">
      <w:pPr>
        <w:ind w:left="567" w:right="616"/>
        <w:jc w:val="both"/>
        <w:rPr>
          <w:rFonts w:ascii="Palatino Linotype" w:hAnsi="Palatino Linotype"/>
          <w:i/>
          <w:sz w:val="22"/>
          <w:szCs w:val="22"/>
          <w:lang w:val="es-MX"/>
        </w:rPr>
      </w:pPr>
      <w:r w:rsidRPr="00D141B9">
        <w:rPr>
          <w:rFonts w:ascii="Palatino Linotype" w:hAnsi="Palatino Linotype"/>
          <w:i/>
          <w:sz w:val="22"/>
          <w:szCs w:val="22"/>
          <w:lang w:val="es-MX"/>
        </w:rPr>
        <w:t>c) Titular del Órgano de Control Interno o su equivalente.</w:t>
      </w:r>
    </w:p>
    <w:p w:rsidR="00D141B9" w:rsidRPr="00343F97" w:rsidRDefault="00D141B9" w:rsidP="00ED2FCD">
      <w:pPr>
        <w:ind w:left="567" w:right="616"/>
        <w:jc w:val="both"/>
        <w:rPr>
          <w:rFonts w:ascii="Palatino Linotype" w:hAnsi="Palatino Linotype" w:cs="Arial"/>
          <w:i/>
          <w:sz w:val="22"/>
          <w:szCs w:val="22"/>
          <w:lang w:val="es-MX"/>
        </w:rPr>
      </w:pPr>
      <w:r w:rsidRPr="00D141B9">
        <w:rPr>
          <w:rFonts w:ascii="Palatino Linotype" w:hAnsi="Palatino Linotype" w:cs="Arial"/>
          <w:i/>
          <w:sz w:val="22"/>
          <w:szCs w:val="22"/>
          <w:lang w:val="es-MX"/>
        </w:rPr>
        <w:t>Así como todos aquellos servidores públicos que manejen, administren, controlen o tengan bajo su resguardo bienes de</w:t>
      </w:r>
      <w:r>
        <w:rPr>
          <w:rFonts w:ascii="Palatino Linotype" w:hAnsi="Palatino Linotype" w:cs="Arial"/>
          <w:i/>
          <w:sz w:val="22"/>
          <w:szCs w:val="22"/>
          <w:lang w:val="es-MX"/>
        </w:rPr>
        <w:t xml:space="preserve"> </w:t>
      </w:r>
      <w:r w:rsidRPr="00D141B9">
        <w:rPr>
          <w:rFonts w:ascii="Palatino Linotype" w:hAnsi="Palatino Linotype" w:cs="Arial"/>
          <w:i/>
          <w:sz w:val="22"/>
          <w:szCs w:val="22"/>
          <w:lang w:val="es-MX"/>
        </w:rPr>
        <w:t>propiedad de la entidad fiscalizable.</w:t>
      </w:r>
    </w:p>
    <w:p w:rsidR="00343F97" w:rsidRPr="00343F97" w:rsidRDefault="00343F97" w:rsidP="00ED2FCD">
      <w:pPr>
        <w:ind w:left="567" w:right="616"/>
        <w:jc w:val="both"/>
        <w:rPr>
          <w:rFonts w:ascii="Palatino Linotype" w:hAnsi="Palatino Linotype" w:cs="Arial"/>
          <w:i/>
          <w:sz w:val="22"/>
          <w:szCs w:val="22"/>
          <w:lang w:val="es-MX"/>
        </w:rPr>
      </w:pP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 xml:space="preserve">DÉCIMO PRIMERO: Para realizar los trabajos de control de los bienes, en sesión del órgano máximo de gobierno de cada entidad fiscalizable, se aprobará la constitución de un comité que se denominará: "Comité de Bienes Muebles e Inmuebles." La sesión del comité es el foro donde las entidades fiscalizables, podrán realizar el análisis y adopción de criterios, medidas eficaces y oportunas para mantener los controles necesarios en los inventarios y su congruencia con los registros contables con el fin de que la administración municipal tenga la certeza de que los bienes muebles registrados en los estados financieros, sean los que se encuentran físicamente en posesión de la entidad fiscalizable y tendrá por objeto: </w:t>
      </w: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 xml:space="preserve">I. Coadyuvar en la integración y actualización permanente del inventario de bienes muebles e inmuebles propiedad de las entidades fiscalizables; </w:t>
      </w: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lastRenderedPageBreak/>
        <w:t xml:space="preserve">II. Identificar, analizar y evaluar la problemática que afecta al activo no circulante, así como proponer las medidas tendientes a solucionarla; </w:t>
      </w: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 xml:space="preserve">III. Analizar y aplicar el marco jurídico al activo no circulante; y </w:t>
      </w: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IV. Promover la adopción de los criterios para llevar a cabo los procedimientos conducentes a la recuperación y baja de los bienes propiedad de las entidades fiscalizables.</w:t>
      </w:r>
    </w:p>
    <w:p w:rsidR="00343F97" w:rsidRPr="00343F97" w:rsidRDefault="00343F97" w:rsidP="00ED2FCD">
      <w:pPr>
        <w:ind w:left="567" w:right="616"/>
        <w:jc w:val="both"/>
        <w:rPr>
          <w:rFonts w:ascii="Palatino Linotype" w:hAnsi="Palatino Linotype"/>
          <w:i/>
          <w:sz w:val="22"/>
          <w:szCs w:val="22"/>
          <w:lang w:val="es-MX"/>
        </w:rPr>
      </w:pP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 xml:space="preserve">DÉCIMO SÉPTIMO: El CREG-patrimonial, es un sistema automatizado que integra y controla la información de las cuentas de bienes Muebles e inmuebles de las entidades fiscalizables, permitiendo la consolidación del expediente de cada bien, proporcionando información de manera ágil y oportuna para su consulta y fiscalización, a través de la emisión de los listados de inventarios en los diferentes reportes utilizados. </w:t>
      </w: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Las entidades fiscalizables podrán utilizar el CREG patrimonial como una herramienta informática que les permita el control de sus bienes muebles e inmuebles.</w:t>
      </w:r>
    </w:p>
    <w:p w:rsidR="00343F97" w:rsidRPr="00343F97" w:rsidRDefault="00343F97" w:rsidP="00ED2FCD">
      <w:pPr>
        <w:ind w:left="567" w:right="616"/>
        <w:jc w:val="both"/>
        <w:rPr>
          <w:rFonts w:ascii="Palatino Linotype" w:hAnsi="Palatino Linotype"/>
          <w:i/>
          <w:sz w:val="22"/>
          <w:szCs w:val="22"/>
          <w:lang w:val="es-MX"/>
        </w:rPr>
      </w:pP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 xml:space="preserve">DÉCIMO OCTAVO: El libro especial, es el documento que contiene el registro histórico de los movimientos de bienes muebles e inmuebles propiedad de las entidades fiscalizables, con la expresión de sus valores, características de identificación, uso y destino de los mismos. </w:t>
      </w: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 xml:space="preserve">Los datos de identificación de los bienes muebles son: número de inventario, nombre del bien, marca, modelo, número de serie, estado de uso, destino, utilidad, número de factura, fecha de adquisición, costo y observaciones. </w:t>
      </w: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 xml:space="preserve">Los datos de identificación de los bienes inmuebles son: nombre del bien, calle y número, localidad, colindancias, tipo de inmueble, destino, superficie, medio de adquisición, valor, situación legal, régimen de propiedad y observaciones. </w:t>
      </w:r>
    </w:p>
    <w:p w:rsidR="00343F97" w:rsidRPr="00343F97" w:rsidRDefault="00343F97" w:rsidP="00ED2FCD">
      <w:pPr>
        <w:ind w:left="567" w:right="616"/>
        <w:jc w:val="both"/>
        <w:rPr>
          <w:rFonts w:ascii="Palatino Linotype" w:hAnsi="Palatino Linotype"/>
          <w:i/>
          <w:sz w:val="22"/>
          <w:szCs w:val="22"/>
          <w:lang w:val="es-MX"/>
        </w:rPr>
      </w:pPr>
      <w:r w:rsidRPr="00343F97">
        <w:rPr>
          <w:rFonts w:ascii="Palatino Linotype" w:hAnsi="Palatino Linotype"/>
          <w:i/>
          <w:sz w:val="22"/>
          <w:szCs w:val="22"/>
          <w:lang w:val="es-MX"/>
        </w:rPr>
        <w:t>DÉCIMO NOVENO: El órgano máximo de gobierno aprobará los movimientos en el libro especial y el síndico o en su caso el director general o su equivalente hará que se inscriban en el mismo.”</w:t>
      </w:r>
    </w:p>
    <w:p w:rsidR="00343F97" w:rsidRPr="00343F97" w:rsidRDefault="00343F97" w:rsidP="00343F97">
      <w:pPr>
        <w:spacing w:line="360" w:lineRule="auto"/>
        <w:jc w:val="both"/>
        <w:rPr>
          <w:rFonts w:ascii="Palatino Linotype" w:hAnsi="Palatino Linotype" w:cs="Arial"/>
          <w:lang w:val="es-MX"/>
        </w:rPr>
      </w:pPr>
    </w:p>
    <w:p w:rsidR="00343F97" w:rsidRDefault="00343F97" w:rsidP="00343F97">
      <w:pPr>
        <w:spacing w:line="360" w:lineRule="auto"/>
        <w:jc w:val="both"/>
        <w:rPr>
          <w:rFonts w:ascii="Palatino Linotype" w:hAnsi="Palatino Linotype" w:cs="Arial"/>
          <w:lang w:val="es-MX"/>
        </w:rPr>
      </w:pPr>
      <w:r w:rsidRPr="00343F97">
        <w:rPr>
          <w:rFonts w:ascii="Palatino Linotype" w:hAnsi="Palatino Linotype" w:cs="Arial"/>
          <w:lang w:val="es-MX"/>
        </w:rPr>
        <w:t>Por otra parte, los Lineamientos para la elaboración y presentación de la Cuenta Pública Municipal, disponen:</w:t>
      </w:r>
    </w:p>
    <w:p w:rsidR="00ED2FCD" w:rsidRPr="00343F97" w:rsidRDefault="00ED2FCD" w:rsidP="00343F97">
      <w:pPr>
        <w:spacing w:line="360" w:lineRule="auto"/>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25095</wp:posOffset>
                </wp:positionH>
                <wp:positionV relativeFrom="paragraph">
                  <wp:posOffset>83018</wp:posOffset>
                </wp:positionV>
                <wp:extent cx="5756745" cy="1590261"/>
                <wp:effectExtent l="0" t="0" r="73025" b="67310"/>
                <wp:wrapNone/>
                <wp:docPr id="2" name="Conector recto de flecha 2"/>
                <wp:cNvGraphicFramePr/>
                <a:graphic xmlns:a="http://schemas.openxmlformats.org/drawingml/2006/main">
                  <a:graphicData uri="http://schemas.microsoft.com/office/word/2010/wordprocessingShape">
                    <wps:wsp>
                      <wps:cNvCnPr/>
                      <wps:spPr>
                        <a:xfrm>
                          <a:off x="0" y="0"/>
                          <a:ext cx="5756745" cy="159026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7FF30AE" id="_x0000_t32" coordsize="21600,21600" o:spt="32" o:oned="t" path="m,l21600,21600e" filled="f">
                <v:path arrowok="t" fillok="f" o:connecttype="none"/>
                <o:lock v:ext="edit" shapetype="t"/>
              </v:shapetype>
              <v:shape id="Conector recto de flecha 2" o:spid="_x0000_s1026" type="#_x0000_t32" style="position:absolute;margin-left:2pt;margin-top:6.55pt;width:453.3pt;height:125.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" strokecolor="black [3200]" strokeweight="1.5pt">
                <v:stroke endarrow="block" joinstyle="miter"/>
              </v:shape>
            </w:pict>
          </mc:Fallback>
        </mc:AlternateContent>
      </w:r>
    </w:p>
    <w:p w:rsidR="00343F97" w:rsidRDefault="00343F97" w:rsidP="00343F97">
      <w:pPr>
        <w:spacing w:line="360" w:lineRule="auto"/>
        <w:jc w:val="both"/>
        <w:rPr>
          <w:rFonts w:ascii="Palatino Linotype" w:hAnsi="Palatino Linotype" w:cs="Arial"/>
          <w:lang w:val="es-MX"/>
        </w:rPr>
      </w:pPr>
      <w:r w:rsidRPr="00343F97">
        <w:rPr>
          <w:noProof/>
          <w:lang w:val="es-MX" w:eastAsia="es-MX"/>
        </w:rPr>
        <w:lastRenderedPageBreak/>
        <w:drawing>
          <wp:inline distT="0" distB="0" distL="0" distR="0" wp14:anchorId="4AB67906" wp14:editId="554DABCD">
            <wp:extent cx="5731510" cy="5724525"/>
            <wp:effectExtent l="0" t="0" r="254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098" t="16809" r="37257" b="19160"/>
                    <a:stretch/>
                  </pic:blipFill>
                  <pic:spPr bwMode="auto">
                    <a:xfrm>
                      <a:off x="0" y="0"/>
                      <a:ext cx="5760120" cy="5753100"/>
                    </a:xfrm>
                    <a:prstGeom prst="rect">
                      <a:avLst/>
                    </a:prstGeom>
                    <a:ln>
                      <a:noFill/>
                    </a:ln>
                    <a:extLst>
                      <a:ext uri="{53640926-AAD7-44D8-BBD7-CCE9431645EC}">
                        <a14:shadowObscured xmlns:a14="http://schemas.microsoft.com/office/drawing/2010/main"/>
                      </a:ext>
                    </a:extLst>
                  </pic:spPr>
                </pic:pic>
              </a:graphicData>
            </a:graphic>
          </wp:inline>
        </w:drawing>
      </w:r>
    </w:p>
    <w:p w:rsidR="00ED2FCD" w:rsidRPr="00343F97" w:rsidRDefault="00ED2FCD" w:rsidP="00343F97">
      <w:pPr>
        <w:spacing w:line="360" w:lineRule="auto"/>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72803</wp:posOffset>
                </wp:positionH>
                <wp:positionV relativeFrom="paragraph">
                  <wp:posOffset>92543</wp:posOffset>
                </wp:positionV>
                <wp:extent cx="5709037" cy="1773141"/>
                <wp:effectExtent l="0" t="0" r="82550" b="74930"/>
                <wp:wrapNone/>
                <wp:docPr id="3" name="Conector recto de flecha 3"/>
                <wp:cNvGraphicFramePr/>
                <a:graphic xmlns:a="http://schemas.openxmlformats.org/drawingml/2006/main">
                  <a:graphicData uri="http://schemas.microsoft.com/office/word/2010/wordprocessingShape">
                    <wps:wsp>
                      <wps:cNvCnPr/>
                      <wps:spPr>
                        <a:xfrm>
                          <a:off x="0" y="0"/>
                          <a:ext cx="5709037" cy="17731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2D66454" id="Conector recto de flecha 3" o:spid="_x0000_s1026" type="#_x0000_t32" style="position:absolute;margin-left:5.75pt;margin-top:7.3pt;width:449.55pt;height:139.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" strokecolor="black [3200]" strokeweight="1.5pt">
                <v:stroke endarrow="block" joinstyle="miter"/>
              </v:shape>
            </w:pict>
          </mc:Fallback>
        </mc:AlternateContent>
      </w:r>
    </w:p>
    <w:p w:rsidR="00343F97" w:rsidRPr="00343F97" w:rsidRDefault="00343F97" w:rsidP="00343F97">
      <w:pPr>
        <w:spacing w:line="360" w:lineRule="auto"/>
        <w:jc w:val="both"/>
        <w:rPr>
          <w:rFonts w:ascii="Palatino Linotype" w:hAnsi="Palatino Linotype" w:cs="Arial"/>
          <w:lang w:val="es-MX"/>
        </w:rPr>
      </w:pPr>
      <w:r w:rsidRPr="00343F97">
        <w:rPr>
          <w:noProof/>
          <w:lang w:val="es-MX" w:eastAsia="es-MX"/>
        </w:rPr>
        <w:lastRenderedPageBreak/>
        <w:drawing>
          <wp:inline distT="0" distB="0" distL="0" distR="0" wp14:anchorId="1FC4C266" wp14:editId="5A627E3F">
            <wp:extent cx="5737225" cy="72247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75" t="11840" r="32487" b="7611"/>
                    <a:stretch/>
                  </pic:blipFill>
                  <pic:spPr bwMode="auto">
                    <a:xfrm>
                      <a:off x="0" y="0"/>
                      <a:ext cx="5780377" cy="7279051"/>
                    </a:xfrm>
                    <a:prstGeom prst="rect">
                      <a:avLst/>
                    </a:prstGeom>
                    <a:ln>
                      <a:noFill/>
                    </a:ln>
                    <a:extLst>
                      <a:ext uri="{53640926-AAD7-44D8-BBD7-CCE9431645EC}">
                        <a14:shadowObscured xmlns:a14="http://schemas.microsoft.com/office/drawing/2010/main"/>
                      </a:ext>
                    </a:extLst>
                  </pic:spPr>
                </pic:pic>
              </a:graphicData>
            </a:graphic>
          </wp:inline>
        </w:drawing>
      </w:r>
    </w:p>
    <w:p w:rsidR="00343F97" w:rsidRPr="00343F97" w:rsidRDefault="00343F97" w:rsidP="00343F97">
      <w:pPr>
        <w:spacing w:line="360" w:lineRule="auto"/>
        <w:jc w:val="both"/>
        <w:rPr>
          <w:rFonts w:ascii="Palatino Linotype" w:hAnsi="Palatino Linotype" w:cs="Arial"/>
          <w:lang w:val="es-MX"/>
        </w:rPr>
      </w:pPr>
      <w:r w:rsidRPr="00343F97">
        <w:rPr>
          <w:noProof/>
          <w:lang w:val="es-MX" w:eastAsia="es-MX"/>
        </w:rPr>
        <w:lastRenderedPageBreak/>
        <w:drawing>
          <wp:inline distT="0" distB="0" distL="0" distR="0" wp14:anchorId="0F9223C3" wp14:editId="7472A064">
            <wp:extent cx="5695522" cy="3148012"/>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49" t="15201" r="32488" b="29250"/>
                    <a:stretch/>
                  </pic:blipFill>
                  <pic:spPr bwMode="auto">
                    <a:xfrm>
                      <a:off x="0" y="0"/>
                      <a:ext cx="5711521" cy="3156855"/>
                    </a:xfrm>
                    <a:prstGeom prst="rect">
                      <a:avLst/>
                    </a:prstGeom>
                    <a:ln>
                      <a:noFill/>
                    </a:ln>
                    <a:extLst>
                      <a:ext uri="{53640926-AAD7-44D8-BBD7-CCE9431645EC}">
                        <a14:shadowObscured xmlns:a14="http://schemas.microsoft.com/office/drawing/2010/main"/>
                      </a:ext>
                    </a:extLst>
                  </pic:spPr>
                </pic:pic>
              </a:graphicData>
            </a:graphic>
          </wp:inline>
        </w:drawing>
      </w:r>
    </w:p>
    <w:p w:rsidR="00343F97" w:rsidRPr="00343F97" w:rsidRDefault="00343F97" w:rsidP="00343F97">
      <w:pPr>
        <w:spacing w:line="360" w:lineRule="auto"/>
        <w:jc w:val="both"/>
        <w:rPr>
          <w:rFonts w:ascii="Palatino Linotype" w:hAnsi="Palatino Linotype" w:cs="Arial"/>
          <w:lang w:val="es-MX"/>
        </w:rPr>
      </w:pPr>
      <w:r w:rsidRPr="00343F97">
        <w:rPr>
          <w:noProof/>
          <w:lang w:val="es-MX" w:eastAsia="es-MX"/>
        </w:rPr>
        <w:drawing>
          <wp:inline distT="0" distB="0" distL="0" distR="0" wp14:anchorId="6C801124" wp14:editId="081E72D0">
            <wp:extent cx="5772150" cy="39671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299" t="19441" r="26647" b="25739"/>
                    <a:stretch/>
                  </pic:blipFill>
                  <pic:spPr bwMode="auto">
                    <a:xfrm>
                      <a:off x="0" y="0"/>
                      <a:ext cx="5786765" cy="3977207"/>
                    </a:xfrm>
                    <a:prstGeom prst="rect">
                      <a:avLst/>
                    </a:prstGeom>
                    <a:ln>
                      <a:noFill/>
                    </a:ln>
                    <a:extLst>
                      <a:ext uri="{53640926-AAD7-44D8-BBD7-CCE9431645EC}">
                        <a14:shadowObscured xmlns:a14="http://schemas.microsoft.com/office/drawing/2010/main"/>
                      </a:ext>
                    </a:extLst>
                  </pic:spPr>
                </pic:pic>
              </a:graphicData>
            </a:graphic>
          </wp:inline>
        </w:drawing>
      </w:r>
    </w:p>
    <w:p w:rsidR="00343F97" w:rsidRDefault="00343F97" w:rsidP="00343F97">
      <w:pPr>
        <w:spacing w:line="360" w:lineRule="auto"/>
        <w:jc w:val="both"/>
        <w:rPr>
          <w:rFonts w:ascii="Palatino Linotype" w:hAnsi="Palatino Linotype" w:cs="Arial"/>
          <w:lang w:val="es-MX"/>
        </w:rPr>
      </w:pPr>
      <w:r w:rsidRPr="00343F97">
        <w:rPr>
          <w:rFonts w:ascii="Palatino Linotype" w:hAnsi="Palatino Linotype" w:cs="Arial"/>
          <w:lang w:val="es-MX"/>
        </w:rPr>
        <w:lastRenderedPageBreak/>
        <w:t xml:space="preserve">De lo anterior, se desprende que existe un expediente que debe de contar </w:t>
      </w:r>
      <w:r w:rsidR="00D141B9" w:rsidRPr="00343F97">
        <w:rPr>
          <w:rFonts w:ascii="Palatino Linotype" w:hAnsi="Palatino Linotype" w:cs="Arial"/>
          <w:b/>
          <w:lang w:val="es-MX"/>
        </w:rPr>
        <w:t>El Sujeto Obligado</w:t>
      </w:r>
      <w:r w:rsidRPr="00343F97">
        <w:rPr>
          <w:rFonts w:ascii="Palatino Linotype" w:hAnsi="Palatino Linotype" w:cs="Arial"/>
          <w:lang w:val="es-MX"/>
        </w:rPr>
        <w:t xml:space="preserve"> para poder integrar el bien mueble al patrimonio de</w:t>
      </w:r>
      <w:r w:rsidR="00D141B9">
        <w:rPr>
          <w:rFonts w:ascii="Palatino Linotype" w:hAnsi="Palatino Linotype" w:cs="Arial"/>
          <w:lang w:val="es-MX"/>
        </w:rPr>
        <w:t xml:space="preserve"> </w:t>
      </w:r>
      <w:r w:rsidRPr="00343F97">
        <w:rPr>
          <w:rFonts w:ascii="Palatino Linotype" w:hAnsi="Palatino Linotype" w:cs="Arial"/>
          <w:lang w:val="es-MX"/>
        </w:rPr>
        <w:t>l</w:t>
      </w:r>
      <w:r w:rsidR="00D141B9">
        <w:rPr>
          <w:rFonts w:ascii="Palatino Linotype" w:hAnsi="Palatino Linotype" w:cs="Arial"/>
          <w:lang w:val="es-MX"/>
        </w:rPr>
        <w:t>a Comisión</w:t>
      </w:r>
      <w:r w:rsidRPr="00343F97">
        <w:rPr>
          <w:rFonts w:ascii="Palatino Linotype" w:hAnsi="Palatino Linotype" w:cs="Arial"/>
          <w:lang w:val="es-MX"/>
        </w:rPr>
        <w:t>, por lo que se debe ordenar una búsqueda en todas las áreas que pudieran contar con la información en términos de lo que dispone el artículo 162 de la Ley de Transparencia y Acceso a la Información Pública del Estado de México y Municipios que dispone:</w:t>
      </w:r>
    </w:p>
    <w:p w:rsidR="00343F97" w:rsidRPr="00343F97" w:rsidRDefault="00343F97" w:rsidP="00343F97">
      <w:pPr>
        <w:spacing w:line="360" w:lineRule="auto"/>
        <w:jc w:val="both"/>
        <w:rPr>
          <w:rFonts w:ascii="Palatino Linotype" w:hAnsi="Palatino Linotype" w:cs="Arial"/>
          <w:lang w:val="es-MX"/>
        </w:rPr>
      </w:pPr>
    </w:p>
    <w:p w:rsidR="00343F97" w:rsidRPr="00343F97" w:rsidRDefault="00343F97" w:rsidP="00ED2FCD">
      <w:pPr>
        <w:ind w:left="567" w:right="616"/>
        <w:jc w:val="both"/>
        <w:rPr>
          <w:rFonts w:ascii="Palatino Linotype" w:hAnsi="Palatino Linotype" w:cs="Arial"/>
          <w:i/>
          <w:sz w:val="22"/>
          <w:szCs w:val="22"/>
          <w:lang w:val="es-MX"/>
        </w:rPr>
      </w:pPr>
      <w:r w:rsidRPr="00343F97">
        <w:rPr>
          <w:rFonts w:ascii="Palatino Linotype" w:hAnsi="Palatino Linotype"/>
          <w:i/>
          <w:sz w:val="22"/>
          <w:szCs w:val="22"/>
          <w:lang w:val="es-MX"/>
        </w:rPr>
        <w:t>“</w:t>
      </w:r>
      <w:r w:rsidRPr="00D141B9">
        <w:rPr>
          <w:rFonts w:ascii="Palatino Linotype" w:hAnsi="Palatino Linotype"/>
          <w:b/>
          <w:i/>
          <w:sz w:val="22"/>
          <w:szCs w:val="22"/>
          <w:lang w:val="es-MX"/>
        </w:rPr>
        <w:t>Artículo 162.</w:t>
      </w:r>
      <w:r w:rsidRPr="00343F97">
        <w:rPr>
          <w:rFonts w:ascii="Palatino Linotype" w:hAnsi="Palatino Linotype"/>
          <w:i/>
          <w:sz w:val="22"/>
          <w:szCs w:val="22"/>
          <w:lang w:val="es-MX"/>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343F97" w:rsidRDefault="00343F97" w:rsidP="00343F97">
      <w:pPr>
        <w:spacing w:line="360" w:lineRule="auto"/>
        <w:jc w:val="both"/>
        <w:rPr>
          <w:rFonts w:ascii="Palatino Linotype" w:hAnsi="Palatino Linotype" w:cs="Arial"/>
          <w:lang w:val="es-MX"/>
        </w:rPr>
      </w:pPr>
    </w:p>
    <w:p w:rsidR="00D141B9" w:rsidRDefault="00D141B9" w:rsidP="00343F97">
      <w:pPr>
        <w:spacing w:line="360" w:lineRule="auto"/>
        <w:jc w:val="both"/>
        <w:rPr>
          <w:rFonts w:ascii="Palatino Linotype" w:hAnsi="Palatino Linotype" w:cs="Arial"/>
          <w:lang w:val="es-MX"/>
        </w:rPr>
      </w:pPr>
      <w:r>
        <w:rPr>
          <w:rFonts w:ascii="Palatino Linotype" w:hAnsi="Palatino Linotype" w:cs="Arial"/>
          <w:lang w:val="es-MX"/>
        </w:rPr>
        <w:t>Por lo que corresponde a que si los servidores públicos que ocupan las oficinas y si respetan la distancia de seguridad para evitar contagios, la información pudiera contar en las listas de asistencia generadas a partir de la contingencia sanitaria ocasionada por la Pandemia Mundial del Covid-19, documentos que de conformidad con el artículo 220 K de la Ley del Trabajo de los Servidores Públicos del Estado de México, el Sujeto Obligado, debe generar y mantener en sus archivos, se cita el ordenamiento para mayor referencia:</w:t>
      </w:r>
    </w:p>
    <w:p w:rsidR="00D141B9" w:rsidRDefault="00D141B9" w:rsidP="00343F97">
      <w:pPr>
        <w:spacing w:line="360" w:lineRule="auto"/>
        <w:jc w:val="both"/>
        <w:rPr>
          <w:rFonts w:ascii="Palatino Linotype" w:hAnsi="Palatino Linotype" w:cs="Arial"/>
          <w:lang w:val="es-MX"/>
        </w:rPr>
      </w:pPr>
    </w:p>
    <w:p w:rsidR="00D141B9" w:rsidRDefault="00D141B9" w:rsidP="00ED2FCD">
      <w:pPr>
        <w:ind w:left="567" w:right="616"/>
        <w:jc w:val="both"/>
        <w:rPr>
          <w:rFonts w:ascii="Palatino Linotype" w:hAnsi="Palatino Linotype" w:cs="Arial"/>
          <w:i/>
          <w:sz w:val="22"/>
          <w:lang w:val="es-MX"/>
        </w:rPr>
      </w:pPr>
      <w:r>
        <w:rPr>
          <w:rFonts w:ascii="Palatino Linotype" w:hAnsi="Palatino Linotype" w:cs="Arial"/>
          <w:i/>
          <w:sz w:val="22"/>
          <w:lang w:val="es-MX"/>
        </w:rPr>
        <w:t>“</w:t>
      </w:r>
      <w:r w:rsidRPr="00D141B9">
        <w:rPr>
          <w:rFonts w:ascii="Palatino Linotype" w:hAnsi="Palatino Linotype" w:cs="Arial"/>
          <w:b/>
          <w:i/>
          <w:sz w:val="22"/>
          <w:lang w:val="es-MX"/>
        </w:rPr>
        <w:t>ARTÍCULO 220 K.-</w:t>
      </w:r>
      <w:r w:rsidRPr="00D141B9">
        <w:rPr>
          <w:rFonts w:ascii="Palatino Linotype" w:hAnsi="Palatino Linotype" w:cs="Arial"/>
          <w:i/>
          <w:sz w:val="22"/>
          <w:lang w:val="es-MX"/>
        </w:rPr>
        <w:t xml:space="preserve"> La institución o dependencia pública tiene la obligación de conservar y</w:t>
      </w:r>
      <w:r>
        <w:rPr>
          <w:rFonts w:ascii="Palatino Linotype" w:hAnsi="Palatino Linotype" w:cs="Arial"/>
          <w:i/>
          <w:sz w:val="22"/>
          <w:lang w:val="es-MX"/>
        </w:rPr>
        <w:t xml:space="preserve"> </w:t>
      </w:r>
      <w:r w:rsidRPr="00D141B9">
        <w:rPr>
          <w:rFonts w:ascii="Palatino Linotype" w:hAnsi="Palatino Linotype" w:cs="Arial"/>
          <w:i/>
          <w:sz w:val="22"/>
          <w:lang w:val="es-MX"/>
        </w:rPr>
        <w:t>exhibir en el proceso los documentos que a continuación se precisan:</w:t>
      </w:r>
    </w:p>
    <w:p w:rsidR="00D141B9" w:rsidRPr="00D141B9" w:rsidRDefault="00D141B9" w:rsidP="00ED2FCD">
      <w:pPr>
        <w:ind w:left="567" w:right="616"/>
        <w:jc w:val="both"/>
        <w:rPr>
          <w:rFonts w:ascii="Palatino Linotype" w:hAnsi="Palatino Linotype" w:cs="Arial"/>
          <w:i/>
          <w:sz w:val="22"/>
          <w:lang w:val="es-MX"/>
        </w:rPr>
      </w:pPr>
      <w:r w:rsidRPr="00D141B9">
        <w:rPr>
          <w:rFonts w:ascii="Palatino Linotype" w:hAnsi="Palatino Linotype" w:cs="Arial"/>
          <w:i/>
          <w:sz w:val="22"/>
          <w:lang w:val="es-MX"/>
        </w:rPr>
        <w:t>I. Contratos, Nombramientos o Formato Único de Movimientos de Personal, cuando no exista</w:t>
      </w:r>
      <w:r>
        <w:rPr>
          <w:rFonts w:ascii="Palatino Linotype" w:hAnsi="Palatino Linotype" w:cs="Arial"/>
          <w:i/>
          <w:sz w:val="22"/>
          <w:lang w:val="es-MX"/>
        </w:rPr>
        <w:t xml:space="preserve"> </w:t>
      </w:r>
      <w:r w:rsidRPr="00D141B9">
        <w:rPr>
          <w:rFonts w:ascii="Palatino Linotype" w:hAnsi="Palatino Linotype" w:cs="Arial"/>
          <w:i/>
          <w:sz w:val="22"/>
          <w:lang w:val="es-MX"/>
        </w:rPr>
        <w:t>Convenio de condiciones generales de trabajo aplicable;</w:t>
      </w:r>
    </w:p>
    <w:p w:rsidR="00D141B9" w:rsidRPr="00D141B9" w:rsidRDefault="00D141B9" w:rsidP="00ED2FCD">
      <w:pPr>
        <w:ind w:left="567" w:right="616"/>
        <w:jc w:val="both"/>
        <w:rPr>
          <w:rFonts w:ascii="Palatino Linotype" w:hAnsi="Palatino Linotype" w:cs="Arial"/>
          <w:i/>
          <w:sz w:val="22"/>
          <w:lang w:val="es-MX"/>
        </w:rPr>
      </w:pPr>
      <w:r w:rsidRPr="00D141B9">
        <w:rPr>
          <w:rFonts w:ascii="Palatino Linotype" w:hAnsi="Palatino Linotype" w:cs="Arial"/>
          <w:i/>
          <w:sz w:val="22"/>
          <w:lang w:val="es-MX"/>
        </w:rPr>
        <w:t>II. Recibos de pagos de salarios o las constancias documentales del pago de salario cuando sea</w:t>
      </w:r>
      <w:r>
        <w:rPr>
          <w:rFonts w:ascii="Palatino Linotype" w:hAnsi="Palatino Linotype" w:cs="Arial"/>
          <w:i/>
          <w:sz w:val="22"/>
          <w:lang w:val="es-MX"/>
        </w:rPr>
        <w:t xml:space="preserve"> </w:t>
      </w:r>
      <w:r w:rsidRPr="00D141B9">
        <w:rPr>
          <w:rFonts w:ascii="Palatino Linotype" w:hAnsi="Palatino Linotype" w:cs="Arial"/>
          <w:i/>
          <w:sz w:val="22"/>
          <w:lang w:val="es-MX"/>
        </w:rPr>
        <w:t>por depósito o mediante información electrónica;</w:t>
      </w:r>
    </w:p>
    <w:p w:rsidR="00D141B9" w:rsidRPr="0015686C" w:rsidRDefault="00D141B9" w:rsidP="00ED2FCD">
      <w:pPr>
        <w:ind w:left="567" w:right="616"/>
        <w:jc w:val="both"/>
        <w:rPr>
          <w:rFonts w:ascii="Palatino Linotype" w:hAnsi="Palatino Linotype" w:cs="Arial"/>
          <w:i/>
          <w:sz w:val="22"/>
          <w:u w:val="single"/>
          <w:lang w:val="es-MX"/>
        </w:rPr>
      </w:pPr>
      <w:r w:rsidRPr="0015686C">
        <w:rPr>
          <w:rFonts w:ascii="Palatino Linotype" w:hAnsi="Palatino Linotype" w:cs="Arial"/>
          <w:i/>
          <w:sz w:val="22"/>
          <w:u w:val="single"/>
          <w:lang w:val="es-MX"/>
        </w:rPr>
        <w:t>III. Controles de asistencia o la información magnética o electrónica de asistencia de los servidores públicos;</w:t>
      </w:r>
    </w:p>
    <w:p w:rsidR="00D141B9" w:rsidRPr="00D141B9" w:rsidRDefault="00D141B9" w:rsidP="00ED2FCD">
      <w:pPr>
        <w:ind w:left="567" w:right="616"/>
        <w:jc w:val="both"/>
        <w:rPr>
          <w:rFonts w:ascii="Palatino Linotype" w:hAnsi="Palatino Linotype" w:cs="Arial"/>
          <w:i/>
          <w:sz w:val="22"/>
          <w:lang w:val="es-MX"/>
        </w:rPr>
      </w:pPr>
      <w:r w:rsidRPr="00D141B9">
        <w:rPr>
          <w:rFonts w:ascii="Palatino Linotype" w:hAnsi="Palatino Linotype" w:cs="Arial"/>
          <w:i/>
          <w:sz w:val="22"/>
          <w:lang w:val="es-MX"/>
        </w:rPr>
        <w:t xml:space="preserve">IV. Recibos o las constancias de </w:t>
      </w:r>
      <w:proofErr w:type="spellStart"/>
      <w:r w:rsidRPr="00D141B9">
        <w:rPr>
          <w:rFonts w:ascii="Palatino Linotype" w:hAnsi="Palatino Linotype" w:cs="Arial"/>
          <w:i/>
          <w:sz w:val="22"/>
          <w:lang w:val="es-MX"/>
        </w:rPr>
        <w:t>deposito</w:t>
      </w:r>
      <w:proofErr w:type="spellEnd"/>
      <w:r w:rsidRPr="00D141B9">
        <w:rPr>
          <w:rFonts w:ascii="Palatino Linotype" w:hAnsi="Palatino Linotype" w:cs="Arial"/>
          <w:i/>
          <w:sz w:val="22"/>
          <w:lang w:val="es-MX"/>
        </w:rPr>
        <w:t xml:space="preserve"> o del medio de información magnética o electrónica</w:t>
      </w:r>
      <w:r>
        <w:rPr>
          <w:rFonts w:ascii="Palatino Linotype" w:hAnsi="Palatino Linotype" w:cs="Arial"/>
          <w:i/>
          <w:sz w:val="22"/>
          <w:lang w:val="es-MX"/>
        </w:rPr>
        <w:t xml:space="preserve"> </w:t>
      </w:r>
      <w:r w:rsidRPr="00D141B9">
        <w:rPr>
          <w:rFonts w:ascii="Palatino Linotype" w:hAnsi="Palatino Linotype" w:cs="Arial"/>
          <w:i/>
          <w:sz w:val="22"/>
          <w:lang w:val="es-MX"/>
        </w:rPr>
        <w:t>que sean utilizadas para el pago de salarios, prima vacacional, aguinaldo y demás prestaciones</w:t>
      </w:r>
      <w:r>
        <w:rPr>
          <w:rFonts w:ascii="Palatino Linotype" w:hAnsi="Palatino Linotype" w:cs="Arial"/>
          <w:i/>
          <w:sz w:val="22"/>
          <w:lang w:val="es-MX"/>
        </w:rPr>
        <w:t xml:space="preserve"> </w:t>
      </w:r>
      <w:r w:rsidRPr="00D141B9">
        <w:rPr>
          <w:rFonts w:ascii="Palatino Linotype" w:hAnsi="Palatino Linotype" w:cs="Arial"/>
          <w:i/>
          <w:sz w:val="22"/>
          <w:lang w:val="es-MX"/>
        </w:rPr>
        <w:t>establecidas en la presente ley; y</w:t>
      </w:r>
    </w:p>
    <w:p w:rsidR="00D141B9" w:rsidRPr="00D141B9" w:rsidRDefault="00D141B9" w:rsidP="00ED2FCD">
      <w:pPr>
        <w:ind w:left="567" w:right="616"/>
        <w:jc w:val="both"/>
        <w:rPr>
          <w:rFonts w:ascii="Palatino Linotype" w:hAnsi="Palatino Linotype" w:cs="Arial"/>
          <w:i/>
          <w:sz w:val="22"/>
          <w:lang w:val="es-MX"/>
        </w:rPr>
      </w:pPr>
      <w:r w:rsidRPr="00D141B9">
        <w:rPr>
          <w:rFonts w:ascii="Palatino Linotype" w:hAnsi="Palatino Linotype" w:cs="Arial"/>
          <w:i/>
          <w:sz w:val="22"/>
          <w:lang w:val="es-MX"/>
        </w:rPr>
        <w:t>V. Los demás que señalen las leyes.</w:t>
      </w:r>
    </w:p>
    <w:p w:rsidR="00D141B9" w:rsidRPr="00D141B9" w:rsidRDefault="00D141B9" w:rsidP="00ED2FCD">
      <w:pPr>
        <w:ind w:left="567" w:right="616"/>
        <w:jc w:val="both"/>
        <w:rPr>
          <w:rFonts w:ascii="Palatino Linotype" w:hAnsi="Palatino Linotype" w:cs="Arial"/>
          <w:i/>
          <w:sz w:val="22"/>
          <w:lang w:val="es-MX"/>
        </w:rPr>
      </w:pPr>
      <w:r w:rsidRPr="00D141B9">
        <w:rPr>
          <w:rFonts w:ascii="Palatino Linotype" w:hAnsi="Palatino Linotype" w:cs="Arial"/>
          <w:i/>
          <w:sz w:val="22"/>
          <w:lang w:val="es-MX"/>
        </w:rPr>
        <w:lastRenderedPageBreak/>
        <w:t>Los documentos señalados en la fracción I de este artículo, deberán conservarse mientras dure</w:t>
      </w:r>
      <w:r>
        <w:rPr>
          <w:rFonts w:ascii="Palatino Linotype" w:hAnsi="Palatino Linotype" w:cs="Arial"/>
          <w:i/>
          <w:sz w:val="22"/>
          <w:lang w:val="es-MX"/>
        </w:rPr>
        <w:t xml:space="preserve"> </w:t>
      </w:r>
      <w:r w:rsidRPr="00D141B9">
        <w:rPr>
          <w:rFonts w:ascii="Palatino Linotype" w:hAnsi="Palatino Linotype" w:cs="Arial"/>
          <w:i/>
          <w:sz w:val="22"/>
          <w:lang w:val="es-MX"/>
        </w:rPr>
        <w:t>la relación laboral y hasta un año después; los señalados por las fracciones II, III, IV durante el</w:t>
      </w:r>
      <w:r>
        <w:rPr>
          <w:rFonts w:ascii="Palatino Linotype" w:hAnsi="Palatino Linotype" w:cs="Arial"/>
          <w:i/>
          <w:sz w:val="22"/>
          <w:lang w:val="es-MX"/>
        </w:rPr>
        <w:t xml:space="preserve"> </w:t>
      </w:r>
      <w:r w:rsidRPr="00D141B9">
        <w:rPr>
          <w:rFonts w:ascii="Palatino Linotype" w:hAnsi="Palatino Linotype" w:cs="Arial"/>
          <w:i/>
          <w:sz w:val="22"/>
          <w:lang w:val="es-MX"/>
        </w:rPr>
        <w:t>último año y un año después de que se extinga la relación laboral, y los mencionados en la</w:t>
      </w:r>
      <w:r>
        <w:rPr>
          <w:rFonts w:ascii="Palatino Linotype" w:hAnsi="Palatino Linotype" w:cs="Arial"/>
          <w:i/>
          <w:sz w:val="22"/>
          <w:lang w:val="es-MX"/>
        </w:rPr>
        <w:t xml:space="preserve"> </w:t>
      </w:r>
      <w:r w:rsidRPr="00D141B9">
        <w:rPr>
          <w:rFonts w:ascii="Palatino Linotype" w:hAnsi="Palatino Linotype" w:cs="Arial"/>
          <w:i/>
          <w:sz w:val="22"/>
          <w:lang w:val="es-MX"/>
        </w:rPr>
        <w:t>fracción V, conforme lo señalen las leyes que los rijan. Los documentos y constancias aquí</w:t>
      </w:r>
      <w:r>
        <w:rPr>
          <w:rFonts w:ascii="Palatino Linotype" w:hAnsi="Palatino Linotype" w:cs="Arial"/>
          <w:i/>
          <w:sz w:val="22"/>
          <w:lang w:val="es-MX"/>
        </w:rPr>
        <w:t xml:space="preserve"> </w:t>
      </w:r>
      <w:r w:rsidRPr="00D141B9">
        <w:rPr>
          <w:rFonts w:ascii="Palatino Linotype" w:hAnsi="Palatino Linotype" w:cs="Arial"/>
          <w:i/>
          <w:sz w:val="22"/>
          <w:lang w:val="es-MX"/>
        </w:rPr>
        <w:t>señalados, la institución o dependencia podrá conservarlos por medio de los sistemas de</w:t>
      </w:r>
      <w:r>
        <w:rPr>
          <w:rFonts w:ascii="Palatino Linotype" w:hAnsi="Palatino Linotype" w:cs="Arial"/>
          <w:i/>
          <w:sz w:val="22"/>
          <w:lang w:val="es-MX"/>
        </w:rPr>
        <w:t xml:space="preserve"> </w:t>
      </w:r>
      <w:r w:rsidRPr="00D141B9">
        <w:rPr>
          <w:rFonts w:ascii="Palatino Linotype" w:hAnsi="Palatino Linotype" w:cs="Arial"/>
          <w:i/>
          <w:sz w:val="22"/>
          <w:lang w:val="es-MX"/>
        </w:rPr>
        <w:t>digitalización o de información magnética o electrónica o cualquier medio descubierto por la</w:t>
      </w:r>
      <w:r>
        <w:rPr>
          <w:rFonts w:ascii="Palatino Linotype" w:hAnsi="Palatino Linotype" w:cs="Arial"/>
          <w:i/>
          <w:sz w:val="22"/>
          <w:lang w:val="es-MX"/>
        </w:rPr>
        <w:t xml:space="preserve"> </w:t>
      </w:r>
      <w:r w:rsidRPr="00D141B9">
        <w:rPr>
          <w:rFonts w:ascii="Palatino Linotype" w:hAnsi="Palatino Linotype" w:cs="Arial"/>
          <w:i/>
          <w:sz w:val="22"/>
          <w:lang w:val="es-MX"/>
        </w:rPr>
        <w:t>ciencia y las constancias expedidas por el encargado del área de personal de éstas, harán</w:t>
      </w:r>
      <w:r>
        <w:rPr>
          <w:rFonts w:ascii="Palatino Linotype" w:hAnsi="Palatino Linotype" w:cs="Arial"/>
          <w:i/>
          <w:sz w:val="22"/>
          <w:lang w:val="es-MX"/>
        </w:rPr>
        <w:t xml:space="preserve"> </w:t>
      </w:r>
      <w:r w:rsidRPr="00D141B9">
        <w:rPr>
          <w:rFonts w:ascii="Palatino Linotype" w:hAnsi="Palatino Linotype" w:cs="Arial"/>
          <w:i/>
          <w:sz w:val="22"/>
          <w:lang w:val="es-MX"/>
        </w:rPr>
        <w:t>prueba plena.</w:t>
      </w:r>
    </w:p>
    <w:p w:rsidR="00D141B9" w:rsidRDefault="00D141B9" w:rsidP="00ED2FCD">
      <w:pPr>
        <w:ind w:left="567" w:right="616"/>
        <w:jc w:val="both"/>
        <w:rPr>
          <w:rFonts w:ascii="Palatino Linotype" w:hAnsi="Palatino Linotype" w:cs="Arial"/>
          <w:sz w:val="22"/>
          <w:lang w:val="es-MX"/>
        </w:rPr>
      </w:pPr>
      <w:r w:rsidRPr="00D141B9">
        <w:rPr>
          <w:rFonts w:ascii="Palatino Linotype" w:hAnsi="Palatino Linotype" w:cs="Arial"/>
          <w:i/>
          <w:sz w:val="22"/>
          <w:lang w:val="es-MX"/>
        </w:rPr>
        <w:t>El incumplimiento por lo dispuesto por este artículo, establecerá la presunción de ser ciertos</w:t>
      </w:r>
      <w:r>
        <w:rPr>
          <w:rFonts w:ascii="Palatino Linotype" w:hAnsi="Palatino Linotype" w:cs="Arial"/>
          <w:i/>
          <w:sz w:val="22"/>
          <w:lang w:val="es-MX"/>
        </w:rPr>
        <w:t xml:space="preserve"> </w:t>
      </w:r>
      <w:r w:rsidRPr="00D141B9">
        <w:rPr>
          <w:rFonts w:ascii="Palatino Linotype" w:hAnsi="Palatino Linotype" w:cs="Arial"/>
          <w:i/>
          <w:sz w:val="22"/>
          <w:lang w:val="es-MX"/>
        </w:rPr>
        <w:t>los hechos que el actor exprese en su demanda, en relación con tales documentos, salvo prueba</w:t>
      </w:r>
      <w:r>
        <w:rPr>
          <w:rFonts w:ascii="Palatino Linotype" w:hAnsi="Palatino Linotype" w:cs="Arial"/>
          <w:i/>
          <w:sz w:val="22"/>
          <w:lang w:val="es-MX"/>
        </w:rPr>
        <w:t xml:space="preserve"> </w:t>
      </w:r>
      <w:r w:rsidRPr="00D141B9">
        <w:rPr>
          <w:rFonts w:ascii="Palatino Linotype" w:hAnsi="Palatino Linotype" w:cs="Arial"/>
          <w:i/>
          <w:sz w:val="22"/>
          <w:lang w:val="es-MX"/>
        </w:rPr>
        <w:t>en contrario.</w:t>
      </w:r>
      <w:r>
        <w:rPr>
          <w:rFonts w:ascii="Palatino Linotype" w:hAnsi="Palatino Linotype" w:cs="Arial"/>
          <w:i/>
          <w:sz w:val="22"/>
          <w:lang w:val="es-MX"/>
        </w:rPr>
        <w:t>”</w:t>
      </w:r>
    </w:p>
    <w:p w:rsidR="00ED2FCD" w:rsidRPr="00ED2FCD" w:rsidRDefault="00ED2FCD" w:rsidP="00ED2FCD">
      <w:pPr>
        <w:ind w:left="567" w:right="616"/>
        <w:jc w:val="right"/>
        <w:rPr>
          <w:rFonts w:ascii="Palatino Linotype" w:hAnsi="Palatino Linotype" w:cs="Arial"/>
          <w:sz w:val="22"/>
          <w:lang w:val="es-MX"/>
        </w:rPr>
      </w:pPr>
      <w:r>
        <w:rPr>
          <w:rFonts w:ascii="Palatino Linotype" w:hAnsi="Palatino Linotype" w:cs="Arial"/>
          <w:sz w:val="22"/>
          <w:lang w:val="es-MX"/>
        </w:rPr>
        <w:t>(Énfasis añadido)</w:t>
      </w:r>
    </w:p>
    <w:p w:rsidR="00D141B9" w:rsidRDefault="00D141B9" w:rsidP="00343F97">
      <w:pPr>
        <w:spacing w:line="360" w:lineRule="auto"/>
        <w:jc w:val="both"/>
        <w:rPr>
          <w:rFonts w:ascii="Palatino Linotype" w:hAnsi="Palatino Linotype" w:cs="Arial"/>
          <w:lang w:val="es-MX"/>
        </w:rPr>
      </w:pPr>
    </w:p>
    <w:p w:rsidR="0015686C" w:rsidRDefault="0015686C" w:rsidP="00343F97">
      <w:pPr>
        <w:spacing w:line="360" w:lineRule="auto"/>
        <w:jc w:val="both"/>
        <w:rPr>
          <w:rFonts w:ascii="Palatino Linotype" w:hAnsi="Palatino Linotype" w:cs="Arial"/>
          <w:lang w:val="es-MX"/>
        </w:rPr>
      </w:pPr>
      <w:r>
        <w:rPr>
          <w:rFonts w:ascii="Palatino Linotype" w:hAnsi="Palatino Linotype" w:cs="Arial"/>
          <w:lang w:val="es-MX"/>
        </w:rPr>
        <w:t xml:space="preserve">Controles de asistencia que permitirán advertir el número de servidores públicos que han acudido y acuden a las oficinas del </w:t>
      </w:r>
      <w:r w:rsidRPr="0015686C">
        <w:rPr>
          <w:rFonts w:ascii="Palatino Linotype" w:hAnsi="Palatino Linotype" w:cs="Arial"/>
          <w:b/>
          <w:lang w:val="es-MX"/>
        </w:rPr>
        <w:t>Sujeto Obligado</w:t>
      </w:r>
      <w:r>
        <w:rPr>
          <w:rFonts w:ascii="Palatino Linotype" w:hAnsi="Palatino Linotype" w:cs="Arial"/>
          <w:lang w:val="es-MX"/>
        </w:rPr>
        <w:t>, información que vinculada con las contenida en el inventario de bienes muebles e inmuebles que refleje las medidas del edificio y de las oficinas, permitirá al Recurrente, advertir si se cumple con la distancia de seguridad.</w:t>
      </w:r>
    </w:p>
    <w:p w:rsidR="0015686C" w:rsidRPr="00343F97" w:rsidRDefault="0015686C" w:rsidP="00343F97">
      <w:pPr>
        <w:spacing w:line="360" w:lineRule="auto"/>
        <w:jc w:val="both"/>
        <w:rPr>
          <w:rFonts w:ascii="Palatino Linotype" w:hAnsi="Palatino Linotype" w:cs="Arial"/>
          <w:lang w:val="es-MX"/>
        </w:rPr>
      </w:pPr>
    </w:p>
    <w:p w:rsidR="006049FF" w:rsidRPr="00D13EF1" w:rsidRDefault="006049FF" w:rsidP="006049FF">
      <w:pPr>
        <w:numPr>
          <w:ilvl w:val="0"/>
          <w:numId w:val="1"/>
        </w:numPr>
        <w:autoSpaceDE w:val="0"/>
        <w:autoSpaceDN w:val="0"/>
        <w:adjustRightInd w:val="0"/>
        <w:spacing w:line="360" w:lineRule="auto"/>
        <w:contextualSpacing/>
        <w:jc w:val="both"/>
        <w:rPr>
          <w:rFonts w:ascii="Palatino Linotype" w:hAnsi="Palatino Linotype" w:cs="Arial"/>
          <w:b/>
          <w:i/>
          <w:sz w:val="28"/>
        </w:rPr>
      </w:pPr>
      <w:r w:rsidRPr="00D13EF1">
        <w:rPr>
          <w:rFonts w:ascii="Palatino Linotype" w:hAnsi="Palatino Linotype" w:cs="Arial"/>
          <w:b/>
          <w:i/>
          <w:sz w:val="28"/>
        </w:rPr>
        <w:t>De la versión pública</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lastRenderedPageBreak/>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D13EF1">
        <w:rPr>
          <w:rFonts w:ascii="Palatino Linotype" w:hAnsi="Palatino Linotype" w:cs="Arial"/>
          <w:b/>
        </w:rPr>
        <w:t>Registro Federal de Contribuyentes</w:t>
      </w:r>
      <w:r w:rsidRPr="00D13EF1">
        <w:rPr>
          <w:rFonts w:ascii="Palatino Linotype" w:hAnsi="Palatino Linotype" w:cs="Arial"/>
        </w:rPr>
        <w:t xml:space="preserve"> (RFC), la </w:t>
      </w:r>
      <w:r w:rsidRPr="00D13EF1">
        <w:rPr>
          <w:rFonts w:ascii="Palatino Linotype" w:hAnsi="Palatino Linotype" w:cs="Arial"/>
          <w:b/>
        </w:rPr>
        <w:t>Clave Única de Registro de Población</w:t>
      </w:r>
      <w:r w:rsidRPr="00D13EF1">
        <w:rPr>
          <w:rFonts w:ascii="Palatino Linotype" w:hAnsi="Palatino Linotype" w:cs="Arial"/>
        </w:rPr>
        <w:t xml:space="preserve"> (CURP), la </w:t>
      </w:r>
      <w:r w:rsidRPr="00D13EF1">
        <w:rPr>
          <w:rFonts w:ascii="Palatino Linotype" w:hAnsi="Palatino Linotype" w:cs="Arial"/>
          <w:b/>
        </w:rPr>
        <w:t>Clave de cualquier tipo de seguridad social</w:t>
      </w:r>
      <w:r w:rsidRPr="00D13EF1">
        <w:rPr>
          <w:rFonts w:ascii="Palatino Linotype" w:hAnsi="Palatino Linotype" w:cs="Arial"/>
        </w:rPr>
        <w:t xml:space="preserve"> (ISSEMYM, u otros), así como, los </w:t>
      </w:r>
      <w:r w:rsidRPr="00D13EF1">
        <w:rPr>
          <w:rFonts w:ascii="Palatino Linotype" w:hAnsi="Palatino Linotype" w:cs="Arial"/>
          <w:b/>
        </w:rPr>
        <w:t>préstamos o descuentos</w:t>
      </w:r>
      <w:r w:rsidRPr="00D13EF1">
        <w:rPr>
          <w:rFonts w:ascii="Palatino Linotype" w:hAnsi="Palatino Linotype" w:cs="Arial"/>
        </w:rPr>
        <w:t xml:space="preserve"> que se le hagan a la persona y que no tengan relación con los impuestos o la cuota por seguridad social.</w:t>
      </w:r>
    </w:p>
    <w:p w:rsidR="006049FF"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En cuanto al RFC constituye un dato personal, ya que para su obtención es necesario acreditar ante la autoridad fiscal previamente la identidad de la persona, su fecha de </w:t>
      </w:r>
      <w:r w:rsidRPr="00D13EF1">
        <w:rPr>
          <w:rFonts w:ascii="Palatino Linotype" w:hAnsi="Palatino Linotype" w:cs="Arial"/>
        </w:rPr>
        <w:lastRenderedPageBreak/>
        <w:t>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Lo anterior, es compartido por el entonces Instituto Federal de Acceso a la Información Protección de Datos (IFAI) a través del Criterio 09/2009, el cual es del tenor literal siguiente:</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ED2FCD">
      <w:pPr>
        <w:tabs>
          <w:tab w:val="left" w:pos="8647"/>
        </w:tabs>
        <w:spacing w:line="276" w:lineRule="auto"/>
        <w:ind w:left="567" w:right="567"/>
        <w:jc w:val="both"/>
        <w:rPr>
          <w:rFonts w:ascii="Palatino Linotype" w:hAnsi="Palatino Linotype" w:cs="Arial"/>
          <w:bCs/>
          <w:i/>
        </w:rPr>
      </w:pPr>
      <w:r w:rsidRPr="00D13EF1">
        <w:rPr>
          <w:rFonts w:ascii="Palatino Linotype" w:hAnsi="Palatino Linotype" w:cs="Arial"/>
          <w:b/>
          <w:bCs/>
          <w:i/>
        </w:rPr>
        <w:t xml:space="preserve">“Registro Federal de Contribuyentes (RFC) de las personas físicas es un dato personal confidencial. </w:t>
      </w:r>
      <w:r w:rsidRPr="00D13EF1">
        <w:rPr>
          <w:rFonts w:ascii="Palatino Linotype" w:hAnsi="Palatino Linotype" w:cs="Arial"/>
          <w:i/>
        </w:rPr>
        <w:t>De conformidad con lo establecido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 xml:space="preserve">Gubernamental </w:t>
      </w:r>
      <w:r w:rsidRPr="00D13EF1">
        <w:rPr>
          <w:rFonts w:ascii="Palatino Linotype" w:hAnsi="Palatino Linotype" w:cs="Arial"/>
          <w:i/>
          <w:u w:val="single"/>
        </w:rPr>
        <w:t>se considera información confidencial los datos personales que</w:t>
      </w:r>
      <w:r w:rsidRPr="00D13EF1">
        <w:rPr>
          <w:rFonts w:ascii="Palatino Linotype" w:hAnsi="Palatino Linotype" w:cs="Arial"/>
          <w:bCs/>
          <w:i/>
          <w:u w:val="single"/>
        </w:rPr>
        <w:t xml:space="preserve"> </w:t>
      </w:r>
      <w:r w:rsidRPr="00D13EF1">
        <w:rPr>
          <w:rFonts w:ascii="Palatino Linotype" w:hAnsi="Palatino Linotype" w:cs="Arial"/>
          <w:i/>
          <w:u w:val="single"/>
        </w:rPr>
        <w:t>requieren el consentimiento de los individuos para su difusión, distribución o</w:t>
      </w:r>
      <w:r w:rsidRPr="00D13EF1">
        <w:rPr>
          <w:rFonts w:ascii="Palatino Linotype" w:hAnsi="Palatino Linotype" w:cs="Arial"/>
          <w:bCs/>
          <w:i/>
          <w:u w:val="single"/>
        </w:rPr>
        <w:t xml:space="preserve"> </w:t>
      </w:r>
      <w:r w:rsidRPr="00D13EF1">
        <w:rPr>
          <w:rFonts w:ascii="Palatino Linotype" w:hAnsi="Palatino Linotype" w:cs="Arial"/>
          <w:i/>
          <w:u w:val="single"/>
        </w:rPr>
        <w:t>comercialización en los términos de esta Ley. Por su parte, según dispone el</w:t>
      </w:r>
      <w:r w:rsidRPr="00D13EF1">
        <w:rPr>
          <w:rFonts w:ascii="Palatino Linotype" w:hAnsi="Palatino Linotype" w:cs="Arial"/>
          <w:bCs/>
          <w:i/>
          <w:u w:val="single"/>
        </w:rPr>
        <w:t xml:space="preserve"> </w:t>
      </w:r>
      <w:r w:rsidRPr="00D13EF1">
        <w:rPr>
          <w:rFonts w:ascii="Palatino Linotype" w:hAnsi="Palatino Linotype" w:cs="Arial"/>
          <w:i/>
          <w:u w:val="single"/>
        </w:rPr>
        <w:t>artículo 3, fracción II de la Ley Federal de Transparencia y Acceso a la Información</w:t>
      </w:r>
      <w:r w:rsidRPr="00D13EF1">
        <w:rPr>
          <w:rFonts w:ascii="Palatino Linotype" w:hAnsi="Palatino Linotype" w:cs="Arial"/>
          <w:bCs/>
          <w:i/>
          <w:u w:val="single"/>
        </w:rPr>
        <w:t xml:space="preserve"> </w:t>
      </w:r>
      <w:r w:rsidRPr="00D13EF1">
        <w:rPr>
          <w:rFonts w:ascii="Palatino Linotype" w:hAnsi="Palatino Linotype" w:cs="Arial"/>
          <w:i/>
          <w:u w:val="single"/>
        </w:rPr>
        <w:t>Pública Gubernamental, dato personal es toda aquella información concerniente a</w:t>
      </w:r>
      <w:r w:rsidRPr="00D13EF1">
        <w:rPr>
          <w:rFonts w:ascii="Palatino Linotype" w:hAnsi="Palatino Linotype" w:cs="Arial"/>
          <w:bCs/>
          <w:i/>
          <w:u w:val="single"/>
        </w:rPr>
        <w:t xml:space="preserve"> </w:t>
      </w:r>
      <w:r w:rsidRPr="00D13EF1">
        <w:rPr>
          <w:rFonts w:ascii="Palatino Linotype" w:hAnsi="Palatino Linotype" w:cs="Arial"/>
          <w:i/>
          <w:u w:val="single"/>
        </w:rPr>
        <w:t>una persona física identificada o identificable</w:t>
      </w:r>
      <w:r w:rsidRPr="00D13EF1">
        <w:rPr>
          <w:rFonts w:ascii="Palatino Linotype" w:hAnsi="Palatino Linotype" w:cs="Arial"/>
          <w:i/>
        </w:rPr>
        <w:t xml:space="preserve">. Para </w:t>
      </w:r>
      <w:r w:rsidRPr="00D13EF1">
        <w:rPr>
          <w:rFonts w:ascii="Palatino Linotype" w:hAnsi="Palatino Linotype" w:cs="Arial"/>
          <w:i/>
          <w:u w:val="single"/>
        </w:rPr>
        <w:t>obtener el RFC es necesario</w:t>
      </w:r>
      <w:r w:rsidRPr="00D13EF1">
        <w:rPr>
          <w:rFonts w:ascii="Palatino Linotype" w:hAnsi="Palatino Linotype" w:cs="Arial"/>
          <w:b/>
          <w:bCs/>
          <w:i/>
          <w:u w:val="single"/>
        </w:rPr>
        <w:t xml:space="preserve"> </w:t>
      </w:r>
      <w:r w:rsidRPr="00D13EF1">
        <w:rPr>
          <w:rFonts w:ascii="Palatino Linotype" w:hAnsi="Palatino Linotype" w:cs="Arial"/>
          <w:i/>
          <w:u w:val="single"/>
        </w:rPr>
        <w:t>acreditar previamente mediante documentos oficiales (pasaporte, acta de</w:t>
      </w:r>
      <w:r w:rsidRPr="00D13EF1">
        <w:rPr>
          <w:rFonts w:ascii="Palatino Linotype" w:hAnsi="Palatino Linotype" w:cs="Arial"/>
          <w:b/>
          <w:bCs/>
          <w:i/>
          <w:u w:val="single"/>
        </w:rPr>
        <w:t xml:space="preserve"> </w:t>
      </w:r>
      <w:r w:rsidRPr="00D13EF1">
        <w:rPr>
          <w:rFonts w:ascii="Palatino Linotype" w:hAnsi="Palatino Linotype" w:cs="Arial"/>
          <w:i/>
          <w:u w:val="single"/>
        </w:rPr>
        <w:t>nacimiento, etc.) la identidad de la persona, su fecha y lugar de nacimiento, entre</w:t>
      </w:r>
      <w:r w:rsidRPr="00D13EF1">
        <w:rPr>
          <w:rFonts w:ascii="Palatino Linotype" w:hAnsi="Palatino Linotype" w:cs="Arial"/>
          <w:b/>
          <w:bCs/>
          <w:i/>
          <w:u w:val="single"/>
        </w:rPr>
        <w:t xml:space="preserve"> </w:t>
      </w:r>
      <w:r w:rsidRPr="00D13EF1">
        <w:rPr>
          <w:rFonts w:ascii="Palatino Linotype" w:hAnsi="Palatino Linotype" w:cs="Arial"/>
          <w:i/>
          <w:u w:val="single"/>
        </w:rPr>
        <w:t xml:space="preserve">otros. </w:t>
      </w:r>
      <w:r w:rsidRPr="00D13EF1">
        <w:rPr>
          <w:rFonts w:ascii="Palatino Linotype" w:hAnsi="Palatino Linotype" w:cs="Arial"/>
          <w:i/>
        </w:rPr>
        <w:t>De acuerdo con la legislación tributaria, las personas físicas tramitan su</w:t>
      </w:r>
      <w:r w:rsidRPr="00D13EF1">
        <w:rPr>
          <w:rFonts w:ascii="Palatino Linotype" w:hAnsi="Palatino Linotype" w:cs="Arial"/>
          <w:b/>
          <w:bCs/>
          <w:i/>
        </w:rPr>
        <w:t xml:space="preserve"> </w:t>
      </w:r>
      <w:r w:rsidRPr="00D13EF1">
        <w:rPr>
          <w:rFonts w:ascii="Palatino Linotype" w:hAnsi="Palatino Linotype" w:cs="Arial"/>
          <w:i/>
        </w:rPr>
        <w:t>inscripción en el Registro Federal de Contribuyentes con el único propósito de</w:t>
      </w:r>
      <w:r w:rsidRPr="00D13EF1">
        <w:rPr>
          <w:rFonts w:ascii="Palatino Linotype" w:hAnsi="Palatino Linotype" w:cs="Arial"/>
          <w:b/>
          <w:bCs/>
          <w:i/>
        </w:rPr>
        <w:t xml:space="preserve"> </w:t>
      </w:r>
      <w:r w:rsidRPr="00D13EF1">
        <w:rPr>
          <w:rFonts w:ascii="Palatino Linotype" w:hAnsi="Palatino Linotype" w:cs="Arial"/>
          <w:i/>
        </w:rPr>
        <w:t>realizar mediante esa clave de identificación, operaciones o actividades de</w:t>
      </w:r>
      <w:r w:rsidRPr="00D13EF1">
        <w:rPr>
          <w:rFonts w:ascii="Palatino Linotype" w:hAnsi="Palatino Linotype" w:cs="Arial"/>
          <w:b/>
          <w:bCs/>
          <w:i/>
        </w:rPr>
        <w:t xml:space="preserve"> </w:t>
      </w:r>
      <w:r w:rsidRPr="00D13EF1">
        <w:rPr>
          <w:rFonts w:ascii="Palatino Linotype" w:hAnsi="Palatino Linotype" w:cs="Arial"/>
          <w:i/>
        </w:rPr>
        <w:t>naturaleza tributaria. En este sentido, el artículo 79 del Código Fiscal de la</w:t>
      </w:r>
      <w:r w:rsidRPr="00D13EF1">
        <w:rPr>
          <w:rFonts w:ascii="Palatino Linotype" w:hAnsi="Palatino Linotype" w:cs="Arial"/>
          <w:b/>
          <w:bCs/>
          <w:i/>
        </w:rPr>
        <w:t xml:space="preserve"> </w:t>
      </w:r>
      <w:r w:rsidRPr="00D13EF1">
        <w:rPr>
          <w:rFonts w:ascii="Palatino Linotype" w:hAnsi="Palatino Linotype" w:cs="Arial"/>
          <w:i/>
        </w:rPr>
        <w:t>Federación prevé que la utilización de una clave de registro no asignada por la</w:t>
      </w:r>
      <w:r w:rsidRPr="00D13EF1">
        <w:rPr>
          <w:rFonts w:ascii="Palatino Linotype" w:hAnsi="Palatino Linotype" w:cs="Arial"/>
          <w:b/>
          <w:bCs/>
          <w:i/>
        </w:rPr>
        <w:t xml:space="preserve"> </w:t>
      </w:r>
      <w:r w:rsidRPr="00D13EF1">
        <w:rPr>
          <w:rFonts w:ascii="Palatino Linotype" w:hAnsi="Palatino Linotype" w:cs="Arial"/>
          <w:i/>
        </w:rPr>
        <w:t>autoridad constituye como una infracción en materia fiscal. De acuerdo con lo</w:t>
      </w:r>
      <w:r w:rsidRPr="00D13EF1">
        <w:rPr>
          <w:rFonts w:ascii="Palatino Linotype" w:hAnsi="Palatino Linotype" w:cs="Arial"/>
          <w:b/>
          <w:bCs/>
          <w:i/>
        </w:rPr>
        <w:t xml:space="preserve"> </w:t>
      </w:r>
      <w:r w:rsidRPr="00D13EF1">
        <w:rPr>
          <w:rFonts w:ascii="Palatino Linotype" w:hAnsi="Palatino Linotype" w:cs="Arial"/>
          <w:i/>
        </w:rPr>
        <w:t>antes apuntado, el RFC vinculado al nombre de su titular, permite identificar la</w:t>
      </w:r>
      <w:r w:rsidRPr="00D13EF1">
        <w:rPr>
          <w:rFonts w:ascii="Palatino Linotype" w:hAnsi="Palatino Linotype" w:cs="Arial"/>
          <w:b/>
          <w:bCs/>
          <w:i/>
        </w:rPr>
        <w:t xml:space="preserve"> </w:t>
      </w:r>
      <w:r w:rsidRPr="00D13EF1">
        <w:rPr>
          <w:rFonts w:ascii="Palatino Linotype" w:hAnsi="Palatino Linotype" w:cs="Arial"/>
          <w:i/>
        </w:rPr>
        <w:t xml:space="preserve">edad de la persona, así como su </w:t>
      </w:r>
      <w:proofErr w:type="spellStart"/>
      <w:r w:rsidRPr="00D13EF1">
        <w:rPr>
          <w:rFonts w:ascii="Palatino Linotype" w:hAnsi="Palatino Linotype" w:cs="Arial"/>
          <w:i/>
        </w:rPr>
        <w:t>homoclave</w:t>
      </w:r>
      <w:proofErr w:type="spellEnd"/>
      <w:r w:rsidRPr="00D13EF1">
        <w:rPr>
          <w:rFonts w:ascii="Palatino Linotype" w:hAnsi="Palatino Linotype" w:cs="Arial"/>
          <w:i/>
        </w:rPr>
        <w:t>, siendo esta última única e irrepetible,</w:t>
      </w:r>
      <w:r w:rsidRPr="00D13EF1">
        <w:rPr>
          <w:rFonts w:ascii="Palatino Linotype" w:hAnsi="Palatino Linotype" w:cs="Arial"/>
          <w:b/>
          <w:bCs/>
          <w:i/>
        </w:rPr>
        <w:t xml:space="preserve"> </w:t>
      </w:r>
      <w:r w:rsidRPr="00D13EF1">
        <w:rPr>
          <w:rFonts w:ascii="Palatino Linotype" w:hAnsi="Palatino Linotype" w:cs="Arial"/>
          <w:i/>
        </w:rPr>
        <w:t>por lo que es posible concluir que el RFC constituye un dato personal y, por tanto,</w:t>
      </w:r>
      <w:r w:rsidRPr="00D13EF1">
        <w:rPr>
          <w:rFonts w:ascii="Palatino Linotype" w:hAnsi="Palatino Linotype" w:cs="Arial"/>
          <w:b/>
          <w:bCs/>
          <w:i/>
        </w:rPr>
        <w:t xml:space="preserve"> </w:t>
      </w:r>
      <w:r w:rsidRPr="00D13EF1">
        <w:rPr>
          <w:rFonts w:ascii="Palatino Linotype" w:hAnsi="Palatino Linotype" w:cs="Arial"/>
          <w:i/>
        </w:rPr>
        <w:t xml:space="preserve">información confidencial, de conformidad con los previsto en </w:t>
      </w:r>
      <w:r w:rsidRPr="00D13EF1">
        <w:rPr>
          <w:rFonts w:ascii="Palatino Linotype" w:hAnsi="Palatino Linotype" w:cs="Arial"/>
          <w:i/>
        </w:rPr>
        <w:lastRenderedPageBreak/>
        <w:t>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Gubernamental</w:t>
      </w:r>
      <w:r w:rsidRPr="00D13EF1">
        <w:rPr>
          <w:rFonts w:ascii="Palatino Linotype" w:hAnsi="Palatino Linotype" w:cs="Arial"/>
          <w:bCs/>
          <w:i/>
        </w:rPr>
        <w:t>…” (Sic)</w:t>
      </w:r>
    </w:p>
    <w:p w:rsidR="006049FF" w:rsidRPr="00D13EF1" w:rsidRDefault="006049FF" w:rsidP="00ED2FCD">
      <w:pPr>
        <w:tabs>
          <w:tab w:val="left" w:pos="8647"/>
        </w:tabs>
        <w:spacing w:line="276" w:lineRule="auto"/>
        <w:ind w:left="567" w:right="567"/>
        <w:jc w:val="both"/>
        <w:rPr>
          <w:rFonts w:ascii="Palatino Linotype" w:hAnsi="Palatino Linotype" w:cs="Arial"/>
          <w:bCs/>
          <w:i/>
        </w:rPr>
      </w:pPr>
    </w:p>
    <w:p w:rsidR="006049FF" w:rsidRPr="00D13EF1" w:rsidRDefault="006049FF" w:rsidP="00ED2FCD">
      <w:pPr>
        <w:tabs>
          <w:tab w:val="left" w:pos="8647"/>
        </w:tabs>
        <w:spacing w:line="276" w:lineRule="auto"/>
        <w:ind w:left="567" w:right="284"/>
        <w:jc w:val="right"/>
        <w:rPr>
          <w:rFonts w:ascii="Palatino Linotype" w:hAnsi="Palatino Linotype" w:cs="Arial"/>
        </w:rPr>
      </w:pPr>
      <w:r w:rsidRPr="00D13EF1">
        <w:rPr>
          <w:rFonts w:ascii="Palatino Linotype" w:hAnsi="Palatino Linotype" w:cs="Arial"/>
        </w:rPr>
        <w:t>(Énfasis añadido)</w:t>
      </w:r>
    </w:p>
    <w:p w:rsidR="00ED1B43" w:rsidRDefault="00ED1B43"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Así, el RFC se vincula al nombre de su titular y permite identificar la edad de la persona, su fecha de nacimiento, así como su </w:t>
      </w:r>
      <w:proofErr w:type="spellStart"/>
      <w:r w:rsidRPr="00D13EF1">
        <w:rPr>
          <w:rFonts w:ascii="Palatino Linotype" w:hAnsi="Palatino Linotype" w:cs="Arial"/>
        </w:rPr>
        <w:t>homoclave</w:t>
      </w:r>
      <w:proofErr w:type="spellEnd"/>
      <w:r w:rsidRPr="00D13EF1">
        <w:rPr>
          <w:rFonts w:ascii="Palatino Linotype" w:hAnsi="Palatino Linotype" w:cs="Arial"/>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w:t>
      </w:r>
      <w:r w:rsidR="00ED1B43">
        <w:rPr>
          <w:rFonts w:ascii="Palatino Linotype" w:hAnsi="Palatino Linotype" w:cs="Arial"/>
        </w:rPr>
        <w:t xml:space="preserve">stado de México y Municipios y </w:t>
      </w:r>
      <w:r w:rsidRPr="00D13EF1">
        <w:rPr>
          <w:rFonts w:ascii="Palatino Linotype" w:hAnsi="Palatino Linotype" w:cs="Arial"/>
        </w:rPr>
        <w:t>4 fracción VII de la Ley de Protección de Datos Personales del Estado de México.</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Argumento que es compartido por el entonces </w:t>
      </w:r>
      <w:r w:rsidRPr="00D13EF1">
        <w:rPr>
          <w:rFonts w:ascii="Palatino Linotype" w:hAnsi="Palatino Linotype" w:cs="Arial"/>
          <w:b/>
          <w:bCs/>
        </w:rPr>
        <w:t xml:space="preserve">Instituto Federal de Acceso a la Información y Protección de Datos (IFAI), conforme al </w:t>
      </w:r>
      <w:r w:rsidRPr="00D13EF1">
        <w:rPr>
          <w:rFonts w:ascii="Palatino Linotype" w:hAnsi="Palatino Linotype" w:cs="Arial"/>
        </w:rPr>
        <w:t xml:space="preserve">criterio número 0003-10, el cual refiere: </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ED2FCD">
      <w:pPr>
        <w:tabs>
          <w:tab w:val="left" w:pos="8505"/>
        </w:tabs>
        <w:ind w:left="567" w:right="567"/>
        <w:jc w:val="both"/>
        <w:rPr>
          <w:rFonts w:ascii="Palatino Linotype" w:hAnsi="Palatino Linotype" w:cs="Arial"/>
          <w:i/>
        </w:rPr>
      </w:pPr>
      <w:r w:rsidRPr="00D13EF1">
        <w:rPr>
          <w:rFonts w:ascii="Palatino Linotype" w:hAnsi="Palatino Linotype" w:cs="Arial"/>
          <w:b/>
          <w:bCs/>
          <w:i/>
        </w:rPr>
        <w:t xml:space="preserve">“Clave Única de Registro de Población (CURP) es un dato personal confidencial. </w:t>
      </w:r>
      <w:r w:rsidRPr="00D13EF1">
        <w:rPr>
          <w:rFonts w:ascii="Palatino Linotype" w:hAnsi="Palatino Linotype" w:cs="Arial"/>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w:t>
      </w:r>
      <w:r w:rsidRPr="00D13EF1">
        <w:rPr>
          <w:rFonts w:ascii="Palatino Linotype" w:hAnsi="Palatino Linotype" w:cs="Arial"/>
          <w:i/>
        </w:rPr>
        <w:lastRenderedPageBreak/>
        <w:t>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D13EF1">
        <w:rPr>
          <w:rFonts w:ascii="Palatino Linotype" w:hAnsi="Palatino Linotype" w:cs="Arial"/>
          <w:b/>
          <w:bCs/>
          <w:i/>
        </w:rPr>
        <w:t>..</w:t>
      </w:r>
      <w:r w:rsidRPr="00D13EF1">
        <w:rPr>
          <w:rFonts w:ascii="Palatino Linotype" w:hAnsi="Palatino Linotype" w:cs="Arial"/>
          <w:i/>
        </w:rPr>
        <w:t>.” (Sic)</w:t>
      </w:r>
    </w:p>
    <w:p w:rsidR="006049FF" w:rsidRPr="00D13EF1" w:rsidRDefault="006049FF" w:rsidP="006049FF">
      <w:pPr>
        <w:autoSpaceDE w:val="0"/>
        <w:autoSpaceDN w:val="0"/>
        <w:adjustRightInd w:val="0"/>
        <w:spacing w:line="360" w:lineRule="auto"/>
        <w:contextualSpacing/>
        <w:jc w:val="both"/>
        <w:rPr>
          <w:rFonts w:ascii="Palatino Linotype" w:hAnsi="Palatino Linotype" w:cs="Arial"/>
        </w:rPr>
      </w:pPr>
    </w:p>
    <w:p w:rsidR="006049FF" w:rsidRPr="00D13EF1" w:rsidRDefault="006049FF" w:rsidP="006049FF">
      <w:pPr>
        <w:autoSpaceDE w:val="0"/>
        <w:autoSpaceDN w:val="0"/>
        <w:adjustRightInd w:val="0"/>
        <w:spacing w:line="360" w:lineRule="auto"/>
        <w:contextualSpacing/>
        <w:jc w:val="both"/>
        <w:rPr>
          <w:rFonts w:ascii="Palatino Linotype" w:hAnsi="Palatino Linotype" w:cs="Arial"/>
        </w:rPr>
      </w:pPr>
      <w:r w:rsidRPr="00D13EF1">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6049FF" w:rsidRPr="00D13EF1" w:rsidRDefault="006049FF" w:rsidP="006049FF">
      <w:pPr>
        <w:autoSpaceDE w:val="0"/>
        <w:autoSpaceDN w:val="0"/>
        <w:adjustRightInd w:val="0"/>
        <w:spacing w:line="360" w:lineRule="auto"/>
        <w:contextualSpacing/>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De este modo, en las versiones públicas de los documentos que se ordena su entrega se deben testar tanto números de las cuentas bancarias, CLABES, como el sello digital </w:t>
      </w:r>
      <w:r w:rsidRPr="00D13EF1">
        <w:rPr>
          <w:rFonts w:ascii="Palatino Linotype" w:hAnsi="Palatino Linotype" w:cs="Arial"/>
        </w:rPr>
        <w:lastRenderedPageBreak/>
        <w:t>y su correspondiente cadena original; si es que se desprende esta información; en caso contrario, los documentos deben entregarse en forma íntegra.</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C64A50" w:rsidRDefault="006049FF" w:rsidP="00ED2FCD">
      <w:pPr>
        <w:tabs>
          <w:tab w:val="left" w:pos="8505"/>
        </w:tabs>
        <w:ind w:left="567" w:right="567"/>
        <w:jc w:val="both"/>
        <w:rPr>
          <w:rFonts w:ascii="Palatino Linotype" w:hAnsi="Palatino Linotype" w:cs="Arial"/>
          <w:bCs/>
          <w:i/>
          <w:sz w:val="22"/>
        </w:rPr>
      </w:pPr>
      <w:r w:rsidRPr="00D13EF1">
        <w:rPr>
          <w:rFonts w:ascii="Palatino Linotype" w:hAnsi="Palatino Linotype" w:cs="Arial"/>
          <w:bCs/>
          <w:i/>
        </w:rPr>
        <w:t>“</w:t>
      </w:r>
      <w:r w:rsidRPr="00C64A50">
        <w:rPr>
          <w:rFonts w:ascii="Palatino Linotype" w:hAnsi="Palatino Linotype" w:cs="Arial"/>
          <w:b/>
          <w:bCs/>
          <w:i/>
          <w:sz w:val="22"/>
        </w:rPr>
        <w:t>Cuarto</w:t>
      </w:r>
      <w:r w:rsidRPr="00C64A50">
        <w:rPr>
          <w:rFonts w:ascii="Palatino Linotype" w:hAnsi="Palatino Linotype" w:cs="Arial"/>
          <w:bCs/>
          <w:i/>
          <w:sz w:val="22"/>
        </w:rPr>
        <w:t xml:space="preserve">. </w:t>
      </w:r>
      <w:r w:rsidRPr="00C64A50">
        <w:rPr>
          <w:rFonts w:ascii="Palatino Linotype" w:hAnsi="Palatino Linotype" w:cs="Arial"/>
          <w:b/>
          <w:bCs/>
          <w:i/>
          <w:sz w:val="22"/>
          <w:u w:val="single"/>
        </w:rPr>
        <w:t>Para clasificar la información como reservada o confidencial,</w:t>
      </w:r>
      <w:r w:rsidRPr="00C64A50">
        <w:rPr>
          <w:rFonts w:ascii="Palatino Linotype" w:hAnsi="Palatino Linotype" w:cs="Arial"/>
          <w:bCs/>
          <w:i/>
          <w:sz w:val="22"/>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049FF" w:rsidRPr="00C64A50" w:rsidRDefault="006049FF" w:rsidP="00C64A50">
      <w:pPr>
        <w:tabs>
          <w:tab w:val="left" w:pos="8647"/>
        </w:tabs>
        <w:ind w:left="567" w:right="567"/>
        <w:jc w:val="both"/>
        <w:rPr>
          <w:rFonts w:ascii="Palatino Linotype" w:hAnsi="Palatino Linotype" w:cs="Arial"/>
          <w:bCs/>
          <w:i/>
          <w:sz w:val="22"/>
        </w:rPr>
      </w:pPr>
      <w:r w:rsidRPr="00C64A50">
        <w:rPr>
          <w:rFonts w:ascii="Palatino Linotype" w:hAnsi="Palatino Linotype" w:cs="Arial"/>
          <w:bCs/>
          <w:i/>
          <w:sz w:val="22"/>
        </w:rPr>
        <w:t>Los sujetos obligados deberán aplicar, de manera estricta, las excepciones al derecho de acceso a la información y sólo podrán invocarlas cuando acrediten su procedencia.</w:t>
      </w:r>
    </w:p>
    <w:p w:rsidR="006049FF" w:rsidRPr="00C64A50" w:rsidRDefault="006049FF" w:rsidP="00C64A50">
      <w:pPr>
        <w:tabs>
          <w:tab w:val="left" w:pos="8647"/>
        </w:tabs>
        <w:ind w:left="567" w:right="567"/>
        <w:jc w:val="both"/>
        <w:rPr>
          <w:rFonts w:ascii="Palatino Linotype" w:hAnsi="Palatino Linotype" w:cs="Arial"/>
          <w:bCs/>
          <w:i/>
          <w:sz w:val="22"/>
        </w:rPr>
      </w:pPr>
      <w:r w:rsidRPr="00C64A50">
        <w:rPr>
          <w:rFonts w:ascii="Palatino Linotype" w:hAnsi="Palatino Linotype" w:cs="Arial"/>
          <w:bCs/>
          <w:i/>
          <w:sz w:val="22"/>
        </w:rPr>
        <w:t>…</w:t>
      </w:r>
    </w:p>
    <w:p w:rsidR="006049FF" w:rsidRPr="00C64A50" w:rsidRDefault="006049FF" w:rsidP="00C64A50">
      <w:pPr>
        <w:tabs>
          <w:tab w:val="left" w:pos="8647"/>
        </w:tabs>
        <w:ind w:left="567" w:right="567"/>
        <w:jc w:val="both"/>
        <w:rPr>
          <w:rFonts w:ascii="Palatino Linotype" w:hAnsi="Palatino Linotype" w:cs="Arial"/>
          <w:bCs/>
          <w:i/>
          <w:sz w:val="22"/>
        </w:rPr>
      </w:pPr>
      <w:r w:rsidRPr="00C64A50">
        <w:rPr>
          <w:rFonts w:ascii="Palatino Linotype" w:hAnsi="Palatino Linotype" w:cs="Arial"/>
          <w:b/>
          <w:bCs/>
          <w:i/>
          <w:sz w:val="22"/>
        </w:rPr>
        <w:t>Quinto</w:t>
      </w:r>
      <w:r w:rsidRPr="00C64A50">
        <w:rPr>
          <w:rFonts w:ascii="Palatino Linotype" w:hAnsi="Palatino Linotype" w:cs="Arial"/>
          <w:bCs/>
          <w:i/>
          <w:sz w:val="22"/>
        </w:rPr>
        <w:t xml:space="preserve">. </w:t>
      </w:r>
      <w:r w:rsidRPr="00C64A50">
        <w:rPr>
          <w:rFonts w:ascii="Palatino Linotype" w:hAnsi="Palatino Linotype" w:cs="Arial"/>
          <w:b/>
          <w:bCs/>
          <w:i/>
          <w:sz w:val="22"/>
        </w:rPr>
        <w:t xml:space="preserve">La carga de la prueba para justificar toda negativa de acceso a la información, </w:t>
      </w:r>
      <w:r w:rsidRPr="00C64A50">
        <w:rPr>
          <w:rFonts w:ascii="Palatino Linotype" w:hAnsi="Palatino Linotype" w:cs="Arial"/>
          <w:bCs/>
          <w:i/>
          <w:sz w:val="22"/>
        </w:rPr>
        <w:t>por actualizarse cualquiera de los supuestos de clasificación previstos en la Ley General, la Ley Federal y leyes estatales, corresponderá</w:t>
      </w:r>
      <w:r w:rsidRPr="00C64A50">
        <w:rPr>
          <w:rFonts w:ascii="Palatino Linotype" w:hAnsi="Palatino Linotype" w:cs="Arial"/>
          <w:b/>
          <w:bCs/>
          <w:i/>
          <w:sz w:val="22"/>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C64A50">
        <w:rPr>
          <w:rFonts w:ascii="Palatino Linotype" w:hAnsi="Palatino Linotype" w:cs="Arial"/>
          <w:bCs/>
          <w:i/>
          <w:sz w:val="22"/>
        </w:rPr>
        <w:t>, observando lo dispuesto en la Ley General y las demás disposiciones aplicables en la materia.</w:t>
      </w:r>
    </w:p>
    <w:p w:rsidR="006049FF" w:rsidRPr="00C64A50" w:rsidRDefault="006049FF" w:rsidP="00C64A50">
      <w:pPr>
        <w:tabs>
          <w:tab w:val="left" w:pos="8647"/>
        </w:tabs>
        <w:ind w:left="567" w:right="567"/>
        <w:jc w:val="both"/>
        <w:rPr>
          <w:rFonts w:ascii="Palatino Linotype" w:hAnsi="Palatino Linotype" w:cs="Arial"/>
          <w:bCs/>
          <w:i/>
          <w:sz w:val="22"/>
        </w:rPr>
      </w:pPr>
    </w:p>
    <w:p w:rsidR="006049FF" w:rsidRPr="00C64A50" w:rsidRDefault="006049FF" w:rsidP="00C64A50">
      <w:pPr>
        <w:tabs>
          <w:tab w:val="left" w:pos="8647"/>
        </w:tabs>
        <w:ind w:left="567" w:right="567"/>
        <w:jc w:val="both"/>
        <w:rPr>
          <w:rFonts w:ascii="Palatino Linotype" w:hAnsi="Palatino Linotype" w:cs="Arial"/>
          <w:bCs/>
          <w:i/>
          <w:sz w:val="22"/>
        </w:rPr>
      </w:pPr>
      <w:r w:rsidRPr="00C64A50">
        <w:rPr>
          <w:rFonts w:ascii="Palatino Linotype" w:hAnsi="Palatino Linotype" w:cs="Arial"/>
          <w:b/>
          <w:bCs/>
          <w:i/>
          <w:sz w:val="22"/>
        </w:rPr>
        <w:t>Octavo</w:t>
      </w:r>
      <w:r w:rsidRPr="00C64A50">
        <w:rPr>
          <w:rFonts w:ascii="Palatino Linotype" w:hAnsi="Palatino Linotype" w:cs="Arial"/>
          <w:bCs/>
          <w:i/>
          <w:sz w:val="22"/>
        </w:rPr>
        <w:t xml:space="preserve">. </w:t>
      </w:r>
      <w:r w:rsidRPr="00C64A50">
        <w:rPr>
          <w:rFonts w:ascii="Palatino Linotype" w:hAnsi="Palatino Linotype" w:cs="Arial"/>
          <w:bCs/>
          <w:i/>
          <w:sz w:val="22"/>
          <w:u w:val="single"/>
        </w:rPr>
        <w:t>Para fundar la clasificación de la información se debe señalar el artículo, fracción, inciso, párrafo o numeral de la ley o tratado internacional</w:t>
      </w:r>
      <w:r w:rsidRPr="00C64A50">
        <w:rPr>
          <w:rFonts w:ascii="Palatino Linotype" w:hAnsi="Palatino Linotype" w:cs="Arial"/>
          <w:bCs/>
          <w:i/>
          <w:sz w:val="22"/>
        </w:rPr>
        <w:t xml:space="preserve"> suscrito por el Estado mexicano que expresamente le otorga el carácter de reservada o confidencial.</w:t>
      </w:r>
    </w:p>
    <w:p w:rsidR="006049FF" w:rsidRPr="00C64A50" w:rsidRDefault="006049FF" w:rsidP="00C64A50">
      <w:pPr>
        <w:tabs>
          <w:tab w:val="left" w:pos="8647"/>
        </w:tabs>
        <w:ind w:left="567" w:right="567"/>
        <w:jc w:val="both"/>
        <w:rPr>
          <w:rFonts w:ascii="Palatino Linotype" w:hAnsi="Palatino Linotype" w:cs="Arial"/>
          <w:bCs/>
          <w:i/>
          <w:sz w:val="22"/>
        </w:rPr>
      </w:pPr>
      <w:r w:rsidRPr="00C64A50">
        <w:rPr>
          <w:rFonts w:ascii="Palatino Linotype" w:hAnsi="Palatino Linotype" w:cs="Arial"/>
          <w:bCs/>
          <w:i/>
          <w:sz w:val="22"/>
        </w:rPr>
        <w:t>Para motivar la clasificación se deberán señalar las razones o circunstancias especiales que lo llevaron a concluir que el caso particular se ajusta al supuesto previsto por la norma legal invocada como fundamento.</w:t>
      </w:r>
    </w:p>
    <w:p w:rsidR="006049FF" w:rsidRPr="00C64A50" w:rsidRDefault="006049FF" w:rsidP="00C64A50">
      <w:pPr>
        <w:tabs>
          <w:tab w:val="left" w:pos="8647"/>
        </w:tabs>
        <w:ind w:left="567" w:right="567"/>
        <w:jc w:val="both"/>
        <w:rPr>
          <w:rFonts w:ascii="Palatino Linotype" w:hAnsi="Palatino Linotype" w:cs="Arial"/>
          <w:bCs/>
          <w:i/>
          <w:sz w:val="22"/>
        </w:rPr>
      </w:pPr>
      <w:r w:rsidRPr="00C64A50">
        <w:rPr>
          <w:rFonts w:ascii="Palatino Linotype" w:hAnsi="Palatino Linotype" w:cs="Arial"/>
          <w:bCs/>
          <w:i/>
          <w:sz w:val="22"/>
        </w:rPr>
        <w:t>…</w:t>
      </w:r>
    </w:p>
    <w:p w:rsidR="006049FF" w:rsidRPr="00C64A50" w:rsidRDefault="006049FF" w:rsidP="00C64A50">
      <w:pPr>
        <w:tabs>
          <w:tab w:val="left" w:pos="8647"/>
        </w:tabs>
        <w:ind w:left="567" w:right="567"/>
        <w:jc w:val="both"/>
        <w:rPr>
          <w:rFonts w:ascii="Palatino Linotype" w:hAnsi="Palatino Linotype" w:cs="Arial"/>
          <w:bCs/>
          <w:i/>
          <w:sz w:val="22"/>
        </w:rPr>
      </w:pPr>
      <w:r w:rsidRPr="00C64A50">
        <w:rPr>
          <w:rFonts w:ascii="Palatino Linotype" w:hAnsi="Palatino Linotype" w:cs="Arial"/>
          <w:bCs/>
          <w:i/>
          <w:sz w:val="22"/>
        </w:rPr>
        <w:t>DE LA INFORMACIÓN CONFIDENCIAL</w:t>
      </w:r>
    </w:p>
    <w:p w:rsidR="006049FF" w:rsidRPr="00C64A50" w:rsidRDefault="006049FF" w:rsidP="00C64A50">
      <w:pPr>
        <w:tabs>
          <w:tab w:val="left" w:pos="8647"/>
        </w:tabs>
        <w:ind w:left="567" w:right="567"/>
        <w:jc w:val="both"/>
        <w:rPr>
          <w:rFonts w:ascii="Palatino Linotype" w:hAnsi="Palatino Linotype" w:cs="Arial"/>
          <w:bCs/>
          <w:i/>
          <w:sz w:val="22"/>
        </w:rPr>
      </w:pPr>
      <w:r w:rsidRPr="00C64A50">
        <w:rPr>
          <w:rFonts w:ascii="Palatino Linotype" w:hAnsi="Palatino Linotype" w:cs="Arial"/>
          <w:b/>
          <w:bCs/>
          <w:i/>
          <w:sz w:val="22"/>
        </w:rPr>
        <w:t xml:space="preserve">Trigésimo octavo. </w:t>
      </w:r>
      <w:r w:rsidRPr="00C64A50">
        <w:rPr>
          <w:rFonts w:ascii="Palatino Linotype" w:hAnsi="Palatino Linotype" w:cs="Arial"/>
          <w:bCs/>
          <w:i/>
          <w:sz w:val="22"/>
        </w:rPr>
        <w:t>Se considera información confidencial:</w:t>
      </w:r>
    </w:p>
    <w:p w:rsidR="006049FF" w:rsidRPr="00C64A50" w:rsidRDefault="006049FF" w:rsidP="00C64A50">
      <w:pPr>
        <w:tabs>
          <w:tab w:val="left" w:pos="8647"/>
        </w:tabs>
        <w:ind w:left="567" w:right="567"/>
        <w:jc w:val="both"/>
        <w:rPr>
          <w:rFonts w:ascii="Palatino Linotype" w:hAnsi="Palatino Linotype" w:cs="Arial"/>
          <w:b/>
          <w:bCs/>
          <w:i/>
          <w:sz w:val="22"/>
        </w:rPr>
      </w:pPr>
      <w:r w:rsidRPr="00C64A50">
        <w:rPr>
          <w:rFonts w:ascii="Palatino Linotype" w:hAnsi="Palatino Linotype" w:cs="Arial"/>
          <w:bCs/>
          <w:i/>
          <w:sz w:val="22"/>
        </w:rPr>
        <w:t xml:space="preserve">I. </w:t>
      </w:r>
      <w:r w:rsidRPr="00C64A50">
        <w:rPr>
          <w:rFonts w:ascii="Palatino Linotype" w:hAnsi="Palatino Linotype" w:cs="Arial"/>
          <w:b/>
          <w:bCs/>
          <w:i/>
          <w:sz w:val="22"/>
          <w:u w:val="single"/>
        </w:rPr>
        <w:t>Los datos personales en los términos de la norma aplicable</w:t>
      </w:r>
      <w:r w:rsidRPr="00C64A50">
        <w:rPr>
          <w:rFonts w:ascii="Palatino Linotype" w:hAnsi="Palatino Linotype" w:cs="Arial"/>
          <w:b/>
          <w:bCs/>
          <w:i/>
          <w:sz w:val="22"/>
        </w:rPr>
        <w:t>;</w:t>
      </w:r>
    </w:p>
    <w:p w:rsidR="006049FF" w:rsidRPr="00C64A50" w:rsidRDefault="006049FF" w:rsidP="00C64A50">
      <w:pPr>
        <w:tabs>
          <w:tab w:val="left" w:pos="8647"/>
        </w:tabs>
        <w:ind w:left="567" w:right="567"/>
        <w:jc w:val="both"/>
        <w:rPr>
          <w:rFonts w:ascii="Palatino Linotype" w:hAnsi="Palatino Linotype" w:cs="Arial"/>
          <w:bCs/>
          <w:i/>
          <w:sz w:val="22"/>
        </w:rPr>
      </w:pPr>
      <w:r w:rsidRPr="00C64A50">
        <w:rPr>
          <w:rFonts w:ascii="Palatino Linotype" w:hAnsi="Palatino Linotype" w:cs="Arial"/>
          <w:bCs/>
          <w:i/>
          <w:sz w:val="22"/>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6049FF" w:rsidRPr="00C64A50" w:rsidRDefault="006049FF" w:rsidP="00C64A50">
      <w:pPr>
        <w:tabs>
          <w:tab w:val="left" w:pos="8647"/>
        </w:tabs>
        <w:ind w:left="567" w:right="567"/>
        <w:jc w:val="both"/>
        <w:rPr>
          <w:rFonts w:ascii="Palatino Linotype" w:hAnsi="Palatino Linotype" w:cs="Arial"/>
          <w:bCs/>
          <w:i/>
          <w:sz w:val="22"/>
        </w:rPr>
      </w:pPr>
      <w:proofErr w:type="gramStart"/>
      <w:r w:rsidRPr="00C64A50">
        <w:rPr>
          <w:rFonts w:ascii="Palatino Linotype" w:hAnsi="Palatino Linotype" w:cs="Arial"/>
          <w:bCs/>
          <w:i/>
          <w:sz w:val="22"/>
        </w:rPr>
        <w:t>III …</w:t>
      </w:r>
      <w:proofErr w:type="gramEnd"/>
    </w:p>
    <w:p w:rsidR="006049FF" w:rsidRPr="00C64A50" w:rsidRDefault="006049FF" w:rsidP="00C64A50">
      <w:pPr>
        <w:tabs>
          <w:tab w:val="left" w:pos="8647"/>
        </w:tabs>
        <w:ind w:left="567" w:right="567"/>
        <w:jc w:val="both"/>
        <w:rPr>
          <w:rFonts w:ascii="Palatino Linotype" w:hAnsi="Palatino Linotype" w:cs="Arial"/>
          <w:bCs/>
          <w:i/>
          <w:sz w:val="22"/>
        </w:rPr>
      </w:pPr>
      <w:r w:rsidRPr="00C64A50">
        <w:rPr>
          <w:rFonts w:ascii="Palatino Linotype" w:hAnsi="Palatino Linotype" w:cs="Arial"/>
          <w:bCs/>
          <w:i/>
          <w:sz w:val="22"/>
        </w:rPr>
        <w:t>La información confidencial no estará sujeta a temporalidad alguna y sólo podrán tener acceso a ella los titulares de la misma, sus representantes y los servidores públicos facultados para ello.”</w:t>
      </w:r>
    </w:p>
    <w:p w:rsidR="006049FF" w:rsidRPr="00C64A50" w:rsidRDefault="006049FF" w:rsidP="00C64A50">
      <w:pPr>
        <w:tabs>
          <w:tab w:val="left" w:pos="8647"/>
        </w:tabs>
        <w:ind w:left="567" w:right="567"/>
        <w:jc w:val="right"/>
        <w:rPr>
          <w:rFonts w:ascii="Palatino Linotype" w:hAnsi="Palatino Linotype" w:cs="Arial"/>
          <w:bCs/>
          <w:sz w:val="22"/>
        </w:rPr>
      </w:pPr>
      <w:r w:rsidRPr="00C64A50">
        <w:rPr>
          <w:rFonts w:ascii="Palatino Linotype" w:hAnsi="Palatino Linotype" w:cs="Arial"/>
          <w:bCs/>
          <w:sz w:val="22"/>
        </w:rPr>
        <w:t>(Énfasis añadido)</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Pr="00D13EF1"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6049FF" w:rsidRPr="00D13EF1" w:rsidRDefault="006049FF" w:rsidP="006049FF">
      <w:pPr>
        <w:tabs>
          <w:tab w:val="left" w:pos="8647"/>
        </w:tabs>
        <w:spacing w:line="360" w:lineRule="auto"/>
        <w:ind w:right="51"/>
        <w:jc w:val="both"/>
        <w:rPr>
          <w:rFonts w:ascii="Palatino Linotype" w:hAnsi="Palatino Linotype" w:cs="Arial"/>
        </w:rPr>
      </w:pPr>
    </w:p>
    <w:p w:rsidR="006049FF" w:rsidRDefault="006049FF" w:rsidP="006049FF">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cs="Arial"/>
        </w:rPr>
        <w:t>Sujeto Obligado</w:t>
      </w:r>
      <w:r w:rsidRPr="00D13EF1">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D1B43" w:rsidRPr="00D13EF1" w:rsidRDefault="00ED1B43" w:rsidP="006049FF">
      <w:pPr>
        <w:tabs>
          <w:tab w:val="left" w:pos="8647"/>
        </w:tabs>
        <w:spacing w:line="360" w:lineRule="auto"/>
        <w:ind w:right="51"/>
        <w:jc w:val="both"/>
        <w:rPr>
          <w:rFonts w:ascii="Palatino Linotype" w:hAnsi="Palatino Linotype" w:cs="Arial"/>
        </w:rPr>
      </w:pPr>
    </w:p>
    <w:p w:rsidR="006049FF" w:rsidRPr="007328BB" w:rsidRDefault="006049FF" w:rsidP="006049FF">
      <w:pPr>
        <w:autoSpaceDE w:val="0"/>
        <w:autoSpaceDN w:val="0"/>
        <w:adjustRightInd w:val="0"/>
        <w:spacing w:line="360" w:lineRule="auto"/>
        <w:contextualSpacing/>
        <w:jc w:val="both"/>
        <w:rPr>
          <w:rFonts w:ascii="Palatino Linotype" w:hAnsi="Palatino Linotype" w:cs="Arial"/>
          <w:iCs/>
        </w:rPr>
      </w:pPr>
      <w:r w:rsidRPr="00D13EF1">
        <w:rPr>
          <w:rFonts w:ascii="Palatino Linotype" w:hAnsi="Palatino Linotype" w:cs="Arial"/>
        </w:rPr>
        <w:lastRenderedPageBreak/>
        <w:t xml:space="preserve">Entonces, el </w:t>
      </w:r>
      <w:r>
        <w:rPr>
          <w:rFonts w:ascii="Palatino Linotype" w:hAnsi="Palatino Linotype" w:cs="Arial"/>
          <w:b/>
        </w:rPr>
        <w:t>Sujeto Obligado</w:t>
      </w:r>
      <w:r w:rsidRPr="00D13EF1">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D13EF1">
        <w:rPr>
          <w:rFonts w:ascii="Palatino Linotype" w:hAnsi="Palatino Linotype" w:cs="Arial"/>
          <w:i/>
          <w:iCs/>
        </w:rPr>
        <w:t>.</w:t>
      </w:r>
    </w:p>
    <w:p w:rsidR="007328BB" w:rsidRPr="007328BB" w:rsidRDefault="007328BB" w:rsidP="006049FF">
      <w:pPr>
        <w:autoSpaceDE w:val="0"/>
        <w:autoSpaceDN w:val="0"/>
        <w:adjustRightInd w:val="0"/>
        <w:spacing w:line="360" w:lineRule="auto"/>
        <w:contextualSpacing/>
        <w:jc w:val="both"/>
        <w:rPr>
          <w:rFonts w:ascii="Palatino Linotype" w:hAnsi="Palatino Linotype" w:cs="Arial"/>
          <w:iCs/>
        </w:rPr>
      </w:pPr>
    </w:p>
    <w:p w:rsidR="006049FF" w:rsidRPr="00D13EF1" w:rsidRDefault="006049FF" w:rsidP="006049FF">
      <w:pPr>
        <w:spacing w:line="360" w:lineRule="auto"/>
        <w:jc w:val="both"/>
        <w:rPr>
          <w:rFonts w:ascii="Palatino Linotype" w:hAnsi="Palatino Linotype"/>
        </w:rPr>
      </w:pPr>
      <w:r w:rsidRPr="00D13EF1">
        <w:rPr>
          <w:rFonts w:ascii="Palatino Linotype" w:hAnsi="Palatino Linotype"/>
        </w:rPr>
        <w:t xml:space="preserve">En mérito de lo expuesto en líneas anteriores, al resultar fundados los motivos de inconformidad vertidos por </w:t>
      </w:r>
      <w:r w:rsidRPr="00D13EF1">
        <w:rPr>
          <w:rFonts w:ascii="Palatino Linotype" w:hAnsi="Palatino Linotype"/>
          <w:b/>
        </w:rPr>
        <w:t xml:space="preserve">el </w:t>
      </w:r>
      <w:r>
        <w:rPr>
          <w:rFonts w:ascii="Palatino Linotype" w:hAnsi="Palatino Linotype"/>
          <w:b/>
        </w:rPr>
        <w:t>Recurrente</w:t>
      </w:r>
      <w:r w:rsidRPr="00D13EF1">
        <w:rPr>
          <w:rFonts w:ascii="Palatino Linotype" w:hAnsi="Palatino Linotype"/>
        </w:rPr>
        <w:t xml:space="preserve">, con fundamento en la primera hipótesis del artículo 186 fracción III de la Ley de Transparencia y Acceso a la Información Pública del Estado de México y Municipios, se </w:t>
      </w:r>
      <w:r w:rsidRPr="00D13EF1">
        <w:rPr>
          <w:rFonts w:ascii="Palatino Linotype" w:hAnsi="Palatino Linotype"/>
          <w:b/>
        </w:rPr>
        <w:t xml:space="preserve">REVOCA </w:t>
      </w:r>
      <w:r w:rsidRPr="00D13EF1">
        <w:rPr>
          <w:rFonts w:ascii="Palatino Linotype" w:hAnsi="Palatino Linotype"/>
        </w:rPr>
        <w:t xml:space="preserve">la respuesta emitida a la solicitud de información </w:t>
      </w:r>
      <w:r w:rsidR="007328BB" w:rsidRPr="007328BB">
        <w:rPr>
          <w:rFonts w:ascii="Palatino Linotype" w:hAnsi="Palatino Linotype"/>
          <w:b/>
        </w:rPr>
        <w:t>00107/CAMEM/IP/2021</w:t>
      </w:r>
      <w:r w:rsidRPr="00D13EF1">
        <w:rPr>
          <w:rFonts w:ascii="Palatino Linotype" w:hAnsi="Palatino Linotype" w:cs="Arial"/>
        </w:rPr>
        <w:t xml:space="preserve">, </w:t>
      </w:r>
      <w:r w:rsidRPr="00D13EF1">
        <w:rPr>
          <w:rFonts w:ascii="Palatino Linotype" w:hAnsi="Palatino Linotype"/>
        </w:rPr>
        <w:t>que ha</w:t>
      </w:r>
      <w:r>
        <w:rPr>
          <w:rFonts w:ascii="Palatino Linotype" w:hAnsi="Palatino Linotype"/>
        </w:rPr>
        <w:t>n</w:t>
      </w:r>
      <w:r w:rsidRPr="00D13EF1">
        <w:rPr>
          <w:rFonts w:ascii="Palatino Linotype" w:hAnsi="Palatino Linotype"/>
        </w:rPr>
        <w:t xml:space="preserve"> sido materia del presente fallo.</w:t>
      </w:r>
    </w:p>
    <w:p w:rsidR="006049FF" w:rsidRPr="00D13EF1" w:rsidRDefault="006049FF" w:rsidP="006049FF">
      <w:pPr>
        <w:spacing w:line="360" w:lineRule="auto"/>
        <w:jc w:val="both"/>
        <w:rPr>
          <w:rFonts w:ascii="Palatino Linotype" w:hAnsi="Palatino Linotype"/>
        </w:rPr>
      </w:pPr>
    </w:p>
    <w:p w:rsidR="006049FF" w:rsidRDefault="006049FF" w:rsidP="006049FF">
      <w:pPr>
        <w:spacing w:line="360" w:lineRule="auto"/>
        <w:jc w:val="both"/>
        <w:rPr>
          <w:rFonts w:ascii="Palatino Linotype" w:hAnsi="Palatino Linotype"/>
        </w:rPr>
      </w:pPr>
      <w:r w:rsidRPr="00D13EF1">
        <w:rPr>
          <w:rFonts w:ascii="Palatino Linotype" w:hAnsi="Palatino Linotype"/>
        </w:rPr>
        <w:t>Por lo antes expuesto y fundado es de resolverse</w:t>
      </w:r>
      <w:r w:rsidR="00ED2FCD">
        <w:rPr>
          <w:rFonts w:ascii="Palatino Linotype" w:hAnsi="Palatino Linotype"/>
        </w:rPr>
        <w:t>;</w:t>
      </w:r>
      <w:r w:rsidRPr="00D13EF1">
        <w:rPr>
          <w:rFonts w:ascii="Palatino Linotype" w:hAnsi="Palatino Linotype"/>
        </w:rPr>
        <w:t xml:space="preserve"> y,</w:t>
      </w:r>
    </w:p>
    <w:p w:rsidR="00ED2FCD" w:rsidRPr="00D13EF1" w:rsidRDefault="00ED2FCD" w:rsidP="006049FF">
      <w:pPr>
        <w:spacing w:line="360" w:lineRule="auto"/>
        <w:jc w:val="both"/>
        <w:rPr>
          <w:rFonts w:ascii="Palatino Linotype" w:hAnsi="Palatino Linotype"/>
        </w:rPr>
      </w:pPr>
    </w:p>
    <w:p w:rsidR="006049FF" w:rsidRPr="00D13EF1" w:rsidRDefault="006049FF" w:rsidP="006049FF">
      <w:pPr>
        <w:spacing w:line="360" w:lineRule="auto"/>
        <w:jc w:val="center"/>
        <w:rPr>
          <w:rFonts w:ascii="Palatino Linotype" w:hAnsi="Palatino Linotype"/>
          <w:b/>
          <w:bCs/>
          <w:spacing w:val="60"/>
          <w:sz w:val="28"/>
          <w:lang w:val="es-ES_tradnl"/>
        </w:rPr>
      </w:pPr>
      <w:r w:rsidRPr="00D13EF1">
        <w:rPr>
          <w:rFonts w:ascii="Palatino Linotype" w:hAnsi="Palatino Linotype"/>
          <w:b/>
          <w:bCs/>
          <w:spacing w:val="60"/>
          <w:sz w:val="28"/>
          <w:lang w:val="es-ES_tradnl"/>
        </w:rPr>
        <w:t>SE    RESUELVE</w:t>
      </w:r>
    </w:p>
    <w:p w:rsidR="006049FF" w:rsidRDefault="006049FF" w:rsidP="006049FF">
      <w:pPr>
        <w:autoSpaceDE w:val="0"/>
        <w:autoSpaceDN w:val="0"/>
        <w:adjustRightInd w:val="0"/>
        <w:spacing w:line="360" w:lineRule="auto"/>
        <w:ind w:right="49"/>
        <w:jc w:val="both"/>
        <w:rPr>
          <w:rFonts w:ascii="Palatino Linotype" w:hAnsi="Palatino Linotype" w:cs="Arial"/>
          <w:szCs w:val="28"/>
          <w:lang w:val="es-ES_tradnl"/>
        </w:rPr>
      </w:pPr>
    </w:p>
    <w:p w:rsidR="006049FF" w:rsidRDefault="006049FF" w:rsidP="006049FF">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szCs w:val="28"/>
          <w:lang w:val="es-ES_tradnl"/>
        </w:rPr>
        <w:t>PRIMERO.</w:t>
      </w:r>
      <w:r w:rsidRPr="00D13EF1">
        <w:rPr>
          <w:rFonts w:ascii="Palatino Linotype" w:hAnsi="Palatino Linotype" w:cs="Arial"/>
          <w:lang w:val="es-ES_tradnl"/>
        </w:rPr>
        <w:t xml:space="preserve"> </w:t>
      </w:r>
      <w:r w:rsidRPr="00D13EF1">
        <w:rPr>
          <w:rFonts w:ascii="Palatino Linotype" w:hAnsi="Palatino Linotype" w:cs="Arial"/>
        </w:rPr>
        <w:t>Se</w:t>
      </w:r>
      <w:r w:rsidRPr="00D13EF1">
        <w:rPr>
          <w:rFonts w:ascii="Palatino Linotype" w:hAnsi="Palatino Linotype" w:cs="Arial"/>
          <w:b/>
        </w:rPr>
        <w:t xml:space="preserve"> REVOCA </w:t>
      </w:r>
      <w:r w:rsidRPr="00D13EF1">
        <w:rPr>
          <w:rFonts w:ascii="Palatino Linotype" w:eastAsia="Arial Unicode MS" w:hAnsi="Palatino Linotype" w:cs="Arial"/>
        </w:rPr>
        <w:t xml:space="preserve">la respuesta entregada por </w:t>
      </w:r>
      <w:r w:rsidRPr="00D13EF1">
        <w:rPr>
          <w:rFonts w:ascii="Palatino Linotype" w:eastAsia="Arial Unicode MS" w:hAnsi="Palatino Linotype" w:cs="Arial"/>
          <w:b/>
        </w:rPr>
        <w:t xml:space="preserve">el </w:t>
      </w:r>
      <w:r>
        <w:rPr>
          <w:rFonts w:ascii="Palatino Linotype" w:eastAsia="Arial Unicode MS" w:hAnsi="Palatino Linotype" w:cs="Arial"/>
          <w:b/>
        </w:rPr>
        <w:t>Sujeto Obligado</w:t>
      </w:r>
      <w:r w:rsidRPr="00D13EF1">
        <w:rPr>
          <w:rFonts w:ascii="Palatino Linotype" w:hAnsi="Palatino Linotype" w:cs="Arial"/>
        </w:rPr>
        <w:t xml:space="preserve">, a la solicitud de información </w:t>
      </w:r>
      <w:r w:rsidR="007328BB" w:rsidRPr="007328BB">
        <w:rPr>
          <w:rFonts w:ascii="Palatino Linotype" w:hAnsi="Palatino Linotype"/>
          <w:b/>
        </w:rPr>
        <w:t>00107/CAMEM/IP/2021</w:t>
      </w:r>
      <w:r w:rsidRPr="00D13EF1">
        <w:rPr>
          <w:rFonts w:ascii="Palatino Linotype" w:hAnsi="Palatino Linotype" w:cs="Arial"/>
        </w:rPr>
        <w:t xml:space="preserve">, por resultar fundados los motivos de inconformidad vertidos por </w:t>
      </w:r>
      <w:r w:rsidRPr="00D13EF1">
        <w:rPr>
          <w:rFonts w:ascii="Palatino Linotype" w:hAnsi="Palatino Linotype" w:cs="Arial"/>
          <w:b/>
        </w:rPr>
        <w:t xml:space="preserve">el </w:t>
      </w:r>
      <w:r>
        <w:rPr>
          <w:rFonts w:ascii="Palatino Linotype" w:hAnsi="Palatino Linotype" w:cs="Arial"/>
          <w:b/>
        </w:rPr>
        <w:t>Recurrente</w:t>
      </w:r>
      <w:r w:rsidRPr="00D13EF1">
        <w:rPr>
          <w:rFonts w:ascii="Palatino Linotype" w:hAnsi="Palatino Linotype" w:cs="Arial"/>
        </w:rPr>
        <w:t xml:space="preserve">, en términos del Considerando </w:t>
      </w:r>
      <w:r w:rsidRPr="00D13EF1">
        <w:rPr>
          <w:rFonts w:ascii="Palatino Linotype" w:hAnsi="Palatino Linotype" w:cs="Arial"/>
          <w:b/>
        </w:rPr>
        <w:t xml:space="preserve">CUARTO </w:t>
      </w:r>
      <w:r w:rsidRPr="00D13EF1">
        <w:rPr>
          <w:rFonts w:ascii="Palatino Linotype" w:hAnsi="Palatino Linotype" w:cs="Arial"/>
        </w:rPr>
        <w:t>de ésta resolución.</w:t>
      </w:r>
    </w:p>
    <w:p w:rsidR="006049FF" w:rsidRDefault="006049FF" w:rsidP="006049FF">
      <w:pPr>
        <w:autoSpaceDE w:val="0"/>
        <w:autoSpaceDN w:val="0"/>
        <w:adjustRightInd w:val="0"/>
        <w:spacing w:line="360" w:lineRule="auto"/>
        <w:ind w:right="49"/>
        <w:jc w:val="both"/>
        <w:rPr>
          <w:rFonts w:ascii="Palatino Linotype" w:hAnsi="Palatino Linotype" w:cs="Arial"/>
        </w:rPr>
      </w:pPr>
    </w:p>
    <w:p w:rsidR="006049FF" w:rsidRDefault="006049FF" w:rsidP="006049FF">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szCs w:val="28"/>
        </w:rPr>
        <w:t>SEGUNDO.</w:t>
      </w:r>
      <w:r w:rsidRPr="00D13EF1">
        <w:rPr>
          <w:rFonts w:ascii="Palatino Linotype" w:hAnsi="Palatino Linotype" w:cs="Arial"/>
        </w:rPr>
        <w:t xml:space="preserve"> Se </w:t>
      </w:r>
      <w:r w:rsidRPr="00D13EF1">
        <w:rPr>
          <w:rFonts w:ascii="Palatino Linotype" w:hAnsi="Palatino Linotype" w:cs="Arial"/>
          <w:b/>
        </w:rPr>
        <w:t>ORDENA</w:t>
      </w:r>
      <w:r w:rsidRPr="00D13EF1">
        <w:rPr>
          <w:rFonts w:ascii="Palatino Linotype" w:hAnsi="Palatino Linotype" w:cs="Arial"/>
        </w:rPr>
        <w:t xml:space="preserve"> al </w:t>
      </w:r>
      <w:r>
        <w:rPr>
          <w:rFonts w:ascii="Palatino Linotype" w:hAnsi="Palatino Linotype" w:cs="Arial"/>
          <w:b/>
        </w:rPr>
        <w:t>Sujeto Obligado</w:t>
      </w:r>
      <w:r w:rsidRPr="00D13EF1">
        <w:rPr>
          <w:rFonts w:ascii="Palatino Linotype" w:hAnsi="Palatino Linotype" w:cs="Arial"/>
        </w:rPr>
        <w:t xml:space="preserve">, en términos del considerando </w:t>
      </w:r>
      <w:r w:rsidRPr="00D13EF1">
        <w:rPr>
          <w:rFonts w:ascii="Palatino Linotype" w:hAnsi="Palatino Linotype" w:cs="Arial"/>
          <w:b/>
        </w:rPr>
        <w:t xml:space="preserve">cuarto </w:t>
      </w:r>
      <w:r w:rsidRPr="00D13EF1">
        <w:rPr>
          <w:rFonts w:ascii="Palatino Linotype" w:hAnsi="Palatino Linotype" w:cs="Arial"/>
        </w:rPr>
        <w:t xml:space="preserve">de esta resolución, haga entrega a través del SAIMEX, en su caso en versión pública del soporte documental donde </w:t>
      </w:r>
      <w:r w:rsidR="00937461">
        <w:rPr>
          <w:rFonts w:ascii="Palatino Linotype" w:hAnsi="Palatino Linotype" w:cs="Arial"/>
        </w:rPr>
        <w:t xml:space="preserve">conste </w:t>
      </w:r>
      <w:r w:rsidRPr="00D13EF1">
        <w:rPr>
          <w:rFonts w:ascii="Palatino Linotype" w:hAnsi="Palatino Linotype" w:cs="Arial"/>
        </w:rPr>
        <w:t>lo siguiente:</w:t>
      </w:r>
    </w:p>
    <w:p w:rsidR="00937461" w:rsidRDefault="00937461" w:rsidP="00937461">
      <w:pPr>
        <w:pStyle w:val="Prrafodelista"/>
        <w:widowControl w:val="0"/>
        <w:numPr>
          <w:ilvl w:val="0"/>
          <w:numId w:val="8"/>
        </w:numPr>
        <w:autoSpaceDE w:val="0"/>
        <w:autoSpaceDN w:val="0"/>
        <w:adjustRightInd w:val="0"/>
        <w:spacing w:line="360" w:lineRule="auto"/>
        <w:jc w:val="both"/>
        <w:rPr>
          <w:rFonts w:ascii="Palatino Linotype" w:hAnsi="Palatino Linotype"/>
        </w:rPr>
      </w:pPr>
      <w:r w:rsidRPr="00837A16">
        <w:rPr>
          <w:rFonts w:ascii="Palatino Linotype" w:hAnsi="Palatino Linotype"/>
        </w:rPr>
        <w:lastRenderedPageBreak/>
        <w:t>Las dimensiones de</w:t>
      </w:r>
      <w:r>
        <w:rPr>
          <w:rFonts w:ascii="Palatino Linotype" w:hAnsi="Palatino Linotype"/>
        </w:rPr>
        <w:t xml:space="preserve"> </w:t>
      </w:r>
      <w:r w:rsidRPr="00837A16">
        <w:rPr>
          <w:rFonts w:ascii="Palatino Linotype" w:hAnsi="Palatino Linotype"/>
        </w:rPr>
        <w:t>l</w:t>
      </w:r>
      <w:r>
        <w:rPr>
          <w:rFonts w:ascii="Palatino Linotype" w:hAnsi="Palatino Linotype"/>
        </w:rPr>
        <w:t>as oficinas y del</w:t>
      </w:r>
      <w:r w:rsidRPr="00837A16">
        <w:rPr>
          <w:rFonts w:ascii="Palatino Linotype" w:hAnsi="Palatino Linotype"/>
        </w:rPr>
        <w:t xml:space="preserve"> edificio donde radica la institución e</w:t>
      </w:r>
      <w:r>
        <w:rPr>
          <w:rFonts w:ascii="Palatino Linotype" w:hAnsi="Palatino Linotype"/>
        </w:rPr>
        <w:t>n la Ciudad de Toluca de Lerdo;</w:t>
      </w:r>
    </w:p>
    <w:p w:rsidR="00937461" w:rsidRPr="00FF2A07" w:rsidRDefault="00937461" w:rsidP="00372F74">
      <w:pPr>
        <w:pStyle w:val="Prrafodelista"/>
        <w:widowControl w:val="0"/>
        <w:numPr>
          <w:ilvl w:val="0"/>
          <w:numId w:val="8"/>
        </w:numPr>
        <w:autoSpaceDE w:val="0"/>
        <w:autoSpaceDN w:val="0"/>
        <w:adjustRightInd w:val="0"/>
        <w:spacing w:line="360" w:lineRule="auto"/>
        <w:jc w:val="both"/>
        <w:rPr>
          <w:rFonts w:ascii="Palatino Linotype" w:hAnsi="Palatino Linotype"/>
        </w:rPr>
      </w:pPr>
      <w:r w:rsidRPr="00FF2A07">
        <w:rPr>
          <w:rFonts w:ascii="Palatino Linotype" w:hAnsi="Palatino Linotype"/>
        </w:rPr>
        <w:t>Número de personas que ocupan</w:t>
      </w:r>
      <w:r w:rsidR="00B707F9" w:rsidRPr="00FF2A07">
        <w:rPr>
          <w:rFonts w:ascii="Palatino Linotype" w:hAnsi="Palatino Linotype"/>
        </w:rPr>
        <w:t xml:space="preserve"> las oficinas derivado de la pandemia mundial generada por la enfermedad Covid-19</w:t>
      </w:r>
      <w:r w:rsidRPr="00FF2A07">
        <w:rPr>
          <w:rFonts w:ascii="Palatino Linotype" w:hAnsi="Palatino Linotype"/>
        </w:rPr>
        <w:t>; y</w:t>
      </w:r>
      <w:r w:rsidR="00FF2A07" w:rsidRPr="00FF2A07">
        <w:rPr>
          <w:rFonts w:ascii="Palatino Linotype" w:hAnsi="Palatino Linotype"/>
        </w:rPr>
        <w:t xml:space="preserve"> </w:t>
      </w:r>
      <w:r w:rsidRPr="00FF2A07">
        <w:rPr>
          <w:rFonts w:ascii="Palatino Linotype" w:hAnsi="Palatino Linotype"/>
        </w:rPr>
        <w:t>si en ellas se cumple la distancia de seguridad para evitar los contagios.</w:t>
      </w:r>
    </w:p>
    <w:p w:rsidR="006049FF" w:rsidRDefault="006049FF" w:rsidP="006049FF">
      <w:pPr>
        <w:spacing w:line="360" w:lineRule="auto"/>
        <w:jc w:val="both"/>
        <w:rPr>
          <w:rFonts w:ascii="Palatino Linotype" w:hAnsi="Palatino Linotype" w:cs="Arial"/>
        </w:rPr>
      </w:pPr>
    </w:p>
    <w:p w:rsidR="006049FF" w:rsidRDefault="006049FF" w:rsidP="006049FF">
      <w:pPr>
        <w:spacing w:line="360" w:lineRule="auto"/>
        <w:jc w:val="both"/>
        <w:rPr>
          <w:rFonts w:ascii="Palatino Linotype" w:hAnsi="Palatino Linotype" w:cs="Arial"/>
        </w:rPr>
      </w:pPr>
      <w:r w:rsidRPr="00D13EF1">
        <w:rPr>
          <w:rFonts w:ascii="Palatino Linotype" w:hAnsi="Palatino Linotype" w:cs="Arial"/>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rsidR="006049FF" w:rsidRDefault="006049FF" w:rsidP="006049FF">
      <w:pPr>
        <w:spacing w:line="360" w:lineRule="auto"/>
        <w:jc w:val="both"/>
        <w:rPr>
          <w:rFonts w:ascii="Palatino Linotype" w:hAnsi="Palatino Linotype" w:cs="Arial"/>
        </w:rPr>
      </w:pPr>
    </w:p>
    <w:p w:rsidR="006049FF" w:rsidRDefault="006049FF" w:rsidP="006049FF">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szCs w:val="28"/>
        </w:rPr>
        <w:t>TERCERO.</w:t>
      </w:r>
      <w:r w:rsidRPr="00D13EF1">
        <w:rPr>
          <w:rFonts w:ascii="Palatino Linotype" w:hAnsi="Palatino Linotype" w:cs="Arial"/>
          <w:b/>
        </w:rPr>
        <w:t xml:space="preserve"> NOTIFÍQUESE</w:t>
      </w:r>
      <w:r w:rsidRPr="00D13EF1">
        <w:rPr>
          <w:rFonts w:ascii="Palatino Linotype" w:hAnsi="Palatino Linotype" w:cs="Arial"/>
          <w:i/>
        </w:rPr>
        <w:t xml:space="preserve"> </w:t>
      </w:r>
      <w:r w:rsidRPr="00D13EF1">
        <w:rPr>
          <w:rFonts w:ascii="Palatino Linotype" w:hAnsi="Palatino Linotype" w:cs="Arial"/>
        </w:rPr>
        <w:t>la presente resolución al Titular de la Unidad de Transparencia del</w:t>
      </w:r>
      <w:r w:rsidRPr="00D13EF1">
        <w:rPr>
          <w:rFonts w:ascii="Palatino Linotype" w:hAnsi="Palatino Linotype" w:cs="Arial"/>
          <w:b/>
        </w:rPr>
        <w:t xml:space="preserve"> </w:t>
      </w:r>
      <w:r>
        <w:rPr>
          <w:rFonts w:ascii="Palatino Linotype" w:hAnsi="Palatino Linotype" w:cs="Arial"/>
          <w:b/>
        </w:rPr>
        <w:t>Sujeto Obligado</w:t>
      </w:r>
      <w:r w:rsidRPr="00D13EF1">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6049FF" w:rsidRPr="00D13EF1" w:rsidRDefault="006049FF" w:rsidP="006049FF">
      <w:pPr>
        <w:autoSpaceDE w:val="0"/>
        <w:autoSpaceDN w:val="0"/>
        <w:adjustRightInd w:val="0"/>
        <w:spacing w:line="360" w:lineRule="auto"/>
        <w:ind w:right="49"/>
        <w:jc w:val="both"/>
        <w:rPr>
          <w:rFonts w:ascii="Palatino Linotype" w:hAnsi="Palatino Linotype" w:cs="Arial"/>
        </w:rPr>
      </w:pPr>
    </w:p>
    <w:p w:rsidR="006049FF" w:rsidRPr="00D13EF1" w:rsidRDefault="006049FF" w:rsidP="006049FF">
      <w:pPr>
        <w:autoSpaceDE w:val="0"/>
        <w:autoSpaceDN w:val="0"/>
        <w:adjustRightInd w:val="0"/>
        <w:spacing w:line="360" w:lineRule="auto"/>
        <w:jc w:val="both"/>
        <w:rPr>
          <w:rFonts w:ascii="Palatino Linotype" w:hAnsi="Palatino Linotype" w:cs="Arial"/>
        </w:rPr>
      </w:pPr>
      <w:r w:rsidRPr="00D13EF1">
        <w:rPr>
          <w:rFonts w:ascii="Palatino Linotype" w:hAnsi="Palatino Linotype" w:cs="Arial"/>
          <w:b/>
          <w:sz w:val="28"/>
          <w:szCs w:val="28"/>
        </w:rPr>
        <w:t>CUARTO.</w:t>
      </w:r>
      <w:r w:rsidRPr="00D13EF1">
        <w:rPr>
          <w:rFonts w:ascii="Palatino Linotype" w:hAnsi="Palatino Linotype" w:cs="Arial"/>
          <w:b/>
        </w:rPr>
        <w:t xml:space="preserve"> </w:t>
      </w:r>
      <w:r w:rsidRPr="00D13EF1">
        <w:rPr>
          <w:rFonts w:ascii="Palatino Linotype" w:hAnsi="Palatino Linotype" w:cs="Arial"/>
        </w:rPr>
        <w:t xml:space="preserve">De conformidad con el artículo 198 de la Ley de Transparencia y Acceso a la Información Pública del Estado de México y Municipios, de considerarlo procedente, el </w:t>
      </w:r>
      <w:r w:rsidRPr="00685E65">
        <w:rPr>
          <w:rFonts w:ascii="Palatino Linotype" w:hAnsi="Palatino Linotype" w:cs="Arial"/>
          <w:b/>
        </w:rPr>
        <w:t>Sujeto Obligado</w:t>
      </w:r>
      <w:r w:rsidRPr="00D13EF1">
        <w:rPr>
          <w:rFonts w:ascii="Palatino Linotype" w:hAnsi="Palatino Linotype" w:cs="Arial"/>
        </w:rPr>
        <w:t xml:space="preserve"> de manera fundada y motivada, podrá solicitar una ampliación de plazo para el cumplimiento de la presente resolución.</w:t>
      </w:r>
    </w:p>
    <w:p w:rsidR="006049FF" w:rsidRPr="00D13EF1" w:rsidRDefault="006049FF" w:rsidP="006049FF">
      <w:pPr>
        <w:autoSpaceDE w:val="0"/>
        <w:autoSpaceDN w:val="0"/>
        <w:adjustRightInd w:val="0"/>
        <w:spacing w:line="360" w:lineRule="auto"/>
        <w:jc w:val="both"/>
        <w:rPr>
          <w:rFonts w:ascii="Palatino Linotype" w:hAnsi="Palatino Linotype" w:cs="Arial"/>
        </w:rPr>
      </w:pPr>
    </w:p>
    <w:p w:rsidR="006049FF" w:rsidRDefault="006049FF" w:rsidP="006049FF">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rPr>
        <w:lastRenderedPageBreak/>
        <w:t>QUINTO</w:t>
      </w:r>
      <w:r w:rsidRPr="00D13EF1">
        <w:rPr>
          <w:rFonts w:ascii="Palatino Linotype" w:hAnsi="Palatino Linotype" w:cs="Arial"/>
          <w:b/>
        </w:rPr>
        <w:t>. NOTIFÍQUESE</w:t>
      </w:r>
      <w:r w:rsidRPr="00D13EF1">
        <w:rPr>
          <w:rFonts w:ascii="Palatino Linotype" w:hAnsi="Palatino Linotype" w:cs="Arial"/>
        </w:rPr>
        <w:t xml:space="preserve"> a través del SAIMEX, al </w:t>
      </w:r>
      <w:r>
        <w:rPr>
          <w:rFonts w:ascii="Palatino Linotype" w:hAnsi="Palatino Linotype" w:cs="Arial"/>
          <w:b/>
        </w:rPr>
        <w:t>Recurrente</w:t>
      </w:r>
      <w:r w:rsidRPr="00D13EF1">
        <w:rPr>
          <w:rFonts w:ascii="Palatino Linotype" w:hAnsi="Palatino Linotype" w:cs="Arial"/>
        </w:rPr>
        <w:t xml:space="preserve"> la presente resolución, así </w:t>
      </w:r>
      <w:r w:rsidRPr="002071EB">
        <w:rPr>
          <w:rFonts w:ascii="Palatino Linotype" w:hAnsi="Palatino Linotype" w:cs="Arial"/>
        </w:rPr>
        <w:t>mismo de conformidad con lo establecido en el artículo 196 de la Ley de Transparencia y Acceso a la Información Pública del Estado de México y Municipios podrá promover el Juicio de Amparo en los términos de las leyes aplicables.</w:t>
      </w:r>
    </w:p>
    <w:p w:rsidR="00C64A50" w:rsidRDefault="00C64A50" w:rsidP="006049FF">
      <w:pPr>
        <w:autoSpaceDE w:val="0"/>
        <w:autoSpaceDN w:val="0"/>
        <w:adjustRightInd w:val="0"/>
        <w:spacing w:line="360" w:lineRule="auto"/>
        <w:ind w:right="49"/>
        <w:jc w:val="both"/>
        <w:rPr>
          <w:rFonts w:ascii="Palatino Linotype" w:hAnsi="Palatino Linotype" w:cs="Arial"/>
        </w:rPr>
      </w:pPr>
    </w:p>
    <w:p w:rsidR="00B276A9" w:rsidRPr="000E591D" w:rsidRDefault="00B276A9" w:rsidP="00B276A9">
      <w:pPr>
        <w:spacing w:line="360" w:lineRule="auto"/>
        <w:jc w:val="both"/>
        <w:rPr>
          <w:rFonts w:ascii="Palatino Linotype" w:hAnsi="Palatino Linotype" w:cs="Arial"/>
        </w:rPr>
      </w:pPr>
      <w:r w:rsidRPr="000E591D">
        <w:rPr>
          <w:rFonts w:ascii="Palatino Linotype" w:hAnsi="Palatino Linotype" w:cs="Arial"/>
        </w:rPr>
        <w:t>ASÍ LO RESUELVE, POR UNANIMIDAD DE VOTOS EL PLENO DEL</w:t>
      </w:r>
      <w:r w:rsidRPr="000E591D">
        <w:rPr>
          <w:rFonts w:ascii="Palatino Linotype" w:eastAsia="Arial Unicode MS" w:hAnsi="Palatino Linotype" w:cs="Arial"/>
        </w:rPr>
        <w:t xml:space="preserve"> INSTITUTO DE TRANSPARENCIA, ACCESO A LA INFORMACIÓN PÚBLICA Y PROTECCIÓN DE DATOS PERSONALES DEL ESTADO DE MÉXICO Y MUNICIPIOS</w:t>
      </w:r>
      <w:r w:rsidRPr="000E591D">
        <w:rPr>
          <w:rFonts w:ascii="Palatino Linotype" w:hAnsi="Palatino Linotype" w:cs="Arial"/>
        </w:rPr>
        <w:t>, CONFORMADO POR LOS COMISIONADOS JOSÉ MARTÍNEZ VILCHIS, MARÍA DEL ROSARIO MEJÍA AYALA</w:t>
      </w:r>
      <w:r>
        <w:rPr>
          <w:rFonts w:ascii="Palatino Linotype" w:hAnsi="Palatino Linotype" w:cs="Arial"/>
        </w:rPr>
        <w:t xml:space="preserve">, </w:t>
      </w:r>
      <w:r w:rsidRPr="000E591D">
        <w:rPr>
          <w:rFonts w:ascii="Palatino Linotype" w:hAnsi="Palatino Linotype" w:cs="Arial"/>
        </w:rPr>
        <w:t>SH</w:t>
      </w:r>
      <w:r>
        <w:rPr>
          <w:rFonts w:ascii="Palatino Linotype" w:hAnsi="Palatino Linotype" w:cs="Arial"/>
        </w:rPr>
        <w:t>ARON CRISTINA MORALES MARTÍNEZ,</w:t>
      </w:r>
      <w:r w:rsidRPr="000E591D">
        <w:rPr>
          <w:rFonts w:ascii="Palatino Linotype" w:hAnsi="Palatino Linotype" w:cs="Arial"/>
        </w:rPr>
        <w:t xml:space="preserve"> LUIS GUSTAVO PARRA NORIEGA</w:t>
      </w:r>
      <w:r>
        <w:rPr>
          <w:rFonts w:ascii="Palatino Linotype" w:hAnsi="Palatino Linotype" w:cs="Arial"/>
        </w:rPr>
        <w:t xml:space="preserve"> Y GUADALUPE RAMÍREZ PEÑA</w:t>
      </w:r>
      <w:r w:rsidRPr="000E591D">
        <w:rPr>
          <w:rFonts w:ascii="Palatino Linotype" w:eastAsiaTheme="minorHAnsi" w:hAnsi="Palatino Linotype" w:cs="Arial"/>
          <w:lang w:val="es-MX" w:eastAsia="en-US"/>
        </w:rPr>
        <w:t xml:space="preserve">, EN LA TRIGÉSIMA SESIÓN ORDINARIA CELEBRADA EL UNO DE SEPTIEMBRE DE DOS MIL VEINTIUNO, ANTE EL </w:t>
      </w:r>
      <w:r w:rsidRPr="000E591D">
        <w:rPr>
          <w:rFonts w:ascii="Palatino Linotype" w:hAnsi="Palatino Linotype" w:cs="Arial"/>
        </w:rPr>
        <w:t>ANTE EL SECRETARIO TÉCNICO DEL PLENO, ALEXIS TAPIA RAMÍREZ. -----------------------------------------------------------------------------</w:t>
      </w:r>
    </w:p>
    <w:p w:rsidR="006049FF" w:rsidRDefault="00C64A50" w:rsidP="00C64A50">
      <w:pPr>
        <w:spacing w:line="360" w:lineRule="auto"/>
        <w:jc w:val="both"/>
        <w:rPr>
          <w:rFonts w:ascii="Palatino Linotype" w:hAnsi="Palatino Linotype" w:cs="Arial"/>
        </w:rPr>
      </w:pPr>
      <w:r>
        <w:rPr>
          <w:rFonts w:ascii="Palatino Linotype" w:hAnsi="Palatino Linotype" w:cs="Arial"/>
        </w:rPr>
        <w:t>------------------------------------------------------------------------------------------------------------------</w:t>
      </w:r>
    </w:p>
    <w:p w:rsidR="006049FF" w:rsidRDefault="006049FF" w:rsidP="006049FF">
      <w:pPr>
        <w:spacing w:line="360" w:lineRule="auto"/>
        <w:jc w:val="both"/>
        <w:rPr>
          <w:rFonts w:ascii="Palatino Linotype" w:hAnsi="Palatino Linotype" w:cs="Arial"/>
        </w:rPr>
      </w:pPr>
      <w:r>
        <w:rPr>
          <w:rFonts w:ascii="Palatino Linotype" w:hAnsi="Palatino Linotype" w:cs="Arial"/>
        </w:rPr>
        <w:t>------------------------------------------------------------------------------------------------------------------</w:t>
      </w:r>
    </w:p>
    <w:p w:rsidR="006049FF" w:rsidRDefault="006049FF" w:rsidP="006049FF">
      <w:pPr>
        <w:spacing w:line="360" w:lineRule="auto"/>
        <w:jc w:val="both"/>
        <w:rPr>
          <w:rFonts w:ascii="Palatino Linotype" w:hAnsi="Palatino Linotype" w:cs="Arial"/>
        </w:rPr>
      </w:pPr>
      <w:r>
        <w:rPr>
          <w:rFonts w:ascii="Palatino Linotype" w:hAnsi="Palatino Linotype" w:cs="Arial"/>
        </w:rPr>
        <w:t>------------------------------------------------------------------------------------------------------------------</w:t>
      </w:r>
    </w:p>
    <w:p w:rsidR="006049FF" w:rsidRDefault="006049FF" w:rsidP="006049FF">
      <w:pPr>
        <w:spacing w:line="360" w:lineRule="auto"/>
        <w:jc w:val="both"/>
        <w:rPr>
          <w:rFonts w:ascii="Palatino Linotype" w:hAnsi="Palatino Linotype" w:cs="Arial"/>
        </w:rPr>
      </w:pPr>
      <w:r>
        <w:rPr>
          <w:rFonts w:ascii="Palatino Linotype" w:hAnsi="Palatino Linotype" w:cs="Arial"/>
        </w:rPr>
        <w:t>------------------------------------------------------------------------------------------------------------------</w:t>
      </w:r>
    </w:p>
    <w:p w:rsidR="006049FF" w:rsidRDefault="006049FF" w:rsidP="006049FF">
      <w:pPr>
        <w:spacing w:line="360" w:lineRule="auto"/>
        <w:jc w:val="both"/>
        <w:rPr>
          <w:rFonts w:ascii="Palatino Linotype" w:hAnsi="Palatino Linotype" w:cs="Arial"/>
        </w:rPr>
      </w:pPr>
      <w:r>
        <w:rPr>
          <w:rFonts w:ascii="Palatino Linotype" w:hAnsi="Palatino Linotype" w:cs="Arial"/>
        </w:rPr>
        <w:t>------------------------------------------------------------------------------------------------------------------</w:t>
      </w:r>
    </w:p>
    <w:p w:rsidR="006049FF" w:rsidRDefault="006049FF" w:rsidP="006049FF">
      <w:pPr>
        <w:spacing w:line="360" w:lineRule="auto"/>
        <w:jc w:val="both"/>
        <w:rPr>
          <w:rFonts w:ascii="Palatino Linotype" w:hAnsi="Palatino Linotype" w:cs="Arial"/>
        </w:rPr>
      </w:pPr>
      <w:r>
        <w:rPr>
          <w:rFonts w:ascii="Palatino Linotype" w:hAnsi="Palatino Linotype" w:cs="Arial"/>
        </w:rPr>
        <w:t>------------------------------------------------------------------------------------------------------------------</w:t>
      </w:r>
    </w:p>
    <w:p w:rsidR="006049FF" w:rsidRDefault="006049FF" w:rsidP="006049FF">
      <w:pPr>
        <w:spacing w:line="360" w:lineRule="auto"/>
        <w:jc w:val="both"/>
        <w:rPr>
          <w:rFonts w:ascii="Palatino Linotype" w:hAnsi="Palatino Linotype" w:cs="Arial"/>
        </w:rPr>
      </w:pPr>
      <w:r>
        <w:rPr>
          <w:rFonts w:ascii="Palatino Linotype" w:hAnsi="Palatino Linotype" w:cs="Arial"/>
        </w:rPr>
        <w:t>------------------------------------------------------------------------------------------------------------------</w:t>
      </w:r>
    </w:p>
    <w:p w:rsidR="006049FF" w:rsidRDefault="006049FF" w:rsidP="006049FF">
      <w:pPr>
        <w:spacing w:line="360" w:lineRule="auto"/>
        <w:jc w:val="both"/>
        <w:rPr>
          <w:rFonts w:ascii="Palatino Linotype" w:hAnsi="Palatino Linotype" w:cs="Arial"/>
        </w:rPr>
      </w:pPr>
      <w:r>
        <w:rPr>
          <w:rFonts w:ascii="Palatino Linotype" w:hAnsi="Palatino Linotype" w:cs="Arial"/>
        </w:rPr>
        <w:t>------------------------------------------------------------------------------------------------------------------</w:t>
      </w:r>
    </w:p>
    <w:p w:rsidR="00ED1B43" w:rsidRDefault="00ED1B43" w:rsidP="00ED1B43">
      <w:pPr>
        <w:spacing w:line="360" w:lineRule="auto"/>
        <w:jc w:val="both"/>
        <w:rPr>
          <w:rFonts w:ascii="Palatino Linotype" w:hAnsi="Palatino Linotype" w:cs="Arial"/>
        </w:rPr>
      </w:pPr>
      <w:r>
        <w:rPr>
          <w:rFonts w:ascii="Palatino Linotype" w:hAnsi="Palatino Linotype" w:cs="Arial"/>
        </w:rPr>
        <w:t>------------------------------------------------------------------------------------------------------------------</w:t>
      </w:r>
    </w:p>
    <w:p w:rsidR="006049FF" w:rsidRDefault="006049FF" w:rsidP="006049FF">
      <w:pPr>
        <w:spacing w:line="276" w:lineRule="auto"/>
        <w:jc w:val="both"/>
        <w:rPr>
          <w:rFonts w:ascii="Palatino Linotype" w:hAnsi="Palatino Linotype" w:cs="Arial"/>
          <w:sz w:val="16"/>
          <w:szCs w:val="16"/>
        </w:rPr>
      </w:pPr>
      <w:r>
        <w:rPr>
          <w:rFonts w:ascii="Palatino Linotype" w:hAnsi="Palatino Linotype" w:cs="Arial"/>
          <w:sz w:val="16"/>
          <w:szCs w:val="16"/>
        </w:rPr>
        <w:t>HAP</w:t>
      </w:r>
    </w:p>
    <w:p w:rsidR="006049FF" w:rsidRDefault="006049FF" w:rsidP="006049FF">
      <w:pPr>
        <w:spacing w:line="276" w:lineRule="auto"/>
        <w:jc w:val="both"/>
        <w:rPr>
          <w:rFonts w:ascii="Palatino Linotype" w:hAnsi="Palatino Linotype" w:cs="Arial"/>
          <w:sz w:val="16"/>
          <w:szCs w:val="16"/>
        </w:rPr>
      </w:pPr>
    </w:p>
    <w:p w:rsidR="006049FF" w:rsidRDefault="006049FF" w:rsidP="006049FF">
      <w:pPr>
        <w:spacing w:line="276" w:lineRule="auto"/>
        <w:jc w:val="both"/>
      </w:pPr>
    </w:p>
    <w:p w:rsidR="006049FF" w:rsidRPr="00F607F8" w:rsidRDefault="006049FF" w:rsidP="006049FF"/>
    <w:p w:rsidR="006049FF" w:rsidRDefault="006049FF" w:rsidP="006049FF"/>
    <w:p w:rsidR="006049FF" w:rsidRDefault="006049FF" w:rsidP="006049FF"/>
    <w:p w:rsidR="006049FF" w:rsidRDefault="006049FF" w:rsidP="006049FF"/>
    <w:p w:rsidR="00EF5006" w:rsidRDefault="001A2B25"/>
    <w:sectPr w:rsidR="00EF5006" w:rsidSect="007A325D">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B25" w:rsidRDefault="001A2B25" w:rsidP="006049FF">
      <w:r>
        <w:separator/>
      </w:r>
    </w:p>
  </w:endnote>
  <w:endnote w:type="continuationSeparator" w:id="0">
    <w:p w:rsidR="001A2B25" w:rsidRDefault="001A2B25" w:rsidP="00604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D92" w:rsidRPr="00A2780F" w:rsidRDefault="00DE29B5" w:rsidP="007A325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5074D">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5074D">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D92" w:rsidRPr="00070856" w:rsidRDefault="00DE29B5" w:rsidP="007A325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5074D">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5074D">
      <w:rPr>
        <w:rFonts w:ascii="Arial" w:hAnsi="Arial" w:cs="Arial"/>
        <w:b/>
        <w:bCs/>
        <w:noProof/>
        <w:sz w:val="20"/>
        <w:szCs w:val="20"/>
      </w:rPr>
      <w:t>37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B25" w:rsidRDefault="001A2B25" w:rsidP="006049FF">
      <w:r>
        <w:separator/>
      </w:r>
    </w:p>
  </w:footnote>
  <w:footnote w:type="continuationSeparator" w:id="0">
    <w:p w:rsidR="001A2B25" w:rsidRDefault="001A2B25" w:rsidP="006049FF">
      <w:r>
        <w:continuationSeparator/>
      </w:r>
    </w:p>
  </w:footnote>
  <w:footnote w:id="1">
    <w:p w:rsidR="006049FF" w:rsidRPr="00946E1F" w:rsidRDefault="006049FF" w:rsidP="006049FF">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6049FF" w:rsidRDefault="006049FF" w:rsidP="006049FF">
      <w:pPr>
        <w:pStyle w:val="Textonotapie"/>
      </w:pPr>
    </w:p>
    <w:p w:rsidR="006049FF" w:rsidRDefault="006049FF" w:rsidP="006049FF">
      <w:pPr>
        <w:pStyle w:val="Textonotapie"/>
      </w:pPr>
      <w:r>
        <w:rPr>
          <w:rStyle w:val="Refdenotaalpie"/>
        </w:rPr>
        <w:footnoteRef/>
      </w:r>
      <w:r>
        <w:t xml:space="preserve"> </w:t>
      </w:r>
      <w:r w:rsidRPr="00AB37C1">
        <w:rPr>
          <w:rFonts w:ascii="Palatino Linotype" w:hAnsi="Palatino Linotype"/>
        </w:rPr>
        <w:t>Página electrónica consultada el día 15 (quince) de junio de 2021 (dos mil veintiuno) a las 15:43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D92" w:rsidRDefault="001A2B2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4"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7" w:type="dxa"/>
      <w:tblInd w:w="1923" w:type="dxa"/>
      <w:tblLayout w:type="fixed"/>
      <w:tblLook w:val="04A0" w:firstRow="1" w:lastRow="0" w:firstColumn="1" w:lastColumn="0" w:noHBand="0" w:noVBand="1"/>
    </w:tblPr>
    <w:tblGrid>
      <w:gridCol w:w="3332"/>
      <w:gridCol w:w="4345"/>
    </w:tblGrid>
    <w:tr w:rsidR="00D32D92" w:rsidRPr="00960107" w:rsidTr="007A325D">
      <w:trPr>
        <w:trHeight w:val="324"/>
      </w:trPr>
      <w:tc>
        <w:tcPr>
          <w:tcW w:w="3332" w:type="dxa"/>
          <w:shd w:val="clear" w:color="auto" w:fill="auto"/>
        </w:tcPr>
        <w:p w:rsidR="00D32D92" w:rsidRPr="00960107" w:rsidRDefault="00DE29B5" w:rsidP="007A325D">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Recurso de revisión:</w:t>
          </w:r>
        </w:p>
      </w:tc>
      <w:tc>
        <w:tcPr>
          <w:tcW w:w="4345" w:type="dxa"/>
          <w:shd w:val="clear" w:color="auto" w:fill="auto"/>
          <w:vAlign w:val="center"/>
        </w:tcPr>
        <w:p w:rsidR="00D32D92" w:rsidRPr="00664658" w:rsidRDefault="00DE29B5" w:rsidP="001C439E">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sidR="001C439E">
            <w:rPr>
              <w:rFonts w:ascii="Palatino Linotype" w:hAnsi="Palatino Linotype"/>
              <w:b/>
              <w:sz w:val="22"/>
              <w:szCs w:val="22"/>
              <w:lang w:val="es-ES_tradnl"/>
            </w:rPr>
            <w:t>3610</w:t>
          </w:r>
          <w:r>
            <w:rPr>
              <w:rFonts w:ascii="Palatino Linotype" w:hAnsi="Palatino Linotype"/>
              <w:b/>
              <w:sz w:val="22"/>
              <w:szCs w:val="22"/>
              <w:lang w:val="es-ES_tradnl"/>
            </w:rPr>
            <w:t>/INFOEM/IP/RR/2021</w:t>
          </w:r>
        </w:p>
      </w:tc>
    </w:tr>
    <w:tr w:rsidR="00D32D92" w:rsidRPr="008F2CCC" w:rsidTr="007A325D">
      <w:trPr>
        <w:trHeight w:val="335"/>
      </w:trPr>
      <w:tc>
        <w:tcPr>
          <w:tcW w:w="3332" w:type="dxa"/>
          <w:shd w:val="clear" w:color="auto" w:fill="auto"/>
        </w:tcPr>
        <w:p w:rsidR="00D32D92" w:rsidRPr="00960107" w:rsidRDefault="00DE29B5" w:rsidP="007A325D">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Sujeto Obligado:</w:t>
          </w:r>
        </w:p>
      </w:tc>
      <w:tc>
        <w:tcPr>
          <w:tcW w:w="4345" w:type="dxa"/>
          <w:shd w:val="clear" w:color="auto" w:fill="auto"/>
          <w:vAlign w:val="center"/>
        </w:tcPr>
        <w:p w:rsidR="00D32D92" w:rsidRPr="00664658" w:rsidRDefault="001C439E" w:rsidP="007A325D">
          <w:pPr>
            <w:spacing w:line="276" w:lineRule="auto"/>
            <w:jc w:val="right"/>
            <w:rPr>
              <w:rFonts w:ascii="Palatino Linotype" w:hAnsi="Palatino Linotype"/>
              <w:b/>
              <w:sz w:val="22"/>
              <w:szCs w:val="22"/>
              <w:lang w:val="es-ES_tradnl"/>
            </w:rPr>
          </w:pPr>
          <w:r w:rsidRPr="001C439E">
            <w:rPr>
              <w:rFonts w:ascii="Palatino Linotype" w:hAnsi="Palatino Linotype"/>
              <w:b/>
              <w:sz w:val="22"/>
              <w:szCs w:val="22"/>
            </w:rPr>
            <w:t>Comisión de Conciliación y Arbitraje Médico del Estado de México</w:t>
          </w:r>
        </w:p>
      </w:tc>
    </w:tr>
    <w:tr w:rsidR="00D32D92" w:rsidRPr="008F2CCC" w:rsidTr="007A325D">
      <w:trPr>
        <w:trHeight w:val="219"/>
      </w:trPr>
      <w:tc>
        <w:tcPr>
          <w:tcW w:w="3332" w:type="dxa"/>
          <w:shd w:val="clear" w:color="auto" w:fill="auto"/>
        </w:tcPr>
        <w:p w:rsidR="00D32D92" w:rsidRPr="00960107" w:rsidRDefault="00DE29B5" w:rsidP="00166312">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Comisionad</w:t>
          </w:r>
          <w:r w:rsidR="00166312">
            <w:rPr>
              <w:rFonts w:ascii="Palatino Linotype" w:hAnsi="Palatino Linotype"/>
              <w:sz w:val="22"/>
              <w:szCs w:val="22"/>
              <w:lang w:val="es-ES_tradnl"/>
            </w:rPr>
            <w:t>o</w:t>
          </w:r>
          <w:r w:rsidRPr="00960107">
            <w:rPr>
              <w:rFonts w:ascii="Palatino Linotype" w:hAnsi="Palatino Linotype"/>
              <w:sz w:val="22"/>
              <w:szCs w:val="22"/>
              <w:lang w:val="es-ES_tradnl"/>
            </w:rPr>
            <w:t xml:space="preserve"> ponente:</w:t>
          </w:r>
        </w:p>
      </w:tc>
      <w:tc>
        <w:tcPr>
          <w:tcW w:w="4345" w:type="dxa"/>
          <w:shd w:val="clear" w:color="auto" w:fill="auto"/>
        </w:tcPr>
        <w:p w:rsidR="00D32D92" w:rsidRPr="00664658" w:rsidRDefault="006056A2" w:rsidP="007A325D">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D32D92" w:rsidRPr="001779E0" w:rsidRDefault="001A2B25" w:rsidP="007A325D">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5" o:spid="_x0000_s2050" type="#_x0000_t75" style="position:absolute;margin-left:-93.65pt;margin-top:-100.2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D32D92" w:rsidRPr="008F2CCC" w:rsidTr="007A325D">
      <w:tc>
        <w:tcPr>
          <w:tcW w:w="2977" w:type="dxa"/>
          <w:shd w:val="clear" w:color="auto" w:fill="auto"/>
        </w:tcPr>
        <w:p w:rsidR="00D32D92" w:rsidRPr="00960107" w:rsidRDefault="00DE29B5" w:rsidP="007A325D">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Recurso de revisión:</w:t>
          </w:r>
        </w:p>
      </w:tc>
      <w:tc>
        <w:tcPr>
          <w:tcW w:w="4536" w:type="dxa"/>
          <w:shd w:val="clear" w:color="auto" w:fill="auto"/>
          <w:vAlign w:val="center"/>
        </w:tcPr>
        <w:p w:rsidR="00D32D92" w:rsidRPr="008F2CCC" w:rsidRDefault="00DE29B5" w:rsidP="001C439E">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1C439E">
            <w:rPr>
              <w:rFonts w:ascii="Palatino Linotype" w:hAnsi="Palatino Linotype"/>
              <w:b/>
              <w:sz w:val="22"/>
              <w:szCs w:val="22"/>
              <w:lang w:val="es-ES_tradnl"/>
            </w:rPr>
            <w:t>3610</w:t>
          </w:r>
          <w:r>
            <w:rPr>
              <w:rFonts w:ascii="Palatino Linotype" w:hAnsi="Palatino Linotype"/>
              <w:b/>
              <w:sz w:val="22"/>
              <w:szCs w:val="22"/>
              <w:lang w:val="es-ES_tradnl"/>
            </w:rPr>
            <w:t>/</w:t>
          </w:r>
          <w:r w:rsidRPr="004E4332">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D32D92" w:rsidRPr="008F2CCC" w:rsidTr="007A325D">
      <w:tc>
        <w:tcPr>
          <w:tcW w:w="2977" w:type="dxa"/>
          <w:shd w:val="clear" w:color="auto" w:fill="auto"/>
          <w:vAlign w:val="center"/>
        </w:tcPr>
        <w:p w:rsidR="00D32D92" w:rsidRPr="00960107" w:rsidRDefault="00DE29B5" w:rsidP="007A325D">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960107">
            <w:rPr>
              <w:rFonts w:ascii="Palatino Linotype" w:hAnsi="Palatino Linotype"/>
              <w:sz w:val="22"/>
              <w:szCs w:val="22"/>
              <w:lang w:val="es-ES_tradnl"/>
            </w:rPr>
            <w:t>:</w:t>
          </w:r>
        </w:p>
      </w:tc>
      <w:tc>
        <w:tcPr>
          <w:tcW w:w="4536" w:type="dxa"/>
          <w:shd w:val="clear" w:color="auto" w:fill="auto"/>
          <w:vAlign w:val="center"/>
        </w:tcPr>
        <w:p w:rsidR="00D32D92" w:rsidRPr="008F2CCC" w:rsidRDefault="0055074D" w:rsidP="007A325D">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D32D92" w:rsidRPr="008F2CCC" w:rsidTr="007A325D">
      <w:trPr>
        <w:trHeight w:val="228"/>
      </w:trPr>
      <w:tc>
        <w:tcPr>
          <w:tcW w:w="2977" w:type="dxa"/>
          <w:shd w:val="clear" w:color="auto" w:fill="auto"/>
        </w:tcPr>
        <w:p w:rsidR="00D32D92" w:rsidRPr="00960107" w:rsidRDefault="00DE29B5" w:rsidP="007A325D">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Sujeto Obligado:</w:t>
          </w:r>
        </w:p>
      </w:tc>
      <w:tc>
        <w:tcPr>
          <w:tcW w:w="4536" w:type="dxa"/>
          <w:shd w:val="clear" w:color="auto" w:fill="auto"/>
          <w:vAlign w:val="center"/>
        </w:tcPr>
        <w:p w:rsidR="00D32D92" w:rsidRPr="00DC41C8" w:rsidRDefault="001C439E" w:rsidP="007A325D">
          <w:pPr>
            <w:spacing w:line="360" w:lineRule="auto"/>
            <w:jc w:val="right"/>
            <w:rPr>
              <w:rFonts w:ascii="Palatino Linotype" w:hAnsi="Palatino Linotype"/>
              <w:b/>
              <w:sz w:val="22"/>
              <w:szCs w:val="22"/>
            </w:rPr>
          </w:pPr>
          <w:r w:rsidRPr="001C439E">
            <w:rPr>
              <w:rFonts w:ascii="Palatino Linotype" w:hAnsi="Palatino Linotype"/>
              <w:b/>
              <w:sz w:val="22"/>
              <w:szCs w:val="22"/>
              <w:lang w:val="es-ES_tradnl"/>
            </w:rPr>
            <w:t>Comisión de Conciliación y Arbitraje Médico del Estado de México</w:t>
          </w:r>
        </w:p>
      </w:tc>
    </w:tr>
    <w:tr w:rsidR="00D32D92" w:rsidRPr="008F2CCC" w:rsidTr="007A325D">
      <w:tc>
        <w:tcPr>
          <w:tcW w:w="2977" w:type="dxa"/>
          <w:shd w:val="clear" w:color="auto" w:fill="auto"/>
        </w:tcPr>
        <w:p w:rsidR="00D32D92" w:rsidRPr="00960107" w:rsidRDefault="00166312" w:rsidP="007A325D">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00DE29B5" w:rsidRPr="00960107">
            <w:rPr>
              <w:rFonts w:ascii="Palatino Linotype" w:hAnsi="Palatino Linotype"/>
              <w:sz w:val="22"/>
              <w:szCs w:val="22"/>
              <w:lang w:val="es-ES_tradnl"/>
            </w:rPr>
            <w:t xml:space="preserve"> ponente:</w:t>
          </w:r>
        </w:p>
      </w:tc>
      <w:tc>
        <w:tcPr>
          <w:tcW w:w="4536" w:type="dxa"/>
          <w:shd w:val="clear" w:color="auto" w:fill="auto"/>
        </w:tcPr>
        <w:p w:rsidR="00D32D92" w:rsidRPr="008F2CCC" w:rsidRDefault="00ED1B43" w:rsidP="007A325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D32D92" w:rsidRPr="009F1AB6" w:rsidRDefault="001A2B25">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3" o:spid="_x0000_s2051" type="#_x0000_t75" style="position:absolute;margin-left:-98.45pt;margin-top:-128.9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F39C6"/>
    <w:multiLevelType w:val="hybridMultilevel"/>
    <w:tmpl w:val="4B92A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4D373BC"/>
    <w:multiLevelType w:val="hybridMultilevel"/>
    <w:tmpl w:val="6E729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6B2699D"/>
    <w:multiLevelType w:val="hybridMultilevel"/>
    <w:tmpl w:val="3C142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5C45EE2"/>
    <w:multiLevelType w:val="hybridMultilevel"/>
    <w:tmpl w:val="4F82A8C2"/>
    <w:lvl w:ilvl="0" w:tplc="9716D2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B3D441F"/>
    <w:multiLevelType w:val="hybridMultilevel"/>
    <w:tmpl w:val="4F82A8C2"/>
    <w:lvl w:ilvl="0" w:tplc="9716D2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60E4230"/>
    <w:multiLevelType w:val="hybridMultilevel"/>
    <w:tmpl w:val="106C4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2"/>
  </w:num>
  <w:num w:numId="5">
    <w:abstractNumId w:val="1"/>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9FF"/>
    <w:rsid w:val="00036F8B"/>
    <w:rsid w:val="0004629D"/>
    <w:rsid w:val="000826DF"/>
    <w:rsid w:val="001128CB"/>
    <w:rsid w:val="00123996"/>
    <w:rsid w:val="00156620"/>
    <w:rsid w:val="0015686C"/>
    <w:rsid w:val="00166312"/>
    <w:rsid w:val="001A2B25"/>
    <w:rsid w:val="001C439E"/>
    <w:rsid w:val="001D7B53"/>
    <w:rsid w:val="00343F97"/>
    <w:rsid w:val="004001F9"/>
    <w:rsid w:val="004747B5"/>
    <w:rsid w:val="0055074D"/>
    <w:rsid w:val="006049FF"/>
    <w:rsid w:val="006056A2"/>
    <w:rsid w:val="00653C86"/>
    <w:rsid w:val="00656EF5"/>
    <w:rsid w:val="006D4271"/>
    <w:rsid w:val="007328BB"/>
    <w:rsid w:val="00757A73"/>
    <w:rsid w:val="007F6DB9"/>
    <w:rsid w:val="00837A16"/>
    <w:rsid w:val="00877B6E"/>
    <w:rsid w:val="008E7AA4"/>
    <w:rsid w:val="00937461"/>
    <w:rsid w:val="00B276A9"/>
    <w:rsid w:val="00B707F9"/>
    <w:rsid w:val="00B71A1B"/>
    <w:rsid w:val="00BF5C64"/>
    <w:rsid w:val="00C64A50"/>
    <w:rsid w:val="00D12392"/>
    <w:rsid w:val="00D141B9"/>
    <w:rsid w:val="00DB63D4"/>
    <w:rsid w:val="00DE29B5"/>
    <w:rsid w:val="00ED1B43"/>
    <w:rsid w:val="00ED2FCD"/>
    <w:rsid w:val="00FF2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BF75166-B110-47C1-9BB5-732584C9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9F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49F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049FF"/>
    <w:rPr>
      <w:rFonts w:eastAsiaTheme="minorEastAsia"/>
      <w:sz w:val="24"/>
      <w:szCs w:val="24"/>
      <w:lang w:val="es-ES_tradnl" w:eastAsia="es-ES"/>
    </w:rPr>
  </w:style>
  <w:style w:type="paragraph" w:styleId="Piedepgina">
    <w:name w:val="footer"/>
    <w:basedOn w:val="Normal"/>
    <w:link w:val="PiedepginaCar"/>
    <w:uiPriority w:val="99"/>
    <w:unhideWhenUsed/>
    <w:rsid w:val="006049F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049F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049F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049FF"/>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049FF"/>
    <w:rPr>
      <w:vertAlign w:val="superscript"/>
    </w:rPr>
  </w:style>
  <w:style w:type="character" w:customStyle="1" w:styleId="apple-converted-space">
    <w:name w:val="apple-converted-space"/>
    <w:basedOn w:val="Fuentedeprrafopredeter"/>
    <w:rsid w:val="006049FF"/>
  </w:style>
  <w:style w:type="character" w:styleId="Hipervnculo">
    <w:name w:val="Hyperlink"/>
    <w:basedOn w:val="Fuentedeprrafopredeter"/>
    <w:uiPriority w:val="99"/>
    <w:unhideWhenUsed/>
    <w:rsid w:val="006049FF"/>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049F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049FF"/>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00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ud.edomex.gob.mx/salud/plan_regreso_seguro"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ipomex.org.mx/ipo3/lgt/indice/CCAMEM.web" TargetMode="External"/><Relationship Id="rId12" Type="http://schemas.openxmlformats.org/officeDocument/2006/relationships/hyperlink" Target="https://salud.edomex.gob.mx/salud/plan_regreso_seguro"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ipomex.org.mx/ipo3/lgt/indice/CCAMEM.web" TargetMode="Externa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TotalTime>
  <Pages>1</Pages>
  <Words>8672</Words>
  <Characters>47701</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16</cp:revision>
  <dcterms:created xsi:type="dcterms:W3CDTF">2021-08-23T16:12:00Z</dcterms:created>
  <dcterms:modified xsi:type="dcterms:W3CDTF">2021-10-07T15:55:00Z</dcterms:modified>
</cp:coreProperties>
</file>