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240" w:before="240" w:line="360"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Índice</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360" w:lineRule="auto"/>
            <w:ind w:left="14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ANTECEDENTES</w:t>
              <w:tab/>
              <w:t xml:space="preserve">2</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360" w:lineRule="auto"/>
            <w:ind w:left="142"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fob9te">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CONSIDERANDO</w:t>
              <w:tab/>
              <w:t xml:space="preserve">5</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PRIMERO. De la competencia</w:t>
            </w:r>
          </w:hyperlink>
          <w:hyperlink w:anchor="_heading=h.3znysh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SEGUNDO. De la oportunidad y procedencia.</w:t>
            </w:r>
          </w:hyperlink>
          <w:hyperlink w:anchor="_heading=h.2et92p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360" w:lineRule="auto"/>
            <w:ind w:left="142"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tyjcwt">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TERCERO. Planteamiento de la Litis.</w:t>
              <w:tab/>
              <w:t xml:space="preserve">7</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CUARTO. Estudio y resolución del asunto</w:t>
            </w:r>
          </w:hyperlink>
          <w:hyperlink w:anchor="_heading=h.1t3h5s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 la búsqueda exhaustiva y razonable de la información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right" w:pos="8779"/>
            </w:tabs>
            <w:spacing w:after="10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B.</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Fuente obligacional.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360" w:lineRule="auto"/>
            <w:ind w:left="142"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rdcrjn">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QUINTO. De la Versión Pública.</w:t>
              <w:tab/>
              <w:t xml:space="preserve">12</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360" w:lineRule="auto"/>
            <w:ind w:left="142"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6in1rg">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w:t>
            </w:r>
          </w:hyperlink>
          <w:hyperlink w:anchor="_heading=h.26in1r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Nociones generales.</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360" w:lineRule="auto"/>
            <w:ind w:left="142"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lnxbz9">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SEXTO. De la Decisión.</w:t>
              <w:tab/>
              <w:t xml:space="preserve">16</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9"/>
            </w:tabs>
            <w:spacing w:after="100" w:before="0" w:line="360" w:lineRule="auto"/>
            <w:ind w:left="142"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44sinio">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 E S O L U T I V O S</w:t>
              <w:tab/>
              <w:t xml:space="preserve">17</w:t>
            </w:r>
          </w:hyperlink>
          <w:r w:rsidDel="00000000" w:rsidR="00000000" w:rsidRPr="00000000">
            <w:rPr>
              <w:rtl w:val="0"/>
            </w:rPr>
          </w:r>
        </w:p>
        <w:p w:rsidR="00000000" w:rsidDel="00000000" w:rsidP="00000000" w:rsidRDefault="00000000" w:rsidRPr="00000000" w14:paraId="00000010">
          <w:pPr>
            <w:spacing w:line="48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1">
      <w:pPr>
        <w:spacing w:after="240" w:before="24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de fecha uno (1) de septiembre de dos mil veintiuno.</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VISTO el</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expediente electrónico formado con motivo del recurso de revisión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03628/INFOEM/IP/RR/2021</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promovido por XXXXXXX XXXXXXXX XXXXXXX XXXXXXX</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su calidad de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contra de la respuesta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Ayuntamiento de Toluca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lo sucesivo el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procede a dictar la presente resolución, con base en los siguientes: </w:t>
      </w:r>
      <w:r w:rsidDel="00000000" w:rsidR="00000000" w:rsidRPr="00000000">
        <w:rPr>
          <w:rtl w:val="0"/>
        </w:rPr>
      </w:r>
    </w:p>
    <w:p w:rsidR="00000000" w:rsidDel="00000000" w:rsidP="00000000" w:rsidRDefault="00000000" w:rsidRPr="00000000" w14:paraId="00000017">
      <w:pPr>
        <w:pStyle w:val="Heading1"/>
        <w:jc w:val="center"/>
        <w:rPr>
          <w:rFonts w:ascii="Palatino Linotype" w:cs="Palatino Linotype" w:eastAsia="Palatino Linotype" w:hAnsi="Palatino Linotype"/>
          <w:b w:val="1"/>
          <w:color w:val="000000"/>
          <w:sz w:val="24"/>
          <w:szCs w:val="24"/>
        </w:rPr>
      </w:pPr>
      <w:bookmarkStart w:colFirst="0" w:colLast="0" w:name="_heading=h.gjdgxs" w:id="0"/>
      <w:bookmarkEnd w:id="0"/>
      <w:r w:rsidDel="00000000" w:rsidR="00000000" w:rsidRPr="00000000">
        <w:rPr>
          <w:rFonts w:ascii="Palatino Linotype" w:cs="Palatino Linotype" w:eastAsia="Palatino Linotype" w:hAnsi="Palatino Linotype"/>
          <w:b w:val="1"/>
          <w:color w:val="000000"/>
          <w:sz w:val="24"/>
          <w:szCs w:val="24"/>
          <w:rtl w:val="0"/>
        </w:rPr>
        <w:t xml:space="preserve">ANTECEDENTES</w:t>
      </w:r>
    </w:p>
    <w:p w:rsidR="00000000" w:rsidDel="00000000" w:rsidP="00000000" w:rsidRDefault="00000000" w:rsidRPr="00000000" w14:paraId="00000018">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día veintiséis (26) de mayo de dos mil veintiuno,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ante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vía Sistema de Acceso a la Información Mexiquense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presentó la solicitud de información pública registrada con el número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00455/TOLUCA/IP/2021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mediante la cual solicitó lo siguiente:</w:t>
      </w:r>
    </w:p>
    <w:p w:rsidR="00000000" w:rsidDel="00000000" w:rsidP="00000000" w:rsidRDefault="00000000" w:rsidRPr="00000000" w14:paraId="0000001A">
      <w:pPr>
        <w:ind w:left="567" w:right="567"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“¿Cuánto costó la seguridad personal del presidente (a) durante su gestión.?” (Sic)</w:t>
      </w:r>
    </w:p>
    <w:p w:rsidR="00000000" w:rsidDel="00000000" w:rsidP="00000000" w:rsidRDefault="00000000" w:rsidRPr="00000000" w14:paraId="0000001B">
      <w:pPr>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1C">
      <w:pPr>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Señaló como modalidad de entrega de la información a través de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dieciséis (16) de junio de dos mil veintiuno, el Sujeto Obligado dio respuesta a la solicitud en los siguientes términos:</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tabs>
          <w:tab w:val="left" w:pos="4667"/>
        </w:tabs>
        <w:spacing w:line="360" w:lineRule="auto"/>
        <w:ind w:left="567" w:right="53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22">
      <w:pPr>
        <w:tabs>
          <w:tab w:val="left" w:pos="4667"/>
        </w:tabs>
        <w:spacing w:line="360" w:lineRule="auto"/>
        <w:ind w:left="567" w:right="53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fundamento en los artículos 4, 7, 23 fracción lV, 53 fracciones ll, lV y V de la Ley de Transparencia y Acceso a la Información Pública del Estado de México y Municipios, y en atención a su solicitud 00455/TOLUCA/IP/2021 mediante la cual requiere: “¿Cuánto costó la seguridad personal del presidente (a) durante su gestión.?” Sic Al respecto, se adjunta respuesta. Sin más por el momento reciba un cordial saludo.</w:t>
      </w:r>
    </w:p>
    <w:p w:rsidR="00000000" w:rsidDel="00000000" w:rsidP="00000000" w:rsidRDefault="00000000" w:rsidRPr="00000000" w14:paraId="00000023">
      <w:pPr>
        <w:tabs>
          <w:tab w:val="left" w:pos="4667"/>
        </w:tabs>
        <w:spacing w:line="360" w:lineRule="auto"/>
        <w:ind w:left="567" w:right="53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24">
      <w:pPr>
        <w:tabs>
          <w:tab w:val="left" w:pos="4667"/>
        </w:tabs>
        <w:spacing w:line="360" w:lineRule="auto"/>
        <w:ind w:left="567" w:right="53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MTRA. LORENA NAVARRETE CASTAÑEDA…” </w:t>
      </w:r>
    </w:p>
    <w:p w:rsidR="00000000" w:rsidDel="00000000" w:rsidP="00000000" w:rsidRDefault="00000000" w:rsidRPr="00000000" w14:paraId="00000025">
      <w:pPr>
        <w:tabs>
          <w:tab w:val="left" w:pos="4667"/>
        </w:tabs>
        <w:spacing w:line="360" w:lineRule="auto"/>
        <w:ind w:left="567" w:right="53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4667"/>
        </w:tabs>
        <w:spacing w:after="0" w:before="0" w:line="360" w:lineRule="auto"/>
        <w:ind w:left="567" w:right="53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455.pdf: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200001000/069/2021 suscrito por la Jefa de Oficina de la Presidencia mediante el cual refiere que no se encontró información de la seguridad del presidente, debido a que no existe una partida presupuestal destinada a dicho rubro.</w:t>
      </w:r>
    </w:p>
    <w:p w:rsidR="00000000" w:rsidDel="00000000" w:rsidP="00000000" w:rsidRDefault="00000000" w:rsidRPr="00000000" w14:paraId="00000027">
      <w:pPr>
        <w:tabs>
          <w:tab w:val="left" w:pos="4667"/>
        </w:tabs>
        <w:spacing w:line="360" w:lineRule="auto"/>
        <w:ind w:right="5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4667"/>
        </w:tabs>
        <w:spacing w:after="0" w:before="0" w:line="360" w:lineRule="auto"/>
        <w:ind w:left="567" w:right="53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BRN30055CC5C751_013402.pdf: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200010000/1004/2021 suscrito por el Secretario Particular de Presidencia mediante el cual refiere que se realizó la búsqueda correspondiente y no se encontró documentación relativa a la solicitud en comento.</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4667"/>
        </w:tabs>
        <w:spacing w:after="0" w:before="0" w:line="360" w:lineRule="auto"/>
        <w:ind w:left="567" w:right="53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FICIO DE RESPUESTA A LA SOLICITUD 00455-TOLUCA-IP-2021.pdf:</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4667"/>
        </w:tabs>
        <w:spacing w:after="0" w:before="0" w:line="360" w:lineRule="auto"/>
        <w:ind w:left="1287" w:right="53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Nota informativa de la Dirección General de Seguridad Pública mediante el cual refiere que la solicitud ha sido analizada por el Coordinador Administrativo. </w:t>
      </w:r>
    </w:p>
    <w:p w:rsidR="00000000" w:rsidDel="00000000" w:rsidP="00000000" w:rsidRDefault="00000000" w:rsidRPr="00000000" w14:paraId="000000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4667"/>
        </w:tabs>
        <w:spacing w:after="0" w:before="0" w:line="360" w:lineRule="auto"/>
        <w:ind w:left="1287" w:right="53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205014000/1387/2021 suscrito por el Coordinador Administrativo mediante el cual refiere que no es atribución el resguardo de la documentación y/o información solicitada, de conformidad con lo establecido en el artículo 3.36 de la Sección Séptima, subdirección cuarta del Código Reglamentario Municipal de Toluca.</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cinco (5) de julio de dos mil veintiuno,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interpuso el recurso de revisión, en contra de la respuesta y, señaló como:</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Acto impugnado:</w:t>
      </w:r>
      <w:r w:rsidDel="00000000" w:rsidR="00000000" w:rsidRPr="00000000">
        <w:rPr>
          <w:rFonts w:ascii="Palatino Linotype" w:cs="Palatino Linotype" w:eastAsia="Palatino Linotype" w:hAnsi="Palatino Linotype"/>
          <w:b w:val="1"/>
          <w:i w:val="1"/>
          <w:smallCaps w:val="0"/>
          <w:strike w:val="0"/>
          <w:color w:val="2f549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No hacen entrega de la información ya que ni la fundan y motiva correctamente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 (Sic); y</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Razones o Motivos de inconformidad:</w:t>
      </w:r>
      <w:r w:rsidDel="00000000" w:rsidR="00000000" w:rsidRPr="00000000">
        <w:rPr>
          <w:rFonts w:ascii="Palatino Linotype" w:cs="Palatino Linotype" w:eastAsia="Palatino Linotype" w:hAnsi="Palatino Linotype"/>
          <w:b w:val="1"/>
          <w:i w:val="0"/>
          <w:smallCaps w:val="0"/>
          <w:strike w:val="0"/>
          <w:color w:val="2f549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“No hacen entrega de la información ya que ni la fundan y motiva correctamente</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(Sic)</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4">
      <w:pPr>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registró el recurso de revisión bajo el número de expediente al rubro indicado, asimismo con fundamento en lo dispuesto por el artículo 185 fracción I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Ley de Transparencia y Acceso a la Información Pública del Estado de México y Municipios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turnó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Comisionado José Guadalupe Luna Hernández,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el objeto de su análisis.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Comisionado Ponente con fundamento en lo dispuesto por el artículo 185 fracción II de la ley de la materia, a través del acuerdo de admisión de fecha ocho (8) de julio de dos mil veintiuno, puso a disposición de las partes el expediente electrónico vía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 efecto de que en un plazo máximo de siete días manifestaran lo que a derecho convinieran, ofrecieran pruebas y alegatos según corresponda al caso concreto, de esta forma para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presentara el informe justificado procedente.</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dos (2) de agosto de dos mil veintiuno, el Sujeto Obligado remitió su informe justificado mediante los documentos electrónicos denominados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Informe Justificado 3628.pdf; 3628 SECRETARIA PARTICULAR PRESIDENCIA.pdf; 3628 SEGURIDAD PÚBLICA.pdf; 3628OFICINADELAPRESIDENCIA.pdf;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sin embargo, al no modificar ni revocar la respuesta, no se puso a la vista del Recurrente en este apartado, se hará de su conocimiento al momento de notificar la presente resolución.</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su parte, el Recurrente fue omiso en presentar manifestaciones, pruebas o cualquier otro documento que a su derecho convenga.</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veinte (20) de agosto de dos mil veintiuno, el Comisionado Ponente decretó el cierre de instrucción.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fecha veintitrés (23) de agosto del dos mil veintiuno, en la segunda sesión extraordinaria del Pleno del Instituto de Transparencia, Acceso a la Información Pública y Protección de Datos Personales del Estado de México y Municipios acordó el returno del recurso de revisión a la Comisionada María del Rosario Mejía Ayala para su resolución. - - - - - - - - - - - - - - - - - - - - - - - - - - - - - - - - - - - - - - - - - - - - - - - - - - </w:t>
      </w:r>
      <w:r w:rsidDel="00000000" w:rsidR="00000000" w:rsidRPr="00000000">
        <w:rPr>
          <w:rtl w:val="0"/>
        </w:rPr>
      </w:r>
    </w:p>
    <w:p w:rsidR="00000000" w:rsidDel="00000000" w:rsidP="00000000" w:rsidRDefault="00000000" w:rsidRPr="00000000" w14:paraId="00000040">
      <w:pPr>
        <w:pStyle w:val="Heading1"/>
        <w:jc w:val="center"/>
        <w:rPr>
          <w:rFonts w:ascii="Palatino Linotype" w:cs="Palatino Linotype" w:eastAsia="Palatino Linotype" w:hAnsi="Palatino Linotype"/>
          <w:b w:val="1"/>
          <w:sz w:val="24"/>
          <w:szCs w:val="24"/>
        </w:rPr>
      </w:pPr>
      <w:bookmarkStart w:colFirst="0" w:colLast="0" w:name="_heading=h.1fob9te" w:id="2"/>
      <w:bookmarkEnd w:id="2"/>
      <w:r w:rsidDel="00000000" w:rsidR="00000000" w:rsidRPr="00000000">
        <w:rPr>
          <w:rFonts w:ascii="Palatino Linotype" w:cs="Palatino Linotype" w:eastAsia="Palatino Linotype" w:hAnsi="Palatino Linotype"/>
          <w:b w:val="1"/>
          <w:color w:val="000000"/>
          <w:sz w:val="24"/>
          <w:szCs w:val="24"/>
          <w:rtl w:val="0"/>
        </w:rPr>
        <w:t xml:space="preserve">CONSIDERANDO</w:t>
      </w:r>
      <w:r w:rsidDel="00000000" w:rsidR="00000000" w:rsidRPr="00000000">
        <w:rPr>
          <w:rFonts w:ascii="Palatino Linotype" w:cs="Palatino Linotype" w:eastAsia="Palatino Linotype" w:hAnsi="Palatino Linotype"/>
          <w:b w:val="1"/>
          <w:sz w:val="24"/>
          <w:szCs w:val="24"/>
          <w:rtl w:val="0"/>
        </w:rPr>
        <w:t xml:space="preserve"> </w:t>
      </w:r>
    </w:p>
    <w:p w:rsidR="00000000" w:rsidDel="00000000" w:rsidP="00000000" w:rsidRDefault="00000000" w:rsidRPr="00000000" w14:paraId="00000041">
      <w:pPr>
        <w:pStyle w:val="Heading2"/>
        <w:rPr>
          <w:rFonts w:ascii="Palatino Linotype" w:cs="Palatino Linotype" w:eastAsia="Palatino Linotype" w:hAnsi="Palatino Linotype"/>
          <w:b w:val="1"/>
          <w:color w:val="000000"/>
          <w:sz w:val="24"/>
          <w:szCs w:val="24"/>
        </w:rPr>
      </w:pPr>
      <w:bookmarkStart w:colFirst="0" w:colLast="0" w:name="_heading=h.3znysh7" w:id="3"/>
      <w:bookmarkEnd w:id="3"/>
      <w:r w:rsidDel="00000000" w:rsidR="00000000" w:rsidRPr="00000000">
        <w:rPr>
          <w:rFonts w:ascii="Palatino Linotype" w:cs="Palatino Linotype" w:eastAsia="Palatino Linotype" w:hAnsi="Palatino Linotype"/>
          <w:b w:val="1"/>
          <w:color w:val="000000"/>
          <w:sz w:val="24"/>
          <w:szCs w:val="24"/>
          <w:rtl w:val="0"/>
        </w:rPr>
        <w:t xml:space="preserve">PRIMERO. De la competencia</w:t>
      </w:r>
    </w:p>
    <w:p w:rsidR="00000000" w:rsidDel="00000000" w:rsidP="00000000" w:rsidRDefault="00000000" w:rsidRPr="00000000" w14:paraId="000000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Constitución Política de los Estados Unidos Mexicanos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5, vigésimo noveno, trigésimo y trigésimo primero, fracciones I, II, III, IV y V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Constitución Política del Estado Libre y Soberano de México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artículos 1, 2 fracción II, 13, 29, 36 fracciones I y II, 176, 178, 179, 181 párrafo tercero y 185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Ley de Transparencia y Acceso a la Información Pública del Estado de México y Municipios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10, 7, 9 fracciones I y XXIV, y 11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Reglamento Interior del Instituto de Transparencia, Acceso a la Información Pública y Protección de Datos Personales del Estado de México y Municipios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pStyle w:val="Heading2"/>
        <w:rPr>
          <w:rFonts w:ascii="Palatino Linotype" w:cs="Palatino Linotype" w:eastAsia="Palatino Linotype" w:hAnsi="Palatino Linotype"/>
          <w:b w:val="1"/>
          <w:color w:val="000000"/>
          <w:sz w:val="24"/>
          <w:szCs w:val="24"/>
        </w:rPr>
      </w:pPr>
      <w:bookmarkStart w:colFirst="0" w:colLast="0" w:name="_heading=h.2et92p0" w:id="4"/>
      <w:bookmarkEnd w:id="4"/>
      <w:r w:rsidDel="00000000" w:rsidR="00000000" w:rsidRPr="00000000">
        <w:rPr>
          <w:rFonts w:ascii="Palatino Linotype" w:cs="Palatino Linotype" w:eastAsia="Palatino Linotype" w:hAnsi="Palatino Linotype"/>
          <w:b w:val="1"/>
          <w:color w:val="000000"/>
          <w:sz w:val="24"/>
          <w:szCs w:val="24"/>
          <w:rtl w:val="0"/>
        </w:rPr>
        <w:t xml:space="preserve">SEGUNDO. De la oportunidad y procedencia.</w:t>
      </w:r>
    </w:p>
    <w:p w:rsidR="00000000" w:rsidDel="00000000" w:rsidP="00000000" w:rsidRDefault="00000000" w:rsidRPr="00000000" w14:paraId="00000048">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4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medio de impugnación fue presentado a través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el formato previamente aprobado para tal efecto y dentro del plazo legal de quince días hábiles otorgados; siendo así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entregó respuesta a la solicitud el día dieciséis (16) de junio de dos mil veintiuno, de tal forma que el plazo para interponer el recurso de revisión transcurrió del diecisiete (17) de junio al siete (7) de julio de dos mil veintiuno; en consecuencia, presentó su inconformidad el día cinco (5) de julio de dos mil veintiuno, por lo que se encuentra dentro de los márgenes temporales previstos en el artículo 178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Ley de Transparencia y Acceso a la Información Pública del Estado de México y Municipios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vigente.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00000" w:rsidDel="00000000" w:rsidP="00000000" w:rsidRDefault="00000000" w:rsidRPr="00000000" w14:paraId="0000004C">
      <w:pPr>
        <w:pStyle w:val="Heading1"/>
        <w:spacing w:before="0" w:line="360" w:lineRule="auto"/>
        <w:rPr>
          <w:rFonts w:ascii="Palatino Linotype" w:cs="Palatino Linotype" w:eastAsia="Palatino Linotype" w:hAnsi="Palatino Linotype"/>
          <w:b w:val="1"/>
          <w:color w:val="000000"/>
          <w:sz w:val="24"/>
          <w:szCs w:val="24"/>
        </w:rPr>
      </w:pPr>
      <w:bookmarkStart w:colFirst="0" w:colLast="0" w:name="_heading=h.tyjcwt" w:id="5"/>
      <w:bookmarkEnd w:id="5"/>
      <w:r w:rsidDel="00000000" w:rsidR="00000000" w:rsidRPr="00000000">
        <w:rPr>
          <w:rFonts w:ascii="Palatino Linotype" w:cs="Palatino Linotype" w:eastAsia="Palatino Linotype" w:hAnsi="Palatino Linotype"/>
          <w:b w:val="1"/>
          <w:color w:val="000000"/>
          <w:sz w:val="24"/>
          <w:szCs w:val="24"/>
          <w:rtl w:val="0"/>
        </w:rPr>
        <w:t xml:space="preserve">TERCERO. Planteamiento de la Litis.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recurrente solicitó conocer el costo de la seguridad personal del presidente durante su gestión.</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Sujeto Obligado manifestó que no se encontró información al respecto.</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Recurrente se inconformó porque no se entregó la información, así como tampoco fundan ni motivan correctamente.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el presente asunto se procederá a verificar si existió una afectación al derecho del recurrente, por lo que será necesario analizar si se actualiza la causal de procedencia establecida en las fracciones I y III relativas a la negativa de la información y la declaración de inexistencia, del artículo 179 de la Ley de Transparencia y Acceso a la Información Pública del Estado de México y Municipios.</w:t>
      </w:r>
    </w:p>
    <w:p w:rsidR="00000000" w:rsidDel="00000000" w:rsidP="00000000" w:rsidRDefault="00000000" w:rsidRPr="00000000" w14:paraId="00000056">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7">
      <w:pPr>
        <w:pStyle w:val="Heading2"/>
        <w:rPr>
          <w:rFonts w:ascii="Palatino Linotype" w:cs="Palatino Linotype" w:eastAsia="Palatino Linotype" w:hAnsi="Palatino Linotype"/>
          <w:b w:val="1"/>
          <w:color w:val="000000"/>
          <w:sz w:val="24"/>
          <w:szCs w:val="24"/>
        </w:rPr>
      </w:pPr>
      <w:bookmarkStart w:colFirst="0" w:colLast="0" w:name="_heading=h.1t3h5sf" w:id="7"/>
      <w:bookmarkEnd w:id="7"/>
      <w:r w:rsidDel="00000000" w:rsidR="00000000" w:rsidRPr="00000000">
        <w:rPr>
          <w:rFonts w:ascii="Palatino Linotype" w:cs="Palatino Linotype" w:eastAsia="Palatino Linotype" w:hAnsi="Palatino Linotype"/>
          <w:b w:val="1"/>
          <w:color w:val="000000"/>
          <w:sz w:val="24"/>
          <w:szCs w:val="24"/>
          <w:rtl w:val="0"/>
        </w:rPr>
        <w:t xml:space="preserve">CUARTO. Estudio y resolución del asunto</w:t>
      </w:r>
    </w:p>
    <w:p w:rsidR="00000000" w:rsidDel="00000000" w:rsidP="00000000" w:rsidRDefault="00000000" w:rsidRPr="00000000" w14:paraId="00000058">
      <w:pPr>
        <w:spacing w:line="360" w:lineRule="auto"/>
        <w:rPr>
          <w:rFonts w:ascii="Palatino Linotype" w:cs="Palatino Linotype" w:eastAsia="Palatino Linotype" w:hAnsi="Palatino Linotype"/>
          <w:sz w:val="24"/>
          <w:szCs w:val="24"/>
        </w:rPr>
      </w:pPr>
      <w:bookmarkStart w:colFirst="0" w:colLast="0" w:name="_heading=h.4d34og8" w:id="8"/>
      <w:bookmarkEnd w:id="8"/>
      <w:r w:rsidDel="00000000" w:rsidR="00000000" w:rsidRPr="00000000">
        <w:rPr>
          <w:rtl w:val="0"/>
        </w:rPr>
      </w:r>
    </w:p>
    <w:p w:rsidR="00000000" w:rsidDel="00000000" w:rsidP="00000000" w:rsidRDefault="00000000" w:rsidRPr="00000000" w14:paraId="00000059">
      <w:pPr>
        <w:pStyle w:val="Heading2"/>
        <w:numPr>
          <w:ilvl w:val="0"/>
          <w:numId w:val="1"/>
        </w:numPr>
        <w:spacing w:line="360" w:lineRule="auto"/>
        <w:ind w:left="720" w:hanging="360"/>
        <w:rPr>
          <w:rFonts w:ascii="Palatino Linotype" w:cs="Palatino Linotype" w:eastAsia="Palatino Linotype" w:hAnsi="Palatino Linotype"/>
          <w:b w:val="1"/>
          <w:color w:val="000000"/>
          <w:sz w:val="24"/>
          <w:szCs w:val="24"/>
        </w:rPr>
      </w:pPr>
      <w:bookmarkStart w:colFirst="0" w:colLast="0" w:name="_heading=h.2s8eyo1" w:id="9"/>
      <w:bookmarkEnd w:id="9"/>
      <w:r w:rsidDel="00000000" w:rsidR="00000000" w:rsidRPr="00000000">
        <w:rPr>
          <w:rFonts w:ascii="Palatino Linotype" w:cs="Palatino Linotype" w:eastAsia="Palatino Linotype" w:hAnsi="Palatino Linotype"/>
          <w:b w:val="1"/>
          <w:color w:val="000000"/>
          <w:sz w:val="24"/>
          <w:szCs w:val="24"/>
          <w:rtl w:val="0"/>
        </w:rPr>
        <w:t xml:space="preserve">De la búsqueda exhaustiva y razonable de la información</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Los Sujetos Obligados, en materia de transparencia, en todo momento deben apegar su actuar conforme lo establece la Ley de Transparencia y Acceso a la Información Pública del Estado de México y Municipios.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realizar, con efectividad, los trámites internos necesarios para la atención de las solicitudes de informaci</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ón, es decir, deben otorgar respuestas concisas, contundentes y certeras, además de estar en estricto apego a lo que la normatividad en la materia establece.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el presente asunto en particular, el Titular de la Unidad de Transparencia turnó la solicitud a las áreas: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Oficina de Presidencia;</w:t>
      </w:r>
    </w:p>
    <w:p w:rsidR="00000000" w:rsidDel="00000000" w:rsidP="00000000" w:rsidRDefault="00000000" w:rsidRPr="00000000" w14:paraId="0000006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Secretaría Particular; y,</w:t>
      </w:r>
    </w:p>
    <w:p w:rsidR="00000000" w:rsidDel="00000000" w:rsidP="00000000" w:rsidRDefault="00000000" w:rsidRPr="00000000" w14:paraId="0000006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Dirección de Seguridad.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 lo anterior, no debemos perder de vista el contenido del artículo 162 de la Ley de Transparencia y Acceso a la Información Pública del Estado de México y Municipios: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spacing w:line="360" w:lineRule="auto"/>
        <w:ind w:left="567" w:right="567" w:firstLine="0"/>
        <w:jc w:val="both"/>
        <w:rPr>
          <w:rFonts w:ascii="Palatino Linotype" w:cs="Palatino Linotype" w:eastAsia="Palatino Linotype" w:hAnsi="Palatino Linotype"/>
          <w:i w:val="1"/>
          <w:sz w:val="28"/>
          <w:szCs w:val="28"/>
        </w:rPr>
      </w:pPr>
      <w:r w:rsidDel="00000000" w:rsidR="00000000" w:rsidRPr="00000000">
        <w:rPr>
          <w:rFonts w:ascii="Palatino Linotype" w:cs="Palatino Linotype" w:eastAsia="Palatino Linotype" w:hAnsi="Palatino Linotype"/>
          <w:b w:val="1"/>
          <w:i w:val="1"/>
          <w:rtl w:val="0"/>
        </w:rPr>
        <w:t xml:space="preserve">Artículo 162. </w:t>
      </w:r>
      <w:r w:rsidDel="00000000" w:rsidR="00000000" w:rsidRPr="00000000">
        <w:rPr>
          <w:rFonts w:ascii="Palatino Linotype" w:cs="Palatino Linotype" w:eastAsia="Palatino Linotype" w:hAnsi="Palatino Linotype"/>
          <w:i w:val="1"/>
          <w:rtl w:val="0"/>
        </w:rPr>
        <w:t xml:space="preserve">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 falta de carteo o turno de las Unidades de Transparencia a las diferentes áreas que integran la estructura orgánica de los Sujetos Obligados, podrían causar una afectación o restricción al derecho ejercido por los particulares; tal y como sucedió en el presente asunto en particular.</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Entonces, se verificará si dentro de la estructura orgánica municipal se cuenta con alguna o algunas áreas que, de acuerdo a sus atribuciones, facultades y competencias deban generar, administrar y poseer la información solicitada.</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pStyle w:val="Heading2"/>
        <w:numPr>
          <w:ilvl w:val="0"/>
          <w:numId w:val="1"/>
        </w:numPr>
        <w:ind w:left="720" w:hanging="360"/>
        <w:rPr>
          <w:rFonts w:ascii="Palatino Linotype" w:cs="Palatino Linotype" w:eastAsia="Palatino Linotype" w:hAnsi="Palatino Linotype"/>
          <w:b w:val="1"/>
          <w:color w:val="000000"/>
          <w:sz w:val="24"/>
          <w:szCs w:val="24"/>
        </w:rPr>
      </w:pPr>
      <w:bookmarkStart w:colFirst="0" w:colLast="0" w:name="_heading=h.17dp8vu" w:id="10"/>
      <w:bookmarkEnd w:id="10"/>
      <w:r w:rsidDel="00000000" w:rsidR="00000000" w:rsidRPr="00000000">
        <w:rPr>
          <w:rFonts w:ascii="Palatino Linotype" w:cs="Palatino Linotype" w:eastAsia="Palatino Linotype" w:hAnsi="Palatino Linotype"/>
          <w:b w:val="1"/>
          <w:color w:val="000000"/>
          <w:sz w:val="24"/>
          <w:szCs w:val="24"/>
          <w:rtl w:val="0"/>
        </w:rPr>
        <w:t xml:space="preserve">Fuente obligacional.</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Bando Municipal en el artículo 23, el cual establece lo siguiente:</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23. Para la consulta, estudio, planeación y despacho de los asuntos en los diversos ramos de la administración pública municipal, la o el Presidente Municipal se auxiliará de la Secretaría del Ayuntamiento y de las siguientes: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DEPENDENCIAS: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567" w:right="82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 Tesorería Municipal;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2. Contraloría;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3. Dirección General de Gobierno;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4. Dirección General de Seguridad Pública;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5. Dirección General de Administración;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6. Dirección General de Medio Ambiente;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7. Dirección General de Servicios Públicos;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8. Dirección General de Desarrollo Urbano y Obra Pública;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9. Dirección General de Fomento Económico; y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567" w:right="82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10. Dirección General de Bienestar Social.</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debemos olvidar que la materia elemental de la solicitud de acceso a la información se basa saber “cuánto costó la seguridad personal del presidente” lo que se puede entender como un egreso, gasto o erogación.</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Manual General de Organización de la Administración Pública Municipal de Toluca establece que el objetivo de la Tesorería es Recaudar, administrar, operar, registrar y glosar los recursos que componen la hacienda pública municipal con la finalidad de mantener finanzas sanas y contar con la suficiencia económica para cumplir con las obligaciones, funciones y atribuciones de la administración pública municipal, así como planear, organizar y dirigir la administración de los recursos humanos, a fin de lograr la optimalización de los mismos.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Entre sus funciones se encuentran las siguientes: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851"/>
        </w:tabs>
        <w:spacing w:after="0" w:before="0" w:line="360" w:lineRule="auto"/>
        <w:ind w:left="720" w:right="49"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Definir, operar y vigilar el proceso de aprobación de las solicitudes de adquisición y servicios que presenten las dependencias municipales y órganos desconcentrados;</w:t>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851"/>
        </w:tabs>
        <w:spacing w:after="0" w:before="0" w:line="360" w:lineRule="auto"/>
        <w:ind w:left="720" w:right="49"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Diseñar, implementar y evaluar las disposiciones de racionalidad, austeridad y disciplina presupuestal;</w:t>
      </w:r>
    </w:p>
    <w:p w:rsidR="00000000" w:rsidDel="00000000" w:rsidP="00000000" w:rsidRDefault="00000000" w:rsidRPr="00000000" w14:paraId="000000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851"/>
        </w:tabs>
        <w:spacing w:after="0" w:before="0" w:line="360" w:lineRule="auto"/>
        <w:ind w:left="720" w:right="49"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Integrar, aprobar y expedir los cheques y las transferencias electrónicas de pago para cubrir las erogaciones que sean responsabilidad de la administración pública municipal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lo dispuesto por el Manual General de Organización antes referido se advierte que, la Tesorería Municipal, además de expedir los cheques o transferencias relativas a los pagos por cubrir de las responsabilidades de la administración pública municipal, debe vigilar el proceso de aprobación de las solicitudes de adquisición y servicios que presentan las áreas.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su parte, la Ley Orgánica Municipal del Estado de México, en el artículo 87, fracción II, refiere que, de manera genera, para el despacho, estudio y planeación de los diversos asuntos de la administración municipal, el Ayuntamiento contará, entre otras, con une tesorería municipal, la cual, de acuerdo al artículo 93 de la misma normatividad, refiere que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la </w:t>
      </w: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tesorería municipal</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 es el órgano encargado de la recaudación de los ingresos municipales y </w:t>
      </w: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responsable de realizar las erogaciones que haga el ayuntamiento</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Entonces, si corresponde a la Tesorería Municipal realizar las erogaciones del Ayuntamiento, se aprecia que, en caso de existir un gasto o erogación bajo el concepto de seguridad personal del presidente municipal, dicha área debe generar, administrar o poseer el soporte documental correspondiente.</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lo anterior, se aprecia que el Sujeto Obligado fue omiso en realizar una correcta búsqueda exhaustiva y razonable de la información, toda vez que, se determinó que existen áreas que, de acuerdo a sus funciones, atribuciones y competencias, deben generar, administrar y/o poseer los documentos requeridos.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Se deduce que, de manera enunciativa más no limitativa, la información que solicitó el particular pudiera corresponder a la Tesorería Municipal, toda vez que le asiste la obligación de realizar las erogaciones del Ayuntamiento.</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caso de que no se cuente con los documentos, deberá hacerlo de conocimiento del Recurrente en términos del artículo 19 de la Ley de Transparencia y Acceso a la Información Pública del Estado de México y Municipios.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Ahora bien, de ser el caso de que la información que se ordena entregar contenga datos personales susceptibles de clasificarse como confidenciales, el Sujeto Obligado estará a lo dispuesto en el considerando que a continuación se enuncia.</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tabs>
          <w:tab w:val="left" w:pos="851"/>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tabs>
          <w:tab w:val="left" w:pos="851"/>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pStyle w:val="Heading1"/>
        <w:rPr>
          <w:rFonts w:ascii="Palatino Linotype" w:cs="Palatino Linotype" w:eastAsia="Palatino Linotype" w:hAnsi="Palatino Linotype"/>
          <w:b w:val="1"/>
          <w:color w:val="000000"/>
          <w:sz w:val="24"/>
          <w:szCs w:val="24"/>
        </w:rPr>
      </w:pPr>
      <w:bookmarkStart w:colFirst="0" w:colLast="0" w:name="_heading=h.3rdcrjn" w:id="11"/>
      <w:bookmarkEnd w:id="11"/>
      <w:r w:rsidDel="00000000" w:rsidR="00000000" w:rsidRPr="00000000">
        <w:rPr>
          <w:rFonts w:ascii="Palatino Linotype" w:cs="Palatino Linotype" w:eastAsia="Palatino Linotype" w:hAnsi="Palatino Linotype"/>
          <w:b w:val="1"/>
          <w:color w:val="000000"/>
          <w:sz w:val="24"/>
          <w:szCs w:val="24"/>
          <w:rtl w:val="0"/>
        </w:rPr>
        <w:t xml:space="preserve">QUINTO. De la Versión Pública.</w:t>
      </w:r>
    </w:p>
    <w:p w:rsidR="00000000" w:rsidDel="00000000" w:rsidP="00000000" w:rsidRDefault="00000000" w:rsidRPr="00000000" w14:paraId="0000009D">
      <w:pP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E">
      <w:pPr>
        <w:pStyle w:val="Heading1"/>
        <w:numPr>
          <w:ilvl w:val="0"/>
          <w:numId w:val="5"/>
        </w:numPr>
        <w:spacing w:before="0" w:line="360" w:lineRule="auto"/>
        <w:ind w:left="1080" w:hanging="720"/>
        <w:rPr>
          <w:rFonts w:ascii="Palatino Linotype" w:cs="Palatino Linotype" w:eastAsia="Palatino Linotype" w:hAnsi="Palatino Linotype"/>
          <w:b w:val="1"/>
          <w:color w:val="000000"/>
          <w:sz w:val="24"/>
          <w:szCs w:val="24"/>
        </w:rPr>
      </w:pPr>
      <w:bookmarkStart w:colFirst="0" w:colLast="0" w:name="_heading=h.26in1rg" w:id="12"/>
      <w:bookmarkEnd w:id="12"/>
      <w:r w:rsidDel="00000000" w:rsidR="00000000" w:rsidRPr="00000000">
        <w:rPr>
          <w:rFonts w:ascii="Palatino Linotype" w:cs="Palatino Linotype" w:eastAsia="Palatino Linotype" w:hAnsi="Palatino Linotype"/>
          <w:b w:val="1"/>
          <w:color w:val="000000"/>
          <w:sz w:val="24"/>
          <w:szCs w:val="24"/>
          <w:rtl w:val="0"/>
        </w:rPr>
        <w:t xml:space="preserve">Nociones generales.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Debe destacarse que, debido a la naturaleza de la información solicitada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eventualmente pudiera obrar datos personales susceptibles de protegerse,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deberá de hacer la adecuada versión pública, protegiendo los datos que no son susceptibles de ser proporcionados.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A2">
      <w:pPr>
        <w:numPr>
          <w:ilvl w:val="0"/>
          <w:numId w:val="8"/>
        </w:numPr>
        <w:spacing w:line="360" w:lineRule="auto"/>
        <w:ind w:left="0" w:right="49"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No pasa desapercibido para este Órgano Garante que los </w:t>
      </w:r>
      <w:r w:rsidDel="00000000" w:rsidR="00000000" w:rsidRPr="00000000">
        <w:rPr>
          <w:rFonts w:ascii="Palatino Linotype" w:cs="Palatino Linotype" w:eastAsia="Palatino Linotype" w:hAnsi="Palatino Linotype"/>
          <w:b w:val="1"/>
          <w:color w:val="000000"/>
          <w:sz w:val="24"/>
          <w:szCs w:val="24"/>
          <w:rtl w:val="0"/>
        </w:rPr>
        <w:t xml:space="preserve">Sujetos Obligados </w:t>
      </w:r>
      <w:r w:rsidDel="00000000" w:rsidR="00000000" w:rsidRPr="00000000">
        <w:rPr>
          <w:rFonts w:ascii="Palatino Linotype" w:cs="Palatino Linotype" w:eastAsia="Palatino Linotype" w:hAnsi="Palatino Linotype"/>
          <w:color w:val="000000"/>
          <w:sz w:val="24"/>
          <w:szCs w:val="24"/>
          <w:rtl w:val="0"/>
        </w:rPr>
        <w:t xml:space="preserve">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000000" w:rsidDel="00000000" w:rsidP="00000000" w:rsidRDefault="00000000" w:rsidRPr="00000000" w14:paraId="000000A3">
      <w:pPr>
        <w:spacing w:line="360" w:lineRule="auto"/>
        <w:ind w:right="49"/>
        <w:jc w:val="both"/>
        <w:rPr>
          <w:rFonts w:ascii="Palatino Linotype" w:cs="Palatino Linotype" w:eastAsia="Palatino Linotype" w:hAnsi="Palatino Linotype"/>
          <w:color w:val="000000"/>
        </w:rPr>
      </w:pPr>
      <w:r w:rsidDel="00000000" w:rsidR="00000000" w:rsidRPr="00000000">
        <w:rPr>
          <w:rtl w:val="0"/>
        </w:rPr>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838"/>
        <w:gridCol w:w="6990"/>
        <w:tblGridChange w:id="0">
          <w:tblGrid>
            <w:gridCol w:w="1838"/>
            <w:gridCol w:w="6990"/>
          </w:tblGrid>
        </w:tblGridChange>
      </w:tblGrid>
      <w:tr>
        <w:trPr>
          <w:cantSplit w:val="0"/>
          <w:tblHeader w:val="0"/>
        </w:trPr>
        <w:tc>
          <w:tcPr/>
          <w:p w:rsidR="00000000" w:rsidDel="00000000" w:rsidP="00000000" w:rsidRDefault="00000000" w:rsidRPr="00000000" w14:paraId="000000A4">
            <w:pPr>
              <w:spacing w:line="36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 Requisitos previos.</w:t>
            </w:r>
          </w:p>
        </w:tc>
        <w:tc>
          <w:tcPr/>
          <w:p w:rsidR="00000000" w:rsidDel="00000000" w:rsidP="00000000" w:rsidRDefault="00000000" w:rsidRPr="00000000" w14:paraId="000000A5">
            <w:pPr>
              <w:spacing w:line="360" w:lineRule="auto"/>
              <w:ind w:right="49"/>
              <w:jc w:val="both"/>
              <w:rPr>
                <w:rFonts w:ascii="Palatino Linotype" w:cs="Palatino Linotype" w:eastAsia="Palatino Linotype" w:hAnsi="Palatino Linotype"/>
                <w:b w:val="0"/>
                <w:color w:val="000000"/>
                <w:sz w:val="20"/>
                <w:szCs w:val="20"/>
              </w:rPr>
            </w:pPr>
            <w:r w:rsidDel="00000000" w:rsidR="00000000" w:rsidRPr="00000000">
              <w:rPr>
                <w:rFonts w:ascii="Palatino Linotype" w:cs="Palatino Linotype" w:eastAsia="Palatino Linotype" w:hAnsi="Palatino Linotype"/>
                <w:b w:val="0"/>
                <w:color w:val="000000"/>
                <w:sz w:val="20"/>
                <w:szCs w:val="20"/>
                <w:rtl w:val="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000000" w:rsidDel="00000000" w:rsidP="00000000" w:rsidRDefault="00000000" w:rsidRPr="00000000" w14:paraId="000000A6">
            <w:pPr>
              <w:spacing w:line="360" w:lineRule="auto"/>
              <w:ind w:right="49"/>
              <w:jc w:val="both"/>
              <w:rPr>
                <w:rFonts w:ascii="Palatino Linotype" w:cs="Palatino Linotype" w:eastAsia="Palatino Linotype" w:hAnsi="Palatino Linotype"/>
                <w:b w:val="0"/>
                <w:color w:val="000000"/>
                <w:sz w:val="20"/>
                <w:szCs w:val="20"/>
              </w:rPr>
            </w:pPr>
            <w:r w:rsidDel="00000000" w:rsidR="00000000" w:rsidRPr="00000000">
              <w:rPr>
                <w:rFonts w:ascii="Palatino Linotype" w:cs="Palatino Linotype" w:eastAsia="Palatino Linotype" w:hAnsi="Palatino Linotype"/>
                <w:b w:val="0"/>
                <w:color w:val="000000"/>
                <w:sz w:val="20"/>
                <w:szCs w:val="20"/>
                <w:rtl w:val="0"/>
              </w:rPr>
              <w:t xml:space="preserve">Al hacerlo tienen que precisar de qué información se trata, señalando el supuesto de clasificación (confidencialidad o reserva).</w:t>
            </w:r>
          </w:p>
          <w:p w:rsidR="00000000" w:rsidDel="00000000" w:rsidP="00000000" w:rsidRDefault="00000000" w:rsidRPr="00000000" w14:paraId="000000A7">
            <w:pPr>
              <w:spacing w:line="360" w:lineRule="auto"/>
              <w:ind w:right="49"/>
              <w:jc w:val="both"/>
              <w:rPr>
                <w:rFonts w:ascii="Palatino Linotype" w:cs="Palatino Linotype" w:eastAsia="Palatino Linotype" w:hAnsi="Palatino Linotype"/>
                <w:b w:val="0"/>
                <w:color w:val="000000"/>
                <w:sz w:val="20"/>
                <w:szCs w:val="20"/>
              </w:rPr>
            </w:pPr>
            <w:r w:rsidDel="00000000" w:rsidR="00000000" w:rsidRPr="00000000">
              <w:rPr>
                <w:rFonts w:ascii="Palatino Linotype" w:cs="Palatino Linotype" w:eastAsia="Palatino Linotype" w:hAnsi="Palatino Linotype"/>
                <w:b w:val="0"/>
                <w:color w:val="000000"/>
                <w:sz w:val="20"/>
                <w:szCs w:val="20"/>
                <w:rtl w:val="0"/>
              </w:rPr>
              <w:t xml:space="preserve">Además, se debe señalar el procedimiento, de los tres que establecen los artículos 132 y 106 de la Ley Estatal y General, respectivamente.</w:t>
            </w:r>
          </w:p>
          <w:p w:rsidR="00000000" w:rsidDel="00000000" w:rsidP="00000000" w:rsidRDefault="00000000" w:rsidRPr="00000000" w14:paraId="000000A8">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0"/>
                <w:color w:val="000000"/>
                <w:sz w:val="20"/>
                <w:szCs w:val="20"/>
                <w:rtl w:val="0"/>
              </w:rPr>
              <w:t xml:space="preserve">El último de estos requisitos previos consiste en que no se pueden emitir acuerdos de carácter general ni particular, esto es, </w:t>
            </w:r>
            <w:r w:rsidDel="00000000" w:rsidR="00000000" w:rsidRPr="00000000">
              <w:rPr>
                <w:rFonts w:ascii="Palatino Linotype" w:cs="Palatino Linotype" w:eastAsia="Palatino Linotype" w:hAnsi="Palatino Linotype"/>
                <w:b w:val="0"/>
                <w:color w:val="000000"/>
                <w:sz w:val="20"/>
                <w:szCs w:val="20"/>
                <w:u w:val="single"/>
                <w:rtl w:val="0"/>
              </w:rPr>
              <w:t xml:space="preserve">no se puede hacer un acuerdo para clasificar de manera general todos los documentos de un expediente o área, sin</w:t>
            </w:r>
            <w:r w:rsidDel="00000000" w:rsidR="00000000" w:rsidRPr="00000000">
              <w:rPr>
                <w:rFonts w:ascii="Palatino Linotype" w:cs="Palatino Linotype" w:eastAsia="Palatino Linotype" w:hAnsi="Palatino Linotype"/>
                <w:b w:val="0"/>
                <w:color w:val="000000"/>
                <w:sz w:val="20"/>
                <w:szCs w:val="20"/>
                <w:rtl w:val="0"/>
              </w:rPr>
              <w:t xml:space="preserve"> individualizar su análisis y tampoco se puede hacer un acuerdo por cada dato que se vaya a clasificar dentro de un documento con diez datos, por ejemplo, susceptibles de ser clasificados.</w:t>
            </w:r>
            <w:r w:rsidDel="00000000" w:rsidR="00000000" w:rsidRPr="00000000">
              <w:rPr>
                <w:rtl w:val="0"/>
              </w:rPr>
            </w:r>
          </w:p>
        </w:tc>
      </w:tr>
      <w:tr>
        <w:trPr>
          <w:cantSplit w:val="0"/>
          <w:tblHeader w:val="0"/>
        </w:trPr>
        <w:tc>
          <w:tcPr/>
          <w:p w:rsidR="00000000" w:rsidDel="00000000" w:rsidP="00000000" w:rsidRDefault="00000000" w:rsidRPr="00000000" w14:paraId="000000A9">
            <w:pPr>
              <w:spacing w:line="36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 Supuestos de clasificación.</w:t>
            </w:r>
          </w:p>
        </w:tc>
        <w:tc>
          <w:tcPr/>
          <w:p w:rsidR="00000000" w:rsidDel="00000000" w:rsidP="00000000" w:rsidRDefault="00000000" w:rsidRPr="00000000" w14:paraId="000000AA">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Las disposiciones constitucionales y legales en la materia establecen los dos supuestos generales para clasificar la información: por reserva y por confidencialidad.</w:t>
            </w:r>
          </w:p>
          <w:p w:rsidR="00000000" w:rsidDel="00000000" w:rsidP="00000000" w:rsidRDefault="00000000" w:rsidRPr="00000000" w14:paraId="000000AB">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El </w:t>
            </w:r>
            <w:r w:rsidDel="00000000" w:rsidR="00000000" w:rsidRPr="00000000">
              <w:rPr>
                <w:rFonts w:ascii="Palatino Linotype" w:cs="Palatino Linotype" w:eastAsia="Palatino Linotype" w:hAnsi="Palatino Linotype"/>
                <w:b w:val="1"/>
                <w:color w:val="000000"/>
                <w:sz w:val="20"/>
                <w:szCs w:val="20"/>
                <w:rtl w:val="0"/>
              </w:rPr>
              <w:t xml:space="preserve">Sujeto Obligado</w:t>
            </w:r>
            <w:r w:rsidDel="00000000" w:rsidR="00000000" w:rsidRPr="00000000">
              <w:rPr>
                <w:rFonts w:ascii="Palatino Linotype" w:cs="Palatino Linotype" w:eastAsia="Palatino Linotype" w:hAnsi="Palatino Linotype"/>
                <w:color w:val="000000"/>
                <w:sz w:val="20"/>
                <w:szCs w:val="20"/>
                <w:rtl w:val="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r w:rsidDel="00000000" w:rsidR="00000000" w:rsidRPr="00000000">
              <w:rPr>
                <w:rtl w:val="0"/>
              </w:rPr>
            </w:r>
          </w:p>
        </w:tc>
      </w:tr>
      <w:tr>
        <w:trPr>
          <w:cantSplit w:val="0"/>
          <w:tblHeader w:val="0"/>
        </w:trPr>
        <w:tc>
          <w:tcPr/>
          <w:p w:rsidR="00000000" w:rsidDel="00000000" w:rsidP="00000000" w:rsidRDefault="00000000" w:rsidRPr="00000000" w14:paraId="000000AD">
            <w:pPr>
              <w:spacing w:line="36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 Formalidades para emitir el acuerdo de clasificación.</w:t>
            </w:r>
          </w:p>
        </w:tc>
        <w:tc>
          <w:tcPr/>
          <w:p w:rsidR="00000000" w:rsidDel="00000000" w:rsidP="00000000" w:rsidRDefault="00000000" w:rsidRPr="00000000" w14:paraId="000000AE">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El Comité de Transparencia, según lo dispuesto en los artículos cuenta con las facultades para aprobar, modificar o revocar la clasificación de la información que haya propuesto. </w:t>
            </w:r>
          </w:p>
          <w:p w:rsidR="00000000" w:rsidDel="00000000" w:rsidP="00000000" w:rsidRDefault="00000000" w:rsidRPr="00000000" w14:paraId="000000AF">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Es necesario que </w:t>
            </w:r>
            <w:r w:rsidDel="00000000" w:rsidR="00000000" w:rsidRPr="00000000">
              <w:rPr>
                <w:rFonts w:ascii="Palatino Linotype" w:cs="Palatino Linotype" w:eastAsia="Palatino Linotype" w:hAnsi="Palatino Linotype"/>
                <w:b w:val="1"/>
                <w:color w:val="000000"/>
                <w:sz w:val="20"/>
                <w:szCs w:val="20"/>
                <w:u w:val="single"/>
                <w:rtl w:val="0"/>
              </w:rPr>
              <w:t xml:space="preserve">el acto reúna con los requisitos elementales</w:t>
            </w:r>
            <w:r w:rsidDel="00000000" w:rsidR="00000000" w:rsidRPr="00000000">
              <w:rPr>
                <w:rFonts w:ascii="Palatino Linotype" w:cs="Palatino Linotype" w:eastAsia="Palatino Linotype" w:hAnsi="Palatino Linotype"/>
                <w:color w:val="000000"/>
                <w:sz w:val="20"/>
                <w:szCs w:val="20"/>
                <w:rtl w:val="0"/>
              </w:rPr>
              <w:t xml:space="preserve">, entre ellos, que la autoridad que va a emitir el acto de autoridad sea la legalmente facultada para ello.</w:t>
            </w:r>
          </w:p>
          <w:p w:rsidR="00000000" w:rsidDel="00000000" w:rsidP="00000000" w:rsidRDefault="00000000" w:rsidRPr="00000000" w14:paraId="000000B0">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r w:rsidDel="00000000" w:rsidR="00000000" w:rsidRPr="00000000">
              <w:rPr>
                <w:rtl w:val="0"/>
              </w:rPr>
            </w:r>
          </w:p>
        </w:tc>
      </w:tr>
      <w:tr>
        <w:trPr>
          <w:cantSplit w:val="0"/>
          <w:tblHeader w:val="0"/>
        </w:trPr>
        <w:tc>
          <w:tcPr/>
          <w:p w:rsidR="00000000" w:rsidDel="00000000" w:rsidP="00000000" w:rsidRDefault="00000000" w:rsidRPr="00000000" w14:paraId="000000B1">
            <w:pPr>
              <w:spacing w:line="360" w:lineRule="auto"/>
              <w:rPr>
                <w:rFonts w:ascii="Palatino Linotype" w:cs="Palatino Linotype" w:eastAsia="Palatino Linotype" w:hAnsi="Palatino Linotype"/>
                <w:b w:val="0"/>
                <w:sz w:val="20"/>
                <w:szCs w:val="20"/>
              </w:rPr>
            </w:pPr>
            <w:r w:rsidDel="00000000" w:rsidR="00000000" w:rsidRPr="00000000">
              <w:rPr>
                <w:rtl w:val="0"/>
              </w:rPr>
            </w:r>
          </w:p>
          <w:p w:rsidR="00000000" w:rsidDel="00000000" w:rsidP="00000000" w:rsidRDefault="00000000" w:rsidRPr="00000000" w14:paraId="000000B2">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d) Requisitos de fondo del acuerdo de clasificación. </w:t>
            </w:r>
            <w:r w:rsidDel="00000000" w:rsidR="00000000" w:rsidRPr="00000000">
              <w:rPr>
                <w:rtl w:val="0"/>
              </w:rPr>
            </w:r>
          </w:p>
        </w:tc>
        <w:tc>
          <w:tcPr/>
          <w:p w:rsidR="00000000" w:rsidDel="00000000" w:rsidP="00000000" w:rsidRDefault="00000000" w:rsidRPr="00000000" w14:paraId="000000B3">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Del="00000000" w:rsidR="00000000" w:rsidRPr="00000000">
              <w:rPr>
                <w:rFonts w:ascii="Palatino Linotype" w:cs="Palatino Linotype" w:eastAsia="Palatino Linotype" w:hAnsi="Palatino Linotype"/>
                <w:b w:val="1"/>
                <w:color w:val="000000"/>
                <w:sz w:val="20"/>
                <w:szCs w:val="20"/>
                <w:rtl w:val="0"/>
              </w:rPr>
              <w:t xml:space="preserve">Sujetos Obligados</w:t>
            </w:r>
            <w:r w:rsidDel="00000000" w:rsidR="00000000" w:rsidRPr="00000000">
              <w:rPr>
                <w:rFonts w:ascii="Palatino Linotype" w:cs="Palatino Linotype" w:eastAsia="Palatino Linotype" w:hAnsi="Palatino Linotype"/>
                <w:color w:val="000000"/>
                <w:sz w:val="20"/>
                <w:szCs w:val="20"/>
                <w:rtl w:val="0"/>
              </w:rPr>
              <w:t xml:space="preserve">, por lo que deberán fundar y motivar debidamente la clasificación. </w:t>
            </w:r>
          </w:p>
          <w:p w:rsidR="00000000" w:rsidDel="00000000" w:rsidP="00000000" w:rsidRDefault="00000000" w:rsidRPr="00000000" w14:paraId="000000B4">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De lo anterior, se desprende que para una correcta </w:t>
            </w:r>
            <w:r w:rsidDel="00000000" w:rsidR="00000000" w:rsidRPr="00000000">
              <w:rPr>
                <w:rFonts w:ascii="Palatino Linotype" w:cs="Palatino Linotype" w:eastAsia="Palatino Linotype" w:hAnsi="Palatino Linotype"/>
                <w:b w:val="1"/>
                <w:color w:val="000000"/>
                <w:sz w:val="20"/>
                <w:szCs w:val="20"/>
                <w:rtl w:val="0"/>
              </w:rPr>
              <w:t xml:space="preserve">clasificación total o parcial</w:t>
            </w:r>
            <w:r w:rsidDel="00000000" w:rsidR="00000000" w:rsidRPr="00000000">
              <w:rPr>
                <w:rFonts w:ascii="Palatino Linotype" w:cs="Palatino Linotype" w:eastAsia="Palatino Linotype" w:hAnsi="Palatino Linotype"/>
                <w:color w:val="000000"/>
                <w:sz w:val="20"/>
                <w:szCs w:val="20"/>
                <w:rtl w:val="0"/>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00000" w:rsidDel="00000000" w:rsidP="00000000" w:rsidRDefault="00000000" w:rsidRPr="00000000" w14:paraId="000000B5">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00000" w:rsidDel="00000000" w:rsidP="00000000" w:rsidRDefault="00000000" w:rsidRPr="00000000" w14:paraId="000000B6">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En ese mismo sentido, el numeral trigésimo tercero fracción V de los Lineamientos Generales, precisa que para motivar la clasificación se deben acreditar las circunstancias de tiempo, modo y lugar.</w:t>
            </w:r>
          </w:p>
          <w:p w:rsidR="00000000" w:rsidDel="00000000" w:rsidP="00000000" w:rsidRDefault="00000000" w:rsidRPr="00000000" w14:paraId="000000B7">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Ahora bien, </w:t>
            </w:r>
            <w:r w:rsidDel="00000000" w:rsidR="00000000" w:rsidRPr="00000000">
              <w:rPr>
                <w:rFonts w:ascii="Palatino Linotype" w:cs="Palatino Linotype" w:eastAsia="Palatino Linotype" w:hAnsi="Palatino Linotype"/>
                <w:b w:val="1"/>
                <w:color w:val="000000"/>
                <w:sz w:val="20"/>
                <w:szCs w:val="20"/>
                <w:u w:val="single"/>
                <w:rtl w:val="0"/>
              </w:rPr>
              <w:t xml:space="preserve">para cada caso además de fundar y motivar</w:t>
            </w:r>
            <w:r w:rsidDel="00000000" w:rsidR="00000000" w:rsidRPr="00000000">
              <w:rPr>
                <w:rFonts w:ascii="Palatino Linotype" w:cs="Palatino Linotype" w:eastAsia="Palatino Linotype" w:hAnsi="Palatino Linotype"/>
                <w:color w:val="000000"/>
                <w:sz w:val="20"/>
                <w:szCs w:val="20"/>
                <w:rtl w:val="0"/>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trPr>
          <w:cantSplit w:val="0"/>
          <w:tblHeader w:val="0"/>
        </w:trPr>
        <w:tc>
          <w:tcPr/>
          <w:p w:rsidR="00000000" w:rsidDel="00000000" w:rsidP="00000000" w:rsidRDefault="00000000" w:rsidRPr="00000000" w14:paraId="000000B8">
            <w:pPr>
              <w:spacing w:line="360" w:lineRule="auto"/>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0"/>
                <w:sz w:val="20"/>
                <w:szCs w:val="20"/>
                <w:rtl w:val="0"/>
              </w:rPr>
              <w:t xml:space="preserve">e</w:t>
            </w:r>
            <w:r w:rsidDel="00000000" w:rsidR="00000000" w:rsidRPr="00000000">
              <w:rPr>
                <w:rFonts w:ascii="Palatino Linotype" w:cs="Palatino Linotype" w:eastAsia="Palatino Linotype" w:hAnsi="Palatino Linotype"/>
                <w:sz w:val="20"/>
                <w:szCs w:val="20"/>
                <w:rtl w:val="0"/>
              </w:rPr>
              <w:t xml:space="preserve">) Condiciones especiales de la clasificación de la información como confidencial. </w:t>
            </w:r>
          </w:p>
        </w:tc>
        <w:tc>
          <w:tcPr/>
          <w:p w:rsidR="00000000" w:rsidDel="00000000" w:rsidP="00000000" w:rsidRDefault="00000000" w:rsidRPr="00000000" w14:paraId="000000B9">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Los artículos 148 y 120 de la Ley Estatal y de la Ley General, respectivamente, establecen que aun tratándose de datos personales, se podrán proporcionar, incluso sin solicitar el consentimiento de su titular. </w:t>
            </w:r>
          </w:p>
          <w:p w:rsidR="00000000" w:rsidDel="00000000" w:rsidP="00000000" w:rsidRDefault="00000000" w:rsidRPr="00000000" w14:paraId="000000BA">
            <w:pPr>
              <w:spacing w:line="360" w:lineRule="auto"/>
              <w:ind w:right="49"/>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00000" w:rsidDel="00000000" w:rsidP="00000000" w:rsidRDefault="00000000" w:rsidRPr="00000000" w14:paraId="000000BB">
            <w:pPr>
              <w:spacing w:line="36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rtl w:val="0"/>
              </w:rPr>
              <w:t xml:space="preserve">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r w:rsidDel="00000000" w:rsidR="00000000" w:rsidRPr="00000000">
              <w:rPr>
                <w:rtl w:val="0"/>
              </w:rPr>
            </w:r>
          </w:p>
        </w:tc>
      </w:tr>
    </w:tbl>
    <w:p w:rsidR="00000000" w:rsidDel="00000000" w:rsidP="00000000" w:rsidRDefault="00000000" w:rsidRPr="00000000" w14:paraId="000000BC">
      <w:pPr>
        <w:spacing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pStyle w:val="Heading1"/>
        <w:rPr>
          <w:rFonts w:ascii="Palatino Linotype" w:cs="Palatino Linotype" w:eastAsia="Palatino Linotype" w:hAnsi="Palatino Linotype"/>
          <w:b w:val="1"/>
          <w:color w:val="000000"/>
          <w:sz w:val="24"/>
          <w:szCs w:val="24"/>
        </w:rPr>
      </w:pPr>
      <w:bookmarkStart w:colFirst="0" w:colLast="0" w:name="_heading=h.lnxbz9" w:id="13"/>
      <w:bookmarkEnd w:id="13"/>
      <w:r w:rsidDel="00000000" w:rsidR="00000000" w:rsidRPr="00000000">
        <w:rPr>
          <w:rFonts w:ascii="Palatino Linotype" w:cs="Palatino Linotype" w:eastAsia="Palatino Linotype" w:hAnsi="Palatino Linotype"/>
          <w:b w:val="1"/>
          <w:color w:val="000000"/>
          <w:sz w:val="24"/>
          <w:szCs w:val="24"/>
          <w:rtl w:val="0"/>
        </w:rPr>
        <w:t xml:space="preserve">SEXTO. De la Decisión.</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respuesta que emitió el Sujeto Obligado no cumplió con los principios que rigen el derecho de acceso a la información pública, toda vez que, no se realizó una correcta búsqueda exhaustiva y razonable de la información en todas las áreas que de acuerdo a sus atribuciones funciones y competencias deben generarla, administrarla y poseerla, causando una afectación al derecho del recurrente.</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35nkun2" w:id="14"/>
      <w:bookmarkEnd w:id="14"/>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consecuencia, se tiene que la respuesta no satisface la pretensión del recurrente, por lo que este Órgano Garante debe reparar la afectación causada a través de la resolución, resultando que se MODIFICA la respuesta y se ORDENA realizar una correcta búsqueda exhaustiva y razonable de la información a efecto de localizar y poner a disposición del particular los documentos en donde conste el costo de la seguridad personal del Presidente Municipal.</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1ksv4uv" w:id="15"/>
      <w:bookmarkEnd w:id="15"/>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anteriormente expuesto y fundado, este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ÓRGANO GARANTE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emite los siguientes:</w:t>
      </w:r>
    </w:p>
    <w:p w:rsidR="00000000" w:rsidDel="00000000" w:rsidP="00000000" w:rsidRDefault="00000000" w:rsidRPr="00000000" w14:paraId="000000C6">
      <w:pPr>
        <w:keepNext w:val="1"/>
        <w:keepLines w:val="1"/>
        <w:spacing w:line="360" w:lineRule="auto"/>
        <w:jc w:val="center"/>
        <w:rPr>
          <w:rFonts w:ascii="Palatino Linotype" w:cs="Palatino Linotype" w:eastAsia="Palatino Linotype" w:hAnsi="Palatino Linotype"/>
          <w:b w:val="1"/>
          <w:sz w:val="24"/>
          <w:szCs w:val="24"/>
        </w:rPr>
      </w:pPr>
      <w:bookmarkStart w:colFirst="0" w:colLast="0" w:name="_heading=h.44sinio" w:id="16"/>
      <w:bookmarkEnd w:id="16"/>
      <w:r w:rsidDel="00000000" w:rsidR="00000000" w:rsidRPr="00000000">
        <w:rPr>
          <w:rFonts w:ascii="Palatino Linotype" w:cs="Palatino Linotype" w:eastAsia="Palatino Linotype" w:hAnsi="Palatino Linotype"/>
          <w:b w:val="1"/>
          <w:sz w:val="24"/>
          <w:szCs w:val="24"/>
          <w:rtl w:val="0"/>
        </w:rPr>
        <w:t xml:space="preserve">R E S O L U T I V O S</w:t>
      </w:r>
    </w:p>
    <w:p w:rsidR="00000000" w:rsidDel="00000000" w:rsidP="00000000" w:rsidRDefault="00000000" w:rsidRPr="00000000" w14:paraId="000000C7">
      <w:pPr>
        <w:spacing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C8">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sz w:val="24"/>
          <w:szCs w:val="24"/>
          <w:rtl w:val="0"/>
        </w:rPr>
        <w:t xml:space="preserve">Resultan parcialmente fundadas las</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razones o motivos de inconformidad hechos valer en el recurso de revisión </w:t>
      </w:r>
      <w:r w:rsidDel="00000000" w:rsidR="00000000" w:rsidRPr="00000000">
        <w:rPr>
          <w:rFonts w:ascii="Palatino Linotype" w:cs="Palatino Linotype" w:eastAsia="Palatino Linotype" w:hAnsi="Palatino Linotype"/>
          <w:b w:val="1"/>
          <w:sz w:val="24"/>
          <w:szCs w:val="24"/>
          <w:rtl w:val="0"/>
        </w:rPr>
        <w:t xml:space="preserve">03628/INFOEM/IP/RR/2021, </w:t>
      </w:r>
      <w:r w:rsidDel="00000000" w:rsidR="00000000" w:rsidRPr="00000000">
        <w:rPr>
          <w:rFonts w:ascii="Palatino Linotype" w:cs="Palatino Linotype" w:eastAsia="Palatino Linotype" w:hAnsi="Palatino Linotype"/>
          <w:sz w:val="24"/>
          <w:szCs w:val="24"/>
          <w:rtl w:val="0"/>
        </w:rPr>
        <w:t xml:space="preserve">en términos de los considerandos </w:t>
      </w: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y </w:t>
      </w:r>
      <w:r w:rsidDel="00000000" w:rsidR="00000000" w:rsidRPr="00000000">
        <w:rPr>
          <w:rFonts w:ascii="Palatino Linotype" w:cs="Palatino Linotype" w:eastAsia="Palatino Linotype" w:hAnsi="Palatino Linotype"/>
          <w:b w:val="1"/>
          <w:sz w:val="24"/>
          <w:szCs w:val="24"/>
          <w:rtl w:val="0"/>
        </w:rPr>
        <w:t xml:space="preserve">QUINTO </w:t>
      </w:r>
      <w:r w:rsidDel="00000000" w:rsidR="00000000" w:rsidRPr="00000000">
        <w:rPr>
          <w:rFonts w:ascii="Palatino Linotype" w:cs="Palatino Linotype" w:eastAsia="Palatino Linotype" w:hAnsi="Palatino Linotype"/>
          <w:sz w:val="24"/>
          <w:szCs w:val="24"/>
          <w:rtl w:val="0"/>
        </w:rPr>
        <w:t xml:space="preserve">de la presente resolución.</w:t>
      </w:r>
    </w:p>
    <w:p w:rsidR="00000000" w:rsidDel="00000000" w:rsidP="00000000" w:rsidRDefault="00000000" w:rsidRPr="00000000" w14:paraId="000000C9">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w:t>
      </w:r>
      <w:r w:rsidDel="00000000" w:rsidR="00000000" w:rsidRPr="00000000">
        <w:rPr>
          <w:rFonts w:ascii="Palatino Linotype" w:cs="Palatino Linotype" w:eastAsia="Palatino Linotype" w:hAnsi="Palatino Linotype"/>
          <w:b w:val="1"/>
          <w:color w:val="2f549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Se </w:t>
      </w:r>
      <w:r w:rsidDel="00000000" w:rsidR="00000000" w:rsidRPr="00000000">
        <w:rPr>
          <w:rFonts w:ascii="Palatino Linotype" w:cs="Palatino Linotype" w:eastAsia="Palatino Linotype" w:hAnsi="Palatino Linotype"/>
          <w:b w:val="1"/>
          <w:sz w:val="24"/>
          <w:szCs w:val="24"/>
          <w:rtl w:val="0"/>
        </w:rPr>
        <w:t xml:space="preserve">MODIFICA</w:t>
      </w:r>
      <w:r w:rsidDel="00000000" w:rsidR="00000000" w:rsidRPr="00000000">
        <w:rPr>
          <w:rFonts w:ascii="Palatino Linotype" w:cs="Palatino Linotype" w:eastAsia="Palatino Linotype" w:hAnsi="Palatino Linotype"/>
          <w:sz w:val="24"/>
          <w:szCs w:val="24"/>
          <w:rtl w:val="0"/>
        </w:rPr>
        <w:t xml:space="preserve"> la respuesta emitida por el </w:t>
      </w:r>
      <w:r w:rsidDel="00000000" w:rsidR="00000000" w:rsidRPr="00000000">
        <w:rPr>
          <w:rFonts w:ascii="Palatino Linotype" w:cs="Palatino Linotype" w:eastAsia="Palatino Linotype" w:hAnsi="Palatino Linotype"/>
          <w:b w:val="1"/>
          <w:sz w:val="24"/>
          <w:szCs w:val="24"/>
          <w:rtl w:val="0"/>
        </w:rPr>
        <w:t xml:space="preserve">Ayuntamiento de Toluca</w:t>
      </w:r>
      <w:r w:rsidDel="00000000" w:rsidR="00000000" w:rsidRPr="00000000">
        <w:rPr>
          <w:rFonts w:ascii="Palatino Linotype" w:cs="Palatino Linotype" w:eastAsia="Palatino Linotype" w:hAnsi="Palatino Linotype"/>
          <w:sz w:val="24"/>
          <w:szCs w:val="24"/>
          <w:rtl w:val="0"/>
        </w:rPr>
        <w:t xml:space="preserve"> y se </w:t>
      </w:r>
      <w:r w:rsidDel="00000000" w:rsidR="00000000" w:rsidRPr="00000000">
        <w:rPr>
          <w:rFonts w:ascii="Palatino Linotype" w:cs="Palatino Linotype" w:eastAsia="Palatino Linotype" w:hAnsi="Palatino Linotype"/>
          <w:b w:val="1"/>
          <w:sz w:val="24"/>
          <w:szCs w:val="24"/>
          <w:rtl w:val="0"/>
        </w:rPr>
        <w:t xml:space="preserve">ORDENA</w:t>
      </w:r>
      <w:r w:rsidDel="00000000" w:rsidR="00000000" w:rsidRPr="00000000">
        <w:rPr>
          <w:rFonts w:ascii="Palatino Linotype" w:cs="Palatino Linotype" w:eastAsia="Palatino Linotype" w:hAnsi="Palatino Linotype"/>
          <w:sz w:val="24"/>
          <w:szCs w:val="24"/>
          <w:rtl w:val="0"/>
        </w:rPr>
        <w:t xml:space="preserve"> entregar, vía Sistema de Acceso a la Información Mexiquense</w:t>
      </w:r>
      <w:r w:rsidDel="00000000" w:rsidR="00000000" w:rsidRPr="00000000">
        <w:rPr>
          <w:rFonts w:ascii="Palatino Linotype" w:cs="Palatino Linotype" w:eastAsia="Palatino Linotype" w:hAnsi="Palatino Linotype"/>
          <w:b w:val="1"/>
          <w:sz w:val="24"/>
          <w:szCs w:val="24"/>
          <w:rtl w:val="0"/>
        </w:rPr>
        <w:t xml:space="preserve"> (SAIMEX)</w:t>
      </w:r>
      <w:r w:rsidDel="00000000" w:rsidR="00000000" w:rsidRPr="00000000">
        <w:rPr>
          <w:rFonts w:ascii="Palatino Linotype" w:cs="Palatino Linotype" w:eastAsia="Palatino Linotype" w:hAnsi="Palatino Linotype"/>
          <w:sz w:val="24"/>
          <w:szCs w:val="24"/>
          <w:rtl w:val="0"/>
        </w:rPr>
        <w:t xml:space="preserve">, previa búsqueda exhaustiva y razonable, de ser el caso en versión pública, los documentos en donde conste lo siguiente:</w:t>
      </w:r>
    </w:p>
    <w:p w:rsidR="00000000" w:rsidDel="00000000" w:rsidP="00000000" w:rsidRDefault="00000000" w:rsidRPr="00000000" w14:paraId="000000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Costo de la seguridad personal del Presidente Municipal, del uno de enero de dos mil diecinueve a veintiséis de mayo de dos mil veintiuno.</w:t>
      </w:r>
    </w:p>
    <w:p w:rsidR="00000000" w:rsidDel="00000000" w:rsidP="00000000" w:rsidRDefault="00000000" w:rsidRPr="00000000" w14:paraId="000000CB">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C">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000000" w:rsidDel="00000000" w:rsidP="00000000" w:rsidRDefault="00000000" w:rsidRPr="00000000" w14:paraId="000000CD">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E">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2"/>
          <w:szCs w:val="22"/>
          <w:rtl w:val="0"/>
        </w:rPr>
        <w:t xml:space="preserve">Para el caso de que el Sujeto Obligado no haya administrado o poseído la información relativa al inciso 1), bastará con que así lo indique al Recurrente, en términos del artículo 19, párrafo segundo,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CF">
      <w:pPr>
        <w:ind w:left="567" w:right="425"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D0">
      <w:pPr>
        <w:tabs>
          <w:tab w:val="left" w:pos="8080"/>
        </w:tabs>
        <w:spacing w:line="360" w:lineRule="auto"/>
        <w:ind w:right="49"/>
        <w:jc w:val="both"/>
        <w:rPr>
          <w:rFonts w:ascii="Palatino Linotype" w:cs="Palatino Linotype" w:eastAsia="Palatino Linotype" w:hAnsi="Palatino Linotype"/>
          <w:color w:val="222222"/>
          <w:sz w:val="24"/>
          <w:szCs w:val="24"/>
          <w:highlight w:val="white"/>
        </w:rPr>
      </w:pPr>
      <w:r w:rsidDel="00000000" w:rsidR="00000000" w:rsidRPr="00000000">
        <w:rPr>
          <w:rFonts w:ascii="Palatino Linotype" w:cs="Palatino Linotype" w:eastAsia="Palatino Linotype" w:hAnsi="Palatino Linotype"/>
          <w:b w:val="1"/>
          <w:sz w:val="24"/>
          <w:szCs w:val="24"/>
          <w:rtl w:val="0"/>
        </w:rPr>
        <w:t xml:space="preserve">TERCERO. Notifíquese </w:t>
      </w:r>
      <w:r w:rsidDel="00000000" w:rsidR="00000000" w:rsidRPr="00000000">
        <w:rPr>
          <w:rFonts w:ascii="Palatino Linotype" w:cs="Palatino Linotype" w:eastAsia="Palatino Linotype" w:hAnsi="Palatino Linotype"/>
          <w:sz w:val="24"/>
          <w:szCs w:val="24"/>
          <w:rtl w:val="0"/>
        </w:rPr>
        <w:t xml:space="preserve">al Titular de la Unidad de Transparencia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para que conforme a los artículos 186 último párrafo, 189 párrafo segundo y 199 de la Ley de Transparencia y Acceso a la Información Pública del Estado de México y Municipios, </w:t>
      </w:r>
      <w:r w:rsidDel="00000000" w:rsidR="00000000" w:rsidRPr="00000000">
        <w:rPr>
          <w:rFonts w:ascii="Palatino Linotype" w:cs="Palatino Linotype" w:eastAsia="Palatino Linotype" w:hAnsi="Palatino Linotype"/>
          <w:color w:val="222222"/>
          <w:sz w:val="24"/>
          <w:szCs w:val="24"/>
          <w:highlight w:val="white"/>
          <w:rtl w:val="0"/>
        </w:rPr>
        <w:t xml:space="preserve">vigente, dé cumplimiento a lo ordenado dentro del plazo de diez días hábiles, debiendo rendir a este Instituto el informe de cumplimiento de la resolución en un plazo de tres días hábiles posteriores.</w:t>
      </w:r>
    </w:p>
    <w:p w:rsidR="00000000" w:rsidDel="00000000" w:rsidP="00000000" w:rsidRDefault="00000000" w:rsidRPr="00000000" w14:paraId="000000D1">
      <w:pPr>
        <w:tabs>
          <w:tab w:val="left" w:pos="8080"/>
        </w:tabs>
        <w:spacing w:line="360" w:lineRule="auto"/>
        <w:ind w:right="49"/>
        <w:jc w:val="both"/>
        <w:rPr>
          <w:rFonts w:ascii="Palatino Linotype" w:cs="Palatino Linotype" w:eastAsia="Palatino Linotype" w:hAnsi="Palatino Linotype"/>
          <w:color w:val="222222"/>
          <w:sz w:val="24"/>
          <w:szCs w:val="24"/>
          <w:highlight w:val="white"/>
        </w:rPr>
      </w:pPr>
      <w:r w:rsidDel="00000000" w:rsidR="00000000" w:rsidRPr="00000000">
        <w:rPr>
          <w:rtl w:val="0"/>
        </w:rPr>
      </w:r>
    </w:p>
    <w:p w:rsidR="00000000" w:rsidDel="00000000" w:rsidP="00000000" w:rsidRDefault="00000000" w:rsidRPr="00000000" w14:paraId="000000D2">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w:t>
      </w:r>
      <w:r w:rsidDel="00000000" w:rsidR="00000000" w:rsidRPr="00000000">
        <w:rPr>
          <w:rFonts w:ascii="Palatino Linotype" w:cs="Palatino Linotype" w:eastAsia="Palatino Linotype" w:hAnsi="Palatino Linotype"/>
          <w:sz w:val="24"/>
          <w:szCs w:val="24"/>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0D3">
      <w:pPr>
        <w:tabs>
          <w:tab w:val="left" w:pos="8080"/>
        </w:tabs>
        <w:spacing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D4">
      <w:pPr>
        <w:shd w:fill="ffffff" w:val="clea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w:t>
      </w:r>
      <w:r w:rsidDel="00000000" w:rsidR="00000000" w:rsidRPr="00000000">
        <w:rPr>
          <w:rFonts w:ascii="Palatino Linotype" w:cs="Palatino Linotype" w:eastAsia="Palatino Linotype" w:hAnsi="Palatino Linotype"/>
          <w:b w:val="1"/>
          <w:color w:val="222222"/>
          <w:sz w:val="24"/>
          <w:szCs w:val="24"/>
          <w:rtl w:val="0"/>
        </w:rPr>
        <w:t xml:space="preserve">Notifíquese </w:t>
      </w:r>
      <w:r w:rsidDel="00000000" w:rsidR="00000000" w:rsidRPr="00000000">
        <w:rPr>
          <w:rFonts w:ascii="Palatino Linotype" w:cs="Palatino Linotype" w:eastAsia="Palatino Linotype" w:hAnsi="Palatino Linotype"/>
          <w:color w:val="222222"/>
          <w:sz w:val="24"/>
          <w:szCs w:val="24"/>
          <w:rtl w:val="0"/>
        </w:rPr>
        <w:t xml:space="preserve">a</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XXXXXXXXXXXXXXXXXXXXXXXXXXXXX</w:t>
      </w:r>
      <w:r w:rsidDel="00000000" w:rsidR="00000000" w:rsidRPr="00000000">
        <w:rPr>
          <w:rFonts w:ascii="Palatino Linotype" w:cs="Palatino Linotype" w:eastAsia="Palatino Linotype" w:hAnsi="Palatino Linotype"/>
          <w:sz w:val="24"/>
          <w:szCs w:val="24"/>
          <w:rtl w:val="0"/>
        </w:rPr>
        <w:t xml:space="preserve"> la presente resolución y el informe justificado.</w:t>
      </w:r>
    </w:p>
    <w:p w:rsidR="00000000" w:rsidDel="00000000" w:rsidP="00000000" w:rsidRDefault="00000000" w:rsidRPr="00000000" w14:paraId="000000D5">
      <w:pPr>
        <w:shd w:fill="ffffff" w:val="clea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6">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SEXTO.</w:t>
      </w:r>
      <w:r w:rsidDel="00000000" w:rsidR="00000000" w:rsidRPr="00000000">
        <w:rPr>
          <w:rFonts w:ascii="Palatino Linotype" w:cs="Palatino Linotype" w:eastAsia="Palatino Linotype" w:hAnsi="Palatino Linotype"/>
          <w:sz w:val="24"/>
          <w:szCs w:val="24"/>
          <w:rtl w:val="0"/>
        </w:rPr>
        <w:t xml:space="preserve"> Se hace del conocimiento de </w:t>
      </w:r>
      <w:r w:rsidDel="00000000" w:rsidR="00000000" w:rsidRPr="00000000">
        <w:rPr>
          <w:rFonts w:ascii="Palatino Linotype" w:cs="Palatino Linotype" w:eastAsia="Palatino Linotype" w:hAnsi="Palatino Linotype"/>
          <w:b w:val="1"/>
          <w:sz w:val="24"/>
          <w:szCs w:val="24"/>
          <w:rtl w:val="0"/>
        </w:rPr>
        <w:t xml:space="preserve">XXXXXXXXXXXXXXXXXXXXXXXXXXXXX</w:t>
      </w:r>
      <w:r w:rsidDel="00000000" w:rsidR="00000000" w:rsidRPr="00000000">
        <w:rPr>
          <w:rFonts w:ascii="Palatino Linotype" w:cs="Palatino Linotype" w:eastAsia="Palatino Linotype" w:hAnsi="Palatino Linotype"/>
          <w:sz w:val="24"/>
          <w:szCs w:val="24"/>
          <w:rtl w:val="0"/>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000000" w:rsidDel="00000000" w:rsidP="00000000" w:rsidRDefault="00000000" w:rsidRPr="00000000" w14:paraId="000000D7">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8">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000000"/>
          <w:sz w:val="24"/>
          <w:szCs w:val="24"/>
          <w:highlight w:val="white"/>
          <w:rtl w:val="0"/>
        </w:rPr>
        <w:t xml:space="preserve">SÉPTIMO.</w:t>
      </w:r>
      <w:r w:rsidDel="00000000" w:rsidR="00000000" w:rsidRPr="00000000">
        <w:rPr>
          <w:rFonts w:ascii="Palatino Linotype" w:cs="Palatino Linotype" w:eastAsia="Palatino Linotype" w:hAnsi="Palatino Linotype"/>
          <w:color w:val="000000"/>
          <w:sz w:val="24"/>
          <w:szCs w:val="24"/>
          <w:highlight w:val="white"/>
          <w:rtl w:val="0"/>
        </w:rPr>
        <w:t xml:space="preserve"> Con fundamento en el artículo 198 de la Ley de Transparencia y Acceso a la Información Pública del Estado de México y Municipios, se apercibe al </w:t>
      </w:r>
      <w:r w:rsidDel="00000000" w:rsidR="00000000" w:rsidRPr="00000000">
        <w:rPr>
          <w:rFonts w:ascii="Palatino Linotype" w:cs="Palatino Linotype" w:eastAsia="Palatino Linotype" w:hAnsi="Palatino Linotype"/>
          <w:b w:val="1"/>
          <w:color w:val="000000"/>
          <w:sz w:val="24"/>
          <w:szCs w:val="24"/>
          <w:highlight w:val="white"/>
          <w:rtl w:val="0"/>
        </w:rPr>
        <w:t xml:space="preserve">SUJETO OBLIGADO</w:t>
      </w:r>
      <w:r w:rsidDel="00000000" w:rsidR="00000000" w:rsidRPr="00000000">
        <w:rPr>
          <w:rFonts w:ascii="Palatino Linotype" w:cs="Palatino Linotype" w:eastAsia="Palatino Linotype" w:hAnsi="Palatino Linotype"/>
          <w:color w:val="000000"/>
          <w:sz w:val="24"/>
          <w:szCs w:val="24"/>
          <w:highlight w:val="white"/>
          <w:rtl w:val="0"/>
        </w:rPr>
        <w:t xml:space="preserve"> de que, en caso de incumplimiento total o parcial de la presente resolución, se actuará de conformidad con lo dispuesto en los artículos 213, 214, 215, 216 y 217 de la ley en cita. </w:t>
      </w: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A">
      <w:pPr>
        <w:spacing w:after="240" w:before="240" w:line="360" w:lineRule="auto"/>
        <w:ind w:firstLine="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VEINTICINCO DE AGOSTO DE DOS MIL VEINTIUNO, ANTE EL SECRETARIO TÉCNICO DEL PLENO ALEXIS TAPIA RAMÍREZ </w:t>
      </w:r>
    </w:p>
    <w:p w:rsidR="00000000" w:rsidDel="00000000" w:rsidP="00000000" w:rsidRDefault="00000000" w:rsidRPr="00000000" w14:paraId="000000DB">
      <w:pPr>
        <w:spacing w:after="240" w:before="240" w:line="360" w:lineRule="auto"/>
        <w:ind w:firstLine="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C">
      <w:pPr>
        <w:spacing w:after="240" w:before="240" w:line="360" w:lineRule="auto"/>
        <w:ind w:firstLine="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D">
      <w:pPr>
        <w:spacing w:after="240" w:before="240" w:line="360" w:lineRule="auto"/>
        <w:ind w:firstLine="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E">
      <w:pPr>
        <w:spacing w:after="240" w:before="240" w:line="360" w:lineRule="auto"/>
        <w:ind w:firstLine="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F">
      <w:pPr>
        <w:spacing w:line="360" w:lineRule="auto"/>
        <w:ind w:right="-93"/>
        <w:jc w:val="both"/>
        <w:rPr>
          <w:rFonts w:ascii="Palatino Linotype" w:cs="Palatino Linotype" w:eastAsia="Palatino Linotype" w:hAnsi="Palatino Linotype"/>
          <w:sz w:val="24"/>
          <w:szCs w:val="24"/>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pgSz w:h="15840" w:w="12240" w:orient="portrait"/>
      <w:pgMar w:bottom="1418" w:top="80" w:left="1588" w:right="1608" w:header="709" w:footer="73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Palatino Linotyp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Página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Página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tbl>
    <w:tblPr>
      <w:tblStyle w:val="Table2"/>
      <w:tblW w:w="9356.0" w:type="dxa"/>
      <w:jc w:val="left"/>
      <w:tblInd w:w="0.0" w:type="dxa"/>
      <w:tblLayout w:type="fixed"/>
      <w:tblLook w:val="0400"/>
    </w:tblPr>
    <w:tblGrid>
      <w:gridCol w:w="1843"/>
      <w:gridCol w:w="7513"/>
      <w:tblGridChange w:id="0">
        <w:tblGrid>
          <w:gridCol w:w="1843"/>
          <w:gridCol w:w="7513"/>
        </w:tblGrid>
      </w:tblGridChange>
    </w:tblGrid>
    <w:tr>
      <w:trPr>
        <w:cantSplit w:val="0"/>
        <w:trHeight w:val="1435" w:hRule="atLeast"/>
        <w:tblHeader w:val="0"/>
      </w:trPr>
      <w:tc>
        <w:tcPr>
          <w:shd w:fill="auto" w:val="clear"/>
        </w:tcPr>
        <w:p w:rsidR="00000000" w:rsidDel="00000000" w:rsidP="00000000" w:rsidRDefault="00000000" w:rsidRPr="00000000" w14:paraId="000000E1">
          <w:pPr>
            <w:tabs>
              <w:tab w:val="right" w:pos="4273"/>
            </w:tabs>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 </w:t>
          </w:r>
        </w:p>
      </w:tc>
      <w:tc>
        <w:tcPr>
          <w:shd w:fill="auto" w:val="clear"/>
        </w:tcPr>
        <w:p w:rsidR="00000000" w:rsidDel="00000000" w:rsidP="00000000" w:rsidRDefault="00000000" w:rsidRPr="00000000" w14:paraId="000000E2">
          <w:pPr>
            <w:rPr/>
          </w:pPr>
          <w:r w:rsidDel="00000000" w:rsidR="00000000" w:rsidRPr="00000000">
            <w:rPr>
              <w:rtl w:val="0"/>
            </w:rPr>
          </w:r>
        </w:p>
        <w:tbl>
          <w:tblPr>
            <w:tblStyle w:val="Table3"/>
            <w:tblW w:w="7095.0" w:type="dxa"/>
            <w:jc w:val="left"/>
            <w:tblInd w:w="159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51"/>
            <w:gridCol w:w="4544"/>
            <w:tblGridChange w:id="0">
              <w:tblGrid>
                <w:gridCol w:w="2551"/>
                <w:gridCol w:w="4544"/>
              </w:tblGrid>
            </w:tblGridChange>
          </w:tblGrid>
          <w:tr>
            <w:trPr>
              <w:cantSplit w:val="0"/>
              <w:trHeight w:val="338" w:hRule="atLeast"/>
              <w:tblHeader w:val="0"/>
            </w:trPr>
            <w:tc>
              <w:tcPr/>
              <w:p w:rsidR="00000000" w:rsidDel="00000000" w:rsidP="00000000" w:rsidRDefault="00000000" w:rsidRPr="00000000" w14:paraId="000000E3">
                <w:pPr>
                  <w:tabs>
                    <w:tab w:val="right" w:pos="8838"/>
                  </w:tabs>
                  <w:ind w:right="-105"/>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4">
                <w:pPr>
                  <w:tabs>
                    <w:tab w:val="right" w:pos="8838"/>
                  </w:tabs>
                  <w:ind w:right="-10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p w:rsidR="00000000" w:rsidDel="00000000" w:rsidP="00000000" w:rsidRDefault="00000000" w:rsidRPr="00000000" w14:paraId="000000E5">
                <w:pPr>
                  <w:tabs>
                    <w:tab w:val="right" w:pos="8838"/>
                  </w:tabs>
                  <w:ind w:right="-105" w:hanging="10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6">
                <w:pPr>
                  <w:tabs>
                    <w:tab w:val="right" w:pos="8838"/>
                  </w:tabs>
                  <w:ind w:right="-105" w:hanging="10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03628/INFOEM/IP/RR/2021 </w:t>
                </w:r>
              </w:p>
            </w:tc>
          </w:tr>
          <w:tr>
            <w:trPr>
              <w:cantSplit w:val="0"/>
              <w:trHeight w:val="283" w:hRule="atLeast"/>
              <w:tblHeader w:val="0"/>
            </w:trPr>
            <w:tc>
              <w:tcPr/>
              <w:p w:rsidR="00000000" w:rsidDel="00000000" w:rsidP="00000000" w:rsidRDefault="00000000" w:rsidRPr="00000000" w14:paraId="000000E7">
                <w:pPr>
                  <w:tabs>
                    <w:tab w:val="right" w:pos="8838"/>
                  </w:tabs>
                  <w:ind w:right="-105"/>
                  <w:rPr>
                    <w:rFonts w:ascii="Palatino Linotype" w:cs="Palatino Linotype" w:eastAsia="Palatino Linotype" w:hAnsi="Palatino Linotype"/>
                    <w:b w:val="1"/>
                    <w:sz w:val="22"/>
                    <w:szCs w:val="22"/>
                  </w:rPr>
                </w:pPr>
                <w:bookmarkStart w:colFirst="0" w:colLast="0" w:name="_heading=h.2jxsxqh" w:id="17"/>
                <w:bookmarkEnd w:id="17"/>
                <w:r w:rsidDel="00000000" w:rsidR="00000000" w:rsidRPr="00000000">
                  <w:rPr>
                    <w:rFonts w:ascii="Palatino Linotype" w:cs="Palatino Linotype" w:eastAsia="Palatino Linotype" w:hAnsi="Palatino Linotype"/>
                    <w:b w:val="1"/>
                    <w:sz w:val="22"/>
                    <w:szCs w:val="22"/>
                    <w:rtl w:val="0"/>
                  </w:rPr>
                  <w:t xml:space="preserve">Sujeto Obligado:</w:t>
                </w:r>
              </w:p>
            </w:tc>
            <w:tc>
              <w:tcPr/>
              <w:p w:rsidR="00000000" w:rsidDel="00000000" w:rsidP="00000000" w:rsidRDefault="00000000" w:rsidRPr="00000000" w14:paraId="000000E8">
                <w:pPr>
                  <w:tabs>
                    <w:tab w:val="left" w:pos="2834"/>
                    <w:tab w:val="right" w:pos="8838"/>
                  </w:tabs>
                  <w:ind w:left="-113" w:right="-105"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Ayuntamiento de Toluca</w:t>
                </w:r>
              </w:p>
            </w:tc>
          </w:tr>
          <w:tr>
            <w:trPr>
              <w:cantSplit w:val="0"/>
              <w:trHeight w:val="283" w:hRule="atLeast"/>
              <w:tblHeader w:val="0"/>
            </w:trPr>
            <w:tc>
              <w:tcPr/>
              <w:p w:rsidR="00000000" w:rsidDel="00000000" w:rsidP="00000000" w:rsidRDefault="00000000" w:rsidRPr="00000000" w14:paraId="000000E9">
                <w:pPr>
                  <w:tabs>
                    <w:tab w:val="right" w:pos="8838"/>
                  </w:tabs>
                  <w:ind w:right="-10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Comisionado Ponente:</w:t>
                </w:r>
              </w:p>
            </w:tc>
            <w:tc>
              <w:tcPr/>
              <w:p w:rsidR="00000000" w:rsidDel="00000000" w:rsidP="00000000" w:rsidRDefault="00000000" w:rsidRPr="00000000" w14:paraId="000000EA">
                <w:pPr>
                  <w:tabs>
                    <w:tab w:val="right" w:pos="8838"/>
                  </w:tabs>
                  <w:ind w:left="-113" w:right="-10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María del Rosario Mejía Ayala</w:t>
                </w:r>
                <w:r w:rsidDel="00000000" w:rsidR="00000000" w:rsidRPr="00000000">
                  <w:rPr>
                    <w:rtl w:val="0"/>
                  </w:rPr>
                </w:r>
              </w:p>
            </w:tc>
          </w:tr>
        </w:tbl>
        <w:p w:rsidR="00000000" w:rsidDel="00000000" w:rsidP="00000000" w:rsidRDefault="00000000" w:rsidRPr="00000000" w14:paraId="000000EB">
          <w:pPr>
            <w:tabs>
              <w:tab w:val="right" w:pos="8838"/>
            </w:tabs>
            <w:ind w:left="-28" w:firstLine="0"/>
            <w:jc w:val="both"/>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Pr>
      <w:pict>
        <v:shape id="WordPictureWatermark527053611" style="position:absolute;margin-left:-104.3pt;margin-top:-133.1pt;width:663.5pt;height:12in;z-index:-251656192;mso-position-horizontal-relative:margin;mso-position-vertical-relative:margin;mso-position-horizontal:absolute;mso-position-vertical:absolute;" o:spid="_x0000_s2051" o:allowincell="f" type="#_x0000_t75">
          <v:imagedata r:id="rId1" o:title="marcaaguaINFOEM"/>
          <w10:wrap/>
        </v:shape>
      </w:pict>
    </w: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WordPictureWatermark527053610" style="position:absolute;width:663.5pt;height:12in;z-index:-251657216;mso-position-horizontal:center;mso-position-horizontal-relative:margin;mso-position-vertical:center;mso-position-vertical-relative:margin" o:spid="_x0000_s2050" o:allowincell="f" type="#_x0000_t75">
          <v:imagedata r:id="rId2" o:title="marcaaguaINFOEM"/>
          <w10:wrap/>
        </v:shape>
      </w:pict>
    </w: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
      <w:tblW w:w="9498.0" w:type="dxa"/>
      <w:jc w:val="left"/>
      <w:tblInd w:w="0.0" w:type="dxa"/>
      <w:tblLayout w:type="fixed"/>
      <w:tblLook w:val="0400"/>
    </w:tblPr>
    <w:tblGrid>
      <w:gridCol w:w="1560"/>
      <w:gridCol w:w="7938"/>
      <w:tblGridChange w:id="0">
        <w:tblGrid>
          <w:gridCol w:w="1560"/>
          <w:gridCol w:w="7938"/>
        </w:tblGrid>
      </w:tblGridChange>
    </w:tblGrid>
    <w:tr>
      <w:trPr>
        <w:cantSplit w:val="0"/>
        <w:trHeight w:val="1435" w:hRule="atLeast"/>
        <w:tblHeader w:val="0"/>
      </w:trPr>
      <w:tc>
        <w:tcPr>
          <w:shd w:fill="auto" w:val="clear"/>
        </w:tcPr>
        <w:p w:rsidR="00000000" w:rsidDel="00000000" w:rsidP="00000000" w:rsidRDefault="00000000" w:rsidRPr="00000000" w14:paraId="000000F1">
          <w:pPr>
            <w:tabs>
              <w:tab w:val="right" w:pos="4273"/>
            </w:tabs>
            <w:rPr>
              <w:rFonts w:ascii="Garamond" w:cs="Garamond" w:eastAsia="Garamond" w:hAnsi="Garamond"/>
              <w:sz w:val="22"/>
              <w:szCs w:val="22"/>
            </w:rPr>
          </w:pPr>
          <w:r w:rsidDel="00000000" w:rsidR="00000000" w:rsidRPr="00000000">
            <w:rPr>
              <w:rtl w:val="0"/>
            </w:rPr>
          </w:r>
        </w:p>
      </w:tc>
      <w:tc>
        <w:tcPr>
          <w:shd w:fill="auto" w:val="clea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z w:val="22"/>
              <w:szCs w:val="22"/>
            </w:rPr>
          </w:pPr>
          <w:r w:rsidDel="00000000" w:rsidR="00000000" w:rsidRPr="00000000">
            <w:rPr>
              <w:rtl w:val="0"/>
            </w:rPr>
          </w:r>
        </w:p>
        <w:tbl>
          <w:tblPr>
            <w:tblStyle w:val="Table5"/>
            <w:tblW w:w="10492.0" w:type="dxa"/>
            <w:jc w:val="left"/>
            <w:tblInd w:w="18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44"/>
            <w:gridCol w:w="4646"/>
            <w:gridCol w:w="3402"/>
            <w:tblGridChange w:id="0">
              <w:tblGrid>
                <w:gridCol w:w="2444"/>
                <w:gridCol w:w="4646"/>
                <w:gridCol w:w="3402"/>
              </w:tblGrid>
            </w:tblGridChange>
          </w:tblGrid>
          <w:tr>
            <w:trPr>
              <w:cantSplit w:val="0"/>
              <w:trHeight w:val="144" w:hRule="atLeast"/>
              <w:tblHeader w:val="0"/>
            </w:trPr>
            <w:tc>
              <w:tcPr/>
              <w:p w:rsidR="00000000" w:rsidDel="00000000" w:rsidP="00000000" w:rsidRDefault="00000000" w:rsidRPr="00000000" w14:paraId="000000F3">
                <w:pPr>
                  <w:tabs>
                    <w:tab w:val="right" w:pos="8838"/>
                  </w:tabs>
                  <w:ind w:left="-74" w:right="-105" w:firstLine="0"/>
                  <w:rPr>
                    <w:rFonts w:ascii="Palatino Linotype" w:cs="Palatino Linotype" w:eastAsia="Palatino Linotype" w:hAnsi="Palatino Linotype"/>
                    <w:b w:val="1"/>
                    <w:sz w:val="22"/>
                    <w:szCs w:val="22"/>
                  </w:rPr>
                </w:pPr>
                <w:bookmarkStart w:colFirst="0" w:colLast="0" w:name="_heading=h.z337ya" w:id="18"/>
                <w:bookmarkEnd w:id="18"/>
                <w:r w:rsidDel="00000000" w:rsidR="00000000" w:rsidRPr="00000000">
                  <w:rPr>
                    <w:rFonts w:ascii="Palatino Linotype" w:cs="Palatino Linotype" w:eastAsia="Palatino Linotype" w:hAnsi="Palatino Linotype"/>
                    <w:b w:val="1"/>
                    <w:sz w:val="22"/>
                    <w:szCs w:val="22"/>
                    <w:rtl w:val="0"/>
                  </w:rPr>
                  <w:t xml:space="preserve">Recurso de Revisión:</w:t>
                </w:r>
              </w:p>
            </w:tc>
            <w:tc>
              <w:tcPr/>
              <w:p w:rsidR="00000000" w:rsidDel="00000000" w:rsidP="00000000" w:rsidRDefault="00000000" w:rsidRPr="00000000" w14:paraId="000000F4">
                <w:pPr>
                  <w:tabs>
                    <w:tab w:val="right" w:pos="8838"/>
                  </w:tabs>
                  <w:ind w:left="-3" w:right="-105"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03628/INFOEM/IP/RR/2021</w:t>
                </w:r>
              </w:p>
            </w:tc>
            <w:tc>
              <w:tcPr/>
              <w:p w:rsidR="00000000" w:rsidDel="00000000" w:rsidP="00000000" w:rsidRDefault="00000000" w:rsidRPr="00000000" w14:paraId="000000F5">
                <w:pPr>
                  <w:tabs>
                    <w:tab w:val="right" w:pos="8838"/>
                  </w:tabs>
                  <w:ind w:left="-74" w:right="-105" w:firstLine="0"/>
                  <w:jc w:val="both"/>
                  <w:rPr>
                    <w:rFonts w:ascii="Palatino Linotype" w:cs="Palatino Linotype" w:eastAsia="Palatino Linotype" w:hAnsi="Palatino Linotype"/>
                    <w:sz w:val="22"/>
                    <w:szCs w:val="22"/>
                  </w:rPr>
                </w:pPr>
                <w:r w:rsidDel="00000000" w:rsidR="00000000" w:rsidRPr="00000000">
                  <w:rPr>
                    <w:rtl w:val="0"/>
                  </w:rPr>
                </w:r>
              </w:p>
            </w:tc>
          </w:tr>
          <w:tr>
            <w:trPr>
              <w:cantSplit w:val="0"/>
              <w:trHeight w:val="144" w:hRule="atLeast"/>
              <w:tblHeader w:val="0"/>
            </w:trPr>
            <w:tc>
              <w:tcPr/>
              <w:p w:rsidR="00000000" w:rsidDel="00000000" w:rsidP="00000000" w:rsidRDefault="00000000" w:rsidRPr="00000000" w14:paraId="000000F6">
                <w:pPr>
                  <w:tabs>
                    <w:tab w:val="right" w:pos="8838"/>
                  </w:tabs>
                  <w:ind w:left="-74" w:right="-105" w:firstLine="0"/>
                  <w:rPr>
                    <w:rFonts w:ascii="Palatino Linotype" w:cs="Palatino Linotype" w:eastAsia="Palatino Linotype" w:hAnsi="Palatino Linotype"/>
                    <w:b w:val="1"/>
                    <w:sz w:val="22"/>
                    <w:szCs w:val="22"/>
                  </w:rPr>
                </w:pPr>
                <w:bookmarkStart w:colFirst="0" w:colLast="0" w:name="_heading=h.3j2qqm3" w:id="19"/>
                <w:bookmarkEnd w:id="19"/>
                <w:r w:rsidDel="00000000" w:rsidR="00000000" w:rsidRPr="00000000">
                  <w:rPr>
                    <w:rFonts w:ascii="Palatino Linotype" w:cs="Palatino Linotype" w:eastAsia="Palatino Linotype" w:hAnsi="Palatino Linotype"/>
                    <w:b w:val="1"/>
                    <w:sz w:val="22"/>
                    <w:szCs w:val="22"/>
                    <w:rtl w:val="0"/>
                  </w:rPr>
                  <w:t xml:space="preserve">Recurrente:</w:t>
                </w:r>
              </w:p>
            </w:tc>
            <w:tc>
              <w:tcPr/>
              <w:p w:rsidR="00000000" w:rsidDel="00000000" w:rsidP="00000000" w:rsidRDefault="00000000" w:rsidRPr="00000000" w14:paraId="000000F7">
                <w:pPr>
                  <w:tabs>
                    <w:tab w:val="left" w:pos="3122"/>
                    <w:tab w:val="right" w:pos="8838"/>
                  </w:tabs>
                  <w:ind w:right="145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XXXXXXXXXXXXXXXXXXXXXXXXXX</w:t>
                </w:r>
              </w:p>
            </w:tc>
            <w:tc>
              <w:tcPr/>
              <w:p w:rsidR="00000000" w:rsidDel="00000000" w:rsidP="00000000" w:rsidRDefault="00000000" w:rsidRPr="00000000" w14:paraId="000000F8">
                <w:pPr>
                  <w:tabs>
                    <w:tab w:val="left" w:pos="3122"/>
                    <w:tab w:val="right" w:pos="8838"/>
                  </w:tabs>
                  <w:ind w:right="-105"/>
                  <w:jc w:val="both"/>
                  <w:rPr>
                    <w:rFonts w:ascii="Palatino Linotype" w:cs="Palatino Linotype" w:eastAsia="Palatino Linotype" w:hAnsi="Palatino Linotype"/>
                    <w:sz w:val="22"/>
                    <w:szCs w:val="22"/>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0F9">
                <w:pPr>
                  <w:tabs>
                    <w:tab w:val="right" w:pos="8838"/>
                  </w:tabs>
                  <w:ind w:left="-74" w:right="-105" w:firstLine="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p w:rsidR="00000000" w:rsidDel="00000000" w:rsidP="00000000" w:rsidRDefault="00000000" w:rsidRPr="00000000" w14:paraId="000000FA">
                <w:pPr>
                  <w:tabs>
                    <w:tab w:val="left" w:pos="2834"/>
                    <w:tab w:val="right" w:pos="8838"/>
                  </w:tabs>
                  <w:ind w:left="-3" w:right="131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Ayuntamiento de Toluca</w:t>
                </w:r>
                <w:r w:rsidDel="00000000" w:rsidR="00000000" w:rsidRPr="00000000">
                  <w:rPr>
                    <w:rtl w:val="0"/>
                  </w:rPr>
                </w:r>
              </w:p>
            </w:tc>
            <w:tc>
              <w:tcPr/>
              <w:p w:rsidR="00000000" w:rsidDel="00000000" w:rsidP="00000000" w:rsidRDefault="00000000" w:rsidRPr="00000000" w14:paraId="000000FB">
                <w:pPr>
                  <w:tabs>
                    <w:tab w:val="left" w:pos="2834"/>
                    <w:tab w:val="right" w:pos="8838"/>
                  </w:tabs>
                  <w:ind w:left="-74" w:right="-105" w:firstLine="0"/>
                  <w:jc w:val="both"/>
                  <w:rPr>
                    <w:rFonts w:ascii="Palatino Linotype" w:cs="Palatino Linotype" w:eastAsia="Palatino Linotype" w:hAnsi="Palatino Linotype"/>
                    <w:sz w:val="22"/>
                    <w:szCs w:val="22"/>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0FC">
                <w:pPr>
                  <w:tabs>
                    <w:tab w:val="right" w:pos="8838"/>
                  </w:tabs>
                  <w:ind w:left="-74" w:right="-105" w:firstLine="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Comisionado Ponente:</w:t>
                </w:r>
              </w:p>
            </w:tc>
            <w:tc>
              <w:tcPr/>
              <w:p w:rsidR="00000000" w:rsidDel="00000000" w:rsidP="00000000" w:rsidRDefault="00000000" w:rsidRPr="00000000" w14:paraId="000000FD">
                <w:pPr>
                  <w:tabs>
                    <w:tab w:val="right" w:pos="8838"/>
                  </w:tabs>
                  <w:ind w:left="-3" w:right="-105"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María del Rosario Mejía Ayala</w:t>
                </w:r>
              </w:p>
            </w:tc>
            <w:tc>
              <w:tcPr/>
              <w:p w:rsidR="00000000" w:rsidDel="00000000" w:rsidP="00000000" w:rsidRDefault="00000000" w:rsidRPr="00000000" w14:paraId="000000FE">
                <w:pPr>
                  <w:tabs>
                    <w:tab w:val="right" w:pos="8838"/>
                  </w:tabs>
                  <w:ind w:left="-74" w:right="-105" w:firstLine="0"/>
                  <w:jc w:val="both"/>
                  <w:rPr>
                    <w:rFonts w:ascii="Palatino Linotype" w:cs="Palatino Linotype" w:eastAsia="Palatino Linotype" w:hAnsi="Palatino Linotype"/>
                    <w:sz w:val="22"/>
                    <w:szCs w:val="22"/>
                  </w:rPr>
                </w:pPr>
                <w:r w:rsidDel="00000000" w:rsidR="00000000" w:rsidRPr="00000000">
                  <w:rPr>
                    <w:rtl w:val="0"/>
                  </w:rPr>
                </w:r>
              </w:p>
            </w:tc>
          </w:tr>
        </w:tbl>
        <w:p w:rsidR="00000000" w:rsidDel="00000000" w:rsidP="00000000" w:rsidRDefault="00000000" w:rsidRPr="00000000" w14:paraId="000000FF">
          <w:pPr>
            <w:tabs>
              <w:tab w:val="right" w:pos="8838"/>
            </w:tabs>
            <w:ind w:left="-28" w:firstLine="0"/>
            <w:jc w:val="both"/>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 w:val="center" w:pos="452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Pr>
      <w:pict>
        <v:shape id="WordPictureWatermark527053609" style="position:absolute;margin-left:-105.8pt;margin-top:-134.3pt;width:663.5pt;height:12in;z-index:-251658240;mso-position-horizontal-relative:margin;mso-position-vertical-relative:margin;mso-position-horizontal:absolute;mso-position-vertical:absolute;" o:spid="_x0000_s2049" o:allowincell="f" type="#_x0000_t75">
          <v:imagedata r:id="rId3" o:title="marcaaguaINFOEM"/>
          <w10:wrap/>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7">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8">
    <w:lvl w:ilvl="0">
      <w:start w:val="1"/>
      <w:numFmt w:val="decimal"/>
      <w:lvlText w:val="%1."/>
      <w:lvlJc w:val="left"/>
      <w:pPr>
        <w:ind w:left="4330" w:hanging="360"/>
      </w:pPr>
      <w:rPr>
        <w:rFonts w:ascii="Palatino Linotype" w:cs="Palatino Linotype" w:eastAsia="Palatino Linotype" w:hAnsi="Palatino Linotype"/>
        <w:b w:val="1"/>
        <w:i w:val="0"/>
        <w:color w:val="000000"/>
        <w:sz w:val="24"/>
        <w:szCs w:val="24"/>
      </w:rPr>
    </w:lvl>
    <w:lvl w:ilvl="1">
      <w:start w:val="1"/>
      <w:numFmt w:val="upperRoman"/>
      <w:lvlText w:val="%2."/>
      <w:lvlJc w:val="left"/>
      <w:pPr>
        <w:ind w:left="1800" w:hanging="720"/>
      </w:pPr>
      <w:rPr>
        <w:rFonts w:ascii="Palatino Linotype" w:cs="Palatino Linotype" w:eastAsia="Palatino Linotype" w:hAnsi="Palatino Linotype"/>
        <w:b w:val="1"/>
        <w:color w:val="000000"/>
      </w:rPr>
    </w:lvl>
    <w:lvl w:ilvl="2">
      <w:start w:val="4"/>
      <w:numFmt w:val="lowerRoman"/>
      <w:lvlText w:val="%3."/>
      <w:lvlJc w:val="right"/>
      <w:pPr>
        <w:ind w:left="2160" w:hanging="180"/>
      </w:pPr>
      <w:rPr/>
    </w:lvl>
    <w:lvl w:ilvl="3">
      <w:start w:val="1"/>
      <w:numFmt w:val="lowerLetter"/>
      <w:lvlText w:val="%4)"/>
      <w:lvlJc w:val="left"/>
      <w:pPr>
        <w:ind w:left="2880" w:hanging="360"/>
      </w:pPr>
      <w:rPr/>
    </w:lvl>
    <w:lvl w:ilvl="4">
      <w:start w:val="104"/>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pPr>
      <w:spacing w:after="0" w:line="240" w:lineRule="auto"/>
    </w:pPr>
    <w:rPr>
      <w:rFonts w:eastAsia="Times New Roman"/>
      <w:lang w:eastAsia="es-ES"/>
    </w:rPr>
  </w:style>
  <w:style w:type="paragraph" w:styleId="Ttulo1">
    <w:name w:val="heading 1"/>
    <w:basedOn w:val="Normal"/>
    <w:next w:val="Normal"/>
    <w:link w:val="Ttulo1Car"/>
    <w:uiPriority w:val="9"/>
    <w:qFormat w:val="1"/>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8E6432"/>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link w:val="Ttulo3Car"/>
    <w:uiPriority w:val="9"/>
    <w:unhideWhenUsed w:val="1"/>
    <w:qFormat w:val="1"/>
    <w:rsid w:val="008E6432"/>
    <w:pPr>
      <w:keepNext w:val="1"/>
      <w:keepLines w:val="1"/>
      <w:spacing w:before="40"/>
      <w:outlineLvl w:val="2"/>
    </w:pPr>
    <w:rPr>
      <w:rFonts w:asciiTheme="majorHAnsi" w:cstheme="majorBidi" w:eastAsiaTheme="majorEastAsia" w:hAnsiTheme="majorHAnsi"/>
      <w:color w:val="1f3763" w:themeColor="accent1" w:themeShade="00007F"/>
      <w:sz w:val="24"/>
      <w:szCs w:val="24"/>
      <w:lang w:val="es-ES_tradnl"/>
    </w:rPr>
  </w:style>
  <w:style w:type="paragraph" w:styleId="Ttulo4">
    <w:name w:val="heading 4"/>
    <w:basedOn w:val="Normal"/>
    <w:next w:val="Normal"/>
    <w:link w:val="Ttulo4Car"/>
    <w:uiPriority w:val="9"/>
    <w:unhideWhenUsed w:val="1"/>
    <w:qFormat w:val="1"/>
    <w:rsid w:val="008E6432"/>
    <w:pPr>
      <w:keepNext w:val="1"/>
      <w:keepLines w:val="1"/>
      <w:spacing w:before="40"/>
      <w:outlineLvl w:val="3"/>
    </w:pPr>
    <w:rPr>
      <w:rFonts w:asciiTheme="majorHAnsi" w:cstheme="majorBidi" w:eastAsiaTheme="majorEastAsia" w:hAnsiTheme="majorHAnsi"/>
      <w:i w:val="1"/>
      <w:iCs w:val="1"/>
      <w:color w:val="2f5496" w:themeColor="accent1" w:themeShade="0000BF"/>
      <w:sz w:val="24"/>
      <w:szCs w:val="24"/>
      <w:lang w:val="es-ES_tradn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val="1"/>
    <w:unhideWhenUsed w:val="1"/>
    <w:qFormat w:val="1"/>
    <w:rPr>
      <w:b w:val="1"/>
      <w:bCs w:val="1"/>
    </w:rPr>
  </w:style>
  <w:style w:type="paragraph" w:styleId="Textocomentario">
    <w:name w:val="annotation text"/>
    <w:basedOn w:val="Normal"/>
    <w:link w:val="TextocomentarioCar"/>
    <w:uiPriority w:val="99"/>
    <w:semiHidden w:val="1"/>
    <w:unhideWhenUsed w:val="1"/>
  </w:style>
  <w:style w:type="paragraph" w:styleId="Textodeglobo">
    <w:name w:val="Balloon Text"/>
    <w:basedOn w:val="Normal"/>
    <w:link w:val="TextodegloboCar"/>
    <w:uiPriority w:val="99"/>
    <w:semiHidden w:val="1"/>
    <w:unhideWhenUsed w:val="1"/>
    <w:qFormat w:val="1"/>
    <w:rPr>
      <w:rFonts w:ascii="Segoe UI" w:cs="Segoe UI" w:hAnsi="Segoe UI"/>
      <w:sz w:val="18"/>
      <w:szCs w:val="18"/>
    </w:rPr>
  </w:style>
  <w:style w:type="paragraph" w:styleId="Lista3">
    <w:name w:val="List 3"/>
    <w:basedOn w:val="Normal"/>
    <w:uiPriority w:val="99"/>
    <w:unhideWhenUsed w:val="1"/>
    <w:qFormat w:val="1"/>
    <w:pPr>
      <w:ind w:left="849" w:hanging="283"/>
      <w:contextualSpacing w:val="1"/>
    </w:pPr>
  </w:style>
  <w:style w:type="paragraph" w:styleId="Encabezado">
    <w:name w:val="header"/>
    <w:basedOn w:val="Normal"/>
    <w:link w:val="EncabezadoCar"/>
    <w:uiPriority w:val="99"/>
    <w:unhideWhenUsed w:val="1"/>
    <w:qFormat w:val="1"/>
    <w:pPr>
      <w:tabs>
        <w:tab w:val="center" w:pos="4419"/>
        <w:tab w:val="right" w:pos="8838"/>
      </w:tabs>
    </w:pPr>
  </w:style>
  <w:style w:type="paragraph" w:styleId="HTMLconformatoprevio">
    <w:name w:val="HTML Preformatted"/>
    <w:basedOn w:val="Normal"/>
    <w:link w:val="HTMLconformatoprevioCar"/>
    <w:uiPriority w:val="99"/>
    <w:semiHidden w:val="1"/>
    <w:unhideWhenUsed w:val="1"/>
    <w:qFormat w:v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lang w:eastAsia="es-MX"/>
    </w:rPr>
  </w:style>
  <w:style w:type="paragraph" w:styleId="Sangradetextonormal">
    <w:name w:val="Body Text Indent"/>
    <w:basedOn w:val="Normal"/>
    <w:link w:val="SangradetextonormalCar"/>
    <w:uiPriority w:val="99"/>
    <w:unhideWhenUsed w:val="1"/>
    <w:qFormat w:val="1"/>
    <w:pPr>
      <w:spacing w:after="120"/>
      <w:ind w:left="283"/>
    </w:pPr>
  </w:style>
  <w:style w:type="paragraph" w:styleId="Lista2">
    <w:name w:val="List 2"/>
    <w:basedOn w:val="Normal"/>
    <w:uiPriority w:val="99"/>
    <w:unhideWhenUsed w:val="1"/>
    <w:qFormat w:val="1"/>
    <w:pPr>
      <w:ind w:left="566" w:hanging="283"/>
      <w:contextualSpacing w:val="1"/>
    </w:pPr>
  </w:style>
  <w:style w:type="paragraph" w:styleId="Lista">
    <w:name w:val="List"/>
    <w:basedOn w:val="Normal"/>
    <w:uiPriority w:val="99"/>
    <w:unhideWhenUsed w:val="1"/>
    <w:qFormat w:val="1"/>
    <w:pPr>
      <w:ind w:left="283" w:hanging="283"/>
      <w:contextualSpacing w:val="1"/>
    </w:pPr>
  </w:style>
  <w:style w:type="paragraph" w:styleId="Lista4">
    <w:name w:val="List 4"/>
    <w:basedOn w:val="Normal"/>
    <w:uiPriority w:val="99"/>
    <w:unhideWhenUsed w:val="1"/>
    <w:qFormat w:val="1"/>
    <w:pPr>
      <w:ind w:left="1132" w:hanging="283"/>
      <w:contextualSpacing w:val="1"/>
    </w:pPr>
  </w:style>
  <w:style w:type="paragraph" w:styleId="Listaconvietas2">
    <w:name w:val="List Bullet 2"/>
    <w:basedOn w:val="Normal"/>
    <w:uiPriority w:val="99"/>
    <w:unhideWhenUsed w:val="1"/>
    <w:qFormat w:val="1"/>
    <w:pPr>
      <w:numPr>
        <w:numId w:val="1"/>
      </w:numPr>
      <w:contextualSpacing w:val="1"/>
    </w:pPr>
  </w:style>
  <w:style w:type="paragraph" w:styleId="Piedepgina">
    <w:name w:val="footer"/>
    <w:basedOn w:val="Normal"/>
    <w:link w:val="PiedepginaCar"/>
    <w:uiPriority w:val="99"/>
    <w:unhideWhenUsed w:val="1"/>
    <w:qFormat w:val="1"/>
    <w:pPr>
      <w:tabs>
        <w:tab w:val="center" w:pos="4419"/>
        <w:tab w:val="right" w:pos="8838"/>
      </w:tabs>
    </w:pPr>
  </w:style>
  <w:style w:type="paragraph" w:styleId="Saludo">
    <w:name w:val="Salutation"/>
    <w:basedOn w:val="Normal"/>
    <w:next w:val="Normal"/>
    <w:link w:val="SaludoCar"/>
    <w:uiPriority w:val="99"/>
    <w:unhideWhenUsed w:val="1"/>
    <w:qFormat w:val="1"/>
  </w:style>
  <w:style w:type="paragraph" w:styleId="Textoindependiente">
    <w:name w:val="Body Text"/>
    <w:basedOn w:val="Normal"/>
    <w:link w:val="TextoindependienteCar"/>
    <w:uiPriority w:val="99"/>
    <w:unhideWhenUsed w:val="1"/>
    <w:qFormat w:val="1"/>
    <w:pPr>
      <w:spacing w:after="120"/>
    </w:pPr>
  </w:style>
  <w:style w:type="paragraph" w:styleId="Textoindependienteprimerasangra2">
    <w:name w:val="Body Text First Indent 2"/>
    <w:basedOn w:val="Sangradetextonormal"/>
    <w:link w:val="Textoindependienteprimerasangra2Car"/>
    <w:uiPriority w:val="99"/>
    <w:unhideWhenUsed w:val="1"/>
    <w:qFormat w:val="1"/>
    <w:pPr>
      <w:spacing w:after="0"/>
      <w:ind w:left="360" w:firstLine="360"/>
    </w:pPr>
  </w:style>
  <w:style w:type="paragraph" w:styleId="Puesto">
    <w:name w:val="Title"/>
    <w:basedOn w:val="Normal"/>
    <w:next w:val="Normal"/>
    <w:link w:val="PuestoCar"/>
    <w:uiPriority w:val="10"/>
    <w:qFormat w:val="1"/>
    <w:pPr>
      <w:contextualSpacing w:val="1"/>
    </w:pPr>
    <w:rPr>
      <w:rFonts w:asciiTheme="majorHAnsi" w:cstheme="majorBidi" w:eastAsiaTheme="majorEastAsia" w:hAnsiTheme="majorHAnsi"/>
      <w:spacing w:val="-10"/>
      <w:kern w:val="28"/>
      <w:sz w:val="56"/>
      <w:szCs w:val="56"/>
    </w:rPr>
  </w:style>
  <w:style w:type="character" w:styleId="Refdecomentario">
    <w:name w:val="annotation reference"/>
    <w:basedOn w:val="Fuentedeprrafopredeter"/>
    <w:uiPriority w:val="99"/>
    <w:semiHidden w:val="1"/>
    <w:unhideWhenUsed w:val="1"/>
    <w:qFormat w:val="1"/>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val="1"/>
    <w:qFormat w:val="1"/>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val="1"/>
    <w:qFormat w:val="1"/>
    <w:rPr>
      <w:color w:val="0563c1" w:themeColor="hyperlink"/>
      <w:u w:val="single"/>
    </w:rPr>
  </w:style>
  <w:style w:type="character" w:styleId="Hipervnculovisitado">
    <w:name w:val="FollowedHyperlink"/>
    <w:basedOn w:val="Fuentedeprrafopredeter"/>
    <w:uiPriority w:val="99"/>
    <w:semiHidden w:val="1"/>
    <w:unhideWhenUsed w:val="1"/>
    <w:qFormat w:val="1"/>
    <w:rPr>
      <w:color w:val="954f72" w:themeColor="followedHyperlink"/>
      <w:u w:val="single"/>
    </w:rPr>
  </w:style>
  <w:style w:type="character" w:styleId="Textoennegrita">
    <w:name w:val="Strong"/>
    <w:qFormat w:val="1"/>
    <w:rPr>
      <w:b w:val="1"/>
      <w:bCs w:val="1"/>
    </w:rPr>
  </w:style>
  <w:style w:type="table" w:styleId="Tablaconcuadrcula">
    <w:name w:val="Table Grid"/>
    <w:basedOn w:val="Tablanormal"/>
    <w:uiPriority w:val="39"/>
    <w:qFormat w:val="1"/>
    <w:pPr>
      <w:spacing w:after="0" w:line="240" w:lineRule="auto"/>
    </w:pPr>
    <w:rPr>
      <w:lang w:val="es-E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Ttulo1Car" w:customStyle="1">
    <w:name w:val="Título 1 Car"/>
    <w:basedOn w:val="Fuentedeprrafopredeter"/>
    <w:link w:val="Ttulo1"/>
    <w:uiPriority w:val="9"/>
    <w:rPr>
      <w:rFonts w:asciiTheme="majorHAnsi" w:cstheme="majorBidi" w:eastAsiaTheme="majorEastAsia" w:hAnsiTheme="majorHAnsi"/>
      <w:color w:val="2f5496" w:themeColor="accent1" w:themeShade="0000BF"/>
      <w:sz w:val="32"/>
      <w:szCs w:val="32"/>
      <w:lang w:eastAsia="es-ES" w:val="es-ES"/>
    </w:rPr>
  </w:style>
  <w:style w:type="character" w:styleId="EncabezadoCar" w:customStyle="1">
    <w:name w:val="Encabezado Car"/>
    <w:basedOn w:val="Fuentedeprrafopredeter"/>
    <w:link w:val="Encabezado"/>
    <w:uiPriority w:val="99"/>
    <w:qFormat w:val="1"/>
    <w:rPr>
      <w:rFonts w:ascii="Times New Roman" w:cs="Times New Roman" w:eastAsia="Times New Roman" w:hAnsi="Times New Roman"/>
      <w:sz w:val="20"/>
      <w:szCs w:val="20"/>
      <w:lang w:eastAsia="es-ES" w:val="es-ES"/>
    </w:rPr>
  </w:style>
  <w:style w:type="character" w:styleId="PiedepginaCar" w:customStyle="1">
    <w:name w:val="Pie de página Car"/>
    <w:basedOn w:val="Fuentedeprrafopredeter"/>
    <w:link w:val="Piedepgina"/>
    <w:uiPriority w:val="99"/>
    <w:qFormat w:val="1"/>
    <w:rPr>
      <w:rFonts w:ascii="Times New Roman" w:cs="Times New Roman" w:eastAsia="Times New Roman" w:hAnsi="Times New Roman"/>
      <w:sz w:val="20"/>
      <w:szCs w:val="20"/>
      <w:lang w:eastAsia="es-ES"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pPr>
      <w:ind w:left="720"/>
      <w:contextualSpacing w:val="1"/>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val="1"/>
    <w:rPr>
      <w:rFonts w:ascii="Century Gothic" w:cs="Times New Roman" w:eastAsia="Times New Roman" w:hAnsi="Century Gothic"/>
      <w:szCs w:val="24"/>
      <w:lang w:eastAsia="es-E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cs="Times New Roman" w:eastAsia="Calibri" w:hAnsi="Calibri"/>
      <w:sz w:val="20"/>
      <w:szCs w:val="20"/>
    </w:rPr>
  </w:style>
  <w:style w:type="character" w:styleId="TextodegloboCar" w:customStyle="1">
    <w:name w:val="Texto de globo Car"/>
    <w:basedOn w:val="Fuentedeprrafopredeter"/>
    <w:link w:val="Textodeglobo"/>
    <w:uiPriority w:val="99"/>
    <w:semiHidden w:val="1"/>
    <w:qFormat w:val="1"/>
    <w:rPr>
      <w:rFonts w:ascii="Segoe UI" w:cs="Segoe UI" w:eastAsia="Times New Roman" w:hAnsi="Segoe UI"/>
      <w:sz w:val="18"/>
      <w:szCs w:val="18"/>
      <w:lang w:eastAsia="es-ES" w:val="es-ES"/>
    </w:rPr>
  </w:style>
  <w:style w:type="character" w:styleId="TextocomentarioCar" w:customStyle="1">
    <w:name w:val="Texto comentario Car"/>
    <w:basedOn w:val="Fuentedeprrafopredeter"/>
    <w:link w:val="Textocomentario"/>
    <w:uiPriority w:val="99"/>
    <w:semiHidden w:val="1"/>
    <w:qFormat w:val="1"/>
    <w:rPr>
      <w:rFonts w:ascii="Times New Roman" w:cs="Times New Roman" w:eastAsia="Times New Roman" w:hAnsi="Times New Roman"/>
      <w:sz w:val="20"/>
      <w:szCs w:val="20"/>
      <w:lang w:eastAsia="es-ES" w:val="es-ES"/>
    </w:rPr>
  </w:style>
  <w:style w:type="character" w:styleId="AsuntodelcomentarioCar" w:customStyle="1">
    <w:name w:val="Asunto del comentario Car"/>
    <w:basedOn w:val="TextocomentarioCar"/>
    <w:link w:val="Asuntodelcomentario"/>
    <w:uiPriority w:val="99"/>
    <w:semiHidden w:val="1"/>
    <w:qFormat w:val="1"/>
    <w:rPr>
      <w:rFonts w:ascii="Times New Roman" w:cs="Times New Roman" w:eastAsia="Times New Roman" w:hAnsi="Times New Roman"/>
      <w:b w:val="1"/>
      <w:bCs w:val="1"/>
      <w:sz w:val="20"/>
      <w:szCs w:val="20"/>
      <w:lang w:eastAsia="es-ES" w:val="es-ES"/>
    </w:rPr>
  </w:style>
  <w:style w:type="character" w:styleId="Mencionar1" w:customStyle="1">
    <w:name w:val="Mencionar1"/>
    <w:basedOn w:val="Fuentedeprrafopredeter"/>
    <w:uiPriority w:val="99"/>
    <w:semiHidden w:val="1"/>
    <w:unhideWhenUsed w:val="1"/>
    <w:qFormat w:val="1"/>
    <w:rPr>
      <w:color w:val="2b579a"/>
      <w:shd w:color="auto" w:fill="e6e6e6" w:val="clear"/>
    </w:rPr>
  </w:style>
  <w:style w:type="character" w:styleId="Mencionar2" w:customStyle="1">
    <w:name w:val="Mencionar2"/>
    <w:basedOn w:val="Fuentedeprrafopredeter"/>
    <w:uiPriority w:val="99"/>
    <w:semiHidden w:val="1"/>
    <w:unhideWhenUsed w:val="1"/>
    <w:qFormat w:val="1"/>
    <w:rPr>
      <w:color w:val="2b579a"/>
      <w:shd w:color="auto" w:fill="e6e6e6" w:val="clear"/>
    </w:rPr>
  </w:style>
  <w:style w:type="character" w:styleId="maestrofonttexto" w:customStyle="1">
    <w:name w:val="maestro_fonttexto"/>
    <w:basedOn w:val="Fuentedeprrafopredeter"/>
    <w:qFormat w:val="1"/>
  </w:style>
  <w:style w:type="character" w:styleId="HTMLconformatoprevioCar" w:customStyle="1">
    <w:name w:val="HTML con formato previo Car"/>
    <w:basedOn w:val="Fuentedeprrafopredeter"/>
    <w:link w:val="HTMLconformatoprevio"/>
    <w:uiPriority w:val="99"/>
    <w:semiHidden w:val="1"/>
    <w:qFormat w:val="1"/>
    <w:rPr>
      <w:rFonts w:ascii="Courier New" w:cs="Courier New" w:eastAsia="Times New Roman" w:hAnsi="Courier New"/>
      <w:sz w:val="20"/>
      <w:szCs w:val="20"/>
      <w:lang w:eastAsia="es-MX"/>
    </w:rPr>
  </w:style>
  <w:style w:type="paragraph" w:styleId="Default" w:customStyle="1">
    <w:name w:val="Default"/>
    <w:qFormat w:val="1"/>
    <w:pPr>
      <w:autoSpaceDE w:val="0"/>
      <w:autoSpaceDN w:val="0"/>
      <w:adjustRightInd w:val="0"/>
      <w:spacing w:after="0" w:line="240" w:lineRule="auto"/>
    </w:pPr>
    <w:rPr>
      <w:rFonts w:ascii="Arial" w:cs="Arial" w:hAnsi="Arial" w:eastAsiaTheme="minorHAnsi"/>
      <w:color w:val="000000"/>
      <w:sz w:val="24"/>
      <w:szCs w:val="24"/>
      <w:lang w:eastAsia="en-US"/>
    </w:rPr>
  </w:style>
  <w:style w:type="character" w:styleId="CharacterStyle1" w:customStyle="1">
    <w:name w:val="Character Style 1"/>
    <w:uiPriority w:val="99"/>
    <w:qFormat w:val="1"/>
    <w:rPr>
      <w:sz w:val="20"/>
      <w:szCs w:val="20"/>
    </w:rPr>
  </w:style>
  <w:style w:type="paragraph" w:styleId="Estilo1" w:customStyle="1">
    <w:name w:val="Estilo1"/>
    <w:basedOn w:val="Textoindependiente"/>
    <w:qFormat w:val="1"/>
  </w:style>
  <w:style w:type="character" w:styleId="TextoindependienteCar" w:customStyle="1">
    <w:name w:val="Texto independiente Car"/>
    <w:basedOn w:val="Fuentedeprrafopredeter"/>
    <w:link w:val="Textoindependiente"/>
    <w:uiPriority w:val="99"/>
    <w:qFormat w:val="1"/>
    <w:rPr>
      <w:rFonts w:ascii="Times New Roman" w:cs="Times New Roman" w:eastAsia="Times New Roman" w:hAnsi="Times New Roman"/>
      <w:sz w:val="20"/>
      <w:szCs w:val="20"/>
      <w:lang w:eastAsia="es-ES" w:val="es-ES"/>
    </w:rPr>
  </w:style>
  <w:style w:type="paragraph" w:styleId="Sinespaciado">
    <w:name w:val="No Spacing"/>
    <w:aliases w:val="Francesa,INAI"/>
    <w:link w:val="SinespaciadoCar"/>
    <w:qFormat w:val="1"/>
    <w:pPr>
      <w:spacing w:after="0" w:line="240" w:lineRule="auto"/>
      <w:ind w:left="567" w:right="567"/>
      <w:jc w:val="both"/>
    </w:pPr>
    <w:rPr>
      <w:rFonts w:ascii="Arial" w:eastAsia="Batang" w:hAnsi="Arial"/>
      <w:szCs w:val="24"/>
      <w:lang w:eastAsia="es-ES"/>
    </w:rPr>
  </w:style>
  <w:style w:type="character" w:styleId="SinespaciadoCar" w:customStyle="1">
    <w:name w:val="Sin espaciado Car"/>
    <w:aliases w:val="Francesa Car,INAI Car"/>
    <w:basedOn w:val="Fuentedeprrafopredeter"/>
    <w:link w:val="Sinespaciado"/>
    <w:uiPriority w:val="1"/>
    <w:qFormat w:val="1"/>
    <w:rPr>
      <w:rFonts w:ascii="Arial" w:cs="Times New Roman" w:eastAsia="Batang" w:hAnsi="Arial"/>
      <w:sz w:val="20"/>
      <w:szCs w:val="24"/>
      <w:lang w:eastAsia="es-ES"/>
    </w:rPr>
  </w:style>
  <w:style w:type="character" w:styleId="SaludoCar" w:customStyle="1">
    <w:name w:val="Saludo Car"/>
    <w:basedOn w:val="Fuentedeprrafopredeter"/>
    <w:link w:val="Saludo"/>
    <w:uiPriority w:val="99"/>
    <w:qFormat w:val="1"/>
    <w:rPr>
      <w:rFonts w:ascii="Times New Roman" w:cs="Times New Roman" w:eastAsia="Times New Roman" w:hAnsi="Times New Roman"/>
      <w:sz w:val="20"/>
      <w:szCs w:val="20"/>
      <w:lang w:eastAsia="es-ES" w:val="es-ES"/>
    </w:rPr>
  </w:style>
  <w:style w:type="character" w:styleId="PuestoCar" w:customStyle="1">
    <w:name w:val="Puesto Car"/>
    <w:basedOn w:val="Fuentedeprrafopredeter"/>
    <w:link w:val="Puesto"/>
    <w:uiPriority w:val="10"/>
    <w:qFormat w:val="1"/>
    <w:rPr>
      <w:rFonts w:asciiTheme="majorHAnsi" w:cstheme="majorBidi" w:eastAsiaTheme="majorEastAsia" w:hAnsiTheme="majorHAnsi"/>
      <w:spacing w:val="-10"/>
      <w:kern w:val="28"/>
      <w:sz w:val="56"/>
      <w:szCs w:val="56"/>
      <w:lang w:eastAsia="es-ES" w:val="es-ES"/>
    </w:rPr>
  </w:style>
  <w:style w:type="character" w:styleId="SangradetextonormalCar" w:customStyle="1">
    <w:name w:val="Sangría de texto normal Car"/>
    <w:basedOn w:val="Fuentedeprrafopredeter"/>
    <w:link w:val="Sangradetextonormal"/>
    <w:uiPriority w:val="99"/>
    <w:qFormat w:val="1"/>
    <w:rPr>
      <w:rFonts w:ascii="Times New Roman" w:cs="Times New Roman" w:eastAsia="Times New Roman" w:hAnsi="Times New Roman"/>
      <w:sz w:val="20"/>
      <w:szCs w:val="20"/>
      <w:lang w:eastAsia="es-ES" w:val="es-ES"/>
    </w:rPr>
  </w:style>
  <w:style w:type="character" w:styleId="Textoindependienteprimerasangra2Car" w:customStyle="1">
    <w:name w:val="Texto independiente primera sangría 2 Car"/>
    <w:basedOn w:val="SangradetextonormalCar"/>
    <w:link w:val="Textoindependienteprimerasangra2"/>
    <w:uiPriority w:val="99"/>
    <w:qFormat w:val="1"/>
    <w:rPr>
      <w:rFonts w:ascii="Times New Roman" w:cs="Times New Roman" w:eastAsia="Times New Roman" w:hAnsi="Times New Roman"/>
      <w:sz w:val="20"/>
      <w:szCs w:val="20"/>
      <w:lang w:eastAsia="es-ES" w:val="es-ES"/>
    </w:rPr>
  </w:style>
  <w:style w:type="character" w:styleId="Mencionar3" w:customStyle="1">
    <w:name w:val="Mencionar3"/>
    <w:basedOn w:val="Fuentedeprrafopredeter"/>
    <w:uiPriority w:val="99"/>
    <w:semiHidden w:val="1"/>
    <w:unhideWhenUsed w:val="1"/>
    <w:qFormat w:val="1"/>
    <w:rPr>
      <w:color w:val="2b579a"/>
      <w:shd w:color="auto" w:fill="e6e6e6" w:val="clear"/>
    </w:rPr>
  </w:style>
  <w:style w:type="character" w:styleId="Mencionar4" w:customStyle="1">
    <w:name w:val="Mencionar4"/>
    <w:basedOn w:val="Fuentedeprrafopredeter"/>
    <w:uiPriority w:val="99"/>
    <w:semiHidden w:val="1"/>
    <w:unhideWhenUsed w:val="1"/>
    <w:qFormat w:val="1"/>
    <w:rPr>
      <w:color w:val="2b579a"/>
      <w:shd w:color="auto" w:fill="e6e6e6" w:val="clear"/>
    </w:rPr>
  </w:style>
  <w:style w:type="character" w:styleId="maestrofonttexto1" w:customStyle="1">
    <w:name w:val="maestro_fonttexto1"/>
    <w:basedOn w:val="Fuentedeprrafopredeter"/>
    <w:qFormat w:val="1"/>
    <w:rPr>
      <w:rFonts w:ascii="Arial" w:cs="Arial" w:hAnsi="Arial" w:hint="default"/>
      <w:sz w:val="15"/>
      <w:szCs w:val="15"/>
    </w:rPr>
  </w:style>
  <w:style w:type="character" w:styleId="apple-converted-space" w:customStyle="1">
    <w:name w:val="apple-converted-space"/>
    <w:basedOn w:val="Fuentedeprrafopredeter"/>
    <w:qFormat w:val="1"/>
  </w:style>
  <w:style w:type="table" w:styleId="Tablaconcuadrcula1" w:customStyle="1">
    <w:name w:val="Tabla con cuadrícula1"/>
    <w:basedOn w:val="Tablanormal"/>
    <w:uiPriority w:val="59"/>
    <w:qFormat w:val="1"/>
    <w:pPr>
      <w:spacing w:after="0" w:line="240" w:lineRule="auto"/>
    </w:pPr>
    <w:rPr>
      <w:lang w:val="es-E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Ttulo2Car" w:customStyle="1">
    <w:name w:val="Título 2 Car"/>
    <w:basedOn w:val="Fuentedeprrafopredeter"/>
    <w:link w:val="Ttulo2"/>
    <w:uiPriority w:val="9"/>
    <w:rsid w:val="008E6432"/>
    <w:rPr>
      <w:rFonts w:asciiTheme="majorHAnsi" w:cstheme="majorBidi" w:eastAsiaTheme="majorEastAsia" w:hAnsiTheme="majorHAnsi"/>
      <w:color w:val="2f5496" w:themeColor="accent1" w:themeShade="0000BF"/>
      <w:sz w:val="26"/>
      <w:szCs w:val="26"/>
      <w:lang w:eastAsia="es-ES"/>
    </w:rPr>
  </w:style>
  <w:style w:type="character" w:styleId="Ttulo3Car" w:customStyle="1">
    <w:name w:val="Título 3 Car"/>
    <w:basedOn w:val="Fuentedeprrafopredeter"/>
    <w:link w:val="Ttulo3"/>
    <w:uiPriority w:val="9"/>
    <w:rsid w:val="008E6432"/>
    <w:rPr>
      <w:rFonts w:asciiTheme="majorHAnsi" w:cstheme="majorBidi" w:eastAsiaTheme="majorEastAsia" w:hAnsiTheme="majorHAnsi"/>
      <w:color w:val="1f3763" w:themeColor="accent1" w:themeShade="00007F"/>
      <w:sz w:val="24"/>
      <w:szCs w:val="24"/>
      <w:lang w:eastAsia="es-ES" w:val="es-ES_tradnl"/>
    </w:rPr>
  </w:style>
  <w:style w:type="character" w:styleId="Ttulo4Car" w:customStyle="1">
    <w:name w:val="Título 4 Car"/>
    <w:basedOn w:val="Fuentedeprrafopredeter"/>
    <w:link w:val="Ttulo4"/>
    <w:uiPriority w:val="9"/>
    <w:rsid w:val="008E6432"/>
    <w:rPr>
      <w:rFonts w:asciiTheme="majorHAnsi" w:cstheme="majorBidi" w:eastAsiaTheme="majorEastAsia" w:hAnsiTheme="majorHAnsi"/>
      <w:i w:val="1"/>
      <w:iCs w:val="1"/>
      <w:color w:val="2f5496" w:themeColor="accent1" w:themeShade="0000BF"/>
      <w:sz w:val="24"/>
      <w:szCs w:val="24"/>
      <w:lang w:eastAsia="es-ES" w:val="es-ES_tradnl"/>
    </w:rPr>
  </w:style>
  <w:style w:type="paragraph" w:styleId="TDC1">
    <w:name w:val="toc 1"/>
    <w:basedOn w:val="Normal"/>
    <w:next w:val="Normal"/>
    <w:autoRedefine w:val="1"/>
    <w:uiPriority w:val="39"/>
    <w:unhideWhenUsed w:val="1"/>
    <w:rsid w:val="00180E41"/>
    <w:pPr>
      <w:tabs>
        <w:tab w:val="right" w:leader="dot" w:pos="8779"/>
      </w:tabs>
      <w:spacing w:after="100" w:line="360" w:lineRule="auto"/>
      <w:ind w:left="142"/>
    </w:pPr>
    <w:rPr>
      <w:rFonts w:ascii="Palatino Linotype" w:hAnsi="Palatino Linotype" w:cstheme="minorBidi" w:eastAsiaTheme="minorEastAsia"/>
      <w:b w:val="1"/>
      <w:bCs w:val="1"/>
      <w:noProof w:val="1"/>
      <w:sz w:val="24"/>
      <w:szCs w:val="24"/>
      <w:lang w:val="es-ES_tradnl"/>
    </w:rPr>
  </w:style>
  <w:style w:type="paragraph" w:styleId="TDC2">
    <w:name w:val="toc 2"/>
    <w:basedOn w:val="Normal"/>
    <w:next w:val="Normal"/>
    <w:autoRedefine w:val="1"/>
    <w:uiPriority w:val="39"/>
    <w:unhideWhenUsed w:val="1"/>
    <w:rsid w:val="008E6432"/>
    <w:pPr>
      <w:tabs>
        <w:tab w:val="left" w:pos="567"/>
        <w:tab w:val="right" w:leader="dot" w:pos="8779"/>
      </w:tabs>
      <w:spacing w:after="100"/>
      <w:ind w:left="142"/>
    </w:pPr>
    <w:rPr>
      <w:rFonts w:asciiTheme="minorHAnsi" w:cstheme="minorBidi" w:eastAsiaTheme="minorEastAsia" w:hAnsiTheme="minorHAnsi"/>
      <w:sz w:val="24"/>
      <w:szCs w:val="24"/>
      <w:lang w:val="es-ES_tradnl"/>
    </w:rPr>
  </w:style>
  <w:style w:type="paragraph" w:styleId="TtulodeTDC">
    <w:name w:val="TOC Heading"/>
    <w:basedOn w:val="Ttulo1"/>
    <w:next w:val="Normal"/>
    <w:uiPriority w:val="39"/>
    <w:unhideWhenUsed w:val="1"/>
    <w:qFormat w:val="1"/>
    <w:rsid w:val="008E6432"/>
    <w:pPr>
      <w:spacing w:line="259" w:lineRule="auto"/>
      <w:outlineLvl w:val="9"/>
    </w:pPr>
    <w:rPr>
      <w:rFonts w:ascii="Palatino Linotype" w:hAnsi="Palatino Linotype"/>
      <w:b w:val="1"/>
      <w:color w:val="auto"/>
      <w:sz w:val="24"/>
      <w:lang w:eastAsia="es-MX"/>
    </w:rPr>
  </w:style>
  <w:style w:type="paragraph" w:styleId="Textoindependiente2">
    <w:name w:val="Body Text 2"/>
    <w:basedOn w:val="Normal"/>
    <w:link w:val="Textoindependiente2Car"/>
    <w:uiPriority w:val="99"/>
    <w:semiHidden w:val="1"/>
    <w:unhideWhenUsed w:val="1"/>
    <w:rsid w:val="008E6432"/>
    <w:pPr>
      <w:spacing w:after="120" w:line="480" w:lineRule="auto"/>
    </w:pPr>
    <w:rPr>
      <w:rFonts w:asciiTheme="minorHAnsi" w:cstheme="minorBidi" w:eastAsiaTheme="minorEastAsia" w:hAnsiTheme="minorHAnsi"/>
      <w:sz w:val="24"/>
      <w:szCs w:val="24"/>
      <w:lang w:val="es-ES_tradnl"/>
    </w:rPr>
  </w:style>
  <w:style w:type="character" w:styleId="Textoindependiente2Car" w:customStyle="1">
    <w:name w:val="Texto independiente 2 Car"/>
    <w:basedOn w:val="Fuentedeprrafopredeter"/>
    <w:link w:val="Textoindependiente2"/>
    <w:uiPriority w:val="99"/>
    <w:semiHidden w:val="1"/>
    <w:rsid w:val="008E6432"/>
    <w:rPr>
      <w:rFonts w:asciiTheme="minorHAnsi" w:cstheme="minorBidi" w:eastAsiaTheme="minorEastAsia" w:hAnsiTheme="minorHAnsi"/>
      <w:sz w:val="24"/>
      <w:szCs w:val="24"/>
      <w:lang w:eastAsia="es-ES" w:val="es-ES_tradnl"/>
    </w:rPr>
  </w:style>
  <w:style w:type="paragraph" w:styleId="Textonotapie1" w:customStyle="1">
    <w:name w:val="Texto nota pie1"/>
    <w:basedOn w:val="Normal"/>
    <w:next w:val="Textonotapie"/>
    <w:unhideWhenUsed w:val="1"/>
    <w:rsid w:val="008E6432"/>
    <w:rPr>
      <w:rFonts w:eastAsia="Cambria" w:asciiTheme="minorHAnsi" w:cstheme="minorBidi" w:hAnsiTheme="minorHAnsi"/>
      <w:lang w:eastAsia="en-US"/>
    </w:rPr>
  </w:style>
  <w:style w:type="paragraph" w:styleId="TDC3">
    <w:name w:val="toc 3"/>
    <w:basedOn w:val="Normal"/>
    <w:next w:val="Normal"/>
    <w:autoRedefine w:val="1"/>
    <w:uiPriority w:val="39"/>
    <w:unhideWhenUsed w:val="1"/>
    <w:rsid w:val="008E6432"/>
    <w:pPr>
      <w:tabs>
        <w:tab w:val="left" w:pos="567"/>
        <w:tab w:val="right" w:leader="dot" w:pos="8779"/>
      </w:tabs>
      <w:spacing w:after="100"/>
      <w:ind w:left="142"/>
    </w:pPr>
    <w:rPr>
      <w:rFonts w:asciiTheme="minorHAnsi" w:cstheme="minorBidi" w:eastAsiaTheme="minorEastAsia" w:hAnsiTheme="minorHAnsi"/>
      <w:sz w:val="24"/>
      <w:szCs w:val="24"/>
      <w:lang w:val="es-ES_tradnl"/>
    </w:rPr>
  </w:style>
  <w:style w:type="paragraph" w:styleId="m1609377113336227858gmail-msonormal" w:customStyle="1">
    <w:name w:val="m_1609377113336227858gmail-msonormal"/>
    <w:basedOn w:val="Normal"/>
    <w:rsid w:val="008E6432"/>
    <w:pPr>
      <w:spacing w:after="100" w:afterAutospacing="1" w:before="100" w:beforeAutospacing="1"/>
    </w:pPr>
    <w:rPr>
      <w:sz w:val="24"/>
      <w:szCs w:val="24"/>
      <w:lang w:val="es-ES"/>
    </w:rPr>
  </w:style>
  <w:style w:type="paragraph" w:styleId="m3527742037047551335gmail-msolistparagraph" w:customStyle="1">
    <w:name w:val="m_3527742037047551335gmail-msolistparagraph"/>
    <w:basedOn w:val="Normal"/>
    <w:rsid w:val="008E6432"/>
    <w:pPr>
      <w:spacing w:after="100" w:afterAutospacing="1" w:before="100" w:beforeAutospacing="1"/>
    </w:pPr>
    <w:rPr>
      <w:sz w:val="24"/>
      <w:szCs w:val="24"/>
      <w:lang w:eastAsia="es-MX"/>
    </w:rPr>
  </w:style>
  <w:style w:type="paragraph" w:styleId="m-698976158124685028gmail-msolistparagraph" w:customStyle="1">
    <w:name w:val="m_-698976158124685028gmail-msolistparagraph"/>
    <w:basedOn w:val="Normal"/>
    <w:rsid w:val="008E6432"/>
    <w:pPr>
      <w:spacing w:after="100" w:afterAutospacing="1" w:before="100" w:beforeAutospacing="1"/>
    </w:pPr>
    <w:rPr>
      <w:sz w:val="24"/>
      <w:szCs w:val="24"/>
      <w:lang w:eastAsia="es-MX"/>
    </w:rPr>
  </w:style>
  <w:style w:type="paragraph" w:styleId="m-698976158124685028gmail-default" w:customStyle="1">
    <w:name w:val="m_-698976158124685028gmail-default"/>
    <w:basedOn w:val="Normal"/>
    <w:rsid w:val="008E6432"/>
    <w:pPr>
      <w:spacing w:after="100" w:afterAutospacing="1" w:before="100" w:beforeAutospacing="1"/>
    </w:pPr>
    <w:rPr>
      <w:sz w:val="24"/>
      <w:szCs w:val="24"/>
      <w:lang w:eastAsia="es-MX"/>
    </w:rPr>
  </w:style>
  <w:style w:type="paragraph" w:styleId="m-698976158124685028gmail-m483811427706604298gmail-msolistparagraph" w:customStyle="1">
    <w:name w:val="m_-698976158124685028gmail-m483811427706604298gmail-msolistparagraph"/>
    <w:basedOn w:val="Normal"/>
    <w:rsid w:val="008E6432"/>
    <w:pPr>
      <w:spacing w:after="100" w:afterAutospacing="1" w:before="100" w:beforeAutospacing="1"/>
    </w:pPr>
    <w:rPr>
      <w:sz w:val="24"/>
      <w:szCs w:val="24"/>
      <w:lang w:eastAsia="es-MX"/>
    </w:rPr>
  </w:style>
  <w:style w:type="paragraph" w:styleId="m-698976158124685028gmail-msonormal" w:customStyle="1">
    <w:name w:val="m_-698976158124685028gmail-msonormal"/>
    <w:basedOn w:val="Normal"/>
    <w:rsid w:val="008E6432"/>
    <w:pPr>
      <w:spacing w:after="100" w:afterAutospacing="1" w:before="100" w:beforeAutospacing="1"/>
    </w:pPr>
    <w:rPr>
      <w:sz w:val="24"/>
      <w:szCs w:val="24"/>
      <w:lang w:eastAsia="es-MX"/>
    </w:rPr>
  </w:style>
  <w:style w:type="character" w:styleId="m-698976158124685028gmail-apple-converted-space" w:customStyle="1">
    <w:name w:val="m_-698976158124685028gmail-apple-converted-space"/>
    <w:basedOn w:val="Fuentedeprrafopredeter"/>
    <w:rsid w:val="008E6432"/>
  </w:style>
  <w:style w:type="character" w:styleId="apple-style-span" w:customStyle="1">
    <w:name w:val="apple-style-span"/>
    <w:rsid w:val="008E6432"/>
  </w:style>
  <w:style w:type="table" w:styleId="Tablaconcuadrcula2" w:customStyle="1">
    <w:name w:val="Tabla con cuadrícula2"/>
    <w:basedOn w:val="Tablanormal"/>
    <w:next w:val="Tablaconcuadrcula"/>
    <w:uiPriority w:val="39"/>
    <w:rsid w:val="008E6432"/>
    <w:pPr>
      <w:spacing w:after="0" w:line="240" w:lineRule="auto"/>
    </w:pPr>
    <w:rPr>
      <w:rFonts w:asciiTheme="minorHAnsi" w:cstheme="minorBidi" w:eastAsiaTheme="minorEastAsia" w:hAnsiTheme="minorHAnsi"/>
      <w:sz w:val="24"/>
      <w:szCs w:val="24"/>
      <w:lang w:eastAsia="es-ES" w:val="es-ES_tradnl"/>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anormal11" w:customStyle="1">
    <w:name w:val="Tabla normal 11"/>
    <w:basedOn w:val="Tablanormal"/>
    <w:next w:val="Tablanormal1"/>
    <w:uiPriority w:val="41"/>
    <w:rsid w:val="008E6432"/>
    <w:pPr>
      <w:spacing w:after="0" w:line="240" w:lineRule="auto"/>
    </w:pPr>
    <w:rPr>
      <w:rFonts w:asciiTheme="minorHAnsi" w:cstheme="minorBidi" w:eastAsiaTheme="minorHAnsi" w:hAnsiTheme="minorHAnsi"/>
      <w:sz w:val="22"/>
      <w:szCs w:val="22"/>
      <w:lang w:eastAsia="en-US"/>
    </w:rPr>
    <w:tblPr>
      <w:tblStyleRowBandSize w:val="1"/>
      <w:tblStyleColBandSize w:val="1"/>
      <w:tblInd w:w="0.0" w:type="dxa"/>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CellMar>
        <w:top w:w="0.0" w:type="dxa"/>
        <w:left w:w="108.0" w:type="dxa"/>
        <w:bottom w:w="0.0" w:type="dxa"/>
        <w:right w:w="108.0" w:type="dxa"/>
      </w:tblCellMar>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Tablanormal1">
    <w:name w:val="Plain Table 1"/>
    <w:basedOn w:val="Tablanormal"/>
    <w:uiPriority w:val="41"/>
    <w:rsid w:val="008E6432"/>
    <w:pPr>
      <w:spacing w:after="0" w:line="240" w:lineRule="auto"/>
    </w:pPr>
    <w:rPr>
      <w:rFonts w:asciiTheme="minorHAnsi" w:cstheme="minorBidi" w:eastAsiaTheme="minorHAnsi" w:hAnsiTheme="minorHAnsi"/>
      <w:sz w:val="22"/>
      <w:szCs w:val="22"/>
      <w:lang w:eastAsia="en-US"/>
    </w:rPr>
    <w:tblPr>
      <w:tblStyleRowBandSize w:val="1"/>
      <w:tblStyleColBandSize w:val="1"/>
      <w:tblInd w:w="0.0" w:type="dxa"/>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CellMar>
        <w:top w:w="0.0" w:type="dxa"/>
        <w:left w:w="108.0" w:type="dxa"/>
        <w:bottom w:w="0.0" w:type="dxa"/>
        <w:right w:w="108.0" w:type="dxa"/>
      </w:tblCellMar>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NormalWeb">
    <w:name w:val="Normal (Web)"/>
    <w:basedOn w:val="Normal"/>
    <w:uiPriority w:val="99"/>
    <w:semiHidden w:val="1"/>
    <w:unhideWhenUsed w:val="1"/>
    <w:rsid w:val="008E6432"/>
    <w:pPr>
      <w:spacing w:after="100" w:afterAutospacing="1" w:before="100" w:before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cstheme="minorBidi" w:eastAsiaTheme="minorEastAsia" w:hAnsiTheme="minorHAnsi"/>
      <w:color w:val="000000" w:themeColor="text1"/>
      <w:sz w:val="24"/>
      <w:szCs w:val="24"/>
      <w:lang w:eastAsia="es-ES" w:val="es-ES_tradnl"/>
    </w:rPr>
    <w:tblPr>
      <w:tblStyleRowBandSize w:val="1"/>
      <w:tblStyleColBandSize w:val="1"/>
      <w:tblInd w:w="0.0" w:type="dxa"/>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CellMar>
        <w:top w:w="0.0" w:type="dxa"/>
        <w:left w:w="108.0" w:type="dxa"/>
        <w:bottom w:w="0.0" w:type="dxa"/>
        <w:right w:w="108.0" w:type="dxa"/>
      </w:tblCellMar>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ADB1" w:customStyle="1">
    <w:name w:val="ADB1"/>
    <w:basedOn w:val="Normal"/>
    <w:next w:val="Textonotapie"/>
    <w:uiPriority w:val="99"/>
    <w:unhideWhenUsed w:val="1"/>
    <w:qFormat w:val="1"/>
    <w:rsid w:val="008E6432"/>
    <w:rPr>
      <w:rFonts w:eastAsia="Cambria" w:asciiTheme="minorHAnsi" w:cstheme="minorBidi" w:hAnsiTheme="minorHAnsi"/>
      <w:lang w:eastAsia="en-US"/>
    </w:rPr>
  </w:style>
  <w:style w:type="character" w:styleId="Mencinsinresolver1" w:customStyle="1">
    <w:name w:val="Mención sin resolver1"/>
    <w:basedOn w:val="Fuentedeprrafopredeter"/>
    <w:uiPriority w:val="99"/>
    <w:semiHidden w:val="1"/>
    <w:unhideWhenUsed w:val="1"/>
    <w:rsid w:val="008E6432"/>
    <w:rPr>
      <w:color w:val="605e5c"/>
      <w:shd w:color="auto" w:fill="e1dfdd" w:val="clear"/>
    </w:rPr>
  </w:style>
  <w:style w:type="table" w:styleId="Tablaconcuadrcula11" w:customStyle="1">
    <w:name w:val="Tabla con cuadrícula11"/>
    <w:basedOn w:val="Tablanormal"/>
    <w:next w:val="Tablaconcuadrcula"/>
    <w:uiPriority w:val="59"/>
    <w:rsid w:val="008E6432"/>
    <w:pPr>
      <w:spacing w:after="0" w:line="240" w:lineRule="auto"/>
    </w:pPr>
    <w:rPr>
      <w:rFonts w:eastAsia="Times New Roman" w:asciiTheme="minorHAnsi" w:cstheme="minorBidi" w:hAnsiTheme="minorHAnsi"/>
      <w:sz w:val="24"/>
      <w:szCs w:val="24"/>
      <w:lang w:eastAsia="es-ES" w:val="es-ES_tradnl"/>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exto" w:customStyle="1">
    <w:name w:val="Texto"/>
    <w:basedOn w:val="Normal"/>
    <w:link w:val="TextoCar"/>
    <w:rsid w:val="008E6432"/>
    <w:pPr>
      <w:spacing w:after="101" w:line="216" w:lineRule="exact"/>
      <w:ind w:firstLine="288"/>
      <w:jc w:val="both"/>
    </w:pPr>
    <w:rPr>
      <w:rFonts w:ascii="Arial" w:cs="Arial" w:hAnsi="Arial"/>
      <w:sz w:val="18"/>
      <w:lang w:val="es-ES"/>
    </w:rPr>
  </w:style>
  <w:style w:type="character" w:styleId="TextoCar" w:customStyle="1">
    <w:name w:val="Texto Car"/>
    <w:link w:val="Texto"/>
    <w:locked w:val="1"/>
    <w:rsid w:val="008E6432"/>
    <w:rPr>
      <w:rFonts w:ascii="Arial" w:cs="Arial" w:eastAsia="Times New Roman" w:hAnsi="Arial"/>
      <w:sz w:val="18"/>
      <w:lang w:eastAsia="es-ES" w:val="es-ES"/>
    </w:rPr>
  </w:style>
  <w:style w:type="paragraph" w:styleId="m5907675151158779931gmail-msolistparagraph" w:customStyle="1">
    <w:name w:val="m_5907675151158779931gmail-msolistparagraph"/>
    <w:basedOn w:val="Normal"/>
    <w:rsid w:val="00427B9F"/>
    <w:pPr>
      <w:spacing w:after="100" w:afterAutospacing="1" w:before="100" w:beforeAutospacing="1"/>
    </w:pPr>
    <w:rPr>
      <w:sz w:val="24"/>
      <w:szCs w:val="24"/>
      <w:lang w:eastAsia="es-MX"/>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000000"/>
      <w:sz w:val="24"/>
      <w:szCs w:val="24"/>
    </w:r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000000"/>
      <w:sz w:val="24"/>
      <w:szCs w:val="24"/>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color w:val="000000"/>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 Type="http://schemas.openxmlformats.org/officeDocument/2006/relationships/theme" Target="theme/theme1.xml"/><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2.xml"/><Relationship Id="rId9" Type="http://schemas.openxmlformats.org/officeDocument/2006/relationships/customXml" Target="../customXML/item1.xml"/><Relationship Id="rId14" Type="http://schemas.openxmlformats.org/officeDocument/2006/relationships/footer" Target="footer2.xml"/><Relationship Id="rId5" Type="http://schemas.openxmlformats.org/officeDocument/2006/relationships/settings" Target="settings.xml"/><Relationship Id="rId6" Type="http://schemas.openxmlformats.org/officeDocument/2006/relationships/fontTable" Target="fontTable.xml"/><Relationship Id="rId7" Type="http://schemas.openxmlformats.org/officeDocument/2006/relationships/numbering" Target="numbering.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Garamond-regular.ttf"/><Relationship Id="rId11" Type="http://schemas.openxmlformats.org/officeDocument/2006/relationships/font" Target="fonts/PalatinoLinotype-boldItalic.ttf"/><Relationship Id="rId10" Type="http://schemas.openxmlformats.org/officeDocument/2006/relationships/font" Target="fonts/PalatinoLinotype-italic.ttf"/><Relationship Id="rId9" Type="http://schemas.openxmlformats.org/officeDocument/2006/relationships/font" Target="fonts/PalatinoLinotype-bold.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 Id="rId8" Type="http://schemas.openxmlformats.org/officeDocument/2006/relationships/font" Target="fonts/PalatinoLinotype-regular.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vJvymb1waMnJqSgmh2QKenX7lQ==">AMUW2mVvjoVFX3XZZS8wHB027d/du8VdrcdGo7xvwkezODuZrav4HGQFa74NMt3QLZ8VHHkAEnX8b+/Dif/y8Fg2MjX79lL07Oar+XL4JDqI59mXCz5k//hOpcM0F45FoXZua9e8lJqEZoIARSQntCtvVoXe9TDtrTnQzhwWJ6v3RDQE2/jkc6vJfDWJmy5WEX2i404QZRbAIa5mEyL33jfZIMAZnvQag2SSyuRzVEChnfOm+fjTKsBzLGaOBGW+VMo2NsoYyf/JEBpU/XPXuFdY/vfHGP+PTN9GpMjMUTWaw/USaFNgeVKHJb5haD0iFf0xg0ATRTZ1YXdgsw7VY/XEJ06b9bVvKMg0Ltlqe/01c77nMQgys+oGWKvmILZ/ngJvNS8ul0QH3yvgxorUuL+o4mN7Ojw30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2021-08-27T17:24:00Z</dcterms:created>
  <dc:creator>José Fernado Lobato Rodríguez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