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65A95A" w14:textId="3D41C7EE" w:rsidR="00DD45AF" w:rsidRDefault="006D5803" w:rsidP="006D5803">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D45AF">
        <w:rPr>
          <w:rFonts w:ascii="Palatino Linotype" w:eastAsia="Times New Roman" w:hAnsi="Palatino Linotype" w:cs="Arial"/>
          <w:color w:val="000000"/>
          <w:sz w:val="24"/>
          <w:szCs w:val="24"/>
          <w:lang w:eastAsia="es-MX"/>
        </w:rPr>
        <w:t xml:space="preserve">catorce de julio de dos mil veintiuno. </w:t>
      </w:r>
    </w:p>
    <w:p w14:paraId="103634AD" w14:textId="50D820F1" w:rsidR="00DD45AF" w:rsidRDefault="00DD45AF" w:rsidP="00DD45AF">
      <w:pPr>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w:t>
      </w:r>
      <w:r>
        <w:rPr>
          <w:rFonts w:ascii="Palatino Linotype" w:hAnsi="Palatino Linotype" w:cs="Arial"/>
          <w:sz w:val="24"/>
        </w:rPr>
        <w:t xml:space="preserve"> </w:t>
      </w:r>
      <w:r>
        <w:rPr>
          <w:rFonts w:ascii="Palatino Linotype" w:hAnsi="Palatino Linotype" w:cs="Arial"/>
          <w:b/>
          <w:sz w:val="24"/>
        </w:rPr>
        <w:t xml:space="preserve">03365/INFOEM/IP/RR/2021, </w:t>
      </w:r>
      <w:r>
        <w:rPr>
          <w:rFonts w:ascii="Palatino Linotype" w:hAnsi="Palatino Linotype" w:cs="Arial"/>
          <w:sz w:val="24"/>
        </w:rPr>
        <w:t xml:space="preserve">interpuesto por la </w:t>
      </w:r>
      <w:r>
        <w:rPr>
          <w:rFonts w:ascii="Palatino Linotype" w:hAnsi="Palatino Linotype" w:cs="Arial"/>
          <w:b/>
          <w:sz w:val="24"/>
        </w:rPr>
        <w:t xml:space="preserve">C. </w:t>
      </w:r>
      <w:r w:rsidR="00BC6535">
        <w:rPr>
          <w:rFonts w:ascii="Palatino Linotype" w:hAnsi="Palatino Linotype" w:cs="Arial"/>
          <w:b/>
          <w:sz w:val="24"/>
        </w:rPr>
        <w:t>xxxxxxxxxxxxxxxxx</w:t>
      </w:r>
      <w:bookmarkStart w:id="0" w:name="_GoBack"/>
      <w:bookmarkEnd w:id="0"/>
      <w:r>
        <w:rPr>
          <w:rFonts w:ascii="Palatino Linotype" w:hAnsi="Palatino Linotype" w:cs="Arial"/>
          <w:b/>
          <w:sz w:val="24"/>
        </w:rPr>
        <w:t xml:space="preserve">, </w:t>
      </w:r>
      <w:r>
        <w:rPr>
          <w:rFonts w:ascii="Palatino Linotype" w:hAnsi="Palatino Linotype" w:cs="Arial"/>
          <w:sz w:val="24"/>
        </w:rPr>
        <w:t xml:space="preserve">en lo sucesivo </w:t>
      </w:r>
      <w:r>
        <w:rPr>
          <w:rFonts w:ascii="Palatino Linotype" w:hAnsi="Palatino Linotype" w:cs="Arial"/>
          <w:b/>
          <w:sz w:val="24"/>
        </w:rPr>
        <w:t xml:space="preserve">La Recurrente, </w:t>
      </w:r>
      <w:r>
        <w:rPr>
          <w:rFonts w:ascii="Palatino Linotype" w:hAnsi="Palatino Linotype" w:cs="Arial"/>
          <w:sz w:val="24"/>
        </w:rPr>
        <w:t xml:space="preserve">en contra de la falta de respuesta del </w:t>
      </w:r>
      <w:r>
        <w:rPr>
          <w:rFonts w:ascii="Palatino Linotype" w:hAnsi="Palatino Linotype" w:cs="Arial"/>
          <w:b/>
          <w:sz w:val="24"/>
        </w:rPr>
        <w:t xml:space="preserve">Ayuntamiento de </w:t>
      </w:r>
      <w:r w:rsidR="00315C28">
        <w:rPr>
          <w:rFonts w:ascii="Palatino Linotype" w:hAnsi="Palatino Linotype" w:cs="Arial"/>
          <w:b/>
          <w:sz w:val="24"/>
        </w:rPr>
        <w:t xml:space="preserve">Ecatepec de Morelos, </w:t>
      </w:r>
      <w:r w:rsidR="00315C28">
        <w:rPr>
          <w:rFonts w:ascii="Palatino Linotype" w:hAnsi="Palatino Linotype" w:cs="Arial"/>
          <w:sz w:val="24"/>
        </w:rPr>
        <w:t xml:space="preserve">en lo sucesivo </w:t>
      </w:r>
      <w:r w:rsidR="00315C28">
        <w:rPr>
          <w:rFonts w:ascii="Palatino Linotype" w:hAnsi="Palatino Linotype" w:cs="Arial"/>
          <w:b/>
          <w:sz w:val="24"/>
        </w:rPr>
        <w:t xml:space="preserve">El Sujeto Obligado, </w:t>
      </w:r>
      <w:r w:rsidR="00315C28">
        <w:rPr>
          <w:rFonts w:ascii="Palatino Linotype" w:hAnsi="Palatino Linotype" w:cs="Arial"/>
          <w:sz w:val="24"/>
        </w:rPr>
        <w:t xml:space="preserve">se procede a dictar la presente resolución. </w:t>
      </w:r>
    </w:p>
    <w:p w14:paraId="37390DB1" w14:textId="77777777" w:rsidR="006D5803" w:rsidRDefault="006D5803" w:rsidP="006D5803">
      <w:pPr>
        <w:tabs>
          <w:tab w:val="left" w:pos="1701"/>
        </w:tabs>
        <w:spacing w:before="240" w:line="360" w:lineRule="auto"/>
        <w:jc w:val="both"/>
        <w:rPr>
          <w:rFonts w:ascii="Palatino Linotype" w:hAnsi="Palatino Linotype" w:cs="Arial"/>
          <w:b/>
          <w:sz w:val="24"/>
        </w:rPr>
      </w:pPr>
    </w:p>
    <w:p w14:paraId="22CF085C" w14:textId="77777777" w:rsidR="006D5803" w:rsidRPr="00B9640A" w:rsidRDefault="006D5803" w:rsidP="006D5803">
      <w:pPr>
        <w:pStyle w:val="infoemcitas"/>
        <w:jc w:val="center"/>
        <w:rPr>
          <w:b/>
          <w:bCs/>
          <w:i w:val="0"/>
          <w:iCs/>
          <w:sz w:val="28"/>
          <w:szCs w:val="28"/>
        </w:rPr>
      </w:pPr>
      <w:r w:rsidRPr="00B9640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0E6DC018" w14:textId="7B3ED9C9" w:rsidR="00315C28" w:rsidRPr="00315C28" w:rsidRDefault="006D5803" w:rsidP="006D5803">
      <w:pPr>
        <w:spacing w:before="240" w:line="360" w:lineRule="auto"/>
        <w:jc w:val="both"/>
        <w:rPr>
          <w:rFonts w:ascii="Palatino Linotype" w:hAnsi="Palatino Linotype" w:cs="Arial"/>
          <w:sz w:val="24"/>
        </w:rPr>
      </w:pPr>
      <w:r>
        <w:rPr>
          <w:rFonts w:ascii="Palatino Linotype" w:hAnsi="Palatino Linotype" w:cs="Arial"/>
          <w:sz w:val="24"/>
        </w:rPr>
        <w:t>Con fecha</w:t>
      </w:r>
      <w:r w:rsidR="00E138CC">
        <w:rPr>
          <w:rFonts w:ascii="Palatino Linotype" w:hAnsi="Palatino Linotype" w:cs="Arial"/>
          <w:sz w:val="24"/>
        </w:rPr>
        <w:t xml:space="preserve"> </w:t>
      </w:r>
      <w:r w:rsidR="00315C28">
        <w:rPr>
          <w:rFonts w:ascii="Palatino Linotype" w:hAnsi="Palatino Linotype" w:cs="Arial"/>
          <w:sz w:val="24"/>
        </w:rPr>
        <w:t xml:space="preserve">once de mayo de dos mil veintiuno, </w:t>
      </w:r>
      <w:r w:rsidR="00315C28">
        <w:rPr>
          <w:rFonts w:ascii="Palatino Linotype" w:hAnsi="Palatino Linotype" w:cs="Arial"/>
          <w:b/>
          <w:sz w:val="24"/>
        </w:rPr>
        <w:t xml:space="preserve">La Recurrente, </w:t>
      </w:r>
      <w:r w:rsidR="00315C28">
        <w:rPr>
          <w:rFonts w:ascii="Palatino Linotype" w:hAnsi="Palatino Linotype" w:cs="Arial"/>
          <w:sz w:val="24"/>
        </w:rPr>
        <w:t>presentó a través del Sistema de Acceso de Información Mexiquense (</w:t>
      </w:r>
      <w:r w:rsidR="00315C28">
        <w:rPr>
          <w:rFonts w:ascii="Palatino Linotype" w:hAnsi="Palatino Linotype" w:cs="Arial"/>
          <w:b/>
          <w:sz w:val="24"/>
        </w:rPr>
        <w:t>SAIMEX)</w:t>
      </w:r>
      <w:r w:rsidR="00315C28">
        <w:rPr>
          <w:rFonts w:ascii="Palatino Linotype" w:hAnsi="Palatino Linotype" w:cs="Arial"/>
          <w:sz w:val="24"/>
        </w:rPr>
        <w:t xml:space="preserve"> ante </w:t>
      </w:r>
      <w:r w:rsidR="00315C28">
        <w:rPr>
          <w:rFonts w:ascii="Palatino Linotype" w:hAnsi="Palatino Linotype" w:cs="Arial"/>
          <w:b/>
          <w:sz w:val="24"/>
        </w:rPr>
        <w:t>El Sujeto Obligado</w:t>
      </w:r>
      <w:r w:rsidR="00315C28">
        <w:rPr>
          <w:rFonts w:ascii="Palatino Linotype" w:hAnsi="Palatino Linotype" w:cs="Arial"/>
          <w:sz w:val="24"/>
        </w:rPr>
        <w:t xml:space="preserve">, solicitud de acceso a la información pública, registrada bajo el número de expediente </w:t>
      </w:r>
      <w:r w:rsidR="00315C28">
        <w:rPr>
          <w:rFonts w:ascii="Palatino Linotype" w:hAnsi="Palatino Linotype" w:cs="Arial"/>
          <w:b/>
          <w:sz w:val="24"/>
        </w:rPr>
        <w:t xml:space="preserve">00397/ECATEPEC/IP/2021, </w:t>
      </w:r>
      <w:r w:rsidR="00315C28">
        <w:rPr>
          <w:rFonts w:ascii="Palatino Linotype" w:hAnsi="Palatino Linotype" w:cs="Arial"/>
          <w:sz w:val="24"/>
        </w:rPr>
        <w:t xml:space="preserve">mediante la cual solicitó información en el tenor siguiente: </w:t>
      </w:r>
    </w:p>
    <w:p w14:paraId="74BDFCA5" w14:textId="2E0AFF2B" w:rsidR="00315C28" w:rsidRPr="00315C28" w:rsidRDefault="00315C28" w:rsidP="00315C28">
      <w:pPr>
        <w:pStyle w:val="Citas"/>
        <w:rPr>
          <w:b/>
          <w:sz w:val="24"/>
        </w:rPr>
      </w:pPr>
      <w:r>
        <w:t xml:space="preserve">“ORGANIGRAMA DE LA COMISION DE HONOR Y JUSITICIO ( DESDE PRIMERO DE ENERO DE 2019 A LA FECHA ) ORGANIGRAMA DE LA DIRECCION JURIDICA Y CONSULTIVA ( DESDE EL PRIMERO D E ENERO DE 2019 A LA FECHA ) NUMERO DE PROCEDIMIENTOS INICIADOS POR PARTE DE LA COMISION DE HONOR Y JUSTICIA ASI COMO NOMBRE DE TITULARES NOMBRE DE TITULARES COMO DIRECTORES Y </w:t>
      </w:r>
      <w:r>
        <w:lastRenderedPageBreak/>
        <w:t xml:space="preserve">ENCARGADOS DE DESPACHO DE LA DIRECCION JURIDICA Y CONSULTIVA” </w:t>
      </w:r>
      <w:r>
        <w:rPr>
          <w:b/>
        </w:rPr>
        <w:t>[Sic]</w:t>
      </w:r>
    </w:p>
    <w:p w14:paraId="284BBE4E" w14:textId="57C4EC48" w:rsidR="006D5803" w:rsidRDefault="00985AD2" w:rsidP="006D5803">
      <w:pPr>
        <w:spacing w:before="240" w:line="360" w:lineRule="auto"/>
        <w:ind w:right="850"/>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b/>
          <w:sz w:val="24"/>
          <w:szCs w:val="24"/>
          <w:lang w:val="es-ES_tradnl" w:eastAsia="es-ES"/>
        </w:rPr>
        <w:t>M</w:t>
      </w:r>
      <w:r w:rsidR="006D5803" w:rsidRPr="00902F0D">
        <w:rPr>
          <w:rFonts w:ascii="Palatino Linotype" w:eastAsia="Times New Roman" w:hAnsi="Palatino Linotype" w:cs="Times New Roman"/>
          <w:b/>
          <w:sz w:val="24"/>
          <w:szCs w:val="24"/>
          <w:lang w:val="es-ES_tradnl" w:eastAsia="es-ES"/>
        </w:rPr>
        <w:t>odalidad de entrega:</w:t>
      </w:r>
      <w:r w:rsidR="006D5803" w:rsidRPr="00523CF0">
        <w:rPr>
          <w:rFonts w:ascii="Palatino Linotype" w:eastAsia="Times New Roman" w:hAnsi="Palatino Linotype" w:cs="Times New Roman"/>
          <w:sz w:val="24"/>
          <w:szCs w:val="24"/>
          <w:lang w:val="es-ES_tradnl" w:eastAsia="es-ES"/>
        </w:rPr>
        <w:t xml:space="preserve"> </w:t>
      </w:r>
      <w:r w:rsidR="006D5803">
        <w:rPr>
          <w:rFonts w:ascii="Palatino Linotype" w:eastAsia="Times New Roman" w:hAnsi="Palatino Linotype" w:cs="Times New Roman"/>
          <w:sz w:val="24"/>
          <w:szCs w:val="24"/>
          <w:lang w:val="es-ES_tradnl" w:eastAsia="es-ES"/>
        </w:rPr>
        <w:t xml:space="preserve">A través del SAIMEX. </w:t>
      </w:r>
    </w:p>
    <w:p w14:paraId="42E32A76" w14:textId="77777777" w:rsidR="00672112" w:rsidRDefault="00672112" w:rsidP="006D5803">
      <w:pPr>
        <w:spacing w:before="240" w:line="360" w:lineRule="auto"/>
        <w:ind w:right="850"/>
        <w:jc w:val="both"/>
        <w:rPr>
          <w:rFonts w:ascii="Palatino Linotype" w:eastAsia="Times New Roman" w:hAnsi="Palatino Linotype" w:cs="Times New Roman"/>
          <w:sz w:val="24"/>
          <w:szCs w:val="24"/>
          <w:lang w:val="es-ES_tradnl" w:eastAsia="es-ES"/>
        </w:rPr>
      </w:pPr>
    </w:p>
    <w:p w14:paraId="7CD08A2D" w14:textId="77777777" w:rsidR="006D5803" w:rsidRPr="00523CF0" w:rsidRDefault="006D5803" w:rsidP="006D5803">
      <w:pPr>
        <w:spacing w:before="240" w:line="360" w:lineRule="auto"/>
        <w:jc w:val="both"/>
        <w:rPr>
          <w:rFonts w:ascii="Palatino Linotype" w:hAnsi="Palatino Linotype" w:cs="Arial"/>
          <w:b/>
          <w:sz w:val="28"/>
        </w:rPr>
      </w:pPr>
      <w:r w:rsidRPr="00523CF0">
        <w:rPr>
          <w:rFonts w:ascii="Palatino Linotype" w:hAnsi="Palatino Linotype" w:cs="Arial"/>
          <w:b/>
          <w:sz w:val="28"/>
        </w:rPr>
        <w:t xml:space="preserve">SEGUNDO. </w:t>
      </w:r>
      <w:r w:rsidRPr="00523CF0">
        <w:rPr>
          <w:rFonts w:ascii="Palatino Linotype" w:hAnsi="Palatino Linotype" w:cs="Arial"/>
          <w:b/>
          <w:sz w:val="28"/>
          <w:szCs w:val="20"/>
        </w:rPr>
        <w:t>De la respuesta del Sujeto Obligado.</w:t>
      </w:r>
    </w:p>
    <w:p w14:paraId="6751EA5D" w14:textId="64560816" w:rsidR="006D5803" w:rsidRDefault="006D5803" w:rsidP="006D5803">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dar respuesta a la solicitud de información presentada por </w:t>
      </w:r>
      <w:r w:rsidR="00672112">
        <w:rPr>
          <w:rFonts w:ascii="Palatino Linotype" w:hAnsi="Palatino Linotype" w:cs="Arial"/>
          <w:b/>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 xml:space="preserve">derivado de lo anterior, se constituye la figura de la </w:t>
      </w:r>
      <w:r>
        <w:rPr>
          <w:rFonts w:ascii="Palatino Linotype" w:hAnsi="Palatino Linotype" w:cs="Arial"/>
          <w:b/>
          <w:sz w:val="24"/>
          <w:szCs w:val="24"/>
        </w:rPr>
        <w:t xml:space="preserve">NEGATIVA FICTA, </w:t>
      </w:r>
      <w:r>
        <w:rPr>
          <w:rFonts w:ascii="Palatino Linotype" w:hAnsi="Palatino Linotype" w:cs="Arial"/>
          <w:sz w:val="24"/>
          <w:szCs w:val="24"/>
        </w:rPr>
        <w:t xml:space="preserve">cuya esencia consiste en atribuir un efecto negativo de la autoridad administrativa frente a las instancias y solicitudes que hagan los particulares. </w:t>
      </w:r>
    </w:p>
    <w:p w14:paraId="4C98E21A" w14:textId="77777777" w:rsidR="006D5803" w:rsidRDefault="006D5803" w:rsidP="006D5803">
      <w:pPr>
        <w:spacing w:before="240" w:line="360" w:lineRule="auto"/>
        <w:jc w:val="both"/>
        <w:rPr>
          <w:rFonts w:ascii="Palatino Linotype" w:hAnsi="Palatino Linotype" w:cs="Arial"/>
          <w:sz w:val="24"/>
          <w:szCs w:val="24"/>
        </w:rPr>
      </w:pPr>
    </w:p>
    <w:p w14:paraId="2026E400" w14:textId="77777777" w:rsidR="006D5803" w:rsidRPr="00523CF0" w:rsidRDefault="006D5803" w:rsidP="006D5803">
      <w:pPr>
        <w:spacing w:before="240" w:line="360" w:lineRule="auto"/>
        <w:jc w:val="both"/>
        <w:rPr>
          <w:rFonts w:ascii="Palatino Linotype" w:hAnsi="Palatino Linotype" w:cs="Arial"/>
          <w:b/>
          <w:sz w:val="28"/>
        </w:rPr>
      </w:pPr>
      <w:r>
        <w:rPr>
          <w:rFonts w:ascii="Palatino Linotype" w:hAnsi="Palatino Linotype" w:cs="Arial"/>
          <w:b/>
          <w:sz w:val="28"/>
        </w:rPr>
        <w:t>T</w:t>
      </w:r>
      <w:r w:rsidRPr="00523CF0">
        <w:rPr>
          <w:rFonts w:ascii="Palatino Linotype" w:hAnsi="Palatino Linotype" w:cs="Arial"/>
          <w:b/>
          <w:sz w:val="28"/>
        </w:rPr>
        <w:t xml:space="preserve">ERCERO. </w:t>
      </w:r>
      <w:r w:rsidRPr="00523CF0">
        <w:rPr>
          <w:rFonts w:ascii="Palatino Linotype" w:hAnsi="Palatino Linotype"/>
          <w:b/>
          <w:sz w:val="28"/>
        </w:rPr>
        <w:t>Del recurso de revisión.</w:t>
      </w:r>
    </w:p>
    <w:p w14:paraId="76EBDD26" w14:textId="23FD0FD5" w:rsidR="00315C28" w:rsidRDefault="006D5803" w:rsidP="006D5803">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falta de respuesta por </w:t>
      </w:r>
      <w:r w:rsidRPr="00F04D87">
        <w:rPr>
          <w:rFonts w:ascii="Palatino Linotype" w:hAnsi="Palatino Linotype" w:cs="Arial"/>
          <w:b/>
          <w:sz w:val="24"/>
          <w:szCs w:val="24"/>
        </w:rPr>
        <w:t xml:space="preserve">El Sujeto Obligado, </w:t>
      </w:r>
      <w:r w:rsidR="00672112">
        <w:rPr>
          <w:rFonts w:ascii="Palatino Linotype" w:hAnsi="Palatino Linotype" w:cs="Arial"/>
          <w:b/>
          <w:sz w:val="24"/>
          <w:szCs w:val="24"/>
        </w:rPr>
        <w:t>La</w:t>
      </w:r>
      <w:r w:rsidRPr="00F04D87">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5B1C46">
        <w:rPr>
          <w:rFonts w:ascii="Palatino Linotype" w:hAnsi="Palatino Linotype" w:cs="Arial"/>
          <w:sz w:val="24"/>
          <w:szCs w:val="24"/>
        </w:rPr>
        <w:t xml:space="preserve"> </w:t>
      </w:r>
      <w:r w:rsidR="00315C28">
        <w:rPr>
          <w:rFonts w:ascii="Palatino Linotype" w:hAnsi="Palatino Linotype" w:cs="Arial"/>
          <w:sz w:val="24"/>
          <w:szCs w:val="24"/>
        </w:rPr>
        <w:t xml:space="preserve">diez de junio del año en curso, el cual fue registrado con el expediente número </w:t>
      </w:r>
      <w:r w:rsidR="00315C28">
        <w:rPr>
          <w:rFonts w:ascii="Palatino Linotype" w:hAnsi="Palatino Linotype" w:cs="Arial"/>
          <w:b/>
          <w:sz w:val="24"/>
          <w:szCs w:val="24"/>
        </w:rPr>
        <w:t xml:space="preserve">03365/INFOEM/IP/RR/2021, </w:t>
      </w:r>
      <w:r w:rsidR="00315C28">
        <w:rPr>
          <w:rFonts w:ascii="Palatino Linotype" w:hAnsi="Palatino Linotype" w:cs="Arial"/>
          <w:sz w:val="24"/>
          <w:szCs w:val="24"/>
        </w:rPr>
        <w:t xml:space="preserve">en el cual arguye las siguientes manifestaciones: </w:t>
      </w:r>
    </w:p>
    <w:p w14:paraId="432600E4" w14:textId="173E43F6" w:rsidR="00315C28" w:rsidRPr="00315C28" w:rsidRDefault="00315C28" w:rsidP="006D5803">
      <w:pPr>
        <w:spacing w:before="240" w:line="360" w:lineRule="auto"/>
        <w:jc w:val="both"/>
        <w:rPr>
          <w:rFonts w:ascii="Palatino Linotype" w:hAnsi="Palatino Linotype" w:cs="Arial"/>
          <w:b/>
          <w:sz w:val="24"/>
          <w:szCs w:val="24"/>
        </w:rPr>
      </w:pPr>
      <w:r w:rsidRPr="00315C28">
        <w:rPr>
          <w:rFonts w:ascii="Palatino Linotype" w:hAnsi="Palatino Linotype" w:cs="Arial"/>
          <w:b/>
          <w:sz w:val="24"/>
          <w:szCs w:val="24"/>
        </w:rPr>
        <w:t xml:space="preserve">Acto Impugnado: </w:t>
      </w:r>
    </w:p>
    <w:p w14:paraId="1AA058DB" w14:textId="4968E3E5" w:rsidR="00315C28" w:rsidRPr="00315C28" w:rsidRDefault="00315C28" w:rsidP="00315C28">
      <w:pPr>
        <w:pStyle w:val="Citas"/>
        <w:rPr>
          <w:b/>
          <w:sz w:val="24"/>
          <w:szCs w:val="24"/>
        </w:rPr>
      </w:pPr>
      <w:r>
        <w:t xml:space="preserve">“LA NO ENTREGA DE LA INFORMACION” </w:t>
      </w:r>
      <w:r>
        <w:rPr>
          <w:b/>
        </w:rPr>
        <w:t xml:space="preserve">[Sic] </w:t>
      </w:r>
    </w:p>
    <w:p w14:paraId="5AF0600F" w14:textId="77777777" w:rsidR="006D5803" w:rsidRPr="000A007E" w:rsidRDefault="006D5803" w:rsidP="006D5803">
      <w:pPr>
        <w:pStyle w:val="infoemcitas"/>
      </w:pPr>
    </w:p>
    <w:p w14:paraId="52A21935" w14:textId="77777777" w:rsidR="006D5803" w:rsidRPr="00053099" w:rsidRDefault="006D5803" w:rsidP="006D5803">
      <w:pPr>
        <w:spacing w:line="360" w:lineRule="auto"/>
        <w:ind w:right="851"/>
        <w:jc w:val="both"/>
        <w:rPr>
          <w:rFonts w:ascii="Palatino Linotype" w:hAnsi="Palatino Linotype" w:cs="Arial"/>
          <w:b/>
          <w:sz w:val="24"/>
        </w:rPr>
      </w:pPr>
      <w:r>
        <w:rPr>
          <w:rFonts w:ascii="Palatino Linotype" w:hAnsi="Palatino Linotype" w:cs="Arial"/>
          <w:b/>
          <w:sz w:val="24"/>
        </w:rPr>
        <w:lastRenderedPageBreak/>
        <w:t>Razones o Motivos de Inconformidad:</w:t>
      </w:r>
    </w:p>
    <w:p w14:paraId="73A41C1E" w14:textId="1B4D0F6F" w:rsidR="005C3CD1" w:rsidRDefault="00672112" w:rsidP="00672112">
      <w:pPr>
        <w:pStyle w:val="Citas"/>
        <w:rPr>
          <w:b/>
        </w:rPr>
      </w:pPr>
      <w:r w:rsidRPr="00315C28">
        <w:t>“</w:t>
      </w:r>
      <w:r w:rsidR="00315C28" w:rsidRPr="00315C28">
        <w:t>EL NO ENTREGAR LA INFORMACION , TRASGREDE LOS PRINCIPIOS DE ACCESO A LA INFORMACION</w:t>
      </w:r>
      <w:r w:rsidRPr="00315C28">
        <w:t xml:space="preserve">.” </w:t>
      </w:r>
      <w:r>
        <w:rPr>
          <w:b/>
        </w:rPr>
        <w:t xml:space="preserve">[Sic] </w:t>
      </w:r>
    </w:p>
    <w:p w14:paraId="21BB27F2" w14:textId="77777777" w:rsidR="00672112" w:rsidRPr="00672112" w:rsidRDefault="00672112" w:rsidP="00672112">
      <w:pPr>
        <w:pStyle w:val="Citas"/>
        <w:rPr>
          <w:b/>
        </w:rPr>
      </w:pPr>
    </w:p>
    <w:p w14:paraId="6B14606C" w14:textId="77777777" w:rsidR="006D5803" w:rsidRDefault="006D5803" w:rsidP="006D5803">
      <w:pPr>
        <w:spacing w:before="240" w:line="360" w:lineRule="auto"/>
        <w:jc w:val="both"/>
        <w:rPr>
          <w:rFonts w:ascii="Palatino Linotype" w:hAnsi="Palatino Linotype" w:cs="Arial"/>
          <w:b/>
          <w:sz w:val="28"/>
          <w:szCs w:val="28"/>
        </w:rPr>
      </w:pPr>
      <w:r w:rsidRPr="00F471AE">
        <w:rPr>
          <w:rFonts w:ascii="Palatino Linotype" w:hAnsi="Palatino Linotype" w:cs="Arial"/>
          <w:b/>
          <w:sz w:val="28"/>
        </w:rPr>
        <w:t>CUARTO</w:t>
      </w:r>
      <w:r w:rsidRPr="00F471AE">
        <w:rPr>
          <w:rFonts w:ascii="Palatino Linotype" w:hAnsi="Palatino Linotype" w:cs="Arial"/>
          <w:b/>
          <w:sz w:val="24"/>
          <w:szCs w:val="24"/>
        </w:rPr>
        <w:t xml:space="preserve">. </w:t>
      </w:r>
      <w:r w:rsidRPr="00F471AE">
        <w:rPr>
          <w:rFonts w:ascii="Palatino Linotype" w:hAnsi="Palatino Linotype" w:cs="Arial"/>
          <w:b/>
          <w:sz w:val="28"/>
          <w:szCs w:val="28"/>
        </w:rPr>
        <w:t>Del turno del recurso de revisión.</w:t>
      </w:r>
    </w:p>
    <w:p w14:paraId="07C3FD4F" w14:textId="7295CE6F" w:rsidR="006D5803" w:rsidRDefault="006D5803" w:rsidP="006D5803">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315C28">
        <w:rPr>
          <w:rFonts w:ascii="Palatino Linotype" w:hAnsi="Palatino Linotype" w:cs="Arial"/>
          <w:sz w:val="24"/>
          <w:szCs w:val="24"/>
        </w:rPr>
        <w:t xml:space="preserve"> dieciséis de junio de dos mil veintiuno determinándose en él, </w:t>
      </w:r>
      <w:r>
        <w:rPr>
          <w:rFonts w:ascii="Palatino Linotype" w:hAnsi="Palatino Linotype" w:cs="Arial"/>
          <w:sz w:val="24"/>
          <w:szCs w:val="24"/>
        </w:rPr>
        <w:t>un plazo de siete días para que las partes manifestaran lo que a su derecho corresponda en términos del numeral ya citado.</w:t>
      </w:r>
    </w:p>
    <w:p w14:paraId="5E6D7CFD" w14:textId="77777777" w:rsidR="005C3CD1" w:rsidRDefault="005C3CD1" w:rsidP="006D5803">
      <w:pPr>
        <w:spacing w:before="240" w:line="360" w:lineRule="auto"/>
        <w:jc w:val="both"/>
        <w:rPr>
          <w:rFonts w:ascii="Palatino Linotype" w:hAnsi="Palatino Linotype" w:cs="Arial"/>
          <w:sz w:val="24"/>
          <w:szCs w:val="24"/>
        </w:rPr>
      </w:pPr>
    </w:p>
    <w:p w14:paraId="04D96CBC" w14:textId="77777777" w:rsidR="006D5803" w:rsidRDefault="006D5803" w:rsidP="006D5803">
      <w:pPr>
        <w:spacing w:before="240" w:line="360" w:lineRule="auto"/>
        <w:jc w:val="both"/>
        <w:rPr>
          <w:rFonts w:ascii="Palatino Linotype" w:hAnsi="Palatino Linotype" w:cs="Arial"/>
          <w:b/>
          <w:sz w:val="24"/>
          <w:szCs w:val="24"/>
        </w:rPr>
      </w:pPr>
      <w:r>
        <w:rPr>
          <w:rFonts w:ascii="Palatino Linotype" w:hAnsi="Palatino Linotype" w:cs="Arial"/>
          <w:sz w:val="24"/>
          <w:szCs w:val="24"/>
        </w:rPr>
        <w:t xml:space="preserve"> </w:t>
      </w:r>
      <w:r w:rsidRPr="0080421D">
        <w:rPr>
          <w:rFonts w:ascii="Palatino Linotype" w:hAnsi="Palatino Linotype" w:cs="Arial"/>
          <w:b/>
          <w:sz w:val="28"/>
        </w:rPr>
        <w:t>QUINTO</w:t>
      </w:r>
      <w:r w:rsidRPr="0080421D">
        <w:rPr>
          <w:rFonts w:ascii="Palatino Linotype" w:hAnsi="Palatino Linotype" w:cs="Arial"/>
          <w:b/>
          <w:sz w:val="24"/>
          <w:szCs w:val="24"/>
        </w:rPr>
        <w:t xml:space="preserve">. </w:t>
      </w:r>
      <w:r w:rsidRPr="0080421D">
        <w:rPr>
          <w:rFonts w:ascii="Palatino Linotype" w:hAnsi="Palatino Linotype" w:cs="Arial"/>
          <w:b/>
          <w:sz w:val="28"/>
          <w:szCs w:val="28"/>
        </w:rPr>
        <w:t>De la etapa de instrucción.</w:t>
      </w:r>
    </w:p>
    <w:p w14:paraId="5A700FEF" w14:textId="0F652506" w:rsidR="00315C28" w:rsidRDefault="00315C28" w:rsidP="00315C28">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w:t>
      </w:r>
      <w:r w:rsidR="00BC6896">
        <w:rPr>
          <w:rFonts w:ascii="Palatino Linotype" w:hAnsi="Palatino Linotype" w:cs="Arial"/>
          <w:b/>
          <w:sz w:val="24"/>
          <w:szCs w:val="24"/>
        </w:rPr>
        <w:t>La</w:t>
      </w:r>
      <w:r>
        <w:rPr>
          <w:rFonts w:ascii="Palatino Linotype" w:hAnsi="Palatino Linotype" w:cs="Arial"/>
          <w:b/>
          <w:sz w:val="24"/>
          <w:szCs w:val="24"/>
        </w:rPr>
        <w:t xml:space="preserve"> Recurrente </w:t>
      </w:r>
      <w:r w:rsidR="00BC6896">
        <w:rPr>
          <w:rFonts w:ascii="Palatino Linotype" w:hAnsi="Palatino Linotype" w:cs="Arial"/>
          <w:sz w:val="24"/>
          <w:szCs w:val="24"/>
        </w:rPr>
        <w:t>fue omisa</w:t>
      </w:r>
      <w:r>
        <w:rPr>
          <w:rFonts w:ascii="Palatino Linotype" w:hAnsi="Palatino Linotype" w:cs="Arial"/>
          <w:sz w:val="24"/>
          <w:szCs w:val="24"/>
        </w:rPr>
        <w:t xml:space="preserve"> en presentar alegatos, pruebas o manifestación alguna.  </w:t>
      </w:r>
    </w:p>
    <w:p w14:paraId="1820386A" w14:textId="7CAE2E4C" w:rsidR="00315C28" w:rsidRPr="00C12209" w:rsidRDefault="00315C28" w:rsidP="00315C28">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w:t>
      </w:r>
      <w:r w:rsidRPr="00C12209">
        <w:rPr>
          <w:rFonts w:ascii="Palatino Linotype" w:hAnsi="Palatino Linotype" w:cs="Arial"/>
          <w:sz w:val="24"/>
          <w:szCs w:val="24"/>
        </w:rPr>
        <w:t>decretó el cierre de instrucción con fecha</w:t>
      </w:r>
      <w:r w:rsidR="00BC6896">
        <w:rPr>
          <w:rFonts w:ascii="Palatino Linotype" w:hAnsi="Palatino Linotype" w:cs="Arial"/>
          <w:sz w:val="24"/>
          <w:szCs w:val="24"/>
        </w:rPr>
        <w:t xml:space="preserve"> veintiocho de junio del presente, </w:t>
      </w:r>
      <w:r>
        <w:rPr>
          <w:rFonts w:ascii="Palatino Linotype" w:hAnsi="Palatino Linotype" w:cs="Arial"/>
          <w:b/>
          <w:sz w:val="24"/>
          <w:szCs w:val="24"/>
        </w:rPr>
        <w:t>e</w:t>
      </w:r>
      <w:r w:rsidRPr="00C12209">
        <w:rPr>
          <w:rFonts w:ascii="Palatino Linotype" w:hAnsi="Palatino Linotype" w:cs="Arial"/>
          <w:sz w:val="24"/>
          <w:szCs w:val="24"/>
        </w:rPr>
        <w:t xml:space="preserve">n términos del artículo 185 Fracción VI de la Ley de Transparencia y Acceso a la </w:t>
      </w:r>
      <w:r w:rsidRPr="00C12209">
        <w:rPr>
          <w:rFonts w:ascii="Palatino Linotype" w:hAnsi="Palatino Linotype" w:cs="Arial"/>
          <w:sz w:val="24"/>
          <w:szCs w:val="24"/>
        </w:rPr>
        <w:lastRenderedPageBreak/>
        <w:t>Información Pública del Estado de México y Municipios, iniciando el término legal para dictar resolución definitiva del asunto.</w:t>
      </w:r>
    </w:p>
    <w:p w14:paraId="024A8FB0" w14:textId="77777777" w:rsidR="00943DF1" w:rsidRPr="00C12209" w:rsidRDefault="00943DF1" w:rsidP="006D5803">
      <w:pPr>
        <w:spacing w:before="240" w:line="360" w:lineRule="auto"/>
        <w:jc w:val="both"/>
        <w:rPr>
          <w:rFonts w:ascii="Palatino Linotype" w:hAnsi="Palatino Linotype" w:cs="Arial"/>
          <w:sz w:val="24"/>
          <w:szCs w:val="24"/>
        </w:rPr>
      </w:pPr>
    </w:p>
    <w:p w14:paraId="0D4A17DB" w14:textId="77777777"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08991E24" w14:textId="3E4BBE63" w:rsidR="006D5803" w:rsidRDefault="006D5803" w:rsidP="006D5803">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w:t>
      </w:r>
      <w:r>
        <w:rPr>
          <w:rFonts w:ascii="Palatino Linotype" w:hAnsi="Palatino Linotype" w:cs="Arial"/>
          <w:sz w:val="24"/>
          <w:szCs w:val="24"/>
        </w:rPr>
        <w:t>el presente recurso de revisión interpuesto</w:t>
      </w:r>
      <w:r w:rsidRPr="008F797B">
        <w:rPr>
          <w:rFonts w:ascii="Palatino Linotype" w:hAnsi="Palatino Linotype" w:cs="Arial"/>
          <w:sz w:val="24"/>
          <w:szCs w:val="24"/>
        </w:rPr>
        <w:t xml:space="preserve"> por </w:t>
      </w:r>
      <w:r w:rsidR="00672112">
        <w:rPr>
          <w:rFonts w:ascii="Palatino Linotype" w:hAnsi="Palatino Linotype" w:cs="Arial"/>
          <w:b/>
          <w:sz w:val="24"/>
          <w:szCs w:val="24"/>
        </w:rPr>
        <w:t>La</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38377539" w14:textId="77777777" w:rsidR="007D0D01" w:rsidRDefault="007D0D01" w:rsidP="007D0D01">
      <w:pPr>
        <w:spacing w:after="0" w:line="360" w:lineRule="auto"/>
        <w:jc w:val="both"/>
        <w:rPr>
          <w:rFonts w:ascii="Palatino Linotype" w:hAnsi="Palatino Linotype" w:cs="Arial"/>
          <w:sz w:val="24"/>
          <w:szCs w:val="24"/>
        </w:rPr>
      </w:pPr>
      <w:r w:rsidRPr="00D67E30">
        <w:rPr>
          <w:rFonts w:ascii="Palatino Linotype" w:hAnsi="Palatino Linotype" w:cs="Arial"/>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w:t>
      </w:r>
      <w:r w:rsidRPr="00D67E30">
        <w:rPr>
          <w:rFonts w:ascii="Palatino Linotype" w:hAnsi="Palatino Linotype" w:cs="Arial"/>
          <w:sz w:val="24"/>
          <w:szCs w:val="24"/>
        </w:rPr>
        <w:lastRenderedPageBreak/>
        <w:t>que eviten mermar el ejercicio de los derechos correspondientes, sin que ello implique el poner en riesgo el diverso derecho a la salud de todos los partícipes en los procesos que conllevan.</w:t>
      </w:r>
    </w:p>
    <w:p w14:paraId="75260C30" w14:textId="77777777" w:rsidR="006D5803" w:rsidRPr="008F797B" w:rsidRDefault="006D5803" w:rsidP="006D5803">
      <w:pPr>
        <w:spacing w:before="240" w:line="360" w:lineRule="auto"/>
        <w:jc w:val="both"/>
        <w:rPr>
          <w:rFonts w:ascii="Palatino Linotype" w:hAnsi="Palatino Linotype" w:cs="Arial"/>
          <w:sz w:val="24"/>
          <w:szCs w:val="24"/>
        </w:rPr>
      </w:pPr>
    </w:p>
    <w:p w14:paraId="4FAE87B8"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A224F87" w14:textId="77777777" w:rsidR="005C3CD1"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208C67AB" w14:textId="77777777" w:rsidR="00DD4938" w:rsidRDefault="00DD4938" w:rsidP="00DD493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b/>
          <w:sz w:val="28"/>
          <w:szCs w:val="28"/>
        </w:rPr>
        <w:t xml:space="preserve">TERCERO. </w:t>
      </w:r>
      <w:r w:rsidRPr="0087163A">
        <w:rPr>
          <w:rFonts w:ascii="Palatino Linotype" w:hAnsi="Palatino Linotype" w:cs="Arial"/>
          <w:b/>
          <w:sz w:val="28"/>
          <w:szCs w:val="28"/>
        </w:rPr>
        <w:t>De las causas de improcedencia.</w:t>
      </w:r>
    </w:p>
    <w:p w14:paraId="2A4422D3" w14:textId="77777777" w:rsidR="00672112" w:rsidRDefault="00672112" w:rsidP="0067211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 xml:space="preserve">Ley de Transparencia y Acceso a la </w:t>
      </w:r>
      <w:r w:rsidRPr="00025A37">
        <w:rPr>
          <w:rFonts w:ascii="Palatino Linotype" w:hAnsi="Palatino Linotype" w:cs="Arial"/>
        </w:rPr>
        <w:lastRenderedPageBreak/>
        <w:t>Información Pública del Estado de México y Municipios</w:t>
      </w:r>
      <w:r>
        <w:rPr>
          <w:rFonts w:ascii="Palatino Linotype" w:hAnsi="Palatino Linotype" w:cs="Arial"/>
        </w:rPr>
        <w:t>, en correlación con la seguridad jurídica que debe generar lo actuado ante este Organismo garante.</w:t>
      </w:r>
    </w:p>
    <w:p w14:paraId="12F8BD97" w14:textId="77777777" w:rsidR="00672112" w:rsidRPr="00C07D77" w:rsidRDefault="00672112" w:rsidP="00672112">
      <w:pPr>
        <w:pStyle w:val="Prrafodelista"/>
        <w:autoSpaceDE w:val="0"/>
        <w:autoSpaceDN w:val="0"/>
        <w:adjustRightInd w:val="0"/>
        <w:spacing w:line="360" w:lineRule="auto"/>
        <w:ind w:left="0"/>
        <w:jc w:val="both"/>
        <w:rPr>
          <w:rFonts w:ascii="Palatino Linotype" w:hAnsi="Palatino Linotype" w:cs="Arial"/>
          <w:sz w:val="18"/>
        </w:rPr>
      </w:pPr>
    </w:p>
    <w:p w14:paraId="6B8E0186" w14:textId="77777777" w:rsidR="00672112" w:rsidRDefault="00672112" w:rsidP="0067211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 xml:space="preserve">. Así las cosas, del análisis del expediente electrónico no se advierte ninguna causa de improcedencia que se actualice </w:t>
      </w:r>
      <w:r>
        <w:rPr>
          <w:rFonts w:ascii="Palatino Linotype" w:hAnsi="Palatino Linotype" w:cs="Arial"/>
        </w:rPr>
        <w:lastRenderedPageBreak/>
        <w:t>ni mucho menos alguna hecha valer por alguna de las partes, procediendo al estudio del fondo del asunto, en los siguientes términos.</w:t>
      </w:r>
    </w:p>
    <w:p w14:paraId="41331D69" w14:textId="77777777" w:rsidR="00BC6896" w:rsidRDefault="00BC6896" w:rsidP="00672112">
      <w:pPr>
        <w:pStyle w:val="Prrafodelista"/>
        <w:autoSpaceDE w:val="0"/>
        <w:autoSpaceDN w:val="0"/>
        <w:adjustRightInd w:val="0"/>
        <w:spacing w:line="360" w:lineRule="auto"/>
        <w:ind w:left="0"/>
        <w:jc w:val="both"/>
        <w:rPr>
          <w:rFonts w:ascii="Palatino Linotype" w:hAnsi="Palatino Linotype" w:cs="Arial"/>
        </w:rPr>
      </w:pPr>
    </w:p>
    <w:p w14:paraId="7879D459" w14:textId="77777777" w:rsidR="006D5803" w:rsidRPr="009A0D0A" w:rsidRDefault="006D5803" w:rsidP="006D58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74D44481" w14:textId="77777777" w:rsidR="006D5803" w:rsidRPr="00584718" w:rsidRDefault="006D5803" w:rsidP="006D5803">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Antes del entrar al estudio, cabe precisar que </w:t>
      </w:r>
      <w:r w:rsidRPr="00584718">
        <w:rPr>
          <w:rFonts w:ascii="Palatino Linotype" w:eastAsia="Times New Roman" w:hAnsi="Palatino Linotype" w:cs="Times New Roman"/>
          <w:b/>
          <w:sz w:val="24"/>
          <w:szCs w:val="24"/>
          <w:lang w:eastAsia="es-ES"/>
        </w:rPr>
        <w:t>El Sujeto Obligado</w:t>
      </w:r>
      <w:r w:rsidRPr="00584718">
        <w:rPr>
          <w:rFonts w:ascii="Palatino Linotype" w:eastAsia="Times New Roman" w:hAnsi="Palatino Linotype" w:cs="Times New Roman"/>
          <w:sz w:val="24"/>
          <w:szCs w:val="24"/>
          <w:lang w:eastAsia="es-ES"/>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584718">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584718">
        <w:rPr>
          <w:rFonts w:ascii="Palatino Linotype" w:eastAsia="Calibri" w:hAnsi="Palatino Linotype" w:cs="Times New Roman"/>
          <w:b/>
          <w:sz w:val="24"/>
          <w:szCs w:val="24"/>
          <w:lang w:eastAsia="es-ES"/>
        </w:rPr>
        <w:t xml:space="preserve"> </w:t>
      </w:r>
      <w:r w:rsidRPr="00584718">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14:paraId="0E54F18B" w14:textId="77777777" w:rsidR="006D5803" w:rsidRPr="00584718" w:rsidRDefault="006D5803" w:rsidP="006D5803">
      <w:pPr>
        <w:spacing w:after="0" w:line="360" w:lineRule="auto"/>
        <w:jc w:val="both"/>
        <w:rPr>
          <w:rFonts w:ascii="Palatino Linotype" w:eastAsia="Times New Roman" w:hAnsi="Palatino Linotype" w:cs="Times New Roman"/>
          <w:sz w:val="24"/>
          <w:szCs w:val="24"/>
          <w:lang w:eastAsia="es-ES"/>
        </w:rPr>
      </w:pPr>
    </w:p>
    <w:p w14:paraId="6BC30B87" w14:textId="1FFC1144" w:rsidR="006D5803" w:rsidRPr="00584718" w:rsidRDefault="006D5803" w:rsidP="006D5803">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Así las cosas, ante la omisión del Sujeto Obligado para dar respuesta a</w:t>
      </w:r>
      <w:r w:rsidR="000A46DE">
        <w:rPr>
          <w:rFonts w:ascii="Palatino Linotype" w:eastAsia="Times New Roman" w:hAnsi="Palatino Linotype" w:cs="Times New Roman"/>
          <w:sz w:val="24"/>
          <w:szCs w:val="24"/>
          <w:lang w:eastAsia="es-ES"/>
        </w:rPr>
        <w:t xml:space="preserve"> </w:t>
      </w:r>
      <w:r w:rsidR="000A46DE">
        <w:rPr>
          <w:rFonts w:ascii="Palatino Linotype" w:eastAsia="Times New Roman" w:hAnsi="Palatino Linotype" w:cs="Times New Roman"/>
          <w:b/>
          <w:sz w:val="24"/>
          <w:szCs w:val="24"/>
          <w:lang w:eastAsia="es-ES"/>
        </w:rPr>
        <w:t>La</w:t>
      </w:r>
      <w:r w:rsidR="0000045D">
        <w:rPr>
          <w:rFonts w:ascii="Palatino Linotype" w:eastAsia="Times New Roman" w:hAnsi="Palatino Linotype" w:cs="Times New Roman"/>
          <w:b/>
          <w:sz w:val="24"/>
          <w:szCs w:val="24"/>
          <w:lang w:eastAsia="es-ES"/>
        </w:rPr>
        <w:t xml:space="preserve"> </w:t>
      </w:r>
      <w:r w:rsidRPr="00584718">
        <w:rPr>
          <w:rFonts w:ascii="Palatino Linotype" w:eastAsia="Times New Roman" w:hAnsi="Palatino Linotype" w:cs="Times New Roman"/>
          <w:b/>
          <w:sz w:val="24"/>
          <w:szCs w:val="24"/>
          <w:lang w:eastAsia="es-ES"/>
        </w:rPr>
        <w:t>Recurrente</w:t>
      </w:r>
      <w:r w:rsidRPr="00584718">
        <w:rPr>
          <w:rFonts w:ascii="Palatino Linotype" w:eastAsia="Times New Roman" w:hAnsi="Palatino Linotype" w:cs="Times New Roman"/>
          <w:sz w:val="24"/>
          <w:szCs w:val="24"/>
          <w:lang w:eastAsia="es-ES"/>
        </w:rPr>
        <w:t xml:space="preserve">, se advierte lo que en la doctrina se le conoce como </w:t>
      </w:r>
      <w:r w:rsidRPr="00A804BA">
        <w:rPr>
          <w:rFonts w:ascii="Palatino Linotype" w:eastAsia="Times New Roman" w:hAnsi="Palatino Linotype" w:cs="Times New Roman"/>
          <w:b/>
          <w:bCs/>
          <w:i/>
          <w:sz w:val="24"/>
          <w:szCs w:val="24"/>
          <w:lang w:eastAsia="es-ES"/>
        </w:rPr>
        <w:t>negativa ficta</w:t>
      </w:r>
      <w:r w:rsidRPr="00A804BA">
        <w:rPr>
          <w:rFonts w:ascii="Palatino Linotype" w:eastAsia="Times New Roman" w:hAnsi="Palatino Linotype" w:cs="Times New Roman"/>
          <w:b/>
          <w:bCs/>
          <w:sz w:val="24"/>
          <w:szCs w:val="24"/>
          <w:lang w:eastAsia="es-ES"/>
        </w:rPr>
        <w:t>,</w:t>
      </w:r>
      <w:r w:rsidRPr="00584718">
        <w:rPr>
          <w:rFonts w:ascii="Palatino Linotype" w:eastAsia="Times New Roman" w:hAnsi="Palatino Linotype" w:cs="Times New Roman"/>
          <w:sz w:val="24"/>
          <w:szCs w:val="24"/>
          <w:lang w:eastAsia="es-ES"/>
        </w:rPr>
        <w:t xml:space="preserve"> figura jurídica cuya esencia consiste en atribuir un efecto negativo al silencio de la autoridad administrativa frente a las instancias y solicitudes que hagan los particulares.</w:t>
      </w:r>
    </w:p>
    <w:p w14:paraId="349E366D" w14:textId="77777777" w:rsidR="006D5803" w:rsidRDefault="006D5803" w:rsidP="006D5803">
      <w:pPr>
        <w:spacing w:after="0" w:line="360" w:lineRule="auto"/>
        <w:jc w:val="both"/>
        <w:rPr>
          <w:rFonts w:ascii="Palatino Linotype" w:eastAsia="Times New Roman" w:hAnsi="Palatino Linotype" w:cs="Times New Roman"/>
          <w:sz w:val="24"/>
          <w:szCs w:val="24"/>
          <w:lang w:eastAsia="es-ES"/>
        </w:rPr>
      </w:pPr>
    </w:p>
    <w:p w14:paraId="349ABB28" w14:textId="6FF10CEE" w:rsidR="006D5803" w:rsidRDefault="006D5803" w:rsidP="006D5803">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En este </w:t>
      </w:r>
      <w:r w:rsidR="0090162D">
        <w:rPr>
          <w:rFonts w:ascii="Palatino Linotype" w:eastAsia="Times New Roman" w:hAnsi="Palatino Linotype" w:cs="Times New Roman"/>
          <w:sz w:val="24"/>
          <w:szCs w:val="24"/>
          <w:lang w:eastAsia="es-ES"/>
        </w:rPr>
        <w:t>contexto</w:t>
      </w:r>
      <w:r w:rsidRPr="00584718">
        <w:rPr>
          <w:rFonts w:ascii="Palatino Linotype" w:eastAsia="Times New Roman" w:hAnsi="Palatino Linotype" w:cs="Times New Roman"/>
          <w:sz w:val="24"/>
          <w:szCs w:val="24"/>
          <w:lang w:eastAsia="es-ES"/>
        </w:rPr>
        <w:t xml:space="preserve"> la </w:t>
      </w:r>
      <w:r w:rsidRPr="00584718">
        <w:rPr>
          <w:rFonts w:ascii="Palatino Linotype" w:eastAsia="Times New Roman" w:hAnsi="Palatino Linotype" w:cs="Times New Roman"/>
          <w:i/>
          <w:sz w:val="24"/>
          <w:szCs w:val="24"/>
          <w:lang w:eastAsia="es-ES"/>
        </w:rPr>
        <w:t>negativa ficta</w:t>
      </w:r>
      <w:r w:rsidRPr="00584718">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584718">
        <w:rPr>
          <w:rFonts w:ascii="Palatino Linotype" w:eastAsia="Times New Roman" w:hAnsi="Palatino Linotype" w:cs="Times New Roman"/>
          <w:b/>
          <w:sz w:val="24"/>
          <w:szCs w:val="24"/>
          <w:lang w:eastAsia="es-ES"/>
        </w:rPr>
        <w:t xml:space="preserve"> </w:t>
      </w:r>
      <w:r w:rsidRPr="00584718">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w:t>
      </w:r>
      <w:r w:rsidRPr="00584718">
        <w:rPr>
          <w:rFonts w:ascii="Palatino Linotype" w:eastAsia="Times New Roman" w:hAnsi="Palatino Linotype" w:cs="Times New Roman"/>
          <w:sz w:val="24"/>
          <w:szCs w:val="24"/>
          <w:lang w:eastAsia="es-ES"/>
        </w:rPr>
        <w:lastRenderedPageBreak/>
        <w:t xml:space="preserve">consagrado en nuestra Carta Magna, es por ello que constituye un instrumento que garantiza la posibilidad de defensa del particular en contra de la incertidumbre jurídica y que tiende a realizar ese </w:t>
      </w:r>
      <w:r w:rsidRPr="00584718">
        <w:rPr>
          <w:rFonts w:ascii="Palatino Linotype" w:eastAsia="Times New Roman" w:hAnsi="Palatino Linotype" w:cs="Times New Roman"/>
          <w:i/>
          <w:sz w:val="24"/>
          <w:szCs w:val="24"/>
          <w:lang w:eastAsia="es-ES"/>
        </w:rPr>
        <w:t>Estado de Derecho</w:t>
      </w:r>
      <w:r w:rsidRPr="00584718">
        <w:rPr>
          <w:rFonts w:ascii="Palatino Linotype" w:eastAsia="Times New Roman" w:hAnsi="Palatino Linotype" w:cs="Times New Roman"/>
          <w:sz w:val="24"/>
          <w:szCs w:val="24"/>
          <w:lang w:eastAsia="es-ES"/>
        </w:rPr>
        <w:t xml:space="preserve"> en el que, el particular, ti</w:t>
      </w:r>
      <w:r>
        <w:rPr>
          <w:rFonts w:ascii="Palatino Linotype" w:eastAsia="Times New Roman" w:hAnsi="Palatino Linotype" w:cs="Times New Roman"/>
          <w:sz w:val="24"/>
          <w:szCs w:val="24"/>
          <w:lang w:eastAsia="es-ES"/>
        </w:rPr>
        <w:t>ene siempre una vía de defensa.</w:t>
      </w:r>
    </w:p>
    <w:p w14:paraId="487E9C7D" w14:textId="77777777" w:rsidR="006D5803" w:rsidRPr="00584718" w:rsidRDefault="006D5803" w:rsidP="006D5803">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584718">
        <w:rPr>
          <w:rFonts w:ascii="Palatino Linotype" w:eastAsia="Times New Roman" w:hAnsi="Palatino Linotype" w:cs="Times New Roman"/>
          <w:i/>
          <w:sz w:val="24"/>
          <w:szCs w:val="24"/>
          <w:lang w:eastAsia="es-ES"/>
        </w:rPr>
        <w:t>negativa ficta</w:t>
      </w:r>
      <w:r w:rsidRPr="00584718">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w:t>
      </w:r>
      <w:r>
        <w:rPr>
          <w:rFonts w:ascii="Palatino Linotype" w:eastAsia="Times New Roman" w:hAnsi="Palatino Linotype" w:cs="Times New Roman"/>
          <w:sz w:val="24"/>
          <w:szCs w:val="24"/>
          <w:lang w:eastAsia="es-ES"/>
        </w:rPr>
        <w:t xml:space="preserve"> </w:t>
      </w:r>
      <w:r w:rsidRPr="00584718">
        <w:rPr>
          <w:rFonts w:ascii="Palatino Linotype" w:eastAsia="Times New Roman" w:hAnsi="Palatino Linotype" w:cs="Times New Roman"/>
          <w:sz w:val="24"/>
          <w:szCs w:val="24"/>
          <w:lang w:eastAsia="es-ES"/>
        </w:rPr>
        <w:t>y 160, de la Ley local en la materia, que a la letra citan:</w:t>
      </w:r>
    </w:p>
    <w:p w14:paraId="7010D119" w14:textId="77777777" w:rsidR="006D5803" w:rsidRPr="00584718" w:rsidRDefault="006D5803" w:rsidP="006D5803">
      <w:pPr>
        <w:pStyle w:val="infoemcitas"/>
        <w:rPr>
          <w:lang w:eastAsia="es-ES"/>
        </w:rPr>
      </w:pPr>
      <w:r>
        <w:rPr>
          <w:b/>
          <w:lang w:eastAsia="es-ES"/>
        </w:rPr>
        <w:t>“</w:t>
      </w:r>
      <w:r w:rsidRPr="00584718">
        <w:rPr>
          <w:b/>
          <w:lang w:eastAsia="es-ES"/>
        </w:rPr>
        <w:t>Artículo 4.</w:t>
      </w:r>
      <w:r w:rsidRPr="00584718">
        <w:rPr>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032A085" w14:textId="77777777" w:rsidR="006D5803" w:rsidRPr="00584718" w:rsidRDefault="006D5803" w:rsidP="006D5803">
      <w:pPr>
        <w:pStyle w:val="infoemcitas"/>
        <w:rPr>
          <w:lang w:eastAsia="es-ES"/>
        </w:rPr>
      </w:pPr>
      <w:r w:rsidRPr="00584718">
        <w:rPr>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D1D861A" w14:textId="77777777" w:rsidR="006D5803" w:rsidRPr="00584718" w:rsidRDefault="006D5803" w:rsidP="006D5803">
      <w:pPr>
        <w:pStyle w:val="infoemcitas"/>
        <w:rPr>
          <w:lang w:eastAsia="es-ES"/>
        </w:rPr>
      </w:pPr>
      <w:r w:rsidRPr="00584718">
        <w:rPr>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14:paraId="40AE44F9" w14:textId="77777777" w:rsidR="006D5803" w:rsidRPr="00584718" w:rsidRDefault="006D5803" w:rsidP="006D5803">
      <w:pPr>
        <w:pStyle w:val="infoemcitas"/>
        <w:rPr>
          <w:lang w:eastAsia="es-ES"/>
        </w:rPr>
      </w:pPr>
      <w:r w:rsidRPr="00584718">
        <w:rPr>
          <w:b/>
          <w:lang w:eastAsia="es-ES"/>
        </w:rPr>
        <w:t>Artículo 12.</w:t>
      </w:r>
      <w:r w:rsidRPr="00584718">
        <w:rPr>
          <w:lang w:eastAsia="es-ES"/>
        </w:rPr>
        <w:t xml:space="preserve"> Quienes generen, recopilen, administren, manejen, procesen, archiven o conserven información pública serán responsables de la misma en los términos de las disposiciones jurídicas aplicables.</w:t>
      </w:r>
    </w:p>
    <w:p w14:paraId="7898E0C4" w14:textId="77777777" w:rsidR="006D5803" w:rsidRPr="00584718" w:rsidRDefault="006D5803" w:rsidP="006D5803">
      <w:pPr>
        <w:pStyle w:val="infoemcitas"/>
        <w:rPr>
          <w:lang w:eastAsia="es-ES"/>
        </w:rPr>
      </w:pPr>
      <w:r w:rsidRPr="00584718">
        <w:rPr>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BF3B704" w14:textId="77777777" w:rsidR="006D5803" w:rsidRPr="00584718" w:rsidRDefault="006D5803" w:rsidP="006D5803">
      <w:pPr>
        <w:pStyle w:val="infoemcitas"/>
        <w:rPr>
          <w:lang w:eastAsia="es-ES"/>
        </w:rPr>
      </w:pPr>
      <w:r w:rsidRPr="00584718">
        <w:rPr>
          <w:lang w:eastAsia="es-ES"/>
        </w:rPr>
        <w:t>(…)</w:t>
      </w:r>
    </w:p>
    <w:p w14:paraId="6FC0D903" w14:textId="77777777" w:rsidR="006D5803" w:rsidRPr="00584718" w:rsidRDefault="006D5803" w:rsidP="006D5803">
      <w:pPr>
        <w:pStyle w:val="infoemcitas"/>
        <w:rPr>
          <w:lang w:eastAsia="es-ES"/>
        </w:rPr>
      </w:pPr>
      <w:r w:rsidRPr="00584718">
        <w:rPr>
          <w:b/>
          <w:lang w:eastAsia="es-ES"/>
        </w:rPr>
        <w:t>Artículo 160.</w:t>
      </w:r>
      <w:r w:rsidRPr="00584718">
        <w:rPr>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45229A5" w14:textId="77777777" w:rsidR="006D5803" w:rsidRPr="00F66CC7" w:rsidRDefault="006D5803" w:rsidP="006D5803">
      <w:pPr>
        <w:pStyle w:val="infoemcitas"/>
        <w:rPr>
          <w:b/>
          <w:bCs/>
          <w:lang w:eastAsia="es-ES"/>
        </w:rPr>
      </w:pPr>
      <w:r w:rsidRPr="00584718">
        <w:rPr>
          <w:lang w:eastAsia="es-ES"/>
        </w:rPr>
        <w:t>En caso que la información solicitada consista en bases de datos se deberá privilegiar la entrega de la misma en formatos abiertos.</w:t>
      </w:r>
      <w:r>
        <w:rPr>
          <w:lang w:eastAsia="es-ES"/>
        </w:rPr>
        <w:t xml:space="preserve">” </w:t>
      </w:r>
      <w:r>
        <w:rPr>
          <w:b/>
          <w:bCs/>
          <w:lang w:eastAsia="es-ES"/>
        </w:rPr>
        <w:t>[Sic]</w:t>
      </w:r>
    </w:p>
    <w:p w14:paraId="6F148BF6" w14:textId="77777777" w:rsidR="006D5803" w:rsidRDefault="006D5803" w:rsidP="006D5803">
      <w:pPr>
        <w:spacing w:after="0" w:line="360" w:lineRule="auto"/>
        <w:jc w:val="both"/>
        <w:rPr>
          <w:rFonts w:ascii="Palatino Linotype" w:eastAsia="Times New Roman" w:hAnsi="Palatino Linotype" w:cs="Times New Roman"/>
          <w:sz w:val="24"/>
          <w:szCs w:val="24"/>
          <w:lang w:eastAsia="es-ES"/>
        </w:rPr>
      </w:pPr>
    </w:p>
    <w:p w14:paraId="024A413A" w14:textId="77777777" w:rsidR="006D5803" w:rsidRPr="00584718" w:rsidRDefault="006D5803" w:rsidP="006D5803">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w:t>
      </w:r>
      <w:r w:rsidRPr="00584718">
        <w:rPr>
          <w:rFonts w:ascii="Palatino Linotype" w:eastAsia="Times New Roman" w:hAnsi="Palatino Linotype" w:cs="Times New Roman"/>
          <w:sz w:val="24"/>
          <w:szCs w:val="24"/>
          <w:lang w:eastAsia="es-ES"/>
        </w:rPr>
        <w:lastRenderedPageBreak/>
        <w:t xml:space="preserve">a su disposición la información requerida, o cuando realice la consulta de la misma en el lugar que ésta se localice, de acuerdo a lo señalado por el artículo 166 </w:t>
      </w:r>
      <w:r w:rsidRPr="00584718">
        <w:rPr>
          <w:rFonts w:ascii="Palatino Linotype" w:eastAsia="Times New Roman" w:hAnsi="Palatino Linotype" w:cs="Times New Roman"/>
          <w:bCs/>
          <w:sz w:val="24"/>
          <w:szCs w:val="24"/>
          <w:lang w:eastAsia="es-ES"/>
        </w:rPr>
        <w:t>de la Ley local en la materia, que se reproduce de la siguiente forma</w:t>
      </w:r>
      <w:r w:rsidRPr="00584718">
        <w:rPr>
          <w:rFonts w:ascii="Palatino Linotype" w:eastAsia="Times New Roman" w:hAnsi="Palatino Linotype" w:cs="Times New Roman"/>
          <w:sz w:val="24"/>
          <w:szCs w:val="24"/>
          <w:lang w:eastAsia="es-ES"/>
        </w:rPr>
        <w:t>:</w:t>
      </w:r>
    </w:p>
    <w:p w14:paraId="75B4EE10" w14:textId="77777777" w:rsidR="006D5803" w:rsidRPr="00584718" w:rsidRDefault="006D5803" w:rsidP="006D5803">
      <w:pPr>
        <w:pStyle w:val="Sinespaciado"/>
      </w:pPr>
    </w:p>
    <w:p w14:paraId="391DCB29" w14:textId="77777777" w:rsidR="006D5803" w:rsidRDefault="006D5803" w:rsidP="006D5803">
      <w:pPr>
        <w:pStyle w:val="infoemcitas"/>
        <w:rPr>
          <w:b/>
          <w:bCs/>
          <w:lang w:eastAsia="es-ES"/>
        </w:rPr>
      </w:pPr>
      <w:r>
        <w:rPr>
          <w:lang w:eastAsia="es-ES"/>
        </w:rPr>
        <w:t>“</w:t>
      </w:r>
      <w:r w:rsidRPr="00584718">
        <w:rPr>
          <w:lang w:eastAsia="es-ES"/>
        </w:rPr>
        <w:t>Artículo 166. La obligación de acceso a la información pública se tendrá por cumplida cuando el solicitante tenga a su disposición la información requerida, o cuando realice la consulta de la misma en el lugar en el que ésta se localice.</w:t>
      </w:r>
      <w:r>
        <w:rPr>
          <w:lang w:eastAsia="es-ES"/>
        </w:rPr>
        <w:t xml:space="preserve">” </w:t>
      </w:r>
      <w:r>
        <w:rPr>
          <w:b/>
          <w:bCs/>
          <w:lang w:eastAsia="es-ES"/>
        </w:rPr>
        <w:t>[Sic]</w:t>
      </w:r>
    </w:p>
    <w:p w14:paraId="01E280B7" w14:textId="77777777" w:rsidR="00BC6896" w:rsidRDefault="00BC6896" w:rsidP="006D5803">
      <w:pPr>
        <w:spacing w:after="0" w:line="360" w:lineRule="auto"/>
        <w:jc w:val="both"/>
        <w:rPr>
          <w:rFonts w:ascii="Palatino Linotype" w:eastAsia="Times New Roman" w:hAnsi="Palatino Linotype" w:cs="Times New Roman"/>
          <w:sz w:val="24"/>
          <w:szCs w:val="24"/>
          <w:lang w:eastAsia="es-ES"/>
        </w:rPr>
      </w:pPr>
    </w:p>
    <w:p w14:paraId="0C4386C9" w14:textId="56E9A4CD" w:rsidR="006D5803" w:rsidRPr="00584718" w:rsidRDefault="006D5803" w:rsidP="006D5803">
      <w:pPr>
        <w:spacing w:after="0" w:line="360" w:lineRule="auto"/>
        <w:jc w:val="both"/>
        <w:rPr>
          <w:rFonts w:ascii="Palatino Linotype" w:eastAsia="Times New Roman" w:hAnsi="Palatino Linotype" w:cs="Times New Roman"/>
          <w:sz w:val="24"/>
          <w:szCs w:val="24"/>
          <w:lang w:eastAsia="es-ES"/>
        </w:rPr>
      </w:pPr>
      <w:r w:rsidRPr="00584718">
        <w:rPr>
          <w:rFonts w:ascii="Palatino Linotype" w:eastAsia="Times New Roman" w:hAnsi="Palatino Linotype" w:cs="Times New Roman"/>
          <w:sz w:val="24"/>
          <w:szCs w:val="24"/>
          <w:lang w:eastAsia="es-ES"/>
        </w:rPr>
        <w:t>De lo anterior, conforme a las acciones del Sujeto Obligado, se establece que éste vulnera el derecho de acceso a la i</w:t>
      </w:r>
      <w:r w:rsidR="00F6232F">
        <w:rPr>
          <w:rFonts w:ascii="Palatino Linotype" w:eastAsia="Times New Roman" w:hAnsi="Palatino Linotype" w:cs="Times New Roman"/>
          <w:sz w:val="24"/>
          <w:szCs w:val="24"/>
          <w:lang w:eastAsia="es-ES"/>
        </w:rPr>
        <w:t>nformación pública de La</w:t>
      </w:r>
      <w:r w:rsidRPr="00584718">
        <w:rPr>
          <w:rFonts w:ascii="Palatino Linotype" w:eastAsia="Times New Roman" w:hAnsi="Palatino Linotype" w:cs="Times New Roman"/>
          <w:sz w:val="24"/>
          <w:szCs w:val="24"/>
          <w:lang w:eastAsia="es-ES"/>
        </w:rPr>
        <w:t xml:space="preserve"> Recurrente, toda vez que no entrega respuesta a la solicitud de información presentada, de conformidad a lo establecido en </w:t>
      </w:r>
      <w:r>
        <w:rPr>
          <w:rFonts w:ascii="Palatino Linotype" w:eastAsia="Times New Roman" w:hAnsi="Palatino Linotype" w:cs="Times New Roman"/>
          <w:sz w:val="24"/>
          <w:szCs w:val="24"/>
          <w:lang w:eastAsia="es-ES"/>
        </w:rPr>
        <w:t>el</w:t>
      </w:r>
      <w:r w:rsidRPr="00584718">
        <w:rPr>
          <w:rFonts w:ascii="Palatino Linotype" w:eastAsia="Times New Roman" w:hAnsi="Palatino Linotype" w:cs="Times New Roman"/>
          <w:sz w:val="24"/>
          <w:szCs w:val="24"/>
          <w:lang w:eastAsia="es-ES"/>
        </w:rPr>
        <w:t xml:space="preserve"> artículo 24 fracción XI</w:t>
      </w:r>
      <w:r>
        <w:rPr>
          <w:rFonts w:ascii="Palatino Linotype" w:eastAsia="Times New Roman" w:hAnsi="Palatino Linotype" w:cs="Times New Roman"/>
          <w:sz w:val="24"/>
          <w:szCs w:val="24"/>
          <w:lang w:eastAsia="es-ES"/>
        </w:rPr>
        <w:t xml:space="preserve"> </w:t>
      </w:r>
      <w:r w:rsidRPr="00584718">
        <w:rPr>
          <w:rFonts w:ascii="Palatino Linotype" w:eastAsia="Times New Roman" w:hAnsi="Palatino Linotype" w:cs="Times New Roman"/>
          <w:sz w:val="24"/>
          <w:szCs w:val="24"/>
          <w:lang w:eastAsia="es-ES"/>
        </w:rPr>
        <w:t>de la ley local en la materia, y que señala:</w:t>
      </w:r>
    </w:p>
    <w:p w14:paraId="4C2DBE64" w14:textId="77777777" w:rsidR="006D5803" w:rsidRPr="00584718" w:rsidRDefault="006D5803" w:rsidP="006D5803">
      <w:pPr>
        <w:pStyle w:val="infoemcitas"/>
        <w:rPr>
          <w:lang w:eastAsia="es-ES"/>
        </w:rPr>
      </w:pPr>
      <w:r>
        <w:rPr>
          <w:b/>
          <w:lang w:eastAsia="es-ES"/>
        </w:rPr>
        <w:t>“</w:t>
      </w:r>
      <w:r w:rsidRPr="00584718">
        <w:rPr>
          <w:b/>
          <w:lang w:eastAsia="es-ES"/>
        </w:rPr>
        <w:t>A</w:t>
      </w:r>
      <w:r w:rsidRPr="00584718">
        <w:rPr>
          <w:b/>
          <w:bCs/>
          <w:lang w:eastAsia="es-ES"/>
        </w:rPr>
        <w:t>rtículo 24.</w:t>
      </w:r>
      <w:r w:rsidRPr="00584718">
        <w:rPr>
          <w:bCs/>
          <w:lang w:eastAsia="es-ES"/>
        </w:rPr>
        <w:t xml:space="preserve"> </w:t>
      </w:r>
      <w:r w:rsidRPr="00584718">
        <w:rPr>
          <w:lang w:eastAsia="es-ES"/>
        </w:rPr>
        <w:t>Para el cumplimiento de los objetivos de esta Ley, los sujetos obligados deberán cumplir con las siguientes obligaciones, según corresponda, de acuerdo a su naturaleza:</w:t>
      </w:r>
    </w:p>
    <w:p w14:paraId="11EDE46A" w14:textId="77777777" w:rsidR="006D5803" w:rsidRPr="00584718" w:rsidRDefault="006D5803" w:rsidP="006D5803">
      <w:pPr>
        <w:pStyle w:val="infoemcitas"/>
        <w:rPr>
          <w:lang w:eastAsia="es-ES"/>
        </w:rPr>
      </w:pPr>
      <w:r w:rsidRPr="00584718">
        <w:rPr>
          <w:bCs/>
          <w:lang w:eastAsia="es-ES"/>
        </w:rPr>
        <w:t>(..</w:t>
      </w:r>
      <w:r w:rsidRPr="00584718">
        <w:rPr>
          <w:lang w:eastAsia="es-ES"/>
        </w:rPr>
        <w:t>.)</w:t>
      </w:r>
    </w:p>
    <w:p w14:paraId="6E606111" w14:textId="77777777" w:rsidR="006D5803" w:rsidRDefault="006D5803" w:rsidP="006D5803">
      <w:pPr>
        <w:pStyle w:val="infoemcitas"/>
        <w:rPr>
          <w:bCs/>
          <w:lang w:eastAsia="es-ES"/>
        </w:rPr>
      </w:pPr>
      <w:r w:rsidRPr="00584718">
        <w:rPr>
          <w:bCs/>
          <w:lang w:eastAsia="es-ES"/>
        </w:rPr>
        <w:t>XI. Dar acceso a la información pública que le sea requerida, en los términos de la Ley General, esta Ley y demás disposiciones jurídicas aplicables;</w:t>
      </w:r>
    </w:p>
    <w:p w14:paraId="0278A99D" w14:textId="01770080" w:rsidR="006D5803" w:rsidRDefault="006D5803" w:rsidP="006D5803">
      <w:pPr>
        <w:pStyle w:val="infoemcitas"/>
        <w:rPr>
          <w:b/>
          <w:lang w:eastAsia="es-ES"/>
        </w:rPr>
      </w:pPr>
      <w:r>
        <w:rPr>
          <w:bCs/>
          <w:lang w:eastAsia="es-ES"/>
        </w:rPr>
        <w:t xml:space="preserve">(…)” </w:t>
      </w:r>
      <w:r>
        <w:rPr>
          <w:b/>
          <w:lang w:eastAsia="es-ES"/>
        </w:rPr>
        <w:t>[Sic]</w:t>
      </w:r>
    </w:p>
    <w:p w14:paraId="4D5ACC66" w14:textId="77777777" w:rsidR="00943DF1" w:rsidRPr="00F66CC7" w:rsidRDefault="00943DF1" w:rsidP="006D5803">
      <w:pPr>
        <w:pStyle w:val="infoemcitas"/>
        <w:rPr>
          <w:b/>
          <w:lang w:eastAsia="es-ES"/>
        </w:rPr>
      </w:pPr>
    </w:p>
    <w:p w14:paraId="7319C543" w14:textId="77777777" w:rsidR="006D5803" w:rsidRDefault="006D5803" w:rsidP="006D5803">
      <w:pPr>
        <w:pStyle w:val="Prrafodelista"/>
        <w:autoSpaceDE w:val="0"/>
        <w:autoSpaceDN w:val="0"/>
        <w:adjustRightInd w:val="0"/>
        <w:spacing w:line="360" w:lineRule="auto"/>
        <w:ind w:left="0"/>
        <w:jc w:val="both"/>
        <w:rPr>
          <w:rFonts w:ascii="Palatino Linotype" w:hAnsi="Palatino Linotype" w:cs="Arial"/>
        </w:rPr>
      </w:pPr>
      <w:r w:rsidRPr="00584718">
        <w:rPr>
          <w:rFonts w:ascii="Palatino Linotype" w:hAnsi="Palatino Linotype" w:cs="Arial"/>
        </w:rPr>
        <w:lastRenderedPageBreak/>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EB19D6A" w14:textId="77777777" w:rsidR="006D5803" w:rsidRDefault="006D5803" w:rsidP="006D5803">
      <w:pPr>
        <w:pStyle w:val="Prrafodelista"/>
        <w:autoSpaceDE w:val="0"/>
        <w:autoSpaceDN w:val="0"/>
        <w:adjustRightInd w:val="0"/>
        <w:spacing w:line="360" w:lineRule="auto"/>
        <w:ind w:left="0"/>
        <w:jc w:val="both"/>
        <w:rPr>
          <w:rFonts w:ascii="Palatino Linotype" w:hAnsi="Palatino Linotype" w:cs="Arial"/>
        </w:rPr>
      </w:pPr>
    </w:p>
    <w:p w14:paraId="3EF0D1EF" w14:textId="6FF763E5" w:rsidR="006D5803" w:rsidRDefault="006D5803" w:rsidP="006D5803">
      <w:pPr>
        <w:pStyle w:val="Prrafodelista"/>
        <w:autoSpaceDE w:val="0"/>
        <w:autoSpaceDN w:val="0"/>
        <w:adjustRightInd w:val="0"/>
        <w:spacing w:line="360" w:lineRule="auto"/>
        <w:ind w:left="0"/>
        <w:jc w:val="both"/>
        <w:rPr>
          <w:rFonts w:ascii="Palatino Linotype" w:hAnsi="Palatino Linotype" w:cs="Arial"/>
        </w:rPr>
      </w:pPr>
      <w:r w:rsidRPr="00584718">
        <w:rPr>
          <w:rFonts w:ascii="Palatino Linotype" w:hAnsi="Palatino Linotype" w:cs="Arial"/>
        </w:rPr>
        <w:t xml:space="preserve">Por otra parte, al referirnos al acto impugnado por </w:t>
      </w:r>
      <w:r w:rsidR="00F6232F">
        <w:rPr>
          <w:rFonts w:ascii="Palatino Linotype" w:hAnsi="Palatino Linotype" w:cs="Arial"/>
          <w:b/>
        </w:rPr>
        <w:t>La</w:t>
      </w:r>
      <w:r w:rsidRPr="00584718">
        <w:rPr>
          <w:rFonts w:ascii="Palatino Linotype" w:hAnsi="Palatino Linotype" w:cs="Arial"/>
          <w:b/>
        </w:rPr>
        <w:t xml:space="preserve"> Recurrente, </w:t>
      </w:r>
      <w:r w:rsidRPr="00584718">
        <w:rPr>
          <w:rFonts w:ascii="Palatino Linotype" w:hAnsi="Palatino Linotype" w:cs="Arial"/>
        </w:rPr>
        <w:t>concatenado con los motivos o razones de inconformidad emitidos, se distingue que se adolece, de forma toral, de la falta de respuesta a la solicitud de acceso a la información pública, actualizando con ello lo establecido en la fracción VII, del artículo 179, de la Ley de Transparencia y Acceso a la Información Pública del Estado de México y Municipios, el cual a la letra reza:</w:t>
      </w:r>
    </w:p>
    <w:p w14:paraId="5B2EB262" w14:textId="77777777" w:rsidR="006D5803" w:rsidRDefault="006D5803" w:rsidP="006D5803">
      <w:pPr>
        <w:pStyle w:val="infoemcitas"/>
      </w:pPr>
      <w:r w:rsidRPr="00584718">
        <w:rPr>
          <w:b/>
          <w:bCs/>
        </w:rPr>
        <w:t xml:space="preserve">“Artículo 179. </w:t>
      </w:r>
      <w:r w:rsidRPr="00584718">
        <w:t>El recurso de revisión es un medio de protección que la Ley otorga a los particulares, para hacer valer su derecho de acceso a la información pública, y procederá en contra de las siguientes causas:</w:t>
      </w:r>
    </w:p>
    <w:p w14:paraId="297E4068" w14:textId="77777777" w:rsidR="006D5803" w:rsidRPr="00584718" w:rsidRDefault="006D5803" w:rsidP="006D5803">
      <w:pPr>
        <w:pStyle w:val="infoemcitas"/>
      </w:pPr>
      <w:r>
        <w:rPr>
          <w:b/>
          <w:bCs/>
        </w:rPr>
        <w:t>(…</w:t>
      </w:r>
      <w:r>
        <w:t>)</w:t>
      </w:r>
    </w:p>
    <w:p w14:paraId="6B799159" w14:textId="77777777" w:rsidR="006D5803" w:rsidRPr="00584718" w:rsidRDefault="006D5803" w:rsidP="006D5803">
      <w:pPr>
        <w:pStyle w:val="infoemcitas"/>
      </w:pPr>
      <w:r w:rsidRPr="00584718">
        <w:rPr>
          <w:b/>
          <w:bCs/>
        </w:rPr>
        <w:t xml:space="preserve">VII. </w:t>
      </w:r>
      <w:r w:rsidRPr="00584718">
        <w:t>La falta de respuesta a una solicitud de acceso a la información</w:t>
      </w:r>
    </w:p>
    <w:p w14:paraId="31C9ECAF" w14:textId="2F6041BD" w:rsidR="006D5803" w:rsidRDefault="006D5803" w:rsidP="006D5803">
      <w:pPr>
        <w:pStyle w:val="infoemcitas"/>
        <w:rPr>
          <w:rFonts w:cs="Arial"/>
          <w:b/>
        </w:rPr>
      </w:pPr>
      <w:r w:rsidRPr="00584718">
        <w:rPr>
          <w:rFonts w:cs="Arial"/>
          <w:b/>
        </w:rPr>
        <w:t>(…)”</w:t>
      </w:r>
      <w:r w:rsidRPr="00584718">
        <w:rPr>
          <w:rFonts w:cs="Arial"/>
        </w:rPr>
        <w:t xml:space="preserve"> </w:t>
      </w:r>
      <w:r w:rsidRPr="00584718">
        <w:rPr>
          <w:rFonts w:cs="Arial"/>
          <w:b/>
        </w:rPr>
        <w:t>[Sic]</w:t>
      </w:r>
    </w:p>
    <w:p w14:paraId="1AC6AA7B" w14:textId="77777777" w:rsidR="00943DF1" w:rsidRDefault="00943DF1" w:rsidP="006D5803">
      <w:pPr>
        <w:pStyle w:val="infoemcitas"/>
        <w:rPr>
          <w:rFonts w:cs="Arial"/>
          <w:b/>
        </w:rPr>
      </w:pPr>
    </w:p>
    <w:p w14:paraId="2A89B80A" w14:textId="4E4C9291" w:rsidR="006D5803" w:rsidRDefault="006D5803" w:rsidP="006D5803">
      <w:pPr>
        <w:pStyle w:val="Prrafodelista"/>
        <w:autoSpaceDE w:val="0"/>
        <w:autoSpaceDN w:val="0"/>
        <w:adjustRightInd w:val="0"/>
        <w:spacing w:line="360" w:lineRule="auto"/>
        <w:ind w:left="0"/>
        <w:jc w:val="both"/>
        <w:rPr>
          <w:rFonts w:ascii="Palatino Linotype" w:hAnsi="Palatino Linotype"/>
        </w:rPr>
      </w:pPr>
      <w:r w:rsidRPr="00584718">
        <w:rPr>
          <w:rFonts w:ascii="Palatino Linotype" w:hAnsi="Palatino Linotype" w:cs="Arial"/>
        </w:rPr>
        <w:lastRenderedPageBreak/>
        <w:t xml:space="preserve">En este tenor, resulta evidente que las razones o motivos de inconformidad hechos valer por </w:t>
      </w:r>
      <w:r w:rsidR="000A46DE">
        <w:rPr>
          <w:rFonts w:ascii="Palatino Linotype" w:hAnsi="Palatino Linotype" w:cs="Arial"/>
          <w:b/>
        </w:rPr>
        <w:t>La</w:t>
      </w:r>
      <w:r w:rsidRPr="00584718">
        <w:rPr>
          <w:rFonts w:ascii="Palatino Linotype" w:hAnsi="Palatino Linotype" w:cs="Arial"/>
          <w:b/>
        </w:rPr>
        <w:t xml:space="preserve"> Recurrente, </w:t>
      </w:r>
      <w:r w:rsidRPr="00584718">
        <w:rPr>
          <w:rFonts w:ascii="Palatino Linotype" w:hAnsi="Palatino Linotype" w:cs="Arial"/>
        </w:rPr>
        <w:t xml:space="preserve">resultan fundados y procedentes, en virtud de que como consta en </w:t>
      </w:r>
      <w:r>
        <w:rPr>
          <w:rFonts w:ascii="Palatino Linotype" w:hAnsi="Palatino Linotype" w:cs="Arial"/>
        </w:rPr>
        <w:t>el expediente electrónico</w:t>
      </w:r>
      <w:r w:rsidRPr="00584718">
        <w:rPr>
          <w:rFonts w:ascii="Palatino Linotype" w:hAnsi="Palatino Linotype" w:cs="Arial"/>
        </w:rPr>
        <w:t xml:space="preserve"> del </w:t>
      </w:r>
      <w:r w:rsidRPr="00584718">
        <w:rPr>
          <w:rFonts w:ascii="Palatino Linotype" w:hAnsi="Palatino Linotype" w:cs="Arial"/>
          <w:b/>
        </w:rPr>
        <w:t xml:space="preserve">SAIMEX, </w:t>
      </w:r>
      <w:r w:rsidRPr="00584718">
        <w:rPr>
          <w:rFonts w:ascii="Palatino Linotype" w:hAnsi="Palatino Linotype" w:cs="Arial"/>
        </w:rPr>
        <w:t xml:space="preserve">se acredita que </w:t>
      </w:r>
      <w:r w:rsidRPr="00584718">
        <w:rPr>
          <w:rFonts w:ascii="Palatino Linotype" w:hAnsi="Palatino Linotype" w:cs="Arial"/>
          <w:b/>
        </w:rPr>
        <w:t xml:space="preserve">El Sujeto Obligado </w:t>
      </w:r>
      <w:r w:rsidRPr="00584718">
        <w:rPr>
          <w:rFonts w:ascii="Palatino Linotype" w:hAnsi="Palatino Linotype" w:cs="Arial"/>
        </w:rPr>
        <w:t xml:space="preserve">fue omiso en responder la solicitud de información hecha por </w:t>
      </w:r>
      <w:r w:rsidR="000A46DE">
        <w:rPr>
          <w:rFonts w:ascii="Palatino Linotype" w:hAnsi="Palatino Linotype" w:cs="Arial"/>
          <w:b/>
        </w:rPr>
        <w:t>La</w:t>
      </w:r>
      <w:r w:rsidRPr="00584718">
        <w:rPr>
          <w:rFonts w:ascii="Palatino Linotype" w:hAnsi="Palatino Linotype" w:cs="Arial"/>
          <w:b/>
        </w:rPr>
        <w:t xml:space="preserve"> Recurrente, </w:t>
      </w:r>
      <w:r w:rsidRPr="00584718">
        <w:rPr>
          <w:rFonts w:ascii="Palatino Linotype" w:hAnsi="Palatino Linotype" w:cs="Arial"/>
        </w:rPr>
        <w:t xml:space="preserve">por ello </w:t>
      </w:r>
      <w:r w:rsidRPr="00584718">
        <w:rPr>
          <w:rFonts w:ascii="Palatino Linotype" w:hAnsi="Palatino Linotype"/>
        </w:rPr>
        <w:t>se ordena dar vista al Titular de la Contraloría Interna y Órgano de Control y Vigilancia de este Instituto, de conformidad con el artículo 190, de la Ley de Transparencia y Acceso a la Información Pública del Estado de México y Municipios, a efecto de que determine lo conducente.</w:t>
      </w:r>
    </w:p>
    <w:p w14:paraId="697092C4" w14:textId="77777777" w:rsidR="00BC6896" w:rsidRDefault="00BC6896" w:rsidP="006D5803">
      <w:pPr>
        <w:pStyle w:val="Prrafodelista"/>
        <w:autoSpaceDE w:val="0"/>
        <w:autoSpaceDN w:val="0"/>
        <w:adjustRightInd w:val="0"/>
        <w:spacing w:line="360" w:lineRule="auto"/>
        <w:ind w:left="0"/>
        <w:jc w:val="both"/>
        <w:rPr>
          <w:rFonts w:ascii="Palatino Linotype" w:hAnsi="Palatino Linotype" w:cs="Arial"/>
          <w:b/>
        </w:rPr>
      </w:pPr>
    </w:p>
    <w:p w14:paraId="666E9B36" w14:textId="4EC97B17" w:rsidR="006D5803" w:rsidRDefault="006D5803" w:rsidP="006D5803">
      <w:pPr>
        <w:pStyle w:val="Prrafodelista"/>
        <w:autoSpaceDE w:val="0"/>
        <w:autoSpaceDN w:val="0"/>
        <w:adjustRightInd w:val="0"/>
        <w:spacing w:line="360" w:lineRule="auto"/>
        <w:ind w:left="0"/>
        <w:jc w:val="both"/>
        <w:rPr>
          <w:rFonts w:ascii="Palatino Linotype" w:hAnsi="Palatino Linotype" w:cs="Arial"/>
        </w:rPr>
      </w:pPr>
      <w:r w:rsidRPr="00584718">
        <w:rPr>
          <w:rFonts w:ascii="Palatino Linotype" w:hAnsi="Palatino Linotype" w:cs="Arial"/>
        </w:rPr>
        <w:t xml:space="preserve">Dicho lo anterior, considerando la información requerida por </w:t>
      </w:r>
      <w:r w:rsidR="000A46DE">
        <w:rPr>
          <w:rFonts w:ascii="Palatino Linotype" w:hAnsi="Palatino Linotype" w:cs="Arial"/>
          <w:b/>
        </w:rPr>
        <w:t>La</w:t>
      </w:r>
      <w:r w:rsidRPr="00584718">
        <w:rPr>
          <w:rFonts w:ascii="Palatino Linotype" w:hAnsi="Palatino Linotype" w:cs="Arial"/>
          <w:b/>
        </w:rPr>
        <w:t xml:space="preserve"> Recurrente </w:t>
      </w:r>
      <w:r w:rsidRPr="00584718">
        <w:rPr>
          <w:rFonts w:ascii="Palatino Linotype" w:hAnsi="Palatino Linotype" w:cs="Arial"/>
        </w:rPr>
        <w:t xml:space="preserve">en su solicitud de información, y ante la falta de respuesta, se establece que la materia de estudio se centrará en las atribuciones del </w:t>
      </w:r>
      <w:r w:rsidRPr="00584718">
        <w:rPr>
          <w:rFonts w:ascii="Palatino Linotype" w:hAnsi="Palatino Linotype" w:cs="Arial"/>
          <w:b/>
        </w:rPr>
        <w:t xml:space="preserve">Sujeto Obligado, </w:t>
      </w:r>
      <w:r w:rsidRPr="00584718">
        <w:rPr>
          <w:rFonts w:ascii="Palatino Linotype" w:hAnsi="Palatino Linotype" w:cs="Arial"/>
        </w:rPr>
        <w:t>a efecto de determinar si éste genera, posee o administra dicha información.</w:t>
      </w:r>
    </w:p>
    <w:p w14:paraId="3C455969" w14:textId="77777777" w:rsidR="006D5803" w:rsidRDefault="006D5803" w:rsidP="006D5803">
      <w:pPr>
        <w:pStyle w:val="Prrafodelista"/>
        <w:autoSpaceDE w:val="0"/>
        <w:autoSpaceDN w:val="0"/>
        <w:adjustRightInd w:val="0"/>
        <w:spacing w:line="360" w:lineRule="auto"/>
        <w:ind w:left="0"/>
        <w:jc w:val="both"/>
        <w:rPr>
          <w:rFonts w:ascii="Palatino Linotype" w:hAnsi="Palatino Linotype" w:cs="Arial"/>
        </w:rPr>
      </w:pPr>
    </w:p>
    <w:p w14:paraId="4B83DD7F" w14:textId="77777777" w:rsidR="006D5803" w:rsidRDefault="006D5803" w:rsidP="006D5803">
      <w:pPr>
        <w:pStyle w:val="Prrafodelista"/>
        <w:autoSpaceDE w:val="0"/>
        <w:autoSpaceDN w:val="0"/>
        <w:adjustRightInd w:val="0"/>
        <w:spacing w:line="360" w:lineRule="auto"/>
        <w:ind w:left="0"/>
        <w:jc w:val="both"/>
        <w:rPr>
          <w:rFonts w:ascii="Palatino Linotype" w:hAnsi="Palatino Linotype" w:cs="Arial"/>
        </w:rPr>
      </w:pPr>
      <w:r w:rsidRPr="00584718">
        <w:rPr>
          <w:rFonts w:ascii="Palatino Linotype" w:hAnsi="Palatino Linotype" w:cs="Arial"/>
        </w:rPr>
        <w:t xml:space="preserve">Una vez establecida y delimitada la materia del presente recurso de revisión, y atentos a </w:t>
      </w:r>
      <w:r w:rsidRPr="00584718">
        <w:rPr>
          <w:rFonts w:ascii="Palatino Linotype" w:hAnsi="Palatino Linotype"/>
          <w:lang w:eastAsia="es-MX"/>
        </w:rPr>
        <w:t xml:space="preserve">la falta de respuesta del </w:t>
      </w:r>
      <w:r w:rsidRPr="00584718">
        <w:rPr>
          <w:rFonts w:ascii="Palatino Linotype" w:hAnsi="Palatino Linotype"/>
          <w:b/>
          <w:lang w:eastAsia="es-MX"/>
        </w:rPr>
        <w:t>Sujeto Obligado</w:t>
      </w:r>
      <w:r w:rsidRPr="00584718">
        <w:rPr>
          <w:rFonts w:ascii="Palatino Linotype" w:hAnsi="Palatino Linotype"/>
          <w:lang w:eastAsia="es-MX"/>
        </w:rPr>
        <w:t xml:space="preserve"> a la solicitud de información, la cual se traduce en el hecho de ser omiso en dar atención a la petición en términos de la Ley de la materia, es decir, incumplir con las obligaciones que dicho cuerpo legal le impone como </w:t>
      </w:r>
      <w:r w:rsidRPr="00584718">
        <w:rPr>
          <w:rFonts w:ascii="Palatino Linotype" w:hAnsi="Palatino Linotype"/>
          <w:b/>
          <w:lang w:eastAsia="es-MX"/>
        </w:rPr>
        <w:t>Sujeto Obligado</w:t>
      </w:r>
      <w:r w:rsidRPr="00584718">
        <w:rPr>
          <w:rFonts w:ascii="Palatino Linotype" w:hAnsi="Palatino Linotype"/>
          <w:lang w:eastAsia="es-MX"/>
        </w:rPr>
        <w:t xml:space="preserve"> de la misma, tal y como lo constituyen </w:t>
      </w:r>
      <w:r w:rsidRPr="00584718">
        <w:rPr>
          <w:rFonts w:ascii="Palatino Linotype" w:hAnsi="Palatino Linotype" w:cs="Arial"/>
        </w:rPr>
        <w:t>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14:paraId="3965A46A" w14:textId="77777777" w:rsidR="006D5803" w:rsidRPr="00584718" w:rsidRDefault="006D5803" w:rsidP="006D5803">
      <w:pPr>
        <w:pStyle w:val="infoemcitas"/>
        <w:rPr>
          <w:rFonts w:cs="Arial"/>
        </w:rPr>
      </w:pPr>
      <w:r w:rsidRPr="00584718">
        <w:rPr>
          <w:rFonts w:cs="Arial"/>
        </w:rPr>
        <w:lastRenderedPageBreak/>
        <w:t>“</w:t>
      </w:r>
      <w:r w:rsidRPr="00584718">
        <w:rPr>
          <w:rFonts w:cs="Arial"/>
          <w:b/>
        </w:rPr>
        <w:t>Artículo 7. El Estado de México garantizará el efectivo acceso de toda persona a la información en posesión de cualquier entidad,</w:t>
      </w:r>
      <w:r w:rsidRPr="00584718">
        <w:rPr>
          <w:rFonts w:cs="Arial"/>
        </w:rPr>
        <w:t xml:space="preserve"> autoridad, órgano y organismo de los poderes Ejecutivo, Legislativo y Judicial, órganos autónomos, partidos políticos, fideicomisos y fondos públicos, así como de cualquier persona física, jurídico colectiva o sindicato </w:t>
      </w:r>
      <w:r w:rsidRPr="00584718">
        <w:rPr>
          <w:rFonts w:cs="Arial"/>
          <w:b/>
        </w:rPr>
        <w:t>que reciba y ejerza recursos públicos</w:t>
      </w:r>
      <w:r w:rsidRPr="00584718">
        <w:rPr>
          <w:rFonts w:cs="Arial"/>
        </w:rPr>
        <w:t xml:space="preserve"> o realice actos de autoridad en el ámbito de competencia del Estado de México y sus municipios. </w:t>
      </w:r>
    </w:p>
    <w:p w14:paraId="0B614E07" w14:textId="77777777" w:rsidR="006D5803" w:rsidRPr="00584718" w:rsidRDefault="006D5803" w:rsidP="006D5803">
      <w:pPr>
        <w:pStyle w:val="infoemcitas"/>
        <w:rPr>
          <w:rFonts w:cs="Arial"/>
          <w:bCs/>
        </w:rPr>
      </w:pPr>
      <w:r w:rsidRPr="00584718">
        <w:rPr>
          <w:rFonts w:cs="Arial"/>
          <w:b/>
          <w:bCs/>
        </w:rPr>
        <w:t>Artículo 23</w:t>
      </w:r>
      <w:r w:rsidRPr="00584718">
        <w:rPr>
          <w:rFonts w:cs="Arial"/>
          <w:bCs/>
        </w:rPr>
        <w:t xml:space="preserve">. Son sujetos obligados a transparentar y permitir el acceso a su información y proteger los datos personales que obren en su poder: </w:t>
      </w:r>
    </w:p>
    <w:p w14:paraId="2EFB1C04" w14:textId="77777777" w:rsidR="006D5803" w:rsidRPr="00584718" w:rsidRDefault="006D5803" w:rsidP="006D5803">
      <w:pPr>
        <w:pStyle w:val="infoemcitas"/>
        <w:rPr>
          <w:rFonts w:cs="Arial"/>
          <w:bCs/>
        </w:rPr>
      </w:pPr>
      <w:r w:rsidRPr="00584718">
        <w:rPr>
          <w:rFonts w:cs="Arial"/>
          <w:bCs/>
        </w:rPr>
        <w:t>(…)</w:t>
      </w:r>
    </w:p>
    <w:p w14:paraId="726E8524" w14:textId="17536387" w:rsidR="006D5803" w:rsidRPr="00943DF1" w:rsidRDefault="006D5803" w:rsidP="006D5803">
      <w:pPr>
        <w:pStyle w:val="infoemcitas"/>
        <w:rPr>
          <w:rFonts w:cs="Arial"/>
          <w:b/>
        </w:rPr>
      </w:pPr>
      <w:r w:rsidRPr="00584718">
        <w:rPr>
          <w:rFonts w:cs="Arial"/>
          <w:b/>
          <w:bCs/>
        </w:rPr>
        <w:t xml:space="preserve">IV. </w:t>
      </w:r>
      <w:r w:rsidRPr="00584718">
        <w:rPr>
          <w:rFonts w:cs="Arial"/>
          <w:b/>
          <w:bCs/>
          <w:u w:val="single"/>
        </w:rPr>
        <w:t>Los ayuntamientos y las dependencias, organismos, órganos y entidades de la administración municipal</w:t>
      </w:r>
      <w:r w:rsidRPr="00584718">
        <w:rPr>
          <w:rFonts w:cs="Arial"/>
          <w:bCs/>
        </w:rPr>
        <w:t>;</w:t>
      </w:r>
      <w:r w:rsidR="00943DF1">
        <w:rPr>
          <w:rFonts w:cs="Arial"/>
          <w:bCs/>
        </w:rPr>
        <w:t xml:space="preserve">” </w:t>
      </w:r>
      <w:r w:rsidR="00943DF1">
        <w:rPr>
          <w:rFonts w:cs="Arial"/>
          <w:b/>
        </w:rPr>
        <w:t>[Sic]</w:t>
      </w:r>
    </w:p>
    <w:p w14:paraId="14F69F0E" w14:textId="77777777" w:rsidR="006D5803" w:rsidRDefault="006D5803" w:rsidP="006D580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440A1FE" w14:textId="40C9C552" w:rsidR="006D5803" w:rsidRDefault="006D5803" w:rsidP="006D5803">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FB59FD">
        <w:rPr>
          <w:rFonts w:ascii="Palatino Linotype" w:eastAsia="Times New Roman" w:hAnsi="Palatino Linotype" w:cs="Arial"/>
          <w:sz w:val="24"/>
          <w:szCs w:val="24"/>
          <w:lang w:val="es-ES" w:eastAsia="es-ES"/>
        </w:rPr>
        <w:t xml:space="preserve">En primera instancia, al referirnos al acto impugnado por </w:t>
      </w:r>
      <w:r w:rsidR="000A46DE">
        <w:rPr>
          <w:rFonts w:ascii="Palatino Linotype" w:eastAsia="Times New Roman" w:hAnsi="Palatino Linotype" w:cs="Arial"/>
          <w:b/>
          <w:bCs/>
          <w:sz w:val="24"/>
          <w:szCs w:val="24"/>
          <w:lang w:val="es-ES" w:eastAsia="es-ES"/>
        </w:rPr>
        <w:t>La</w:t>
      </w:r>
      <w:r w:rsidRPr="00FB59FD">
        <w:rPr>
          <w:rFonts w:ascii="Palatino Linotype" w:eastAsia="Times New Roman" w:hAnsi="Palatino Linotype" w:cs="Arial"/>
          <w:sz w:val="24"/>
          <w:szCs w:val="24"/>
          <w:lang w:val="es-ES" w:eastAsia="es-ES"/>
        </w:rPr>
        <w:t xml:space="preserve"> </w:t>
      </w:r>
      <w:r w:rsidRPr="00FB59FD">
        <w:rPr>
          <w:rFonts w:ascii="Palatino Linotype" w:eastAsia="Times New Roman" w:hAnsi="Palatino Linotype" w:cs="Arial"/>
          <w:b/>
          <w:sz w:val="24"/>
          <w:szCs w:val="24"/>
          <w:lang w:val="es-ES" w:eastAsia="es-ES"/>
        </w:rPr>
        <w:t>Recurrente</w:t>
      </w:r>
      <w:r w:rsidRPr="00FB59FD">
        <w:rPr>
          <w:rFonts w:ascii="Palatino Linotype" w:eastAsia="Times New Roman" w:hAnsi="Palatino Linotype" w:cs="Arial"/>
          <w:sz w:val="24"/>
          <w:szCs w:val="24"/>
          <w:lang w:val="es-ES" w:eastAsia="es-ES"/>
        </w:rPr>
        <w:t xml:space="preserve">, concatenado con los motivos o razones de inconformidad emitidos, se distingue que se adolece, de forma toral, de la falta de respuesta a la solicitud de acceso a la información formulada, actualizando con ello lo </w:t>
      </w:r>
      <w:r w:rsidRPr="00FB59FD">
        <w:rPr>
          <w:rFonts w:ascii="Palatino Linotype" w:eastAsia="Calibri" w:hAnsi="Palatino Linotype" w:cs="Arial"/>
          <w:color w:val="000000" w:themeColor="text1"/>
          <w:sz w:val="24"/>
          <w:szCs w:val="24"/>
          <w:lang w:val="es-ES" w:eastAsia="es-ES"/>
        </w:rPr>
        <w:t xml:space="preserve">establecido en la fracción VII del artículo 179 de la </w:t>
      </w:r>
      <w:r w:rsidRPr="00FB59FD">
        <w:rPr>
          <w:rFonts w:ascii="Palatino Linotype" w:eastAsia="Calibri" w:hAnsi="Palatino Linotype" w:cs="Arial"/>
          <w:b/>
          <w:color w:val="000000" w:themeColor="text1"/>
          <w:sz w:val="24"/>
          <w:szCs w:val="24"/>
          <w:lang w:val="es-ES" w:eastAsia="es-ES"/>
        </w:rPr>
        <w:t>Ley de Transparencia y Acceso a la Información Pública del Estado de México y Municipios</w:t>
      </w:r>
      <w:r w:rsidRPr="00FB59FD">
        <w:rPr>
          <w:rFonts w:ascii="Palatino Linotype" w:eastAsia="Calibri" w:hAnsi="Palatino Linotype" w:cs="Arial"/>
          <w:color w:val="000000" w:themeColor="text1"/>
          <w:sz w:val="24"/>
          <w:szCs w:val="24"/>
          <w:lang w:val="es-ES" w:eastAsia="es-ES"/>
        </w:rPr>
        <w:t>,</w:t>
      </w:r>
      <w:r w:rsidRPr="00FB59FD">
        <w:rPr>
          <w:rFonts w:ascii="Palatino Linotype" w:eastAsia="Calibri" w:hAnsi="Palatino Linotype" w:cs="Arial"/>
          <w:b/>
          <w:color w:val="000000" w:themeColor="text1"/>
          <w:sz w:val="24"/>
          <w:szCs w:val="24"/>
          <w:lang w:val="es-ES" w:eastAsia="es-ES"/>
        </w:rPr>
        <w:t xml:space="preserve"> </w:t>
      </w:r>
      <w:r w:rsidRPr="00FB59FD">
        <w:rPr>
          <w:rFonts w:ascii="Palatino Linotype" w:eastAsia="Times New Roman" w:hAnsi="Palatino Linotype" w:cs="Arial"/>
          <w:sz w:val="24"/>
          <w:szCs w:val="24"/>
          <w:lang w:val="es-ES" w:eastAsia="es-ES"/>
        </w:rPr>
        <w:t>resultando procedente la interposición del recurso de revisión cuando no se dé respuesta a una solicitud de información.</w:t>
      </w:r>
    </w:p>
    <w:p w14:paraId="0BC9AD05" w14:textId="3F85E0A8" w:rsidR="005B2E7E" w:rsidRDefault="00D566F2" w:rsidP="005C3CD1">
      <w:pPr>
        <w:spacing w:before="240" w:line="360" w:lineRule="auto"/>
        <w:ind w:right="72"/>
        <w:jc w:val="both"/>
        <w:rPr>
          <w:rFonts w:ascii="Palatino Linotype" w:hAnsi="Palatino Linotype" w:cs="Arial"/>
        </w:rPr>
      </w:pPr>
      <w:r>
        <w:rPr>
          <w:rFonts w:ascii="Palatino Linotype" w:hAnsi="Palatino Linotype" w:cs="Arial"/>
          <w:sz w:val="24"/>
          <w:szCs w:val="24"/>
        </w:rPr>
        <w:t xml:space="preserve">Bajo estas líneas argumentativas, al retomar y delimitar </w:t>
      </w:r>
      <w:r w:rsidR="000A46DE">
        <w:rPr>
          <w:rFonts w:ascii="Palatino Linotype" w:hAnsi="Palatino Linotype" w:cs="Arial"/>
          <w:sz w:val="24"/>
          <w:szCs w:val="24"/>
        </w:rPr>
        <w:t>los</w:t>
      </w:r>
      <w:r w:rsidR="00DD4938">
        <w:rPr>
          <w:rFonts w:ascii="Palatino Linotype" w:hAnsi="Palatino Linotype" w:cs="Arial"/>
          <w:sz w:val="24"/>
          <w:szCs w:val="24"/>
        </w:rPr>
        <w:t xml:space="preserve"> requerimiento</w:t>
      </w:r>
      <w:r w:rsidR="000A46DE">
        <w:rPr>
          <w:rFonts w:ascii="Palatino Linotype" w:hAnsi="Palatino Linotype" w:cs="Arial"/>
          <w:sz w:val="24"/>
          <w:szCs w:val="24"/>
        </w:rPr>
        <w:t>s de la</w:t>
      </w:r>
      <w:r>
        <w:rPr>
          <w:rFonts w:ascii="Palatino Linotype" w:hAnsi="Palatino Linotype" w:cs="Arial"/>
          <w:sz w:val="24"/>
          <w:szCs w:val="24"/>
        </w:rPr>
        <w:t xml:space="preserve"> ahora </w:t>
      </w:r>
      <w:r>
        <w:rPr>
          <w:rFonts w:ascii="Palatino Linotype" w:hAnsi="Palatino Linotype" w:cs="Arial"/>
          <w:b/>
          <w:sz w:val="24"/>
          <w:szCs w:val="24"/>
        </w:rPr>
        <w:t xml:space="preserve">Recurrente, </w:t>
      </w:r>
      <w:r>
        <w:rPr>
          <w:rFonts w:ascii="Palatino Linotype" w:hAnsi="Palatino Linotype" w:cs="Arial"/>
          <w:sz w:val="24"/>
          <w:szCs w:val="24"/>
        </w:rPr>
        <w:t>se precisa que versa</w:t>
      </w:r>
      <w:r w:rsidR="00E42206">
        <w:rPr>
          <w:rFonts w:ascii="Palatino Linotype" w:hAnsi="Palatino Linotype" w:cs="Arial"/>
          <w:sz w:val="24"/>
          <w:szCs w:val="24"/>
        </w:rPr>
        <w:t>n</w:t>
      </w:r>
      <w:r>
        <w:rPr>
          <w:rFonts w:ascii="Palatino Linotype" w:hAnsi="Palatino Linotype" w:cs="Arial"/>
          <w:sz w:val="24"/>
          <w:szCs w:val="24"/>
        </w:rPr>
        <w:t xml:space="preserve"> en conocer la siguiente información:</w:t>
      </w:r>
      <w:r>
        <w:rPr>
          <w:rFonts w:ascii="Palatino Linotype" w:hAnsi="Palatino Linotype" w:cs="Arial"/>
        </w:rPr>
        <w:t xml:space="preserve"> </w:t>
      </w:r>
    </w:p>
    <w:p w14:paraId="597D22EE" w14:textId="0D721519" w:rsidR="005B1C46" w:rsidRPr="00BC6896" w:rsidRDefault="00E42206" w:rsidP="00BC6896">
      <w:pPr>
        <w:pStyle w:val="Citas"/>
      </w:pPr>
      <w:r w:rsidRPr="00BC6896">
        <w:lastRenderedPageBreak/>
        <w:t>“</w:t>
      </w:r>
      <w:r w:rsidR="00BC6896" w:rsidRPr="00BC6896">
        <w:t>ORGANIGRAMA DE LA COMISION DE HONOR Y JUSITICIO ( DESDE PRIMERO DE ENERO DE 2019 A LA FECHA ) ORGANIGRAMA DE LA DIRECCION JURIDICA Y CONSULTIVA ( DESDE EL PRIMERO D E ENERO DE 2019 A LA FECHA ) NUMERO DE PROCEDIMIENTOS INICIADOS POR PARTE DE LA COMISION DE HONOR Y JUSTICIA ASI COMO NOMBRE DE TITULARES NOMBRE DE TITULARES COMO DIRECTORES Y ENCARGADOS DE DESPACHO DE LA DIRECCION JURIDICA Y CONSULTIVA</w:t>
      </w:r>
      <w:r w:rsidRPr="00BC6896">
        <w:t xml:space="preserve">” [Sic] </w:t>
      </w:r>
    </w:p>
    <w:p w14:paraId="0E0875DC" w14:textId="77777777" w:rsidR="00E42206" w:rsidRDefault="00E42206" w:rsidP="00EC4F33">
      <w:pPr>
        <w:spacing w:before="240" w:line="360" w:lineRule="auto"/>
        <w:ind w:right="72"/>
        <w:jc w:val="both"/>
        <w:rPr>
          <w:rFonts w:ascii="Palatino Linotype" w:hAnsi="Palatino Linotype" w:cs="Arial"/>
          <w:sz w:val="24"/>
          <w:szCs w:val="24"/>
        </w:rPr>
      </w:pPr>
    </w:p>
    <w:p w14:paraId="06ED0BCB" w14:textId="2D63E12A" w:rsidR="00E42206" w:rsidRDefault="00E42206" w:rsidP="00EC4F33">
      <w:pPr>
        <w:spacing w:before="240" w:line="360" w:lineRule="auto"/>
        <w:ind w:right="72"/>
        <w:jc w:val="both"/>
        <w:rPr>
          <w:rFonts w:ascii="Palatino Linotype" w:hAnsi="Palatino Linotype" w:cs="Arial"/>
        </w:rPr>
      </w:pPr>
      <w:r>
        <w:rPr>
          <w:rFonts w:ascii="Palatino Linotype" w:hAnsi="Palatino Linotype" w:cs="Arial"/>
          <w:sz w:val="24"/>
          <w:szCs w:val="24"/>
        </w:rPr>
        <w:t xml:space="preserve">A mayor abundamiento, en alusión a los requerimientos formulados, sirven de sustento las </w:t>
      </w:r>
      <w:r>
        <w:rPr>
          <w:rFonts w:ascii="Palatino Linotype" w:hAnsi="Palatino Linotype" w:cs="Arial"/>
        </w:rPr>
        <w:t xml:space="preserve">siguientes imágenes ilustrativas, correspondientes al organigrama del </w:t>
      </w:r>
      <w:r>
        <w:rPr>
          <w:rFonts w:ascii="Palatino Linotype" w:hAnsi="Palatino Linotype" w:cs="Arial"/>
          <w:b/>
          <w:bCs/>
        </w:rPr>
        <w:t xml:space="preserve">Sujeto Obligado, </w:t>
      </w:r>
      <w:r>
        <w:rPr>
          <w:rFonts w:ascii="Palatino Linotype" w:hAnsi="Palatino Linotype" w:cs="Arial"/>
        </w:rPr>
        <w:t xml:space="preserve">mismo que puede ser consultado en la siguiente dirección electrónica:  </w:t>
      </w:r>
    </w:p>
    <w:p w14:paraId="2798FDA6" w14:textId="7D3C9219" w:rsidR="00BC6896" w:rsidRDefault="00BC6896" w:rsidP="00EC4F33">
      <w:pPr>
        <w:spacing w:before="240" w:line="360" w:lineRule="auto"/>
        <w:ind w:right="72"/>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9504" behindDoc="0" locked="0" layoutInCell="1" allowOverlap="1" wp14:anchorId="17BDC3BE" wp14:editId="1CB01132">
                <wp:simplePos x="0" y="0"/>
                <wp:positionH relativeFrom="column">
                  <wp:posOffset>-253518</wp:posOffset>
                </wp:positionH>
                <wp:positionV relativeFrom="paragraph">
                  <wp:posOffset>644473</wp:posOffset>
                </wp:positionV>
                <wp:extent cx="6532473" cy="3079699"/>
                <wp:effectExtent l="0" t="0" r="20955" b="26035"/>
                <wp:wrapNone/>
                <wp:docPr id="1" name="Conector recto 1"/>
                <wp:cNvGraphicFramePr/>
                <a:graphic xmlns:a="http://schemas.openxmlformats.org/drawingml/2006/main">
                  <a:graphicData uri="http://schemas.microsoft.com/office/word/2010/wordprocessingShape">
                    <wps:wsp>
                      <wps:cNvCnPr/>
                      <wps:spPr>
                        <a:xfrm>
                          <a:off x="0" y="0"/>
                          <a:ext cx="6532473" cy="30796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796FE0" id="Conector recto 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9.95pt,50.75pt" to="494.4pt,2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" strokecolor="#5b9bd5 [3204]" strokeweight=".5pt">
                <v:stroke joinstyle="miter"/>
              </v:line>
            </w:pict>
          </mc:Fallback>
        </mc:AlternateContent>
      </w:r>
      <w:hyperlink r:id="rId8" w:history="1">
        <w:r w:rsidRPr="00D76573">
          <w:rPr>
            <w:rStyle w:val="Hipervnculo"/>
            <w:rFonts w:ascii="Palatino Linotype" w:hAnsi="Palatino Linotype" w:cs="Arial"/>
            <w:sz w:val="24"/>
            <w:szCs w:val="24"/>
          </w:rPr>
          <w:t>https://www.ipomex.org.mx/ipo3/lgt/indice/ECATEPEC/art_92_ii_b/3.web</w:t>
        </w:r>
      </w:hyperlink>
      <w:r>
        <w:rPr>
          <w:rFonts w:ascii="Palatino Linotype" w:hAnsi="Palatino Linotype" w:cs="Arial"/>
          <w:sz w:val="24"/>
          <w:szCs w:val="24"/>
        </w:rPr>
        <w:t xml:space="preserve"> </w:t>
      </w:r>
    </w:p>
    <w:p w14:paraId="759E30D1" w14:textId="0679AF1D" w:rsidR="00E42206" w:rsidRDefault="00166BE3" w:rsidP="00EC4F33">
      <w:pPr>
        <w:spacing w:before="240" w:line="360" w:lineRule="auto"/>
        <w:ind w:right="72"/>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655164" behindDoc="0" locked="0" layoutInCell="1" allowOverlap="1" wp14:anchorId="26D5F681" wp14:editId="053FA9A8">
            <wp:simplePos x="0" y="0"/>
            <wp:positionH relativeFrom="column">
              <wp:posOffset>-75565</wp:posOffset>
            </wp:positionH>
            <wp:positionV relativeFrom="paragraph">
              <wp:posOffset>19050</wp:posOffset>
            </wp:positionV>
            <wp:extent cx="5749925" cy="3535045"/>
            <wp:effectExtent l="19050" t="19050" r="22225" b="27305"/>
            <wp:wrapThrough wrapText="bothSides">
              <wp:wrapPolygon edited="0">
                <wp:start x="-72" y="-116"/>
                <wp:lineTo x="-72" y="21650"/>
                <wp:lineTo x="21612" y="21650"/>
                <wp:lineTo x="21612" y="-116"/>
                <wp:lineTo x="-72" y="-116"/>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925" cy="35350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70209">
        <w:rPr>
          <w:rFonts w:ascii="Palatino Linotype" w:hAnsi="Palatino Linotype" w:cs="Arial"/>
          <w:b/>
          <w:bCs/>
          <w:noProof/>
          <w:lang w:eastAsia="es-MX"/>
        </w:rPr>
        <w:drawing>
          <wp:anchor distT="0" distB="0" distL="114300" distR="114300" simplePos="0" relativeHeight="251652089" behindDoc="0" locked="0" layoutInCell="1" allowOverlap="1" wp14:anchorId="31B6A763" wp14:editId="1BB9AB72">
            <wp:simplePos x="0" y="0"/>
            <wp:positionH relativeFrom="column">
              <wp:posOffset>4014693</wp:posOffset>
            </wp:positionH>
            <wp:positionV relativeFrom="paragraph">
              <wp:posOffset>4038600</wp:posOffset>
            </wp:positionV>
            <wp:extent cx="1663700" cy="1052830"/>
            <wp:effectExtent l="19050" t="19050" r="12700" b="13970"/>
            <wp:wrapThrough wrapText="bothSides">
              <wp:wrapPolygon edited="0">
                <wp:start x="-247" y="-391"/>
                <wp:lineTo x="-247" y="21496"/>
                <wp:lineTo x="21518" y="21496"/>
                <wp:lineTo x="21518" y="-391"/>
                <wp:lineTo x="-247" y="-391"/>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700" cy="10528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70209">
        <w:rPr>
          <w:rFonts w:ascii="Palatino Linotype" w:hAnsi="Palatino Linotype" w:cs="Arial"/>
          <w:noProof/>
          <w:lang w:eastAsia="es-MX"/>
        </w:rPr>
        <w:drawing>
          <wp:anchor distT="0" distB="0" distL="114300" distR="114300" simplePos="0" relativeHeight="251653114" behindDoc="0" locked="0" layoutInCell="1" allowOverlap="1" wp14:anchorId="6F56A35B" wp14:editId="77ADA555">
            <wp:simplePos x="0" y="0"/>
            <wp:positionH relativeFrom="column">
              <wp:posOffset>1983895</wp:posOffset>
            </wp:positionH>
            <wp:positionV relativeFrom="paragraph">
              <wp:posOffset>4038600</wp:posOffset>
            </wp:positionV>
            <wp:extent cx="1660525" cy="1052830"/>
            <wp:effectExtent l="19050" t="19050" r="15875" b="13970"/>
            <wp:wrapThrough wrapText="bothSides">
              <wp:wrapPolygon edited="0">
                <wp:start x="-248" y="-391"/>
                <wp:lineTo x="-248" y="21496"/>
                <wp:lineTo x="21559" y="21496"/>
                <wp:lineTo x="21559" y="-391"/>
                <wp:lineTo x="-248" y="-391"/>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0525" cy="10528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70209">
        <w:rPr>
          <w:rFonts w:ascii="Palatino Linotype" w:hAnsi="Palatino Linotype" w:cs="Arial"/>
          <w:noProof/>
          <w:sz w:val="24"/>
          <w:szCs w:val="24"/>
          <w:lang w:eastAsia="es-MX"/>
        </w:rPr>
        <w:drawing>
          <wp:anchor distT="0" distB="0" distL="114300" distR="114300" simplePos="0" relativeHeight="251654139" behindDoc="0" locked="0" layoutInCell="1" allowOverlap="1" wp14:anchorId="1DA4AAC8" wp14:editId="3736DC83">
            <wp:simplePos x="0" y="0"/>
            <wp:positionH relativeFrom="column">
              <wp:posOffset>-71120</wp:posOffset>
            </wp:positionH>
            <wp:positionV relativeFrom="paragraph">
              <wp:posOffset>4044950</wp:posOffset>
            </wp:positionV>
            <wp:extent cx="1660525" cy="1052830"/>
            <wp:effectExtent l="19050" t="19050" r="15875" b="13970"/>
            <wp:wrapThrough wrapText="bothSides">
              <wp:wrapPolygon edited="0">
                <wp:start x="-248" y="-391"/>
                <wp:lineTo x="-248" y="21496"/>
                <wp:lineTo x="21559" y="21496"/>
                <wp:lineTo x="21559" y="-391"/>
                <wp:lineTo x="-248" y="-391"/>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0525" cy="10528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65C3565" w14:textId="77777777" w:rsidR="00166BE3" w:rsidRDefault="00166BE3" w:rsidP="00345B43">
      <w:pPr>
        <w:spacing w:before="240" w:line="360" w:lineRule="auto"/>
        <w:ind w:right="72"/>
        <w:jc w:val="both"/>
        <w:rPr>
          <w:rFonts w:ascii="Palatino Linotype" w:hAnsi="Palatino Linotype" w:cs="Arial"/>
        </w:rPr>
      </w:pPr>
    </w:p>
    <w:p w14:paraId="5AB33113" w14:textId="3AFD5F99" w:rsidR="00370209" w:rsidRPr="00825A0D" w:rsidRDefault="005D2332" w:rsidP="00345B43">
      <w:pPr>
        <w:spacing w:before="240" w:line="360" w:lineRule="auto"/>
        <w:ind w:right="72"/>
        <w:jc w:val="both"/>
        <w:rPr>
          <w:rFonts w:ascii="Palatino Linotype" w:hAnsi="Palatino Linotype" w:cs="Arial"/>
          <w:sz w:val="24"/>
          <w:szCs w:val="24"/>
        </w:rPr>
      </w:pPr>
      <w:r w:rsidRPr="00825A0D">
        <w:rPr>
          <w:rFonts w:ascii="Palatino Linotype" w:hAnsi="Palatino Linotype" w:cs="Arial"/>
          <w:sz w:val="24"/>
          <w:szCs w:val="24"/>
        </w:rPr>
        <w:t xml:space="preserve">De lo expuesto con anterioridad, se desprende que </w:t>
      </w:r>
      <w:r w:rsidRPr="00825A0D">
        <w:rPr>
          <w:rFonts w:ascii="Palatino Linotype" w:hAnsi="Palatino Linotype" w:cs="Arial"/>
          <w:b/>
          <w:bCs/>
          <w:sz w:val="24"/>
          <w:szCs w:val="24"/>
        </w:rPr>
        <w:t xml:space="preserve">El Sujeto Obligado </w:t>
      </w:r>
      <w:r w:rsidRPr="00825A0D">
        <w:rPr>
          <w:rFonts w:ascii="Palatino Linotype" w:hAnsi="Palatino Linotype" w:cs="Arial"/>
          <w:sz w:val="24"/>
          <w:szCs w:val="24"/>
        </w:rPr>
        <w:t>se auxilia de diversas Unidades, Direcciones, Jefaturas y Departamentos para cumplir con sus fines y objetivos, resultando de nuestro int</w:t>
      </w:r>
      <w:r w:rsidR="00370209" w:rsidRPr="00825A0D">
        <w:rPr>
          <w:rFonts w:ascii="Palatino Linotype" w:hAnsi="Palatino Linotype" w:cs="Arial"/>
          <w:sz w:val="24"/>
          <w:szCs w:val="24"/>
        </w:rPr>
        <w:t xml:space="preserve">erés la esfera competencial de la Dirección de Administración, la Dirección Jurídica y Consultiva, así como la Dirección de Seguridad Pública y Tránsito. En razón de lo anterior, resulta oportuno traer a </w:t>
      </w:r>
      <w:r w:rsidR="00370209" w:rsidRPr="00825A0D">
        <w:rPr>
          <w:rFonts w:ascii="Palatino Linotype" w:hAnsi="Palatino Linotype" w:cs="Arial"/>
          <w:sz w:val="24"/>
          <w:szCs w:val="24"/>
        </w:rPr>
        <w:lastRenderedPageBreak/>
        <w:t xml:space="preserve">colación los artículos </w:t>
      </w:r>
      <w:r w:rsidR="00131B01" w:rsidRPr="00825A0D">
        <w:rPr>
          <w:rFonts w:ascii="Palatino Linotype" w:hAnsi="Palatino Linotype" w:cs="Arial"/>
          <w:sz w:val="24"/>
          <w:szCs w:val="24"/>
        </w:rPr>
        <w:t xml:space="preserve">33, fracción IV, inciso t), 49, 63 y 85 del Bando Municipal de Ecatepec de Morelos, así como los numerales </w:t>
      </w:r>
      <w:r w:rsidR="00166BE3" w:rsidRPr="00825A0D">
        <w:rPr>
          <w:rFonts w:ascii="Palatino Linotype" w:hAnsi="Palatino Linotype" w:cs="Arial"/>
          <w:sz w:val="24"/>
          <w:szCs w:val="24"/>
        </w:rPr>
        <w:t xml:space="preserve">55 y 161 de la Ley de Seguridad del Estado de México, porciones normativas que disponen a la literalidad lo siguiente: </w:t>
      </w:r>
    </w:p>
    <w:p w14:paraId="3B1E2CB5" w14:textId="0294FEB8" w:rsidR="00370209" w:rsidRPr="00370209" w:rsidRDefault="00370209" w:rsidP="00370209">
      <w:pPr>
        <w:pStyle w:val="Citas"/>
        <w:jc w:val="center"/>
        <w:rPr>
          <w:b/>
        </w:rPr>
      </w:pPr>
      <w:r w:rsidRPr="00370209">
        <w:rPr>
          <w:b/>
        </w:rPr>
        <w:t xml:space="preserve">Bando Municipal de </w:t>
      </w:r>
      <w:r>
        <w:rPr>
          <w:b/>
        </w:rPr>
        <w:t>Ecatepec de Morelos</w:t>
      </w:r>
    </w:p>
    <w:p w14:paraId="7A3C189A" w14:textId="073AF7A3" w:rsidR="00370209" w:rsidRDefault="00370209" w:rsidP="00370209">
      <w:pPr>
        <w:pStyle w:val="Citas"/>
      </w:pPr>
      <w:r>
        <w:t>Artículo 33. El H. Ayuntamiento, para el eficaz desempeño de sus funciones públicas podrá, sin que sea obligatorio, auxiliarse por:</w:t>
      </w:r>
    </w:p>
    <w:p w14:paraId="7C3ADE89" w14:textId="09F1AC35" w:rsidR="00370209" w:rsidRDefault="00370209" w:rsidP="00370209">
      <w:pPr>
        <w:pStyle w:val="Citas"/>
      </w:pPr>
      <w:r>
        <w:t>(…)</w:t>
      </w:r>
    </w:p>
    <w:p w14:paraId="1768229B" w14:textId="0FE8C507" w:rsidR="00370209" w:rsidRPr="00370209" w:rsidRDefault="00370209" w:rsidP="00370209">
      <w:pPr>
        <w:pStyle w:val="Citas"/>
        <w:rPr>
          <w:b/>
          <w:u w:val="single"/>
        </w:rPr>
      </w:pPr>
      <w:r w:rsidRPr="00370209">
        <w:rPr>
          <w:b/>
          <w:u w:val="single"/>
        </w:rPr>
        <w:t>IV. Los Comités, Comisiones y Consejos para el mejor desempeño del servicio público, entre los que destacan:</w:t>
      </w:r>
    </w:p>
    <w:p w14:paraId="6FDB6A58" w14:textId="684FF902" w:rsidR="00370209" w:rsidRDefault="00370209" w:rsidP="00370209">
      <w:pPr>
        <w:pStyle w:val="Citas"/>
      </w:pPr>
      <w:r>
        <w:t>(…)</w:t>
      </w:r>
    </w:p>
    <w:p w14:paraId="5F10B5F0" w14:textId="7D5C743B" w:rsidR="00370209" w:rsidRPr="00370209" w:rsidRDefault="00370209" w:rsidP="00370209">
      <w:pPr>
        <w:pStyle w:val="Citas"/>
        <w:rPr>
          <w:b/>
          <w:u w:val="single"/>
        </w:rPr>
      </w:pPr>
      <w:r w:rsidRPr="00370209">
        <w:rPr>
          <w:b/>
          <w:u w:val="single"/>
        </w:rPr>
        <w:t>t. Los demás que apruebe el H. Ayuntamiento</w:t>
      </w:r>
    </w:p>
    <w:p w14:paraId="5EE3EB73" w14:textId="7F5A027B" w:rsidR="00370209" w:rsidRDefault="00370209" w:rsidP="00370209">
      <w:pPr>
        <w:pStyle w:val="Citas"/>
      </w:pPr>
      <w:r>
        <w:t>(…)</w:t>
      </w:r>
    </w:p>
    <w:p w14:paraId="28FC91A4" w14:textId="1B910752" w:rsidR="00370209" w:rsidRDefault="00370209" w:rsidP="00370209">
      <w:pPr>
        <w:pStyle w:val="Citas"/>
      </w:pPr>
      <w:r w:rsidRPr="00370209">
        <w:rPr>
          <w:b/>
          <w:u w:val="single"/>
        </w:rPr>
        <w:t xml:space="preserve">Artículo 49. La Dirección de Administración proveerá los recursos humanos, materiales y servicios, </w:t>
      </w:r>
      <w:r>
        <w:t xml:space="preserve">así como el soporte técnico y tecnológico, a las diversas áreas que conforman la Administración Pública Municipal y asignará a éstas, previa autorización del Presidente Municipal Constitucional, el personal capacitado que requiera para el cumplimiento de sus atribuciones, llevando el registro del mismo y calculará el monto de los salarios; establecerá programas de capacitación, atenderá las relaciones laborales, en coordinación con la Dirección Jurídica y Consultiva, así como llevará a cabo los procedimientos de adquisiciones de bienes y servicios y en </w:t>
      </w:r>
      <w:r>
        <w:lastRenderedPageBreak/>
        <w:t>general, cumplirá con todas las atribuciones que le otorguen las disposiciones legales que regulen sus actividades</w:t>
      </w:r>
    </w:p>
    <w:p w14:paraId="3E48581B" w14:textId="77777777" w:rsidR="00131B01" w:rsidRDefault="00131B01" w:rsidP="00131B01">
      <w:pPr>
        <w:pStyle w:val="Citas"/>
      </w:pPr>
      <w:r w:rsidRPr="00370209">
        <w:rPr>
          <w:b/>
          <w:u w:val="single"/>
        </w:rPr>
        <w:t>Artículo 63. La Dirección Jurídica y Consultiva, como área especializada en el Derecho,</w:t>
      </w:r>
      <w:r>
        <w:t xml:space="preserve"> dará asistencia legal al H. Ayuntamiento, así como a todas y cada una de las áreas que integran la Administración Pública Municipal, incluyendo a los organismos públicos descentralizados, validando los procedimientos administrativos que éstas instauren. De igual forma, revisará y validará los contratos y convenios celebrados por cualquier autoridad administrativa y analizará las leyes, reglamentos y demás disposiciones legales de aplicación municipal, para coadyuvar en la elaboración de anteproyectos de iniciativas y propuestas para el mejoramiento de la administración municipal; otorgará asesoría jurídica gratuita a la ciudadanía. El titular de esta Dirección, y el personal que el mismo designe, representarán al H. Ayuntamiento y al C. Presidente Municipal Constitucional en aquellos juicios y procedimientos en que sean parte, a través del instrumento legal correspondiente. Tendrá bajo su cargo las áreas de Tenencia de la Tierra y Régimen Condominal.</w:t>
      </w:r>
    </w:p>
    <w:p w14:paraId="70A26A68" w14:textId="74FC6612" w:rsidR="00131B01" w:rsidRDefault="00131B01" w:rsidP="00370209">
      <w:pPr>
        <w:pStyle w:val="Citas"/>
      </w:pPr>
      <w:r>
        <w:t>(…)</w:t>
      </w:r>
    </w:p>
    <w:p w14:paraId="6E88C673" w14:textId="5D7A2778" w:rsidR="00370209" w:rsidRDefault="00370209" w:rsidP="00370209">
      <w:pPr>
        <w:pStyle w:val="Citas"/>
      </w:pPr>
      <w:r w:rsidRPr="00166BE3">
        <w:rPr>
          <w:b/>
          <w:u w:val="single"/>
        </w:rPr>
        <w:t>Artículo 85. La Dirección de Seguridad Pública y Tránsito prestará sus servicios con el objeto de asegurar el pleno goce de los derechos humanos, salvaguardando la integridad física y patrimonial de la población, periodistas y comunicadores, conservando la paz, la tranquilidad y el orden público, garantizando el libre tránsito en las vialidades y promoviendo una educación vial;</w:t>
      </w:r>
      <w:r>
        <w:t xml:space="preserve"> asimismo, prevendrá la comisión de delitos y la violación a las leyes, supervisará y vigilara que los integrantes de la corporación cumplan con los deberes y normas a través de la Unidad de Asuntos internos, de conformidad con la Ley </w:t>
      </w:r>
      <w:r>
        <w:lastRenderedPageBreak/>
        <w:t>General del Sistema Nacional de Seguridad Pública, la Ley de Seguridad del Estado de México, el Código Administrativo del Estado de México, el Código de Procedimientos Administrativos del Estado de México, la Ley Orgánica Municipal del Estado de México, los reglamentos respectivos, el presente Bando Municipal y demás ordenamientos de la materia vigentes.</w:t>
      </w:r>
    </w:p>
    <w:p w14:paraId="32490BD3" w14:textId="7E6C998B" w:rsidR="00370209" w:rsidRDefault="00370209" w:rsidP="00370209">
      <w:pPr>
        <w:pStyle w:val="Citas"/>
      </w:pPr>
      <w:r>
        <w:t>(…)</w:t>
      </w:r>
    </w:p>
    <w:p w14:paraId="43A49FC3" w14:textId="3E6831B9" w:rsidR="00370209" w:rsidRPr="00370209" w:rsidRDefault="00131B01" w:rsidP="00370209">
      <w:pPr>
        <w:pStyle w:val="Citas"/>
        <w:rPr>
          <w:b/>
        </w:rPr>
      </w:pPr>
      <w:r>
        <w:t xml:space="preserve"> </w:t>
      </w:r>
      <w:r w:rsidR="00370209">
        <w:t xml:space="preserve">(…)” </w:t>
      </w:r>
      <w:r w:rsidR="00370209">
        <w:rPr>
          <w:b/>
        </w:rPr>
        <w:t xml:space="preserve">[Sic] </w:t>
      </w:r>
    </w:p>
    <w:p w14:paraId="10322962" w14:textId="77777777" w:rsidR="00370209" w:rsidRDefault="00370209" w:rsidP="00345B43">
      <w:pPr>
        <w:spacing w:before="240" w:line="360" w:lineRule="auto"/>
        <w:ind w:right="72"/>
        <w:jc w:val="both"/>
        <w:rPr>
          <w:rFonts w:ascii="Palatino Linotype" w:hAnsi="Palatino Linotype" w:cs="Arial"/>
        </w:rPr>
      </w:pPr>
    </w:p>
    <w:p w14:paraId="6F6A54F6" w14:textId="499CAC93" w:rsidR="00370209" w:rsidRPr="00131B01" w:rsidRDefault="00131B01" w:rsidP="00131B01">
      <w:pPr>
        <w:pStyle w:val="Citas"/>
        <w:jc w:val="center"/>
        <w:rPr>
          <w:b/>
        </w:rPr>
      </w:pPr>
      <w:r>
        <w:rPr>
          <w:b/>
        </w:rPr>
        <w:t>Ley de Seguridad del Estado de México</w:t>
      </w:r>
    </w:p>
    <w:p w14:paraId="77ACA6A7" w14:textId="381582B3" w:rsidR="00370209" w:rsidRDefault="00131B01" w:rsidP="00131B01">
      <w:pPr>
        <w:pStyle w:val="Citas"/>
      </w:pPr>
      <w:r>
        <w:t>“</w:t>
      </w:r>
      <w:r w:rsidR="00370209">
        <w:t xml:space="preserve">Artículo 55.- Los municipios de la Entidad establecerán un Consejo Municipal de Seguridad Pública, el cual deberá quedar instalado dentro de los primeros treinta días naturales del inicio de la administración municipal y enviar al Consejo Estatal el acta de instalación respectiva. </w:t>
      </w:r>
    </w:p>
    <w:p w14:paraId="31828CCC" w14:textId="77777777" w:rsidR="00131B01" w:rsidRDefault="00370209" w:rsidP="00131B01">
      <w:pPr>
        <w:pStyle w:val="Citas"/>
      </w:pPr>
      <w:r>
        <w:t xml:space="preserve">Cada Consejo Municipal deberá sesionar en forma ordinaria cada dos meses y en forma extraordinaria las veces que sean necesarias, en términos que establezca el estatuto correspondiente que emita el Consejo Municipal. </w:t>
      </w:r>
    </w:p>
    <w:p w14:paraId="20AC6757" w14:textId="77777777" w:rsidR="00131B01" w:rsidRDefault="00370209" w:rsidP="00131B01">
      <w:pPr>
        <w:pStyle w:val="Citas"/>
      </w:pPr>
      <w:r>
        <w:t xml:space="preserve">El Consejo Municipal podrá celebrar sesiones regionales, atendiendo a la densidad poblacional, extensión territorial y/o incidencia delictiva conforme a lo establecido en los lineamientos que al efecto emita el Consejo Estatal. Para el desahogo de los asuntos de su competencia, el Consejo Municipal de Seguridad Pública integrará las siguientes comisiones: </w:t>
      </w:r>
    </w:p>
    <w:p w14:paraId="0FAB6A9D" w14:textId="77777777" w:rsidR="00131B01" w:rsidRDefault="00370209" w:rsidP="00131B01">
      <w:pPr>
        <w:pStyle w:val="Citas"/>
      </w:pPr>
      <w:r>
        <w:lastRenderedPageBreak/>
        <w:t xml:space="preserve">1. Prevención Social de la Violencia y la Delincuencia con Participación Ciudadana. </w:t>
      </w:r>
    </w:p>
    <w:p w14:paraId="47988C74" w14:textId="77777777" w:rsidR="00131B01" w:rsidRDefault="00370209" w:rsidP="00131B01">
      <w:pPr>
        <w:pStyle w:val="Citas"/>
      </w:pPr>
      <w:r>
        <w:t>2. Planeación y Evaluación.</w:t>
      </w:r>
    </w:p>
    <w:p w14:paraId="3BC14D7A" w14:textId="77777777" w:rsidR="00131B01" w:rsidRDefault="00370209" w:rsidP="00131B01">
      <w:pPr>
        <w:pStyle w:val="Citas"/>
      </w:pPr>
      <w:r>
        <w:t xml:space="preserve"> 3. Estratégica de Seguridad. </w:t>
      </w:r>
    </w:p>
    <w:p w14:paraId="280705D4" w14:textId="77777777" w:rsidR="00131B01" w:rsidRPr="00131B01" w:rsidRDefault="00370209" w:rsidP="00131B01">
      <w:pPr>
        <w:pStyle w:val="Citas"/>
        <w:rPr>
          <w:b/>
          <w:u w:val="single"/>
        </w:rPr>
      </w:pPr>
      <w:r w:rsidRPr="00131B01">
        <w:rPr>
          <w:b/>
          <w:u w:val="single"/>
        </w:rPr>
        <w:t>4. Comisión de Honor y Justicia.</w:t>
      </w:r>
    </w:p>
    <w:p w14:paraId="592C7F65" w14:textId="3077514A" w:rsidR="00370209" w:rsidRDefault="00370209" w:rsidP="00131B01">
      <w:pPr>
        <w:pStyle w:val="Citas"/>
      </w:pPr>
      <w:r>
        <w:t xml:space="preserve"> 5. Las demás que determine. Las facultades, atribuciones, integración y funcionamiento de las comisiones de los Consejos Municipales de Seguridad Pública estarán determinadas en los lineamientos que para tal efecto emita el Consejo Estatal.</w:t>
      </w:r>
    </w:p>
    <w:p w14:paraId="65809A15" w14:textId="77777777" w:rsidR="00131B01" w:rsidRPr="00166BE3" w:rsidRDefault="00370209" w:rsidP="00131B01">
      <w:pPr>
        <w:pStyle w:val="Citas"/>
        <w:rPr>
          <w:b/>
          <w:u w:val="single"/>
        </w:rPr>
      </w:pPr>
      <w:r w:rsidRPr="00166BE3">
        <w:rPr>
          <w:b/>
          <w:u w:val="single"/>
        </w:rPr>
        <w:t xml:space="preserve">Artículo 161.- Las Instituciones Policiales establecerán una Comisión de Honor y Justicia. que estará integrada por: </w:t>
      </w:r>
    </w:p>
    <w:p w14:paraId="5E4482C9" w14:textId="77777777" w:rsidR="00131B01" w:rsidRDefault="00370209" w:rsidP="00131B01">
      <w:pPr>
        <w:pStyle w:val="Citas"/>
      </w:pPr>
      <w:r>
        <w:t>I. Un presidente que tendrá voto de calidad;</w:t>
      </w:r>
    </w:p>
    <w:p w14:paraId="3C92ADEC" w14:textId="77777777" w:rsidR="00131B01" w:rsidRDefault="00370209" w:rsidP="00131B01">
      <w:pPr>
        <w:pStyle w:val="Citas"/>
      </w:pPr>
      <w:r>
        <w:t xml:space="preserve"> II. Un secretario que será el titular del jurídico de la Institución y contará con voz y voto; y</w:t>
      </w:r>
    </w:p>
    <w:p w14:paraId="0C4410A7" w14:textId="77777777" w:rsidR="00131B01" w:rsidRDefault="00370209" w:rsidP="00131B01">
      <w:pPr>
        <w:pStyle w:val="Citas"/>
      </w:pPr>
      <w:r>
        <w:t xml:space="preserve"> III. Un representante de la unidad operativa de investigación, prevención o reacción según sea el caso.</w:t>
      </w:r>
    </w:p>
    <w:p w14:paraId="1B2033EA" w14:textId="3847EA5C" w:rsidR="00370209" w:rsidRPr="00166BE3" w:rsidRDefault="00370209" w:rsidP="00131B01">
      <w:pPr>
        <w:pStyle w:val="Citas"/>
        <w:rPr>
          <w:b/>
        </w:rPr>
      </w:pPr>
      <w:r>
        <w:t xml:space="preserve"> El presidente y el representante serán designados por el titular de la dependencia</w:t>
      </w:r>
      <w:r w:rsidR="00131B01">
        <w:t>”</w:t>
      </w:r>
      <w:r w:rsidR="00166BE3">
        <w:t xml:space="preserve"> </w:t>
      </w:r>
      <w:r w:rsidR="00166BE3">
        <w:rPr>
          <w:b/>
        </w:rPr>
        <w:t xml:space="preserve">[Sic] </w:t>
      </w:r>
    </w:p>
    <w:p w14:paraId="36BAFA1A" w14:textId="77777777" w:rsidR="00131B01" w:rsidRDefault="00131B01" w:rsidP="00131B01">
      <w:pPr>
        <w:pStyle w:val="Citas"/>
      </w:pPr>
    </w:p>
    <w:p w14:paraId="3E199615" w14:textId="3715367A" w:rsidR="00131B01" w:rsidRDefault="00166BE3" w:rsidP="00166BE3">
      <w:pPr>
        <w:pStyle w:val="Citas"/>
        <w:ind w:left="0" w:right="0"/>
        <w:rPr>
          <w:i w:val="0"/>
          <w:sz w:val="24"/>
        </w:rPr>
      </w:pPr>
      <w:r w:rsidRPr="00166BE3">
        <w:rPr>
          <w:i w:val="0"/>
          <w:sz w:val="24"/>
        </w:rPr>
        <w:t xml:space="preserve">De ahí que deba arribarse a la premisa de que la información requerida es susceptible de ser generada, poseída y administrada por </w:t>
      </w:r>
      <w:r w:rsidRPr="00166BE3">
        <w:rPr>
          <w:b/>
          <w:i w:val="0"/>
          <w:sz w:val="24"/>
        </w:rPr>
        <w:t>El Sujeto Obligado</w:t>
      </w:r>
      <w:r>
        <w:rPr>
          <w:b/>
          <w:i w:val="0"/>
          <w:sz w:val="24"/>
        </w:rPr>
        <w:t xml:space="preserve">. </w:t>
      </w:r>
      <w:r w:rsidRPr="00166BE3">
        <w:rPr>
          <w:i w:val="0"/>
          <w:sz w:val="24"/>
        </w:rPr>
        <w:t xml:space="preserve">De forma complementaria, es óbice mencionar que la información requerida estriba </w:t>
      </w:r>
      <w:r w:rsidRPr="00166BE3">
        <w:rPr>
          <w:i w:val="0"/>
          <w:sz w:val="24"/>
        </w:rPr>
        <w:lastRenderedPageBreak/>
        <w:t xml:space="preserve">parcialmente dentro de las obligaciones de transparencia común, robustece lo anterior los artículos 24, fracción XII y 92, </w:t>
      </w:r>
      <w:r>
        <w:rPr>
          <w:i w:val="0"/>
          <w:sz w:val="24"/>
        </w:rPr>
        <w:t xml:space="preserve">fracción VII de la Ley de Transparencia y Acceso a la Información Pública del Estado de México y Municipios, normatividad invocada cuyo contenido literal es el siguiente: </w:t>
      </w:r>
    </w:p>
    <w:p w14:paraId="3CEB589B" w14:textId="77777777" w:rsidR="00166BE3" w:rsidRPr="00E66BD3" w:rsidRDefault="00166BE3" w:rsidP="00166BE3">
      <w:pPr>
        <w:spacing w:before="240" w:line="360" w:lineRule="auto"/>
        <w:ind w:left="851" w:right="851"/>
        <w:jc w:val="both"/>
        <w:rPr>
          <w:rFonts w:ascii="Palatino Linotype" w:hAnsi="Palatino Linotype"/>
          <w:i/>
        </w:rPr>
      </w:pPr>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2BB2F779" w14:textId="77777777" w:rsidR="00166BE3" w:rsidRPr="00E66BD3" w:rsidRDefault="00166BE3" w:rsidP="00166BE3">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t>XII. Publicar y mantener actualizada la información relativa a las obligaciones generales de transparencia previstas en la presente Ley o determinadas así por el Instituto, y en general aquella que sea de interés público;</w:t>
      </w:r>
    </w:p>
    <w:p w14:paraId="0BCC9A2D" w14:textId="77777777" w:rsidR="00166BE3" w:rsidRDefault="00166BE3" w:rsidP="00166BE3">
      <w:pPr>
        <w:spacing w:before="240" w:line="360" w:lineRule="auto"/>
        <w:ind w:left="851" w:right="851"/>
        <w:jc w:val="both"/>
        <w:rPr>
          <w:rFonts w:ascii="Palatino Linotype" w:hAnsi="Palatino Linotype"/>
          <w:i/>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343732F" w14:textId="065BE72B" w:rsidR="00166BE3" w:rsidRDefault="00166BE3" w:rsidP="00166BE3">
      <w:pPr>
        <w:spacing w:before="240" w:line="360" w:lineRule="auto"/>
        <w:ind w:left="851" w:right="851"/>
        <w:jc w:val="both"/>
        <w:rPr>
          <w:rFonts w:ascii="Palatino Linotype" w:hAnsi="Palatino Linotype"/>
          <w:i/>
        </w:rPr>
      </w:pPr>
      <w:r>
        <w:rPr>
          <w:rFonts w:ascii="Palatino Linotype" w:hAnsi="Palatino Linotype"/>
          <w:i/>
        </w:rPr>
        <w:t>(…)</w:t>
      </w:r>
    </w:p>
    <w:p w14:paraId="693915D7" w14:textId="77777777" w:rsidR="00166BE3" w:rsidRDefault="00166BE3" w:rsidP="00166BE3">
      <w:pPr>
        <w:pStyle w:val="Citas"/>
      </w:pPr>
      <w:r w:rsidRPr="00166BE3">
        <w:rPr>
          <w:b/>
          <w:u w:val="single"/>
        </w:rPr>
        <w:t>VII. El directorio de todos los servidores públicos,</w:t>
      </w:r>
      <w:r>
        <w:t xml:space="preserve">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0EC01785" w14:textId="4E07DA22" w:rsidR="00166BE3" w:rsidRDefault="00166BE3" w:rsidP="00166BE3">
      <w:pPr>
        <w:pStyle w:val="Citas"/>
      </w:pPr>
      <w:r>
        <w:lastRenderedPageBreak/>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1E481BF3" w14:textId="18FD4FAA" w:rsidR="00166BE3" w:rsidRDefault="00166BE3" w:rsidP="00166BE3">
      <w:pPr>
        <w:pStyle w:val="Citas"/>
        <w:rPr>
          <w:b/>
        </w:rPr>
      </w:pPr>
      <w:r>
        <w:t xml:space="preserve">(…)” </w:t>
      </w:r>
      <w:r>
        <w:rPr>
          <w:b/>
        </w:rPr>
        <w:t xml:space="preserve">[Sic] </w:t>
      </w:r>
    </w:p>
    <w:p w14:paraId="678CA0AF" w14:textId="77777777" w:rsidR="00166BE3" w:rsidRDefault="00166BE3" w:rsidP="00166BE3">
      <w:pPr>
        <w:pStyle w:val="Citas"/>
        <w:ind w:left="0"/>
      </w:pPr>
    </w:p>
    <w:p w14:paraId="65F5B80B" w14:textId="77777777" w:rsidR="00166BE3" w:rsidRDefault="00166BE3" w:rsidP="00166BE3">
      <w:pPr>
        <w:pStyle w:val="infoemcitas"/>
        <w:tabs>
          <w:tab w:val="left" w:pos="7655"/>
        </w:tabs>
        <w:ind w:left="0" w:right="0"/>
        <w:rPr>
          <w:i w:val="0"/>
          <w:sz w:val="24"/>
          <w:szCs w:val="24"/>
        </w:rPr>
      </w:pPr>
      <w:r>
        <w:rPr>
          <w:i w:val="0"/>
          <w:sz w:val="24"/>
          <w:szCs w:val="24"/>
        </w:rPr>
        <w:t xml:space="preserve">Robustece lo anterior, las siguientes imágenes ilustrativas, correspondientes a la tabla de aplicabilidad del </w:t>
      </w:r>
      <w:r>
        <w:rPr>
          <w:b/>
          <w:i w:val="0"/>
          <w:sz w:val="24"/>
          <w:szCs w:val="24"/>
        </w:rPr>
        <w:t xml:space="preserve">Sujeto Obligado, </w:t>
      </w:r>
      <w:r>
        <w:rPr>
          <w:i w:val="0"/>
          <w:sz w:val="24"/>
          <w:szCs w:val="24"/>
        </w:rPr>
        <w:t xml:space="preserve">misma que puede ser consultada en la siguiente dirección electrónica: </w:t>
      </w:r>
    </w:p>
    <w:p w14:paraId="1EA25870" w14:textId="300027B7" w:rsidR="00166BE3" w:rsidRDefault="00D64FB2" w:rsidP="00166BE3">
      <w:pPr>
        <w:pStyle w:val="Prrafodelista"/>
        <w:autoSpaceDE w:val="0"/>
        <w:autoSpaceDN w:val="0"/>
        <w:adjustRightInd w:val="0"/>
        <w:spacing w:before="240" w:after="160" w:line="360" w:lineRule="auto"/>
        <w:ind w:left="0"/>
        <w:jc w:val="both"/>
        <w:rPr>
          <w:rFonts w:ascii="Palatino Linotype" w:hAnsi="Palatino Linotype"/>
          <w:bCs/>
        </w:rPr>
      </w:pPr>
      <w:hyperlink r:id="rId13" w:history="1">
        <w:r w:rsidR="00166BE3" w:rsidRPr="00EE75BF">
          <w:rPr>
            <w:rStyle w:val="Hipervnculo"/>
            <w:rFonts w:ascii="Palatino Linotype" w:hAnsi="Palatino Linotype"/>
            <w:bCs/>
          </w:rPr>
          <w:t>https://www.infoem.org.mx/es/contenido/transparencia/directorio-de-sujetos-obligados</w:t>
        </w:r>
      </w:hyperlink>
      <w:r w:rsidR="00166BE3">
        <w:rPr>
          <w:rFonts w:ascii="Palatino Linotype" w:hAnsi="Palatino Linotype"/>
          <w:bCs/>
        </w:rPr>
        <w:t xml:space="preserve"> </w:t>
      </w:r>
    </w:p>
    <w:p w14:paraId="55277D61" w14:textId="1100730C" w:rsidR="00166BE3" w:rsidRDefault="00166BE3" w:rsidP="00166BE3">
      <w:pPr>
        <w:pStyle w:val="Prrafodelista"/>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noProof/>
          <w:lang w:val="es-MX" w:eastAsia="es-MX"/>
        </w:rPr>
        <mc:AlternateContent>
          <mc:Choice Requires="wps">
            <w:drawing>
              <wp:anchor distT="0" distB="0" distL="114300" distR="114300" simplePos="0" relativeHeight="251671552" behindDoc="0" locked="0" layoutInCell="1" allowOverlap="1" wp14:anchorId="6701D105" wp14:editId="571C9DF7">
                <wp:simplePos x="0" y="0"/>
                <wp:positionH relativeFrom="column">
                  <wp:posOffset>-314016</wp:posOffset>
                </wp:positionH>
                <wp:positionV relativeFrom="paragraph">
                  <wp:posOffset>465781</wp:posOffset>
                </wp:positionV>
                <wp:extent cx="6680629" cy="2619032"/>
                <wp:effectExtent l="0" t="0" r="25400" b="29210"/>
                <wp:wrapNone/>
                <wp:docPr id="15" name="Conector recto 15"/>
                <wp:cNvGraphicFramePr/>
                <a:graphic xmlns:a="http://schemas.openxmlformats.org/drawingml/2006/main">
                  <a:graphicData uri="http://schemas.microsoft.com/office/word/2010/wordprocessingShape">
                    <wps:wsp>
                      <wps:cNvCnPr/>
                      <wps:spPr>
                        <a:xfrm>
                          <a:off x="0" y="0"/>
                          <a:ext cx="6680629" cy="261903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9B7432" id="Conector recto 1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36.7pt" to="501.3pt,2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" strokecolor="#5b9bd5 [3204]" strokeweight=".5pt">
                <v:stroke joinstyle="miter"/>
              </v:line>
            </w:pict>
          </mc:Fallback>
        </mc:AlternateContent>
      </w:r>
      <w:r>
        <w:rPr>
          <w:rFonts w:ascii="Palatino Linotype" w:hAnsi="Palatino Linotype"/>
          <w:bCs/>
        </w:rPr>
        <w:t xml:space="preserve">Sirven de sustento las siguientes imágenes ilustrativas: </w:t>
      </w:r>
    </w:p>
    <w:p w14:paraId="48E5EA6C" w14:textId="5DE358A2" w:rsidR="00166BE3" w:rsidRPr="00166BE3" w:rsidRDefault="00166BE3" w:rsidP="00166BE3">
      <w:pPr>
        <w:pStyle w:val="Citas"/>
        <w:ind w:left="0"/>
        <w:rPr>
          <w:b/>
          <w:sz w:val="24"/>
          <w:u w:val="single"/>
        </w:rPr>
      </w:pPr>
    </w:p>
    <w:p w14:paraId="7A8ABA2C" w14:textId="77777777" w:rsidR="00166BE3" w:rsidRPr="00166BE3" w:rsidRDefault="00166BE3" w:rsidP="00166BE3">
      <w:pPr>
        <w:pStyle w:val="Citas"/>
        <w:ind w:left="0" w:right="0"/>
        <w:rPr>
          <w:i w:val="0"/>
          <w:sz w:val="32"/>
          <w:szCs w:val="24"/>
        </w:rPr>
      </w:pPr>
    </w:p>
    <w:p w14:paraId="769F66E9" w14:textId="77777777" w:rsidR="00131B01" w:rsidRDefault="00131B01" w:rsidP="00131B01">
      <w:pPr>
        <w:pStyle w:val="Citas"/>
      </w:pPr>
    </w:p>
    <w:p w14:paraId="5C3BFD31" w14:textId="77777777" w:rsidR="00131B01" w:rsidRDefault="00131B01" w:rsidP="00131B01">
      <w:pPr>
        <w:pStyle w:val="Citas"/>
      </w:pPr>
    </w:p>
    <w:p w14:paraId="1EFBD95D" w14:textId="77777777" w:rsidR="00166BE3" w:rsidRDefault="00166BE3" w:rsidP="00131B01">
      <w:pPr>
        <w:pStyle w:val="Citas"/>
      </w:pPr>
    </w:p>
    <w:p w14:paraId="3ECE8560" w14:textId="77777777" w:rsidR="00166BE3" w:rsidRDefault="00166BE3" w:rsidP="00131B01">
      <w:pPr>
        <w:pStyle w:val="Citas"/>
      </w:pPr>
    </w:p>
    <w:p w14:paraId="08002A37" w14:textId="6AECBD09" w:rsidR="0090162D" w:rsidRDefault="00166BE3" w:rsidP="005D2332">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noProof/>
          <w:sz w:val="24"/>
          <w:szCs w:val="24"/>
          <w:lang w:eastAsia="es-MX"/>
        </w:rPr>
        <w:lastRenderedPageBreak/>
        <w:drawing>
          <wp:anchor distT="0" distB="0" distL="114300" distR="114300" simplePos="0" relativeHeight="251672576" behindDoc="0" locked="0" layoutInCell="1" allowOverlap="1" wp14:anchorId="5E0B9AE0" wp14:editId="171CE82D">
            <wp:simplePos x="0" y="0"/>
            <wp:positionH relativeFrom="column">
              <wp:posOffset>2156</wp:posOffset>
            </wp:positionH>
            <wp:positionV relativeFrom="paragraph">
              <wp:posOffset>3741934</wp:posOffset>
            </wp:positionV>
            <wp:extent cx="5757545" cy="3535199"/>
            <wp:effectExtent l="19050" t="19050" r="14605" b="27305"/>
            <wp:wrapThrough wrapText="bothSides">
              <wp:wrapPolygon edited="0">
                <wp:start x="-71" y="-116"/>
                <wp:lineTo x="-71" y="21650"/>
                <wp:lineTo x="21583" y="21650"/>
                <wp:lineTo x="21583" y="-116"/>
                <wp:lineTo x="-71" y="-116"/>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7545" cy="353519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eastAsia="Times New Roman" w:hAnsi="Palatino Linotype" w:cs="Arial"/>
          <w:noProof/>
          <w:sz w:val="24"/>
          <w:szCs w:val="24"/>
          <w:lang w:eastAsia="es-MX"/>
        </w:rPr>
        <w:drawing>
          <wp:anchor distT="0" distB="0" distL="114300" distR="114300" simplePos="0" relativeHeight="251650039" behindDoc="0" locked="0" layoutInCell="1" allowOverlap="1" wp14:anchorId="5E9077E6" wp14:editId="3E41F672">
            <wp:simplePos x="0" y="0"/>
            <wp:positionH relativeFrom="column">
              <wp:posOffset>-1270</wp:posOffset>
            </wp:positionH>
            <wp:positionV relativeFrom="paragraph">
              <wp:posOffset>19050</wp:posOffset>
            </wp:positionV>
            <wp:extent cx="5758180" cy="3535045"/>
            <wp:effectExtent l="19050" t="19050" r="13970" b="27305"/>
            <wp:wrapThrough wrapText="bothSides">
              <wp:wrapPolygon edited="0">
                <wp:start x="-71" y="-116"/>
                <wp:lineTo x="-71" y="21650"/>
                <wp:lineTo x="21581" y="21650"/>
                <wp:lineTo x="21581" y="-116"/>
                <wp:lineTo x="-71" y="-116"/>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8180" cy="35350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5D89BE5" w14:textId="5F633C20" w:rsidR="005D2332" w:rsidRDefault="005D2332" w:rsidP="005D2332">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Pr>
          <w:rFonts w:ascii="Palatino Linotype" w:eastAsia="Times New Roman" w:hAnsi="Palatino Linotype" w:cs="Arial"/>
          <w:sz w:val="24"/>
          <w:szCs w:val="24"/>
          <w:lang w:val="es-ES" w:eastAsia="es-ES"/>
        </w:rPr>
        <w:lastRenderedPageBreak/>
        <w:t>Una vez sentado lo anterior, como fue mencionado en el antecedente segundo</w:t>
      </w:r>
      <w:r w:rsidR="00C92C1D">
        <w:rPr>
          <w:rFonts w:ascii="Palatino Linotype" w:eastAsia="Times New Roman" w:hAnsi="Palatino Linotype" w:cs="Arial"/>
          <w:sz w:val="24"/>
          <w:szCs w:val="24"/>
          <w:lang w:val="es-ES" w:eastAsia="es-ES"/>
        </w:rPr>
        <w:t xml:space="preserve"> y quinto</w:t>
      </w:r>
      <w:r>
        <w:rPr>
          <w:rFonts w:ascii="Palatino Linotype" w:eastAsia="Times New Roman" w:hAnsi="Palatino Linotype" w:cs="Arial"/>
          <w:sz w:val="24"/>
          <w:szCs w:val="24"/>
          <w:lang w:val="es-ES" w:eastAsia="es-ES"/>
        </w:rPr>
        <w:t xml:space="preserve">, </w:t>
      </w:r>
      <w:r>
        <w:rPr>
          <w:rFonts w:ascii="Palatino Linotype" w:eastAsia="Times New Roman" w:hAnsi="Palatino Linotype" w:cs="Arial"/>
          <w:b/>
          <w:sz w:val="24"/>
          <w:szCs w:val="24"/>
          <w:lang w:val="es-ES" w:eastAsia="es-ES"/>
        </w:rPr>
        <w:t xml:space="preserve">El Sujeto Obligado </w:t>
      </w:r>
      <w:r>
        <w:rPr>
          <w:rFonts w:ascii="Palatino Linotype" w:eastAsia="Times New Roman" w:hAnsi="Palatino Linotype" w:cs="Arial"/>
          <w:sz w:val="24"/>
          <w:szCs w:val="24"/>
          <w:lang w:val="es-ES" w:eastAsia="es-ES"/>
        </w:rPr>
        <w:t xml:space="preserve">fue omiso en dar atención a la solicitud de información formulada por </w:t>
      </w:r>
      <w:r w:rsidR="00C92C1D">
        <w:rPr>
          <w:rFonts w:ascii="Palatino Linotype" w:eastAsia="Times New Roman" w:hAnsi="Palatino Linotype" w:cs="Arial"/>
          <w:sz w:val="24"/>
          <w:szCs w:val="24"/>
          <w:lang w:val="es-ES" w:eastAsia="es-ES"/>
        </w:rPr>
        <w:t>el</w:t>
      </w:r>
      <w:r>
        <w:rPr>
          <w:rFonts w:ascii="Palatino Linotype" w:eastAsia="Times New Roman" w:hAnsi="Palatino Linotype" w:cs="Arial"/>
          <w:sz w:val="24"/>
          <w:szCs w:val="24"/>
          <w:lang w:val="es-ES" w:eastAsia="es-ES"/>
        </w:rPr>
        <w:t xml:space="preserve"> particular, luego entonces, los motivos de inconformidad esgrimidos por el particular se encuentran encauzados a advertir la actualización de la causal de procedencia inmersa en el numeral 179, fracción VII de la Ley de Transparencia local </w:t>
      </w:r>
      <w:r>
        <w:rPr>
          <w:rFonts w:ascii="Palatino Linotype" w:eastAsia="Times New Roman" w:hAnsi="Palatino Linotype" w:cs="Arial"/>
          <w:b/>
          <w:sz w:val="24"/>
          <w:szCs w:val="24"/>
          <w:lang w:val="es-ES" w:eastAsia="es-ES"/>
        </w:rPr>
        <w:t>–falta de respuesta a una solicit</w:t>
      </w:r>
      <w:r w:rsidR="00C92C1D">
        <w:rPr>
          <w:rFonts w:ascii="Palatino Linotype" w:eastAsia="Times New Roman" w:hAnsi="Palatino Linotype" w:cs="Arial"/>
          <w:b/>
          <w:sz w:val="24"/>
          <w:szCs w:val="24"/>
          <w:lang w:val="es-ES" w:eastAsia="es-ES"/>
        </w:rPr>
        <w:t xml:space="preserve">ud de acceso a la información-, </w:t>
      </w:r>
      <w:r w:rsidR="00C92C1D">
        <w:rPr>
          <w:rFonts w:ascii="Palatino Linotype" w:eastAsia="Times New Roman" w:hAnsi="Palatino Linotype" w:cs="Arial"/>
          <w:sz w:val="24"/>
          <w:szCs w:val="24"/>
          <w:lang w:val="es-ES" w:eastAsia="es-ES"/>
        </w:rPr>
        <w:t xml:space="preserve">los cuales a toda luz son </w:t>
      </w:r>
      <w:r w:rsidR="00C92C1D">
        <w:rPr>
          <w:rFonts w:ascii="Palatino Linotype" w:eastAsia="Times New Roman" w:hAnsi="Palatino Linotype" w:cs="Arial"/>
          <w:b/>
          <w:sz w:val="24"/>
          <w:szCs w:val="24"/>
          <w:lang w:val="es-ES" w:eastAsia="es-ES"/>
        </w:rPr>
        <w:t xml:space="preserve">FUNDADOS. </w:t>
      </w:r>
    </w:p>
    <w:p w14:paraId="0FE88E5A" w14:textId="7829EBE2" w:rsidR="0000036A" w:rsidRDefault="0000036A" w:rsidP="0000036A">
      <w:pPr>
        <w:spacing w:line="360" w:lineRule="auto"/>
        <w:jc w:val="both"/>
        <w:rPr>
          <w:rFonts w:ascii="Palatino Linotype" w:hAnsi="Palatino Linotype"/>
          <w:bCs/>
          <w:sz w:val="24"/>
          <w:szCs w:val="24"/>
        </w:rPr>
      </w:pPr>
      <w:r>
        <w:rPr>
          <w:rFonts w:ascii="Palatino Linotype" w:hAnsi="Palatino Linotype"/>
          <w:bCs/>
          <w:sz w:val="24"/>
          <w:szCs w:val="24"/>
        </w:rPr>
        <w:t xml:space="preserve">En virtud de lo anterior, resulta viable su entrega, en versión pública de ser procedente, acompañada del acuerdo de clasificación correspondiente, luego entonces </w:t>
      </w:r>
      <w:r>
        <w:rPr>
          <w:rFonts w:ascii="Palatino Linotype" w:hAnsi="Palatino Linotype"/>
          <w:b/>
          <w:sz w:val="24"/>
          <w:szCs w:val="24"/>
        </w:rPr>
        <w:t xml:space="preserve">El Sujeto Obligado </w:t>
      </w:r>
      <w:r>
        <w:rPr>
          <w:rFonts w:ascii="Palatino Linotype" w:hAnsi="Palatino Linotype"/>
          <w:bCs/>
          <w:sz w:val="24"/>
          <w:szCs w:val="24"/>
        </w:rPr>
        <w:t>se encuentra constreñido a atender la solicitud de información en mérito.</w:t>
      </w:r>
    </w:p>
    <w:p w14:paraId="184DD42B" w14:textId="77777777" w:rsidR="0000036A" w:rsidRPr="00C92C1D" w:rsidRDefault="0000036A" w:rsidP="005D2332">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p>
    <w:p w14:paraId="77D574EB" w14:textId="77777777" w:rsidR="0000036A" w:rsidRDefault="0000036A" w:rsidP="0000036A">
      <w:pPr>
        <w:pStyle w:val="Prrafodelista"/>
        <w:numPr>
          <w:ilvl w:val="0"/>
          <w:numId w:val="8"/>
        </w:numPr>
        <w:autoSpaceDE w:val="0"/>
        <w:autoSpaceDN w:val="0"/>
        <w:adjustRightInd w:val="0"/>
        <w:spacing w:before="240" w:line="360" w:lineRule="auto"/>
        <w:jc w:val="both"/>
        <w:rPr>
          <w:rFonts w:ascii="Palatino Linotype" w:hAnsi="Palatino Linotype"/>
          <w:b/>
          <w:sz w:val="28"/>
          <w:szCs w:val="28"/>
        </w:rPr>
      </w:pPr>
      <w:r w:rsidRPr="003F3322">
        <w:rPr>
          <w:rFonts w:ascii="Palatino Linotype" w:hAnsi="Palatino Linotype"/>
          <w:b/>
          <w:sz w:val="28"/>
          <w:szCs w:val="28"/>
        </w:rPr>
        <w:t xml:space="preserve">Versión Pública </w:t>
      </w:r>
    </w:p>
    <w:p w14:paraId="52F360AB" w14:textId="77777777" w:rsidR="0000036A" w:rsidRDefault="0000036A" w:rsidP="0000036A">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7B1DAADE" w14:textId="77777777" w:rsidR="0000036A" w:rsidRPr="001571EB" w:rsidRDefault="0000036A" w:rsidP="0000036A">
      <w:pPr>
        <w:tabs>
          <w:tab w:val="left" w:pos="7938"/>
        </w:tabs>
        <w:spacing w:before="240" w:after="240" w:line="360" w:lineRule="auto"/>
        <w:jc w:val="both"/>
        <w:rPr>
          <w:rFonts w:ascii="Palatino Linotype" w:eastAsia="Arial Unicode MS" w:hAnsi="Palatino Linotype" w:cs="Arial"/>
          <w:sz w:val="24"/>
          <w:szCs w:val="24"/>
        </w:rPr>
      </w:pPr>
    </w:p>
    <w:p w14:paraId="5DD05F5A" w14:textId="77777777" w:rsidR="0000036A" w:rsidRPr="00E60DEF" w:rsidRDefault="0000036A" w:rsidP="0000036A">
      <w:pPr>
        <w:spacing w:before="240" w:line="360" w:lineRule="auto"/>
        <w:ind w:left="851" w:right="851"/>
        <w:jc w:val="both"/>
        <w:rPr>
          <w:rFonts w:ascii="Palatino Linotype" w:hAnsi="Palatino Linotype" w:cs="Arial"/>
          <w:i/>
        </w:rPr>
      </w:pPr>
      <w:r w:rsidRPr="00E60DEF">
        <w:rPr>
          <w:rFonts w:ascii="Palatino Linotype" w:hAnsi="Palatino Linotype" w:cs="Arial"/>
          <w:i/>
        </w:rPr>
        <w:lastRenderedPageBreak/>
        <w:t>“Artículo 3. Para los efectos de la presente Ley se entenderá por:</w:t>
      </w:r>
    </w:p>
    <w:p w14:paraId="1DE6FABB" w14:textId="77777777" w:rsidR="0000036A" w:rsidRPr="00E60DEF" w:rsidRDefault="0000036A" w:rsidP="0000036A">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412D9526" w14:textId="77777777" w:rsidR="0000036A" w:rsidRPr="001571EB" w:rsidRDefault="0000036A" w:rsidP="0000036A">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0CBFBC02" w14:textId="77777777" w:rsidR="0000036A" w:rsidRPr="001571EB" w:rsidRDefault="0000036A" w:rsidP="0000036A">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329C4D1A" w14:textId="77777777" w:rsidR="0000036A" w:rsidRPr="001571EB" w:rsidRDefault="0000036A" w:rsidP="0000036A">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3146B703" w14:textId="77777777" w:rsidR="0000036A" w:rsidRPr="001571EB" w:rsidRDefault="0000036A" w:rsidP="0000036A">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00E7BC65" w14:textId="77777777" w:rsidR="0000036A" w:rsidRPr="001571EB" w:rsidRDefault="0000036A" w:rsidP="0000036A">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55331B0C" w14:textId="77777777" w:rsidR="0000036A" w:rsidRPr="001571EB" w:rsidRDefault="0000036A" w:rsidP="0000036A">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24A18995" w14:textId="77777777" w:rsidR="0000036A" w:rsidRPr="001571EB" w:rsidRDefault="0000036A" w:rsidP="0000036A">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6427DF7C" w14:textId="77777777" w:rsidR="0000036A" w:rsidRPr="00E60DEF" w:rsidRDefault="0000036A" w:rsidP="0000036A">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68B58763" w14:textId="77777777" w:rsidR="0000036A" w:rsidRPr="001571EB" w:rsidRDefault="0000036A" w:rsidP="0000036A">
      <w:pPr>
        <w:spacing w:before="240" w:line="360" w:lineRule="auto"/>
        <w:ind w:left="851" w:right="851"/>
        <w:jc w:val="both"/>
        <w:rPr>
          <w:rFonts w:ascii="Palatino Linotype" w:hAnsi="Palatino Linotype" w:cs="Arial"/>
          <w:b/>
          <w:i/>
        </w:rPr>
      </w:pPr>
      <w:r>
        <w:rPr>
          <w:rFonts w:ascii="Palatino Linotype" w:hAnsi="Palatino Linotype" w:cs="Arial"/>
          <w:b/>
          <w:i/>
        </w:rPr>
        <w:t>(…)</w:t>
      </w:r>
    </w:p>
    <w:p w14:paraId="1717DE06" w14:textId="77777777" w:rsidR="0000036A" w:rsidRPr="00E60DEF" w:rsidRDefault="0000036A" w:rsidP="0000036A">
      <w:pPr>
        <w:spacing w:before="240" w:line="360" w:lineRule="auto"/>
        <w:ind w:left="851" w:right="851"/>
        <w:jc w:val="both"/>
        <w:rPr>
          <w:rFonts w:ascii="Palatino Linotype" w:hAnsi="Palatino Linotype" w:cs="Arial"/>
          <w:b/>
          <w:i/>
        </w:rPr>
      </w:pPr>
      <w:r w:rsidRPr="00E60DEF">
        <w:rPr>
          <w:rFonts w:ascii="Palatino Linotype" w:hAnsi="Palatino Linotype" w:cs="Arial"/>
          <w:i/>
        </w:rPr>
        <w:t xml:space="preserve">Artículo 137. Cuando un mismo medio, impreso o electrónico, contenga información pública y reservada o confidencial, la Unidad de Transparencia para efectos de </w:t>
      </w:r>
      <w:r w:rsidRPr="00E60DEF">
        <w:rPr>
          <w:rFonts w:ascii="Palatino Linotype" w:hAnsi="Palatino Linotype" w:cs="Arial"/>
          <w:i/>
        </w:rPr>
        <w:lastRenderedPageBreak/>
        <w:t>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09AD45BA" w14:textId="77777777" w:rsidR="0000036A" w:rsidRPr="001571EB" w:rsidRDefault="0000036A" w:rsidP="0000036A">
      <w:pPr>
        <w:spacing w:line="240" w:lineRule="auto"/>
        <w:ind w:left="851" w:right="851"/>
        <w:jc w:val="both"/>
        <w:rPr>
          <w:rFonts w:ascii="Palatino Linotype" w:hAnsi="Palatino Linotype" w:cs="Arial"/>
          <w:b/>
          <w:i/>
          <w:u w:val="single"/>
        </w:rPr>
      </w:pPr>
    </w:p>
    <w:p w14:paraId="5758B73A" w14:textId="77777777" w:rsidR="0000036A" w:rsidRPr="001571EB" w:rsidRDefault="0000036A" w:rsidP="0000036A">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017A10EE" w14:textId="77777777" w:rsidR="0000036A" w:rsidRPr="001571EB" w:rsidRDefault="0000036A" w:rsidP="0000036A">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42E81A4E" w14:textId="77777777" w:rsidR="0000036A" w:rsidRPr="001571EB" w:rsidRDefault="0000036A" w:rsidP="0000036A">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5D4603BE" w14:textId="77777777" w:rsidR="0000036A" w:rsidRDefault="0000036A" w:rsidP="0000036A">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620A7A6B" w14:textId="77777777" w:rsidR="0000036A" w:rsidRDefault="0000036A" w:rsidP="0000036A">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lastRenderedPageBreak/>
        <w:t>“</w:t>
      </w:r>
      <w:r w:rsidRPr="001571EB">
        <w:rPr>
          <w:rFonts w:ascii="Palatino Linotype" w:eastAsia="Times New Roman" w:hAnsi="Palatino Linotype" w:cs="Arial"/>
          <w:b/>
          <w:bCs/>
          <w:i/>
        </w:rPr>
        <w:t>REGISTRO FEDERAL DE CONTRIBUYENTES (RFC) DE PERSONAS FÍSICAS.</w:t>
      </w:r>
    </w:p>
    <w:p w14:paraId="47075860" w14:textId="77777777" w:rsidR="0000036A" w:rsidRPr="001571EB" w:rsidRDefault="0000036A" w:rsidP="0000036A">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7FD63E3A" w14:textId="77777777" w:rsidR="0000036A" w:rsidRPr="001571EB" w:rsidRDefault="0000036A" w:rsidP="0000036A">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591E31BA" w14:textId="77777777" w:rsidR="0000036A" w:rsidRPr="001571EB" w:rsidRDefault="0000036A" w:rsidP="0000036A">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766693BE" w14:textId="77777777" w:rsidR="0000036A" w:rsidRPr="001571EB" w:rsidRDefault="0000036A" w:rsidP="0000036A">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583EE4CC" w14:textId="77777777" w:rsidR="0000036A" w:rsidRPr="00EE0180" w:rsidRDefault="0000036A" w:rsidP="0000036A">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7FDC3ADA" w14:textId="77777777" w:rsidR="0000036A" w:rsidRPr="001571EB" w:rsidRDefault="0000036A" w:rsidP="0000036A">
      <w:pPr>
        <w:autoSpaceDE w:val="0"/>
        <w:autoSpaceDN w:val="0"/>
        <w:adjustRightInd w:val="0"/>
        <w:spacing w:before="120" w:after="120"/>
        <w:ind w:left="567" w:right="850"/>
        <w:jc w:val="both"/>
        <w:rPr>
          <w:rFonts w:ascii="Palatino Linotype" w:eastAsia="Times New Roman" w:hAnsi="Palatino Linotype" w:cs="Arial"/>
          <w:i/>
        </w:rPr>
      </w:pPr>
    </w:p>
    <w:p w14:paraId="3ECAA7BE" w14:textId="77777777" w:rsidR="0000036A" w:rsidRPr="001571EB" w:rsidRDefault="0000036A" w:rsidP="0000036A">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7F92093F" w14:textId="77777777" w:rsidR="0000036A" w:rsidRPr="001571EB" w:rsidRDefault="0000036A" w:rsidP="0000036A">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 xml:space="preserve">integra por datos personales que únicamente le conciernen a un particular como son su fecha de nacimiento, su nombre, sus apellidos y su lugar de nacimiento; </w:t>
      </w:r>
      <w:r w:rsidRPr="001571EB">
        <w:rPr>
          <w:rFonts w:ascii="Palatino Linotype" w:eastAsia="Calibri" w:hAnsi="Palatino Linotype" w:cs="Arial"/>
          <w:sz w:val="24"/>
          <w:szCs w:val="24"/>
          <w:lang w:eastAsia="es-MX"/>
        </w:rPr>
        <w:lastRenderedPageBreak/>
        <w:t>información que permite distinguirlo del resto de los habitantes, se considera que es de carácter confidencial.</w:t>
      </w:r>
    </w:p>
    <w:p w14:paraId="2079C54D" w14:textId="77777777" w:rsidR="0000036A" w:rsidRDefault="0000036A" w:rsidP="0000036A">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7A92E7EC" w14:textId="77777777" w:rsidR="0000036A" w:rsidRDefault="0000036A" w:rsidP="0000036A">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70D8377A" w14:textId="77777777" w:rsidR="0000036A" w:rsidRPr="001571EB" w:rsidRDefault="0000036A" w:rsidP="0000036A">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1D52F25" w14:textId="77777777" w:rsidR="0000036A" w:rsidRPr="001571EB" w:rsidRDefault="0000036A" w:rsidP="0000036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5A7E609A" w14:textId="77777777" w:rsidR="0000036A" w:rsidRPr="001571EB" w:rsidRDefault="0000036A" w:rsidP="0000036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3D4CDCB2" w14:textId="77777777" w:rsidR="0000036A" w:rsidRPr="001571EB" w:rsidRDefault="0000036A" w:rsidP="0000036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48BB6FF5" w14:textId="77777777" w:rsidR="0000036A" w:rsidRDefault="0000036A" w:rsidP="0000036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3C30F551" w14:textId="77777777" w:rsidR="0000036A" w:rsidRDefault="0000036A" w:rsidP="0000036A">
      <w:pPr>
        <w:autoSpaceDE w:val="0"/>
        <w:autoSpaceDN w:val="0"/>
        <w:adjustRightInd w:val="0"/>
        <w:spacing w:before="240" w:line="360" w:lineRule="auto"/>
        <w:ind w:left="851" w:right="851"/>
        <w:jc w:val="both"/>
        <w:rPr>
          <w:rFonts w:ascii="Palatino Linotype" w:eastAsia="Times New Roman" w:hAnsi="Palatino Linotype" w:cs="Arial"/>
          <w:b/>
          <w:i/>
          <w:lang w:eastAsia="es-MX"/>
        </w:rPr>
      </w:pPr>
    </w:p>
    <w:p w14:paraId="59C2D4EE" w14:textId="77777777" w:rsidR="0000036A" w:rsidRDefault="0000036A" w:rsidP="0000036A">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lastRenderedPageBreak/>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226FA0E1" w14:textId="77777777" w:rsidR="0000036A" w:rsidRDefault="0000036A" w:rsidP="0000036A">
      <w:pPr>
        <w:spacing w:after="0" w:line="360" w:lineRule="auto"/>
        <w:ind w:right="51"/>
        <w:jc w:val="both"/>
        <w:rPr>
          <w:rFonts w:ascii="Palatino Linotype" w:hAnsi="Palatino Linotype" w:cs="Arial"/>
          <w:sz w:val="24"/>
          <w:szCs w:val="24"/>
        </w:rPr>
      </w:pPr>
    </w:p>
    <w:p w14:paraId="2F7B993A" w14:textId="20D3B370" w:rsidR="0000036A" w:rsidRDefault="0000036A" w:rsidP="0000036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FB59FD">
        <w:rPr>
          <w:rFonts w:ascii="Palatino Linotype" w:hAnsi="Palatino Linotype" w:cs="Arial"/>
          <w:sz w:val="24"/>
          <w:szCs w:val="24"/>
        </w:rPr>
        <w:t xml:space="preserve">n mérito de lo expuesto en líneas anteriores, con fundamento en la fracción IV del artículo 186, de la Ley de Transparencia y Acceso a la Información Pública del Estado de México y Municipios, se </w:t>
      </w:r>
      <w:r w:rsidRPr="00FB59FD">
        <w:rPr>
          <w:rFonts w:ascii="Palatino Linotype" w:hAnsi="Palatino Linotype" w:cs="Arial"/>
          <w:b/>
          <w:sz w:val="24"/>
          <w:szCs w:val="24"/>
        </w:rPr>
        <w:t>ORDENA</w:t>
      </w:r>
      <w:r w:rsidRPr="00FB59FD">
        <w:rPr>
          <w:rFonts w:ascii="Palatino Linotype" w:hAnsi="Palatino Linotype" w:cs="Arial"/>
          <w:sz w:val="24"/>
          <w:szCs w:val="24"/>
        </w:rPr>
        <w:t xml:space="preserve"> al </w:t>
      </w:r>
      <w:r>
        <w:rPr>
          <w:rFonts w:ascii="Palatino Linotype" w:hAnsi="Palatino Linotype" w:cs="Arial"/>
          <w:b/>
          <w:sz w:val="24"/>
          <w:szCs w:val="24"/>
        </w:rPr>
        <w:t>Sujeto O</w:t>
      </w:r>
      <w:r w:rsidRPr="00C14D83">
        <w:rPr>
          <w:rFonts w:ascii="Palatino Linotype" w:hAnsi="Palatino Linotype" w:cs="Arial"/>
          <w:b/>
          <w:sz w:val="24"/>
          <w:szCs w:val="24"/>
        </w:rPr>
        <w:t>bligado</w:t>
      </w:r>
      <w:r w:rsidRPr="00FB59FD">
        <w:rPr>
          <w:rFonts w:ascii="Palatino Linotype" w:hAnsi="Palatino Linotype" w:cs="Arial"/>
          <w:sz w:val="24"/>
          <w:szCs w:val="24"/>
        </w:rPr>
        <w:t xml:space="preserve">, atienda la solicitud de información </w:t>
      </w:r>
      <w:r>
        <w:rPr>
          <w:rFonts w:ascii="Palatino Linotype" w:hAnsi="Palatino Linotype" w:cs="Arial"/>
          <w:b/>
          <w:sz w:val="24"/>
          <w:szCs w:val="24"/>
          <w:lang w:eastAsia="es-MX"/>
        </w:rPr>
        <w:t xml:space="preserve">00397/ECATEPEC/IP/2021 </w:t>
      </w:r>
      <w:r w:rsidRPr="00FB59FD">
        <w:rPr>
          <w:rFonts w:ascii="Palatino Linotype" w:hAnsi="Palatino Linotype" w:cs="Arial"/>
          <w:sz w:val="24"/>
          <w:szCs w:val="24"/>
        </w:rPr>
        <w:t>que ha sido materia del presente fallo.</w:t>
      </w:r>
    </w:p>
    <w:p w14:paraId="33B21678" w14:textId="77777777" w:rsidR="0000036A" w:rsidRDefault="0000036A" w:rsidP="0000036A">
      <w:pPr>
        <w:autoSpaceDE w:val="0"/>
        <w:autoSpaceDN w:val="0"/>
        <w:adjustRightInd w:val="0"/>
        <w:spacing w:after="0" w:line="360" w:lineRule="auto"/>
        <w:jc w:val="both"/>
        <w:rPr>
          <w:rFonts w:ascii="Palatino Linotype" w:hAnsi="Palatino Linotype" w:cs="Arial"/>
          <w:sz w:val="24"/>
          <w:szCs w:val="24"/>
        </w:rPr>
      </w:pPr>
    </w:p>
    <w:p w14:paraId="5214CF9C" w14:textId="77777777" w:rsidR="0000036A" w:rsidRDefault="0000036A" w:rsidP="0000036A">
      <w:pPr>
        <w:autoSpaceDE w:val="0"/>
        <w:autoSpaceDN w:val="0"/>
        <w:adjustRightInd w:val="0"/>
        <w:spacing w:after="0" w:line="360" w:lineRule="auto"/>
        <w:jc w:val="both"/>
        <w:rPr>
          <w:rFonts w:ascii="Palatino Linotype" w:hAnsi="Palatino Linotype" w:cs="Arial"/>
          <w:sz w:val="24"/>
          <w:szCs w:val="24"/>
        </w:rPr>
      </w:pPr>
      <w:r w:rsidRPr="00FB59FD">
        <w:rPr>
          <w:rFonts w:ascii="Palatino Linotype" w:hAnsi="Palatino Linotype" w:cs="Arial"/>
          <w:sz w:val="24"/>
          <w:szCs w:val="24"/>
        </w:rPr>
        <w:t>Por lo antes expuesto y fundado es de resolverse y,</w:t>
      </w:r>
    </w:p>
    <w:p w14:paraId="036D8198" w14:textId="568ACA85" w:rsidR="0000036A" w:rsidRDefault="0000036A" w:rsidP="0000036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75648" behindDoc="0" locked="0" layoutInCell="1" allowOverlap="1" wp14:anchorId="25883865" wp14:editId="11D78956">
                <wp:simplePos x="0" y="0"/>
                <wp:positionH relativeFrom="column">
                  <wp:posOffset>-149260</wp:posOffset>
                </wp:positionH>
                <wp:positionV relativeFrom="paragraph">
                  <wp:posOffset>69523</wp:posOffset>
                </wp:positionV>
                <wp:extent cx="6425513" cy="1886465"/>
                <wp:effectExtent l="0" t="0" r="33020" b="19050"/>
                <wp:wrapNone/>
                <wp:docPr id="21" name="Conector recto 21"/>
                <wp:cNvGraphicFramePr/>
                <a:graphic xmlns:a="http://schemas.openxmlformats.org/drawingml/2006/main">
                  <a:graphicData uri="http://schemas.microsoft.com/office/word/2010/wordprocessingShape">
                    <wps:wsp>
                      <wps:cNvCnPr/>
                      <wps:spPr>
                        <a:xfrm>
                          <a:off x="0" y="0"/>
                          <a:ext cx="6425513" cy="18864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0C6829" id="Conector recto 2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1.75pt,5.45pt" to="494.2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" strokecolor="#5b9bd5 [3204]" strokeweight=".5pt">
                <v:stroke joinstyle="miter"/>
              </v:line>
            </w:pict>
          </mc:Fallback>
        </mc:AlternateContent>
      </w:r>
    </w:p>
    <w:p w14:paraId="1B11699B" w14:textId="77777777" w:rsidR="0000036A" w:rsidRDefault="0000036A" w:rsidP="0000036A">
      <w:pPr>
        <w:autoSpaceDE w:val="0"/>
        <w:autoSpaceDN w:val="0"/>
        <w:adjustRightInd w:val="0"/>
        <w:spacing w:after="0" w:line="360" w:lineRule="auto"/>
        <w:jc w:val="both"/>
        <w:rPr>
          <w:rFonts w:ascii="Palatino Linotype" w:hAnsi="Palatino Linotype" w:cs="Arial"/>
          <w:sz w:val="24"/>
          <w:szCs w:val="24"/>
        </w:rPr>
      </w:pPr>
    </w:p>
    <w:p w14:paraId="7497A3D4" w14:textId="77777777" w:rsidR="0000036A" w:rsidRDefault="0000036A" w:rsidP="0000036A">
      <w:pPr>
        <w:autoSpaceDE w:val="0"/>
        <w:autoSpaceDN w:val="0"/>
        <w:adjustRightInd w:val="0"/>
        <w:spacing w:after="0" w:line="360" w:lineRule="auto"/>
        <w:jc w:val="both"/>
        <w:rPr>
          <w:rFonts w:ascii="Palatino Linotype" w:hAnsi="Palatino Linotype" w:cs="Arial"/>
          <w:sz w:val="24"/>
          <w:szCs w:val="24"/>
        </w:rPr>
      </w:pPr>
    </w:p>
    <w:p w14:paraId="7874FB8A" w14:textId="77777777" w:rsidR="0000036A" w:rsidRDefault="0000036A" w:rsidP="0000036A">
      <w:pPr>
        <w:autoSpaceDE w:val="0"/>
        <w:autoSpaceDN w:val="0"/>
        <w:adjustRightInd w:val="0"/>
        <w:spacing w:after="0" w:line="360" w:lineRule="auto"/>
        <w:jc w:val="both"/>
        <w:rPr>
          <w:rFonts w:ascii="Palatino Linotype" w:hAnsi="Palatino Linotype" w:cs="Arial"/>
          <w:sz w:val="24"/>
          <w:szCs w:val="24"/>
        </w:rPr>
      </w:pPr>
    </w:p>
    <w:p w14:paraId="3AE2E354" w14:textId="77777777" w:rsidR="0000036A" w:rsidRDefault="0000036A" w:rsidP="0000036A">
      <w:pPr>
        <w:autoSpaceDE w:val="0"/>
        <w:autoSpaceDN w:val="0"/>
        <w:adjustRightInd w:val="0"/>
        <w:spacing w:after="0" w:line="360" w:lineRule="auto"/>
        <w:jc w:val="both"/>
        <w:rPr>
          <w:rFonts w:ascii="Palatino Linotype" w:hAnsi="Palatino Linotype" w:cs="Arial"/>
          <w:sz w:val="24"/>
          <w:szCs w:val="24"/>
        </w:rPr>
      </w:pPr>
    </w:p>
    <w:p w14:paraId="060D1A6E" w14:textId="77777777" w:rsidR="0000036A" w:rsidRPr="00FB59FD" w:rsidRDefault="0000036A" w:rsidP="0000036A">
      <w:pPr>
        <w:spacing w:after="0" w:line="360" w:lineRule="auto"/>
        <w:ind w:left="426"/>
        <w:jc w:val="center"/>
        <w:rPr>
          <w:rFonts w:ascii="Palatino Linotype" w:eastAsia="Times New Roman" w:hAnsi="Palatino Linotype" w:cs="Times New Roman"/>
          <w:b/>
          <w:color w:val="000000"/>
          <w:sz w:val="28"/>
          <w:szCs w:val="24"/>
          <w:lang w:val="es-ES" w:eastAsia="es-ES"/>
        </w:rPr>
      </w:pPr>
      <w:r w:rsidRPr="00FB59FD">
        <w:rPr>
          <w:rFonts w:ascii="Palatino Linotype" w:eastAsia="Times New Roman" w:hAnsi="Palatino Linotype" w:cs="Times New Roman"/>
          <w:b/>
          <w:color w:val="000000"/>
          <w:sz w:val="28"/>
          <w:szCs w:val="24"/>
          <w:lang w:val="es-ES" w:eastAsia="es-ES"/>
        </w:rPr>
        <w:lastRenderedPageBreak/>
        <w:t>SE    RESUELVE</w:t>
      </w:r>
    </w:p>
    <w:p w14:paraId="3FBBAD80" w14:textId="77777777" w:rsidR="0000036A" w:rsidRPr="00FB59FD" w:rsidRDefault="0000036A" w:rsidP="0000036A">
      <w:pPr>
        <w:spacing w:after="0" w:line="360" w:lineRule="auto"/>
        <w:ind w:left="426"/>
        <w:jc w:val="center"/>
        <w:rPr>
          <w:rFonts w:ascii="Palatino Linotype" w:eastAsia="Times New Roman" w:hAnsi="Palatino Linotype" w:cs="Times New Roman"/>
          <w:b/>
          <w:color w:val="000000"/>
          <w:sz w:val="28"/>
          <w:szCs w:val="24"/>
          <w:lang w:val="es-ES" w:eastAsia="es-ES"/>
        </w:rPr>
      </w:pPr>
    </w:p>
    <w:p w14:paraId="1DFBE28A" w14:textId="64E44CA8" w:rsidR="0000036A" w:rsidRDefault="0000036A" w:rsidP="0000036A">
      <w:pPr>
        <w:pStyle w:val="Sinespaciado"/>
        <w:spacing w:line="360" w:lineRule="auto"/>
        <w:jc w:val="both"/>
        <w:rPr>
          <w:rFonts w:ascii="Palatino Linotype" w:hAnsi="Palatino Linotype" w:cstheme="minorHAnsi"/>
        </w:rPr>
      </w:pPr>
      <w:r w:rsidRPr="00BE383C">
        <w:rPr>
          <w:rFonts w:ascii="Palatino Linotype" w:hAnsi="Palatino Linotype" w:cstheme="minorHAnsi"/>
          <w:b/>
          <w:lang w:val="es-ES_tradnl"/>
        </w:rPr>
        <w:t>PRIMERO.</w:t>
      </w:r>
      <w:r w:rsidRPr="00BE383C">
        <w:rPr>
          <w:rFonts w:ascii="Palatino Linotype" w:hAnsi="Palatino Linotype" w:cstheme="minorHAnsi"/>
        </w:rPr>
        <w:t xml:space="preserve"> Resultan fundadas las razones o motivos de inconformidad hechos valer por</w:t>
      </w:r>
      <w:r>
        <w:rPr>
          <w:rFonts w:ascii="Palatino Linotype" w:hAnsi="Palatino Linotype" w:cstheme="minorHAnsi"/>
        </w:rPr>
        <w:t xml:space="preserve"> </w:t>
      </w:r>
      <w:r>
        <w:rPr>
          <w:rFonts w:ascii="Palatino Linotype" w:hAnsi="Palatino Linotype" w:cstheme="minorHAnsi"/>
          <w:b/>
        </w:rPr>
        <w:t>LA</w:t>
      </w:r>
      <w:r w:rsidRPr="00C14D83">
        <w:rPr>
          <w:rFonts w:ascii="Palatino Linotype" w:hAnsi="Palatino Linotype" w:cstheme="minorHAnsi"/>
          <w:b/>
        </w:rPr>
        <w:t xml:space="preserve"> RECURRENTE,</w:t>
      </w:r>
      <w:r w:rsidRPr="00BE383C">
        <w:rPr>
          <w:rFonts w:ascii="Palatino Linotype" w:hAnsi="Palatino Linotype" w:cstheme="minorHAnsi"/>
        </w:rPr>
        <w:t xml:space="preserve"> en términos del </w:t>
      </w:r>
      <w:r w:rsidRPr="00BE383C">
        <w:rPr>
          <w:rFonts w:ascii="Palatino Linotype" w:hAnsi="Palatino Linotype" w:cstheme="minorHAnsi"/>
          <w:b/>
        </w:rPr>
        <w:t xml:space="preserve">Considerando CUARTO </w:t>
      </w:r>
      <w:r w:rsidRPr="00BE383C">
        <w:rPr>
          <w:rFonts w:ascii="Palatino Linotype" w:hAnsi="Palatino Linotype" w:cstheme="minorHAnsi"/>
        </w:rPr>
        <w:t>de la presente resolución.</w:t>
      </w:r>
    </w:p>
    <w:p w14:paraId="632E9635" w14:textId="77777777" w:rsidR="0000036A" w:rsidRPr="00BE383C" w:rsidRDefault="0000036A" w:rsidP="0000036A">
      <w:pPr>
        <w:pStyle w:val="Sinespaciado"/>
        <w:spacing w:line="360" w:lineRule="auto"/>
        <w:jc w:val="both"/>
        <w:rPr>
          <w:rFonts w:ascii="Palatino Linotype" w:hAnsi="Palatino Linotype" w:cstheme="minorHAnsi"/>
        </w:rPr>
      </w:pPr>
    </w:p>
    <w:p w14:paraId="0D455370" w14:textId="2B612973" w:rsidR="0000036A" w:rsidRDefault="0000036A" w:rsidP="0000036A">
      <w:pPr>
        <w:pStyle w:val="Sinespaciado"/>
        <w:spacing w:line="360" w:lineRule="auto"/>
        <w:jc w:val="both"/>
        <w:rPr>
          <w:rFonts w:ascii="Palatino Linotype" w:hAnsi="Palatino Linotype"/>
          <w:color w:val="222222"/>
          <w:lang w:eastAsia="es-MX"/>
        </w:rPr>
      </w:pPr>
      <w:r w:rsidRPr="00BE383C">
        <w:rPr>
          <w:rFonts w:ascii="Palatino Linotype" w:hAnsi="Palatino Linotype" w:cstheme="minorHAnsi"/>
          <w:b/>
        </w:rPr>
        <w:t xml:space="preserve">SEGUNDO. </w:t>
      </w:r>
      <w:r w:rsidRPr="00BE383C">
        <w:rPr>
          <w:rFonts w:ascii="Palatino Linotype" w:hAnsi="Palatino Linotype"/>
          <w:color w:val="222222"/>
          <w:lang w:eastAsia="es-MX"/>
        </w:rPr>
        <w:t>Se</w:t>
      </w:r>
      <w:r w:rsidRPr="00BE383C">
        <w:rPr>
          <w:rFonts w:ascii="Palatino Linotype" w:hAnsi="Palatino Linotype"/>
          <w:b/>
          <w:bCs/>
          <w:color w:val="222222"/>
          <w:lang w:eastAsia="es-MX"/>
        </w:rPr>
        <w:t xml:space="preserve"> ORDENA </w:t>
      </w:r>
      <w:r w:rsidRPr="00BE383C">
        <w:rPr>
          <w:rFonts w:ascii="Palatino Linotype" w:hAnsi="Palatino Linotype"/>
          <w:color w:val="222222"/>
          <w:lang w:eastAsia="es-MX"/>
        </w:rPr>
        <w:t xml:space="preserve">al </w:t>
      </w:r>
      <w:r w:rsidRPr="00C14D83">
        <w:rPr>
          <w:rFonts w:ascii="Palatino Linotype" w:hAnsi="Palatino Linotype"/>
          <w:b/>
          <w:color w:val="222222"/>
          <w:lang w:eastAsia="es-MX"/>
        </w:rPr>
        <w:t>SUJETO OBLIGADO</w:t>
      </w:r>
      <w:r w:rsidRPr="00BE383C">
        <w:rPr>
          <w:rFonts w:ascii="Palatino Linotype" w:hAnsi="Palatino Linotype"/>
          <w:color w:val="222222"/>
          <w:lang w:eastAsia="es-MX"/>
        </w:rPr>
        <w:t xml:space="preserve"> </w:t>
      </w:r>
      <w:r>
        <w:rPr>
          <w:rFonts w:ascii="Palatino Linotype" w:hAnsi="Palatino Linotype"/>
          <w:color w:val="222222"/>
          <w:lang w:eastAsia="es-MX"/>
        </w:rPr>
        <w:t>atienda</w:t>
      </w:r>
      <w:r w:rsidRPr="00BE383C">
        <w:rPr>
          <w:rFonts w:ascii="Palatino Linotype" w:hAnsi="Palatino Linotype"/>
          <w:color w:val="222222"/>
          <w:lang w:eastAsia="es-MX"/>
        </w:rPr>
        <w:t xml:space="preserve"> la </w:t>
      </w:r>
      <w:r>
        <w:rPr>
          <w:rFonts w:ascii="Palatino Linotype" w:hAnsi="Palatino Linotype"/>
          <w:color w:val="222222"/>
          <w:lang w:eastAsia="es-MX"/>
        </w:rPr>
        <w:t xml:space="preserve">solicitud de </w:t>
      </w:r>
      <w:r w:rsidRPr="00BE383C">
        <w:rPr>
          <w:rFonts w:ascii="Palatino Linotype" w:hAnsi="Palatino Linotype"/>
          <w:color w:val="222222"/>
          <w:lang w:eastAsia="es-MX"/>
        </w:rPr>
        <w:t xml:space="preserve">información número </w:t>
      </w:r>
      <w:r>
        <w:rPr>
          <w:rFonts w:ascii="Palatino Linotype" w:hAnsi="Palatino Linotype" w:cs="Arial"/>
          <w:b/>
          <w:lang w:eastAsia="es-MX"/>
        </w:rPr>
        <w:t>00397/ECATEPEC/IP/2021</w:t>
      </w:r>
      <w:r w:rsidRPr="00BE383C">
        <w:rPr>
          <w:rFonts w:ascii="Palatino Linotype" w:hAnsi="Palatino Linotype"/>
          <w:b/>
          <w:color w:val="222222"/>
          <w:lang w:eastAsia="es-MX"/>
        </w:rPr>
        <w:t xml:space="preserve">, </w:t>
      </w:r>
      <w:r w:rsidRPr="00BE383C">
        <w:rPr>
          <w:rFonts w:ascii="Palatino Linotype" w:hAnsi="Palatino Linotype"/>
          <w:color w:val="222222"/>
          <w:lang w:eastAsia="es-MX"/>
        </w:rPr>
        <w:t xml:space="preserve">en términos del Considerando </w:t>
      </w:r>
      <w:r w:rsidRPr="00BE383C">
        <w:rPr>
          <w:rFonts w:ascii="Palatino Linotype" w:hAnsi="Palatino Linotype"/>
          <w:b/>
          <w:bCs/>
          <w:color w:val="222222"/>
          <w:lang w:eastAsia="es-MX"/>
        </w:rPr>
        <w:t xml:space="preserve">CUARTO </w:t>
      </w:r>
      <w:r w:rsidRPr="00BE383C">
        <w:rPr>
          <w:rFonts w:ascii="Palatino Linotype" w:hAnsi="Palatino Linotype"/>
          <w:color w:val="222222"/>
          <w:lang w:eastAsia="es-MX"/>
        </w:rPr>
        <w:t xml:space="preserve">de esta resolución; </w:t>
      </w:r>
      <w:r>
        <w:rPr>
          <w:rFonts w:ascii="Palatino Linotype" w:hAnsi="Palatino Linotype"/>
          <w:color w:val="222222"/>
          <w:lang w:eastAsia="es-MX"/>
        </w:rPr>
        <w:t xml:space="preserve">vía Sistema de Acceso a la Información Mexiquense </w:t>
      </w:r>
      <w:r w:rsidRPr="009A5567">
        <w:rPr>
          <w:rFonts w:ascii="Palatino Linotype" w:hAnsi="Palatino Linotype"/>
          <w:b/>
          <w:bCs/>
          <w:color w:val="222222"/>
          <w:lang w:eastAsia="es-MX"/>
        </w:rPr>
        <w:t>(SAIMEX).</w:t>
      </w:r>
      <w:r>
        <w:rPr>
          <w:rFonts w:ascii="Palatino Linotype" w:hAnsi="Palatino Linotype"/>
          <w:color w:val="222222"/>
          <w:lang w:eastAsia="es-MX"/>
        </w:rPr>
        <w:t xml:space="preserve"> </w:t>
      </w:r>
    </w:p>
    <w:p w14:paraId="379E9D8B" w14:textId="77777777" w:rsidR="0000036A" w:rsidRPr="00BE383C" w:rsidRDefault="0000036A" w:rsidP="0000036A">
      <w:pPr>
        <w:pStyle w:val="Sinespaciado"/>
        <w:spacing w:line="360" w:lineRule="auto"/>
        <w:jc w:val="both"/>
        <w:rPr>
          <w:rFonts w:ascii="Palatino Linotype" w:hAnsi="Palatino Linotype" w:cstheme="minorHAnsi"/>
        </w:rPr>
      </w:pPr>
    </w:p>
    <w:p w14:paraId="5B0EBDA1" w14:textId="77777777" w:rsidR="0000036A" w:rsidRDefault="0000036A" w:rsidP="0000036A">
      <w:pPr>
        <w:pStyle w:val="Sinespaciado"/>
        <w:spacing w:line="360" w:lineRule="auto"/>
        <w:jc w:val="both"/>
        <w:rPr>
          <w:rFonts w:ascii="Palatino Linotype" w:hAnsi="Palatino Linotype" w:cstheme="minorHAnsi"/>
        </w:rPr>
      </w:pPr>
      <w:r w:rsidRPr="00BE383C">
        <w:rPr>
          <w:rFonts w:ascii="Palatino Linotype" w:hAnsi="Palatino Linotype" w:cstheme="minorHAnsi"/>
          <w:b/>
        </w:rPr>
        <w:t>TERCERO. Remítase</w:t>
      </w:r>
      <w:r w:rsidRPr="00BE383C">
        <w:rPr>
          <w:rFonts w:ascii="Palatino Linotype" w:hAnsi="Palatino Linotype" w:cstheme="minorHAnsi"/>
          <w:i/>
        </w:rPr>
        <w:t xml:space="preserve"> </w:t>
      </w:r>
      <w:r w:rsidRPr="00BE383C">
        <w:rPr>
          <w:rFonts w:ascii="Palatino Linotype" w:hAnsi="Palatino Linotype" w:cstheme="minorHAnsi"/>
        </w:rPr>
        <w:t>la presente resolución al Titular de la Unidad de Transparencia del</w:t>
      </w:r>
      <w:r w:rsidRPr="00BE383C">
        <w:rPr>
          <w:rFonts w:ascii="Palatino Linotype" w:hAnsi="Palatino Linotype" w:cstheme="minorHAnsi"/>
          <w:b/>
        </w:rPr>
        <w:t xml:space="preserve"> </w:t>
      </w:r>
      <w:r w:rsidRPr="00BE383C">
        <w:rPr>
          <w:rFonts w:ascii="Palatino Linotype" w:hAnsi="Palatino Linotype" w:cstheme="minorHAnsi"/>
        </w:rPr>
        <w:t xml:space="preserve">Sujeto Obligado, para que conforme al artículo 186, último párrafo, 189, segundo párrafo y 194, de la Ley de Transparencia y Acceso a la Información Pública del Estado de México y Municipios; dé cumplimiento a lo ordenado dentro del plazo de </w:t>
      </w:r>
      <w:r>
        <w:rPr>
          <w:rFonts w:ascii="Palatino Linotype" w:hAnsi="Palatino Linotype" w:cstheme="minorHAnsi"/>
        </w:rPr>
        <w:t>diez</w:t>
      </w:r>
      <w:r w:rsidRPr="00BE383C">
        <w:rPr>
          <w:rFonts w:ascii="Palatino Linotype" w:hAnsi="Palatino Linotype" w:cstheme="minorHAnsi"/>
        </w:rPr>
        <w:t xml:space="preserve"> días hábiles, debiendo informar a este Instituto en un plazo de tres días hábiles siguientes sobre el cumplimiento dado a la presente.</w:t>
      </w:r>
    </w:p>
    <w:p w14:paraId="5F8DA50D" w14:textId="77777777" w:rsidR="0000036A" w:rsidRPr="00BE383C" w:rsidRDefault="0000036A" w:rsidP="0000036A">
      <w:pPr>
        <w:pStyle w:val="Sinespaciado"/>
        <w:spacing w:line="360" w:lineRule="auto"/>
        <w:jc w:val="both"/>
        <w:rPr>
          <w:rFonts w:ascii="Palatino Linotype" w:hAnsi="Palatino Linotype" w:cstheme="minorHAnsi"/>
        </w:rPr>
      </w:pPr>
    </w:p>
    <w:p w14:paraId="5801BC36" w14:textId="046C4956" w:rsidR="0000036A" w:rsidRDefault="0000036A" w:rsidP="0000036A">
      <w:pPr>
        <w:pStyle w:val="Sinespaciado"/>
        <w:spacing w:line="360" w:lineRule="auto"/>
        <w:jc w:val="both"/>
        <w:rPr>
          <w:rFonts w:ascii="Palatino Linotype" w:hAnsi="Palatino Linotype" w:cstheme="minorHAnsi"/>
        </w:rPr>
      </w:pPr>
      <w:r w:rsidRPr="00BE383C">
        <w:rPr>
          <w:rFonts w:ascii="Palatino Linotype" w:hAnsi="Palatino Linotype" w:cstheme="minorHAnsi"/>
          <w:b/>
        </w:rPr>
        <w:t xml:space="preserve">CUARTO. Notifíquese </w:t>
      </w:r>
      <w:r>
        <w:rPr>
          <w:rFonts w:ascii="Palatino Linotype" w:hAnsi="Palatino Linotype" w:cstheme="minorHAnsi"/>
        </w:rPr>
        <w:t xml:space="preserve">a </w:t>
      </w:r>
      <w:r>
        <w:rPr>
          <w:rFonts w:ascii="Palatino Linotype" w:hAnsi="Palatino Linotype" w:cstheme="minorHAnsi"/>
          <w:b/>
        </w:rPr>
        <w:t>LA</w:t>
      </w:r>
      <w:r w:rsidRPr="00C14D83">
        <w:rPr>
          <w:rFonts w:ascii="Palatino Linotype" w:hAnsi="Palatino Linotype" w:cstheme="minorHAnsi"/>
          <w:b/>
        </w:rPr>
        <w:t xml:space="preserve"> RECURRENTE</w:t>
      </w:r>
      <w:r w:rsidRPr="00BE383C">
        <w:rPr>
          <w:rFonts w:ascii="Palatino Linotype" w:hAnsi="Palatino Linotype" w:cstheme="minorHAnsi"/>
        </w:rPr>
        <w:t xml:space="preserve"> 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35A240E8" w14:textId="77777777" w:rsidR="0000036A" w:rsidRDefault="0000036A" w:rsidP="0000036A">
      <w:pPr>
        <w:pStyle w:val="Sinespaciado"/>
        <w:spacing w:line="360" w:lineRule="auto"/>
        <w:jc w:val="both"/>
        <w:rPr>
          <w:rFonts w:ascii="Palatino Linotype" w:eastAsia="MS Mincho" w:hAnsi="Palatino Linotype" w:cstheme="minorHAnsi"/>
        </w:rPr>
      </w:pPr>
      <w:r w:rsidRPr="00BE383C">
        <w:rPr>
          <w:rFonts w:ascii="Palatino Linotype" w:hAnsi="Palatino Linotype" w:cstheme="minorHAnsi"/>
          <w:b/>
          <w:lang w:val="es-ES"/>
        </w:rPr>
        <w:lastRenderedPageBreak/>
        <w:t>QUINTO. Gírese</w:t>
      </w:r>
      <w:r w:rsidRPr="00BE383C">
        <w:rPr>
          <w:rFonts w:ascii="Palatino Linotype" w:eastAsia="MS Mincho" w:hAnsi="Palatino Linotype" w:cstheme="minorHAnsi"/>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w:t>
      </w:r>
      <w:r w:rsidRPr="00BE383C">
        <w:rPr>
          <w:rFonts w:ascii="Palatino Linotype" w:eastAsia="MS Mincho" w:hAnsi="Palatino Linotype" w:cstheme="minorHAnsi"/>
          <w:b/>
        </w:rPr>
        <w:t>Considerando</w:t>
      </w:r>
      <w:r w:rsidRPr="00BE383C">
        <w:rPr>
          <w:rFonts w:ascii="Palatino Linotype" w:eastAsia="MS Mincho" w:hAnsi="Palatino Linotype" w:cstheme="minorHAnsi"/>
        </w:rPr>
        <w:t xml:space="preserve"> </w:t>
      </w:r>
      <w:r w:rsidRPr="00BE383C">
        <w:rPr>
          <w:rFonts w:ascii="Palatino Linotype" w:eastAsia="MS Mincho" w:hAnsi="Palatino Linotype" w:cstheme="minorHAnsi"/>
          <w:b/>
        </w:rPr>
        <w:t>CUARTO</w:t>
      </w:r>
      <w:r w:rsidRPr="00BE383C">
        <w:rPr>
          <w:rFonts w:ascii="Palatino Linotype" w:eastAsia="MS Mincho" w:hAnsi="Palatino Linotype" w:cstheme="minorHAnsi"/>
        </w:rPr>
        <w:t xml:space="preserve"> de la presente resolución. </w:t>
      </w:r>
    </w:p>
    <w:p w14:paraId="2CA0CBC4" w14:textId="77777777" w:rsidR="0000036A" w:rsidRDefault="0000036A" w:rsidP="0000036A">
      <w:pPr>
        <w:pStyle w:val="Sinespaciado"/>
        <w:spacing w:line="360" w:lineRule="auto"/>
        <w:jc w:val="both"/>
        <w:rPr>
          <w:rFonts w:ascii="Palatino Linotype" w:eastAsia="MS Mincho" w:hAnsi="Palatino Linotype" w:cstheme="minorHAnsi"/>
        </w:rPr>
      </w:pPr>
    </w:p>
    <w:p w14:paraId="2FB5DC9F" w14:textId="7A208568" w:rsidR="0000036A" w:rsidRPr="00BE383C" w:rsidRDefault="0000036A" w:rsidP="0000036A">
      <w:pPr>
        <w:pStyle w:val="Sinespaciado"/>
        <w:spacing w:line="360" w:lineRule="auto"/>
        <w:jc w:val="both"/>
        <w:rPr>
          <w:rFonts w:ascii="Palatino Linotype" w:hAnsi="Palatino Linotype" w:cstheme="minorHAnsi"/>
        </w:rPr>
      </w:pPr>
      <w:r>
        <w:rPr>
          <w:rFonts w:ascii="Palatino Linotype" w:hAnsi="Palatino Linotype" w:cstheme="minorHAnsi"/>
          <w:b/>
        </w:rPr>
        <w:t>SEXTO</w:t>
      </w:r>
      <w:r w:rsidRPr="00BE383C">
        <w:rPr>
          <w:rFonts w:ascii="Palatino Linotype" w:hAnsi="Palatino Linotype" w:cstheme="minorHAnsi"/>
          <w:b/>
        </w:rPr>
        <w:t>.</w:t>
      </w:r>
      <w:r w:rsidRPr="00BE383C">
        <w:rPr>
          <w:rFonts w:ascii="Palatino Linotype" w:hAnsi="Palatino Linotype" w:cstheme="minorHAnsi"/>
        </w:rPr>
        <w:t xml:space="preserve"> </w:t>
      </w:r>
      <w:r w:rsidRPr="00BE383C">
        <w:rPr>
          <w:rFonts w:ascii="Palatino Linotype" w:hAnsi="Palatino Linotype" w:cstheme="minorHAnsi"/>
          <w:b/>
          <w:color w:val="222222"/>
          <w:lang w:eastAsia="es-ES_tradnl"/>
        </w:rPr>
        <w:t xml:space="preserve">Hágase </w:t>
      </w:r>
      <w:r>
        <w:rPr>
          <w:rFonts w:ascii="Palatino Linotype" w:hAnsi="Palatino Linotype" w:cstheme="minorHAnsi"/>
          <w:color w:val="222222"/>
          <w:lang w:eastAsia="es-ES_tradnl"/>
        </w:rPr>
        <w:t xml:space="preserve">del conocimiento de </w:t>
      </w:r>
      <w:r>
        <w:rPr>
          <w:rFonts w:ascii="Palatino Linotype" w:hAnsi="Palatino Linotype" w:cstheme="minorHAnsi"/>
          <w:b/>
          <w:color w:val="222222"/>
          <w:lang w:eastAsia="es-ES_tradnl"/>
        </w:rPr>
        <w:t>LA</w:t>
      </w:r>
      <w:r w:rsidRPr="00C14D83">
        <w:rPr>
          <w:rFonts w:ascii="Palatino Linotype" w:hAnsi="Palatino Linotype" w:cstheme="minorHAnsi"/>
          <w:b/>
          <w:color w:val="222222"/>
          <w:lang w:eastAsia="es-ES_tradnl"/>
        </w:rPr>
        <w:t xml:space="preserve"> RECURRENTE</w:t>
      </w:r>
      <w:r w:rsidRPr="00BE383C">
        <w:rPr>
          <w:rFonts w:ascii="Palatino Linotype" w:hAnsi="Palatino Linotype" w:cstheme="minorHAnsi"/>
          <w:color w:val="222222"/>
          <w:lang w:eastAsia="es-ES_tradnl"/>
        </w:rPr>
        <w:t xml:space="preserve"> que la respuesta que dé el </w:t>
      </w:r>
      <w:r w:rsidRPr="00C14D83">
        <w:rPr>
          <w:rFonts w:ascii="Palatino Linotype" w:hAnsi="Palatino Linotype" w:cstheme="minorHAnsi"/>
          <w:b/>
          <w:color w:val="222222"/>
          <w:lang w:eastAsia="es-ES_tradnl"/>
        </w:rPr>
        <w:t>SUJETO OBLIGADO</w:t>
      </w:r>
      <w:r w:rsidRPr="00BE383C">
        <w:rPr>
          <w:rFonts w:ascii="Palatino Linotype" w:hAnsi="Palatino Linotype" w:cstheme="minorHAnsi"/>
          <w:color w:val="222222"/>
          <w:lang w:eastAsia="es-ES_tradnl"/>
        </w:rPr>
        <w:t xml:space="preserve"> derivada de la presente resolución es susceptible de ser impugnada nuevamente, mediante recurso de revisión, ante el Instituto, en términos del artículo 179, último párrafo de la Ley </w:t>
      </w:r>
      <w:r w:rsidRPr="00BE383C">
        <w:rPr>
          <w:rFonts w:ascii="Palatino Linotype" w:hAnsi="Palatino Linotype" w:cstheme="minorHAnsi"/>
          <w:color w:val="222222"/>
          <w:lang w:eastAsia="es-MX"/>
        </w:rPr>
        <w:t>de Transparencia y Acceso a la Información Pública del Estado de México y Municipios.</w:t>
      </w:r>
    </w:p>
    <w:p w14:paraId="6EDD7F00" w14:textId="77777777" w:rsidR="0000036A" w:rsidRDefault="0000036A" w:rsidP="0000036A">
      <w:pPr>
        <w:autoSpaceDE w:val="0"/>
        <w:autoSpaceDN w:val="0"/>
        <w:adjustRightInd w:val="0"/>
        <w:spacing w:after="0" w:line="360" w:lineRule="auto"/>
        <w:ind w:right="49"/>
        <w:jc w:val="both"/>
        <w:rPr>
          <w:rFonts w:ascii="Palatino Linotype" w:hAnsi="Palatino Linotype" w:cs="Arial"/>
          <w:sz w:val="24"/>
          <w:szCs w:val="24"/>
        </w:rPr>
      </w:pPr>
    </w:p>
    <w:p w14:paraId="425E0887" w14:textId="77777777" w:rsidR="0000036A" w:rsidRDefault="0000036A" w:rsidP="0000036A">
      <w:pPr>
        <w:spacing w:after="0" w:line="360" w:lineRule="auto"/>
        <w:jc w:val="both"/>
        <w:rPr>
          <w:rFonts w:ascii="Palatino Linotype" w:eastAsia="Calibri" w:hAnsi="Palatino Linotype" w:cs="Times New Roman"/>
          <w:sz w:val="24"/>
          <w:szCs w:val="24"/>
          <w:lang w:eastAsia="es-ES_tradnl"/>
        </w:rPr>
      </w:pPr>
      <w:r>
        <w:rPr>
          <w:rFonts w:ascii="Palatino Linotype" w:eastAsia="Calibri" w:hAnsi="Palatino Linotype" w:cs="Times New Roman"/>
          <w:b/>
          <w:sz w:val="24"/>
          <w:szCs w:val="24"/>
          <w:lang w:eastAsia="es-ES_tradnl"/>
        </w:rPr>
        <w:t>SÉPTIMO</w:t>
      </w:r>
      <w:r w:rsidRPr="000323DD">
        <w:rPr>
          <w:rFonts w:ascii="Palatino Linotype" w:eastAsia="Calibri" w:hAnsi="Palatino Linotype" w:cs="Times New Roman"/>
          <w:b/>
          <w:sz w:val="24"/>
          <w:szCs w:val="24"/>
          <w:lang w:eastAsia="es-ES_tradnl"/>
        </w:rPr>
        <w:t>. -</w:t>
      </w:r>
      <w:r>
        <w:rPr>
          <w:rFonts w:ascii="Palatino Linotype" w:eastAsia="Calibri" w:hAnsi="Palatino Linotype" w:cs="Times New Roman"/>
          <w:sz w:val="24"/>
          <w:szCs w:val="24"/>
          <w:lang w:eastAsia="es-ES_tradnl"/>
        </w:rPr>
        <w:t xml:space="preserve"> </w:t>
      </w:r>
      <w:r w:rsidRPr="00ED71C5">
        <w:rPr>
          <w:rFonts w:ascii="Palatino Linotype" w:eastAsia="Calibri" w:hAnsi="Palatino Linotype" w:cs="Times New Roman"/>
          <w:sz w:val="24"/>
          <w:szCs w:val="24"/>
          <w:lang w:eastAsia="es-ES_tradnl"/>
        </w:rPr>
        <w:t xml:space="preserve">Con fundamento en el artículo 198 de la Ley de Transparencia y Acceso a la Información Pública del Estado de México y Municipios, se apercibe al </w:t>
      </w:r>
      <w:r w:rsidRPr="00ED71C5">
        <w:rPr>
          <w:rFonts w:ascii="Palatino Linotype" w:eastAsia="Calibri" w:hAnsi="Palatino Linotype" w:cs="Times New Roman"/>
          <w:b/>
          <w:sz w:val="24"/>
          <w:szCs w:val="24"/>
          <w:lang w:eastAsia="es-ES_tradnl"/>
        </w:rPr>
        <w:t>SUJETO OBLIGADO</w:t>
      </w:r>
      <w:r w:rsidRPr="00ED71C5">
        <w:rPr>
          <w:rFonts w:ascii="Palatino Linotype" w:eastAsia="Calibri" w:hAnsi="Palatino Linotype" w:cs="Times New Roman"/>
          <w:sz w:val="24"/>
          <w:szCs w:val="24"/>
          <w:lang w:eastAsia="es-ES_tradnl"/>
        </w:rPr>
        <w:t xml:space="preserve"> a que, en caso de negarse a cumplir la presente resolución o hacerlo de manera parcial se actuara de conformidad con lo previsto en los artículos 213, 214, 216 y 217 de dicha Ley.</w:t>
      </w:r>
    </w:p>
    <w:p w14:paraId="4CAADA78" w14:textId="77777777" w:rsidR="0000036A" w:rsidRDefault="0000036A" w:rsidP="0000036A">
      <w:pPr>
        <w:spacing w:after="0" w:line="360" w:lineRule="auto"/>
        <w:jc w:val="both"/>
        <w:rPr>
          <w:rFonts w:ascii="Palatino Linotype" w:eastAsia="Calibri" w:hAnsi="Palatino Linotype" w:cs="Times New Roman"/>
          <w:sz w:val="24"/>
          <w:szCs w:val="24"/>
          <w:lang w:eastAsia="es-ES_tradnl"/>
        </w:rPr>
      </w:pPr>
    </w:p>
    <w:p w14:paraId="19C736EE" w14:textId="41154735" w:rsidR="0000036A" w:rsidRDefault="0000036A" w:rsidP="0000036A">
      <w:pPr>
        <w:spacing w:line="360" w:lineRule="auto"/>
        <w:jc w:val="both"/>
        <w:rPr>
          <w:rFonts w:ascii="Palatino Linotype" w:hAnsi="Palatino Linotype" w:cs="Arial"/>
          <w:sz w:val="24"/>
          <w:szCs w:val="24"/>
        </w:rPr>
      </w:pPr>
      <w:r>
        <w:rPr>
          <w:rFonts w:ascii="Palatino Linotype" w:hAnsi="Palatino Linotype" w:cs="Arial"/>
          <w:sz w:val="24"/>
          <w:szCs w:val="24"/>
        </w:rPr>
        <w:t>ASÍ LO RESUELVE, POR MAYORÍA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CONFORMADO POR LOS COMISIONADOS ZULEMA MARTÍNEZ SÁNCHEZ, EVA ABAID YAPUR, JAVIER MARTÍNEZ CRUZ (VOTO EN CONTRA CON VOTO DISIDENTE) Y LUIS </w:t>
      </w:r>
      <w:r>
        <w:rPr>
          <w:rFonts w:ascii="Palatino Linotype" w:hAnsi="Palatino Linotype" w:cs="Arial"/>
          <w:sz w:val="24"/>
          <w:szCs w:val="24"/>
        </w:rPr>
        <w:lastRenderedPageBreak/>
        <w:t xml:space="preserve">GUSTAVO PARRA NORIEGA </w:t>
      </w:r>
      <w:r w:rsidRPr="003955C1">
        <w:rPr>
          <w:rFonts w:ascii="Palatino Linotype" w:eastAsia="Arial Unicode MS" w:hAnsi="Palatino Linotype" w:cs="Times New Roman"/>
          <w:sz w:val="24"/>
          <w:szCs w:val="24"/>
          <w:lang w:eastAsia="es-ES"/>
        </w:rPr>
        <w:t xml:space="preserve">EN </w:t>
      </w:r>
      <w:r>
        <w:rPr>
          <w:rFonts w:ascii="Palatino Linotype" w:hAnsi="Palatino Linotype" w:cs="Arial"/>
          <w:sz w:val="24"/>
          <w:szCs w:val="24"/>
        </w:rPr>
        <w:t xml:space="preserve">LA VIGÉSIMA </w:t>
      </w:r>
      <w:r w:rsidR="001503F0">
        <w:rPr>
          <w:rFonts w:ascii="Palatino Linotype" w:hAnsi="Palatino Linotype" w:cs="Arial"/>
          <w:sz w:val="24"/>
          <w:szCs w:val="24"/>
        </w:rPr>
        <w:t>QUINTA</w:t>
      </w:r>
      <w:r>
        <w:rPr>
          <w:rFonts w:ascii="Palatino Linotype" w:hAnsi="Palatino Linotype" w:cs="Arial"/>
          <w:sz w:val="24"/>
          <w:szCs w:val="24"/>
        </w:rPr>
        <w:t xml:space="preserve"> SESIÓN ORDINARIA CELEBRADA EL </w:t>
      </w:r>
      <w:r w:rsidR="001503F0">
        <w:rPr>
          <w:rFonts w:ascii="Palatino Linotype" w:hAnsi="Palatino Linotype" w:cs="Arial"/>
          <w:sz w:val="24"/>
          <w:szCs w:val="24"/>
        </w:rPr>
        <w:t>CATORCE DE JUL</w:t>
      </w:r>
      <w:r>
        <w:rPr>
          <w:rFonts w:ascii="Palatino Linotype" w:hAnsi="Palatino Linotype" w:cs="Arial"/>
          <w:sz w:val="24"/>
          <w:szCs w:val="24"/>
        </w:rPr>
        <w:t xml:space="preserve">IO DE DOS MIL VEINTIUNO, ANTE EL </w:t>
      </w:r>
      <w:r>
        <w:rPr>
          <w:rFonts w:ascii="Palatino Linotype" w:hAnsi="Palatino Linotype" w:cs="Arial"/>
          <w:noProof/>
          <w:sz w:val="24"/>
          <w:szCs w:val="24"/>
          <w:lang w:eastAsia="es-MX"/>
        </w:rPr>
        <mc:AlternateContent>
          <mc:Choice Requires="wps">
            <w:drawing>
              <wp:anchor distT="0" distB="0" distL="114300" distR="114300" simplePos="0" relativeHeight="251674624" behindDoc="0" locked="0" layoutInCell="1" allowOverlap="1" wp14:anchorId="45639A0A" wp14:editId="4C056CD1">
                <wp:simplePos x="0" y="0"/>
                <wp:positionH relativeFrom="column">
                  <wp:posOffset>-346967</wp:posOffset>
                </wp:positionH>
                <wp:positionV relativeFrom="paragraph">
                  <wp:posOffset>1023979</wp:posOffset>
                </wp:positionV>
                <wp:extent cx="6524367" cy="6293709"/>
                <wp:effectExtent l="0" t="0" r="29210" b="31115"/>
                <wp:wrapNone/>
                <wp:docPr id="20" name="Conector recto 20"/>
                <wp:cNvGraphicFramePr/>
                <a:graphic xmlns:a="http://schemas.openxmlformats.org/drawingml/2006/main">
                  <a:graphicData uri="http://schemas.microsoft.com/office/word/2010/wordprocessingShape">
                    <wps:wsp>
                      <wps:cNvCnPr/>
                      <wps:spPr>
                        <a:xfrm>
                          <a:off x="0" y="0"/>
                          <a:ext cx="6524367" cy="62937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BBCA1F" id="Conector recto 2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pt,80.65pt" to="486.45pt,5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" strokecolor="#5b9bd5 [3204]" strokeweight=".5pt">
                <v:stroke joinstyle="miter"/>
              </v:line>
            </w:pict>
          </mc:Fallback>
        </mc:AlternateContent>
      </w:r>
      <w:r>
        <w:rPr>
          <w:rFonts w:ascii="Palatino Linotype" w:hAnsi="Palatino Linotype" w:cs="Arial"/>
          <w:sz w:val="24"/>
          <w:szCs w:val="24"/>
        </w:rPr>
        <w:t xml:space="preserve">SECRETARIO TÉCNICO DEL PLENO, ALEXIS TAPIA RAMÍREZ. </w:t>
      </w:r>
    </w:p>
    <w:p w14:paraId="440315EB" w14:textId="7928593B" w:rsidR="0000036A" w:rsidRDefault="0000036A" w:rsidP="0000036A">
      <w:pPr>
        <w:spacing w:line="360" w:lineRule="auto"/>
        <w:jc w:val="both"/>
        <w:rPr>
          <w:rFonts w:ascii="Palatino Linotype" w:hAnsi="Palatino Linotype" w:cs="Arial"/>
          <w:sz w:val="24"/>
          <w:szCs w:val="24"/>
        </w:rPr>
      </w:pPr>
    </w:p>
    <w:p w14:paraId="456CC0AC" w14:textId="2C07D771" w:rsidR="0000036A" w:rsidRDefault="0000036A" w:rsidP="0000036A">
      <w:pPr>
        <w:spacing w:line="360" w:lineRule="auto"/>
        <w:jc w:val="both"/>
        <w:rPr>
          <w:rFonts w:ascii="Palatino Linotype" w:hAnsi="Palatino Linotype" w:cs="Arial"/>
          <w:sz w:val="24"/>
          <w:szCs w:val="24"/>
        </w:rPr>
      </w:pPr>
    </w:p>
    <w:p w14:paraId="5F9F337F" w14:textId="22DA96F2" w:rsidR="0000036A" w:rsidRDefault="0000036A" w:rsidP="0000036A">
      <w:pPr>
        <w:spacing w:after="0" w:line="360" w:lineRule="auto"/>
        <w:jc w:val="both"/>
        <w:rPr>
          <w:rFonts w:ascii="Palatino Linotype" w:hAnsi="Palatino Linotype" w:cs="Arial"/>
          <w:sz w:val="24"/>
          <w:szCs w:val="24"/>
        </w:rPr>
      </w:pPr>
    </w:p>
    <w:p w14:paraId="79876D52" w14:textId="77777777" w:rsidR="0000036A" w:rsidRDefault="0000036A" w:rsidP="0000036A">
      <w:pPr>
        <w:spacing w:line="360" w:lineRule="auto"/>
        <w:jc w:val="both"/>
        <w:rPr>
          <w:rFonts w:ascii="Palatino Linotype" w:hAnsi="Palatino Linotype" w:cs="Arial"/>
          <w:sz w:val="24"/>
          <w:szCs w:val="24"/>
        </w:rPr>
      </w:pPr>
    </w:p>
    <w:p w14:paraId="5B79C8FD" w14:textId="77777777" w:rsidR="0000036A" w:rsidRDefault="0000036A" w:rsidP="0000036A">
      <w:pPr>
        <w:spacing w:line="360" w:lineRule="auto"/>
        <w:jc w:val="both"/>
        <w:rPr>
          <w:rFonts w:ascii="Palatino Linotype" w:hAnsi="Palatino Linotype" w:cs="Arial"/>
          <w:sz w:val="24"/>
          <w:szCs w:val="24"/>
        </w:rPr>
      </w:pPr>
    </w:p>
    <w:p w14:paraId="6A2088D2" w14:textId="77777777" w:rsidR="0000036A" w:rsidRDefault="0000036A" w:rsidP="0000036A">
      <w:pPr>
        <w:spacing w:line="360" w:lineRule="auto"/>
        <w:jc w:val="both"/>
        <w:rPr>
          <w:rFonts w:ascii="Palatino Linotype" w:hAnsi="Palatino Linotype" w:cs="Arial"/>
          <w:sz w:val="24"/>
          <w:szCs w:val="24"/>
        </w:rPr>
      </w:pPr>
    </w:p>
    <w:p w14:paraId="7D2DC43D" w14:textId="77777777" w:rsidR="0000036A" w:rsidRDefault="0000036A" w:rsidP="0000036A">
      <w:pPr>
        <w:spacing w:line="360" w:lineRule="auto"/>
        <w:jc w:val="both"/>
        <w:rPr>
          <w:rFonts w:ascii="Palatino Linotype" w:hAnsi="Palatino Linotype" w:cs="Arial"/>
          <w:sz w:val="24"/>
          <w:szCs w:val="24"/>
        </w:rPr>
      </w:pPr>
    </w:p>
    <w:p w14:paraId="5FCE6433" w14:textId="77777777" w:rsidR="0000036A" w:rsidRDefault="0000036A" w:rsidP="0000036A">
      <w:pPr>
        <w:spacing w:line="360" w:lineRule="auto"/>
        <w:jc w:val="both"/>
        <w:rPr>
          <w:rFonts w:ascii="Palatino Linotype" w:hAnsi="Palatino Linotype" w:cs="Arial"/>
          <w:sz w:val="24"/>
          <w:szCs w:val="24"/>
        </w:rPr>
      </w:pPr>
    </w:p>
    <w:p w14:paraId="0BE6E51A" w14:textId="77777777" w:rsidR="0000036A" w:rsidRDefault="0000036A" w:rsidP="0000036A">
      <w:pPr>
        <w:spacing w:line="360" w:lineRule="auto"/>
        <w:jc w:val="both"/>
        <w:rPr>
          <w:rFonts w:ascii="Palatino Linotype" w:hAnsi="Palatino Linotype" w:cs="Arial"/>
          <w:sz w:val="24"/>
          <w:szCs w:val="24"/>
        </w:rPr>
      </w:pPr>
    </w:p>
    <w:p w14:paraId="33EFD17D" w14:textId="77777777" w:rsidR="0000036A" w:rsidRDefault="0000036A" w:rsidP="0000036A">
      <w:pPr>
        <w:spacing w:line="360" w:lineRule="auto"/>
        <w:jc w:val="both"/>
        <w:rPr>
          <w:rFonts w:ascii="Palatino Linotype" w:hAnsi="Palatino Linotype" w:cs="Arial"/>
          <w:sz w:val="24"/>
          <w:szCs w:val="24"/>
        </w:rPr>
      </w:pPr>
    </w:p>
    <w:p w14:paraId="12448759" w14:textId="77777777" w:rsidR="0000036A" w:rsidRDefault="0000036A" w:rsidP="0000036A">
      <w:pPr>
        <w:spacing w:line="360" w:lineRule="auto"/>
        <w:jc w:val="both"/>
        <w:rPr>
          <w:rFonts w:ascii="Palatino Linotype" w:hAnsi="Palatino Linotype" w:cs="Arial"/>
          <w:sz w:val="24"/>
          <w:szCs w:val="24"/>
        </w:rPr>
      </w:pPr>
    </w:p>
    <w:p w14:paraId="6A091A20" w14:textId="77777777" w:rsidR="0000036A" w:rsidRDefault="0000036A" w:rsidP="0000036A">
      <w:pPr>
        <w:spacing w:line="360" w:lineRule="auto"/>
        <w:jc w:val="both"/>
        <w:rPr>
          <w:rFonts w:ascii="Palatino Linotype" w:hAnsi="Palatino Linotype" w:cs="Arial"/>
          <w:sz w:val="24"/>
          <w:szCs w:val="24"/>
        </w:rPr>
      </w:pPr>
    </w:p>
    <w:p w14:paraId="6C6ECF5C" w14:textId="77777777" w:rsidR="0000036A" w:rsidRDefault="0000036A" w:rsidP="0000036A">
      <w:pPr>
        <w:spacing w:line="360" w:lineRule="auto"/>
        <w:jc w:val="both"/>
        <w:rPr>
          <w:rFonts w:ascii="Palatino Linotype" w:hAnsi="Palatino Linotype" w:cs="Arial"/>
          <w:sz w:val="24"/>
          <w:szCs w:val="24"/>
        </w:rPr>
      </w:pPr>
    </w:p>
    <w:p w14:paraId="1CFE3882" w14:textId="77777777" w:rsidR="0000036A" w:rsidRDefault="0000036A" w:rsidP="0000036A">
      <w:pPr>
        <w:spacing w:line="360" w:lineRule="auto"/>
        <w:jc w:val="both"/>
        <w:rPr>
          <w:rFonts w:ascii="Palatino Linotype" w:hAnsi="Palatino Linotype" w:cs="Arial"/>
          <w:sz w:val="24"/>
          <w:szCs w:val="24"/>
        </w:rPr>
      </w:pPr>
    </w:p>
    <w:p w14:paraId="7A3C31B0" w14:textId="77777777" w:rsidR="0000036A" w:rsidRDefault="0000036A" w:rsidP="0000036A">
      <w:pPr>
        <w:spacing w:line="360" w:lineRule="auto"/>
        <w:jc w:val="both"/>
        <w:rPr>
          <w:rFonts w:ascii="Palatino Linotype" w:hAnsi="Palatino Linotype" w:cs="Arial"/>
          <w:bCs/>
          <w:sz w:val="16"/>
          <w:szCs w:val="16"/>
          <w:lang w:eastAsia="es-MX"/>
        </w:rPr>
      </w:pPr>
    </w:p>
    <w:p w14:paraId="724B14A3" w14:textId="77777777" w:rsidR="0000036A" w:rsidRDefault="0000036A" w:rsidP="0000036A">
      <w:pPr>
        <w:spacing w:line="360" w:lineRule="auto"/>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p>
    <w:p w14:paraId="072C7D59" w14:textId="77777777" w:rsidR="0000036A" w:rsidRDefault="0000036A" w:rsidP="0000036A">
      <w:pPr>
        <w:spacing w:line="360" w:lineRule="auto"/>
        <w:jc w:val="both"/>
        <w:rPr>
          <w:rFonts w:ascii="Palatino Linotype" w:hAnsi="Palatino Linotype" w:cs="Arial"/>
          <w:bCs/>
          <w:sz w:val="16"/>
          <w:szCs w:val="16"/>
          <w:lang w:eastAsia="es-MX"/>
        </w:rPr>
      </w:pPr>
    </w:p>
    <w:p w14:paraId="50D176A1" w14:textId="77777777" w:rsidR="0000036A" w:rsidRDefault="0000036A" w:rsidP="0000036A">
      <w:pPr>
        <w:spacing w:line="360" w:lineRule="auto"/>
        <w:jc w:val="both"/>
        <w:rPr>
          <w:rFonts w:ascii="Palatino Linotype" w:hAnsi="Palatino Linotype" w:cs="Arial"/>
          <w:bCs/>
          <w:sz w:val="16"/>
          <w:szCs w:val="16"/>
          <w:lang w:eastAsia="es-MX"/>
        </w:rPr>
      </w:pPr>
    </w:p>
    <w:sectPr w:rsidR="0000036A" w:rsidSect="00FB4AAD">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13D83A" w14:textId="77777777" w:rsidR="00D64FB2" w:rsidRDefault="00D64FB2" w:rsidP="006168E4">
      <w:pPr>
        <w:spacing w:after="0" w:line="240" w:lineRule="auto"/>
      </w:pPr>
      <w:r>
        <w:separator/>
      </w:r>
    </w:p>
  </w:endnote>
  <w:endnote w:type="continuationSeparator" w:id="0">
    <w:p w14:paraId="304984CD" w14:textId="77777777" w:rsidR="00D64FB2" w:rsidRDefault="00D64FB2"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1E3960" w:rsidRPr="000B69FA" w:rsidRDefault="001E396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C6535">
      <w:rPr>
        <w:rFonts w:ascii="Palatino Linotype" w:hAnsi="Palatino Linotype"/>
        <w:bCs/>
        <w:noProof/>
        <w:sz w:val="20"/>
      </w:rPr>
      <w:t>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C6535">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1E3960" w:rsidRPr="000B69FA" w:rsidRDefault="001E396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C653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C6535">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E68142" w14:textId="77777777" w:rsidR="00D64FB2" w:rsidRDefault="00D64FB2" w:rsidP="006168E4">
      <w:pPr>
        <w:spacing w:after="0" w:line="240" w:lineRule="auto"/>
      </w:pPr>
      <w:r>
        <w:separator/>
      </w:r>
    </w:p>
  </w:footnote>
  <w:footnote w:type="continuationSeparator" w:id="0">
    <w:p w14:paraId="6DDACAEF" w14:textId="77777777" w:rsidR="00D64FB2" w:rsidRDefault="00D64FB2" w:rsidP="006168E4">
      <w:pPr>
        <w:spacing w:after="0" w:line="240" w:lineRule="auto"/>
      </w:pPr>
      <w:r>
        <w:continuationSeparator/>
      </w:r>
    </w:p>
  </w:footnote>
  <w:footnote w:id="1">
    <w:p w14:paraId="41DD704F" w14:textId="77777777" w:rsidR="001E3960" w:rsidRPr="005552A8" w:rsidRDefault="001E3960" w:rsidP="00672112">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72A5FA3" w14:textId="77777777" w:rsidR="001E3960" w:rsidRPr="005552A8" w:rsidRDefault="001E3960" w:rsidP="00672112">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1E3960" w:rsidRDefault="001E396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1E3960" w14:paraId="17981A04" w14:textId="77777777" w:rsidTr="00FB4AAD">
      <w:trPr>
        <w:trHeight w:val="227"/>
      </w:trPr>
      <w:tc>
        <w:tcPr>
          <w:tcW w:w="5529" w:type="dxa"/>
          <w:hideMark/>
        </w:tcPr>
        <w:p w14:paraId="0E414BC5" w14:textId="19670DF2" w:rsidR="001E3960" w:rsidRDefault="001E396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3CAFDC9A" w:rsidR="001E3960" w:rsidRPr="00B4142F" w:rsidRDefault="00DD45AF"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03365</w:t>
          </w:r>
          <w:r w:rsidR="001E3960">
            <w:rPr>
              <w:rFonts w:ascii="Palatino Linotype" w:hAnsi="Palatino Linotype" w:cs="Arial"/>
              <w:bCs/>
              <w:sz w:val="24"/>
              <w:lang w:eastAsia="es-MX"/>
            </w:rPr>
            <w:t>/INFOEM/IP/RR/2021</w:t>
          </w:r>
        </w:p>
      </w:tc>
    </w:tr>
    <w:tr w:rsidR="001E3960" w14:paraId="637042F0" w14:textId="77777777" w:rsidTr="00FB4AAD">
      <w:trPr>
        <w:trHeight w:val="242"/>
      </w:trPr>
      <w:tc>
        <w:tcPr>
          <w:tcW w:w="5529" w:type="dxa"/>
          <w:hideMark/>
        </w:tcPr>
        <w:p w14:paraId="412AD568" w14:textId="582E7AD7" w:rsidR="001E3960" w:rsidRDefault="001E396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5AB2C693" w:rsidR="001E3960" w:rsidRPr="00F06FED" w:rsidRDefault="001E3960" w:rsidP="00DD45AF">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DD45AF">
            <w:rPr>
              <w:rFonts w:ascii="Palatino Linotype" w:hAnsi="Palatino Linotype" w:cs="Arial"/>
              <w:szCs w:val="20"/>
            </w:rPr>
            <w:t>Ecatepec de Morelos</w:t>
          </w:r>
          <w:r>
            <w:rPr>
              <w:rFonts w:ascii="Palatino Linotype" w:hAnsi="Palatino Linotype" w:cs="Arial"/>
              <w:szCs w:val="20"/>
            </w:rPr>
            <w:t xml:space="preserve">  </w:t>
          </w:r>
        </w:p>
      </w:tc>
    </w:tr>
    <w:tr w:rsidR="001E3960" w14:paraId="21BFE746" w14:textId="77777777" w:rsidTr="00FB4AAD">
      <w:trPr>
        <w:trHeight w:val="342"/>
      </w:trPr>
      <w:tc>
        <w:tcPr>
          <w:tcW w:w="5529" w:type="dxa"/>
          <w:hideMark/>
        </w:tcPr>
        <w:p w14:paraId="64C4E314" w14:textId="77777777" w:rsidR="001E3960" w:rsidRDefault="001E396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04853B3" w14:textId="77777777" w:rsidR="001E3960" w:rsidRDefault="001E396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183BF9" w14:textId="77777777" w:rsidR="001E3960" w:rsidRDefault="001E396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1E3960" w14:paraId="385FD437" w14:textId="77777777" w:rsidTr="00FB4AAD">
      <w:trPr>
        <w:trHeight w:val="227"/>
      </w:trPr>
      <w:tc>
        <w:tcPr>
          <w:tcW w:w="5529" w:type="dxa"/>
          <w:hideMark/>
        </w:tcPr>
        <w:p w14:paraId="272860E8" w14:textId="6340DBC0" w:rsidR="001E3960" w:rsidRDefault="001E396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4BC41C7A" w:rsidR="001E3960" w:rsidRPr="00B4142F" w:rsidRDefault="00DD45AF"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03365</w:t>
          </w:r>
          <w:r w:rsidR="001E3960">
            <w:rPr>
              <w:rFonts w:ascii="Palatino Linotype" w:hAnsi="Palatino Linotype" w:cs="Arial"/>
              <w:bCs/>
              <w:sz w:val="24"/>
              <w:lang w:eastAsia="es-MX"/>
            </w:rPr>
            <w:t>/INFOEM/IP/RR/2021</w:t>
          </w:r>
        </w:p>
      </w:tc>
    </w:tr>
    <w:tr w:rsidR="001E3960" w14:paraId="33FC5097" w14:textId="77777777" w:rsidTr="00FB4AAD">
      <w:trPr>
        <w:trHeight w:val="196"/>
      </w:trPr>
      <w:tc>
        <w:tcPr>
          <w:tcW w:w="5529" w:type="dxa"/>
          <w:hideMark/>
        </w:tcPr>
        <w:p w14:paraId="4F5D01E5" w14:textId="77777777" w:rsidR="001E3960" w:rsidRDefault="001E396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16121E2A" w:rsidR="001E3960" w:rsidRPr="00F06FED" w:rsidRDefault="00BC6535" w:rsidP="007A3BB5">
          <w:pPr>
            <w:spacing w:after="120" w:line="256" w:lineRule="auto"/>
            <w:ind w:left="639" w:right="214"/>
            <w:jc w:val="both"/>
            <w:rPr>
              <w:rFonts w:ascii="Palatino Linotype" w:hAnsi="Palatino Linotype" w:cs="Arial"/>
            </w:rPr>
          </w:pPr>
          <w:r>
            <w:rPr>
              <w:rFonts w:ascii="Palatino Linotype" w:hAnsi="Palatino Linotype" w:cs="Arial"/>
            </w:rPr>
            <w:t>xxxxxxxxxxxxxxxx</w:t>
          </w:r>
        </w:p>
      </w:tc>
    </w:tr>
    <w:tr w:rsidR="001E3960" w14:paraId="178280DE" w14:textId="77777777" w:rsidTr="00FB4AAD">
      <w:trPr>
        <w:trHeight w:val="242"/>
      </w:trPr>
      <w:tc>
        <w:tcPr>
          <w:tcW w:w="5529" w:type="dxa"/>
          <w:hideMark/>
        </w:tcPr>
        <w:p w14:paraId="71AC708B" w14:textId="77777777" w:rsidR="001E3960" w:rsidRDefault="001E396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2B01422B" w:rsidR="001E3960" w:rsidRDefault="001E3960" w:rsidP="00DD45AF">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DD45AF">
            <w:rPr>
              <w:rFonts w:ascii="Palatino Linotype" w:hAnsi="Palatino Linotype" w:cs="Arial"/>
              <w:szCs w:val="20"/>
            </w:rPr>
            <w:t>Ecatepec de Morelos</w:t>
          </w:r>
        </w:p>
      </w:tc>
    </w:tr>
    <w:tr w:rsidR="001E3960" w14:paraId="0518978B" w14:textId="77777777" w:rsidTr="00FB4AAD">
      <w:trPr>
        <w:trHeight w:val="342"/>
      </w:trPr>
      <w:tc>
        <w:tcPr>
          <w:tcW w:w="5529" w:type="dxa"/>
          <w:hideMark/>
        </w:tcPr>
        <w:p w14:paraId="04968A43" w14:textId="77777777" w:rsidR="001E3960" w:rsidRDefault="001E396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E42D601" w14:textId="77777777" w:rsidR="001E3960" w:rsidRDefault="001E396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B7A654C" w14:textId="4A3B5148" w:rsidR="001E3960" w:rsidRDefault="001E396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34674996">
          <wp:simplePos x="0" y="0"/>
          <wp:positionH relativeFrom="page">
            <wp:posOffset>29210</wp:posOffset>
          </wp:positionH>
          <wp:positionV relativeFrom="page">
            <wp:posOffset>34925</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E6DA3"/>
    <w:multiLevelType w:val="hybridMultilevel"/>
    <w:tmpl w:val="CDFE39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A83B18"/>
    <w:multiLevelType w:val="hybridMultilevel"/>
    <w:tmpl w:val="FBCC89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780022"/>
    <w:multiLevelType w:val="hybridMultilevel"/>
    <w:tmpl w:val="2AE03110"/>
    <w:lvl w:ilvl="0" w:tplc="9AEE4534">
      <w:start w:val="1"/>
      <w:numFmt w:val="upperRoman"/>
      <w:lvlText w:val="%1."/>
      <w:lvlJc w:val="left"/>
      <w:pPr>
        <w:ind w:left="1571" w:hanging="720"/>
      </w:pPr>
      <w:rPr>
        <w:rFonts w:hint="default"/>
        <w:b w:val="0"/>
        <w:bCs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0B3C3771"/>
    <w:multiLevelType w:val="hybridMultilevel"/>
    <w:tmpl w:val="6FEE618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0D5358E2"/>
    <w:multiLevelType w:val="hybridMultilevel"/>
    <w:tmpl w:val="F95E4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F8C2981"/>
    <w:multiLevelType w:val="hybridMultilevel"/>
    <w:tmpl w:val="07CA4D0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1E11D73"/>
    <w:multiLevelType w:val="hybridMultilevel"/>
    <w:tmpl w:val="1B644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1FD52C4"/>
    <w:multiLevelType w:val="multilevel"/>
    <w:tmpl w:val="D76E4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562F0A"/>
    <w:multiLevelType w:val="hybridMultilevel"/>
    <w:tmpl w:val="E1786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88841CD"/>
    <w:multiLevelType w:val="hybridMultilevel"/>
    <w:tmpl w:val="33F46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256C89"/>
    <w:multiLevelType w:val="hybridMultilevel"/>
    <w:tmpl w:val="0046B5B0"/>
    <w:lvl w:ilvl="0" w:tplc="1D8AA15A">
      <w:start w:val="3"/>
      <w:numFmt w:val="bullet"/>
      <w:lvlText w:val="-"/>
      <w:lvlJc w:val="left"/>
      <w:pPr>
        <w:ind w:left="720" w:hanging="360"/>
      </w:pPr>
      <w:rPr>
        <w:rFonts w:ascii="Palatino Linotype" w:eastAsiaTheme="minorHAnsi" w:hAnsi="Palatino Linotype"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4260B6"/>
    <w:multiLevelType w:val="hybridMultilevel"/>
    <w:tmpl w:val="9998DC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B4536A1"/>
    <w:multiLevelType w:val="hybridMultilevel"/>
    <w:tmpl w:val="F95E4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09454E5"/>
    <w:multiLevelType w:val="hybridMultilevel"/>
    <w:tmpl w:val="106C3F22"/>
    <w:lvl w:ilvl="0" w:tplc="BC2EE104">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4">
    <w:nsid w:val="34666F99"/>
    <w:multiLevelType w:val="hybridMultilevel"/>
    <w:tmpl w:val="9D9A90C6"/>
    <w:lvl w:ilvl="0" w:tplc="4D004F0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3E5D26D2"/>
    <w:multiLevelType w:val="hybridMultilevel"/>
    <w:tmpl w:val="F95E41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F7A793B"/>
    <w:multiLevelType w:val="hybridMultilevel"/>
    <w:tmpl w:val="A1802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98568C"/>
    <w:multiLevelType w:val="hybridMultilevel"/>
    <w:tmpl w:val="CDFE39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80F225E"/>
    <w:multiLevelType w:val="hybridMultilevel"/>
    <w:tmpl w:val="B11ACB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A3105CF"/>
    <w:multiLevelType w:val="hybridMultilevel"/>
    <w:tmpl w:val="9C9ED682"/>
    <w:lvl w:ilvl="0" w:tplc="C3564AE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1">
    <w:nsid w:val="4F4A0BF0"/>
    <w:multiLevelType w:val="hybridMultilevel"/>
    <w:tmpl w:val="454E3BC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nsid w:val="51766A24"/>
    <w:multiLevelType w:val="hybridMultilevel"/>
    <w:tmpl w:val="6A908E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2A97426"/>
    <w:multiLevelType w:val="hybridMultilevel"/>
    <w:tmpl w:val="C744F70C"/>
    <w:lvl w:ilvl="0" w:tplc="1A7A1FF2">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nsid w:val="532A2FDF"/>
    <w:multiLevelType w:val="hybridMultilevel"/>
    <w:tmpl w:val="9B0A7F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71A43B0"/>
    <w:multiLevelType w:val="hybridMultilevel"/>
    <w:tmpl w:val="EDB00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9A409F"/>
    <w:multiLevelType w:val="hybridMultilevel"/>
    <w:tmpl w:val="CDFE39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12350DC"/>
    <w:multiLevelType w:val="hybridMultilevel"/>
    <w:tmpl w:val="21A03C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B3C22B0"/>
    <w:multiLevelType w:val="hybridMultilevel"/>
    <w:tmpl w:val="F4C0F14E"/>
    <w:lvl w:ilvl="0" w:tplc="02CED2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A9372C"/>
    <w:multiLevelType w:val="hybridMultilevel"/>
    <w:tmpl w:val="08306B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263063E"/>
    <w:multiLevelType w:val="hybridMultilevel"/>
    <w:tmpl w:val="E432E7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9635E6"/>
    <w:multiLevelType w:val="hybridMultilevel"/>
    <w:tmpl w:val="FEB4F506"/>
    <w:lvl w:ilvl="0" w:tplc="0409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2">
    <w:nsid w:val="78DF682F"/>
    <w:multiLevelType w:val="hybridMultilevel"/>
    <w:tmpl w:val="3F7CDDA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347CC4"/>
    <w:multiLevelType w:val="hybridMultilevel"/>
    <w:tmpl w:val="00AE58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676E43"/>
    <w:multiLevelType w:val="hybridMultilevel"/>
    <w:tmpl w:val="9D26408C"/>
    <w:lvl w:ilvl="0" w:tplc="1D8AA15A">
      <w:start w:val="3"/>
      <w:numFmt w:val="bullet"/>
      <w:lvlText w:val="-"/>
      <w:lvlJc w:val="left"/>
      <w:pPr>
        <w:ind w:left="720" w:hanging="360"/>
      </w:pPr>
      <w:rPr>
        <w:rFonts w:ascii="Palatino Linotype" w:eastAsiaTheme="minorHAnsi" w:hAnsi="Palatino Linotype"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FC46BB"/>
    <w:multiLevelType w:val="hybridMultilevel"/>
    <w:tmpl w:val="6A908E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FCB6894"/>
    <w:multiLevelType w:val="hybridMultilevel"/>
    <w:tmpl w:val="64929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0"/>
  </w:num>
  <w:num w:numId="3">
    <w:abstractNumId w:val="31"/>
  </w:num>
  <w:num w:numId="4">
    <w:abstractNumId w:val="1"/>
  </w:num>
  <w:num w:numId="5">
    <w:abstractNumId w:val="28"/>
  </w:num>
  <w:num w:numId="6">
    <w:abstractNumId w:val="2"/>
  </w:num>
  <w:num w:numId="7">
    <w:abstractNumId w:val="32"/>
  </w:num>
  <w:num w:numId="8">
    <w:abstractNumId w:val="8"/>
  </w:num>
  <w:num w:numId="9">
    <w:abstractNumId w:val="9"/>
  </w:num>
  <w:num w:numId="10">
    <w:abstractNumId w:val="30"/>
  </w:num>
  <w:num w:numId="11">
    <w:abstractNumId w:val="26"/>
  </w:num>
  <w:num w:numId="12">
    <w:abstractNumId w:val="33"/>
  </w:num>
  <w:num w:numId="13">
    <w:abstractNumId w:val="25"/>
  </w:num>
  <w:num w:numId="14">
    <w:abstractNumId w:val="34"/>
  </w:num>
  <w:num w:numId="15">
    <w:abstractNumId w:val="10"/>
  </w:num>
  <w:num w:numId="16">
    <w:abstractNumId w:val="36"/>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2"/>
  </w:num>
  <w:num w:numId="20">
    <w:abstractNumId w:val="27"/>
  </w:num>
  <w:num w:numId="21">
    <w:abstractNumId w:val="24"/>
  </w:num>
  <w:num w:numId="22">
    <w:abstractNumId w:val="23"/>
  </w:num>
  <w:num w:numId="23">
    <w:abstractNumId w:val="15"/>
  </w:num>
  <w:num w:numId="24">
    <w:abstractNumId w:val="16"/>
  </w:num>
  <w:num w:numId="25">
    <w:abstractNumId w:val="11"/>
  </w:num>
  <w:num w:numId="26">
    <w:abstractNumId w:val="4"/>
  </w:num>
  <w:num w:numId="27">
    <w:abstractNumId w:val="6"/>
  </w:num>
  <w:num w:numId="28">
    <w:abstractNumId w:val="35"/>
  </w:num>
  <w:num w:numId="29">
    <w:abstractNumId w:val="13"/>
  </w:num>
  <w:num w:numId="30">
    <w:abstractNumId w:val="19"/>
  </w:num>
  <w:num w:numId="31">
    <w:abstractNumId w:val="22"/>
  </w:num>
  <w:num w:numId="32">
    <w:abstractNumId w:val="21"/>
  </w:num>
  <w:num w:numId="33">
    <w:abstractNumId w:val="18"/>
  </w:num>
  <w:num w:numId="34">
    <w:abstractNumId w:val="3"/>
  </w:num>
  <w:num w:numId="35">
    <w:abstractNumId w:val="17"/>
  </w:num>
  <w:num w:numId="36">
    <w:abstractNumId w:val="5"/>
  </w:num>
  <w:num w:numId="37">
    <w:abstractNumId w:val="2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36A"/>
    <w:rsid w:val="0000045D"/>
    <w:rsid w:val="000026CF"/>
    <w:rsid w:val="00002FA5"/>
    <w:rsid w:val="000056BB"/>
    <w:rsid w:val="00005B85"/>
    <w:rsid w:val="00011980"/>
    <w:rsid w:val="00012E56"/>
    <w:rsid w:val="0001366A"/>
    <w:rsid w:val="00013C75"/>
    <w:rsid w:val="000143F3"/>
    <w:rsid w:val="000171B7"/>
    <w:rsid w:val="00020E74"/>
    <w:rsid w:val="00022B41"/>
    <w:rsid w:val="000240C8"/>
    <w:rsid w:val="0002560B"/>
    <w:rsid w:val="000306A7"/>
    <w:rsid w:val="000315CA"/>
    <w:rsid w:val="00031B3B"/>
    <w:rsid w:val="00032896"/>
    <w:rsid w:val="000329BE"/>
    <w:rsid w:val="0004186E"/>
    <w:rsid w:val="00044C7F"/>
    <w:rsid w:val="000451BE"/>
    <w:rsid w:val="00045379"/>
    <w:rsid w:val="000458B5"/>
    <w:rsid w:val="00045CB8"/>
    <w:rsid w:val="000508FA"/>
    <w:rsid w:val="0005171D"/>
    <w:rsid w:val="00055224"/>
    <w:rsid w:val="00061821"/>
    <w:rsid w:val="000623F9"/>
    <w:rsid w:val="00063A10"/>
    <w:rsid w:val="00064EA6"/>
    <w:rsid w:val="000662F8"/>
    <w:rsid w:val="00070E99"/>
    <w:rsid w:val="00073E78"/>
    <w:rsid w:val="00073FC2"/>
    <w:rsid w:val="00076AE0"/>
    <w:rsid w:val="0007756F"/>
    <w:rsid w:val="0008033D"/>
    <w:rsid w:val="0008151E"/>
    <w:rsid w:val="000821BF"/>
    <w:rsid w:val="00085007"/>
    <w:rsid w:val="0008548C"/>
    <w:rsid w:val="00086AF1"/>
    <w:rsid w:val="00090174"/>
    <w:rsid w:val="00091552"/>
    <w:rsid w:val="00091C3A"/>
    <w:rsid w:val="000944B9"/>
    <w:rsid w:val="00095CD4"/>
    <w:rsid w:val="0009704F"/>
    <w:rsid w:val="000A18F1"/>
    <w:rsid w:val="000A2E75"/>
    <w:rsid w:val="000A3486"/>
    <w:rsid w:val="000A46DE"/>
    <w:rsid w:val="000A46EB"/>
    <w:rsid w:val="000A5195"/>
    <w:rsid w:val="000A535D"/>
    <w:rsid w:val="000A5980"/>
    <w:rsid w:val="000A79DA"/>
    <w:rsid w:val="000B03E0"/>
    <w:rsid w:val="000B4B51"/>
    <w:rsid w:val="000B5864"/>
    <w:rsid w:val="000B7158"/>
    <w:rsid w:val="000C0B33"/>
    <w:rsid w:val="000C2602"/>
    <w:rsid w:val="000C5B8B"/>
    <w:rsid w:val="000D1A4E"/>
    <w:rsid w:val="000D1B55"/>
    <w:rsid w:val="000D3C75"/>
    <w:rsid w:val="000D4532"/>
    <w:rsid w:val="000D4A3A"/>
    <w:rsid w:val="000D5800"/>
    <w:rsid w:val="000D67B8"/>
    <w:rsid w:val="000D7523"/>
    <w:rsid w:val="000E0C4D"/>
    <w:rsid w:val="000E30C2"/>
    <w:rsid w:val="000E3AEA"/>
    <w:rsid w:val="000E6545"/>
    <w:rsid w:val="000E686B"/>
    <w:rsid w:val="000F2A5E"/>
    <w:rsid w:val="000F2E5A"/>
    <w:rsid w:val="000F3F8D"/>
    <w:rsid w:val="00100C19"/>
    <w:rsid w:val="00104391"/>
    <w:rsid w:val="00106372"/>
    <w:rsid w:val="00111DCD"/>
    <w:rsid w:val="00112C29"/>
    <w:rsid w:val="00114CF9"/>
    <w:rsid w:val="001228AB"/>
    <w:rsid w:val="00124855"/>
    <w:rsid w:val="001254F5"/>
    <w:rsid w:val="00127033"/>
    <w:rsid w:val="00131B01"/>
    <w:rsid w:val="00136C13"/>
    <w:rsid w:val="00136FAD"/>
    <w:rsid w:val="00140557"/>
    <w:rsid w:val="001408A0"/>
    <w:rsid w:val="001439C9"/>
    <w:rsid w:val="00146F0A"/>
    <w:rsid w:val="001503F0"/>
    <w:rsid w:val="00152AB2"/>
    <w:rsid w:val="00152C2B"/>
    <w:rsid w:val="00161FBE"/>
    <w:rsid w:val="0016613D"/>
    <w:rsid w:val="00166BE3"/>
    <w:rsid w:val="0016745C"/>
    <w:rsid w:val="001705AC"/>
    <w:rsid w:val="001710C0"/>
    <w:rsid w:val="001733A0"/>
    <w:rsid w:val="00175897"/>
    <w:rsid w:val="00180B9F"/>
    <w:rsid w:val="00181CC5"/>
    <w:rsid w:val="001829BE"/>
    <w:rsid w:val="00184E8E"/>
    <w:rsid w:val="001854E1"/>
    <w:rsid w:val="0018577F"/>
    <w:rsid w:val="00193784"/>
    <w:rsid w:val="00194676"/>
    <w:rsid w:val="00196DCE"/>
    <w:rsid w:val="00196FE9"/>
    <w:rsid w:val="001A02EC"/>
    <w:rsid w:val="001A1756"/>
    <w:rsid w:val="001A30F5"/>
    <w:rsid w:val="001A4643"/>
    <w:rsid w:val="001A4BAD"/>
    <w:rsid w:val="001A5630"/>
    <w:rsid w:val="001A577E"/>
    <w:rsid w:val="001A7484"/>
    <w:rsid w:val="001A7959"/>
    <w:rsid w:val="001A7C9B"/>
    <w:rsid w:val="001B05B9"/>
    <w:rsid w:val="001B6914"/>
    <w:rsid w:val="001B7B88"/>
    <w:rsid w:val="001B7FA2"/>
    <w:rsid w:val="001C1337"/>
    <w:rsid w:val="001C1CAF"/>
    <w:rsid w:val="001C50EE"/>
    <w:rsid w:val="001C7319"/>
    <w:rsid w:val="001C7D87"/>
    <w:rsid w:val="001D23B4"/>
    <w:rsid w:val="001D27C1"/>
    <w:rsid w:val="001D3E87"/>
    <w:rsid w:val="001D49A2"/>
    <w:rsid w:val="001D627A"/>
    <w:rsid w:val="001D6B60"/>
    <w:rsid w:val="001E0C3F"/>
    <w:rsid w:val="001E11BF"/>
    <w:rsid w:val="001E3960"/>
    <w:rsid w:val="001E5168"/>
    <w:rsid w:val="001E58D8"/>
    <w:rsid w:val="001E78AA"/>
    <w:rsid w:val="001F2101"/>
    <w:rsid w:val="001F2360"/>
    <w:rsid w:val="001F3969"/>
    <w:rsid w:val="001F61DA"/>
    <w:rsid w:val="00204420"/>
    <w:rsid w:val="00205ACD"/>
    <w:rsid w:val="002075A5"/>
    <w:rsid w:val="00212A9D"/>
    <w:rsid w:val="0021501E"/>
    <w:rsid w:val="00215192"/>
    <w:rsid w:val="0021530C"/>
    <w:rsid w:val="002205C0"/>
    <w:rsid w:val="00221889"/>
    <w:rsid w:val="002248AC"/>
    <w:rsid w:val="00226AF5"/>
    <w:rsid w:val="0023373D"/>
    <w:rsid w:val="0023423C"/>
    <w:rsid w:val="002406B0"/>
    <w:rsid w:val="002420E3"/>
    <w:rsid w:val="002448CB"/>
    <w:rsid w:val="002525C7"/>
    <w:rsid w:val="002526E7"/>
    <w:rsid w:val="00254BA9"/>
    <w:rsid w:val="002577FE"/>
    <w:rsid w:val="00261125"/>
    <w:rsid w:val="002659E9"/>
    <w:rsid w:val="00267074"/>
    <w:rsid w:val="00267244"/>
    <w:rsid w:val="002717B7"/>
    <w:rsid w:val="00273D0E"/>
    <w:rsid w:val="00274159"/>
    <w:rsid w:val="00274BE8"/>
    <w:rsid w:val="002765A6"/>
    <w:rsid w:val="0028588E"/>
    <w:rsid w:val="00286784"/>
    <w:rsid w:val="00292BF6"/>
    <w:rsid w:val="0029431D"/>
    <w:rsid w:val="00294823"/>
    <w:rsid w:val="00295749"/>
    <w:rsid w:val="0029598B"/>
    <w:rsid w:val="002A0229"/>
    <w:rsid w:val="002A0ABA"/>
    <w:rsid w:val="002A2034"/>
    <w:rsid w:val="002A24F4"/>
    <w:rsid w:val="002A38BF"/>
    <w:rsid w:val="002A4319"/>
    <w:rsid w:val="002A5409"/>
    <w:rsid w:val="002A56AE"/>
    <w:rsid w:val="002A597E"/>
    <w:rsid w:val="002B113A"/>
    <w:rsid w:val="002B18B5"/>
    <w:rsid w:val="002B19E0"/>
    <w:rsid w:val="002B1A1F"/>
    <w:rsid w:val="002B5DBD"/>
    <w:rsid w:val="002C07C4"/>
    <w:rsid w:val="002C1B76"/>
    <w:rsid w:val="002C72D2"/>
    <w:rsid w:val="002D08E3"/>
    <w:rsid w:val="002D30CB"/>
    <w:rsid w:val="002D310D"/>
    <w:rsid w:val="002E2D7B"/>
    <w:rsid w:val="002E5E6A"/>
    <w:rsid w:val="002F14AA"/>
    <w:rsid w:val="002F2198"/>
    <w:rsid w:val="002F37BE"/>
    <w:rsid w:val="002F4577"/>
    <w:rsid w:val="002F6424"/>
    <w:rsid w:val="002F7704"/>
    <w:rsid w:val="00300D0B"/>
    <w:rsid w:val="00304D88"/>
    <w:rsid w:val="003056A2"/>
    <w:rsid w:val="00306096"/>
    <w:rsid w:val="00307369"/>
    <w:rsid w:val="003107AB"/>
    <w:rsid w:val="003111C0"/>
    <w:rsid w:val="00315C28"/>
    <w:rsid w:val="0031645D"/>
    <w:rsid w:val="00317A04"/>
    <w:rsid w:val="00317A10"/>
    <w:rsid w:val="00320A67"/>
    <w:rsid w:val="00321565"/>
    <w:rsid w:val="0032187D"/>
    <w:rsid w:val="00323CD2"/>
    <w:rsid w:val="00324E31"/>
    <w:rsid w:val="003272FB"/>
    <w:rsid w:val="003317CD"/>
    <w:rsid w:val="0034179E"/>
    <w:rsid w:val="00341AC3"/>
    <w:rsid w:val="0034299B"/>
    <w:rsid w:val="003430A8"/>
    <w:rsid w:val="003443B2"/>
    <w:rsid w:val="00345B43"/>
    <w:rsid w:val="00361B9C"/>
    <w:rsid w:val="00365C45"/>
    <w:rsid w:val="00370209"/>
    <w:rsid w:val="00371031"/>
    <w:rsid w:val="003736ED"/>
    <w:rsid w:val="00374444"/>
    <w:rsid w:val="003756A4"/>
    <w:rsid w:val="00376114"/>
    <w:rsid w:val="00376CEC"/>
    <w:rsid w:val="00380758"/>
    <w:rsid w:val="003827B4"/>
    <w:rsid w:val="00383C82"/>
    <w:rsid w:val="00386BBB"/>
    <w:rsid w:val="00386D84"/>
    <w:rsid w:val="0039245A"/>
    <w:rsid w:val="00394A1E"/>
    <w:rsid w:val="003A241D"/>
    <w:rsid w:val="003A43CE"/>
    <w:rsid w:val="003A60CC"/>
    <w:rsid w:val="003A61F9"/>
    <w:rsid w:val="003A73D3"/>
    <w:rsid w:val="003B1A03"/>
    <w:rsid w:val="003B1C4E"/>
    <w:rsid w:val="003B1E88"/>
    <w:rsid w:val="003B5455"/>
    <w:rsid w:val="003B5FFE"/>
    <w:rsid w:val="003B63C0"/>
    <w:rsid w:val="003C2632"/>
    <w:rsid w:val="003C2A8E"/>
    <w:rsid w:val="003C7873"/>
    <w:rsid w:val="003C78F7"/>
    <w:rsid w:val="003D11E5"/>
    <w:rsid w:val="003D153C"/>
    <w:rsid w:val="003D305F"/>
    <w:rsid w:val="003E0BC5"/>
    <w:rsid w:val="003E16E1"/>
    <w:rsid w:val="003E2624"/>
    <w:rsid w:val="003E34C9"/>
    <w:rsid w:val="003E4B54"/>
    <w:rsid w:val="003F0DF5"/>
    <w:rsid w:val="003F332C"/>
    <w:rsid w:val="003F659A"/>
    <w:rsid w:val="00400E16"/>
    <w:rsid w:val="004012CF"/>
    <w:rsid w:val="004012E1"/>
    <w:rsid w:val="004020B1"/>
    <w:rsid w:val="004028F5"/>
    <w:rsid w:val="00402FF3"/>
    <w:rsid w:val="00404627"/>
    <w:rsid w:val="00405EAB"/>
    <w:rsid w:val="00406265"/>
    <w:rsid w:val="004069EB"/>
    <w:rsid w:val="004111DA"/>
    <w:rsid w:val="00413327"/>
    <w:rsid w:val="00413F1C"/>
    <w:rsid w:val="0041440A"/>
    <w:rsid w:val="00423213"/>
    <w:rsid w:val="0042416D"/>
    <w:rsid w:val="00433507"/>
    <w:rsid w:val="00437A0E"/>
    <w:rsid w:val="00443B76"/>
    <w:rsid w:val="0044504F"/>
    <w:rsid w:val="004460C0"/>
    <w:rsid w:val="004502F1"/>
    <w:rsid w:val="004516EB"/>
    <w:rsid w:val="004529B6"/>
    <w:rsid w:val="00453DBD"/>
    <w:rsid w:val="00454CE6"/>
    <w:rsid w:val="00457162"/>
    <w:rsid w:val="00457A9F"/>
    <w:rsid w:val="0046133D"/>
    <w:rsid w:val="00462881"/>
    <w:rsid w:val="00462B0D"/>
    <w:rsid w:val="0046475C"/>
    <w:rsid w:val="00464805"/>
    <w:rsid w:val="00466B1C"/>
    <w:rsid w:val="004702BF"/>
    <w:rsid w:val="00470F88"/>
    <w:rsid w:val="00472649"/>
    <w:rsid w:val="004726B1"/>
    <w:rsid w:val="0047555B"/>
    <w:rsid w:val="00475F48"/>
    <w:rsid w:val="0047718A"/>
    <w:rsid w:val="00477430"/>
    <w:rsid w:val="00477CC2"/>
    <w:rsid w:val="00480C13"/>
    <w:rsid w:val="0048180A"/>
    <w:rsid w:val="00481C7A"/>
    <w:rsid w:val="004836B3"/>
    <w:rsid w:val="00485906"/>
    <w:rsid w:val="004906C8"/>
    <w:rsid w:val="0049459B"/>
    <w:rsid w:val="00495252"/>
    <w:rsid w:val="004964B5"/>
    <w:rsid w:val="0049675F"/>
    <w:rsid w:val="004967E2"/>
    <w:rsid w:val="0049785D"/>
    <w:rsid w:val="004A1436"/>
    <w:rsid w:val="004A290F"/>
    <w:rsid w:val="004A5FFD"/>
    <w:rsid w:val="004A7195"/>
    <w:rsid w:val="004A7CE2"/>
    <w:rsid w:val="004B376D"/>
    <w:rsid w:val="004B5DEC"/>
    <w:rsid w:val="004B7F32"/>
    <w:rsid w:val="004C1DF1"/>
    <w:rsid w:val="004C4E77"/>
    <w:rsid w:val="004C74FD"/>
    <w:rsid w:val="004D08EB"/>
    <w:rsid w:val="004D6029"/>
    <w:rsid w:val="004E0166"/>
    <w:rsid w:val="004E0679"/>
    <w:rsid w:val="004E0B32"/>
    <w:rsid w:val="004E1B1C"/>
    <w:rsid w:val="004E2371"/>
    <w:rsid w:val="004E6BE9"/>
    <w:rsid w:val="004E79A4"/>
    <w:rsid w:val="004F26CF"/>
    <w:rsid w:val="004F4792"/>
    <w:rsid w:val="004F4DF1"/>
    <w:rsid w:val="00502F50"/>
    <w:rsid w:val="00503655"/>
    <w:rsid w:val="00505759"/>
    <w:rsid w:val="00505784"/>
    <w:rsid w:val="0050578D"/>
    <w:rsid w:val="0051107C"/>
    <w:rsid w:val="00514187"/>
    <w:rsid w:val="00515090"/>
    <w:rsid w:val="00521A89"/>
    <w:rsid w:val="00521E57"/>
    <w:rsid w:val="00525E83"/>
    <w:rsid w:val="00527EBC"/>
    <w:rsid w:val="005305EA"/>
    <w:rsid w:val="00530E3E"/>
    <w:rsid w:val="005311BB"/>
    <w:rsid w:val="005371E7"/>
    <w:rsid w:val="00540538"/>
    <w:rsid w:val="00540C92"/>
    <w:rsid w:val="005478DE"/>
    <w:rsid w:val="005520FE"/>
    <w:rsid w:val="0055211D"/>
    <w:rsid w:val="00552FA7"/>
    <w:rsid w:val="00553E92"/>
    <w:rsid w:val="00554927"/>
    <w:rsid w:val="00556513"/>
    <w:rsid w:val="00560D4A"/>
    <w:rsid w:val="00562653"/>
    <w:rsid w:val="0056468F"/>
    <w:rsid w:val="00566E4B"/>
    <w:rsid w:val="00567F9A"/>
    <w:rsid w:val="005705E2"/>
    <w:rsid w:val="005714B9"/>
    <w:rsid w:val="005733EB"/>
    <w:rsid w:val="00575485"/>
    <w:rsid w:val="00577500"/>
    <w:rsid w:val="00580802"/>
    <w:rsid w:val="00581A22"/>
    <w:rsid w:val="005833A8"/>
    <w:rsid w:val="0058661B"/>
    <w:rsid w:val="00591165"/>
    <w:rsid w:val="00593E91"/>
    <w:rsid w:val="00595600"/>
    <w:rsid w:val="00596DC4"/>
    <w:rsid w:val="00597589"/>
    <w:rsid w:val="005A0B49"/>
    <w:rsid w:val="005A52D9"/>
    <w:rsid w:val="005A5A6E"/>
    <w:rsid w:val="005A694B"/>
    <w:rsid w:val="005A6D57"/>
    <w:rsid w:val="005B00A4"/>
    <w:rsid w:val="005B0424"/>
    <w:rsid w:val="005B1C46"/>
    <w:rsid w:val="005B2B98"/>
    <w:rsid w:val="005B2E7E"/>
    <w:rsid w:val="005B37EF"/>
    <w:rsid w:val="005B5B70"/>
    <w:rsid w:val="005B5F05"/>
    <w:rsid w:val="005B77A6"/>
    <w:rsid w:val="005B79E7"/>
    <w:rsid w:val="005C36D0"/>
    <w:rsid w:val="005C3CD1"/>
    <w:rsid w:val="005C3E35"/>
    <w:rsid w:val="005C40CB"/>
    <w:rsid w:val="005C687E"/>
    <w:rsid w:val="005C6982"/>
    <w:rsid w:val="005D0901"/>
    <w:rsid w:val="005D16DD"/>
    <w:rsid w:val="005D2332"/>
    <w:rsid w:val="005D2B59"/>
    <w:rsid w:val="005D362F"/>
    <w:rsid w:val="005D370F"/>
    <w:rsid w:val="005D5217"/>
    <w:rsid w:val="005D5E8C"/>
    <w:rsid w:val="005E4D7C"/>
    <w:rsid w:val="005E4EB4"/>
    <w:rsid w:val="005E54CA"/>
    <w:rsid w:val="005E6A46"/>
    <w:rsid w:val="005E7A49"/>
    <w:rsid w:val="005F048E"/>
    <w:rsid w:val="005F1408"/>
    <w:rsid w:val="005F1E0B"/>
    <w:rsid w:val="005F57F0"/>
    <w:rsid w:val="005F7424"/>
    <w:rsid w:val="005F7D10"/>
    <w:rsid w:val="00600FB9"/>
    <w:rsid w:val="006010C7"/>
    <w:rsid w:val="00602223"/>
    <w:rsid w:val="0060225F"/>
    <w:rsid w:val="0060242C"/>
    <w:rsid w:val="00606FDA"/>
    <w:rsid w:val="0061042F"/>
    <w:rsid w:val="00612499"/>
    <w:rsid w:val="006168E4"/>
    <w:rsid w:val="00616943"/>
    <w:rsid w:val="006214B9"/>
    <w:rsid w:val="00621940"/>
    <w:rsid w:val="0062421A"/>
    <w:rsid w:val="00624FE9"/>
    <w:rsid w:val="00625866"/>
    <w:rsid w:val="006300D6"/>
    <w:rsid w:val="00630382"/>
    <w:rsid w:val="0063265C"/>
    <w:rsid w:val="00633079"/>
    <w:rsid w:val="006332DC"/>
    <w:rsid w:val="00635020"/>
    <w:rsid w:val="00635846"/>
    <w:rsid w:val="00637512"/>
    <w:rsid w:val="00640EE4"/>
    <w:rsid w:val="0064168D"/>
    <w:rsid w:val="00643161"/>
    <w:rsid w:val="006466F5"/>
    <w:rsid w:val="006468D6"/>
    <w:rsid w:val="006529A5"/>
    <w:rsid w:val="00655735"/>
    <w:rsid w:val="00661404"/>
    <w:rsid w:val="00661753"/>
    <w:rsid w:val="006646AC"/>
    <w:rsid w:val="00664D5B"/>
    <w:rsid w:val="00671D7C"/>
    <w:rsid w:val="00672112"/>
    <w:rsid w:val="00676C2E"/>
    <w:rsid w:val="00681802"/>
    <w:rsid w:val="00682225"/>
    <w:rsid w:val="006822F4"/>
    <w:rsid w:val="00682B6F"/>
    <w:rsid w:val="00683417"/>
    <w:rsid w:val="00684893"/>
    <w:rsid w:val="006848B7"/>
    <w:rsid w:val="00684CBE"/>
    <w:rsid w:val="00686FC2"/>
    <w:rsid w:val="0069391E"/>
    <w:rsid w:val="00697281"/>
    <w:rsid w:val="006A2C7F"/>
    <w:rsid w:val="006B12A6"/>
    <w:rsid w:val="006B1953"/>
    <w:rsid w:val="006B1BF1"/>
    <w:rsid w:val="006B1C95"/>
    <w:rsid w:val="006B26E3"/>
    <w:rsid w:val="006B3302"/>
    <w:rsid w:val="006B37EA"/>
    <w:rsid w:val="006B7444"/>
    <w:rsid w:val="006C0C3F"/>
    <w:rsid w:val="006C0CF5"/>
    <w:rsid w:val="006C1288"/>
    <w:rsid w:val="006C32EE"/>
    <w:rsid w:val="006C3831"/>
    <w:rsid w:val="006C6A05"/>
    <w:rsid w:val="006D23FC"/>
    <w:rsid w:val="006D3CD7"/>
    <w:rsid w:val="006D5719"/>
    <w:rsid w:val="006D5803"/>
    <w:rsid w:val="006E01D1"/>
    <w:rsid w:val="006E594D"/>
    <w:rsid w:val="006E5C99"/>
    <w:rsid w:val="006F1B61"/>
    <w:rsid w:val="006F1FC1"/>
    <w:rsid w:val="006F53A9"/>
    <w:rsid w:val="006F5A35"/>
    <w:rsid w:val="006F610D"/>
    <w:rsid w:val="006F6E0E"/>
    <w:rsid w:val="00701033"/>
    <w:rsid w:val="007024E8"/>
    <w:rsid w:val="0070371E"/>
    <w:rsid w:val="00705F8F"/>
    <w:rsid w:val="007064F6"/>
    <w:rsid w:val="007078A3"/>
    <w:rsid w:val="00711536"/>
    <w:rsid w:val="007129C0"/>
    <w:rsid w:val="00713390"/>
    <w:rsid w:val="007142B5"/>
    <w:rsid w:val="00716BFE"/>
    <w:rsid w:val="00720774"/>
    <w:rsid w:val="007234D1"/>
    <w:rsid w:val="00731428"/>
    <w:rsid w:val="0073157A"/>
    <w:rsid w:val="00735209"/>
    <w:rsid w:val="00744E29"/>
    <w:rsid w:val="00744EEF"/>
    <w:rsid w:val="00751095"/>
    <w:rsid w:val="007517D1"/>
    <w:rsid w:val="007524CA"/>
    <w:rsid w:val="00754CAE"/>
    <w:rsid w:val="00757559"/>
    <w:rsid w:val="007658D5"/>
    <w:rsid w:val="0076740B"/>
    <w:rsid w:val="00772BA8"/>
    <w:rsid w:val="00774266"/>
    <w:rsid w:val="0078028A"/>
    <w:rsid w:val="007806CB"/>
    <w:rsid w:val="00781C64"/>
    <w:rsid w:val="007848FB"/>
    <w:rsid w:val="007851D5"/>
    <w:rsid w:val="00785698"/>
    <w:rsid w:val="0078693A"/>
    <w:rsid w:val="007906E0"/>
    <w:rsid w:val="00794153"/>
    <w:rsid w:val="0079486A"/>
    <w:rsid w:val="00794E74"/>
    <w:rsid w:val="00794F80"/>
    <w:rsid w:val="0079666D"/>
    <w:rsid w:val="00797B4F"/>
    <w:rsid w:val="007A139A"/>
    <w:rsid w:val="007A1C9E"/>
    <w:rsid w:val="007A3BB5"/>
    <w:rsid w:val="007A5926"/>
    <w:rsid w:val="007A6C53"/>
    <w:rsid w:val="007B2C77"/>
    <w:rsid w:val="007B7A6F"/>
    <w:rsid w:val="007C2C6B"/>
    <w:rsid w:val="007C7FF1"/>
    <w:rsid w:val="007D0D01"/>
    <w:rsid w:val="007D15EF"/>
    <w:rsid w:val="007D1A27"/>
    <w:rsid w:val="007D1B24"/>
    <w:rsid w:val="007D1F15"/>
    <w:rsid w:val="007D25B1"/>
    <w:rsid w:val="007D2878"/>
    <w:rsid w:val="007D300A"/>
    <w:rsid w:val="007D661B"/>
    <w:rsid w:val="007E1016"/>
    <w:rsid w:val="007E26F8"/>
    <w:rsid w:val="007E3A35"/>
    <w:rsid w:val="007E5726"/>
    <w:rsid w:val="007E7BAB"/>
    <w:rsid w:val="007E7C17"/>
    <w:rsid w:val="007E7DCE"/>
    <w:rsid w:val="007F0560"/>
    <w:rsid w:val="007F0DF4"/>
    <w:rsid w:val="007F1347"/>
    <w:rsid w:val="007F1C99"/>
    <w:rsid w:val="007F20AC"/>
    <w:rsid w:val="007F43BD"/>
    <w:rsid w:val="007F53D4"/>
    <w:rsid w:val="007F6C8E"/>
    <w:rsid w:val="00800927"/>
    <w:rsid w:val="008016F1"/>
    <w:rsid w:val="00802C56"/>
    <w:rsid w:val="0080421D"/>
    <w:rsid w:val="0080447F"/>
    <w:rsid w:val="00804BD9"/>
    <w:rsid w:val="00805270"/>
    <w:rsid w:val="00806148"/>
    <w:rsid w:val="008111EB"/>
    <w:rsid w:val="00811205"/>
    <w:rsid w:val="00811D16"/>
    <w:rsid w:val="00812C48"/>
    <w:rsid w:val="008146F9"/>
    <w:rsid w:val="00814D55"/>
    <w:rsid w:val="008230AE"/>
    <w:rsid w:val="00824DCD"/>
    <w:rsid w:val="00825A0D"/>
    <w:rsid w:val="00831D3F"/>
    <w:rsid w:val="00832986"/>
    <w:rsid w:val="00833DB5"/>
    <w:rsid w:val="00835692"/>
    <w:rsid w:val="008419A8"/>
    <w:rsid w:val="008436AD"/>
    <w:rsid w:val="00844569"/>
    <w:rsid w:val="00846539"/>
    <w:rsid w:val="0084766D"/>
    <w:rsid w:val="008479F1"/>
    <w:rsid w:val="00847D23"/>
    <w:rsid w:val="00854887"/>
    <w:rsid w:val="00855544"/>
    <w:rsid w:val="00856D15"/>
    <w:rsid w:val="0086020D"/>
    <w:rsid w:val="00863327"/>
    <w:rsid w:val="00867B2F"/>
    <w:rsid w:val="00870F44"/>
    <w:rsid w:val="00874015"/>
    <w:rsid w:val="00876A75"/>
    <w:rsid w:val="0087786C"/>
    <w:rsid w:val="00883587"/>
    <w:rsid w:val="00884054"/>
    <w:rsid w:val="00886712"/>
    <w:rsid w:val="008868B6"/>
    <w:rsid w:val="00891715"/>
    <w:rsid w:val="00893C5F"/>
    <w:rsid w:val="00895089"/>
    <w:rsid w:val="008951ED"/>
    <w:rsid w:val="00896BBD"/>
    <w:rsid w:val="008A1129"/>
    <w:rsid w:val="008A322D"/>
    <w:rsid w:val="008A75BE"/>
    <w:rsid w:val="008B00BD"/>
    <w:rsid w:val="008B14D0"/>
    <w:rsid w:val="008B5026"/>
    <w:rsid w:val="008C2BCF"/>
    <w:rsid w:val="008C32A8"/>
    <w:rsid w:val="008C55A3"/>
    <w:rsid w:val="008C5EC3"/>
    <w:rsid w:val="008D06E0"/>
    <w:rsid w:val="008D1DFF"/>
    <w:rsid w:val="008D29A7"/>
    <w:rsid w:val="008D2F5B"/>
    <w:rsid w:val="008D7675"/>
    <w:rsid w:val="008E6375"/>
    <w:rsid w:val="008E7DB4"/>
    <w:rsid w:val="008F10A6"/>
    <w:rsid w:val="008F16D2"/>
    <w:rsid w:val="008F3674"/>
    <w:rsid w:val="008F4944"/>
    <w:rsid w:val="008F4C65"/>
    <w:rsid w:val="0090155A"/>
    <w:rsid w:val="0090162D"/>
    <w:rsid w:val="009020E0"/>
    <w:rsid w:val="0090233A"/>
    <w:rsid w:val="00903376"/>
    <w:rsid w:val="00903410"/>
    <w:rsid w:val="00905422"/>
    <w:rsid w:val="00910B4E"/>
    <w:rsid w:val="009130C0"/>
    <w:rsid w:val="00913133"/>
    <w:rsid w:val="00913283"/>
    <w:rsid w:val="00915791"/>
    <w:rsid w:val="00916B04"/>
    <w:rsid w:val="00917869"/>
    <w:rsid w:val="0092113F"/>
    <w:rsid w:val="00921DB9"/>
    <w:rsid w:val="00922358"/>
    <w:rsid w:val="0092403D"/>
    <w:rsid w:val="00927C53"/>
    <w:rsid w:val="00932888"/>
    <w:rsid w:val="009331C2"/>
    <w:rsid w:val="009402DB"/>
    <w:rsid w:val="0094160B"/>
    <w:rsid w:val="00943DF1"/>
    <w:rsid w:val="00943F2E"/>
    <w:rsid w:val="00944898"/>
    <w:rsid w:val="009449B8"/>
    <w:rsid w:val="00944DC9"/>
    <w:rsid w:val="00946E7E"/>
    <w:rsid w:val="0094795E"/>
    <w:rsid w:val="00951D52"/>
    <w:rsid w:val="00952187"/>
    <w:rsid w:val="00954916"/>
    <w:rsid w:val="009549ED"/>
    <w:rsid w:val="009600E6"/>
    <w:rsid w:val="0096015A"/>
    <w:rsid w:val="00960A6D"/>
    <w:rsid w:val="00960A7F"/>
    <w:rsid w:val="009611E0"/>
    <w:rsid w:val="009634AB"/>
    <w:rsid w:val="00964573"/>
    <w:rsid w:val="00965FEE"/>
    <w:rsid w:val="0096643B"/>
    <w:rsid w:val="009706B5"/>
    <w:rsid w:val="00970CE3"/>
    <w:rsid w:val="009718BF"/>
    <w:rsid w:val="00972BDF"/>
    <w:rsid w:val="0097390F"/>
    <w:rsid w:val="0098182D"/>
    <w:rsid w:val="00985AD2"/>
    <w:rsid w:val="00985C4C"/>
    <w:rsid w:val="0098704B"/>
    <w:rsid w:val="00993821"/>
    <w:rsid w:val="009940F6"/>
    <w:rsid w:val="00994280"/>
    <w:rsid w:val="009970B5"/>
    <w:rsid w:val="009A0D0A"/>
    <w:rsid w:val="009A0FAE"/>
    <w:rsid w:val="009A2418"/>
    <w:rsid w:val="009A2DB0"/>
    <w:rsid w:val="009A64BD"/>
    <w:rsid w:val="009A686F"/>
    <w:rsid w:val="009A6ACC"/>
    <w:rsid w:val="009B1636"/>
    <w:rsid w:val="009B33A8"/>
    <w:rsid w:val="009B3487"/>
    <w:rsid w:val="009B4510"/>
    <w:rsid w:val="009B5F5A"/>
    <w:rsid w:val="009B7C61"/>
    <w:rsid w:val="009B7D7D"/>
    <w:rsid w:val="009C0DC9"/>
    <w:rsid w:val="009C3793"/>
    <w:rsid w:val="009C451F"/>
    <w:rsid w:val="009C5075"/>
    <w:rsid w:val="009C5E96"/>
    <w:rsid w:val="009C726D"/>
    <w:rsid w:val="009D3697"/>
    <w:rsid w:val="009D5F9E"/>
    <w:rsid w:val="009E1411"/>
    <w:rsid w:val="009E32B5"/>
    <w:rsid w:val="009E52F2"/>
    <w:rsid w:val="009E5717"/>
    <w:rsid w:val="009F002C"/>
    <w:rsid w:val="009F01C0"/>
    <w:rsid w:val="009F1278"/>
    <w:rsid w:val="009F3C1F"/>
    <w:rsid w:val="009F5DB2"/>
    <w:rsid w:val="009F614E"/>
    <w:rsid w:val="009F762B"/>
    <w:rsid w:val="00A0172D"/>
    <w:rsid w:val="00A02047"/>
    <w:rsid w:val="00A036BE"/>
    <w:rsid w:val="00A03C4B"/>
    <w:rsid w:val="00A04C52"/>
    <w:rsid w:val="00A0717F"/>
    <w:rsid w:val="00A07627"/>
    <w:rsid w:val="00A11AE6"/>
    <w:rsid w:val="00A12205"/>
    <w:rsid w:val="00A21876"/>
    <w:rsid w:val="00A30C44"/>
    <w:rsid w:val="00A328AE"/>
    <w:rsid w:val="00A347D8"/>
    <w:rsid w:val="00A36D20"/>
    <w:rsid w:val="00A4131E"/>
    <w:rsid w:val="00A41694"/>
    <w:rsid w:val="00A43501"/>
    <w:rsid w:val="00A453DC"/>
    <w:rsid w:val="00A469C4"/>
    <w:rsid w:val="00A46BDA"/>
    <w:rsid w:val="00A535E3"/>
    <w:rsid w:val="00A570A7"/>
    <w:rsid w:val="00A57E92"/>
    <w:rsid w:val="00A61900"/>
    <w:rsid w:val="00A625E2"/>
    <w:rsid w:val="00A62AA3"/>
    <w:rsid w:val="00A62B55"/>
    <w:rsid w:val="00A64C80"/>
    <w:rsid w:val="00A67EF9"/>
    <w:rsid w:val="00A72465"/>
    <w:rsid w:val="00A80C92"/>
    <w:rsid w:val="00A81BCB"/>
    <w:rsid w:val="00A82461"/>
    <w:rsid w:val="00A840FB"/>
    <w:rsid w:val="00A84571"/>
    <w:rsid w:val="00A84CDC"/>
    <w:rsid w:val="00A851D8"/>
    <w:rsid w:val="00A8580D"/>
    <w:rsid w:val="00A85E37"/>
    <w:rsid w:val="00A860FD"/>
    <w:rsid w:val="00A86416"/>
    <w:rsid w:val="00A90202"/>
    <w:rsid w:val="00A908EE"/>
    <w:rsid w:val="00A9099E"/>
    <w:rsid w:val="00A9277F"/>
    <w:rsid w:val="00A940B5"/>
    <w:rsid w:val="00A95083"/>
    <w:rsid w:val="00A953BA"/>
    <w:rsid w:val="00A95A9B"/>
    <w:rsid w:val="00A96C9F"/>
    <w:rsid w:val="00A96E60"/>
    <w:rsid w:val="00A97D27"/>
    <w:rsid w:val="00AA12D0"/>
    <w:rsid w:val="00AA1687"/>
    <w:rsid w:val="00AA285C"/>
    <w:rsid w:val="00AA4325"/>
    <w:rsid w:val="00AA50AC"/>
    <w:rsid w:val="00AA5D62"/>
    <w:rsid w:val="00AB14BD"/>
    <w:rsid w:val="00AB1D6A"/>
    <w:rsid w:val="00AB3710"/>
    <w:rsid w:val="00AB4B0F"/>
    <w:rsid w:val="00AB4FA1"/>
    <w:rsid w:val="00AB6C3B"/>
    <w:rsid w:val="00AC0516"/>
    <w:rsid w:val="00AC0D96"/>
    <w:rsid w:val="00AC2A55"/>
    <w:rsid w:val="00AC48E0"/>
    <w:rsid w:val="00AC7A73"/>
    <w:rsid w:val="00AC7C82"/>
    <w:rsid w:val="00AD1553"/>
    <w:rsid w:val="00AD25F0"/>
    <w:rsid w:val="00AD2EBD"/>
    <w:rsid w:val="00AD461A"/>
    <w:rsid w:val="00AD6EAA"/>
    <w:rsid w:val="00AE008F"/>
    <w:rsid w:val="00AE04E8"/>
    <w:rsid w:val="00AE0D01"/>
    <w:rsid w:val="00AE2056"/>
    <w:rsid w:val="00AE43EE"/>
    <w:rsid w:val="00AE74E9"/>
    <w:rsid w:val="00AF16C8"/>
    <w:rsid w:val="00AF54EF"/>
    <w:rsid w:val="00AF74DA"/>
    <w:rsid w:val="00B00C72"/>
    <w:rsid w:val="00B01443"/>
    <w:rsid w:val="00B024D6"/>
    <w:rsid w:val="00B04CF0"/>
    <w:rsid w:val="00B070A2"/>
    <w:rsid w:val="00B10E49"/>
    <w:rsid w:val="00B11E08"/>
    <w:rsid w:val="00B145FA"/>
    <w:rsid w:val="00B2037B"/>
    <w:rsid w:val="00B23274"/>
    <w:rsid w:val="00B272A6"/>
    <w:rsid w:val="00B30856"/>
    <w:rsid w:val="00B32CD3"/>
    <w:rsid w:val="00B34CA9"/>
    <w:rsid w:val="00B35797"/>
    <w:rsid w:val="00B35A93"/>
    <w:rsid w:val="00B3672D"/>
    <w:rsid w:val="00B40656"/>
    <w:rsid w:val="00B40F8A"/>
    <w:rsid w:val="00B4745C"/>
    <w:rsid w:val="00B50AAA"/>
    <w:rsid w:val="00B544D9"/>
    <w:rsid w:val="00B5641B"/>
    <w:rsid w:val="00B564E0"/>
    <w:rsid w:val="00B658D4"/>
    <w:rsid w:val="00B70133"/>
    <w:rsid w:val="00B7481A"/>
    <w:rsid w:val="00B75A2C"/>
    <w:rsid w:val="00B813AC"/>
    <w:rsid w:val="00B8287F"/>
    <w:rsid w:val="00B8376C"/>
    <w:rsid w:val="00B84260"/>
    <w:rsid w:val="00B86811"/>
    <w:rsid w:val="00B8738D"/>
    <w:rsid w:val="00B91F0B"/>
    <w:rsid w:val="00B9223B"/>
    <w:rsid w:val="00B92D47"/>
    <w:rsid w:val="00B961A5"/>
    <w:rsid w:val="00BA18D5"/>
    <w:rsid w:val="00BA1FC4"/>
    <w:rsid w:val="00BA49CC"/>
    <w:rsid w:val="00BA4D1F"/>
    <w:rsid w:val="00BA7AD1"/>
    <w:rsid w:val="00BB0B9D"/>
    <w:rsid w:val="00BB1CC2"/>
    <w:rsid w:val="00BB2250"/>
    <w:rsid w:val="00BB4F63"/>
    <w:rsid w:val="00BB744D"/>
    <w:rsid w:val="00BB7708"/>
    <w:rsid w:val="00BC0FDD"/>
    <w:rsid w:val="00BC22E0"/>
    <w:rsid w:val="00BC4AA7"/>
    <w:rsid w:val="00BC5852"/>
    <w:rsid w:val="00BC6535"/>
    <w:rsid w:val="00BC6896"/>
    <w:rsid w:val="00BD293B"/>
    <w:rsid w:val="00BD5425"/>
    <w:rsid w:val="00BD6F2F"/>
    <w:rsid w:val="00BD705F"/>
    <w:rsid w:val="00BE28ED"/>
    <w:rsid w:val="00BE55D6"/>
    <w:rsid w:val="00BE61B8"/>
    <w:rsid w:val="00BF030A"/>
    <w:rsid w:val="00BF2EA1"/>
    <w:rsid w:val="00BF543F"/>
    <w:rsid w:val="00BF6902"/>
    <w:rsid w:val="00BF7421"/>
    <w:rsid w:val="00C01E2A"/>
    <w:rsid w:val="00C06E2B"/>
    <w:rsid w:val="00C07650"/>
    <w:rsid w:val="00C104DD"/>
    <w:rsid w:val="00C1331F"/>
    <w:rsid w:val="00C15275"/>
    <w:rsid w:val="00C15E31"/>
    <w:rsid w:val="00C16479"/>
    <w:rsid w:val="00C2058D"/>
    <w:rsid w:val="00C25084"/>
    <w:rsid w:val="00C250CB"/>
    <w:rsid w:val="00C261C7"/>
    <w:rsid w:val="00C2768B"/>
    <w:rsid w:val="00C316A8"/>
    <w:rsid w:val="00C337F9"/>
    <w:rsid w:val="00C3746F"/>
    <w:rsid w:val="00C3768A"/>
    <w:rsid w:val="00C37D9D"/>
    <w:rsid w:val="00C4139D"/>
    <w:rsid w:val="00C45DE7"/>
    <w:rsid w:val="00C5122B"/>
    <w:rsid w:val="00C538D4"/>
    <w:rsid w:val="00C562FD"/>
    <w:rsid w:val="00C56C17"/>
    <w:rsid w:val="00C65944"/>
    <w:rsid w:val="00C66829"/>
    <w:rsid w:val="00C71A4B"/>
    <w:rsid w:val="00C71CD1"/>
    <w:rsid w:val="00C72345"/>
    <w:rsid w:val="00C72E54"/>
    <w:rsid w:val="00C73143"/>
    <w:rsid w:val="00C76C40"/>
    <w:rsid w:val="00C77685"/>
    <w:rsid w:val="00C77815"/>
    <w:rsid w:val="00C80ED6"/>
    <w:rsid w:val="00C82D1D"/>
    <w:rsid w:val="00C85259"/>
    <w:rsid w:val="00C85378"/>
    <w:rsid w:val="00C86808"/>
    <w:rsid w:val="00C87238"/>
    <w:rsid w:val="00C90157"/>
    <w:rsid w:val="00C9297C"/>
    <w:rsid w:val="00C92C1D"/>
    <w:rsid w:val="00C961E8"/>
    <w:rsid w:val="00C967A3"/>
    <w:rsid w:val="00CA1C79"/>
    <w:rsid w:val="00CA30DB"/>
    <w:rsid w:val="00CA491B"/>
    <w:rsid w:val="00CA6D58"/>
    <w:rsid w:val="00CA6FDA"/>
    <w:rsid w:val="00CB3B6F"/>
    <w:rsid w:val="00CB3D57"/>
    <w:rsid w:val="00CB6F8B"/>
    <w:rsid w:val="00CC0C5F"/>
    <w:rsid w:val="00CC24B0"/>
    <w:rsid w:val="00CC2788"/>
    <w:rsid w:val="00CC2F3D"/>
    <w:rsid w:val="00CC4D94"/>
    <w:rsid w:val="00CC5FF3"/>
    <w:rsid w:val="00CD7178"/>
    <w:rsid w:val="00CE2ADF"/>
    <w:rsid w:val="00CE33FC"/>
    <w:rsid w:val="00CE4B84"/>
    <w:rsid w:val="00CE74B0"/>
    <w:rsid w:val="00CF00DE"/>
    <w:rsid w:val="00CF052D"/>
    <w:rsid w:val="00CF1D7D"/>
    <w:rsid w:val="00CF3998"/>
    <w:rsid w:val="00CF45D3"/>
    <w:rsid w:val="00CF4D04"/>
    <w:rsid w:val="00CF4E1C"/>
    <w:rsid w:val="00CF6B6C"/>
    <w:rsid w:val="00CF7B6B"/>
    <w:rsid w:val="00D0001C"/>
    <w:rsid w:val="00D00804"/>
    <w:rsid w:val="00D01094"/>
    <w:rsid w:val="00D01EA5"/>
    <w:rsid w:val="00D02978"/>
    <w:rsid w:val="00D03A57"/>
    <w:rsid w:val="00D042BB"/>
    <w:rsid w:val="00D06321"/>
    <w:rsid w:val="00D0676A"/>
    <w:rsid w:val="00D06CA0"/>
    <w:rsid w:val="00D07106"/>
    <w:rsid w:val="00D07E06"/>
    <w:rsid w:val="00D1014B"/>
    <w:rsid w:val="00D108E6"/>
    <w:rsid w:val="00D1312A"/>
    <w:rsid w:val="00D13159"/>
    <w:rsid w:val="00D13814"/>
    <w:rsid w:val="00D14BA9"/>
    <w:rsid w:val="00D16498"/>
    <w:rsid w:val="00D17789"/>
    <w:rsid w:val="00D21565"/>
    <w:rsid w:val="00D2737E"/>
    <w:rsid w:val="00D274A9"/>
    <w:rsid w:val="00D30750"/>
    <w:rsid w:val="00D32644"/>
    <w:rsid w:val="00D33619"/>
    <w:rsid w:val="00D36D0F"/>
    <w:rsid w:val="00D40C02"/>
    <w:rsid w:val="00D4142D"/>
    <w:rsid w:val="00D427A6"/>
    <w:rsid w:val="00D42AFE"/>
    <w:rsid w:val="00D44A9E"/>
    <w:rsid w:val="00D46910"/>
    <w:rsid w:val="00D475A2"/>
    <w:rsid w:val="00D5015D"/>
    <w:rsid w:val="00D52355"/>
    <w:rsid w:val="00D52AC7"/>
    <w:rsid w:val="00D53360"/>
    <w:rsid w:val="00D54CA9"/>
    <w:rsid w:val="00D563D9"/>
    <w:rsid w:val="00D566F2"/>
    <w:rsid w:val="00D6188C"/>
    <w:rsid w:val="00D61959"/>
    <w:rsid w:val="00D62F3F"/>
    <w:rsid w:val="00D6340F"/>
    <w:rsid w:val="00D64FB2"/>
    <w:rsid w:val="00D6781D"/>
    <w:rsid w:val="00D67D98"/>
    <w:rsid w:val="00D72D16"/>
    <w:rsid w:val="00D73893"/>
    <w:rsid w:val="00D7412C"/>
    <w:rsid w:val="00D75521"/>
    <w:rsid w:val="00D75B88"/>
    <w:rsid w:val="00D8195B"/>
    <w:rsid w:val="00D83503"/>
    <w:rsid w:val="00D84724"/>
    <w:rsid w:val="00D8554E"/>
    <w:rsid w:val="00D8619F"/>
    <w:rsid w:val="00D86764"/>
    <w:rsid w:val="00D872D8"/>
    <w:rsid w:val="00D91F4E"/>
    <w:rsid w:val="00D93A67"/>
    <w:rsid w:val="00D93F28"/>
    <w:rsid w:val="00D96FC1"/>
    <w:rsid w:val="00DA2E2B"/>
    <w:rsid w:val="00DA3DE4"/>
    <w:rsid w:val="00DA69DE"/>
    <w:rsid w:val="00DB5C0A"/>
    <w:rsid w:val="00DB6DAF"/>
    <w:rsid w:val="00DC0AF1"/>
    <w:rsid w:val="00DC2393"/>
    <w:rsid w:val="00DC588B"/>
    <w:rsid w:val="00DC64BF"/>
    <w:rsid w:val="00DD0123"/>
    <w:rsid w:val="00DD13E2"/>
    <w:rsid w:val="00DD45AF"/>
    <w:rsid w:val="00DD4938"/>
    <w:rsid w:val="00DD7977"/>
    <w:rsid w:val="00DE34FF"/>
    <w:rsid w:val="00DE44AB"/>
    <w:rsid w:val="00DF003C"/>
    <w:rsid w:val="00DF00D4"/>
    <w:rsid w:val="00DF4501"/>
    <w:rsid w:val="00DF7233"/>
    <w:rsid w:val="00DF73DC"/>
    <w:rsid w:val="00DF78AE"/>
    <w:rsid w:val="00E0171F"/>
    <w:rsid w:val="00E02AC4"/>
    <w:rsid w:val="00E033F2"/>
    <w:rsid w:val="00E0462A"/>
    <w:rsid w:val="00E07AAA"/>
    <w:rsid w:val="00E07CC2"/>
    <w:rsid w:val="00E11E2E"/>
    <w:rsid w:val="00E125CA"/>
    <w:rsid w:val="00E138CC"/>
    <w:rsid w:val="00E14B17"/>
    <w:rsid w:val="00E14EAE"/>
    <w:rsid w:val="00E16394"/>
    <w:rsid w:val="00E22571"/>
    <w:rsid w:val="00E25156"/>
    <w:rsid w:val="00E25242"/>
    <w:rsid w:val="00E25AAC"/>
    <w:rsid w:val="00E2730D"/>
    <w:rsid w:val="00E279B9"/>
    <w:rsid w:val="00E30CA9"/>
    <w:rsid w:val="00E31807"/>
    <w:rsid w:val="00E33AAA"/>
    <w:rsid w:val="00E33C53"/>
    <w:rsid w:val="00E33CB8"/>
    <w:rsid w:val="00E33F0E"/>
    <w:rsid w:val="00E36C8F"/>
    <w:rsid w:val="00E371EC"/>
    <w:rsid w:val="00E37EB7"/>
    <w:rsid w:val="00E404C5"/>
    <w:rsid w:val="00E40A10"/>
    <w:rsid w:val="00E42206"/>
    <w:rsid w:val="00E42DA5"/>
    <w:rsid w:val="00E51EF9"/>
    <w:rsid w:val="00E54816"/>
    <w:rsid w:val="00E5512E"/>
    <w:rsid w:val="00E55E60"/>
    <w:rsid w:val="00E56594"/>
    <w:rsid w:val="00E578DF"/>
    <w:rsid w:val="00E57D18"/>
    <w:rsid w:val="00E605C2"/>
    <w:rsid w:val="00E6129C"/>
    <w:rsid w:val="00E61E5F"/>
    <w:rsid w:val="00E644A0"/>
    <w:rsid w:val="00E67395"/>
    <w:rsid w:val="00E72707"/>
    <w:rsid w:val="00E72AE3"/>
    <w:rsid w:val="00E7349C"/>
    <w:rsid w:val="00E73B51"/>
    <w:rsid w:val="00E75790"/>
    <w:rsid w:val="00E80180"/>
    <w:rsid w:val="00E8129E"/>
    <w:rsid w:val="00E81A2B"/>
    <w:rsid w:val="00E81E42"/>
    <w:rsid w:val="00E83A01"/>
    <w:rsid w:val="00E861BA"/>
    <w:rsid w:val="00E91EBF"/>
    <w:rsid w:val="00E97676"/>
    <w:rsid w:val="00EA1CE1"/>
    <w:rsid w:val="00EA1F89"/>
    <w:rsid w:val="00EB08A0"/>
    <w:rsid w:val="00EB117B"/>
    <w:rsid w:val="00EB40D6"/>
    <w:rsid w:val="00EB5CDD"/>
    <w:rsid w:val="00EB5F75"/>
    <w:rsid w:val="00EB7852"/>
    <w:rsid w:val="00EB79CD"/>
    <w:rsid w:val="00EC060D"/>
    <w:rsid w:val="00EC2525"/>
    <w:rsid w:val="00EC4F33"/>
    <w:rsid w:val="00ED3DE9"/>
    <w:rsid w:val="00ED4B06"/>
    <w:rsid w:val="00EE0713"/>
    <w:rsid w:val="00EE07A6"/>
    <w:rsid w:val="00EE0F2E"/>
    <w:rsid w:val="00EE2A41"/>
    <w:rsid w:val="00EE4E10"/>
    <w:rsid w:val="00EE525B"/>
    <w:rsid w:val="00EE633C"/>
    <w:rsid w:val="00EF09FB"/>
    <w:rsid w:val="00EF0CFD"/>
    <w:rsid w:val="00EF0DE2"/>
    <w:rsid w:val="00EF4DFA"/>
    <w:rsid w:val="00EF5F08"/>
    <w:rsid w:val="00EF7736"/>
    <w:rsid w:val="00F02923"/>
    <w:rsid w:val="00F0351B"/>
    <w:rsid w:val="00F04089"/>
    <w:rsid w:val="00F06275"/>
    <w:rsid w:val="00F06472"/>
    <w:rsid w:val="00F123EC"/>
    <w:rsid w:val="00F16331"/>
    <w:rsid w:val="00F16803"/>
    <w:rsid w:val="00F22566"/>
    <w:rsid w:val="00F22963"/>
    <w:rsid w:val="00F30AEF"/>
    <w:rsid w:val="00F32406"/>
    <w:rsid w:val="00F378B2"/>
    <w:rsid w:val="00F403EA"/>
    <w:rsid w:val="00F40B51"/>
    <w:rsid w:val="00F40E4D"/>
    <w:rsid w:val="00F41DE4"/>
    <w:rsid w:val="00F41F3D"/>
    <w:rsid w:val="00F42499"/>
    <w:rsid w:val="00F42753"/>
    <w:rsid w:val="00F44DC5"/>
    <w:rsid w:val="00F46CE7"/>
    <w:rsid w:val="00F471AE"/>
    <w:rsid w:val="00F510DB"/>
    <w:rsid w:val="00F52FAE"/>
    <w:rsid w:val="00F548C1"/>
    <w:rsid w:val="00F604E0"/>
    <w:rsid w:val="00F6232F"/>
    <w:rsid w:val="00F648E3"/>
    <w:rsid w:val="00F6501E"/>
    <w:rsid w:val="00F70615"/>
    <w:rsid w:val="00F72722"/>
    <w:rsid w:val="00F727B0"/>
    <w:rsid w:val="00F7598B"/>
    <w:rsid w:val="00F87ADD"/>
    <w:rsid w:val="00F914FD"/>
    <w:rsid w:val="00F9164E"/>
    <w:rsid w:val="00F92D2B"/>
    <w:rsid w:val="00F952BF"/>
    <w:rsid w:val="00F95515"/>
    <w:rsid w:val="00F9574E"/>
    <w:rsid w:val="00F974AA"/>
    <w:rsid w:val="00FA2545"/>
    <w:rsid w:val="00FA7CFC"/>
    <w:rsid w:val="00FB097C"/>
    <w:rsid w:val="00FB21C2"/>
    <w:rsid w:val="00FB4AAD"/>
    <w:rsid w:val="00FB4AD8"/>
    <w:rsid w:val="00FB4E3D"/>
    <w:rsid w:val="00FB5A22"/>
    <w:rsid w:val="00FB5B57"/>
    <w:rsid w:val="00FB5F2A"/>
    <w:rsid w:val="00FB5FB6"/>
    <w:rsid w:val="00FC1407"/>
    <w:rsid w:val="00FC22E1"/>
    <w:rsid w:val="00FC2C8C"/>
    <w:rsid w:val="00FC3549"/>
    <w:rsid w:val="00FC4F9B"/>
    <w:rsid w:val="00FC59F0"/>
    <w:rsid w:val="00FD302E"/>
    <w:rsid w:val="00FD4599"/>
    <w:rsid w:val="00FD4784"/>
    <w:rsid w:val="00FD5753"/>
    <w:rsid w:val="00FD65FE"/>
    <w:rsid w:val="00FE00DA"/>
    <w:rsid w:val="00FE0FAF"/>
    <w:rsid w:val="00FE35B1"/>
    <w:rsid w:val="00FE3C36"/>
    <w:rsid w:val="00FE427F"/>
    <w:rsid w:val="00FE72EA"/>
    <w:rsid w:val="00FF2475"/>
    <w:rsid w:val="00FF3477"/>
    <w:rsid w:val="00FF4138"/>
    <w:rsid w:val="00FF6DDE"/>
    <w:rsid w:val="00FF6E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UnresolvedMention">
    <w:name w:val="Unresolved Mention"/>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ECATEPEC/art_92_ii_b/3.web" TargetMode="External"/><Relationship Id="rId13" Type="http://schemas.openxmlformats.org/officeDocument/2006/relationships/hyperlink" Target="https://www.infoem.org.mx/es/contenido/transparencia/directorio-de-sujetos-obligados"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83084-18E6-4E3E-8AC9-348CD5983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32</Pages>
  <Words>5694</Words>
  <Characters>31317</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11</cp:revision>
  <cp:lastPrinted>2018-12-04T20:35:00Z</cp:lastPrinted>
  <dcterms:created xsi:type="dcterms:W3CDTF">2021-06-01T15:44:00Z</dcterms:created>
  <dcterms:modified xsi:type="dcterms:W3CDTF">2021-08-05T16:28:00Z</dcterms:modified>
</cp:coreProperties>
</file>