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4C57E75" w:rsidR="00457BB8" w:rsidRPr="007B0A1A" w:rsidRDefault="00457BB8" w:rsidP="00F1165E">
      <w:pPr>
        <w:spacing w:line="360" w:lineRule="auto"/>
        <w:jc w:val="both"/>
        <w:rPr>
          <w:rFonts w:ascii="Palatino Linotype" w:hAnsi="Palatino Linotype"/>
          <w:color w:val="000000" w:themeColor="text1"/>
        </w:rPr>
      </w:pPr>
      <w:r w:rsidRPr="007B0A1A">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205751" w:rsidRPr="007B0A1A">
        <w:rPr>
          <w:rFonts w:ascii="Palatino Linotype" w:hAnsi="Palatino Linotype"/>
          <w:color w:val="000000" w:themeColor="text1"/>
        </w:rPr>
        <w:t>veintisiete</w:t>
      </w:r>
      <w:r w:rsidR="0042316E" w:rsidRPr="007B0A1A">
        <w:rPr>
          <w:rFonts w:ascii="Palatino Linotype" w:hAnsi="Palatino Linotype"/>
          <w:color w:val="000000" w:themeColor="text1"/>
        </w:rPr>
        <w:t xml:space="preserve"> de octubre</w:t>
      </w:r>
      <w:r w:rsidR="00FF2351" w:rsidRPr="007B0A1A">
        <w:rPr>
          <w:rFonts w:ascii="Palatino Linotype" w:hAnsi="Palatino Linotype"/>
          <w:color w:val="000000" w:themeColor="text1"/>
        </w:rPr>
        <w:t xml:space="preserve"> </w:t>
      </w:r>
      <w:r w:rsidRPr="007B0A1A">
        <w:rPr>
          <w:rFonts w:ascii="Palatino Linotype" w:hAnsi="Palatino Linotype"/>
          <w:color w:val="000000" w:themeColor="text1"/>
        </w:rPr>
        <w:t>de dos mil veint</w:t>
      </w:r>
      <w:r w:rsidR="00E66061" w:rsidRPr="007B0A1A">
        <w:rPr>
          <w:rFonts w:ascii="Palatino Linotype" w:hAnsi="Palatino Linotype"/>
          <w:color w:val="000000" w:themeColor="text1"/>
        </w:rPr>
        <w:t>iuno.</w:t>
      </w:r>
    </w:p>
    <w:p w14:paraId="28464D58" w14:textId="77777777" w:rsidR="00457BB8" w:rsidRPr="007B0A1A" w:rsidRDefault="00457BB8" w:rsidP="00F1165E">
      <w:pPr>
        <w:spacing w:line="360" w:lineRule="auto"/>
        <w:jc w:val="both"/>
        <w:rPr>
          <w:rFonts w:ascii="Palatino Linotype" w:hAnsi="Palatino Linotype"/>
          <w:color w:val="000000" w:themeColor="text1"/>
        </w:rPr>
      </w:pPr>
    </w:p>
    <w:p w14:paraId="2C11FACB" w14:textId="4E8CD1C6" w:rsidR="00457BB8" w:rsidRPr="007B0A1A" w:rsidRDefault="00457BB8" w:rsidP="00F1165E">
      <w:pPr>
        <w:spacing w:line="360" w:lineRule="auto"/>
        <w:jc w:val="both"/>
        <w:rPr>
          <w:rFonts w:ascii="Palatino Linotype" w:hAnsi="Palatino Linotype"/>
          <w:b/>
          <w:color w:val="000000" w:themeColor="text1"/>
        </w:rPr>
      </w:pPr>
      <w:r w:rsidRPr="007B0A1A">
        <w:rPr>
          <w:rFonts w:ascii="Palatino Linotype" w:hAnsi="Palatino Linotype"/>
          <w:b/>
          <w:color w:val="000000" w:themeColor="text1"/>
        </w:rPr>
        <w:t>VISTO</w:t>
      </w:r>
      <w:r w:rsidRPr="007B0A1A">
        <w:rPr>
          <w:rFonts w:ascii="Palatino Linotype" w:hAnsi="Palatino Linotype"/>
          <w:color w:val="000000" w:themeColor="text1"/>
        </w:rPr>
        <w:t xml:space="preserve"> el expediente formado con motivo del recurso de revisión </w:t>
      </w:r>
      <w:r w:rsidR="00F621F3" w:rsidRPr="007B0A1A">
        <w:rPr>
          <w:rFonts w:ascii="Palatino Linotype" w:hAnsi="Palatino Linotype"/>
          <w:b/>
          <w:color w:val="000000" w:themeColor="text1"/>
        </w:rPr>
        <w:t>0</w:t>
      </w:r>
      <w:r w:rsidR="0042316E" w:rsidRPr="007B0A1A">
        <w:rPr>
          <w:rFonts w:ascii="Palatino Linotype" w:hAnsi="Palatino Linotype"/>
          <w:b/>
          <w:color w:val="000000" w:themeColor="text1"/>
        </w:rPr>
        <w:t>4077</w:t>
      </w:r>
      <w:r w:rsidRPr="007B0A1A">
        <w:rPr>
          <w:rFonts w:ascii="Palatino Linotype" w:hAnsi="Palatino Linotype"/>
          <w:b/>
          <w:color w:val="000000" w:themeColor="text1"/>
        </w:rPr>
        <w:t>/INFOEM/IP/RR/202</w:t>
      </w:r>
      <w:r w:rsidR="00B96752" w:rsidRPr="007B0A1A">
        <w:rPr>
          <w:rFonts w:ascii="Palatino Linotype" w:hAnsi="Palatino Linotype"/>
          <w:b/>
          <w:color w:val="000000" w:themeColor="text1"/>
        </w:rPr>
        <w:t>1</w:t>
      </w:r>
      <w:r w:rsidRPr="007B0A1A">
        <w:rPr>
          <w:rFonts w:ascii="Palatino Linotype" w:hAnsi="Palatino Linotype"/>
          <w:color w:val="000000" w:themeColor="text1"/>
        </w:rPr>
        <w:t>, promovido por</w:t>
      </w:r>
      <w:r w:rsidR="00FB323A" w:rsidRPr="007B0A1A">
        <w:rPr>
          <w:rFonts w:ascii="Palatino Linotype" w:hAnsi="Palatino Linotype"/>
          <w:color w:val="000000" w:themeColor="text1"/>
        </w:rPr>
        <w:t xml:space="preserve"> </w:t>
      </w:r>
      <w:r w:rsidR="00433108">
        <w:rPr>
          <w:rFonts w:ascii="Palatino Linotype" w:hAnsi="Palatino Linotype"/>
          <w:b/>
          <w:color w:val="000000" w:themeColor="text1"/>
        </w:rPr>
        <w:t xml:space="preserve"> XXXXXXXXX XX representada por XXXXX </w:t>
      </w:r>
      <w:proofErr w:type="spellStart"/>
      <w:r w:rsidR="00433108">
        <w:rPr>
          <w:rFonts w:ascii="Palatino Linotype" w:hAnsi="Palatino Linotype"/>
          <w:b/>
          <w:color w:val="000000" w:themeColor="text1"/>
        </w:rPr>
        <w:t>XXXXX</w:t>
      </w:r>
      <w:proofErr w:type="spellEnd"/>
      <w:r w:rsidR="00433108">
        <w:rPr>
          <w:rFonts w:ascii="Palatino Linotype" w:hAnsi="Palatino Linotype"/>
          <w:b/>
          <w:color w:val="000000" w:themeColor="text1"/>
        </w:rPr>
        <w:t xml:space="preserve"> XXXXXX XXXXXXXX</w:t>
      </w:r>
      <w:r w:rsidRPr="007B0A1A">
        <w:rPr>
          <w:rFonts w:ascii="Palatino Linotype" w:hAnsi="Palatino Linotype"/>
          <w:b/>
          <w:color w:val="000000" w:themeColor="text1"/>
        </w:rPr>
        <w:t xml:space="preserve">, </w:t>
      </w:r>
      <w:r w:rsidRPr="007B0A1A">
        <w:rPr>
          <w:rFonts w:ascii="Palatino Linotype" w:hAnsi="Palatino Linotype" w:cs="Arial"/>
          <w:color w:val="000000" w:themeColor="text1"/>
        </w:rPr>
        <w:t>en lo sucesivo</w:t>
      </w:r>
      <w:r w:rsidR="00205751" w:rsidRPr="007B0A1A">
        <w:rPr>
          <w:rFonts w:ascii="Palatino Linotype" w:hAnsi="Palatino Linotype" w:cs="Arial"/>
          <w:color w:val="000000" w:themeColor="text1"/>
        </w:rPr>
        <w:t xml:space="preserve"> denominado</w:t>
      </w:r>
      <w:r w:rsidRPr="007B0A1A">
        <w:rPr>
          <w:rFonts w:ascii="Palatino Linotype" w:hAnsi="Palatino Linotype" w:cs="Arial"/>
          <w:b/>
          <w:color w:val="000000" w:themeColor="text1"/>
        </w:rPr>
        <w:t xml:space="preserve"> </w:t>
      </w:r>
      <w:r w:rsidR="00013C80" w:rsidRPr="007B0A1A">
        <w:rPr>
          <w:rFonts w:ascii="Palatino Linotype" w:hAnsi="Palatino Linotype" w:cs="Arial"/>
          <w:b/>
          <w:color w:val="000000" w:themeColor="text1"/>
        </w:rPr>
        <w:t>EL</w:t>
      </w:r>
      <w:r w:rsidR="00D900CC" w:rsidRPr="007B0A1A">
        <w:rPr>
          <w:rFonts w:ascii="Palatino Linotype" w:hAnsi="Palatino Linotype" w:cs="Arial"/>
          <w:b/>
          <w:color w:val="000000" w:themeColor="text1"/>
        </w:rPr>
        <w:t xml:space="preserve"> </w:t>
      </w:r>
      <w:r w:rsidRPr="007B0A1A">
        <w:rPr>
          <w:rFonts w:ascii="Palatino Linotype" w:hAnsi="Palatino Linotype" w:cs="Arial"/>
          <w:b/>
          <w:color w:val="000000" w:themeColor="text1"/>
        </w:rPr>
        <w:t>RECURRENTE,</w:t>
      </w:r>
      <w:r w:rsidRPr="007B0A1A">
        <w:rPr>
          <w:rFonts w:ascii="Palatino Linotype" w:hAnsi="Palatino Linotype"/>
          <w:color w:val="000000" w:themeColor="text1"/>
        </w:rPr>
        <w:t xml:space="preserve"> en contra</w:t>
      </w:r>
      <w:r w:rsidR="0042316E" w:rsidRPr="007B0A1A">
        <w:rPr>
          <w:rFonts w:ascii="Palatino Linotype" w:hAnsi="Palatino Linotype"/>
          <w:color w:val="000000" w:themeColor="text1"/>
        </w:rPr>
        <w:t xml:space="preserve"> de la respuesta emitida por la </w:t>
      </w:r>
      <w:r w:rsidR="0042316E" w:rsidRPr="007B0A1A">
        <w:rPr>
          <w:rFonts w:ascii="Palatino Linotype" w:hAnsi="Palatino Linotype"/>
          <w:b/>
          <w:color w:val="000000" w:themeColor="text1"/>
        </w:rPr>
        <w:t>Secretaría de Movilidad</w:t>
      </w:r>
      <w:r w:rsidRPr="007B0A1A">
        <w:rPr>
          <w:rFonts w:ascii="Palatino Linotype" w:hAnsi="Palatino Linotype"/>
          <w:b/>
          <w:color w:val="000000" w:themeColor="text1"/>
        </w:rPr>
        <w:t xml:space="preserve">, </w:t>
      </w:r>
      <w:r w:rsidRPr="007B0A1A">
        <w:rPr>
          <w:rFonts w:ascii="Palatino Linotype" w:hAnsi="Palatino Linotype"/>
          <w:color w:val="000000" w:themeColor="text1"/>
        </w:rPr>
        <w:t>en lo sucesivo</w:t>
      </w:r>
      <w:r w:rsidR="00205751" w:rsidRPr="007B0A1A">
        <w:rPr>
          <w:rFonts w:ascii="Palatino Linotype" w:hAnsi="Palatino Linotype"/>
          <w:color w:val="000000" w:themeColor="text1"/>
        </w:rPr>
        <w:t xml:space="preserve"> denominado</w:t>
      </w:r>
      <w:r w:rsidRPr="007B0A1A">
        <w:rPr>
          <w:rFonts w:ascii="Palatino Linotype" w:hAnsi="Palatino Linotype"/>
          <w:color w:val="000000" w:themeColor="text1"/>
        </w:rPr>
        <w:t xml:space="preserve"> </w:t>
      </w:r>
      <w:r w:rsidRPr="007B0A1A">
        <w:rPr>
          <w:rFonts w:ascii="Palatino Linotype" w:hAnsi="Palatino Linotype"/>
          <w:b/>
          <w:color w:val="000000" w:themeColor="text1"/>
        </w:rPr>
        <w:t>EL SUJETO OBLIGADO</w:t>
      </w:r>
      <w:r w:rsidRPr="007B0A1A">
        <w:rPr>
          <w:rFonts w:ascii="Palatino Linotype" w:hAnsi="Palatino Linotype"/>
          <w:color w:val="000000" w:themeColor="text1"/>
        </w:rPr>
        <w:t xml:space="preserve">, se procede a dictar la presente resolución con base en lo siguiente: </w:t>
      </w:r>
    </w:p>
    <w:p w14:paraId="48CEFEB5" w14:textId="77777777" w:rsidR="00457BB8" w:rsidRPr="007B0A1A" w:rsidRDefault="00457BB8" w:rsidP="00F1165E">
      <w:pPr>
        <w:jc w:val="center"/>
        <w:rPr>
          <w:rFonts w:ascii="Palatino Linotype" w:hAnsi="Palatino Linotype"/>
          <w:color w:val="000000" w:themeColor="text1"/>
        </w:rPr>
      </w:pPr>
    </w:p>
    <w:p w14:paraId="480E521A" w14:textId="77777777" w:rsidR="00457BB8" w:rsidRPr="007B0A1A" w:rsidRDefault="00457BB8" w:rsidP="00F1165E">
      <w:pPr>
        <w:jc w:val="center"/>
        <w:rPr>
          <w:rFonts w:ascii="Palatino Linotype" w:hAnsi="Palatino Linotype"/>
          <w:b/>
          <w:bCs/>
          <w:color w:val="000000" w:themeColor="text1"/>
          <w:spacing w:val="40"/>
          <w:sz w:val="28"/>
        </w:rPr>
      </w:pPr>
      <w:r w:rsidRPr="007B0A1A">
        <w:rPr>
          <w:rFonts w:ascii="Palatino Linotype" w:hAnsi="Palatino Linotype"/>
          <w:b/>
          <w:bCs/>
          <w:color w:val="000000" w:themeColor="text1"/>
          <w:spacing w:val="40"/>
          <w:sz w:val="28"/>
        </w:rPr>
        <w:t>RESULTANDO</w:t>
      </w:r>
    </w:p>
    <w:p w14:paraId="68707BF2" w14:textId="77777777" w:rsidR="00457BB8" w:rsidRPr="007B0A1A" w:rsidRDefault="00457BB8" w:rsidP="00F1165E">
      <w:pPr>
        <w:jc w:val="center"/>
        <w:rPr>
          <w:rFonts w:ascii="Palatino Linotype" w:hAnsi="Palatino Linotype"/>
          <w:b/>
          <w:bCs/>
          <w:color w:val="000000" w:themeColor="text1"/>
          <w:spacing w:val="40"/>
        </w:rPr>
      </w:pPr>
    </w:p>
    <w:p w14:paraId="56F8F112" w14:textId="1FEE88F3" w:rsidR="000132CA" w:rsidRPr="007B0A1A" w:rsidRDefault="00457BB8" w:rsidP="00F1165E">
      <w:pPr>
        <w:spacing w:line="360" w:lineRule="auto"/>
        <w:jc w:val="both"/>
        <w:rPr>
          <w:rFonts w:ascii="Palatino Linotype" w:hAnsi="Palatino Linotype" w:cs="Arial"/>
          <w:b/>
          <w:bCs/>
        </w:rPr>
      </w:pPr>
      <w:r w:rsidRPr="007B0A1A">
        <w:rPr>
          <w:rFonts w:ascii="Palatino Linotype" w:hAnsi="Palatino Linotype"/>
          <w:b/>
          <w:color w:val="000000" w:themeColor="text1"/>
          <w:sz w:val="28"/>
          <w:szCs w:val="28"/>
        </w:rPr>
        <w:t xml:space="preserve">I. </w:t>
      </w:r>
      <w:r w:rsidR="000132CA" w:rsidRPr="007B0A1A">
        <w:rPr>
          <w:rFonts w:ascii="Palatino Linotype" w:hAnsi="Palatino Linotype" w:cs="Arial"/>
        </w:rPr>
        <w:t xml:space="preserve">En fecha </w:t>
      </w:r>
      <w:r w:rsidR="0042316E" w:rsidRPr="007B0A1A">
        <w:rPr>
          <w:rFonts w:ascii="Palatino Linotype" w:hAnsi="Palatino Linotype" w:cs="Arial"/>
        </w:rPr>
        <w:t>seis</w:t>
      </w:r>
      <w:r w:rsidR="00A438C6" w:rsidRPr="007B0A1A">
        <w:rPr>
          <w:rFonts w:ascii="Palatino Linotype" w:hAnsi="Palatino Linotype" w:cs="Arial"/>
        </w:rPr>
        <w:t xml:space="preserve"> de </w:t>
      </w:r>
      <w:r w:rsidR="0042316E" w:rsidRPr="007B0A1A">
        <w:rPr>
          <w:rFonts w:ascii="Palatino Linotype" w:hAnsi="Palatino Linotype" w:cs="Arial"/>
        </w:rPr>
        <w:t>julio</w:t>
      </w:r>
      <w:r w:rsidR="00661719" w:rsidRPr="007B0A1A">
        <w:rPr>
          <w:rFonts w:ascii="Palatino Linotype" w:hAnsi="Palatino Linotype" w:cs="Arial"/>
        </w:rPr>
        <w:t xml:space="preserve"> </w:t>
      </w:r>
      <w:r w:rsidR="000132CA" w:rsidRPr="007B0A1A">
        <w:rPr>
          <w:rFonts w:ascii="Palatino Linotype" w:hAnsi="Palatino Linotype" w:cs="Arial"/>
        </w:rPr>
        <w:t xml:space="preserve">de dos mil veintiuno, </w:t>
      </w:r>
      <w:r w:rsidR="000132CA" w:rsidRPr="007B0A1A">
        <w:rPr>
          <w:rFonts w:ascii="Palatino Linotype" w:hAnsi="Palatino Linotype" w:cs="Arial"/>
          <w:b/>
        </w:rPr>
        <w:t>EL RECURRENTE</w:t>
      </w:r>
      <w:r w:rsidR="000132CA" w:rsidRPr="007B0A1A">
        <w:rPr>
          <w:rFonts w:ascii="Palatino Linotype" w:hAnsi="Palatino Linotype" w:cs="Arial"/>
        </w:rPr>
        <w:t xml:space="preserve"> </w:t>
      </w:r>
      <w:r w:rsidR="000132CA" w:rsidRPr="007B0A1A">
        <w:rPr>
          <w:rFonts w:ascii="Palatino Linotype" w:hAnsi="Palatino Linotype"/>
        </w:rPr>
        <w:t xml:space="preserve">presentó a través </w:t>
      </w:r>
      <w:r w:rsidR="00661719" w:rsidRPr="007B0A1A">
        <w:rPr>
          <w:rFonts w:ascii="Palatino Linotype" w:hAnsi="Palatino Linotype" w:cs="Arial"/>
        </w:rPr>
        <w:t>de</w:t>
      </w:r>
      <w:r w:rsidR="00FF2351" w:rsidRPr="007B0A1A">
        <w:rPr>
          <w:rFonts w:ascii="Palatino Linotype" w:hAnsi="Palatino Linotype" w:cs="Arial"/>
        </w:rPr>
        <w:t xml:space="preserve"> Plataforma Nacional de Transparencia (PNT), vinculada al</w:t>
      </w:r>
      <w:r w:rsidR="000132CA" w:rsidRPr="007B0A1A">
        <w:rPr>
          <w:rFonts w:ascii="Palatino Linotype" w:hAnsi="Palatino Linotype" w:cs="Arial"/>
        </w:rPr>
        <w:t xml:space="preserve"> Sistema de Acceso a la Información Mexiquense</w:t>
      </w:r>
      <w:r w:rsidR="000132CA" w:rsidRPr="007B0A1A">
        <w:rPr>
          <w:rFonts w:ascii="Palatino Linotype" w:hAnsi="Palatino Linotype"/>
        </w:rPr>
        <w:t xml:space="preserve">, en lo subsecuente </w:t>
      </w:r>
      <w:r w:rsidR="000132CA" w:rsidRPr="007B0A1A">
        <w:rPr>
          <w:rFonts w:ascii="Palatino Linotype" w:hAnsi="Palatino Linotype" w:cs="Arial"/>
          <w:b/>
        </w:rPr>
        <w:t>EL SAIMEX</w:t>
      </w:r>
      <w:r w:rsidR="000132CA" w:rsidRPr="007B0A1A">
        <w:rPr>
          <w:rFonts w:ascii="Palatino Linotype" w:hAnsi="Palatino Linotype" w:cs="Arial"/>
        </w:rPr>
        <w:t xml:space="preserve"> ante </w:t>
      </w:r>
      <w:r w:rsidR="000132CA" w:rsidRPr="007B0A1A">
        <w:rPr>
          <w:rFonts w:ascii="Palatino Linotype" w:hAnsi="Palatino Linotype" w:cs="Arial"/>
          <w:b/>
        </w:rPr>
        <w:t>EL SUJETO OBLIGADO</w:t>
      </w:r>
      <w:r w:rsidR="000132CA" w:rsidRPr="007B0A1A">
        <w:rPr>
          <w:rFonts w:ascii="Palatino Linotype" w:hAnsi="Palatino Linotype" w:cs="Arial"/>
        </w:rPr>
        <w:t xml:space="preserve">, la solicitud de acceso a la información pública, a la que se le asignó el número de expediente </w:t>
      </w:r>
      <w:r w:rsidR="0042316E" w:rsidRPr="007B0A1A">
        <w:rPr>
          <w:rFonts w:ascii="Palatino Linotype" w:hAnsi="Palatino Linotype" w:cs="Arial"/>
          <w:b/>
        </w:rPr>
        <w:t>00231</w:t>
      </w:r>
      <w:r w:rsidR="00661719" w:rsidRPr="007B0A1A">
        <w:rPr>
          <w:rFonts w:ascii="Palatino Linotype" w:hAnsi="Palatino Linotype" w:cs="Arial"/>
          <w:b/>
        </w:rPr>
        <w:t>/</w:t>
      </w:r>
      <w:r w:rsidR="0042316E" w:rsidRPr="007B0A1A">
        <w:rPr>
          <w:rFonts w:ascii="Palatino Linotype" w:hAnsi="Palatino Linotype" w:cs="Arial"/>
          <w:b/>
        </w:rPr>
        <w:t>SMOV</w:t>
      </w:r>
      <w:r w:rsidR="00661719" w:rsidRPr="007B0A1A">
        <w:rPr>
          <w:rFonts w:ascii="Palatino Linotype" w:hAnsi="Palatino Linotype" w:cs="Arial"/>
          <w:b/>
        </w:rPr>
        <w:t>/IP/2021</w:t>
      </w:r>
      <w:r w:rsidR="000132CA" w:rsidRPr="007B0A1A">
        <w:rPr>
          <w:rFonts w:ascii="Palatino Linotype" w:hAnsi="Palatino Linotype" w:cs="Arial"/>
        </w:rPr>
        <w:t>, mediante la cual requirió:</w:t>
      </w:r>
    </w:p>
    <w:p w14:paraId="352EF370" w14:textId="77777777" w:rsidR="000132CA" w:rsidRPr="007B0A1A" w:rsidRDefault="000132CA" w:rsidP="00F1165E">
      <w:pPr>
        <w:tabs>
          <w:tab w:val="left" w:pos="851"/>
        </w:tabs>
        <w:ind w:left="851" w:right="901"/>
        <w:jc w:val="both"/>
        <w:rPr>
          <w:rFonts w:ascii="Palatino Linotype" w:hAnsi="Palatino Linotype" w:cs="Arial"/>
          <w:i/>
          <w:color w:val="000000" w:themeColor="text1"/>
          <w:sz w:val="22"/>
          <w:szCs w:val="22"/>
        </w:rPr>
      </w:pPr>
    </w:p>
    <w:p w14:paraId="13BC2DF0" w14:textId="6B17CBDF" w:rsidR="00457BB8" w:rsidRPr="007B0A1A" w:rsidRDefault="00013C80" w:rsidP="00F1165E">
      <w:pPr>
        <w:tabs>
          <w:tab w:val="left" w:pos="851"/>
        </w:tabs>
        <w:ind w:left="851" w:right="901"/>
        <w:jc w:val="both"/>
        <w:rPr>
          <w:rFonts w:ascii="Palatino Linotype" w:hAnsi="Palatino Linotype" w:cs="Arial"/>
          <w:i/>
          <w:color w:val="000000" w:themeColor="text1"/>
          <w:sz w:val="22"/>
          <w:szCs w:val="22"/>
        </w:rPr>
      </w:pPr>
      <w:r w:rsidRPr="007B0A1A">
        <w:rPr>
          <w:rFonts w:ascii="Palatino Linotype" w:hAnsi="Palatino Linotype" w:cs="Arial"/>
          <w:i/>
          <w:color w:val="000000" w:themeColor="text1"/>
          <w:sz w:val="22"/>
          <w:szCs w:val="22"/>
        </w:rPr>
        <w:t>“</w:t>
      </w:r>
      <w:r w:rsidR="0042316E" w:rsidRPr="007B0A1A">
        <w:rPr>
          <w:rFonts w:ascii="Palatino Linotype" w:hAnsi="Palatino Linotype" w:cs="Arial"/>
          <w:i/>
          <w:color w:val="000000" w:themeColor="text1"/>
          <w:sz w:val="22"/>
          <w:szCs w:val="22"/>
        </w:rPr>
        <w:t>Solicito la lista de rutas de transporte publico de pasajeros vigentes con detalles de cada ruta con datos de GPS. Adicionalmente la lista completa de los concecionarios de transporte publico de pasajeros con datos para contactar a los concesionarios. Ambos datos son para realizar un proyecto de mejora de movilidad del transporte publico. Los datos de GPS de cada ruta es para modelar sugerencias de rutas y los datos de contacto de concesionarios es para organizar la recolecccion de potrones de uso del transporte publico de pasajeros.</w:t>
      </w:r>
      <w:r w:rsidR="00661719" w:rsidRPr="007B0A1A">
        <w:rPr>
          <w:rFonts w:ascii="Palatino Linotype" w:hAnsi="Palatino Linotype" w:cs="Arial"/>
          <w:i/>
          <w:color w:val="000000" w:themeColor="text1"/>
          <w:sz w:val="22"/>
          <w:szCs w:val="22"/>
        </w:rPr>
        <w:t>.</w:t>
      </w:r>
      <w:r w:rsidR="00740BA5" w:rsidRPr="007B0A1A">
        <w:rPr>
          <w:rFonts w:ascii="Palatino Linotype" w:hAnsi="Palatino Linotype" w:cs="Arial"/>
          <w:i/>
          <w:color w:val="000000" w:themeColor="text1"/>
          <w:sz w:val="22"/>
          <w:szCs w:val="22"/>
        </w:rPr>
        <w:t xml:space="preserve">” </w:t>
      </w:r>
      <w:r w:rsidR="00457BB8" w:rsidRPr="007B0A1A">
        <w:rPr>
          <w:rFonts w:ascii="Palatino Linotype" w:hAnsi="Palatino Linotype" w:cs="Arial"/>
          <w:i/>
          <w:color w:val="000000" w:themeColor="text1"/>
          <w:sz w:val="22"/>
          <w:szCs w:val="22"/>
        </w:rPr>
        <w:t>(Sic)</w:t>
      </w:r>
    </w:p>
    <w:p w14:paraId="353B029D" w14:textId="77777777" w:rsidR="00457BB8" w:rsidRPr="007B0A1A" w:rsidRDefault="00457BB8" w:rsidP="00F1165E">
      <w:pPr>
        <w:tabs>
          <w:tab w:val="left" w:pos="851"/>
        </w:tabs>
        <w:ind w:right="901"/>
        <w:jc w:val="both"/>
        <w:rPr>
          <w:rFonts w:ascii="Palatino Linotype" w:hAnsi="Palatino Linotype" w:cs="Arial"/>
          <w:i/>
          <w:color w:val="000000" w:themeColor="text1"/>
          <w:sz w:val="22"/>
          <w:szCs w:val="22"/>
        </w:rPr>
      </w:pPr>
    </w:p>
    <w:p w14:paraId="0E0DA514" w14:textId="695323AB" w:rsidR="00FB323A" w:rsidRPr="007B0A1A" w:rsidRDefault="00457BB8" w:rsidP="00F1165E">
      <w:pPr>
        <w:spacing w:line="360" w:lineRule="auto"/>
        <w:jc w:val="both"/>
        <w:rPr>
          <w:rFonts w:ascii="Palatino Linotype" w:hAnsi="Palatino Linotype" w:cs="Arial"/>
          <w:b/>
          <w:color w:val="000000" w:themeColor="text1"/>
        </w:rPr>
      </w:pPr>
      <w:r w:rsidRPr="007B0A1A">
        <w:rPr>
          <w:rFonts w:ascii="Palatino Linotype" w:hAnsi="Palatino Linotype" w:cs="Arial"/>
          <w:b/>
          <w:color w:val="000000" w:themeColor="text1"/>
        </w:rPr>
        <w:t>MODALIDAD DE ENTREGA:</w:t>
      </w:r>
      <w:r w:rsidRPr="007B0A1A">
        <w:rPr>
          <w:rFonts w:ascii="Palatino Linotype" w:hAnsi="Palatino Linotype" w:cs="Arial"/>
          <w:color w:val="000000" w:themeColor="text1"/>
        </w:rPr>
        <w:t xml:space="preserve"> </w:t>
      </w:r>
      <w:r w:rsidR="0042316E" w:rsidRPr="007B0A1A">
        <w:rPr>
          <w:rFonts w:ascii="Palatino Linotype" w:hAnsi="Palatino Linotype" w:cs="Arial"/>
          <w:b/>
          <w:color w:val="000000" w:themeColor="text1"/>
        </w:rPr>
        <w:t>SAIMEX</w:t>
      </w:r>
    </w:p>
    <w:p w14:paraId="2FE329AA" w14:textId="77777777" w:rsidR="00FB323A" w:rsidRPr="007B0A1A" w:rsidRDefault="00FB323A" w:rsidP="00F1165E">
      <w:pPr>
        <w:spacing w:line="360" w:lineRule="auto"/>
        <w:jc w:val="both"/>
        <w:rPr>
          <w:rFonts w:ascii="Palatino Linotype" w:hAnsi="Palatino Linotype" w:cs="Arial"/>
          <w:color w:val="000000" w:themeColor="text1"/>
        </w:rPr>
      </w:pPr>
    </w:p>
    <w:p w14:paraId="1DA31A4A" w14:textId="7DEDEC0C" w:rsidR="00960460" w:rsidRPr="007B0A1A" w:rsidRDefault="00EC356B" w:rsidP="00F1165E">
      <w:pPr>
        <w:spacing w:line="360" w:lineRule="auto"/>
        <w:jc w:val="both"/>
        <w:rPr>
          <w:rFonts w:ascii="Palatino Linotype" w:hAnsi="Palatino Linotype"/>
          <w:color w:val="000000" w:themeColor="text1"/>
        </w:rPr>
      </w:pPr>
      <w:r w:rsidRPr="007B0A1A">
        <w:rPr>
          <w:rFonts w:ascii="Palatino Linotype" w:hAnsi="Palatino Linotype"/>
          <w:b/>
          <w:color w:val="000000" w:themeColor="text1"/>
          <w:sz w:val="28"/>
          <w:szCs w:val="28"/>
        </w:rPr>
        <w:t xml:space="preserve">II. </w:t>
      </w:r>
      <w:r w:rsidR="00457BB8" w:rsidRPr="007B0A1A">
        <w:rPr>
          <w:rFonts w:ascii="Palatino Linotype" w:hAnsi="Palatino Linotype"/>
          <w:color w:val="000000" w:themeColor="text1"/>
        </w:rPr>
        <w:t xml:space="preserve">De las constancias que obran en </w:t>
      </w:r>
      <w:r w:rsidR="00205751" w:rsidRPr="007B0A1A">
        <w:rPr>
          <w:rFonts w:ascii="Palatino Linotype" w:hAnsi="Palatino Linotype"/>
          <w:b/>
          <w:color w:val="000000" w:themeColor="text1"/>
        </w:rPr>
        <w:t xml:space="preserve">el </w:t>
      </w:r>
      <w:r w:rsidR="00457BB8" w:rsidRPr="007B0A1A">
        <w:rPr>
          <w:rFonts w:ascii="Palatino Linotype" w:hAnsi="Palatino Linotype"/>
          <w:b/>
          <w:color w:val="000000" w:themeColor="text1"/>
        </w:rPr>
        <w:t>SAIMEX,</w:t>
      </w:r>
      <w:r w:rsidR="00457BB8" w:rsidRPr="007B0A1A">
        <w:rPr>
          <w:rFonts w:ascii="Palatino Linotype" w:hAnsi="Palatino Linotype"/>
          <w:color w:val="000000" w:themeColor="text1"/>
        </w:rPr>
        <w:t xml:space="preserve"> se advierte que </w:t>
      </w:r>
      <w:r w:rsidR="00205751" w:rsidRPr="007B0A1A">
        <w:rPr>
          <w:rFonts w:ascii="Palatino Linotype" w:hAnsi="Palatino Linotype"/>
          <w:color w:val="000000" w:themeColor="text1"/>
        </w:rPr>
        <w:t>el Titular de T</w:t>
      </w:r>
      <w:r w:rsidR="000A24A3" w:rsidRPr="007B0A1A">
        <w:rPr>
          <w:rFonts w:ascii="Palatino Linotype" w:hAnsi="Palatino Linotype"/>
          <w:color w:val="000000" w:themeColor="text1"/>
        </w:rPr>
        <w:t xml:space="preserve">ransparencia del sujeto obligado, solicitó al peticionario la </w:t>
      </w:r>
      <w:r w:rsidR="000A24A3" w:rsidRPr="007B0A1A">
        <w:rPr>
          <w:rFonts w:ascii="Palatino Linotype" w:hAnsi="Palatino Linotype"/>
          <w:b/>
          <w:color w:val="000000" w:themeColor="text1"/>
        </w:rPr>
        <w:t>aclaración de su petición</w:t>
      </w:r>
      <w:r w:rsidR="000A24A3" w:rsidRPr="007B0A1A">
        <w:rPr>
          <w:rFonts w:ascii="Palatino Linotype" w:hAnsi="Palatino Linotype"/>
          <w:color w:val="000000" w:themeColor="text1"/>
        </w:rPr>
        <w:t xml:space="preserve">, atendiendo a lo expuesto en el artículo 159 de la Ley de Transparencia y Acceso a la Información Pública del Estado de México, respecto de que informara en específico a </w:t>
      </w:r>
      <w:r w:rsidR="00D363E9" w:rsidRPr="007B0A1A">
        <w:rPr>
          <w:rFonts w:ascii="Palatino Linotype" w:hAnsi="Palatino Linotype"/>
          <w:color w:val="000000" w:themeColor="text1"/>
        </w:rPr>
        <w:t>qué</w:t>
      </w:r>
      <w:r w:rsidR="000A24A3" w:rsidRPr="007B0A1A">
        <w:rPr>
          <w:rFonts w:ascii="Palatino Linotype" w:hAnsi="Palatino Linotype"/>
          <w:color w:val="000000" w:themeColor="text1"/>
        </w:rPr>
        <w:t xml:space="preserve"> tipo de datos de contacto de concesionarios se refiere, lo anterior, para que se pueda realizar una búsqueda exhaustiva de la información que solicita y así estar en aptitud de responder de forma veraz y eficiente su solicitud</w:t>
      </w:r>
      <w:r w:rsidR="009651B8" w:rsidRPr="007B0A1A">
        <w:rPr>
          <w:rFonts w:ascii="Palatino Linotype" w:hAnsi="Palatino Linotype"/>
          <w:color w:val="000000" w:themeColor="text1"/>
        </w:rPr>
        <w:t>; a lo que el peticionario en fecha once de julio de dos mil veintiuno, aclaró lo siguiente:</w:t>
      </w:r>
    </w:p>
    <w:p w14:paraId="0FCE692B" w14:textId="77777777" w:rsidR="00960460" w:rsidRPr="007B0A1A" w:rsidRDefault="00960460" w:rsidP="00F1165E">
      <w:pPr>
        <w:spacing w:line="360" w:lineRule="auto"/>
        <w:jc w:val="both"/>
        <w:rPr>
          <w:rFonts w:ascii="Palatino Linotype" w:hAnsi="Palatino Linotype"/>
          <w:color w:val="000000" w:themeColor="text1"/>
        </w:rPr>
      </w:pPr>
    </w:p>
    <w:p w14:paraId="7CA53EDB" w14:textId="1ADF5FA0" w:rsidR="00960460" w:rsidRPr="007B0A1A" w:rsidRDefault="009651B8" w:rsidP="0031490B">
      <w:pPr>
        <w:ind w:left="851" w:right="902"/>
        <w:contextualSpacing/>
        <w:jc w:val="both"/>
        <w:rPr>
          <w:rFonts w:ascii="Palatino Linotype" w:hAnsi="Palatino Linotype"/>
          <w:i/>
          <w:color w:val="000000" w:themeColor="text1"/>
        </w:rPr>
      </w:pPr>
      <w:r w:rsidRPr="007B0A1A">
        <w:rPr>
          <w:rFonts w:ascii="Palatino Linotype" w:hAnsi="Palatino Linotype"/>
          <w:i/>
          <w:color w:val="000000" w:themeColor="text1"/>
        </w:rPr>
        <w:t>“Loa datos de contacto de concesionarios se refieren a nombre del concesionario, la direccion, telefono o direccion de correo electronico de cada uno de los actuales concesionarios de las rutas de transporte publico de pasajeros. El motivo es para poder realizar un contacto directo a cada uno de ellos con el fin de establecer los mecanismos de colaboracion para la captura de informacion sobre el uso y patron de comportamiento del transporte publico en el Estado de Mexico. Gracias.”(sic)</w:t>
      </w:r>
    </w:p>
    <w:p w14:paraId="6A694627" w14:textId="77777777" w:rsidR="00960460" w:rsidRPr="007B0A1A" w:rsidRDefault="00960460" w:rsidP="00F1165E">
      <w:pPr>
        <w:spacing w:line="360" w:lineRule="auto"/>
        <w:jc w:val="both"/>
        <w:rPr>
          <w:rFonts w:ascii="Palatino Linotype" w:hAnsi="Palatino Linotype"/>
          <w:color w:val="000000" w:themeColor="text1"/>
        </w:rPr>
      </w:pPr>
    </w:p>
    <w:p w14:paraId="7AF53E4C" w14:textId="2B6C7F67" w:rsidR="00C750D9" w:rsidRPr="007B0A1A" w:rsidRDefault="00C750D9" w:rsidP="00C750D9">
      <w:pPr>
        <w:spacing w:line="360" w:lineRule="auto"/>
        <w:jc w:val="both"/>
        <w:rPr>
          <w:rFonts w:ascii="Palatino Linotype" w:hAnsi="Palatino Linotype" w:cs="Arial"/>
          <w:b/>
          <w:color w:val="000000" w:themeColor="text1"/>
        </w:rPr>
      </w:pPr>
      <w:r w:rsidRPr="007B0A1A">
        <w:rPr>
          <w:rFonts w:ascii="Palatino Linotype" w:hAnsi="Palatino Linotype" w:cs="Arial"/>
          <w:b/>
          <w:color w:val="000000" w:themeColor="text1"/>
        </w:rPr>
        <w:t>MODALIDAD DE ENTREGA:</w:t>
      </w:r>
      <w:r w:rsidRPr="007B0A1A">
        <w:rPr>
          <w:rFonts w:ascii="Palatino Linotype" w:hAnsi="Palatino Linotype" w:cs="Arial"/>
          <w:color w:val="000000" w:themeColor="text1"/>
        </w:rPr>
        <w:t xml:space="preserve"> SAIMEX</w:t>
      </w:r>
      <w:r w:rsidRPr="007B0A1A">
        <w:rPr>
          <w:rFonts w:ascii="Palatino Linotype" w:hAnsi="Palatino Linotype" w:cs="Arial"/>
          <w:b/>
          <w:color w:val="000000" w:themeColor="text1"/>
        </w:rPr>
        <w:t>.</w:t>
      </w:r>
    </w:p>
    <w:p w14:paraId="2D63D56F" w14:textId="77777777" w:rsidR="00C750D9" w:rsidRPr="007B0A1A" w:rsidRDefault="00C750D9" w:rsidP="00C750D9">
      <w:pPr>
        <w:spacing w:line="360" w:lineRule="auto"/>
        <w:jc w:val="both"/>
        <w:rPr>
          <w:rFonts w:ascii="Palatino Linotype" w:hAnsi="Palatino Linotype" w:cs="Arial"/>
          <w:color w:val="000000" w:themeColor="text1"/>
        </w:rPr>
      </w:pPr>
    </w:p>
    <w:p w14:paraId="17E9EB63" w14:textId="04E20039" w:rsidR="00C750D9" w:rsidRPr="007B0A1A" w:rsidRDefault="00C750D9" w:rsidP="00C750D9">
      <w:pPr>
        <w:spacing w:line="360" w:lineRule="auto"/>
        <w:jc w:val="both"/>
        <w:rPr>
          <w:rFonts w:ascii="Palatino Linotype" w:hAnsi="Palatino Linotype" w:cs="Arial"/>
          <w:noProof/>
          <w:color w:val="000000" w:themeColor="text1"/>
          <w:lang w:val="es-ES" w:eastAsia="es-MX"/>
        </w:rPr>
      </w:pPr>
      <w:r w:rsidRPr="007B0A1A">
        <w:rPr>
          <w:rFonts w:ascii="Palatino Linotype" w:hAnsi="Palatino Linotype"/>
          <w:b/>
          <w:color w:val="000000" w:themeColor="text1"/>
          <w:sz w:val="28"/>
          <w:szCs w:val="28"/>
        </w:rPr>
        <w:t xml:space="preserve">III. </w:t>
      </w:r>
      <w:r w:rsidRPr="007B0A1A">
        <w:rPr>
          <w:rFonts w:ascii="Palatino Linotype" w:hAnsi="Palatino Linotype" w:cs="Arial"/>
          <w:color w:val="000000" w:themeColor="text1"/>
          <w:lang w:val="es-ES"/>
        </w:rPr>
        <w:t>En cumplimiento al artículo 162 de la Ley de Transparencia y Acceso a la Información Pública del Estado de México y Municipios, el trece</w:t>
      </w:r>
      <w:r w:rsidR="00183DB0" w:rsidRPr="007B0A1A">
        <w:rPr>
          <w:rFonts w:ascii="Palatino Linotype" w:hAnsi="Palatino Linotype" w:cs="Arial"/>
          <w:color w:val="000000" w:themeColor="text1"/>
          <w:lang w:val="es-ES"/>
        </w:rPr>
        <w:t xml:space="preserve"> y catorce</w:t>
      </w:r>
      <w:r w:rsidRPr="007B0A1A">
        <w:rPr>
          <w:rFonts w:ascii="Palatino Linotype" w:hAnsi="Palatino Linotype" w:cs="Arial"/>
          <w:color w:val="000000" w:themeColor="text1"/>
          <w:lang w:val="es-ES"/>
        </w:rPr>
        <w:t xml:space="preserve"> de julio de dos mil veintiuno, el Titular de la Unidad de Transparencia del </w:t>
      </w:r>
      <w:r w:rsidRPr="007B0A1A">
        <w:rPr>
          <w:rFonts w:ascii="Palatino Linotype" w:hAnsi="Palatino Linotype" w:cs="Arial"/>
          <w:b/>
          <w:color w:val="000000" w:themeColor="text1"/>
          <w:lang w:val="es-ES"/>
        </w:rPr>
        <w:t>SUJETO OBLIGADO</w:t>
      </w:r>
      <w:r w:rsidRPr="007B0A1A">
        <w:rPr>
          <w:rFonts w:ascii="Palatino Linotype" w:hAnsi="Palatino Linotype" w:cs="Arial"/>
          <w:color w:val="000000" w:themeColor="text1"/>
          <w:lang w:val="es-ES"/>
        </w:rPr>
        <w:t xml:space="preserve">, </w:t>
      </w:r>
      <w:r w:rsidRPr="007B0A1A">
        <w:rPr>
          <w:rFonts w:ascii="Palatino Linotype" w:hAnsi="Palatino Linotype"/>
          <w:bCs/>
          <w:color w:val="000000" w:themeColor="text1"/>
          <w:lang w:val="es-ES"/>
        </w:rPr>
        <w:t>turnó el requerimiento de información</w:t>
      </w:r>
      <w:r w:rsidR="00946EC4" w:rsidRPr="007B0A1A">
        <w:rPr>
          <w:rFonts w:ascii="Palatino Linotype" w:hAnsi="Palatino Linotype"/>
          <w:bCs/>
          <w:color w:val="000000" w:themeColor="text1"/>
          <w:lang w:val="es-ES"/>
        </w:rPr>
        <w:t xml:space="preserve"> a</w:t>
      </w:r>
      <w:r w:rsidRPr="007B0A1A">
        <w:rPr>
          <w:rFonts w:ascii="Palatino Linotype" w:hAnsi="Palatino Linotype"/>
          <w:bCs/>
          <w:color w:val="000000" w:themeColor="text1"/>
          <w:lang w:val="es-ES"/>
        </w:rPr>
        <w:t xml:space="preserve"> l</w:t>
      </w:r>
      <w:r w:rsidR="00183DB0" w:rsidRPr="007B0A1A">
        <w:rPr>
          <w:rFonts w:ascii="Palatino Linotype" w:hAnsi="Palatino Linotype"/>
          <w:bCs/>
          <w:color w:val="000000" w:themeColor="text1"/>
          <w:lang w:val="es-ES"/>
        </w:rPr>
        <w:t>os</w:t>
      </w:r>
      <w:r w:rsidRPr="007B0A1A">
        <w:rPr>
          <w:rFonts w:ascii="Palatino Linotype" w:hAnsi="Palatino Linotype"/>
          <w:bCs/>
          <w:color w:val="000000" w:themeColor="text1"/>
          <w:lang w:val="es-ES"/>
        </w:rPr>
        <w:t xml:space="preserve"> </w:t>
      </w:r>
      <w:r w:rsidR="002276D7" w:rsidRPr="007B0A1A">
        <w:rPr>
          <w:rFonts w:ascii="Palatino Linotype" w:hAnsi="Palatino Linotype"/>
          <w:bCs/>
          <w:color w:val="000000" w:themeColor="text1"/>
          <w:lang w:val="es-ES"/>
        </w:rPr>
        <w:t>s</w:t>
      </w:r>
      <w:r w:rsidRPr="007B0A1A">
        <w:rPr>
          <w:rFonts w:ascii="Palatino Linotype" w:hAnsi="Palatino Linotype"/>
          <w:bCs/>
          <w:color w:val="000000" w:themeColor="text1"/>
          <w:lang w:val="es-ES"/>
        </w:rPr>
        <w:t>ervidor</w:t>
      </w:r>
      <w:r w:rsidR="00183DB0" w:rsidRPr="007B0A1A">
        <w:rPr>
          <w:rFonts w:ascii="Palatino Linotype" w:hAnsi="Palatino Linotype"/>
          <w:bCs/>
          <w:color w:val="000000" w:themeColor="text1"/>
          <w:lang w:val="es-ES"/>
        </w:rPr>
        <w:t>es</w:t>
      </w:r>
      <w:r w:rsidR="002276D7" w:rsidRPr="007B0A1A">
        <w:rPr>
          <w:rFonts w:ascii="Palatino Linotype" w:hAnsi="Palatino Linotype"/>
          <w:bCs/>
          <w:color w:val="000000" w:themeColor="text1"/>
          <w:lang w:val="es-ES"/>
        </w:rPr>
        <w:t xml:space="preserve"> p</w:t>
      </w:r>
      <w:r w:rsidRPr="007B0A1A">
        <w:rPr>
          <w:rFonts w:ascii="Palatino Linotype" w:hAnsi="Palatino Linotype"/>
          <w:bCs/>
          <w:color w:val="000000" w:themeColor="text1"/>
          <w:lang w:val="es-ES"/>
        </w:rPr>
        <w:t>úblico</w:t>
      </w:r>
      <w:r w:rsidR="00183DB0" w:rsidRPr="007B0A1A">
        <w:rPr>
          <w:rFonts w:ascii="Palatino Linotype" w:hAnsi="Palatino Linotype"/>
          <w:bCs/>
          <w:color w:val="000000" w:themeColor="text1"/>
          <w:lang w:val="es-ES"/>
        </w:rPr>
        <w:t>s</w:t>
      </w:r>
      <w:r w:rsidRPr="007B0A1A">
        <w:rPr>
          <w:rFonts w:ascii="Palatino Linotype" w:hAnsi="Palatino Linotype"/>
          <w:bCs/>
          <w:color w:val="000000" w:themeColor="text1"/>
          <w:lang w:val="es-ES"/>
        </w:rPr>
        <w:t xml:space="preserve"> </w:t>
      </w:r>
      <w:r w:rsidR="002276D7" w:rsidRPr="007B0A1A">
        <w:rPr>
          <w:rFonts w:ascii="Palatino Linotype" w:hAnsi="Palatino Linotype"/>
          <w:bCs/>
          <w:color w:val="000000" w:themeColor="text1"/>
          <w:lang w:val="es-ES"/>
        </w:rPr>
        <w:t>h</w:t>
      </w:r>
      <w:r w:rsidRPr="007B0A1A">
        <w:rPr>
          <w:rFonts w:ascii="Palatino Linotype" w:hAnsi="Palatino Linotype"/>
          <w:bCs/>
          <w:color w:val="000000" w:themeColor="text1"/>
          <w:lang w:val="es-ES"/>
        </w:rPr>
        <w:t>abilitado</w:t>
      </w:r>
      <w:r w:rsidR="00183DB0" w:rsidRPr="007B0A1A">
        <w:rPr>
          <w:rFonts w:ascii="Palatino Linotype" w:hAnsi="Palatino Linotype"/>
          <w:bCs/>
          <w:color w:val="000000" w:themeColor="text1"/>
          <w:lang w:val="es-ES"/>
        </w:rPr>
        <w:t>s</w:t>
      </w:r>
      <w:r w:rsidRPr="007B0A1A">
        <w:rPr>
          <w:rFonts w:ascii="Palatino Linotype" w:hAnsi="Palatino Linotype"/>
          <w:bCs/>
          <w:color w:val="000000" w:themeColor="text1"/>
          <w:lang w:val="es-ES"/>
        </w:rPr>
        <w:t xml:space="preserve"> de la </w:t>
      </w:r>
      <w:r w:rsidR="00183DB0" w:rsidRPr="007B0A1A">
        <w:rPr>
          <w:rFonts w:ascii="Palatino Linotype" w:hAnsi="Palatino Linotype"/>
          <w:bCs/>
          <w:color w:val="000000" w:themeColor="text1"/>
          <w:lang w:val="es-ES"/>
        </w:rPr>
        <w:lastRenderedPageBreak/>
        <w:t>Secretaría de Movilidad</w:t>
      </w:r>
      <w:r w:rsidRPr="007B0A1A">
        <w:rPr>
          <w:rFonts w:ascii="Palatino Linotype" w:hAnsi="Palatino Linotype"/>
          <w:bCs/>
          <w:color w:val="000000" w:themeColor="text1"/>
          <w:lang w:val="es-ES"/>
        </w:rPr>
        <w:t xml:space="preserve">, </w:t>
      </w:r>
      <w:r w:rsidRPr="007B0A1A">
        <w:rPr>
          <w:rFonts w:ascii="Palatino Linotype" w:hAnsi="Palatino Linotype" w:cs="Arial"/>
          <w:color w:val="000000" w:themeColor="text1"/>
          <w:lang w:val="es-ES"/>
        </w:rPr>
        <w:t>a efecto de que realizara la búsqueda y localización de la información tal como se desprende a continuación:</w:t>
      </w:r>
      <w:r w:rsidRPr="007B0A1A">
        <w:rPr>
          <w:rFonts w:ascii="Palatino Linotype" w:hAnsi="Palatino Linotype" w:cs="Arial"/>
          <w:noProof/>
          <w:color w:val="000000" w:themeColor="text1"/>
          <w:lang w:val="es-ES" w:eastAsia="es-MX"/>
        </w:rPr>
        <w:t xml:space="preserve"> </w:t>
      </w:r>
    </w:p>
    <w:p w14:paraId="04D2D8B9" w14:textId="77777777" w:rsidR="00183DB0" w:rsidRPr="007B0A1A" w:rsidRDefault="00183DB0" w:rsidP="00C750D9">
      <w:pPr>
        <w:spacing w:line="360" w:lineRule="auto"/>
        <w:jc w:val="both"/>
        <w:rPr>
          <w:noProof/>
          <w:lang w:eastAsia="es-MX"/>
        </w:rPr>
      </w:pPr>
    </w:p>
    <w:p w14:paraId="0800CCBE" w14:textId="55F11357" w:rsidR="00183DB0" w:rsidRPr="007B0A1A" w:rsidRDefault="00183DB0" w:rsidP="00C750D9">
      <w:pPr>
        <w:spacing w:line="360" w:lineRule="auto"/>
        <w:jc w:val="both"/>
        <w:rPr>
          <w:rFonts w:ascii="Palatino Linotype" w:hAnsi="Palatino Linotype" w:cs="Arial"/>
          <w:noProof/>
          <w:color w:val="000000" w:themeColor="text1"/>
          <w:lang w:val="es-ES" w:eastAsia="es-MX"/>
        </w:rPr>
      </w:pPr>
      <w:r w:rsidRPr="007B0A1A">
        <w:rPr>
          <w:noProof/>
          <w:lang w:eastAsia="es-MX"/>
        </w:rPr>
        <w:drawing>
          <wp:inline distT="0" distB="0" distL="0" distR="0" wp14:anchorId="1C7FC7E6" wp14:editId="2502B918">
            <wp:extent cx="5791835" cy="1387475"/>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87475"/>
                    </a:xfrm>
                    <a:prstGeom prst="rect">
                      <a:avLst/>
                    </a:prstGeom>
                  </pic:spPr>
                </pic:pic>
              </a:graphicData>
            </a:graphic>
          </wp:inline>
        </w:drawing>
      </w:r>
    </w:p>
    <w:p w14:paraId="63B523E7" w14:textId="77777777" w:rsidR="00960460" w:rsidRPr="007B0A1A" w:rsidRDefault="00960460" w:rsidP="00F1165E">
      <w:pPr>
        <w:spacing w:line="360" w:lineRule="auto"/>
        <w:jc w:val="both"/>
        <w:rPr>
          <w:rFonts w:ascii="Palatino Linotype" w:hAnsi="Palatino Linotype"/>
          <w:color w:val="000000" w:themeColor="text1"/>
        </w:rPr>
      </w:pPr>
    </w:p>
    <w:p w14:paraId="2D8DFE19" w14:textId="185C851E" w:rsidR="00183DB0" w:rsidRPr="007B0A1A" w:rsidRDefault="00183DB0" w:rsidP="00183DB0">
      <w:pPr>
        <w:spacing w:line="360" w:lineRule="auto"/>
        <w:jc w:val="both"/>
        <w:rPr>
          <w:rFonts w:ascii="Palatino Linotype" w:hAnsi="Palatino Linotype" w:cs="Arial"/>
          <w:color w:val="000000" w:themeColor="text1"/>
          <w:lang w:val="es-ES_tradnl"/>
        </w:rPr>
      </w:pPr>
      <w:r w:rsidRPr="007B0A1A">
        <w:rPr>
          <w:rFonts w:ascii="Palatino Linotype" w:hAnsi="Palatino Linotype"/>
          <w:b/>
          <w:color w:val="000000" w:themeColor="text1"/>
          <w:sz w:val="28"/>
          <w:szCs w:val="28"/>
        </w:rPr>
        <w:t>IV.</w:t>
      </w:r>
      <w:r w:rsidRPr="007B0A1A">
        <w:rPr>
          <w:rFonts w:ascii="Palatino Linotype" w:hAnsi="Palatino Linotype"/>
          <w:color w:val="000000" w:themeColor="text1"/>
          <w:sz w:val="28"/>
          <w:szCs w:val="28"/>
        </w:rPr>
        <w:t xml:space="preserve"> </w:t>
      </w:r>
      <w:r w:rsidRPr="007B0A1A">
        <w:rPr>
          <w:rFonts w:ascii="Palatino Linotype" w:hAnsi="Palatino Linotype"/>
          <w:color w:val="000000" w:themeColor="text1"/>
        </w:rPr>
        <w:t xml:space="preserve">De las constancias que obran en </w:t>
      </w:r>
      <w:r w:rsidRPr="007B0A1A">
        <w:rPr>
          <w:rFonts w:ascii="Palatino Linotype" w:hAnsi="Palatino Linotype"/>
          <w:b/>
          <w:color w:val="000000" w:themeColor="text1"/>
        </w:rPr>
        <w:t>EL SAIMEX,</w:t>
      </w:r>
      <w:r w:rsidRPr="007B0A1A">
        <w:rPr>
          <w:rFonts w:ascii="Palatino Linotype" w:hAnsi="Palatino Linotype"/>
          <w:color w:val="000000" w:themeColor="text1"/>
        </w:rPr>
        <w:t xml:space="preserve"> se advierte que el dieciséis de agosto de dos mil veintiuno, </w:t>
      </w:r>
      <w:r w:rsidRPr="007B0A1A">
        <w:rPr>
          <w:rFonts w:ascii="Palatino Linotype" w:hAnsi="Palatino Linotype" w:cs="Arial"/>
          <w:color w:val="000000" w:themeColor="text1"/>
          <w:lang w:val="es-ES_tradnl"/>
        </w:rPr>
        <w:t>el Responsable de la Unidad de Transparencia del</w:t>
      </w:r>
      <w:r w:rsidRPr="007B0A1A">
        <w:rPr>
          <w:rFonts w:ascii="Palatino Linotype" w:hAnsi="Palatino Linotype" w:cs="Arial"/>
          <w:b/>
          <w:color w:val="000000" w:themeColor="text1"/>
          <w:lang w:val="es-ES_tradnl"/>
        </w:rPr>
        <w:t xml:space="preserve"> SUJETO OBLIGADO</w:t>
      </w:r>
      <w:r w:rsidRPr="007B0A1A">
        <w:rPr>
          <w:rFonts w:ascii="Palatino Linotype" w:hAnsi="Palatino Linotype" w:cs="Arial"/>
          <w:color w:val="000000" w:themeColor="text1"/>
          <w:lang w:val="es-ES_tradnl"/>
        </w:rPr>
        <w:t xml:space="preserve"> dio respuesta a la solicitud de información, en los siguientes términos:</w:t>
      </w:r>
    </w:p>
    <w:p w14:paraId="2705BC9A" w14:textId="77777777" w:rsidR="00CD40EB" w:rsidRPr="007B0A1A" w:rsidRDefault="00CD40EB" w:rsidP="00F1165E">
      <w:pPr>
        <w:jc w:val="both"/>
        <w:rPr>
          <w:rFonts w:ascii="Palatino Linotype" w:hAnsi="Palatino Linotype" w:cs="Arial"/>
          <w:color w:val="000000" w:themeColor="text1"/>
          <w:lang w:val="es-ES_tradnl"/>
        </w:rPr>
      </w:pPr>
    </w:p>
    <w:tbl>
      <w:tblPr>
        <w:tblW w:w="8628" w:type="dxa"/>
        <w:jc w:val="center"/>
        <w:tblCellSpacing w:w="0" w:type="dxa"/>
        <w:tblCellMar>
          <w:left w:w="0" w:type="dxa"/>
          <w:right w:w="0" w:type="dxa"/>
        </w:tblCellMar>
        <w:tblLook w:val="04A0" w:firstRow="1" w:lastRow="0" w:firstColumn="1" w:lastColumn="0" w:noHBand="0" w:noVBand="1"/>
      </w:tblPr>
      <w:tblGrid>
        <w:gridCol w:w="8628"/>
      </w:tblGrid>
      <w:tr w:rsidR="008F6705" w:rsidRPr="007B0A1A" w14:paraId="5F6FC349" w14:textId="77777777" w:rsidTr="00F96E6C">
        <w:trPr>
          <w:trHeight w:val="150"/>
          <w:tblCellSpacing w:w="0" w:type="dxa"/>
          <w:jc w:val="center"/>
        </w:trPr>
        <w:tc>
          <w:tcPr>
            <w:tcW w:w="8628" w:type="dxa"/>
            <w:vAlign w:val="center"/>
          </w:tcPr>
          <w:p w14:paraId="079BF32A" w14:textId="77777777" w:rsidR="00F96E6C" w:rsidRPr="007B0A1A" w:rsidRDefault="00F96E6C" w:rsidP="00F96E6C">
            <w:pPr>
              <w:ind w:left="851" w:right="406"/>
              <w:jc w:val="both"/>
              <w:rPr>
                <w:rFonts w:ascii="Palatino Linotype" w:hAnsi="Palatino Linotype"/>
                <w:lang w:eastAsia="es-MX"/>
              </w:rPr>
            </w:pPr>
          </w:p>
          <w:p w14:paraId="04CC4FEE" w14:textId="636ADC95" w:rsidR="00F96E6C" w:rsidRPr="007B0A1A" w:rsidRDefault="00F96E6C" w:rsidP="00F96E6C">
            <w:pPr>
              <w:ind w:left="851" w:right="406"/>
              <w:jc w:val="both"/>
              <w:rPr>
                <w:rFonts w:ascii="Palatino Linotype" w:hAnsi="Palatino Linotype"/>
                <w:i/>
                <w:lang w:eastAsia="es-MX"/>
              </w:rPr>
            </w:pPr>
            <w:r w:rsidRPr="007B0A1A">
              <w:rPr>
                <w:rFonts w:ascii="Palatino Linotype" w:hAnsi="Palatino Linotype"/>
                <w:i/>
                <w:lang w:eastAsia="es-MX"/>
              </w:rPr>
              <w:t>“Metepec, México a 16 de Agosto de 2021</w:t>
            </w:r>
          </w:p>
          <w:p w14:paraId="2D22FD62" w14:textId="5999D3DC" w:rsidR="00F96E6C" w:rsidRPr="007B0A1A" w:rsidRDefault="00F96E6C" w:rsidP="00F96E6C">
            <w:pPr>
              <w:ind w:left="851" w:right="406"/>
              <w:jc w:val="both"/>
              <w:rPr>
                <w:rFonts w:ascii="Palatino Linotype" w:hAnsi="Palatino Linotype"/>
                <w:i/>
                <w:lang w:eastAsia="es-MX"/>
              </w:rPr>
            </w:pPr>
            <w:r w:rsidRPr="007B0A1A">
              <w:rPr>
                <w:rFonts w:ascii="Palatino Linotype" w:hAnsi="Palatino Linotype"/>
                <w:i/>
                <w:lang w:eastAsia="es-MX"/>
              </w:rPr>
              <w:t xml:space="preserve">Nombre del solicitante: </w:t>
            </w:r>
            <w:bookmarkStart w:id="0" w:name="_GoBack"/>
            <w:r w:rsidR="00433108">
              <w:rPr>
                <w:rFonts w:ascii="Palatino Linotype" w:hAnsi="Palatino Linotype"/>
                <w:i/>
                <w:lang w:eastAsia="es-MX"/>
              </w:rPr>
              <w:t xml:space="preserve">XXXXX </w:t>
            </w:r>
            <w:proofErr w:type="spellStart"/>
            <w:r w:rsidR="00433108">
              <w:rPr>
                <w:rFonts w:ascii="Palatino Linotype" w:hAnsi="Palatino Linotype"/>
                <w:i/>
                <w:lang w:eastAsia="es-MX"/>
              </w:rPr>
              <w:t>XXXXX</w:t>
            </w:r>
            <w:proofErr w:type="spellEnd"/>
            <w:r w:rsidR="00433108">
              <w:rPr>
                <w:rFonts w:ascii="Palatino Linotype" w:hAnsi="Palatino Linotype"/>
                <w:i/>
                <w:lang w:eastAsia="es-MX"/>
              </w:rPr>
              <w:t xml:space="preserve"> XXXXXX XXXXXXXX</w:t>
            </w:r>
            <w:bookmarkEnd w:id="0"/>
          </w:p>
          <w:p w14:paraId="325F5A9D" w14:textId="77777777" w:rsidR="00F96E6C" w:rsidRPr="007B0A1A" w:rsidRDefault="00F96E6C" w:rsidP="00F96E6C">
            <w:pPr>
              <w:ind w:left="851" w:right="406"/>
              <w:jc w:val="both"/>
              <w:rPr>
                <w:rFonts w:ascii="Palatino Linotype" w:hAnsi="Palatino Linotype"/>
                <w:i/>
                <w:lang w:eastAsia="es-MX"/>
              </w:rPr>
            </w:pPr>
            <w:r w:rsidRPr="007B0A1A">
              <w:rPr>
                <w:rFonts w:ascii="Palatino Linotype" w:hAnsi="Palatino Linotype"/>
                <w:i/>
                <w:lang w:eastAsia="es-MX"/>
              </w:rPr>
              <w:t>Folio de la solicitud: 00231/SMOV/IP/2021</w:t>
            </w:r>
          </w:p>
          <w:p w14:paraId="0F2413DA" w14:textId="77777777" w:rsidR="00F96E6C" w:rsidRPr="007B0A1A" w:rsidRDefault="00F96E6C" w:rsidP="00F96E6C">
            <w:pPr>
              <w:ind w:left="851" w:right="406"/>
              <w:jc w:val="both"/>
              <w:rPr>
                <w:rFonts w:ascii="Palatino Linotype" w:hAnsi="Palatino Linotype"/>
                <w:i/>
                <w:lang w:eastAsia="es-MX"/>
              </w:rPr>
            </w:pPr>
            <w:r w:rsidRPr="007B0A1A">
              <w:rPr>
                <w:rFonts w:ascii="Palatino Linotype" w:hAnsi="Palatino Linotype"/>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1A4B5D" w14:textId="77777777" w:rsidR="00F96E6C" w:rsidRPr="007B0A1A" w:rsidRDefault="00F96E6C" w:rsidP="00F96E6C">
            <w:pPr>
              <w:ind w:left="851" w:right="406"/>
              <w:jc w:val="both"/>
              <w:rPr>
                <w:rFonts w:ascii="Palatino Linotype" w:hAnsi="Palatino Linotype"/>
                <w:i/>
                <w:lang w:eastAsia="es-MX"/>
              </w:rPr>
            </w:pPr>
            <w:r w:rsidRPr="007B0A1A">
              <w:rPr>
                <w:rFonts w:ascii="Palatino Linotype" w:hAnsi="Palatino Linotype"/>
                <w:i/>
                <w:lang w:eastAsia="es-MX"/>
              </w:rPr>
              <w:t xml:space="preserve">En respuesta a su petición número 00231/SMOV/IP/2021, a través de la cual solicitó la siguiente información: “…Solicito la lista de rutas de transporte publico de pasajeros vigentes con detalles de cada ruta con datos de GPS. Adicionalmente la lista completa de los concecionarios de transporte publico de pasajeros con datos para contactar a los concesionarios. Ambos datos son para realizar un proyecto de mejora de movilidad del transporte publico. Los datos de GPS de cada ruta es para modelar sugerencias de rutas y los datos de contacto de concesionarios es para organizar la recolecccion de potrones de uso del transporte publico de pasajeros. Loa datos de contacto de </w:t>
            </w:r>
            <w:r w:rsidRPr="007B0A1A">
              <w:rPr>
                <w:rFonts w:ascii="Palatino Linotype" w:hAnsi="Palatino Linotype"/>
                <w:i/>
                <w:lang w:eastAsia="es-MX"/>
              </w:rPr>
              <w:lastRenderedPageBreak/>
              <w:t xml:space="preserve">concesionarios se refieren a nombre del concesionario, la direccion, telefono o direccion de correo electronico de cada uno de los actuales concesionarios de las rutas de transporte publico de pasajeros. El motivo es para poder realizar un contacto directo a cada uno de ellos con el fin de establecer los mecanismos de colaboracion para la captura de informacion sobre el uso y patron de comportamiento del transporte publico en el Estado de Mexico. Gracias…” (sic); de conformidad con lo dispuesto en los artículos 6 apartado A y 8 de la Constitución Política de los Estados Unidos Mexicanos; 5 de la Constitución Política del Estado Libre y Soberano de México; 1, 2, 3, 15, 19 fracción XVI y 32 de la Ley Orgánica de la Administración Pública del Estado de México; 1, 2, 3, 5, 9 y 10 del Reglamento Interior de la Secretaría de Movilidad del Estado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hago de su conocimiento lo siguiente: El Director General del Registro Estatal de Transporte Público y Servidor Público Habilitado, informó a la que suscribe que es importante invocar el artículo 143 de la Constitución Política del Estado Libre y Soberano de México, que indica, las autoridades administrativas únicamente pueden hacer lo que la ley expresamente les confiere, ergo, de conformidad con el artículo 24 del Reglamento Interior de la Secretaría de Movilidad, se confiere a esta Dirección General del Registro Estatal de Transporte Público atribuciones para expedir los formatos y documentación para el control vehicular, así como integrar y custodiar la información que con motivo del otorgamiento de concesiones y/o permisos se genere. Ahora bien, de la lectura de su petición también se lee: Loa datos de contacto de concesionarios se refieren a nombre del concesionario, la direccion, telefono o direccion de correo electronico de cada uno de los actuales concesionarios de las rutas de transporte público de pasajeros…”[Sic], por lo que, de una interpretación armónica al párrafo transcrito, se puede aludir que pide lista de concesionarios para prestar el servicio de transporte público en la entidad, en tal sentido y de conformidad con el artículo 12 de la Ley de Transparencia y Acceso a la Información Pública del Estado de México y Municipios, que indica que los sujetos obligados sólo proporcionarán la información pública que obre en sus archivos y en el estado en que ésta se </w:t>
            </w:r>
            <w:r w:rsidRPr="007B0A1A">
              <w:rPr>
                <w:rFonts w:ascii="Palatino Linotype" w:hAnsi="Palatino Linotype"/>
                <w:i/>
                <w:lang w:eastAsia="es-MX"/>
              </w:rPr>
              <w:lastRenderedPageBreak/>
              <w:t xml:space="preserve">encuentre, le comunico que se realizó una búsqueda en los archivos digitales del Registro de Transporte Público del Estado de México de los titulares de concesiones para prestar el servicio de pasajeros en la modalidad de colectivo, encontrando información relativa a esta, en consecuencia se adjunta archivo digital con el listado de los nombres de los titulares de concesiones en la modalidad de colectivo localizadas; destacando que el uso de los datos proporcionados son responsabilidad del peticionario. Ahora bien, por lo relativo a: “…direccion, telefono o direccion de correo electronico de cada uno de los actuales concesionarios…” [Sic], siendo indispensable mencionar que dichos datos solicitados por su naturaleza son considerados datos personales, ergo, el sujeto obligado debe garantizar el derecho a la protección de dichos datos, por ende, corresponde realizar su clasificación como confidenciales. En ese tenor y en concordancia con lo estipulado mediante acuerdo CT/SM/A/01/2021 en el acta de la SEPTUAGÉSIMA NOVENA SESIÓN EXTRAORDINARIA DEL AÑO DOS MIL VEINTIUNO DEL COMITÉ DE TRANSPARENCIA DE ESTA SECRETARÍA DE MOVILIDAD, mediante el cual se determinó que los domicilios, teléfonos y/o correos electrónicos son considerados información confidencial debido a que se refiere a datos personales concernientes a personas físicas y jurídicas colectivas identificadas o identificables; en consecuencia, se tiene imposibilidad legal para proporcionar los multicitados datos, por el archivo anexo se agrega en su versión pública. Asimismo, el Coordinador de Informática y Servidor Público Habilitado, informó a la que suscribe que por lo referente a “…la lista de rutas de transporte público de pasajeros vigentes con detalles de cada ruta con datos GPS…”; en el entendido de que pudiera referirse como rutas con datos GPS a las empresas concesionarias que prestan el servicio público de transporte en la modalidad de colectivo, que tienen registro de conectividad GPS en el Centro de Control y Gestión de la Secretaría de Movilidad, con el objetivo de contribuir a proteger su derecho de acceso a la información y transparencia, le adjunto el listado de las empresas que se encuentran en tal situación. 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w:t>
            </w:r>
            <w:r w:rsidRPr="007B0A1A">
              <w:rPr>
                <w:rFonts w:ascii="Palatino Linotype" w:hAnsi="Palatino Linotype"/>
                <w:i/>
                <w:lang w:eastAsia="es-MX"/>
              </w:rPr>
              <w:lastRenderedPageBreak/>
              <w:t>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más por el momento, le envío un cordial saludo.</w:t>
            </w:r>
          </w:p>
          <w:p w14:paraId="2290871D" w14:textId="77777777" w:rsidR="00F96E6C" w:rsidRPr="007B0A1A" w:rsidRDefault="00F96E6C" w:rsidP="00F96E6C">
            <w:pPr>
              <w:ind w:left="851" w:right="406"/>
              <w:jc w:val="both"/>
              <w:rPr>
                <w:rFonts w:ascii="Palatino Linotype" w:hAnsi="Palatino Linotype"/>
                <w:i/>
                <w:lang w:eastAsia="es-MX"/>
              </w:rPr>
            </w:pPr>
          </w:p>
          <w:p w14:paraId="69CA1F53" w14:textId="77777777" w:rsidR="00F96E6C" w:rsidRPr="007B0A1A" w:rsidRDefault="00F96E6C" w:rsidP="00F96E6C">
            <w:pPr>
              <w:ind w:left="851" w:right="406"/>
              <w:jc w:val="both"/>
              <w:rPr>
                <w:rFonts w:ascii="Palatino Linotype" w:hAnsi="Palatino Linotype"/>
                <w:i/>
                <w:lang w:eastAsia="es-MX"/>
              </w:rPr>
            </w:pPr>
            <w:r w:rsidRPr="007B0A1A">
              <w:rPr>
                <w:rFonts w:ascii="Palatino Linotype" w:hAnsi="Palatino Linotype"/>
                <w:i/>
                <w:lang w:eastAsia="es-MX"/>
              </w:rPr>
              <w:t>ATENTAMENTE</w:t>
            </w:r>
          </w:p>
          <w:p w14:paraId="530E1CB2" w14:textId="63A45A72" w:rsidR="008F6705" w:rsidRPr="007B0A1A" w:rsidRDefault="00F96E6C" w:rsidP="00F96E6C">
            <w:pPr>
              <w:ind w:left="851" w:right="406"/>
              <w:jc w:val="both"/>
              <w:rPr>
                <w:rFonts w:ascii="Palatino Linotype" w:hAnsi="Palatino Linotype"/>
                <w:lang w:eastAsia="es-MX"/>
              </w:rPr>
            </w:pPr>
            <w:r w:rsidRPr="007B0A1A">
              <w:rPr>
                <w:rFonts w:ascii="Palatino Linotype" w:hAnsi="Palatino Linotype"/>
                <w:i/>
                <w:lang w:eastAsia="es-MX"/>
              </w:rPr>
              <w:t>Lic. Norma Sofía Pérez Martínez…”(sic)</w:t>
            </w:r>
          </w:p>
        </w:tc>
      </w:tr>
      <w:tr w:rsidR="008F6705" w:rsidRPr="007B0A1A" w14:paraId="79F16997" w14:textId="77777777" w:rsidTr="00DB54FB">
        <w:trPr>
          <w:trHeight w:val="150"/>
          <w:tblCellSpacing w:w="0" w:type="dxa"/>
          <w:jc w:val="center"/>
        </w:trPr>
        <w:tc>
          <w:tcPr>
            <w:tcW w:w="8628" w:type="dxa"/>
            <w:vAlign w:val="center"/>
          </w:tcPr>
          <w:p w14:paraId="2D037D7A" w14:textId="77777777" w:rsidR="008F6705" w:rsidRPr="007B0A1A" w:rsidRDefault="008F6705" w:rsidP="00F1165E">
            <w:pPr>
              <w:ind w:left="851" w:right="406"/>
              <w:rPr>
                <w:rFonts w:ascii="Palatino Linotype" w:hAnsi="Palatino Linotype"/>
                <w:sz w:val="20"/>
                <w:szCs w:val="20"/>
                <w:lang w:eastAsia="es-MX"/>
              </w:rPr>
            </w:pPr>
          </w:p>
        </w:tc>
      </w:tr>
      <w:tr w:rsidR="008F6705" w:rsidRPr="007B0A1A" w14:paraId="0D95C634" w14:textId="77777777" w:rsidTr="00F96E6C">
        <w:trPr>
          <w:trHeight w:val="150"/>
          <w:tblCellSpacing w:w="0" w:type="dxa"/>
          <w:jc w:val="center"/>
        </w:trPr>
        <w:tc>
          <w:tcPr>
            <w:tcW w:w="8628" w:type="dxa"/>
            <w:vAlign w:val="center"/>
          </w:tcPr>
          <w:p w14:paraId="3D6CAF81" w14:textId="2BA53FD3" w:rsidR="008F6705" w:rsidRPr="007B0A1A" w:rsidRDefault="008F6705" w:rsidP="00F1165E">
            <w:pPr>
              <w:ind w:left="851" w:right="406"/>
              <w:rPr>
                <w:rFonts w:ascii="Palatino Linotype" w:hAnsi="Palatino Linotype"/>
                <w:i/>
                <w:lang w:eastAsia="es-MX"/>
              </w:rPr>
            </w:pPr>
          </w:p>
        </w:tc>
      </w:tr>
      <w:tr w:rsidR="008F6705" w:rsidRPr="007B0A1A" w14:paraId="76B958CA" w14:textId="77777777" w:rsidTr="00F96E6C">
        <w:trPr>
          <w:trHeight w:val="150"/>
          <w:tblCellSpacing w:w="0" w:type="dxa"/>
          <w:jc w:val="center"/>
        </w:trPr>
        <w:tc>
          <w:tcPr>
            <w:tcW w:w="8628" w:type="dxa"/>
            <w:vAlign w:val="center"/>
          </w:tcPr>
          <w:p w14:paraId="76AD7047" w14:textId="7D8E4F46" w:rsidR="009F735F" w:rsidRPr="007B0A1A" w:rsidRDefault="009F735F" w:rsidP="00F1165E">
            <w:pPr>
              <w:ind w:left="851" w:right="406"/>
              <w:rPr>
                <w:rFonts w:ascii="Palatino Linotype" w:hAnsi="Palatino Linotype"/>
                <w:i/>
                <w:lang w:eastAsia="es-MX"/>
              </w:rPr>
            </w:pPr>
          </w:p>
        </w:tc>
      </w:tr>
    </w:tbl>
    <w:p w14:paraId="4C0DFB7A" w14:textId="432E2D29" w:rsidR="00183DB0" w:rsidRPr="007B0A1A" w:rsidRDefault="00183DB0" w:rsidP="00183DB0">
      <w:pPr>
        <w:spacing w:line="360" w:lineRule="auto"/>
        <w:jc w:val="both"/>
        <w:rPr>
          <w:rFonts w:ascii="Palatino Linotype" w:hAnsi="Palatino Linotype"/>
          <w:color w:val="000000" w:themeColor="text1"/>
        </w:rPr>
      </w:pPr>
      <w:r w:rsidRPr="007B0A1A">
        <w:rPr>
          <w:rFonts w:ascii="Palatino Linotype" w:hAnsi="Palatino Linotype"/>
          <w:color w:val="000000" w:themeColor="text1"/>
        </w:rPr>
        <w:t xml:space="preserve">Advirtiendo de dicha respuesta que </w:t>
      </w:r>
      <w:r w:rsidRPr="007B0A1A">
        <w:rPr>
          <w:rFonts w:ascii="Palatino Linotype" w:hAnsi="Palatino Linotype"/>
          <w:b/>
          <w:color w:val="000000" w:themeColor="text1"/>
        </w:rPr>
        <w:t>EL SUJETO OBLIGADO</w:t>
      </w:r>
      <w:r w:rsidRPr="007B0A1A">
        <w:rPr>
          <w:rFonts w:ascii="Palatino Linotype" w:hAnsi="Palatino Linotype"/>
          <w:color w:val="000000" w:themeColor="text1"/>
        </w:rPr>
        <w:t xml:space="preserve"> adjuntó los archivos denominados </w:t>
      </w:r>
      <w:r w:rsidRPr="007B0A1A">
        <w:rPr>
          <w:rFonts w:ascii="Palatino Linotype" w:hAnsi="Palatino Linotype"/>
          <w:b/>
          <w:color w:val="000000" w:themeColor="text1"/>
        </w:rPr>
        <w:t>00231-SMOV-IP-2021 (4).pdf</w:t>
      </w:r>
      <w:r w:rsidRPr="007B0A1A">
        <w:rPr>
          <w:rFonts w:ascii="Palatino Linotype" w:hAnsi="Palatino Linotype"/>
          <w:color w:val="000000" w:themeColor="text1"/>
        </w:rPr>
        <w:t xml:space="preserve"> y </w:t>
      </w:r>
      <w:r w:rsidRPr="007B0A1A">
        <w:rPr>
          <w:rFonts w:ascii="Palatino Linotype" w:hAnsi="Palatino Linotype"/>
          <w:b/>
          <w:color w:val="000000" w:themeColor="text1"/>
        </w:rPr>
        <w:t>CONCESIONARIAS (3).pdf</w:t>
      </w:r>
      <w:r w:rsidRPr="007B0A1A">
        <w:rPr>
          <w:rFonts w:ascii="Palatino Linotype" w:hAnsi="Palatino Linotype"/>
          <w:color w:val="000000" w:themeColor="text1"/>
        </w:rPr>
        <w:t xml:space="preserve">, </w:t>
      </w:r>
      <w:r w:rsidR="00F96E6C" w:rsidRPr="007B0A1A">
        <w:rPr>
          <w:rFonts w:ascii="Palatino Linotype" w:hAnsi="Palatino Linotype"/>
          <w:color w:val="000000" w:themeColor="text1"/>
        </w:rPr>
        <w:t>los</w:t>
      </w:r>
      <w:r w:rsidRPr="007B0A1A">
        <w:rPr>
          <w:rFonts w:ascii="Palatino Linotype" w:hAnsi="Palatino Linotype"/>
          <w:color w:val="000000"/>
        </w:rPr>
        <w:t xml:space="preserve"> cual</w:t>
      </w:r>
      <w:r w:rsidR="00F96E6C" w:rsidRPr="007B0A1A">
        <w:rPr>
          <w:rFonts w:ascii="Palatino Linotype" w:hAnsi="Palatino Linotype"/>
          <w:color w:val="000000"/>
        </w:rPr>
        <w:t>es</w:t>
      </w:r>
      <w:r w:rsidRPr="007B0A1A">
        <w:rPr>
          <w:rFonts w:ascii="Palatino Linotype" w:hAnsi="Palatino Linotype"/>
          <w:color w:val="000000"/>
        </w:rPr>
        <w:t>, no se inserta</w:t>
      </w:r>
      <w:r w:rsidR="00F96E6C" w:rsidRPr="007B0A1A">
        <w:rPr>
          <w:rFonts w:ascii="Palatino Linotype" w:hAnsi="Palatino Linotype"/>
          <w:color w:val="000000"/>
        </w:rPr>
        <w:t>n</w:t>
      </w:r>
      <w:r w:rsidRPr="007B0A1A">
        <w:rPr>
          <w:rFonts w:ascii="Palatino Linotype" w:hAnsi="Palatino Linotype"/>
          <w:color w:val="000000"/>
        </w:rPr>
        <w:t xml:space="preserve"> por ser del conocimiento de las partes, sin embargo, será</w:t>
      </w:r>
      <w:r w:rsidR="00F96E6C" w:rsidRPr="007B0A1A">
        <w:rPr>
          <w:rFonts w:ascii="Palatino Linotype" w:hAnsi="Palatino Linotype"/>
          <w:color w:val="000000"/>
        </w:rPr>
        <w:t>n</w:t>
      </w:r>
      <w:r w:rsidRPr="007B0A1A">
        <w:rPr>
          <w:rFonts w:ascii="Palatino Linotype" w:hAnsi="Palatino Linotype"/>
          <w:color w:val="000000"/>
        </w:rPr>
        <w:t xml:space="preserve"> motivo de estudio en el Considerando correspondiente.</w:t>
      </w:r>
    </w:p>
    <w:p w14:paraId="0F8EB95E" w14:textId="77777777" w:rsidR="00E61442" w:rsidRPr="007B0A1A" w:rsidRDefault="00E61442" w:rsidP="00F1165E">
      <w:pPr>
        <w:jc w:val="both"/>
        <w:rPr>
          <w:rFonts w:ascii="Palatino Linotype" w:hAnsi="Palatino Linotype"/>
          <w:b/>
          <w:color w:val="000000" w:themeColor="text1"/>
        </w:rPr>
      </w:pPr>
    </w:p>
    <w:p w14:paraId="1CBC06E4" w14:textId="78A1F837" w:rsidR="00457BB8" w:rsidRPr="007B0A1A" w:rsidRDefault="00183DB0" w:rsidP="00F1165E">
      <w:pPr>
        <w:spacing w:line="360" w:lineRule="auto"/>
        <w:jc w:val="both"/>
        <w:rPr>
          <w:rFonts w:ascii="Palatino Linotype" w:hAnsi="Palatino Linotype" w:cs="Arial"/>
          <w:color w:val="000000" w:themeColor="text1"/>
        </w:rPr>
      </w:pPr>
      <w:r w:rsidRPr="007B0A1A">
        <w:rPr>
          <w:rFonts w:ascii="Palatino Linotype" w:hAnsi="Palatino Linotype"/>
          <w:b/>
          <w:color w:val="000000" w:themeColor="text1"/>
        </w:rPr>
        <w:t>V</w:t>
      </w:r>
      <w:r w:rsidR="00457BB8" w:rsidRPr="007B0A1A">
        <w:rPr>
          <w:rFonts w:ascii="Palatino Linotype" w:hAnsi="Palatino Linotype"/>
          <w:b/>
          <w:color w:val="000000" w:themeColor="text1"/>
        </w:rPr>
        <w:t xml:space="preserve">. </w:t>
      </w:r>
      <w:r w:rsidR="00BD7CF0" w:rsidRPr="007B0A1A">
        <w:rPr>
          <w:rFonts w:ascii="Palatino Linotype" w:hAnsi="Palatino Linotype"/>
          <w:color w:val="000000" w:themeColor="text1"/>
        </w:rPr>
        <w:t xml:space="preserve">Inconforme con la </w:t>
      </w:r>
      <w:r w:rsidR="00BD7CF0" w:rsidRPr="007B0A1A">
        <w:rPr>
          <w:rFonts w:ascii="Palatino Linotype" w:hAnsi="Palatino Linotype" w:cs="Arial"/>
          <w:color w:val="000000" w:themeColor="text1"/>
        </w:rPr>
        <w:t xml:space="preserve">respuesta, el </w:t>
      </w:r>
      <w:r w:rsidR="006808BE" w:rsidRPr="007B0A1A">
        <w:rPr>
          <w:rFonts w:ascii="Palatino Linotype" w:hAnsi="Palatino Linotype" w:cs="Arial"/>
          <w:color w:val="000000" w:themeColor="text1"/>
        </w:rPr>
        <w:t>dieciocho</w:t>
      </w:r>
      <w:r w:rsidR="001237DB" w:rsidRPr="007B0A1A">
        <w:rPr>
          <w:rFonts w:ascii="Palatino Linotype" w:hAnsi="Palatino Linotype" w:cs="Arial"/>
          <w:color w:val="000000" w:themeColor="text1"/>
        </w:rPr>
        <w:t xml:space="preserve"> d</w:t>
      </w:r>
      <w:r w:rsidR="005304EE" w:rsidRPr="007B0A1A">
        <w:rPr>
          <w:rFonts w:ascii="Palatino Linotype" w:hAnsi="Palatino Linotype" w:cs="Arial"/>
          <w:color w:val="000000" w:themeColor="text1"/>
        </w:rPr>
        <w:t xml:space="preserve">e </w:t>
      </w:r>
      <w:r w:rsidR="008F6705" w:rsidRPr="007B0A1A">
        <w:rPr>
          <w:rFonts w:ascii="Palatino Linotype" w:hAnsi="Palatino Linotype" w:cs="Arial"/>
          <w:color w:val="000000" w:themeColor="text1"/>
        </w:rPr>
        <w:t>agosto</w:t>
      </w:r>
      <w:r w:rsidR="00BD46BC" w:rsidRPr="007B0A1A">
        <w:rPr>
          <w:rFonts w:ascii="Palatino Linotype" w:hAnsi="Palatino Linotype" w:cs="Arial"/>
          <w:color w:val="000000" w:themeColor="text1"/>
        </w:rPr>
        <w:t xml:space="preserve"> </w:t>
      </w:r>
      <w:r w:rsidR="00870221" w:rsidRPr="007B0A1A">
        <w:rPr>
          <w:rFonts w:ascii="Palatino Linotype" w:hAnsi="Palatino Linotype" w:cs="Arial"/>
          <w:color w:val="000000" w:themeColor="text1"/>
        </w:rPr>
        <w:t>d</w:t>
      </w:r>
      <w:r w:rsidR="00BD7CF0" w:rsidRPr="007B0A1A">
        <w:rPr>
          <w:rFonts w:ascii="Palatino Linotype" w:hAnsi="Palatino Linotype" w:cs="Arial"/>
          <w:color w:val="000000" w:themeColor="text1"/>
        </w:rPr>
        <w:t>e dos mil veint</w:t>
      </w:r>
      <w:r w:rsidR="00CE1A6F" w:rsidRPr="007B0A1A">
        <w:rPr>
          <w:rFonts w:ascii="Palatino Linotype" w:hAnsi="Palatino Linotype" w:cs="Arial"/>
          <w:color w:val="000000" w:themeColor="text1"/>
        </w:rPr>
        <w:t>iuno</w:t>
      </w:r>
      <w:r w:rsidR="00BD7CF0" w:rsidRPr="007B0A1A">
        <w:rPr>
          <w:rFonts w:ascii="Palatino Linotype" w:hAnsi="Palatino Linotype" w:cs="Arial"/>
          <w:color w:val="000000" w:themeColor="text1"/>
        </w:rPr>
        <w:t xml:space="preserve"> </w:t>
      </w:r>
      <w:r w:rsidR="00BD46BC" w:rsidRPr="007B0A1A">
        <w:rPr>
          <w:rFonts w:ascii="Palatino Linotype" w:hAnsi="Palatino Linotype"/>
          <w:b/>
          <w:color w:val="000000" w:themeColor="text1"/>
        </w:rPr>
        <w:t>EL</w:t>
      </w:r>
      <w:r w:rsidR="00BD7CF0" w:rsidRPr="007B0A1A">
        <w:rPr>
          <w:rFonts w:ascii="Palatino Linotype" w:hAnsi="Palatino Linotype"/>
          <w:b/>
          <w:color w:val="000000" w:themeColor="text1"/>
        </w:rPr>
        <w:t xml:space="preserve"> RECURRENTE</w:t>
      </w:r>
      <w:r w:rsidR="00BD7CF0" w:rsidRPr="007B0A1A">
        <w:rPr>
          <w:rFonts w:ascii="Palatino Linotype" w:hAnsi="Palatino Linotype"/>
          <w:color w:val="000000" w:themeColor="text1"/>
        </w:rPr>
        <w:t xml:space="preserve"> interpuso el recurso de revisión objeto del presente estudio, </w:t>
      </w:r>
      <w:r w:rsidR="0092115B" w:rsidRPr="007B0A1A">
        <w:rPr>
          <w:rFonts w:ascii="Palatino Linotype" w:hAnsi="Palatino Linotype"/>
        </w:rPr>
        <w:t xml:space="preserve">el cual fue registrado en </w:t>
      </w:r>
      <w:r w:rsidR="0092115B" w:rsidRPr="007B0A1A">
        <w:rPr>
          <w:rFonts w:ascii="Palatino Linotype" w:hAnsi="Palatino Linotype"/>
          <w:b/>
        </w:rPr>
        <w:t xml:space="preserve">EL SAIMEX </w:t>
      </w:r>
      <w:r w:rsidR="00BD7CF0" w:rsidRPr="007B0A1A">
        <w:rPr>
          <w:rFonts w:ascii="Palatino Linotype" w:hAnsi="Palatino Linotype"/>
          <w:color w:val="000000" w:themeColor="text1"/>
        </w:rPr>
        <w:t xml:space="preserve">y se le asignó el número de </w:t>
      </w:r>
      <w:r w:rsidR="005304EE" w:rsidRPr="007B0A1A">
        <w:rPr>
          <w:rFonts w:ascii="Palatino Linotype" w:hAnsi="Palatino Linotype"/>
          <w:b/>
          <w:color w:val="000000" w:themeColor="text1"/>
        </w:rPr>
        <w:t>0</w:t>
      </w:r>
      <w:r w:rsidR="008F6705" w:rsidRPr="007B0A1A">
        <w:rPr>
          <w:rFonts w:ascii="Palatino Linotype" w:hAnsi="Palatino Linotype"/>
          <w:b/>
          <w:color w:val="000000" w:themeColor="text1"/>
        </w:rPr>
        <w:t>4</w:t>
      </w:r>
      <w:r w:rsidR="006808BE" w:rsidRPr="007B0A1A">
        <w:rPr>
          <w:rFonts w:ascii="Palatino Linotype" w:hAnsi="Palatino Linotype"/>
          <w:b/>
          <w:color w:val="000000" w:themeColor="text1"/>
        </w:rPr>
        <w:t>077</w:t>
      </w:r>
      <w:r w:rsidR="00457BB8" w:rsidRPr="007B0A1A">
        <w:rPr>
          <w:rFonts w:ascii="Palatino Linotype" w:hAnsi="Palatino Linotype" w:cs="Arial"/>
          <w:b/>
          <w:bCs/>
          <w:color w:val="000000" w:themeColor="text1"/>
        </w:rPr>
        <w:t>/INFOEM/IP/RR/202</w:t>
      </w:r>
      <w:r w:rsidR="00CE1A6F" w:rsidRPr="007B0A1A">
        <w:rPr>
          <w:rFonts w:ascii="Palatino Linotype" w:hAnsi="Palatino Linotype" w:cs="Arial"/>
          <w:b/>
          <w:bCs/>
          <w:color w:val="000000" w:themeColor="text1"/>
        </w:rPr>
        <w:t>1</w:t>
      </w:r>
      <w:r w:rsidR="00457BB8" w:rsidRPr="007B0A1A">
        <w:rPr>
          <w:rFonts w:ascii="Palatino Linotype" w:hAnsi="Palatino Linotype" w:cs="Arial"/>
          <w:color w:val="000000" w:themeColor="text1"/>
        </w:rPr>
        <w:t xml:space="preserve">, en el que señaló como acto impugnado: </w:t>
      </w:r>
    </w:p>
    <w:p w14:paraId="7461101F" w14:textId="77777777" w:rsidR="00457BB8" w:rsidRPr="007B0A1A" w:rsidRDefault="00457BB8" w:rsidP="00F1165E">
      <w:pPr>
        <w:ind w:left="851" w:right="899"/>
        <w:jc w:val="both"/>
        <w:rPr>
          <w:rFonts w:ascii="Palatino Linotype" w:hAnsi="Palatino Linotype" w:cs="Arial"/>
          <w:i/>
          <w:color w:val="000000" w:themeColor="text1"/>
          <w:sz w:val="22"/>
          <w:szCs w:val="22"/>
        </w:rPr>
      </w:pPr>
    </w:p>
    <w:p w14:paraId="378E9F1B" w14:textId="18FD6878" w:rsidR="00CD40EB" w:rsidRPr="007B0A1A" w:rsidRDefault="00143A80" w:rsidP="00F1165E">
      <w:pPr>
        <w:ind w:left="851" w:right="899"/>
        <w:jc w:val="both"/>
        <w:rPr>
          <w:rFonts w:ascii="Palatino Linotype" w:hAnsi="Palatino Linotype" w:cs="Arial"/>
          <w:i/>
          <w:color w:val="000000" w:themeColor="text1"/>
          <w:sz w:val="22"/>
          <w:szCs w:val="22"/>
        </w:rPr>
      </w:pPr>
      <w:r w:rsidRPr="007B0A1A">
        <w:rPr>
          <w:rFonts w:ascii="Palatino Linotype" w:hAnsi="Palatino Linotype" w:cs="Arial"/>
          <w:i/>
          <w:color w:val="000000" w:themeColor="text1"/>
          <w:sz w:val="22"/>
          <w:szCs w:val="22"/>
        </w:rPr>
        <w:t>“Aunque agradezco los datos publicos, desafortunadamente no es suficiente.”(sic)</w:t>
      </w:r>
    </w:p>
    <w:p w14:paraId="1FBC24B4" w14:textId="77777777" w:rsidR="00946EC4" w:rsidRPr="007B0A1A" w:rsidRDefault="00946EC4" w:rsidP="00F1165E">
      <w:pPr>
        <w:ind w:left="851" w:right="899"/>
        <w:jc w:val="both"/>
        <w:rPr>
          <w:rFonts w:ascii="Palatino Linotype" w:hAnsi="Palatino Linotype" w:cs="Arial"/>
          <w:i/>
          <w:color w:val="000000" w:themeColor="text1"/>
          <w:sz w:val="22"/>
          <w:szCs w:val="22"/>
        </w:rPr>
      </w:pPr>
    </w:p>
    <w:p w14:paraId="2887CD42" w14:textId="54DAE7E2" w:rsidR="001237DB" w:rsidRPr="007B0A1A" w:rsidRDefault="001237DB" w:rsidP="00F1165E">
      <w:pPr>
        <w:spacing w:line="360" w:lineRule="auto"/>
        <w:ind w:right="899"/>
        <w:jc w:val="both"/>
        <w:rPr>
          <w:rFonts w:ascii="Palatino Linotype" w:hAnsi="Palatino Linotype" w:cs="Arial"/>
          <w:color w:val="000000" w:themeColor="text1"/>
        </w:rPr>
      </w:pPr>
      <w:r w:rsidRPr="007B0A1A">
        <w:rPr>
          <w:rFonts w:ascii="Palatino Linotype" w:hAnsi="Palatino Linotype" w:cs="Arial"/>
          <w:color w:val="000000" w:themeColor="text1"/>
        </w:rPr>
        <w:t>Así como, razones o motivos de inconformidad</w:t>
      </w:r>
      <w:r w:rsidR="00143A80" w:rsidRPr="007B0A1A">
        <w:rPr>
          <w:rFonts w:ascii="Palatino Linotype" w:hAnsi="Palatino Linotype" w:cs="Arial"/>
          <w:color w:val="000000" w:themeColor="text1"/>
        </w:rPr>
        <w:t>:</w:t>
      </w:r>
    </w:p>
    <w:p w14:paraId="0DBE33C1" w14:textId="77777777" w:rsidR="001237DB" w:rsidRPr="007B0A1A" w:rsidRDefault="001237DB" w:rsidP="00F1165E">
      <w:pPr>
        <w:ind w:right="899"/>
        <w:jc w:val="both"/>
        <w:rPr>
          <w:rFonts w:ascii="Palatino Linotype" w:hAnsi="Palatino Linotype" w:cs="Arial"/>
          <w:i/>
          <w:color w:val="000000" w:themeColor="text1"/>
          <w:sz w:val="22"/>
          <w:szCs w:val="22"/>
        </w:rPr>
      </w:pPr>
    </w:p>
    <w:p w14:paraId="39DA141F" w14:textId="2DB6B217" w:rsidR="001237DB" w:rsidRPr="007B0A1A" w:rsidRDefault="00143A80" w:rsidP="00143A80">
      <w:pPr>
        <w:ind w:left="851" w:right="899"/>
        <w:jc w:val="both"/>
        <w:rPr>
          <w:rFonts w:ascii="Palatino Linotype" w:hAnsi="Palatino Linotype" w:cs="Arial"/>
          <w:i/>
          <w:color w:val="000000" w:themeColor="text1"/>
          <w:sz w:val="22"/>
          <w:szCs w:val="22"/>
        </w:rPr>
      </w:pPr>
      <w:r w:rsidRPr="007B0A1A">
        <w:rPr>
          <w:rFonts w:ascii="Palatino Linotype" w:hAnsi="Palatino Linotype" w:cs="Arial"/>
          <w:i/>
          <w:color w:val="000000" w:themeColor="text1"/>
          <w:sz w:val="22"/>
          <w:szCs w:val="22"/>
        </w:rPr>
        <w:lastRenderedPageBreak/>
        <w:t>“Quisiera saber si existen otros mecanismos para aceder a los datos de contacto de cada concesionario. Si alguna dependencia de la SEMOVI puede ser el medio de acceso a cada concesionario. El siguiente punto es la informacion relevante a las rutas del transporte publico concesianado, requiero cada una de las rutas con informacion detallada del trayecto (de existir). Un formato como GTFS o geojson seria ideal para consumir por un sistema informatico.”(sic)</w:t>
      </w:r>
    </w:p>
    <w:p w14:paraId="11C0AD43" w14:textId="77777777" w:rsidR="00143A80" w:rsidRPr="007B0A1A" w:rsidRDefault="00143A80" w:rsidP="00F1165E">
      <w:pPr>
        <w:ind w:right="899"/>
        <w:jc w:val="both"/>
        <w:rPr>
          <w:rFonts w:ascii="Palatino Linotype" w:hAnsi="Palatino Linotype" w:cs="Arial"/>
          <w:i/>
          <w:color w:val="000000" w:themeColor="text1"/>
          <w:sz w:val="22"/>
          <w:szCs w:val="22"/>
        </w:rPr>
      </w:pPr>
    </w:p>
    <w:p w14:paraId="27C39CBD" w14:textId="77777777" w:rsidR="00143A80" w:rsidRPr="007B0A1A" w:rsidRDefault="00143A80" w:rsidP="00F1165E">
      <w:pPr>
        <w:ind w:right="899"/>
        <w:jc w:val="both"/>
        <w:rPr>
          <w:rFonts w:ascii="Palatino Linotype" w:hAnsi="Palatino Linotype" w:cs="Arial"/>
          <w:i/>
          <w:color w:val="000000" w:themeColor="text1"/>
          <w:sz w:val="22"/>
          <w:szCs w:val="22"/>
        </w:rPr>
      </w:pPr>
    </w:p>
    <w:p w14:paraId="3A3DB79B" w14:textId="1999C288" w:rsidR="00457BB8" w:rsidRPr="007B0A1A" w:rsidRDefault="004849A2" w:rsidP="00F1165E">
      <w:pPr>
        <w:pStyle w:val="Default"/>
        <w:spacing w:line="360" w:lineRule="auto"/>
        <w:ind w:right="49"/>
        <w:jc w:val="both"/>
        <w:rPr>
          <w:rFonts w:ascii="Palatino Linotype" w:hAnsi="Palatino Linotype"/>
          <w:color w:val="000000" w:themeColor="text1"/>
          <w:lang w:val="es-ES_tradnl"/>
        </w:rPr>
      </w:pPr>
      <w:r w:rsidRPr="007B0A1A">
        <w:rPr>
          <w:rFonts w:ascii="Palatino Linotype" w:hAnsi="Palatino Linotype"/>
          <w:b/>
          <w:color w:val="000000" w:themeColor="text1"/>
          <w:sz w:val="28"/>
          <w:szCs w:val="28"/>
        </w:rPr>
        <w:t>V</w:t>
      </w:r>
      <w:r w:rsidR="00F00CF8" w:rsidRPr="007B0A1A">
        <w:rPr>
          <w:rFonts w:ascii="Palatino Linotype" w:hAnsi="Palatino Linotype"/>
          <w:b/>
          <w:color w:val="000000" w:themeColor="text1"/>
          <w:sz w:val="28"/>
          <w:szCs w:val="28"/>
        </w:rPr>
        <w:t>I</w:t>
      </w:r>
      <w:r w:rsidR="00457BB8" w:rsidRPr="007B0A1A">
        <w:rPr>
          <w:rFonts w:ascii="Palatino Linotype" w:hAnsi="Palatino Linotype"/>
          <w:b/>
          <w:color w:val="000000" w:themeColor="text1"/>
          <w:sz w:val="28"/>
          <w:szCs w:val="28"/>
        </w:rPr>
        <w:t xml:space="preserve">. </w:t>
      </w:r>
      <w:r w:rsidR="00457BB8" w:rsidRPr="007B0A1A">
        <w:rPr>
          <w:rFonts w:ascii="Palatino Linotype" w:hAnsi="Palatino Linotype"/>
          <w:color w:val="000000" w:themeColor="text1"/>
        </w:rPr>
        <w:t>El</w:t>
      </w:r>
      <w:r w:rsidR="00457BB8" w:rsidRPr="007B0A1A">
        <w:rPr>
          <w:rFonts w:ascii="Palatino Linotype" w:hAnsi="Palatino Linotype"/>
          <w:b/>
          <w:color w:val="000000" w:themeColor="text1"/>
          <w:sz w:val="28"/>
          <w:szCs w:val="28"/>
        </w:rPr>
        <w:t xml:space="preserve"> </w:t>
      </w:r>
      <w:r w:rsidR="002442F5" w:rsidRPr="007B0A1A">
        <w:rPr>
          <w:rFonts w:ascii="Palatino Linotype" w:hAnsi="Palatino Linotype"/>
          <w:color w:val="000000" w:themeColor="text1"/>
        </w:rPr>
        <w:t>dieciocho</w:t>
      </w:r>
      <w:r w:rsidR="001D5E99" w:rsidRPr="007B0A1A">
        <w:rPr>
          <w:rFonts w:ascii="Palatino Linotype" w:hAnsi="Palatino Linotype"/>
          <w:color w:val="000000" w:themeColor="text1"/>
        </w:rPr>
        <w:t xml:space="preserve"> de agosto </w:t>
      </w:r>
      <w:r w:rsidR="00191CA5" w:rsidRPr="007B0A1A">
        <w:rPr>
          <w:rFonts w:ascii="Palatino Linotype" w:hAnsi="Palatino Linotype"/>
          <w:color w:val="000000" w:themeColor="text1"/>
        </w:rPr>
        <w:t xml:space="preserve">de dos mil </w:t>
      </w:r>
      <w:r w:rsidR="005304EE" w:rsidRPr="007B0A1A">
        <w:rPr>
          <w:rFonts w:ascii="Palatino Linotype" w:hAnsi="Palatino Linotype"/>
          <w:color w:val="000000" w:themeColor="text1"/>
        </w:rPr>
        <w:t>veintiuno</w:t>
      </w:r>
      <w:r w:rsidR="00CE1A6F" w:rsidRPr="007B0A1A">
        <w:rPr>
          <w:rFonts w:ascii="Palatino Linotype" w:hAnsi="Palatino Linotype"/>
          <w:color w:val="000000" w:themeColor="text1"/>
        </w:rPr>
        <w:t>, e</w:t>
      </w:r>
      <w:r w:rsidR="00457BB8" w:rsidRPr="007B0A1A">
        <w:rPr>
          <w:rFonts w:ascii="Palatino Linotype" w:hAnsi="Palatino Linotype"/>
          <w:color w:val="000000" w:themeColor="text1"/>
        </w:rPr>
        <w:t xml:space="preserve">l </w:t>
      </w:r>
      <w:r w:rsidR="00457BB8" w:rsidRPr="007B0A1A">
        <w:rPr>
          <w:rFonts w:ascii="Palatino Linotype" w:hAnsi="Palatino Linotype"/>
          <w:color w:val="000000" w:themeColor="text1"/>
          <w:lang w:val="es-ES_tradnl"/>
        </w:rPr>
        <w:t>recurso de que</w:t>
      </w:r>
      <w:r w:rsidR="00457BB8" w:rsidRPr="007B0A1A">
        <w:rPr>
          <w:rFonts w:ascii="Palatino Linotype" w:hAnsi="Palatino Linotype"/>
          <w:color w:val="000000" w:themeColor="text1"/>
        </w:rPr>
        <w:t xml:space="preserve"> se trata</w:t>
      </w:r>
      <w:r w:rsidR="00946EC4" w:rsidRPr="007B0A1A">
        <w:rPr>
          <w:rFonts w:ascii="Palatino Linotype" w:hAnsi="Palatino Linotype"/>
          <w:color w:val="000000" w:themeColor="text1"/>
        </w:rPr>
        <w:t>,</w:t>
      </w:r>
      <w:r w:rsidR="00457BB8" w:rsidRPr="007B0A1A">
        <w:rPr>
          <w:rFonts w:ascii="Palatino Linotype" w:hAnsi="Palatino Linotype"/>
          <w:color w:val="000000" w:themeColor="text1"/>
          <w:lang w:val="es-ES_tradnl"/>
        </w:rPr>
        <w:t xml:space="preserve"> se envió electrónicamente al Instituto de </w:t>
      </w:r>
      <w:r w:rsidR="00457BB8" w:rsidRPr="007B0A1A">
        <w:rPr>
          <w:rFonts w:ascii="Palatino Linotype" w:eastAsia="Arial Unicode MS" w:hAnsi="Palatino Linotype"/>
          <w:color w:val="000000" w:themeColor="text1"/>
        </w:rPr>
        <w:t>Transparencia</w:t>
      </w:r>
      <w:r w:rsidR="00457BB8" w:rsidRPr="007B0A1A">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7B0A1A">
        <w:rPr>
          <w:rFonts w:ascii="Palatino Linotype" w:hAnsi="Palatino Linotype"/>
          <w:color w:val="000000" w:themeColor="text1"/>
        </w:rPr>
        <w:t>Ley de Transparencia y Acceso a la Información Pública del Estado de México y Municipios</w:t>
      </w:r>
      <w:r w:rsidR="00457BB8" w:rsidRPr="007B0A1A">
        <w:rPr>
          <w:rFonts w:ascii="Palatino Linotype" w:hAnsi="Palatino Linotype"/>
          <w:color w:val="000000" w:themeColor="text1"/>
          <w:lang w:val="es-ES_tradnl"/>
        </w:rPr>
        <w:t>, se turnó, a través del</w:t>
      </w:r>
      <w:r w:rsidR="00457BB8" w:rsidRPr="007B0A1A">
        <w:rPr>
          <w:rFonts w:ascii="Palatino Linotype" w:eastAsia="Arial Unicode MS" w:hAnsi="Palatino Linotype"/>
          <w:color w:val="000000" w:themeColor="text1"/>
          <w:lang w:val="es-ES_tradnl"/>
        </w:rPr>
        <w:t xml:space="preserve"> </w:t>
      </w:r>
      <w:r w:rsidR="00457BB8" w:rsidRPr="007B0A1A">
        <w:rPr>
          <w:rFonts w:ascii="Palatino Linotype" w:eastAsia="Arial Unicode MS" w:hAnsi="Palatino Linotype"/>
          <w:b/>
          <w:color w:val="000000" w:themeColor="text1"/>
          <w:lang w:val="es-ES_tradnl"/>
        </w:rPr>
        <w:t>SAIMEX</w:t>
      </w:r>
      <w:r w:rsidR="00457BB8" w:rsidRPr="007B0A1A">
        <w:rPr>
          <w:rFonts w:ascii="Palatino Linotype" w:hAnsi="Palatino Linotype"/>
          <w:color w:val="000000" w:themeColor="text1"/>
        </w:rPr>
        <w:t xml:space="preserve">, a la </w:t>
      </w:r>
      <w:r w:rsidR="00457BB8" w:rsidRPr="007B0A1A">
        <w:rPr>
          <w:rFonts w:ascii="Palatino Linotype" w:hAnsi="Palatino Linotype"/>
          <w:color w:val="000000" w:themeColor="text1"/>
          <w:lang w:val="es-ES_tradnl"/>
        </w:rPr>
        <w:t>Comisionada</w:t>
      </w:r>
      <w:r w:rsidR="00F941C8" w:rsidRPr="007B0A1A">
        <w:rPr>
          <w:rFonts w:ascii="Palatino Linotype" w:hAnsi="Palatino Linotype"/>
          <w:color w:val="000000" w:themeColor="text1"/>
          <w:lang w:val="es-ES_tradnl"/>
        </w:rPr>
        <w:t xml:space="preserve"> </w:t>
      </w:r>
      <w:r w:rsidR="00F941C8" w:rsidRPr="007B0A1A">
        <w:rPr>
          <w:rFonts w:ascii="Palatino Linotype" w:hAnsi="Palatino Linotype"/>
          <w:b/>
          <w:color w:val="000000" w:themeColor="text1"/>
        </w:rPr>
        <w:t>S</w:t>
      </w:r>
      <w:r w:rsidR="00CD40EB" w:rsidRPr="007B0A1A">
        <w:rPr>
          <w:rFonts w:ascii="Palatino Linotype" w:hAnsi="Palatino Linotype"/>
          <w:b/>
          <w:color w:val="000000" w:themeColor="text1"/>
        </w:rPr>
        <w:t>haron</w:t>
      </w:r>
      <w:r w:rsidR="00F941C8" w:rsidRPr="007B0A1A">
        <w:rPr>
          <w:rFonts w:ascii="Palatino Linotype" w:hAnsi="Palatino Linotype"/>
          <w:b/>
          <w:color w:val="000000" w:themeColor="text1"/>
        </w:rPr>
        <w:t xml:space="preserve"> C</w:t>
      </w:r>
      <w:r w:rsidR="00CD40EB" w:rsidRPr="007B0A1A">
        <w:rPr>
          <w:rFonts w:ascii="Palatino Linotype" w:hAnsi="Palatino Linotype"/>
          <w:b/>
          <w:color w:val="000000" w:themeColor="text1"/>
        </w:rPr>
        <w:t>ristina</w:t>
      </w:r>
      <w:r w:rsidR="00F941C8" w:rsidRPr="007B0A1A">
        <w:rPr>
          <w:rFonts w:ascii="Palatino Linotype" w:hAnsi="Palatino Linotype"/>
          <w:b/>
          <w:color w:val="000000" w:themeColor="text1"/>
        </w:rPr>
        <w:t xml:space="preserve"> M</w:t>
      </w:r>
      <w:r w:rsidR="00CD40EB" w:rsidRPr="007B0A1A">
        <w:rPr>
          <w:rFonts w:ascii="Palatino Linotype" w:hAnsi="Palatino Linotype"/>
          <w:b/>
          <w:color w:val="000000" w:themeColor="text1"/>
        </w:rPr>
        <w:t>orales</w:t>
      </w:r>
      <w:r w:rsidR="00F941C8" w:rsidRPr="007B0A1A">
        <w:rPr>
          <w:rFonts w:ascii="Palatino Linotype" w:hAnsi="Palatino Linotype"/>
          <w:b/>
          <w:color w:val="000000" w:themeColor="text1"/>
        </w:rPr>
        <w:t xml:space="preserve"> M</w:t>
      </w:r>
      <w:r w:rsidR="00CD40EB" w:rsidRPr="007B0A1A">
        <w:rPr>
          <w:rFonts w:ascii="Palatino Linotype" w:hAnsi="Palatino Linotype"/>
          <w:b/>
          <w:color w:val="000000" w:themeColor="text1"/>
        </w:rPr>
        <w:t>artínez</w:t>
      </w:r>
      <w:r w:rsidR="00457BB8" w:rsidRPr="007B0A1A">
        <w:rPr>
          <w:rFonts w:ascii="Palatino Linotype" w:hAnsi="Palatino Linotype"/>
          <w:color w:val="000000" w:themeColor="text1"/>
          <w:lang w:val="es-ES_tradnl"/>
        </w:rPr>
        <w:t xml:space="preserve"> </w:t>
      </w:r>
      <w:r w:rsidR="00457BB8" w:rsidRPr="007B0A1A">
        <w:rPr>
          <w:rFonts w:ascii="Palatino Linotype" w:hAnsi="Palatino Linotype"/>
          <w:color w:val="000000" w:themeColor="text1"/>
        </w:rPr>
        <w:t>,</w:t>
      </w:r>
      <w:r w:rsidR="00457BB8" w:rsidRPr="007B0A1A">
        <w:rPr>
          <w:rFonts w:ascii="Palatino Linotype" w:hAnsi="Palatino Linotype"/>
          <w:color w:val="000000" w:themeColor="text1"/>
          <w:lang w:val="es-ES_tradnl"/>
        </w:rPr>
        <w:t xml:space="preserve"> a efecto de decretar su admisión o desechamiento.</w:t>
      </w:r>
    </w:p>
    <w:p w14:paraId="6CB98D0C" w14:textId="77777777" w:rsidR="00457BB8" w:rsidRPr="007B0A1A" w:rsidRDefault="00457BB8" w:rsidP="00F1165E">
      <w:pPr>
        <w:pStyle w:val="Default"/>
        <w:spacing w:line="360" w:lineRule="auto"/>
        <w:ind w:right="49"/>
        <w:jc w:val="both"/>
        <w:rPr>
          <w:rFonts w:ascii="Palatino Linotype" w:hAnsi="Palatino Linotype"/>
          <w:color w:val="000000" w:themeColor="text1"/>
          <w:lang w:val="es-ES_tradnl"/>
        </w:rPr>
      </w:pPr>
    </w:p>
    <w:p w14:paraId="2564FA1A" w14:textId="3AC8A98F" w:rsidR="00457BB8" w:rsidRPr="007B0A1A" w:rsidRDefault="00457BB8" w:rsidP="00F1165E">
      <w:pPr>
        <w:pStyle w:val="Piedepgina"/>
        <w:spacing w:line="360" w:lineRule="auto"/>
        <w:jc w:val="both"/>
        <w:rPr>
          <w:rFonts w:ascii="Palatino Linotype" w:hAnsi="Palatino Linotype" w:cs="Arial"/>
          <w:color w:val="000000" w:themeColor="text1"/>
        </w:rPr>
      </w:pPr>
      <w:r w:rsidRPr="007B0A1A">
        <w:rPr>
          <w:rFonts w:ascii="Palatino Linotype" w:hAnsi="Palatino Linotype" w:cs="Arial"/>
          <w:b/>
          <w:color w:val="000000" w:themeColor="text1"/>
          <w:sz w:val="28"/>
        </w:rPr>
        <w:t>V</w:t>
      </w:r>
      <w:r w:rsidR="00F00CF8" w:rsidRPr="007B0A1A">
        <w:rPr>
          <w:rFonts w:ascii="Palatino Linotype" w:hAnsi="Palatino Linotype" w:cs="Arial"/>
          <w:b/>
          <w:color w:val="000000" w:themeColor="text1"/>
          <w:sz w:val="28"/>
        </w:rPr>
        <w:t>II</w:t>
      </w:r>
      <w:r w:rsidRPr="007B0A1A">
        <w:rPr>
          <w:rFonts w:ascii="Palatino Linotype" w:hAnsi="Palatino Linotype" w:cs="Arial"/>
          <w:b/>
          <w:color w:val="000000" w:themeColor="text1"/>
          <w:sz w:val="28"/>
        </w:rPr>
        <w:t xml:space="preserve">. </w:t>
      </w:r>
      <w:r w:rsidRPr="007B0A1A">
        <w:rPr>
          <w:rFonts w:ascii="Palatino Linotype" w:hAnsi="Palatino Linotype" w:cs="Arial"/>
          <w:color w:val="000000" w:themeColor="text1"/>
        </w:rPr>
        <w:t>De las constancias del expediente electrónico del</w:t>
      </w:r>
      <w:r w:rsidRPr="007B0A1A">
        <w:rPr>
          <w:rFonts w:ascii="Palatino Linotype" w:hAnsi="Palatino Linotype" w:cs="Arial"/>
          <w:b/>
          <w:color w:val="000000" w:themeColor="text1"/>
        </w:rPr>
        <w:t xml:space="preserve"> SAIMEX</w:t>
      </w:r>
      <w:r w:rsidRPr="007B0A1A">
        <w:rPr>
          <w:rFonts w:ascii="Palatino Linotype" w:hAnsi="Palatino Linotype" w:cs="Arial"/>
          <w:color w:val="000000" w:themeColor="text1"/>
        </w:rPr>
        <w:t xml:space="preserve">, se advierte que en fecha </w:t>
      </w:r>
      <w:r w:rsidR="00946EC4" w:rsidRPr="007B0A1A">
        <w:rPr>
          <w:rFonts w:ascii="Palatino Linotype" w:hAnsi="Palatino Linotype" w:cs="Arial"/>
          <w:color w:val="000000" w:themeColor="text1"/>
        </w:rPr>
        <w:t>veinticinco</w:t>
      </w:r>
      <w:r w:rsidR="004F28DE" w:rsidRPr="007B0A1A">
        <w:rPr>
          <w:rFonts w:ascii="Palatino Linotype" w:hAnsi="Palatino Linotype" w:cs="Arial"/>
          <w:color w:val="000000" w:themeColor="text1"/>
        </w:rPr>
        <w:t xml:space="preserve"> </w:t>
      </w:r>
      <w:r w:rsidR="000132CA" w:rsidRPr="007B0A1A">
        <w:rPr>
          <w:rFonts w:ascii="Palatino Linotype" w:hAnsi="Palatino Linotype" w:cs="Arial"/>
          <w:color w:val="000000" w:themeColor="text1"/>
        </w:rPr>
        <w:t>de</w:t>
      </w:r>
      <w:r w:rsidR="002D4245" w:rsidRPr="007B0A1A">
        <w:rPr>
          <w:rFonts w:ascii="Palatino Linotype" w:hAnsi="Palatino Linotype" w:cs="Arial"/>
          <w:color w:val="000000" w:themeColor="text1"/>
        </w:rPr>
        <w:t xml:space="preserve"> </w:t>
      </w:r>
      <w:r w:rsidR="00546F5D" w:rsidRPr="007B0A1A">
        <w:rPr>
          <w:rFonts w:ascii="Palatino Linotype" w:hAnsi="Palatino Linotype" w:cs="Arial"/>
          <w:color w:val="000000" w:themeColor="text1"/>
        </w:rPr>
        <w:t>agosto</w:t>
      </w:r>
      <w:r w:rsidR="00876E77" w:rsidRPr="007B0A1A">
        <w:rPr>
          <w:rFonts w:ascii="Palatino Linotype" w:hAnsi="Palatino Linotype" w:cs="Arial"/>
          <w:color w:val="000000" w:themeColor="text1"/>
        </w:rPr>
        <w:t xml:space="preserve"> d</w:t>
      </w:r>
      <w:r w:rsidR="00523B0C" w:rsidRPr="007B0A1A">
        <w:rPr>
          <w:rFonts w:ascii="Palatino Linotype" w:hAnsi="Palatino Linotype" w:cs="Arial"/>
          <w:color w:val="000000" w:themeColor="text1"/>
        </w:rPr>
        <w:t xml:space="preserve">e dos mil veintiuno, </w:t>
      </w:r>
      <w:r w:rsidRPr="007B0A1A">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7B0A1A">
        <w:rPr>
          <w:rFonts w:ascii="Palatino Linotype" w:hAnsi="Palatino Linotype" w:cs="Arial"/>
          <w:b/>
          <w:color w:val="000000" w:themeColor="text1"/>
        </w:rPr>
        <w:t xml:space="preserve">EL SUJETO OBLIGADO </w:t>
      </w:r>
      <w:r w:rsidRPr="007B0A1A">
        <w:rPr>
          <w:rFonts w:ascii="Palatino Linotype" w:hAnsi="Palatino Linotype" w:cs="Arial"/>
          <w:color w:val="000000" w:themeColor="text1"/>
        </w:rPr>
        <w:t>rindiera su</w:t>
      </w:r>
      <w:r w:rsidRPr="007B0A1A">
        <w:rPr>
          <w:rFonts w:ascii="Palatino Linotype" w:hAnsi="Palatino Linotype" w:cs="Arial"/>
          <w:b/>
          <w:color w:val="000000" w:themeColor="text1"/>
        </w:rPr>
        <w:t xml:space="preserve"> </w:t>
      </w:r>
      <w:r w:rsidRPr="007B0A1A">
        <w:rPr>
          <w:rFonts w:ascii="Palatino Linotype" w:hAnsi="Palatino Linotype" w:cs="Arial"/>
          <w:color w:val="000000" w:themeColor="text1"/>
        </w:rPr>
        <w:t>Informe Justificado.</w:t>
      </w:r>
    </w:p>
    <w:p w14:paraId="2DDB6AEC" w14:textId="77777777" w:rsidR="00457BB8" w:rsidRPr="007B0A1A" w:rsidRDefault="00457BB8" w:rsidP="00F1165E">
      <w:pPr>
        <w:pStyle w:val="Piedepgina"/>
        <w:spacing w:line="360" w:lineRule="auto"/>
        <w:jc w:val="both"/>
        <w:rPr>
          <w:rFonts w:ascii="Palatino Linotype" w:hAnsi="Palatino Linotype" w:cs="Arial"/>
          <w:color w:val="000000" w:themeColor="text1"/>
        </w:rPr>
      </w:pPr>
    </w:p>
    <w:p w14:paraId="0CFE005F" w14:textId="3F1D97BC" w:rsidR="002442F5" w:rsidRPr="007B0A1A" w:rsidRDefault="00546F5D" w:rsidP="002442F5">
      <w:pPr>
        <w:spacing w:line="360" w:lineRule="auto"/>
        <w:jc w:val="both"/>
        <w:rPr>
          <w:rFonts w:ascii="Palatino Linotype" w:hAnsi="Palatino Linotype" w:cs="Arial"/>
        </w:rPr>
      </w:pPr>
      <w:r w:rsidRPr="007B0A1A">
        <w:rPr>
          <w:rFonts w:ascii="Palatino Linotype" w:eastAsia="Arial Unicode MS" w:hAnsi="Palatino Linotype" w:cs="Arial"/>
          <w:b/>
          <w:color w:val="000000" w:themeColor="text1"/>
          <w:sz w:val="28"/>
          <w:szCs w:val="28"/>
        </w:rPr>
        <w:lastRenderedPageBreak/>
        <w:t>V</w:t>
      </w:r>
      <w:r w:rsidR="00F00CF8" w:rsidRPr="007B0A1A">
        <w:rPr>
          <w:rFonts w:ascii="Palatino Linotype" w:eastAsia="Arial Unicode MS" w:hAnsi="Palatino Linotype" w:cs="Arial"/>
          <w:b/>
          <w:color w:val="000000" w:themeColor="text1"/>
          <w:sz w:val="28"/>
          <w:szCs w:val="28"/>
        </w:rPr>
        <w:t>II</w:t>
      </w:r>
      <w:r w:rsidR="001D5E99" w:rsidRPr="007B0A1A">
        <w:rPr>
          <w:rFonts w:ascii="Palatino Linotype" w:eastAsia="Arial Unicode MS" w:hAnsi="Palatino Linotype" w:cs="Arial"/>
          <w:b/>
          <w:color w:val="000000" w:themeColor="text1"/>
          <w:sz w:val="28"/>
          <w:szCs w:val="28"/>
        </w:rPr>
        <w:t>I</w:t>
      </w:r>
      <w:r w:rsidRPr="007B0A1A">
        <w:rPr>
          <w:rFonts w:ascii="Palatino Linotype" w:eastAsia="Arial Unicode MS" w:hAnsi="Palatino Linotype" w:cs="Arial"/>
          <w:b/>
          <w:color w:val="000000" w:themeColor="text1"/>
          <w:sz w:val="28"/>
          <w:szCs w:val="28"/>
        </w:rPr>
        <w:t xml:space="preserve">. </w:t>
      </w:r>
      <w:r w:rsidRPr="007B0A1A">
        <w:rPr>
          <w:rFonts w:ascii="Palatino Linotype" w:eastAsia="Arial Unicode MS" w:hAnsi="Palatino Linotype" w:cs="Arial"/>
          <w:color w:val="000000" w:themeColor="text1"/>
        </w:rPr>
        <w:t xml:space="preserve">Conforme a las constancias del </w:t>
      </w:r>
      <w:r w:rsidRPr="007B0A1A">
        <w:rPr>
          <w:rFonts w:ascii="Palatino Linotype" w:eastAsia="Arial Unicode MS" w:hAnsi="Palatino Linotype" w:cs="Arial"/>
          <w:b/>
          <w:color w:val="000000" w:themeColor="text1"/>
        </w:rPr>
        <w:t>SAIMEX</w:t>
      </w:r>
      <w:r w:rsidRPr="007B0A1A">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7B0A1A">
        <w:rPr>
          <w:rFonts w:ascii="Palatino Linotype" w:eastAsia="Arial Unicode MS" w:hAnsi="Palatino Linotype" w:cs="Arial"/>
          <w:b/>
          <w:color w:val="000000" w:themeColor="text1"/>
        </w:rPr>
        <w:t>RECURRENTE</w:t>
      </w:r>
      <w:r w:rsidRPr="007B0A1A">
        <w:rPr>
          <w:rFonts w:ascii="Palatino Linotype" w:eastAsia="Arial Unicode MS" w:hAnsi="Palatino Linotype" w:cs="Arial"/>
          <w:color w:val="000000" w:themeColor="text1"/>
        </w:rPr>
        <w:t xml:space="preserve">, éste no realizó manifestación alguna, </w:t>
      </w:r>
      <w:r w:rsidR="002442F5" w:rsidRPr="007B0A1A">
        <w:rPr>
          <w:rFonts w:ascii="Palatino Linotype" w:eastAsia="Arial Unicode MS" w:hAnsi="Palatino Linotype" w:cs="Arial"/>
          <w:color w:val="000000" w:themeColor="text1"/>
        </w:rPr>
        <w:t xml:space="preserve">ni presentó pruebas o alegatos </w:t>
      </w:r>
      <w:r w:rsidR="002442F5" w:rsidRPr="007B0A1A">
        <w:rPr>
          <w:rFonts w:ascii="Palatino Linotype" w:hAnsi="Palatino Linotype" w:cs="Arial"/>
        </w:rPr>
        <w:t xml:space="preserve">que a su derecho convinieran. </w:t>
      </w:r>
    </w:p>
    <w:p w14:paraId="07610280" w14:textId="77777777" w:rsidR="002442F5" w:rsidRPr="007B0A1A" w:rsidRDefault="002442F5" w:rsidP="002442F5">
      <w:pPr>
        <w:pStyle w:val="Prrafodelista"/>
        <w:spacing w:line="360" w:lineRule="auto"/>
        <w:ind w:left="0"/>
        <w:jc w:val="both"/>
        <w:rPr>
          <w:rFonts w:ascii="Palatino Linotype" w:hAnsi="Palatino Linotype" w:cs="Arial"/>
        </w:rPr>
      </w:pPr>
    </w:p>
    <w:p w14:paraId="2FA98EA4" w14:textId="25AE26C4" w:rsidR="002442F5" w:rsidRPr="007B0A1A" w:rsidRDefault="002442F5" w:rsidP="002442F5">
      <w:pPr>
        <w:pStyle w:val="Prrafodelista"/>
        <w:spacing w:line="360" w:lineRule="auto"/>
        <w:ind w:left="0"/>
        <w:jc w:val="both"/>
        <w:rPr>
          <w:rFonts w:ascii="Palatino Linotype" w:hAnsi="Palatino Linotype" w:cs="Arial"/>
        </w:rPr>
      </w:pPr>
      <w:r w:rsidRPr="007B0A1A">
        <w:rPr>
          <w:rFonts w:ascii="Palatino Linotype" w:hAnsi="Palatino Linotype" w:cs="Arial"/>
        </w:rPr>
        <w:t xml:space="preserve">Por su parte </w:t>
      </w:r>
      <w:r w:rsidRPr="007B0A1A">
        <w:rPr>
          <w:rFonts w:ascii="Palatino Linotype" w:hAnsi="Palatino Linotype" w:cs="Arial"/>
          <w:b/>
        </w:rPr>
        <w:t>EL SUJETO OBLIGADO,</w:t>
      </w:r>
      <w:r w:rsidRPr="007B0A1A">
        <w:rPr>
          <w:rFonts w:ascii="Palatino Linotype" w:hAnsi="Palatino Linotype" w:cs="Arial"/>
        </w:rPr>
        <w:t xml:space="preserve"> </w:t>
      </w:r>
      <w:r w:rsidR="00357ADF" w:rsidRPr="007B0A1A">
        <w:rPr>
          <w:rFonts w:ascii="Palatino Linotype" w:hAnsi="Palatino Linotype" w:cs="Arial"/>
        </w:rPr>
        <w:t>en fecha tres</w:t>
      </w:r>
      <w:r w:rsidRPr="007B0A1A">
        <w:rPr>
          <w:rFonts w:ascii="Palatino Linotype" w:hAnsi="Palatino Linotype" w:cs="Arial"/>
        </w:rPr>
        <w:t xml:space="preserve"> de septiembre de dos mil veintiuno, remitió el </w:t>
      </w:r>
      <w:r w:rsidRPr="007B0A1A">
        <w:rPr>
          <w:rFonts w:ascii="Palatino Linotype" w:hAnsi="Palatino Linotype"/>
          <w:color w:val="000000" w:themeColor="text1"/>
        </w:rPr>
        <w:t>archivo</w:t>
      </w:r>
      <w:r w:rsidRPr="007B0A1A">
        <w:rPr>
          <w:rFonts w:ascii="Palatino Linotype" w:hAnsi="Palatino Linotype" w:cs="Arial"/>
          <w:color w:val="000000" w:themeColor="text1"/>
        </w:rPr>
        <w:t xml:space="preserve"> electrónico </w:t>
      </w:r>
      <w:r w:rsidRPr="007B0A1A">
        <w:rPr>
          <w:rFonts w:ascii="Palatino Linotype" w:hAnsi="Palatino Linotype" w:cs="Arial"/>
          <w:b/>
          <w:color w:val="000000" w:themeColor="text1"/>
        </w:rPr>
        <w:t>Informe Justificado 04077-2021 (1).pdf</w:t>
      </w:r>
      <w:r w:rsidR="002447BD" w:rsidRPr="007B0A1A">
        <w:rPr>
          <w:rFonts w:ascii="Palatino Linotype" w:hAnsi="Palatino Linotype" w:cs="Arial"/>
          <w:b/>
          <w:color w:val="000000" w:themeColor="text1"/>
        </w:rPr>
        <w:t xml:space="preserve">; </w:t>
      </w:r>
      <w:r w:rsidRPr="007B0A1A">
        <w:rPr>
          <w:rFonts w:ascii="Palatino Linotype" w:hAnsi="Palatino Linotype" w:cs="Arial"/>
          <w:color w:val="000000" w:themeColor="text1"/>
        </w:rPr>
        <w:t>oficio que</w:t>
      </w:r>
      <w:r w:rsidRPr="007B0A1A">
        <w:rPr>
          <w:rFonts w:ascii="Palatino Linotype" w:hAnsi="Palatino Linotype" w:cs="Arial"/>
        </w:rPr>
        <w:t xml:space="preserve"> al encuadrar en el supuesto contenido en la fracción III del artículo 185 de la Ley de Transparencia y Acceso a la Información Pública del Estado de México y Municipios, fue puesto a disposición del particular en fecha </w:t>
      </w:r>
      <w:r w:rsidR="007E12D6" w:rsidRPr="007B0A1A">
        <w:rPr>
          <w:rFonts w:ascii="Palatino Linotype" w:hAnsi="Palatino Linotype" w:cs="Arial"/>
        </w:rPr>
        <w:t>seis de septiembre</w:t>
      </w:r>
      <w:r w:rsidRPr="007B0A1A">
        <w:rPr>
          <w:rFonts w:ascii="Palatino Linotype" w:hAnsi="Palatino Linotype" w:cs="Arial"/>
        </w:rPr>
        <w:t xml:space="preserve"> de dos mil veintiuno, a fin de que éste manifestara lo que a su derecho considerara conveniente; tal y como se aprecia en la imagen inserta:</w:t>
      </w:r>
    </w:p>
    <w:p w14:paraId="219942E6" w14:textId="5C82806B" w:rsidR="001D5E99" w:rsidRPr="007B0A1A" w:rsidRDefault="002442F5" w:rsidP="00F1165E">
      <w:pPr>
        <w:spacing w:line="360" w:lineRule="auto"/>
        <w:jc w:val="both"/>
        <w:rPr>
          <w:rFonts w:ascii="Palatino Linotype" w:hAnsi="Palatino Linotype"/>
          <w:b/>
          <w:color w:val="000000" w:themeColor="text1"/>
          <w:sz w:val="28"/>
          <w:szCs w:val="28"/>
        </w:rPr>
      </w:pPr>
      <w:r w:rsidRPr="007B0A1A">
        <w:rPr>
          <w:noProof/>
          <w:lang w:eastAsia="es-MX"/>
        </w:rPr>
        <w:drawing>
          <wp:inline distT="0" distB="0" distL="0" distR="0" wp14:anchorId="1585645D" wp14:editId="3083A167">
            <wp:extent cx="5791835" cy="203517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35175"/>
                    </a:xfrm>
                    <a:prstGeom prst="rect">
                      <a:avLst/>
                    </a:prstGeom>
                  </pic:spPr>
                </pic:pic>
              </a:graphicData>
            </a:graphic>
          </wp:inline>
        </w:drawing>
      </w:r>
    </w:p>
    <w:p w14:paraId="576962BC" w14:textId="77777777" w:rsidR="001D5E99" w:rsidRPr="007B0A1A" w:rsidRDefault="001D5E99" w:rsidP="00F1165E">
      <w:pPr>
        <w:spacing w:line="360" w:lineRule="auto"/>
        <w:jc w:val="both"/>
        <w:rPr>
          <w:rFonts w:ascii="Palatino Linotype" w:hAnsi="Palatino Linotype"/>
          <w:b/>
          <w:color w:val="000000" w:themeColor="text1"/>
          <w:sz w:val="28"/>
          <w:szCs w:val="28"/>
        </w:rPr>
      </w:pPr>
    </w:p>
    <w:p w14:paraId="43254135" w14:textId="3FC73EED" w:rsidR="007757F2" w:rsidRPr="007B0A1A" w:rsidRDefault="00F00CF8" w:rsidP="00F1165E">
      <w:pPr>
        <w:spacing w:line="360" w:lineRule="auto"/>
        <w:jc w:val="both"/>
        <w:rPr>
          <w:rFonts w:ascii="Palatino Linotype" w:hAnsi="Palatino Linotype"/>
          <w:color w:val="000000" w:themeColor="text1"/>
        </w:rPr>
      </w:pPr>
      <w:r w:rsidRPr="007B0A1A">
        <w:rPr>
          <w:rFonts w:ascii="Palatino Linotype" w:hAnsi="Palatino Linotype"/>
          <w:b/>
          <w:color w:val="000000" w:themeColor="text1"/>
          <w:sz w:val="28"/>
          <w:szCs w:val="28"/>
        </w:rPr>
        <w:t>IX</w:t>
      </w:r>
      <w:r w:rsidR="007757F2" w:rsidRPr="007B0A1A">
        <w:rPr>
          <w:rFonts w:ascii="Palatino Linotype" w:hAnsi="Palatino Linotype"/>
          <w:b/>
          <w:color w:val="000000" w:themeColor="text1"/>
          <w:sz w:val="28"/>
          <w:szCs w:val="28"/>
        </w:rPr>
        <w:t xml:space="preserve">. </w:t>
      </w:r>
      <w:r w:rsidR="007757F2" w:rsidRPr="007B0A1A">
        <w:rPr>
          <w:rFonts w:ascii="Palatino Linotype" w:hAnsi="Palatino Linotype"/>
          <w:color w:val="000000" w:themeColor="text1"/>
        </w:rPr>
        <w:t xml:space="preserve">En fecha </w:t>
      </w:r>
      <w:r w:rsidR="007E12D6" w:rsidRPr="007B0A1A">
        <w:rPr>
          <w:rFonts w:ascii="Palatino Linotype" w:hAnsi="Palatino Linotype"/>
          <w:color w:val="000000" w:themeColor="text1"/>
        </w:rPr>
        <w:t>trece</w:t>
      </w:r>
      <w:r w:rsidR="0022054B" w:rsidRPr="007B0A1A">
        <w:rPr>
          <w:rFonts w:ascii="Palatino Linotype" w:hAnsi="Palatino Linotype"/>
          <w:color w:val="000000" w:themeColor="text1"/>
        </w:rPr>
        <w:t xml:space="preserve"> </w:t>
      </w:r>
      <w:r w:rsidR="00DC3755" w:rsidRPr="007B0A1A">
        <w:rPr>
          <w:rFonts w:ascii="Palatino Linotype" w:hAnsi="Palatino Linotype"/>
          <w:color w:val="000000" w:themeColor="text1"/>
        </w:rPr>
        <w:t xml:space="preserve">de </w:t>
      </w:r>
      <w:r w:rsidR="00262377" w:rsidRPr="007B0A1A">
        <w:rPr>
          <w:rFonts w:ascii="Palatino Linotype" w:hAnsi="Palatino Linotype"/>
          <w:color w:val="000000" w:themeColor="text1"/>
        </w:rPr>
        <w:t>septiembre</w:t>
      </w:r>
      <w:r w:rsidR="00DC3755" w:rsidRPr="007B0A1A">
        <w:rPr>
          <w:rFonts w:ascii="Palatino Linotype" w:hAnsi="Palatino Linotype"/>
          <w:color w:val="000000" w:themeColor="text1"/>
        </w:rPr>
        <w:t xml:space="preserve"> </w:t>
      </w:r>
      <w:r w:rsidR="003354F8" w:rsidRPr="007B0A1A">
        <w:rPr>
          <w:rFonts w:ascii="Palatino Linotype" w:hAnsi="Palatino Linotype"/>
          <w:color w:val="000000" w:themeColor="text1"/>
        </w:rPr>
        <w:t>de dos mil veintiuno</w:t>
      </w:r>
      <w:r w:rsidR="007757F2" w:rsidRPr="007B0A1A">
        <w:rPr>
          <w:rFonts w:ascii="Palatino Linotype" w:hAnsi="Palatino Linotype"/>
          <w:color w:val="000000" w:themeColor="text1"/>
        </w:rPr>
        <w:t>, se notificó a las partes el Acuerdo de Cierre de Instrucción</w:t>
      </w:r>
      <w:r w:rsidR="00D900CC" w:rsidRPr="007B0A1A">
        <w:rPr>
          <w:rFonts w:ascii="Palatino Linotype" w:hAnsi="Palatino Linotype"/>
          <w:color w:val="000000" w:themeColor="text1"/>
        </w:rPr>
        <w:t>.</w:t>
      </w:r>
    </w:p>
    <w:p w14:paraId="07436EEA" w14:textId="77777777" w:rsidR="007757F2" w:rsidRPr="007B0A1A" w:rsidRDefault="007757F2" w:rsidP="00F1165E">
      <w:pPr>
        <w:spacing w:line="360" w:lineRule="auto"/>
        <w:jc w:val="both"/>
        <w:rPr>
          <w:rFonts w:ascii="Palatino Linotype" w:hAnsi="Palatino Linotype"/>
          <w:color w:val="000000" w:themeColor="text1"/>
        </w:rPr>
      </w:pPr>
    </w:p>
    <w:p w14:paraId="6063395B" w14:textId="0A7CE096" w:rsidR="00F977A4" w:rsidRPr="007B0A1A" w:rsidRDefault="00F00CF8" w:rsidP="00F1165E">
      <w:pPr>
        <w:spacing w:line="360" w:lineRule="auto"/>
        <w:jc w:val="both"/>
        <w:rPr>
          <w:rFonts w:ascii="Palatino Linotype" w:hAnsi="Palatino Linotype" w:cs="Arial"/>
          <w:color w:val="000000" w:themeColor="text1"/>
        </w:rPr>
      </w:pPr>
      <w:r w:rsidRPr="007B0A1A">
        <w:rPr>
          <w:rFonts w:ascii="Palatino Linotype" w:hAnsi="Palatino Linotype"/>
          <w:b/>
          <w:color w:val="000000" w:themeColor="text1"/>
          <w:sz w:val="28"/>
          <w:szCs w:val="28"/>
        </w:rPr>
        <w:t>X</w:t>
      </w:r>
      <w:r w:rsidR="00F977A4" w:rsidRPr="007B0A1A">
        <w:rPr>
          <w:rFonts w:ascii="Palatino Linotype" w:hAnsi="Palatino Linotype"/>
          <w:b/>
          <w:color w:val="000000" w:themeColor="text1"/>
          <w:sz w:val="28"/>
          <w:szCs w:val="28"/>
        </w:rPr>
        <w:t xml:space="preserve">. </w:t>
      </w:r>
      <w:r w:rsidR="00F977A4" w:rsidRPr="007B0A1A">
        <w:rPr>
          <w:rFonts w:ascii="Palatino Linotype" w:hAnsi="Palatino Linotype" w:cs="Arial"/>
          <w:color w:val="000000" w:themeColor="text1"/>
        </w:rPr>
        <w:t>Con fundamento en el artículo 185 fracción VIII de la Ley de Transparencia y Acceso a la Información Pública del Estado de México y Municipios, se remitió el expediente a efecto de que la Comisionada</w:t>
      </w:r>
      <w:r w:rsidR="00262377" w:rsidRPr="007B0A1A">
        <w:rPr>
          <w:rFonts w:ascii="Palatino Linotype" w:hAnsi="Palatino Linotype" w:cs="Arial"/>
          <w:color w:val="000000" w:themeColor="text1"/>
        </w:rPr>
        <w:t xml:space="preserve"> </w:t>
      </w:r>
      <w:r w:rsidR="00262377" w:rsidRPr="007B0A1A">
        <w:rPr>
          <w:rFonts w:ascii="Palatino Linotype" w:hAnsi="Palatino Linotype" w:cs="Arial"/>
          <w:b/>
          <w:color w:val="000000" w:themeColor="text1"/>
        </w:rPr>
        <w:t>S</w:t>
      </w:r>
      <w:r w:rsidR="00CD40EB" w:rsidRPr="007B0A1A">
        <w:rPr>
          <w:rFonts w:ascii="Palatino Linotype" w:hAnsi="Palatino Linotype" w:cs="Arial"/>
          <w:b/>
          <w:color w:val="000000" w:themeColor="text1"/>
        </w:rPr>
        <w:t>haron</w:t>
      </w:r>
      <w:r w:rsidR="00262377" w:rsidRPr="007B0A1A">
        <w:rPr>
          <w:rFonts w:ascii="Palatino Linotype" w:hAnsi="Palatino Linotype" w:cs="Arial"/>
          <w:b/>
          <w:color w:val="000000" w:themeColor="text1"/>
        </w:rPr>
        <w:t xml:space="preserve"> C</w:t>
      </w:r>
      <w:r w:rsidR="00CD40EB" w:rsidRPr="007B0A1A">
        <w:rPr>
          <w:rFonts w:ascii="Palatino Linotype" w:hAnsi="Palatino Linotype" w:cs="Arial"/>
          <w:b/>
          <w:color w:val="000000" w:themeColor="text1"/>
        </w:rPr>
        <w:t>ristina</w:t>
      </w:r>
      <w:r w:rsidR="00262377" w:rsidRPr="007B0A1A">
        <w:rPr>
          <w:rFonts w:ascii="Palatino Linotype" w:hAnsi="Palatino Linotype" w:cs="Arial"/>
          <w:b/>
          <w:color w:val="000000" w:themeColor="text1"/>
        </w:rPr>
        <w:t xml:space="preserve"> M</w:t>
      </w:r>
      <w:r w:rsidR="00CD40EB" w:rsidRPr="007B0A1A">
        <w:rPr>
          <w:rFonts w:ascii="Palatino Linotype" w:hAnsi="Palatino Linotype" w:cs="Arial"/>
          <w:b/>
          <w:color w:val="000000" w:themeColor="text1"/>
        </w:rPr>
        <w:t>orales</w:t>
      </w:r>
      <w:r w:rsidR="00262377" w:rsidRPr="007B0A1A">
        <w:rPr>
          <w:rFonts w:ascii="Palatino Linotype" w:hAnsi="Palatino Linotype" w:cs="Arial"/>
          <w:b/>
          <w:color w:val="000000" w:themeColor="text1"/>
        </w:rPr>
        <w:t xml:space="preserve"> M</w:t>
      </w:r>
      <w:r w:rsidR="00CD40EB" w:rsidRPr="007B0A1A">
        <w:rPr>
          <w:rFonts w:ascii="Palatino Linotype" w:hAnsi="Palatino Linotype" w:cs="Arial"/>
          <w:b/>
          <w:color w:val="000000" w:themeColor="text1"/>
        </w:rPr>
        <w:t>artínez</w:t>
      </w:r>
      <w:r w:rsidR="00262377" w:rsidRPr="007B0A1A">
        <w:rPr>
          <w:rFonts w:ascii="Palatino Linotype" w:hAnsi="Palatino Linotype" w:cs="Arial"/>
          <w:b/>
          <w:color w:val="000000" w:themeColor="text1"/>
        </w:rPr>
        <w:t xml:space="preserve"> </w:t>
      </w:r>
      <w:r w:rsidR="00F977A4" w:rsidRPr="007B0A1A">
        <w:rPr>
          <w:rFonts w:ascii="Palatino Linotype" w:hAnsi="Palatino Linotype" w:cs="Arial"/>
          <w:color w:val="000000" w:themeColor="text1"/>
        </w:rPr>
        <w:t>formulara y presentara al Pleno el proyecto de resolución correspondiente; y</w:t>
      </w:r>
    </w:p>
    <w:p w14:paraId="372FA71E" w14:textId="77777777" w:rsidR="003703DC" w:rsidRPr="007B0A1A" w:rsidRDefault="003703DC" w:rsidP="00F1165E">
      <w:pPr>
        <w:spacing w:line="360" w:lineRule="auto"/>
        <w:jc w:val="both"/>
        <w:rPr>
          <w:rFonts w:ascii="Palatino Linotype" w:hAnsi="Palatino Linotype" w:cs="Arial"/>
          <w:color w:val="000000" w:themeColor="text1"/>
        </w:rPr>
      </w:pPr>
    </w:p>
    <w:p w14:paraId="3A2AEB89" w14:textId="51B144F7" w:rsidR="003703DC" w:rsidRPr="007B0A1A" w:rsidRDefault="003703DC" w:rsidP="003703DC">
      <w:pPr>
        <w:spacing w:line="360" w:lineRule="auto"/>
        <w:jc w:val="both"/>
        <w:rPr>
          <w:rFonts w:ascii="Palatino Linotype" w:hAnsi="Palatino Linotype" w:cs="Arial"/>
          <w:color w:val="000000" w:themeColor="text1"/>
        </w:rPr>
      </w:pPr>
      <w:r w:rsidRPr="007B0A1A">
        <w:rPr>
          <w:rFonts w:ascii="Palatino Linotype" w:hAnsi="Palatino Linotype" w:cs="Arial"/>
          <w:b/>
          <w:color w:val="000000" w:themeColor="text1"/>
        </w:rPr>
        <w:t>XI.</w:t>
      </w:r>
      <w:r w:rsidRPr="007B0A1A">
        <w:rPr>
          <w:rFonts w:ascii="Palatino Linotype" w:hAnsi="Palatino Linotype" w:cs="Arial"/>
          <w:color w:val="000000" w:themeColor="text1"/>
        </w:rPr>
        <w:t xml:space="preserve"> El cuatro de octubre de dos mil veintiuno, se acordó ampliar el plazo para resolver el recurso de revisión de mérito, por un periodo de hasta quince días hábiles, de conformidad con el artículo 133 de la Ley de Protección de Datos Personales en Posesión de Sujetos Obligados del Estado de México y Municipios; así como, la remisión del mismo a </w:t>
      </w:r>
      <w:r w:rsidRPr="007B0A1A">
        <w:rPr>
          <w:rFonts w:ascii="Palatino Linotype" w:hAnsi="Palatino Linotype" w:cs="Arial"/>
          <w:b/>
          <w:color w:val="000000" w:themeColor="text1"/>
        </w:rPr>
        <w:t>efecto</w:t>
      </w:r>
      <w:r w:rsidRPr="007B0A1A">
        <w:rPr>
          <w:rFonts w:ascii="Palatino Linotype" w:hAnsi="Palatino Linotype" w:cs="Arial"/>
          <w:color w:val="000000" w:themeColor="text1"/>
        </w:rPr>
        <w:t xml:space="preserve"> de ser resuelto, de conformidad con lo establecido en el artículo 185 fracción VI de la Ley de Transparencia y Acceso a la Información Pública del Estado de México y Municipios de aplicación supletoria; y</w:t>
      </w:r>
    </w:p>
    <w:p w14:paraId="4C86D636" w14:textId="77777777" w:rsidR="00F977A4" w:rsidRPr="007B0A1A" w:rsidRDefault="00F977A4" w:rsidP="00F1165E">
      <w:pPr>
        <w:jc w:val="center"/>
        <w:rPr>
          <w:rFonts w:ascii="Palatino Linotype" w:hAnsi="Palatino Linotype"/>
          <w:b/>
          <w:bCs/>
          <w:color w:val="000000" w:themeColor="text1"/>
          <w:spacing w:val="40"/>
          <w:sz w:val="28"/>
        </w:rPr>
      </w:pPr>
    </w:p>
    <w:p w14:paraId="274C22D9" w14:textId="77777777" w:rsidR="00457BB8" w:rsidRPr="007B0A1A" w:rsidRDefault="00457BB8" w:rsidP="00F1165E">
      <w:pPr>
        <w:jc w:val="center"/>
        <w:rPr>
          <w:rFonts w:ascii="Palatino Linotype" w:hAnsi="Palatino Linotype"/>
          <w:b/>
          <w:bCs/>
          <w:color w:val="000000" w:themeColor="text1"/>
          <w:spacing w:val="40"/>
          <w:sz w:val="28"/>
        </w:rPr>
      </w:pPr>
      <w:r w:rsidRPr="007B0A1A">
        <w:rPr>
          <w:rFonts w:ascii="Palatino Linotype" w:hAnsi="Palatino Linotype"/>
          <w:b/>
          <w:bCs/>
          <w:color w:val="000000" w:themeColor="text1"/>
          <w:spacing w:val="40"/>
          <w:sz w:val="28"/>
        </w:rPr>
        <w:t>CONSIDERANDO</w:t>
      </w:r>
    </w:p>
    <w:p w14:paraId="2EE1A9E9" w14:textId="77777777" w:rsidR="00457BB8" w:rsidRPr="007B0A1A" w:rsidRDefault="00457BB8" w:rsidP="00F1165E">
      <w:pPr>
        <w:jc w:val="center"/>
        <w:rPr>
          <w:rFonts w:ascii="Palatino Linotype" w:hAnsi="Palatino Linotype"/>
          <w:b/>
          <w:bCs/>
          <w:color w:val="000000" w:themeColor="text1"/>
          <w:spacing w:val="40"/>
          <w:sz w:val="28"/>
        </w:rPr>
      </w:pPr>
    </w:p>
    <w:p w14:paraId="7A8FC27D" w14:textId="461F1E70" w:rsidR="00CD3257" w:rsidRPr="007B0A1A" w:rsidRDefault="00457BB8" w:rsidP="00F1165E">
      <w:pPr>
        <w:spacing w:line="360" w:lineRule="auto"/>
        <w:ind w:right="50"/>
        <w:jc w:val="both"/>
        <w:rPr>
          <w:rFonts w:ascii="Palatino Linotype" w:hAnsi="Palatino Linotype" w:cs="Arial"/>
          <w:color w:val="000000" w:themeColor="text1"/>
        </w:rPr>
      </w:pPr>
      <w:r w:rsidRPr="007B0A1A">
        <w:rPr>
          <w:rFonts w:ascii="Palatino Linotype" w:hAnsi="Palatino Linotype"/>
          <w:b/>
          <w:color w:val="000000" w:themeColor="text1"/>
          <w:sz w:val="28"/>
          <w:szCs w:val="28"/>
        </w:rPr>
        <w:t>PRIMERO</w:t>
      </w:r>
      <w:r w:rsidRPr="007B0A1A">
        <w:rPr>
          <w:rFonts w:ascii="Palatino Linotype" w:hAnsi="Palatino Linotype"/>
          <w:b/>
          <w:color w:val="000000" w:themeColor="text1"/>
        </w:rPr>
        <w:t>.</w:t>
      </w:r>
      <w:r w:rsidRPr="007B0A1A">
        <w:rPr>
          <w:rFonts w:ascii="Palatino Linotype" w:hAnsi="Palatino Linotype"/>
          <w:color w:val="000000" w:themeColor="text1"/>
        </w:rPr>
        <w:t xml:space="preserve"> </w:t>
      </w:r>
      <w:r w:rsidR="00CD3257" w:rsidRPr="007B0A1A">
        <w:rPr>
          <w:rFonts w:ascii="Palatino Linotype" w:hAnsi="Palatino Linotype"/>
          <w:b/>
          <w:color w:val="000000" w:themeColor="text1"/>
        </w:rPr>
        <w:t>Competencia</w:t>
      </w:r>
      <w:r w:rsidR="00CD3257" w:rsidRPr="007B0A1A">
        <w:rPr>
          <w:rFonts w:ascii="Palatino Linotype" w:hAnsi="Palatino Linotype"/>
          <w:color w:val="000000" w:themeColor="text1"/>
        </w:rPr>
        <w:t>.</w:t>
      </w:r>
      <w:r w:rsidR="00CD3257" w:rsidRPr="007B0A1A">
        <w:rPr>
          <w:rFonts w:ascii="Palatino Linotype" w:hAnsi="Palatino Linotype"/>
          <w:b/>
          <w:color w:val="000000" w:themeColor="text1"/>
        </w:rPr>
        <w:t xml:space="preserve"> </w:t>
      </w:r>
      <w:r w:rsidR="00CD3257" w:rsidRPr="007B0A1A">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w:t>
      </w:r>
      <w:r w:rsidR="00CD3257" w:rsidRPr="007B0A1A">
        <w:rPr>
          <w:rFonts w:ascii="Palatino Linotype" w:hAnsi="Palatino Linotype"/>
          <w:color w:val="000000" w:themeColor="text1"/>
        </w:rPr>
        <w:lastRenderedPageBreak/>
        <w:t>Municipios</w:t>
      </w:r>
      <w:r w:rsidR="00CD3257" w:rsidRPr="007B0A1A">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BAEC2A0" w14:textId="77777777" w:rsidR="005A2A2E" w:rsidRPr="007B0A1A" w:rsidRDefault="005A2A2E" w:rsidP="00F1165E">
      <w:pPr>
        <w:spacing w:line="360" w:lineRule="auto"/>
        <w:ind w:right="50"/>
        <w:jc w:val="both"/>
        <w:rPr>
          <w:rFonts w:ascii="Palatino Linotype" w:hAnsi="Palatino Linotype" w:cs="Arial"/>
          <w:color w:val="000000" w:themeColor="text1"/>
        </w:rPr>
      </w:pPr>
    </w:p>
    <w:p w14:paraId="54E67F03" w14:textId="2FE3C6C5" w:rsidR="00457BB8" w:rsidRPr="007B0A1A" w:rsidRDefault="00457BB8" w:rsidP="00F1165E">
      <w:pPr>
        <w:spacing w:line="360" w:lineRule="auto"/>
        <w:jc w:val="both"/>
        <w:rPr>
          <w:rFonts w:ascii="Palatino Linotype" w:hAnsi="Palatino Linotype" w:cs="Arial"/>
          <w:b/>
          <w:snapToGrid w:val="0"/>
          <w:color w:val="000000" w:themeColor="text1"/>
        </w:rPr>
      </w:pPr>
      <w:r w:rsidRPr="007B0A1A">
        <w:rPr>
          <w:rFonts w:ascii="Palatino Linotype" w:hAnsi="Palatino Linotype" w:cs="Arial"/>
          <w:b/>
          <w:color w:val="000000" w:themeColor="text1"/>
          <w:sz w:val="28"/>
        </w:rPr>
        <w:t>SEGUNDO</w:t>
      </w:r>
      <w:r w:rsidRPr="007B0A1A">
        <w:rPr>
          <w:rFonts w:ascii="Palatino Linotype" w:hAnsi="Palatino Linotype" w:cs="Arial"/>
          <w:b/>
          <w:color w:val="000000" w:themeColor="text1"/>
        </w:rPr>
        <w:t xml:space="preserve">. Interés. </w:t>
      </w:r>
      <w:r w:rsidRPr="007B0A1A">
        <w:rPr>
          <w:rFonts w:ascii="Palatino Linotype" w:hAnsi="Palatino Linotype" w:cs="Arial"/>
          <w:bCs/>
          <w:color w:val="000000" w:themeColor="text1"/>
        </w:rPr>
        <w:t xml:space="preserve">El recurso de revisión fue interpuesto por parte legítima, en atención a que se presentó por </w:t>
      </w:r>
      <w:r w:rsidR="00876E77" w:rsidRPr="007B0A1A">
        <w:rPr>
          <w:rFonts w:ascii="Palatino Linotype" w:hAnsi="Palatino Linotype" w:cs="Arial"/>
          <w:b/>
          <w:bCs/>
          <w:color w:val="000000" w:themeColor="text1"/>
        </w:rPr>
        <w:t>EL</w:t>
      </w:r>
      <w:r w:rsidRPr="007B0A1A">
        <w:rPr>
          <w:rFonts w:ascii="Palatino Linotype" w:hAnsi="Palatino Linotype" w:cs="Arial"/>
          <w:b/>
          <w:bCs/>
          <w:color w:val="000000" w:themeColor="text1"/>
        </w:rPr>
        <w:t xml:space="preserve"> RECURRENTE,</w:t>
      </w:r>
      <w:r w:rsidRPr="007B0A1A">
        <w:rPr>
          <w:rFonts w:ascii="Palatino Linotype" w:hAnsi="Palatino Linotype" w:cs="Arial"/>
          <w:bCs/>
          <w:color w:val="000000" w:themeColor="text1"/>
        </w:rPr>
        <w:t xml:space="preserve"> quien es la misma persona que formuló la solicitud de acceso a la información pública al </w:t>
      </w:r>
      <w:r w:rsidRPr="007B0A1A">
        <w:rPr>
          <w:rFonts w:ascii="Palatino Linotype" w:hAnsi="Palatino Linotype" w:cs="Arial"/>
          <w:b/>
          <w:bCs/>
          <w:color w:val="000000" w:themeColor="text1"/>
        </w:rPr>
        <w:t>SUJETO OBLIGADO.</w:t>
      </w:r>
    </w:p>
    <w:p w14:paraId="29A38B6E" w14:textId="77777777" w:rsidR="00457BB8" w:rsidRPr="007B0A1A" w:rsidRDefault="00457BB8" w:rsidP="00F1165E">
      <w:pPr>
        <w:spacing w:line="360" w:lineRule="auto"/>
        <w:jc w:val="both"/>
        <w:rPr>
          <w:rFonts w:ascii="Palatino Linotype" w:hAnsi="Palatino Linotype" w:cs="Arial"/>
          <w:b/>
          <w:color w:val="000000" w:themeColor="text1"/>
          <w:szCs w:val="28"/>
        </w:rPr>
      </w:pPr>
    </w:p>
    <w:p w14:paraId="0228BFAD" w14:textId="2AB02300" w:rsidR="00457BB8" w:rsidRPr="007B0A1A" w:rsidRDefault="00457BB8" w:rsidP="00F1165E">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7B0A1A">
        <w:rPr>
          <w:rFonts w:ascii="Palatino Linotype" w:hAnsi="Palatino Linotype" w:cs="Arial"/>
          <w:b/>
          <w:color w:val="000000" w:themeColor="text1"/>
          <w:sz w:val="28"/>
          <w:szCs w:val="28"/>
        </w:rPr>
        <w:t xml:space="preserve">TERCERO. </w:t>
      </w:r>
      <w:r w:rsidRPr="007B0A1A">
        <w:rPr>
          <w:rFonts w:ascii="Palatino Linotype" w:hAnsi="Palatino Linotype" w:cs="Arial"/>
          <w:b/>
          <w:color w:val="000000" w:themeColor="text1"/>
        </w:rPr>
        <w:t xml:space="preserve">Oportunidad. </w:t>
      </w:r>
      <w:r w:rsidRPr="007B0A1A">
        <w:rPr>
          <w:rFonts w:ascii="Palatino Linotype" w:hAnsi="Palatino Linotype" w:cs="Arial"/>
          <w:color w:val="000000" w:themeColor="text1"/>
        </w:rPr>
        <w:t xml:space="preserve">El recurso de revisión fue interpuesto dentro del plazo de quince días hábiles contados a partir del día siguiente al en que </w:t>
      </w:r>
      <w:r w:rsidR="00876E77" w:rsidRPr="007B0A1A">
        <w:rPr>
          <w:rFonts w:ascii="Palatino Linotype" w:hAnsi="Palatino Linotype" w:cs="Arial"/>
          <w:b/>
          <w:color w:val="000000" w:themeColor="text1"/>
        </w:rPr>
        <w:t>EL</w:t>
      </w:r>
      <w:r w:rsidRPr="007B0A1A">
        <w:rPr>
          <w:rFonts w:ascii="Palatino Linotype" w:hAnsi="Palatino Linotype" w:cs="Arial"/>
          <w:b/>
          <w:color w:val="000000" w:themeColor="text1"/>
        </w:rPr>
        <w:t xml:space="preserve"> RECURRENTE </w:t>
      </w:r>
      <w:r w:rsidRPr="007B0A1A">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7B0A1A" w:rsidRDefault="00457BB8" w:rsidP="00F1165E">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7B0A1A" w:rsidRDefault="00457BB8" w:rsidP="00F1165E">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B0A1A">
        <w:rPr>
          <w:rFonts w:ascii="Palatino Linotype" w:eastAsiaTheme="minorEastAsia" w:hAnsi="Palatino Linotype" w:cs="Arial"/>
          <w:b/>
          <w:i/>
          <w:color w:val="000000" w:themeColor="text1"/>
          <w:sz w:val="22"/>
          <w:szCs w:val="22"/>
          <w:lang w:val="es-ES_tradnl"/>
        </w:rPr>
        <w:t>“Artículo 178.</w:t>
      </w:r>
      <w:r w:rsidRPr="007B0A1A">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7B0A1A" w:rsidRDefault="00457BB8" w:rsidP="00F1165E">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B0A1A">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7B0A1A" w:rsidRDefault="00457BB8" w:rsidP="00F1165E">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7B0A1A">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7B0A1A">
        <w:rPr>
          <w:rFonts w:ascii="Palatino Linotype" w:eastAsiaTheme="minorEastAsia" w:hAnsi="Palatino Linotype" w:cs="Arial"/>
          <w:b/>
          <w:i/>
          <w:color w:val="000000" w:themeColor="text1"/>
          <w:sz w:val="22"/>
          <w:szCs w:val="22"/>
          <w:lang w:val="es-ES_tradnl"/>
        </w:rPr>
        <w:t>”</w:t>
      </w:r>
    </w:p>
    <w:p w14:paraId="0793AB7B" w14:textId="77777777" w:rsidR="00457BB8" w:rsidRPr="007B0A1A" w:rsidRDefault="00457BB8" w:rsidP="00F1165E">
      <w:pPr>
        <w:ind w:left="851" w:right="902"/>
        <w:jc w:val="both"/>
        <w:rPr>
          <w:rFonts w:ascii="Palatino Linotype" w:eastAsiaTheme="minorEastAsia" w:hAnsi="Palatino Linotype" w:cs="Arial"/>
          <w:color w:val="000000" w:themeColor="text1"/>
          <w:szCs w:val="20"/>
          <w:lang w:val="es-ES_tradnl"/>
        </w:rPr>
      </w:pPr>
    </w:p>
    <w:p w14:paraId="38085FB5" w14:textId="29802259" w:rsidR="00BE7B4E" w:rsidRPr="007B0A1A" w:rsidRDefault="00457BB8" w:rsidP="00F1165E">
      <w:pPr>
        <w:spacing w:line="360" w:lineRule="auto"/>
        <w:jc w:val="both"/>
        <w:rPr>
          <w:rFonts w:ascii="Palatino Linotype" w:hAnsi="Palatino Linotype" w:cs="Arial"/>
        </w:rPr>
      </w:pPr>
      <w:r w:rsidRPr="007B0A1A">
        <w:rPr>
          <w:rFonts w:ascii="Palatino Linotype" w:eastAsiaTheme="minorEastAsia" w:hAnsi="Palatino Linotype" w:cs="Arial"/>
          <w:color w:val="000000" w:themeColor="text1"/>
          <w:lang w:val="es-ES_tradnl"/>
        </w:rPr>
        <w:t xml:space="preserve">En efecto, atendiendo a que </w:t>
      </w:r>
      <w:r w:rsidRPr="007B0A1A">
        <w:rPr>
          <w:rFonts w:ascii="Palatino Linotype" w:eastAsiaTheme="minorEastAsia" w:hAnsi="Palatino Linotype" w:cs="Arial"/>
          <w:b/>
          <w:color w:val="000000" w:themeColor="text1"/>
          <w:lang w:val="es-ES_tradnl"/>
        </w:rPr>
        <w:t>EL SUJETO OBLIGADO</w:t>
      </w:r>
      <w:r w:rsidRPr="007B0A1A">
        <w:rPr>
          <w:rFonts w:ascii="Palatino Linotype" w:eastAsiaTheme="minorEastAsia" w:hAnsi="Palatino Linotype" w:cs="Arial"/>
          <w:color w:val="000000" w:themeColor="text1"/>
          <w:lang w:val="es-ES_tradnl"/>
        </w:rPr>
        <w:t xml:space="preserve"> notificó la respuesta a la solicitud de información pública el </w:t>
      </w:r>
      <w:r w:rsidR="005A12AB" w:rsidRPr="007B0A1A">
        <w:rPr>
          <w:rFonts w:ascii="Palatino Linotype" w:eastAsiaTheme="minorEastAsia" w:hAnsi="Palatino Linotype" w:cs="Arial"/>
          <w:b/>
          <w:color w:val="000000" w:themeColor="text1"/>
          <w:lang w:val="es-ES_tradnl"/>
        </w:rPr>
        <w:t>dieciséis</w:t>
      </w:r>
      <w:r w:rsidR="00B844E9" w:rsidRPr="007B0A1A">
        <w:rPr>
          <w:rFonts w:ascii="Palatino Linotype" w:eastAsiaTheme="minorEastAsia" w:hAnsi="Palatino Linotype" w:cs="Arial"/>
          <w:b/>
          <w:color w:val="000000" w:themeColor="text1"/>
          <w:lang w:val="es-ES_tradnl"/>
        </w:rPr>
        <w:t xml:space="preserve"> </w:t>
      </w:r>
      <w:r w:rsidR="00876E77" w:rsidRPr="007B0A1A">
        <w:rPr>
          <w:rFonts w:ascii="Palatino Linotype" w:eastAsiaTheme="minorEastAsia" w:hAnsi="Palatino Linotype" w:cs="Arial"/>
          <w:b/>
          <w:color w:val="000000" w:themeColor="text1"/>
          <w:lang w:val="es-ES_tradnl"/>
        </w:rPr>
        <w:t xml:space="preserve">de </w:t>
      </w:r>
      <w:r w:rsidR="005A12AB" w:rsidRPr="007B0A1A">
        <w:rPr>
          <w:rFonts w:ascii="Palatino Linotype" w:eastAsiaTheme="minorEastAsia" w:hAnsi="Palatino Linotype" w:cs="Arial"/>
          <w:b/>
          <w:color w:val="000000" w:themeColor="text1"/>
          <w:lang w:val="es-ES_tradnl"/>
        </w:rPr>
        <w:t>agosto</w:t>
      </w:r>
      <w:r w:rsidR="00E12193" w:rsidRPr="007B0A1A">
        <w:rPr>
          <w:rFonts w:ascii="Palatino Linotype" w:eastAsiaTheme="minorEastAsia" w:hAnsi="Palatino Linotype" w:cs="Arial"/>
          <w:b/>
          <w:color w:val="000000" w:themeColor="text1"/>
          <w:lang w:val="es-ES_tradnl"/>
        </w:rPr>
        <w:t xml:space="preserve"> de</w:t>
      </w:r>
      <w:r w:rsidR="00401780" w:rsidRPr="007B0A1A">
        <w:rPr>
          <w:rFonts w:ascii="Palatino Linotype" w:eastAsiaTheme="minorEastAsia" w:hAnsi="Palatino Linotype" w:cs="Arial"/>
          <w:b/>
          <w:color w:val="000000" w:themeColor="text1"/>
          <w:lang w:val="es-ES_tradnl"/>
        </w:rPr>
        <w:t xml:space="preserve"> dos mil </w:t>
      </w:r>
      <w:r w:rsidR="00BE7B4E" w:rsidRPr="007B0A1A">
        <w:rPr>
          <w:rFonts w:ascii="Palatino Linotype" w:eastAsiaTheme="minorEastAsia" w:hAnsi="Palatino Linotype" w:cs="Arial"/>
          <w:b/>
          <w:color w:val="000000" w:themeColor="text1"/>
          <w:lang w:val="es-ES_tradnl"/>
        </w:rPr>
        <w:t>veintiuno</w:t>
      </w:r>
      <w:r w:rsidRPr="007B0A1A">
        <w:rPr>
          <w:rFonts w:ascii="Palatino Linotype" w:eastAsiaTheme="minorEastAsia" w:hAnsi="Palatino Linotype" w:cs="Arial"/>
          <w:b/>
          <w:color w:val="000000" w:themeColor="text1"/>
          <w:lang w:val="es-ES_tradnl"/>
        </w:rPr>
        <w:t xml:space="preserve">; </w:t>
      </w:r>
      <w:r w:rsidRPr="007B0A1A">
        <w:rPr>
          <w:rFonts w:ascii="Palatino Linotype" w:hAnsi="Palatino Linotype" w:cs="Arial"/>
          <w:color w:val="000000" w:themeColor="text1"/>
        </w:rPr>
        <w:t xml:space="preserve">en consecuencia, </w:t>
      </w:r>
      <w:r w:rsidRPr="007B0A1A">
        <w:rPr>
          <w:rFonts w:ascii="Palatino Linotype" w:hAnsi="Palatino Linotype" w:cs="Arial"/>
          <w:color w:val="000000" w:themeColor="text1"/>
        </w:rPr>
        <w:lastRenderedPageBreak/>
        <w:t>el plazo de quince días hábiles que el artículo 178 d</w:t>
      </w:r>
      <w:r w:rsidR="005242AC" w:rsidRPr="007B0A1A">
        <w:rPr>
          <w:rFonts w:ascii="Palatino Linotype" w:hAnsi="Palatino Linotype" w:cs="Arial"/>
          <w:color w:val="000000" w:themeColor="text1"/>
        </w:rPr>
        <w:t>e la ley de la materia otorga a</w:t>
      </w:r>
      <w:r w:rsidR="00876E77" w:rsidRPr="007B0A1A">
        <w:rPr>
          <w:rFonts w:ascii="Palatino Linotype" w:hAnsi="Palatino Linotype" w:cs="Arial"/>
          <w:color w:val="000000" w:themeColor="text1"/>
        </w:rPr>
        <w:t>l</w:t>
      </w:r>
      <w:r w:rsidR="00D900CC" w:rsidRPr="007B0A1A">
        <w:rPr>
          <w:rFonts w:ascii="Palatino Linotype" w:hAnsi="Palatino Linotype" w:cs="Arial"/>
          <w:color w:val="000000" w:themeColor="text1"/>
        </w:rPr>
        <w:t xml:space="preserve"> </w:t>
      </w:r>
      <w:r w:rsidRPr="007B0A1A">
        <w:rPr>
          <w:rFonts w:ascii="Palatino Linotype" w:hAnsi="Palatino Linotype" w:cs="Arial"/>
          <w:b/>
          <w:color w:val="000000" w:themeColor="text1"/>
        </w:rPr>
        <w:t>RECURRENTE</w:t>
      </w:r>
      <w:r w:rsidRPr="007B0A1A">
        <w:rPr>
          <w:rFonts w:ascii="Palatino Linotype" w:hAnsi="Palatino Linotype" w:cs="Arial"/>
          <w:color w:val="000000" w:themeColor="text1"/>
        </w:rPr>
        <w:t xml:space="preserve"> para presentar el recurso de revisión, transcurrió del</w:t>
      </w:r>
      <w:r w:rsidRPr="007B0A1A">
        <w:rPr>
          <w:rFonts w:ascii="Palatino Linotype" w:hAnsi="Palatino Linotype" w:cs="Arial"/>
          <w:b/>
          <w:color w:val="000000" w:themeColor="text1"/>
        </w:rPr>
        <w:t xml:space="preserve"> </w:t>
      </w:r>
      <w:r w:rsidR="005A12AB" w:rsidRPr="007B0A1A">
        <w:rPr>
          <w:rFonts w:ascii="Palatino Linotype" w:hAnsi="Palatino Linotype" w:cs="Arial"/>
          <w:b/>
          <w:color w:val="000000" w:themeColor="text1"/>
        </w:rPr>
        <w:t>diecisiete de agosto</w:t>
      </w:r>
      <w:r w:rsidR="00876E77" w:rsidRPr="007B0A1A">
        <w:rPr>
          <w:rFonts w:ascii="Palatino Linotype" w:hAnsi="Palatino Linotype" w:cs="Arial"/>
          <w:b/>
          <w:color w:val="000000" w:themeColor="text1"/>
        </w:rPr>
        <w:t xml:space="preserve"> al </w:t>
      </w:r>
      <w:r w:rsidR="005A12AB" w:rsidRPr="007B0A1A">
        <w:rPr>
          <w:rFonts w:ascii="Palatino Linotype" w:hAnsi="Palatino Linotype" w:cs="Arial"/>
          <w:b/>
          <w:color w:val="000000" w:themeColor="text1"/>
        </w:rPr>
        <w:t>seis de septiembre</w:t>
      </w:r>
      <w:r w:rsidR="00B844E9" w:rsidRPr="007B0A1A">
        <w:rPr>
          <w:rFonts w:ascii="Palatino Linotype" w:hAnsi="Palatino Linotype" w:cs="Arial"/>
          <w:b/>
          <w:color w:val="000000" w:themeColor="text1"/>
        </w:rPr>
        <w:t xml:space="preserve"> d</w:t>
      </w:r>
      <w:r w:rsidR="00BE7B4E" w:rsidRPr="007B0A1A">
        <w:rPr>
          <w:rFonts w:ascii="Palatino Linotype" w:hAnsi="Palatino Linotype" w:cs="Arial"/>
          <w:b/>
          <w:color w:val="000000" w:themeColor="text1"/>
        </w:rPr>
        <w:t>e dos mil veintiuno</w:t>
      </w:r>
      <w:r w:rsidRPr="007B0A1A">
        <w:rPr>
          <w:rFonts w:ascii="Palatino Linotype" w:hAnsi="Palatino Linotype" w:cs="Arial"/>
          <w:color w:val="000000" w:themeColor="text1"/>
        </w:rPr>
        <w:t xml:space="preserve">, sin contemplar en el cómputo </w:t>
      </w:r>
      <w:r w:rsidR="00A064B3" w:rsidRPr="007B0A1A">
        <w:rPr>
          <w:rFonts w:ascii="Palatino Linotype" w:hAnsi="Palatino Linotype" w:cs="Arial"/>
          <w:color w:val="000000" w:themeColor="text1"/>
        </w:rPr>
        <w:t>veintiuno, veintidós, veintiocho, veintinueve de agosto, cuatro y cinco de septiembre</w:t>
      </w:r>
      <w:r w:rsidR="00523B0C" w:rsidRPr="007B0A1A">
        <w:rPr>
          <w:rFonts w:ascii="Palatino Linotype" w:hAnsi="Palatino Linotype" w:cs="Arial"/>
          <w:color w:val="000000" w:themeColor="text1"/>
        </w:rPr>
        <w:t>,</w:t>
      </w:r>
      <w:r w:rsidR="00CD3257" w:rsidRPr="007B0A1A">
        <w:rPr>
          <w:rFonts w:ascii="Palatino Linotype" w:hAnsi="Palatino Linotype" w:cs="Arial"/>
          <w:color w:val="000000" w:themeColor="text1"/>
        </w:rPr>
        <w:t xml:space="preserve"> </w:t>
      </w:r>
      <w:r w:rsidRPr="007B0A1A">
        <w:rPr>
          <w:rFonts w:ascii="Palatino Linotype" w:hAnsi="Palatino Linotype" w:cs="Arial"/>
          <w:color w:val="000000" w:themeColor="text1"/>
        </w:rPr>
        <w:t>por corresponder a sábados y domingos, considerados como días inhábiles, en términos del artículo 3, fracción X de la Ley de Transparencia y Acceso a la Información Pública del Estado de México y Municipios</w:t>
      </w:r>
      <w:r w:rsidR="00BE7B4E" w:rsidRPr="007B0A1A">
        <w:rPr>
          <w:rFonts w:ascii="Palatino Linotype" w:hAnsi="Palatino Linotype"/>
          <w:color w:val="000000" w:themeColor="text1"/>
        </w:rPr>
        <w:t>.</w:t>
      </w:r>
      <w:r w:rsidR="00BE7B4E" w:rsidRPr="007B0A1A">
        <w:rPr>
          <w:rFonts w:ascii="Palatino Linotype" w:hAnsi="Palatino Linotype" w:cs="Arial"/>
        </w:rPr>
        <w:t xml:space="preserve"> </w:t>
      </w:r>
    </w:p>
    <w:p w14:paraId="3A278668" w14:textId="77777777" w:rsidR="00BE7B4E" w:rsidRPr="007B0A1A" w:rsidRDefault="00BE7B4E" w:rsidP="00F1165E">
      <w:pPr>
        <w:spacing w:line="360" w:lineRule="auto"/>
        <w:jc w:val="both"/>
        <w:rPr>
          <w:rFonts w:ascii="Palatino Linotype" w:hAnsi="Palatino Linotype" w:cs="Arial"/>
          <w:color w:val="000000" w:themeColor="text1"/>
        </w:rPr>
      </w:pPr>
    </w:p>
    <w:p w14:paraId="0E788203" w14:textId="4FA90BFA" w:rsidR="00457BB8" w:rsidRPr="007B0A1A" w:rsidRDefault="00457BB8" w:rsidP="00F1165E">
      <w:pPr>
        <w:spacing w:line="360" w:lineRule="auto"/>
        <w:jc w:val="both"/>
        <w:rPr>
          <w:rFonts w:ascii="Palatino Linotype" w:eastAsiaTheme="minorEastAsia" w:hAnsi="Palatino Linotype" w:cs="Arial"/>
          <w:color w:val="000000" w:themeColor="text1"/>
          <w:lang w:val="es-ES_tradnl"/>
        </w:rPr>
      </w:pPr>
      <w:r w:rsidRPr="007B0A1A">
        <w:rPr>
          <w:rFonts w:ascii="Palatino Linotype" w:eastAsiaTheme="minorEastAsia" w:hAnsi="Palatino Linotype" w:cs="Arial"/>
          <w:color w:val="000000" w:themeColor="text1"/>
          <w:lang w:val="es-ES_tradnl"/>
        </w:rPr>
        <w:t>En ese tenor, si el recurso de revisión que nos ocupa, se interpuso el</w:t>
      </w:r>
      <w:r w:rsidRPr="007B0A1A">
        <w:rPr>
          <w:rFonts w:ascii="Palatino Linotype" w:eastAsiaTheme="minorEastAsia" w:hAnsi="Palatino Linotype" w:cs="Arial"/>
          <w:b/>
          <w:color w:val="000000" w:themeColor="text1"/>
          <w:lang w:val="es-ES_tradnl"/>
        </w:rPr>
        <w:t xml:space="preserve"> </w:t>
      </w:r>
      <w:r w:rsidR="00F47D79" w:rsidRPr="007B0A1A">
        <w:rPr>
          <w:rFonts w:ascii="Palatino Linotype" w:eastAsiaTheme="minorEastAsia" w:hAnsi="Palatino Linotype" w:cs="Arial"/>
          <w:b/>
          <w:color w:val="000000" w:themeColor="text1"/>
          <w:lang w:val="es-ES_tradnl"/>
        </w:rPr>
        <w:t>dieciocho</w:t>
      </w:r>
      <w:r w:rsidR="00B844E9" w:rsidRPr="007B0A1A">
        <w:rPr>
          <w:rFonts w:ascii="Palatino Linotype" w:eastAsiaTheme="minorEastAsia" w:hAnsi="Palatino Linotype" w:cs="Arial"/>
          <w:b/>
          <w:color w:val="000000" w:themeColor="text1"/>
          <w:lang w:val="es-ES_tradnl"/>
        </w:rPr>
        <w:t xml:space="preserve"> </w:t>
      </w:r>
      <w:r w:rsidR="00876E77" w:rsidRPr="007B0A1A">
        <w:rPr>
          <w:rFonts w:ascii="Palatino Linotype" w:eastAsiaTheme="minorEastAsia" w:hAnsi="Palatino Linotype" w:cs="Arial"/>
          <w:b/>
          <w:color w:val="000000" w:themeColor="text1"/>
          <w:lang w:val="es-ES_tradnl"/>
        </w:rPr>
        <w:t xml:space="preserve">de </w:t>
      </w:r>
      <w:r w:rsidR="00F45802" w:rsidRPr="007B0A1A">
        <w:rPr>
          <w:rFonts w:ascii="Palatino Linotype" w:eastAsiaTheme="minorEastAsia" w:hAnsi="Palatino Linotype" w:cs="Arial"/>
          <w:b/>
          <w:color w:val="000000" w:themeColor="text1"/>
          <w:lang w:val="es-ES_tradnl"/>
        </w:rPr>
        <w:t>agosto</w:t>
      </w:r>
      <w:r w:rsidR="00BE7B4E" w:rsidRPr="007B0A1A">
        <w:rPr>
          <w:rFonts w:ascii="Palatino Linotype" w:eastAsiaTheme="minorEastAsia" w:hAnsi="Palatino Linotype" w:cs="Arial"/>
          <w:b/>
          <w:color w:val="000000" w:themeColor="text1"/>
          <w:lang w:val="es-ES_tradnl"/>
        </w:rPr>
        <w:t xml:space="preserve"> </w:t>
      </w:r>
      <w:r w:rsidR="005071E3" w:rsidRPr="007B0A1A">
        <w:rPr>
          <w:rFonts w:ascii="Palatino Linotype" w:eastAsiaTheme="minorEastAsia" w:hAnsi="Palatino Linotype" w:cs="Arial"/>
          <w:b/>
          <w:color w:val="000000" w:themeColor="text1"/>
          <w:lang w:val="es-ES_tradnl"/>
        </w:rPr>
        <w:t>de</w:t>
      </w:r>
      <w:r w:rsidRPr="007B0A1A">
        <w:rPr>
          <w:rFonts w:ascii="Palatino Linotype" w:eastAsiaTheme="minorEastAsia" w:hAnsi="Palatino Linotype" w:cs="Arial"/>
          <w:b/>
          <w:color w:val="000000" w:themeColor="text1"/>
          <w:lang w:val="es-ES_tradnl"/>
        </w:rPr>
        <w:t xml:space="preserve"> dos mil veint</w:t>
      </w:r>
      <w:r w:rsidR="005071E3" w:rsidRPr="007B0A1A">
        <w:rPr>
          <w:rFonts w:ascii="Palatino Linotype" w:eastAsiaTheme="minorEastAsia" w:hAnsi="Palatino Linotype" w:cs="Arial"/>
          <w:b/>
          <w:color w:val="000000" w:themeColor="text1"/>
          <w:lang w:val="es-ES_tradnl"/>
        </w:rPr>
        <w:t>iuno</w:t>
      </w:r>
      <w:r w:rsidRPr="007B0A1A">
        <w:rPr>
          <w:rFonts w:ascii="Palatino Linotype" w:eastAsiaTheme="minorEastAsia" w:hAnsi="Palatino Linotype" w:cs="Arial"/>
          <w:b/>
          <w:color w:val="000000" w:themeColor="text1"/>
          <w:lang w:val="es-ES_tradnl"/>
        </w:rPr>
        <w:t>,</w:t>
      </w:r>
      <w:r w:rsidRPr="007B0A1A">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40206908" w14:textId="77777777" w:rsidR="00457BB8" w:rsidRPr="007B0A1A" w:rsidRDefault="00457BB8" w:rsidP="00F1165E">
      <w:pPr>
        <w:spacing w:line="360" w:lineRule="auto"/>
        <w:jc w:val="both"/>
        <w:rPr>
          <w:rFonts w:ascii="Palatino Linotype" w:eastAsiaTheme="minorEastAsia" w:hAnsi="Palatino Linotype" w:cs="Arial"/>
          <w:color w:val="000000" w:themeColor="text1"/>
          <w:lang w:val="es-ES_tradnl"/>
        </w:rPr>
      </w:pPr>
    </w:p>
    <w:p w14:paraId="53C69867" w14:textId="2262D7E1" w:rsidR="00E07345" w:rsidRPr="007B0A1A" w:rsidRDefault="00E07345" w:rsidP="00E07345">
      <w:pPr>
        <w:autoSpaceDE w:val="0"/>
        <w:autoSpaceDN w:val="0"/>
        <w:adjustRightInd w:val="0"/>
        <w:spacing w:line="360" w:lineRule="auto"/>
        <w:ind w:right="49"/>
        <w:jc w:val="both"/>
        <w:rPr>
          <w:rFonts w:ascii="Palatino Linotype" w:hAnsi="Palatino Linotype" w:cs="Arial"/>
          <w:b/>
        </w:rPr>
      </w:pPr>
      <w:r w:rsidRPr="007B0A1A">
        <w:rPr>
          <w:rFonts w:ascii="Palatino Linotype" w:hAnsi="Palatino Linotype" w:cs="Arial"/>
          <w:b/>
          <w:sz w:val="28"/>
          <w:szCs w:val="28"/>
        </w:rPr>
        <w:t>CUARTO</w:t>
      </w:r>
      <w:r w:rsidRPr="007B0A1A">
        <w:rPr>
          <w:rFonts w:ascii="Palatino Linotype" w:hAnsi="Palatino Linotype"/>
          <w:b/>
          <w:sz w:val="28"/>
          <w:szCs w:val="28"/>
        </w:rPr>
        <w:t>.</w:t>
      </w:r>
      <w:r w:rsidRPr="007B0A1A">
        <w:rPr>
          <w:rFonts w:ascii="Palatino Linotype" w:hAnsi="Palatino Linotype"/>
          <w:b/>
        </w:rPr>
        <w:t xml:space="preserve"> Procedibilidad. </w:t>
      </w:r>
      <w:r w:rsidRPr="007B0A1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7B0A1A">
        <w:rPr>
          <w:rFonts w:ascii="Palatino Linotype" w:hAnsi="Palatino Linotype"/>
        </w:rPr>
        <w:t xml:space="preserve">Ley de Transparencia y Acceso a la Información Pública del Estado de México y Municipios, en atención a que fue presentado mediante el formato visible en </w:t>
      </w:r>
      <w:r w:rsidRPr="007B0A1A">
        <w:rPr>
          <w:rFonts w:ascii="Palatino Linotype" w:hAnsi="Palatino Linotype"/>
          <w:b/>
        </w:rPr>
        <w:t>EL SAIMEX.</w:t>
      </w:r>
    </w:p>
    <w:p w14:paraId="04D1860E" w14:textId="77777777" w:rsidR="00E07345" w:rsidRPr="007B0A1A" w:rsidRDefault="00E07345" w:rsidP="00E07345">
      <w:pPr>
        <w:spacing w:line="360" w:lineRule="auto"/>
        <w:jc w:val="both"/>
        <w:rPr>
          <w:rFonts w:ascii="Palatino Linotype" w:eastAsiaTheme="minorEastAsia" w:hAnsi="Palatino Linotype" w:cs="Arial"/>
          <w:color w:val="000000" w:themeColor="text1"/>
          <w:lang w:val="es-ES_tradnl"/>
        </w:rPr>
      </w:pPr>
    </w:p>
    <w:p w14:paraId="3DA50405" w14:textId="77777777" w:rsidR="008263BB" w:rsidRPr="007B0A1A" w:rsidRDefault="00E07345" w:rsidP="00E07345">
      <w:pPr>
        <w:spacing w:line="360" w:lineRule="auto"/>
        <w:jc w:val="both"/>
        <w:rPr>
          <w:rFonts w:ascii="Palatino Linotype" w:eastAsiaTheme="minorEastAsia" w:hAnsi="Palatino Linotype" w:cstheme="minorBidi"/>
          <w:b/>
          <w:color w:val="000000" w:themeColor="text1"/>
          <w:lang w:val="es-ES_tradnl"/>
        </w:rPr>
      </w:pPr>
      <w:r w:rsidRPr="007B0A1A">
        <w:rPr>
          <w:rFonts w:ascii="Palatino Linotype" w:hAnsi="Palatino Linotype" w:cs="Arial"/>
          <w:b/>
          <w:color w:val="000000" w:themeColor="text1"/>
          <w:sz w:val="28"/>
          <w:szCs w:val="28"/>
        </w:rPr>
        <w:t>QUINTO</w:t>
      </w:r>
      <w:r w:rsidRPr="007B0A1A">
        <w:rPr>
          <w:rFonts w:ascii="Palatino Linotype" w:hAnsi="Palatino Linotype" w:cs="Arial"/>
          <w:b/>
          <w:color w:val="000000" w:themeColor="text1"/>
        </w:rPr>
        <w:t xml:space="preserve">. </w:t>
      </w:r>
      <w:r w:rsidRPr="007B0A1A">
        <w:rPr>
          <w:rFonts w:ascii="Palatino Linotype" w:eastAsiaTheme="minorEastAsia" w:hAnsi="Palatino Linotype" w:cs="Arial"/>
          <w:b/>
          <w:color w:val="000000" w:themeColor="text1"/>
          <w:lang w:val="es-ES_tradnl"/>
        </w:rPr>
        <w:t>Estudio y resolución del asunto</w:t>
      </w:r>
      <w:r w:rsidRPr="007B0A1A">
        <w:rPr>
          <w:rFonts w:ascii="Palatino Linotype" w:eastAsiaTheme="minorEastAsia" w:hAnsi="Palatino Linotype" w:cstheme="minorBidi"/>
          <w:b/>
          <w:color w:val="000000" w:themeColor="text1"/>
          <w:lang w:val="es-ES_tradnl"/>
        </w:rPr>
        <w:t xml:space="preserve">. </w:t>
      </w:r>
    </w:p>
    <w:p w14:paraId="274E5A5D" w14:textId="77777777" w:rsidR="008263BB" w:rsidRPr="007B0A1A" w:rsidRDefault="008263BB" w:rsidP="008263BB">
      <w:pPr>
        <w:autoSpaceDE w:val="0"/>
        <w:autoSpaceDN w:val="0"/>
        <w:adjustRightInd w:val="0"/>
        <w:spacing w:before="100" w:beforeAutospacing="1" w:after="100" w:afterAutospacing="1" w:line="360" w:lineRule="auto"/>
        <w:ind w:right="51"/>
        <w:jc w:val="both"/>
        <w:rPr>
          <w:rFonts w:ascii="Palatino Linotype" w:hAnsi="Palatino Linotype" w:cs="Arial"/>
        </w:rPr>
      </w:pPr>
      <w:r w:rsidRPr="007B0A1A">
        <w:rPr>
          <w:rFonts w:ascii="Palatino Linotype" w:hAnsi="Palatino Linotype" w:cs="Arial"/>
          <w:b/>
        </w:rPr>
        <w:t>Estudio y resolución del recurso</w:t>
      </w:r>
      <w:r w:rsidRPr="007B0A1A">
        <w:rPr>
          <w:rFonts w:ascii="Palatino Linotype" w:hAnsi="Palatino Linotype" w:cs="Arial"/>
          <w:b/>
          <w:color w:val="000000" w:themeColor="text1"/>
        </w:rPr>
        <w:t>.</w:t>
      </w:r>
      <w:r w:rsidRPr="007B0A1A">
        <w:rPr>
          <w:rFonts w:ascii="Palatino Linotype" w:eastAsiaTheme="minorEastAsia" w:hAnsi="Palatino Linotype" w:cstheme="minorBidi"/>
          <w:b/>
          <w:color w:val="000000" w:themeColor="text1"/>
          <w:lang w:val="es-ES_tradnl"/>
        </w:rPr>
        <w:t xml:space="preserve"> </w:t>
      </w:r>
      <w:r w:rsidRPr="007B0A1A">
        <w:rPr>
          <w:rFonts w:ascii="Palatino Linotype" w:hAnsi="Palatino Linotype" w:cs="Arial"/>
        </w:rPr>
        <w:t>Del análisis efectuado se advierte que el recurso de revisión de que se trata es procedente; toda vez, que se actualiza la hipótesis prevista en la fracción I del artículo 179 de la Ley de la materia, que a la letra indica:</w:t>
      </w:r>
    </w:p>
    <w:p w14:paraId="03ED733C" w14:textId="77777777" w:rsidR="008263BB" w:rsidRPr="007B0A1A" w:rsidRDefault="008263BB" w:rsidP="008263BB">
      <w:pPr>
        <w:autoSpaceDE w:val="0"/>
        <w:autoSpaceDN w:val="0"/>
        <w:adjustRightInd w:val="0"/>
        <w:ind w:left="851" w:right="902"/>
        <w:contextualSpacing/>
        <w:jc w:val="both"/>
        <w:rPr>
          <w:rFonts w:ascii="Palatino Linotype" w:hAnsi="Palatino Linotype" w:cs="Arial"/>
          <w:i/>
        </w:rPr>
      </w:pPr>
      <w:r w:rsidRPr="007B0A1A">
        <w:rPr>
          <w:rFonts w:ascii="Palatino Linotype" w:hAnsi="Palatino Linotype" w:cs="Arial"/>
          <w:i/>
        </w:rPr>
        <w:lastRenderedPageBreak/>
        <w:t>“Artículo 179. El recurso de revisión es un medio de protección que la Ley otorga a los particulares, para hacer valer su derecho de acceso a la información pública, y procederá en contra de las siguientes causas:</w:t>
      </w:r>
    </w:p>
    <w:p w14:paraId="476A8948" w14:textId="77777777" w:rsidR="008263BB" w:rsidRPr="007B0A1A" w:rsidRDefault="008263BB" w:rsidP="008263BB">
      <w:pPr>
        <w:autoSpaceDE w:val="0"/>
        <w:autoSpaceDN w:val="0"/>
        <w:adjustRightInd w:val="0"/>
        <w:ind w:left="851" w:right="902"/>
        <w:contextualSpacing/>
        <w:jc w:val="both"/>
        <w:rPr>
          <w:rFonts w:ascii="Palatino Linotype" w:hAnsi="Palatino Linotype" w:cs="Arial"/>
          <w:i/>
        </w:rPr>
      </w:pPr>
    </w:p>
    <w:p w14:paraId="5D2169BE" w14:textId="66737B58" w:rsidR="008263BB" w:rsidRPr="007B0A1A" w:rsidRDefault="008263BB" w:rsidP="008263BB">
      <w:pPr>
        <w:autoSpaceDE w:val="0"/>
        <w:autoSpaceDN w:val="0"/>
        <w:adjustRightInd w:val="0"/>
        <w:ind w:left="851" w:right="902"/>
        <w:contextualSpacing/>
        <w:jc w:val="both"/>
        <w:rPr>
          <w:rFonts w:ascii="Palatino Linotype" w:hAnsi="Palatino Linotype" w:cs="Arial"/>
          <w:i/>
        </w:rPr>
      </w:pPr>
      <w:r w:rsidRPr="007B0A1A">
        <w:rPr>
          <w:rFonts w:ascii="Palatino Linotype" w:hAnsi="Palatino Linotype" w:cs="Arial"/>
          <w:i/>
        </w:rPr>
        <w:t>V. La entrega de</w:t>
      </w:r>
      <w:r w:rsidR="001B4159" w:rsidRPr="007B0A1A">
        <w:rPr>
          <w:rFonts w:ascii="Palatino Linotype" w:hAnsi="Palatino Linotype" w:cs="Arial"/>
          <w:i/>
        </w:rPr>
        <w:t xml:space="preserve"> </w:t>
      </w:r>
      <w:r w:rsidRPr="007B0A1A">
        <w:rPr>
          <w:rFonts w:ascii="Palatino Linotype" w:hAnsi="Palatino Linotype" w:cs="Arial"/>
          <w:i/>
        </w:rPr>
        <w:t>información</w:t>
      </w:r>
      <w:r w:rsidR="001B4159" w:rsidRPr="007B0A1A">
        <w:rPr>
          <w:rFonts w:ascii="Palatino Linotype" w:hAnsi="Palatino Linotype" w:cs="Arial"/>
          <w:i/>
        </w:rPr>
        <w:t xml:space="preserve"> incompleta</w:t>
      </w:r>
      <w:r w:rsidRPr="007B0A1A">
        <w:rPr>
          <w:rFonts w:ascii="Palatino Linotype" w:hAnsi="Palatino Linotype" w:cs="Arial"/>
          <w:i/>
        </w:rPr>
        <w:t>;</w:t>
      </w:r>
    </w:p>
    <w:p w14:paraId="65E28F03" w14:textId="77777777" w:rsidR="008263BB" w:rsidRPr="007B0A1A" w:rsidRDefault="008263BB" w:rsidP="008263BB">
      <w:pPr>
        <w:autoSpaceDE w:val="0"/>
        <w:autoSpaceDN w:val="0"/>
        <w:adjustRightInd w:val="0"/>
        <w:ind w:left="851" w:right="902"/>
        <w:contextualSpacing/>
        <w:jc w:val="both"/>
        <w:rPr>
          <w:rFonts w:ascii="Palatino Linotype" w:hAnsi="Palatino Linotype" w:cs="Arial"/>
          <w:i/>
        </w:rPr>
      </w:pPr>
      <w:r w:rsidRPr="007B0A1A">
        <w:rPr>
          <w:rFonts w:ascii="Palatino Linotype" w:hAnsi="Palatino Linotype" w:cs="Arial"/>
          <w:i/>
        </w:rPr>
        <w:t>…”</w:t>
      </w:r>
    </w:p>
    <w:p w14:paraId="3F9562FF" w14:textId="77777777" w:rsidR="008263BB" w:rsidRPr="007B0A1A" w:rsidRDefault="008263BB" w:rsidP="008263BB">
      <w:pPr>
        <w:autoSpaceDE w:val="0"/>
        <w:autoSpaceDN w:val="0"/>
        <w:adjustRightInd w:val="0"/>
        <w:ind w:left="851" w:right="902"/>
        <w:contextualSpacing/>
        <w:jc w:val="both"/>
        <w:rPr>
          <w:rFonts w:ascii="Palatino Linotype" w:hAnsi="Palatino Linotype" w:cs="Arial"/>
          <w:i/>
        </w:rPr>
      </w:pPr>
      <w:r w:rsidRPr="007B0A1A">
        <w:rPr>
          <w:rFonts w:ascii="Palatino Linotype" w:hAnsi="Palatino Linotype" w:cs="Arial"/>
          <w:i/>
        </w:rPr>
        <w:t>(Énfasis añadido)</w:t>
      </w:r>
    </w:p>
    <w:p w14:paraId="6103A29B" w14:textId="77777777" w:rsidR="008263BB" w:rsidRPr="007B0A1A" w:rsidRDefault="008263BB" w:rsidP="008263BB">
      <w:pPr>
        <w:autoSpaceDE w:val="0"/>
        <w:autoSpaceDN w:val="0"/>
        <w:adjustRightInd w:val="0"/>
        <w:spacing w:line="360" w:lineRule="auto"/>
        <w:ind w:right="49"/>
        <w:jc w:val="both"/>
        <w:rPr>
          <w:rFonts w:ascii="Palatino Linotype" w:hAnsi="Palatino Linotype" w:cs="Arial"/>
        </w:rPr>
      </w:pPr>
    </w:p>
    <w:p w14:paraId="63820992" w14:textId="2B71DF9B" w:rsidR="008263BB" w:rsidRPr="007B0A1A" w:rsidRDefault="008263BB" w:rsidP="008263BB">
      <w:pPr>
        <w:autoSpaceDE w:val="0"/>
        <w:autoSpaceDN w:val="0"/>
        <w:adjustRightInd w:val="0"/>
        <w:spacing w:line="360" w:lineRule="auto"/>
        <w:ind w:right="49"/>
        <w:jc w:val="both"/>
        <w:rPr>
          <w:rFonts w:ascii="Palatino Linotype" w:hAnsi="Palatino Linotype" w:cs="Arial"/>
        </w:rPr>
      </w:pPr>
      <w:r w:rsidRPr="007B0A1A">
        <w:rPr>
          <w:rFonts w:ascii="Palatino Linotype" w:hAnsi="Palatino Linotype" w:cs="Arial"/>
        </w:rPr>
        <w:t xml:space="preserve">El precepto legal antes citado, establece como supuesto de procedencia del recurso de revisión, cuando </w:t>
      </w:r>
      <w:r w:rsidRPr="007B0A1A">
        <w:rPr>
          <w:rFonts w:ascii="Palatino Linotype" w:hAnsi="Palatino Linotype" w:cs="Arial"/>
          <w:b/>
        </w:rPr>
        <w:t>EL SUJETO OBLIGADO</w:t>
      </w:r>
      <w:r w:rsidRPr="007B0A1A">
        <w:rPr>
          <w:rFonts w:ascii="Palatino Linotype" w:hAnsi="Palatino Linotype" w:cs="Arial"/>
        </w:rPr>
        <w:t>, entrega información</w:t>
      </w:r>
      <w:r w:rsidR="001B4159" w:rsidRPr="007B0A1A">
        <w:rPr>
          <w:rFonts w:ascii="Palatino Linotype" w:hAnsi="Palatino Linotype" w:cs="Arial"/>
        </w:rPr>
        <w:t xml:space="preserve"> de manera incompleta a</w:t>
      </w:r>
      <w:r w:rsidRPr="007B0A1A">
        <w:rPr>
          <w:rFonts w:ascii="Palatino Linotype" w:hAnsi="Palatino Linotype" w:cs="Arial"/>
        </w:rPr>
        <w:t xml:space="preserve"> lo solicitado por el peticionario</w:t>
      </w:r>
      <w:r w:rsidR="001B4159" w:rsidRPr="007B0A1A">
        <w:rPr>
          <w:rFonts w:ascii="Palatino Linotype" w:hAnsi="Palatino Linotype" w:cs="Arial"/>
        </w:rPr>
        <w:t>.</w:t>
      </w:r>
    </w:p>
    <w:p w14:paraId="78AFFAB0" w14:textId="77777777" w:rsidR="008263BB" w:rsidRPr="007B0A1A" w:rsidRDefault="008263BB" w:rsidP="008263BB">
      <w:pPr>
        <w:autoSpaceDE w:val="0"/>
        <w:autoSpaceDN w:val="0"/>
        <w:adjustRightInd w:val="0"/>
        <w:spacing w:line="360" w:lineRule="auto"/>
        <w:ind w:right="49"/>
        <w:jc w:val="both"/>
        <w:rPr>
          <w:rFonts w:ascii="Palatino Linotype" w:hAnsi="Palatino Linotype" w:cs="Arial"/>
          <w:color w:val="000000" w:themeColor="text1"/>
        </w:rPr>
      </w:pPr>
    </w:p>
    <w:p w14:paraId="16993CB3" w14:textId="77777777" w:rsidR="00E07345" w:rsidRPr="007B0A1A" w:rsidRDefault="00E07345" w:rsidP="00E07345">
      <w:pPr>
        <w:spacing w:line="360" w:lineRule="auto"/>
        <w:jc w:val="both"/>
        <w:rPr>
          <w:rFonts w:ascii="Palatino Linotype" w:hAnsi="Palatino Linotype" w:cs="Arial"/>
          <w:color w:val="000000" w:themeColor="text1"/>
        </w:rPr>
      </w:pPr>
    </w:p>
    <w:p w14:paraId="0FBA5EF2" w14:textId="77777777" w:rsidR="00E07345" w:rsidRPr="007B0A1A" w:rsidRDefault="00E07345" w:rsidP="00E07345">
      <w:pPr>
        <w:spacing w:line="360" w:lineRule="auto"/>
        <w:jc w:val="both"/>
        <w:rPr>
          <w:rFonts w:ascii="Palatino Linotype" w:hAnsi="Palatino Linotype"/>
          <w:color w:val="222222"/>
          <w:lang w:eastAsia="es-MX"/>
        </w:rPr>
      </w:pPr>
      <w:r w:rsidRPr="007B0A1A">
        <w:rPr>
          <w:rFonts w:ascii="Palatino Linotype" w:hAnsi="Palatino Linotype"/>
          <w:color w:val="222222"/>
          <w:lang w:eastAsia="es-MX"/>
        </w:rPr>
        <w:t xml:space="preserve">Primeramente, se precisa que se obvia el análisis de la competencia por parte del </w:t>
      </w:r>
      <w:r w:rsidRPr="007B0A1A">
        <w:rPr>
          <w:rFonts w:ascii="Palatino Linotype" w:hAnsi="Palatino Linotype"/>
          <w:b/>
          <w:bCs/>
          <w:color w:val="222222"/>
          <w:lang w:eastAsia="es-MX"/>
        </w:rPr>
        <w:t>SUJETO OBLIGADO</w:t>
      </w:r>
      <w:r w:rsidRPr="007B0A1A">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14:paraId="7BD91B10" w14:textId="77777777" w:rsidR="00E07345" w:rsidRPr="007B0A1A" w:rsidRDefault="00E07345" w:rsidP="00E07345">
      <w:pPr>
        <w:spacing w:line="360" w:lineRule="auto"/>
        <w:jc w:val="both"/>
        <w:rPr>
          <w:rFonts w:ascii="Palatino Linotype" w:hAnsi="Palatino Linotype"/>
          <w:color w:val="222222"/>
          <w:lang w:eastAsia="es-MX"/>
        </w:rPr>
      </w:pPr>
    </w:p>
    <w:p w14:paraId="52F03B02" w14:textId="77777777" w:rsidR="00E07345" w:rsidRPr="007B0A1A" w:rsidRDefault="00E07345" w:rsidP="00E07345">
      <w:pPr>
        <w:spacing w:line="360" w:lineRule="auto"/>
        <w:jc w:val="both"/>
        <w:rPr>
          <w:rFonts w:ascii="Palatino Linotype" w:hAnsi="Palatino Linotype"/>
          <w:color w:val="222222"/>
          <w:lang w:eastAsia="es-MX"/>
        </w:rPr>
      </w:pPr>
      <w:r w:rsidRPr="007B0A1A">
        <w:rPr>
          <w:rFonts w:ascii="Palatino Linotype" w:hAnsi="Palatino Linotype"/>
          <w:color w:val="222222"/>
          <w:lang w:eastAsia="es-MX"/>
        </w:rPr>
        <w:t xml:space="preserve">En efecto, el hecho de que </w:t>
      </w:r>
      <w:r w:rsidRPr="007B0A1A">
        <w:rPr>
          <w:rFonts w:ascii="Palatino Linotype" w:hAnsi="Palatino Linotype"/>
          <w:b/>
          <w:bCs/>
          <w:color w:val="222222"/>
          <w:lang w:eastAsia="es-MX"/>
        </w:rPr>
        <w:t>EL SUJETO OBLIGADO</w:t>
      </w:r>
      <w:r w:rsidRPr="007B0A1A">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6514A1DA" w14:textId="77777777" w:rsidR="00E07345" w:rsidRPr="007B0A1A" w:rsidRDefault="00E07345" w:rsidP="00E07345">
      <w:pPr>
        <w:jc w:val="both"/>
        <w:rPr>
          <w:rFonts w:ascii="Palatino Linotype" w:hAnsi="Palatino Linotype"/>
          <w:color w:val="222222"/>
          <w:lang w:eastAsia="es-MX"/>
        </w:rPr>
      </w:pPr>
    </w:p>
    <w:p w14:paraId="63921823" w14:textId="77777777" w:rsidR="00E07345" w:rsidRPr="007B0A1A" w:rsidRDefault="00E07345" w:rsidP="00E07345">
      <w:pPr>
        <w:shd w:val="clear" w:color="auto" w:fill="FFFFFF"/>
        <w:ind w:left="851" w:right="902"/>
        <w:jc w:val="both"/>
        <w:rPr>
          <w:rFonts w:ascii="Palatino Linotype" w:hAnsi="Palatino Linotype"/>
          <w:color w:val="222222"/>
          <w:lang w:eastAsia="es-MX"/>
        </w:rPr>
      </w:pPr>
      <w:r w:rsidRPr="007B0A1A">
        <w:rPr>
          <w:rFonts w:ascii="Palatino Linotype" w:hAnsi="Palatino Linotype"/>
          <w:i/>
          <w:iCs/>
          <w:color w:val="222222"/>
          <w:sz w:val="22"/>
          <w:szCs w:val="22"/>
          <w:lang w:eastAsia="es-MX"/>
        </w:rPr>
        <w:t>“</w:t>
      </w:r>
      <w:r w:rsidRPr="007B0A1A">
        <w:rPr>
          <w:rFonts w:ascii="Palatino Linotype" w:hAnsi="Palatino Linotype"/>
          <w:b/>
          <w:bCs/>
          <w:i/>
          <w:iCs/>
          <w:color w:val="222222"/>
          <w:sz w:val="22"/>
          <w:szCs w:val="22"/>
          <w:lang w:eastAsia="es-MX"/>
        </w:rPr>
        <w:t>Artículo 12.</w:t>
      </w:r>
      <w:r w:rsidRPr="007B0A1A">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76B4DECA" w14:textId="77777777" w:rsidR="00E07345" w:rsidRPr="007B0A1A" w:rsidRDefault="00E07345" w:rsidP="00E07345">
      <w:pPr>
        <w:shd w:val="clear" w:color="auto" w:fill="FFFFFF"/>
        <w:ind w:left="851" w:right="902"/>
        <w:jc w:val="both"/>
        <w:rPr>
          <w:rFonts w:ascii="Palatino Linotype" w:hAnsi="Palatino Linotype"/>
          <w:i/>
          <w:iCs/>
          <w:color w:val="222222"/>
          <w:sz w:val="22"/>
          <w:szCs w:val="22"/>
          <w:lang w:eastAsia="es-MX"/>
        </w:rPr>
      </w:pPr>
      <w:r w:rsidRPr="007B0A1A">
        <w:rPr>
          <w:rFonts w:ascii="Palatino Linotype" w:hAnsi="Palatino Linotype"/>
          <w:i/>
          <w:iCs/>
          <w:color w:val="222222"/>
          <w:sz w:val="22"/>
          <w:szCs w:val="22"/>
          <w:lang w:eastAsia="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3D3D0B0" w14:textId="77777777" w:rsidR="00E07345" w:rsidRPr="007B0A1A" w:rsidRDefault="00E07345" w:rsidP="00E07345">
      <w:pPr>
        <w:shd w:val="clear" w:color="auto" w:fill="FFFFFF"/>
        <w:ind w:left="851" w:right="902"/>
        <w:jc w:val="both"/>
        <w:rPr>
          <w:rFonts w:ascii="Palatino Linotype" w:hAnsi="Palatino Linotype"/>
          <w:color w:val="222222"/>
          <w:lang w:eastAsia="es-MX"/>
        </w:rPr>
      </w:pPr>
    </w:p>
    <w:p w14:paraId="3FF9B998" w14:textId="77777777" w:rsidR="00E07345" w:rsidRPr="007B0A1A" w:rsidRDefault="00E07345" w:rsidP="00E07345">
      <w:pPr>
        <w:spacing w:line="360" w:lineRule="auto"/>
        <w:jc w:val="both"/>
        <w:rPr>
          <w:rFonts w:ascii="Palatino Linotype" w:hAnsi="Palatino Linotype"/>
          <w:color w:val="222222"/>
          <w:lang w:eastAsia="es-MX"/>
        </w:rPr>
      </w:pPr>
      <w:r w:rsidRPr="007B0A1A">
        <w:rPr>
          <w:rFonts w:ascii="Palatino Linotype" w:hAnsi="Palatino Linotype"/>
          <w:color w:val="222222"/>
          <w:lang w:eastAsia="es-MX"/>
        </w:rPr>
        <w:t>Así, el estudio de la naturaleza jurídica de la información pública solicitada, tiene por objeto determinar si ésta la genera, posee o administra </w:t>
      </w:r>
      <w:r w:rsidRPr="007B0A1A">
        <w:rPr>
          <w:rFonts w:ascii="Palatino Linotype" w:hAnsi="Palatino Linotype"/>
          <w:b/>
          <w:bCs/>
          <w:color w:val="222222"/>
          <w:lang w:eastAsia="es-MX"/>
        </w:rPr>
        <w:t>EL SUJETO OBLIGADO</w:t>
      </w:r>
      <w:r w:rsidRPr="007B0A1A">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6A51C4E6" w14:textId="77777777" w:rsidR="00E07345" w:rsidRPr="007B0A1A" w:rsidRDefault="00E07345" w:rsidP="00E07345">
      <w:pPr>
        <w:spacing w:line="360" w:lineRule="auto"/>
        <w:jc w:val="both"/>
        <w:rPr>
          <w:rFonts w:ascii="Palatino Linotype" w:hAnsi="Palatino Linotype"/>
          <w:color w:val="222222"/>
          <w:lang w:eastAsia="es-MX"/>
        </w:rPr>
      </w:pPr>
    </w:p>
    <w:p w14:paraId="5DFB8CBC" w14:textId="76ED8ECC" w:rsidR="00E07345" w:rsidRPr="007B0A1A" w:rsidRDefault="001B4159" w:rsidP="00E07345">
      <w:pPr>
        <w:spacing w:line="360" w:lineRule="auto"/>
        <w:jc w:val="both"/>
        <w:rPr>
          <w:rFonts w:ascii="Palatino Linotype" w:hAnsi="Palatino Linotype" w:cs="Arial"/>
        </w:rPr>
      </w:pPr>
      <w:r w:rsidRPr="007B0A1A">
        <w:rPr>
          <w:rFonts w:ascii="Palatino Linotype" w:eastAsiaTheme="minorEastAsia" w:hAnsi="Palatino Linotype" w:cs="Arial"/>
          <w:lang w:val="es-ES_tradnl"/>
        </w:rPr>
        <w:t xml:space="preserve">Ahora bien, </w:t>
      </w:r>
      <w:r w:rsidR="00E07345" w:rsidRPr="007B0A1A">
        <w:rPr>
          <w:rFonts w:ascii="Palatino Linotype" w:eastAsiaTheme="minorEastAsia" w:hAnsi="Palatino Linotype" w:cs="Arial"/>
          <w:lang w:val="es-ES_tradnl"/>
        </w:rPr>
        <w:t xml:space="preserve">se procede a analizar las documentales que integran el expediente electrónico, a fin de determinar si con la información remitida por parte del </w:t>
      </w:r>
      <w:r w:rsidR="00E07345" w:rsidRPr="007B0A1A">
        <w:rPr>
          <w:rFonts w:ascii="Palatino Linotype" w:eastAsiaTheme="minorEastAsia" w:hAnsi="Palatino Linotype" w:cs="Arial"/>
          <w:b/>
          <w:lang w:val="es-ES_tradnl"/>
        </w:rPr>
        <w:t xml:space="preserve">SUJETO OBLIGADO </w:t>
      </w:r>
      <w:r w:rsidR="00E07345" w:rsidRPr="007B0A1A">
        <w:rPr>
          <w:rFonts w:ascii="Palatino Linotype" w:eastAsiaTheme="minorEastAsia" w:hAnsi="Palatino Linotype" w:cs="Arial"/>
          <w:lang w:val="es-ES_tradnl"/>
        </w:rPr>
        <w:t xml:space="preserve">mediante respuesta, se colma el derecho de </w:t>
      </w:r>
      <w:r w:rsidR="00E07345" w:rsidRPr="007B0A1A">
        <w:rPr>
          <w:rFonts w:ascii="Palatino Linotype" w:hAnsi="Palatino Linotype" w:cs="Arial"/>
        </w:rPr>
        <w:t xml:space="preserve">acceso a la información ejercido por </w:t>
      </w:r>
      <w:r w:rsidR="00E07345" w:rsidRPr="007B0A1A">
        <w:rPr>
          <w:rFonts w:ascii="Palatino Linotype" w:hAnsi="Palatino Linotype" w:cs="Arial"/>
          <w:b/>
        </w:rPr>
        <w:t xml:space="preserve">EL RECURRENTE, </w:t>
      </w:r>
      <w:r w:rsidR="00E07345" w:rsidRPr="007B0A1A">
        <w:rPr>
          <w:rFonts w:ascii="Palatino Linotype" w:hAnsi="Palatino Linotype" w:cs="Arial"/>
        </w:rPr>
        <w:t xml:space="preserve">atento a ello, es conveniente recordar que </w:t>
      </w:r>
      <w:r w:rsidR="00E07345" w:rsidRPr="007B0A1A">
        <w:rPr>
          <w:rFonts w:ascii="Palatino Linotype" w:hAnsi="Palatino Linotype" w:cs="Arial"/>
          <w:color w:val="000000" w:themeColor="text1"/>
        </w:rPr>
        <w:t xml:space="preserve">el </w:t>
      </w:r>
      <w:r w:rsidR="00E07345" w:rsidRPr="007B0A1A">
        <w:rPr>
          <w:rFonts w:ascii="Palatino Linotype" w:hAnsi="Palatino Linotype" w:cs="Arial"/>
        </w:rPr>
        <w:t>particular</w:t>
      </w:r>
      <w:r w:rsidRPr="007B0A1A">
        <w:rPr>
          <w:rFonts w:ascii="Palatino Linotype" w:hAnsi="Palatino Linotype" w:cs="Arial"/>
        </w:rPr>
        <w:t xml:space="preserve"> solicito en su petición medularmente</w:t>
      </w:r>
      <w:r w:rsidR="00433F59" w:rsidRPr="007B0A1A">
        <w:rPr>
          <w:rFonts w:ascii="Palatino Linotype" w:hAnsi="Palatino Linotype" w:cs="Arial"/>
        </w:rPr>
        <w:t xml:space="preserve"> lo siguiente:</w:t>
      </w:r>
    </w:p>
    <w:p w14:paraId="1652F8B1" w14:textId="77777777" w:rsidR="00E07345" w:rsidRPr="007B0A1A" w:rsidRDefault="00E07345" w:rsidP="00E07345">
      <w:pPr>
        <w:spacing w:line="360" w:lineRule="auto"/>
        <w:jc w:val="both"/>
        <w:rPr>
          <w:rFonts w:ascii="Palatino Linotype" w:hAnsi="Palatino Linotype" w:cs="Arial"/>
        </w:rPr>
      </w:pPr>
    </w:p>
    <w:p w14:paraId="081B6377" w14:textId="24F06AB6" w:rsidR="00E07345" w:rsidRPr="007B0A1A" w:rsidRDefault="00433F59" w:rsidP="00E07345">
      <w:pPr>
        <w:pStyle w:val="Prrafodelista"/>
        <w:numPr>
          <w:ilvl w:val="0"/>
          <w:numId w:val="5"/>
        </w:numPr>
        <w:spacing w:line="360" w:lineRule="auto"/>
        <w:jc w:val="both"/>
        <w:rPr>
          <w:rFonts w:ascii="Palatino Linotype" w:hAnsi="Palatino Linotype" w:cs="Arial"/>
          <w:i/>
        </w:rPr>
      </w:pPr>
      <w:r w:rsidRPr="007B0A1A">
        <w:rPr>
          <w:rFonts w:ascii="Palatino Linotype" w:hAnsi="Palatino Linotype" w:cs="Arial"/>
          <w:i/>
        </w:rPr>
        <w:t>Solicito la lista de rutas de transporte público de pasajeros vigentes con detalles de cada ruta con datos de GPS</w:t>
      </w:r>
      <w:r w:rsidR="00E07345" w:rsidRPr="007B0A1A">
        <w:rPr>
          <w:rFonts w:ascii="Palatino Linotype" w:hAnsi="Palatino Linotype" w:cs="Arial"/>
          <w:i/>
        </w:rPr>
        <w:t xml:space="preserve">. </w:t>
      </w:r>
    </w:p>
    <w:p w14:paraId="1DC37272" w14:textId="0E4EABD9" w:rsidR="00E07345" w:rsidRPr="007B0A1A" w:rsidRDefault="004F4DFF" w:rsidP="00E07345">
      <w:pPr>
        <w:pStyle w:val="Prrafodelista"/>
        <w:numPr>
          <w:ilvl w:val="0"/>
          <w:numId w:val="5"/>
        </w:numPr>
        <w:spacing w:line="360" w:lineRule="auto"/>
        <w:jc w:val="both"/>
        <w:rPr>
          <w:rFonts w:ascii="Palatino Linotype" w:hAnsi="Palatino Linotype" w:cs="Arial"/>
          <w:i/>
        </w:rPr>
      </w:pPr>
      <w:r w:rsidRPr="007B0A1A">
        <w:rPr>
          <w:rFonts w:ascii="Palatino Linotype" w:hAnsi="Palatino Linotype" w:cs="Arial"/>
          <w:i/>
        </w:rPr>
        <w:t>Lista completa de los concesionarios de transporte público con datos para contactarlos</w:t>
      </w:r>
      <w:r w:rsidR="00270B6F" w:rsidRPr="007B0A1A">
        <w:rPr>
          <w:rFonts w:ascii="Palatino Linotype" w:hAnsi="Palatino Linotype" w:cs="Arial"/>
          <w:i/>
        </w:rPr>
        <w:t xml:space="preserve"> (dirección, teléfono, correo electrónico)</w:t>
      </w:r>
      <w:r w:rsidR="00E07345" w:rsidRPr="007B0A1A">
        <w:rPr>
          <w:rFonts w:ascii="Palatino Linotype" w:hAnsi="Palatino Linotype" w:cs="Arial"/>
          <w:i/>
        </w:rPr>
        <w:t>.</w:t>
      </w:r>
    </w:p>
    <w:p w14:paraId="1BF83C58" w14:textId="77777777" w:rsidR="00E07345" w:rsidRPr="007B0A1A" w:rsidRDefault="00E07345" w:rsidP="00E07345">
      <w:pPr>
        <w:spacing w:line="360" w:lineRule="auto"/>
        <w:jc w:val="both"/>
        <w:rPr>
          <w:rFonts w:ascii="Palatino Linotype" w:hAnsi="Palatino Linotype" w:cs="Arial"/>
          <w:i/>
        </w:rPr>
      </w:pPr>
    </w:p>
    <w:p w14:paraId="4ACB543D" w14:textId="735CD76E" w:rsidR="006610D7" w:rsidRPr="007B0A1A" w:rsidRDefault="00E07345" w:rsidP="00E07345">
      <w:pPr>
        <w:widowControl w:val="0"/>
        <w:tabs>
          <w:tab w:val="left" w:pos="1701"/>
        </w:tabs>
        <w:autoSpaceDE w:val="0"/>
        <w:autoSpaceDN w:val="0"/>
        <w:adjustRightInd w:val="0"/>
        <w:spacing w:line="360" w:lineRule="auto"/>
        <w:jc w:val="both"/>
        <w:rPr>
          <w:rFonts w:ascii="Palatino Linotype" w:hAnsi="Palatino Linotype"/>
        </w:rPr>
      </w:pPr>
      <w:r w:rsidRPr="007B0A1A">
        <w:rPr>
          <w:rFonts w:ascii="Palatino Linotype" w:hAnsi="Palatino Linotype" w:cs="Arial"/>
        </w:rPr>
        <w:t>A</w:t>
      </w:r>
      <w:r w:rsidR="001B4159" w:rsidRPr="007B0A1A">
        <w:rPr>
          <w:rFonts w:ascii="Palatino Linotype" w:hAnsi="Palatino Linotype" w:cs="Arial"/>
        </w:rPr>
        <w:t>demás</w:t>
      </w:r>
      <w:r w:rsidRPr="007B0A1A">
        <w:rPr>
          <w:rFonts w:ascii="Palatino Linotype" w:hAnsi="Palatino Linotype" w:cs="Arial"/>
        </w:rPr>
        <w:t xml:space="preserve">, es importante destacar que de la respuesta otorgada por </w:t>
      </w:r>
      <w:r w:rsidRPr="007B0A1A">
        <w:rPr>
          <w:rFonts w:ascii="Palatino Linotype" w:hAnsi="Palatino Linotype" w:cs="Arial"/>
          <w:b/>
        </w:rPr>
        <w:t xml:space="preserve">EL SUJETO </w:t>
      </w:r>
      <w:r w:rsidRPr="007B0A1A">
        <w:rPr>
          <w:rFonts w:ascii="Palatino Linotype" w:hAnsi="Palatino Linotype" w:cs="Arial"/>
          <w:b/>
        </w:rPr>
        <w:lastRenderedPageBreak/>
        <w:t>OBLIGADO</w:t>
      </w:r>
      <w:r w:rsidRPr="007B0A1A">
        <w:rPr>
          <w:rFonts w:ascii="Palatino Linotype" w:hAnsi="Palatino Linotype" w:cs="Arial"/>
        </w:rPr>
        <w:t>,</w:t>
      </w:r>
      <w:r w:rsidRPr="007B0A1A">
        <w:rPr>
          <w:rFonts w:ascii="Palatino Linotype" w:hAnsi="Palatino Linotype" w:cs="Arial"/>
          <w:b/>
        </w:rPr>
        <w:t xml:space="preserve"> </w:t>
      </w:r>
      <w:r w:rsidRPr="007B0A1A">
        <w:rPr>
          <w:rFonts w:ascii="Palatino Linotype" w:hAnsi="Palatino Linotype" w:cs="Arial"/>
        </w:rPr>
        <w:t xml:space="preserve">el particular </w:t>
      </w:r>
      <w:r w:rsidRPr="007B0A1A">
        <w:rPr>
          <w:rFonts w:ascii="Palatino Linotype" w:hAnsi="Palatino Linotype"/>
        </w:rPr>
        <w:t xml:space="preserve">interpuso el </w:t>
      </w:r>
      <w:r w:rsidRPr="007B0A1A">
        <w:rPr>
          <w:rFonts w:ascii="Palatino Linotype" w:hAnsi="Palatino Linotype"/>
          <w:b/>
        </w:rPr>
        <w:t>recurso de revisión</w:t>
      </w:r>
      <w:r w:rsidRPr="007B0A1A">
        <w:rPr>
          <w:rFonts w:ascii="Palatino Linotype" w:hAnsi="Palatino Linotype"/>
        </w:rPr>
        <w:t xml:space="preserve"> que nos ocupa, señalando para ello que</w:t>
      </w:r>
      <w:r w:rsidR="006610D7" w:rsidRPr="007B0A1A">
        <w:rPr>
          <w:rFonts w:ascii="Palatino Linotype" w:hAnsi="Palatino Linotype"/>
        </w:rPr>
        <w:t>:</w:t>
      </w:r>
    </w:p>
    <w:p w14:paraId="2B42946C" w14:textId="77777777" w:rsidR="006610D7" w:rsidRPr="007B0A1A" w:rsidRDefault="006610D7" w:rsidP="00E07345">
      <w:pPr>
        <w:widowControl w:val="0"/>
        <w:tabs>
          <w:tab w:val="left" w:pos="1701"/>
        </w:tabs>
        <w:autoSpaceDE w:val="0"/>
        <w:autoSpaceDN w:val="0"/>
        <w:adjustRightInd w:val="0"/>
        <w:spacing w:line="360" w:lineRule="auto"/>
        <w:jc w:val="both"/>
        <w:rPr>
          <w:rFonts w:ascii="Palatino Linotype" w:hAnsi="Palatino Linotype"/>
        </w:rPr>
      </w:pPr>
    </w:p>
    <w:p w14:paraId="3444B971" w14:textId="2694CB43" w:rsidR="006610D7" w:rsidRPr="007B0A1A" w:rsidRDefault="006610D7" w:rsidP="006610D7">
      <w:pPr>
        <w:pStyle w:val="Prrafodelista"/>
        <w:widowControl w:val="0"/>
        <w:numPr>
          <w:ilvl w:val="0"/>
          <w:numId w:val="12"/>
        </w:numPr>
        <w:tabs>
          <w:tab w:val="left" w:pos="1701"/>
        </w:tabs>
        <w:autoSpaceDE w:val="0"/>
        <w:autoSpaceDN w:val="0"/>
        <w:adjustRightInd w:val="0"/>
        <w:spacing w:line="360" w:lineRule="auto"/>
        <w:jc w:val="both"/>
        <w:rPr>
          <w:rFonts w:ascii="Palatino Linotype" w:hAnsi="Palatino Linotype"/>
          <w:i/>
        </w:rPr>
      </w:pPr>
      <w:r w:rsidRPr="007B0A1A">
        <w:rPr>
          <w:rFonts w:ascii="Palatino Linotype" w:hAnsi="Palatino Linotype"/>
          <w:i/>
        </w:rPr>
        <w:t>Saber si existen otros mecanismos para acceder a los datos de contacto de cada concesionario.</w:t>
      </w:r>
    </w:p>
    <w:p w14:paraId="7A46F6F8" w14:textId="67ED8ECB" w:rsidR="006610D7" w:rsidRPr="007B0A1A" w:rsidRDefault="006610D7" w:rsidP="006610D7">
      <w:pPr>
        <w:pStyle w:val="Prrafodelista"/>
        <w:widowControl w:val="0"/>
        <w:numPr>
          <w:ilvl w:val="0"/>
          <w:numId w:val="12"/>
        </w:numPr>
        <w:tabs>
          <w:tab w:val="left" w:pos="1701"/>
        </w:tabs>
        <w:autoSpaceDE w:val="0"/>
        <w:autoSpaceDN w:val="0"/>
        <w:adjustRightInd w:val="0"/>
        <w:spacing w:line="360" w:lineRule="auto"/>
        <w:jc w:val="both"/>
        <w:rPr>
          <w:rFonts w:ascii="Palatino Linotype" w:hAnsi="Palatino Linotype"/>
          <w:i/>
        </w:rPr>
      </w:pPr>
      <w:r w:rsidRPr="007B0A1A">
        <w:rPr>
          <w:rFonts w:ascii="Palatino Linotype" w:hAnsi="Palatino Linotype"/>
          <w:i/>
        </w:rPr>
        <w:t>Si alguna dependencia de la SEMOVI, puede ser el medio de acceso a cada concesionario.</w:t>
      </w:r>
    </w:p>
    <w:p w14:paraId="354689B4" w14:textId="0589A201" w:rsidR="006610D7" w:rsidRPr="007B0A1A" w:rsidRDefault="006610D7" w:rsidP="006610D7">
      <w:pPr>
        <w:pStyle w:val="Prrafodelista"/>
        <w:widowControl w:val="0"/>
        <w:numPr>
          <w:ilvl w:val="0"/>
          <w:numId w:val="12"/>
        </w:numPr>
        <w:tabs>
          <w:tab w:val="left" w:pos="1701"/>
        </w:tabs>
        <w:autoSpaceDE w:val="0"/>
        <w:autoSpaceDN w:val="0"/>
        <w:adjustRightInd w:val="0"/>
        <w:spacing w:line="360" w:lineRule="auto"/>
        <w:jc w:val="both"/>
        <w:rPr>
          <w:rFonts w:ascii="Palatino Linotype" w:hAnsi="Palatino Linotype"/>
          <w:i/>
        </w:rPr>
      </w:pPr>
      <w:r w:rsidRPr="007B0A1A">
        <w:rPr>
          <w:rFonts w:ascii="Palatino Linotype" w:hAnsi="Palatino Linotype"/>
          <w:i/>
        </w:rPr>
        <w:t>La información relevante a las rutas de transporte público concesionado, requiriendo cada una de las rutas con información detallada del trayecto (de existir).</w:t>
      </w:r>
    </w:p>
    <w:p w14:paraId="6FD8AD6C" w14:textId="77777777" w:rsidR="009B1FF0" w:rsidRPr="007B0A1A" w:rsidRDefault="009B1FF0" w:rsidP="00356365">
      <w:pPr>
        <w:pStyle w:val="Prrafodelista"/>
        <w:widowControl w:val="0"/>
        <w:autoSpaceDE w:val="0"/>
        <w:autoSpaceDN w:val="0"/>
        <w:adjustRightInd w:val="0"/>
        <w:spacing w:before="120" w:after="120" w:line="360" w:lineRule="auto"/>
        <w:ind w:left="0"/>
        <w:jc w:val="both"/>
        <w:rPr>
          <w:rFonts w:ascii="Palatino Linotype" w:hAnsi="Palatino Linotype"/>
          <w:color w:val="000000"/>
        </w:rPr>
      </w:pPr>
    </w:p>
    <w:p w14:paraId="24E5328D" w14:textId="39B85B56" w:rsidR="008366AB" w:rsidRPr="007B0A1A" w:rsidRDefault="00356365" w:rsidP="00356365">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7B0A1A">
        <w:rPr>
          <w:rFonts w:ascii="Palatino Linotype" w:hAnsi="Palatino Linotype"/>
          <w:color w:val="000000"/>
        </w:rPr>
        <w:t>En ese sentido, debe precisarse que dicho</w:t>
      </w:r>
      <w:r w:rsidR="00880865" w:rsidRPr="007B0A1A">
        <w:rPr>
          <w:rFonts w:ascii="Palatino Linotype" w:hAnsi="Palatino Linotype"/>
          <w:color w:val="000000"/>
        </w:rPr>
        <w:t>s</w:t>
      </w:r>
      <w:r w:rsidRPr="007B0A1A">
        <w:rPr>
          <w:rFonts w:ascii="Palatino Linotype" w:hAnsi="Palatino Linotype"/>
          <w:color w:val="000000"/>
        </w:rPr>
        <w:t xml:space="preserve"> requerimiento</w:t>
      </w:r>
      <w:r w:rsidR="00880865" w:rsidRPr="007B0A1A">
        <w:rPr>
          <w:rFonts w:ascii="Palatino Linotype" w:hAnsi="Palatino Linotype"/>
          <w:color w:val="000000"/>
        </w:rPr>
        <w:t>s</w:t>
      </w:r>
      <w:r w:rsidRPr="007B0A1A">
        <w:rPr>
          <w:rFonts w:ascii="Palatino Linotype" w:hAnsi="Palatino Linotype"/>
          <w:color w:val="000000"/>
        </w:rPr>
        <w:t xml:space="preserve"> de información </w:t>
      </w:r>
      <w:r w:rsidRPr="007B0A1A">
        <w:rPr>
          <w:rFonts w:ascii="Palatino Linotype" w:hAnsi="Palatino Linotype" w:cs="Arial"/>
          <w:color w:val="000000"/>
        </w:rPr>
        <w:t>resulta</w:t>
      </w:r>
      <w:r w:rsidR="00880865" w:rsidRPr="007B0A1A">
        <w:rPr>
          <w:rFonts w:ascii="Palatino Linotype" w:hAnsi="Palatino Linotype" w:cs="Arial"/>
          <w:color w:val="000000"/>
        </w:rPr>
        <w:t>n</w:t>
      </w:r>
      <w:r w:rsidRPr="007B0A1A">
        <w:rPr>
          <w:rFonts w:ascii="Palatino Linotype" w:hAnsi="Palatino Linotype" w:cs="Arial"/>
          <w:color w:val="000000"/>
        </w:rPr>
        <w:t xml:space="preserve"> </w:t>
      </w:r>
      <w:r w:rsidRPr="007B0A1A">
        <w:rPr>
          <w:rFonts w:ascii="Palatino Linotype" w:hAnsi="Palatino Linotype" w:cs="Arial"/>
          <w:b/>
          <w:color w:val="000000"/>
        </w:rPr>
        <w:t>inoperante</w:t>
      </w:r>
      <w:r w:rsidR="00880865" w:rsidRPr="007B0A1A">
        <w:rPr>
          <w:rFonts w:ascii="Palatino Linotype" w:hAnsi="Palatino Linotype" w:cs="Arial"/>
          <w:b/>
          <w:color w:val="000000"/>
        </w:rPr>
        <w:t>s</w:t>
      </w:r>
      <w:r w:rsidRPr="007B0A1A">
        <w:rPr>
          <w:rFonts w:ascii="Palatino Linotype" w:hAnsi="Palatino Linotype" w:cs="Arial"/>
          <w:color w:val="000000"/>
        </w:rPr>
        <w:t xml:space="preserve">, al tratarse de </w:t>
      </w:r>
      <w:r w:rsidRPr="007B0A1A">
        <w:rPr>
          <w:rFonts w:ascii="Palatino Linotype" w:hAnsi="Palatino Linotype" w:cs="Arial"/>
        </w:rPr>
        <w:t xml:space="preserve">una petición adicional o </w:t>
      </w:r>
      <w:r w:rsidRPr="007B0A1A">
        <w:rPr>
          <w:rFonts w:ascii="Palatino Linotype" w:hAnsi="Palatino Linotype" w:cs="Arial"/>
          <w:i/>
        </w:rPr>
        <w:t>plus petitio</w:t>
      </w:r>
      <w:r w:rsidRPr="007B0A1A">
        <w:rPr>
          <w:rFonts w:ascii="Palatino Linotype" w:hAnsi="Palatino Linotype" w:cs="Arial"/>
        </w:rPr>
        <w:t xml:space="preserve">; esto es, una nueva solicitud de información hecha por el hoy </w:t>
      </w:r>
      <w:r w:rsidRPr="007B0A1A">
        <w:rPr>
          <w:rFonts w:ascii="Palatino Linotype" w:hAnsi="Palatino Linotype" w:cs="Arial"/>
          <w:b/>
          <w:lang w:eastAsia="es-MX"/>
        </w:rPr>
        <w:t>RECURRENTE</w:t>
      </w:r>
      <w:r w:rsidRPr="007B0A1A">
        <w:rPr>
          <w:rFonts w:ascii="Palatino Linotype" w:hAnsi="Palatino Linotype" w:cs="Arial"/>
          <w:lang w:eastAsia="es-MX"/>
        </w:rPr>
        <w:t>; pues de la petición mencionada, y que fuera desglosada, se advierte que de las peticiones marcadas con los número</w:t>
      </w:r>
      <w:r w:rsidR="00880865" w:rsidRPr="007B0A1A">
        <w:rPr>
          <w:rFonts w:ascii="Palatino Linotype" w:hAnsi="Palatino Linotype" w:cs="Arial"/>
          <w:lang w:eastAsia="es-MX"/>
        </w:rPr>
        <w:t>s</w:t>
      </w:r>
      <w:r w:rsidRPr="007B0A1A">
        <w:rPr>
          <w:rFonts w:ascii="Palatino Linotype" w:hAnsi="Palatino Linotype" w:cs="Arial"/>
          <w:lang w:eastAsia="es-MX"/>
        </w:rPr>
        <w:t xml:space="preserve"> 1</w:t>
      </w:r>
      <w:r w:rsidR="0007023A" w:rsidRPr="007B0A1A">
        <w:rPr>
          <w:rFonts w:ascii="Palatino Linotype" w:hAnsi="Palatino Linotype" w:cs="Arial"/>
          <w:lang w:eastAsia="es-MX"/>
        </w:rPr>
        <w:t>,</w:t>
      </w:r>
      <w:r w:rsidRPr="007B0A1A">
        <w:rPr>
          <w:rFonts w:ascii="Palatino Linotype" w:hAnsi="Palatino Linotype" w:cs="Arial"/>
          <w:lang w:eastAsia="es-MX"/>
        </w:rPr>
        <w:t xml:space="preserve"> 2</w:t>
      </w:r>
      <w:r w:rsidR="0007023A" w:rsidRPr="007B0A1A">
        <w:rPr>
          <w:rFonts w:ascii="Palatino Linotype" w:hAnsi="Palatino Linotype" w:cs="Arial"/>
          <w:lang w:eastAsia="es-MX"/>
        </w:rPr>
        <w:t xml:space="preserve"> </w:t>
      </w:r>
      <w:r w:rsidR="00371951" w:rsidRPr="007B0A1A">
        <w:rPr>
          <w:rFonts w:ascii="Palatino Linotype" w:hAnsi="Palatino Linotype" w:cs="Arial"/>
          <w:lang w:eastAsia="es-MX"/>
        </w:rPr>
        <w:t>y</w:t>
      </w:r>
      <w:r w:rsidR="0007023A" w:rsidRPr="007B0A1A">
        <w:rPr>
          <w:rFonts w:ascii="Palatino Linotype" w:hAnsi="Palatino Linotype" w:cs="Arial"/>
          <w:lang w:eastAsia="es-MX"/>
        </w:rPr>
        <w:t xml:space="preserve"> 3</w:t>
      </w:r>
      <w:r w:rsidRPr="007B0A1A">
        <w:rPr>
          <w:rFonts w:ascii="Palatino Linotype" w:hAnsi="Palatino Linotype" w:cs="Arial"/>
          <w:lang w:eastAsia="es-MX"/>
        </w:rPr>
        <w:t xml:space="preserve"> </w:t>
      </w:r>
      <w:r w:rsidR="009B1FF0" w:rsidRPr="007B0A1A">
        <w:rPr>
          <w:rFonts w:ascii="Palatino Linotype" w:hAnsi="Palatino Linotype" w:cs="Arial"/>
          <w:lang w:eastAsia="es-MX"/>
        </w:rPr>
        <w:t xml:space="preserve"> requiere saber</w:t>
      </w:r>
      <w:r w:rsidRPr="007B0A1A">
        <w:rPr>
          <w:rFonts w:ascii="Palatino Linotype" w:hAnsi="Palatino Linotype"/>
          <w:i/>
        </w:rPr>
        <w:t xml:space="preserve"> </w:t>
      </w:r>
      <w:r w:rsidRPr="007B0A1A">
        <w:rPr>
          <w:rFonts w:ascii="Palatino Linotype" w:hAnsi="Palatino Linotype"/>
        </w:rPr>
        <w:t>si existen otros mecanismos para acceder a los datos de</w:t>
      </w:r>
      <w:r w:rsidR="009B1FF0" w:rsidRPr="007B0A1A">
        <w:rPr>
          <w:rFonts w:ascii="Palatino Linotype" w:hAnsi="Palatino Linotype"/>
        </w:rPr>
        <w:t xml:space="preserve"> contacto de cada concesionario, así como saber si</w:t>
      </w:r>
      <w:r w:rsidRPr="007B0A1A">
        <w:rPr>
          <w:rFonts w:ascii="Palatino Linotype" w:hAnsi="Palatino Linotype"/>
        </w:rPr>
        <w:t xml:space="preserve"> alguna dependencia de la SEMOVI, puede ser el medi</w:t>
      </w:r>
      <w:r w:rsidR="0007023A" w:rsidRPr="007B0A1A">
        <w:rPr>
          <w:rFonts w:ascii="Palatino Linotype" w:hAnsi="Palatino Linotype"/>
        </w:rPr>
        <w:t>o de acceso a cada concesionario y la información respecto de las rutas detallando el trayecto</w:t>
      </w:r>
      <w:r w:rsidR="009B1FF0" w:rsidRPr="007B0A1A">
        <w:rPr>
          <w:rFonts w:ascii="Palatino Linotype" w:hAnsi="Palatino Linotype"/>
        </w:rPr>
        <w:t xml:space="preserve">; </w:t>
      </w:r>
      <w:r w:rsidRPr="007B0A1A">
        <w:rPr>
          <w:rFonts w:ascii="Palatino Linotype" w:hAnsi="Palatino Linotype" w:cs="Arial"/>
          <w:lang w:eastAsia="es-MX"/>
        </w:rPr>
        <w:t xml:space="preserve">sin embargo, esto no fue </w:t>
      </w:r>
      <w:r w:rsidR="004E25F2" w:rsidRPr="007B0A1A">
        <w:rPr>
          <w:rFonts w:ascii="Palatino Linotype" w:hAnsi="Palatino Linotype" w:cs="Arial"/>
          <w:lang w:eastAsia="es-MX"/>
        </w:rPr>
        <w:t>requerido</w:t>
      </w:r>
      <w:r w:rsidRPr="007B0A1A">
        <w:rPr>
          <w:rFonts w:ascii="Palatino Linotype" w:hAnsi="Palatino Linotype" w:cs="Arial"/>
          <w:lang w:eastAsia="es-MX"/>
        </w:rPr>
        <w:t xml:space="preserve"> en la</w:t>
      </w:r>
      <w:r w:rsidR="004E25F2" w:rsidRPr="007B0A1A">
        <w:rPr>
          <w:rFonts w:ascii="Palatino Linotype" w:hAnsi="Palatino Linotype" w:cs="Arial"/>
          <w:lang w:eastAsia="es-MX"/>
        </w:rPr>
        <w:t xml:space="preserve"> solicitud</w:t>
      </w:r>
      <w:r w:rsidRPr="007B0A1A">
        <w:rPr>
          <w:rFonts w:ascii="Palatino Linotype" w:hAnsi="Palatino Linotype" w:cs="Arial"/>
          <w:lang w:eastAsia="es-MX"/>
        </w:rPr>
        <w:t xml:space="preserve"> primigenia, pues debe destacarse que la inoperancia se actualiza, ya que su</w:t>
      </w:r>
      <w:r w:rsidR="008366AB" w:rsidRPr="007B0A1A">
        <w:rPr>
          <w:rFonts w:ascii="Palatino Linotype" w:hAnsi="Palatino Linotype" w:cs="Arial"/>
          <w:lang w:eastAsia="es-MX"/>
        </w:rPr>
        <w:t>s</w:t>
      </w:r>
      <w:r w:rsidRPr="007B0A1A">
        <w:rPr>
          <w:rFonts w:ascii="Palatino Linotype" w:hAnsi="Palatino Linotype" w:cs="Arial"/>
          <w:lang w:eastAsia="es-MX"/>
        </w:rPr>
        <w:t xml:space="preserve"> </w:t>
      </w:r>
      <w:r w:rsidR="00371951" w:rsidRPr="007B0A1A">
        <w:rPr>
          <w:rFonts w:ascii="Palatino Linotype" w:hAnsi="Palatino Linotype" w:cs="Arial"/>
          <w:lang w:eastAsia="es-MX"/>
        </w:rPr>
        <w:t>peticiones</w:t>
      </w:r>
      <w:r w:rsidRPr="007B0A1A">
        <w:rPr>
          <w:rFonts w:ascii="Palatino Linotype" w:hAnsi="Palatino Linotype" w:cs="Arial"/>
          <w:lang w:eastAsia="es-MX"/>
        </w:rPr>
        <w:t xml:space="preserve"> resulta</w:t>
      </w:r>
      <w:r w:rsidR="008366AB" w:rsidRPr="007B0A1A">
        <w:rPr>
          <w:rFonts w:ascii="Palatino Linotype" w:hAnsi="Palatino Linotype" w:cs="Arial"/>
          <w:lang w:eastAsia="es-MX"/>
        </w:rPr>
        <w:t>n</w:t>
      </w:r>
      <w:r w:rsidRPr="007B0A1A">
        <w:rPr>
          <w:rFonts w:ascii="Palatino Linotype" w:hAnsi="Palatino Linotype" w:cs="Arial"/>
          <w:lang w:eastAsia="es-MX"/>
        </w:rPr>
        <w:t xml:space="preserve"> novedosa</w:t>
      </w:r>
      <w:r w:rsidR="008366AB" w:rsidRPr="007B0A1A">
        <w:rPr>
          <w:rFonts w:ascii="Palatino Linotype" w:hAnsi="Palatino Linotype" w:cs="Arial"/>
          <w:lang w:eastAsia="es-MX"/>
        </w:rPr>
        <w:t>s</w:t>
      </w:r>
      <w:r w:rsidRPr="007B0A1A">
        <w:rPr>
          <w:rFonts w:ascii="Palatino Linotype" w:hAnsi="Palatino Linotype" w:cs="Arial"/>
          <w:lang w:eastAsia="es-MX"/>
        </w:rPr>
        <w:t xml:space="preserve"> y no fue</w:t>
      </w:r>
      <w:r w:rsidR="008366AB" w:rsidRPr="007B0A1A">
        <w:rPr>
          <w:rFonts w:ascii="Palatino Linotype" w:hAnsi="Palatino Linotype" w:cs="Arial"/>
          <w:lang w:eastAsia="es-MX"/>
        </w:rPr>
        <w:t>ron</w:t>
      </w:r>
      <w:r w:rsidRPr="007B0A1A">
        <w:rPr>
          <w:rFonts w:ascii="Palatino Linotype" w:hAnsi="Palatino Linotype" w:cs="Arial"/>
          <w:lang w:eastAsia="es-MX"/>
        </w:rPr>
        <w:t xml:space="preserve"> conocida</w:t>
      </w:r>
      <w:r w:rsidR="008366AB" w:rsidRPr="007B0A1A">
        <w:rPr>
          <w:rFonts w:ascii="Palatino Linotype" w:hAnsi="Palatino Linotype" w:cs="Arial"/>
          <w:lang w:eastAsia="es-MX"/>
        </w:rPr>
        <w:t>s</w:t>
      </w:r>
      <w:r w:rsidRPr="007B0A1A">
        <w:rPr>
          <w:rFonts w:ascii="Palatino Linotype" w:hAnsi="Palatino Linotype" w:cs="Arial"/>
          <w:lang w:eastAsia="es-MX"/>
        </w:rPr>
        <w:t xml:space="preserve"> por el </w:t>
      </w:r>
      <w:r w:rsidRPr="007B0A1A">
        <w:rPr>
          <w:rFonts w:ascii="Palatino Linotype" w:hAnsi="Palatino Linotype" w:cs="Arial"/>
          <w:b/>
          <w:lang w:eastAsia="es-MX"/>
        </w:rPr>
        <w:t>SUJETO OBLIGADO</w:t>
      </w:r>
      <w:r w:rsidRPr="007B0A1A">
        <w:rPr>
          <w:rFonts w:ascii="Palatino Linotype" w:hAnsi="Palatino Linotype" w:cs="Arial"/>
          <w:lang w:eastAsia="es-MX"/>
        </w:rPr>
        <w:t xml:space="preserve"> al dar respuesta a su requerimiento, por ende al no formar parte de la Litis natural, resultaría injustificado el reproche de la n</w:t>
      </w:r>
      <w:r w:rsidR="00371951" w:rsidRPr="007B0A1A">
        <w:rPr>
          <w:rFonts w:ascii="Palatino Linotype" w:hAnsi="Palatino Linotype" w:cs="Arial"/>
          <w:lang w:eastAsia="es-MX"/>
        </w:rPr>
        <w:t>o correspondencia de la entrega.</w:t>
      </w:r>
    </w:p>
    <w:p w14:paraId="7193C7FA" w14:textId="77777777" w:rsidR="002276D7" w:rsidRPr="007B0A1A" w:rsidRDefault="002276D7" w:rsidP="002276D7">
      <w:pPr>
        <w:spacing w:before="100" w:beforeAutospacing="1" w:after="100" w:afterAutospacing="1" w:line="360" w:lineRule="auto"/>
        <w:jc w:val="both"/>
        <w:rPr>
          <w:rFonts w:ascii="Palatino Linotype" w:hAnsi="Palatino Linotype" w:cs="Arial"/>
          <w:bCs/>
          <w:szCs w:val="22"/>
          <w:lang w:val="es-ES"/>
        </w:rPr>
      </w:pPr>
      <w:r w:rsidRPr="007B0A1A">
        <w:rPr>
          <w:rFonts w:ascii="Palatino Linotype" w:hAnsi="Palatino Linotype" w:cs="Arial"/>
          <w:bCs/>
          <w:szCs w:val="22"/>
          <w:lang w:val="es-ES"/>
        </w:rPr>
        <w:t>Sirve de apoyo a lo anterior, el siguiente criterio:</w:t>
      </w:r>
    </w:p>
    <w:p w14:paraId="6BBC9C91" w14:textId="77777777" w:rsidR="002276D7" w:rsidRPr="007B0A1A" w:rsidRDefault="002276D7" w:rsidP="002276D7">
      <w:pPr>
        <w:spacing w:before="100" w:beforeAutospacing="1" w:after="100" w:afterAutospacing="1"/>
        <w:ind w:left="851" w:right="899"/>
        <w:contextualSpacing/>
        <w:jc w:val="both"/>
        <w:rPr>
          <w:rFonts w:ascii="Palatino Linotype" w:hAnsi="Palatino Linotype" w:cs="Arial"/>
          <w:i/>
          <w:sz w:val="22"/>
          <w:szCs w:val="22"/>
        </w:rPr>
      </w:pPr>
      <w:r w:rsidRPr="007B0A1A">
        <w:rPr>
          <w:rFonts w:ascii="Palatino Linotype" w:hAnsi="Palatino Linotype"/>
          <w:i/>
          <w:sz w:val="22"/>
          <w:szCs w:val="22"/>
        </w:rPr>
        <w:lastRenderedPageBreak/>
        <w:t>“</w:t>
      </w:r>
      <w:r w:rsidRPr="007B0A1A">
        <w:rPr>
          <w:rFonts w:ascii="Palatino Linotype" w:hAnsi="Palatino Linotype"/>
          <w:b/>
          <w:i/>
          <w:sz w:val="22"/>
          <w:szCs w:val="22"/>
        </w:rPr>
        <w:t>Es improcedente ampliar las solicitudes de acceso a información, a través de la interposición del recurso de revisión</w:t>
      </w:r>
      <w:r w:rsidRPr="007B0A1A">
        <w:rPr>
          <w:rFonts w:ascii="Palatino Linotype" w:hAnsi="Palatino Linotype"/>
          <w:i/>
          <w:sz w:val="22"/>
          <w:szCs w:val="22"/>
        </w:rPr>
        <w:t>.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7B0A1A">
        <w:rPr>
          <w:rStyle w:val="Refdenotaalpie"/>
          <w:rFonts w:ascii="Palatino Linotype" w:hAnsi="Palatino Linotype"/>
          <w:i/>
          <w:sz w:val="22"/>
          <w:szCs w:val="22"/>
        </w:rPr>
        <w:footnoteReference w:id="1"/>
      </w:r>
    </w:p>
    <w:p w14:paraId="1A8BB11C" w14:textId="137F7069" w:rsidR="00366E2C" w:rsidRPr="007B0A1A" w:rsidRDefault="002276D7" w:rsidP="00366E2C">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7B0A1A">
        <w:rPr>
          <w:rFonts w:ascii="Palatino Linotype" w:hAnsi="Palatino Linotype" w:cs="Arial"/>
          <w:lang w:eastAsia="es-MX"/>
        </w:rPr>
        <w:t>Además, por</w:t>
      </w:r>
      <w:r w:rsidR="00366E2C" w:rsidRPr="007B0A1A">
        <w:rPr>
          <w:rFonts w:ascii="Palatino Linotype" w:hAnsi="Palatino Linotype" w:cs="Arial"/>
          <w:lang w:eastAsia="es-MX"/>
        </w:rPr>
        <w:t xml:space="preserve"> analogía la siguiente tesis jurisprudencial número VI. 2º. A. J/7, publicada en el Semanario Judicial de la Federación y su gaceta, bajo el número de registro 178,788, que a la letra dice:</w:t>
      </w:r>
    </w:p>
    <w:p w14:paraId="7C1638A3" w14:textId="77777777" w:rsidR="00366E2C" w:rsidRPr="007B0A1A" w:rsidRDefault="00366E2C" w:rsidP="00366E2C">
      <w:pPr>
        <w:spacing w:before="120" w:after="120" w:line="276" w:lineRule="auto"/>
        <w:ind w:left="709" w:right="709"/>
        <w:jc w:val="both"/>
        <w:rPr>
          <w:rFonts w:ascii="Palatino Linotype" w:hAnsi="Palatino Linotype" w:cs="Arial"/>
          <w:i/>
          <w:sz w:val="22"/>
          <w:szCs w:val="22"/>
        </w:rPr>
      </w:pPr>
      <w:r w:rsidRPr="007B0A1A">
        <w:rPr>
          <w:rFonts w:ascii="Palatino Linotype" w:hAnsi="Palatino Linotype" w:cs="Arial"/>
          <w:sz w:val="22"/>
          <w:szCs w:val="22"/>
          <w:lang w:eastAsia="es-MX"/>
        </w:rPr>
        <w:t>“</w:t>
      </w:r>
      <w:r w:rsidRPr="007B0A1A">
        <w:rPr>
          <w:rFonts w:ascii="Palatino Linotype" w:hAnsi="Palatino Linotype" w:cs="Arial"/>
          <w:i/>
          <w:sz w:val="22"/>
          <w:szCs w:val="22"/>
        </w:rPr>
        <w:t xml:space="preserve">CONCEPTOS DE VIOLACIÓN EN EL AMPARO DIRECTO. </w:t>
      </w:r>
      <w:r w:rsidRPr="007B0A1A">
        <w:rPr>
          <w:rFonts w:ascii="Palatino Linotype" w:hAnsi="Palatino Linotype" w:cs="Arial"/>
          <w:b/>
          <w:i/>
          <w:sz w:val="22"/>
          <w:szCs w:val="22"/>
        </w:rPr>
        <w:t>INOPERANCIA DE LOS QUE INTRODUCEN CUESTIONAMIENTOS NOVEDOSOS QUE NO FUERON PLANTEADOS EN EL JUICIO NATURAL</w:t>
      </w:r>
      <w:r w:rsidRPr="007B0A1A">
        <w:rPr>
          <w:rFonts w:ascii="Palatino Linotype" w:hAnsi="Palatino Linotype" w:cs="Arial"/>
          <w:i/>
          <w:sz w:val="22"/>
          <w:szCs w:val="22"/>
        </w:rPr>
        <w:t xml:space="preserve">. </w:t>
      </w:r>
      <w:r w:rsidRPr="007B0A1A">
        <w:rPr>
          <w:rFonts w:ascii="Palatino Linotype" w:hAnsi="Palatino Linotype" w:cs="Arial"/>
          <w:b/>
          <w:i/>
          <w:sz w:val="22"/>
          <w:szCs w:val="22"/>
        </w:rPr>
        <w:t>Si en los conceptos de violación se formulan argumentos que no se plantearon</w:t>
      </w:r>
      <w:r w:rsidRPr="007B0A1A">
        <w:rPr>
          <w:rFonts w:ascii="Palatino Linotype" w:hAnsi="Palatino Linotype" w:cs="Arial"/>
          <w:i/>
          <w:sz w:val="22"/>
          <w:szCs w:val="22"/>
        </w:rPr>
        <w:t xml:space="preserve"> ante la Sala Fiscal que dictó la sentencia que constituye el acto reclamado, </w:t>
      </w:r>
      <w:r w:rsidRPr="007B0A1A">
        <w:rPr>
          <w:rFonts w:ascii="Palatino Linotype" w:hAnsi="Palatino Linotype" w:cs="Arial"/>
          <w:b/>
          <w:i/>
          <w:sz w:val="22"/>
          <w:szCs w:val="22"/>
        </w:rPr>
        <w:t xml:space="preserve">los mismos son </w:t>
      </w:r>
      <w:r w:rsidRPr="007B0A1A">
        <w:rPr>
          <w:rFonts w:ascii="Palatino Linotype" w:hAnsi="Palatino Linotype" w:cs="Arial"/>
          <w:i/>
          <w:sz w:val="22"/>
          <w:szCs w:val="22"/>
        </w:rPr>
        <w:t xml:space="preserve">inoperantes, toda vez que resultaría </w:t>
      </w:r>
      <w:r w:rsidRPr="007B0A1A">
        <w:rPr>
          <w:rFonts w:ascii="Palatino Linotype" w:hAnsi="Palatino Linotype" w:cs="Arial"/>
          <w:i/>
          <w:sz w:val="22"/>
          <w:szCs w:val="22"/>
          <w:lang w:eastAsia="es-MX"/>
        </w:rPr>
        <w:t>injustificado</w:t>
      </w:r>
      <w:r w:rsidRPr="007B0A1A">
        <w:rPr>
          <w:rFonts w:ascii="Palatino Linotype" w:hAnsi="Palatino Linotype" w:cs="Arial"/>
          <w:i/>
          <w:sz w:val="22"/>
          <w:szCs w:val="22"/>
        </w:rPr>
        <w:t xml:space="preserve"> examinar la </w:t>
      </w:r>
      <w:r w:rsidRPr="007B0A1A">
        <w:rPr>
          <w:rFonts w:ascii="Palatino Linotype" w:hAnsi="Palatino Linotype" w:cs="Arial"/>
          <w:i/>
          <w:sz w:val="22"/>
        </w:rPr>
        <w:t>constitucionalidad</w:t>
      </w:r>
      <w:r w:rsidRPr="007B0A1A">
        <w:rPr>
          <w:rFonts w:ascii="Palatino Linotype" w:hAnsi="Palatino Linotype" w:cs="Arial"/>
          <w:i/>
          <w:sz w:val="22"/>
          <w:szCs w:val="22"/>
        </w:rPr>
        <w:t xml:space="preserve"> de la sentencia combatida </w:t>
      </w:r>
      <w:r w:rsidRPr="007B0A1A">
        <w:rPr>
          <w:rFonts w:ascii="Palatino Linotype" w:hAnsi="Palatino Linotype" w:cs="Arial"/>
          <w:b/>
          <w:i/>
          <w:sz w:val="22"/>
          <w:szCs w:val="22"/>
        </w:rPr>
        <w:t>a la luz de razonamientos que no conoció la autoridad responsable</w:t>
      </w:r>
      <w:r w:rsidRPr="007B0A1A">
        <w:rPr>
          <w:rFonts w:ascii="Palatino Linotype" w:hAnsi="Palatino Linotype" w:cs="Arial"/>
          <w:i/>
          <w:sz w:val="22"/>
          <w:szCs w:val="22"/>
        </w:rPr>
        <w:t xml:space="preserve">, </w:t>
      </w:r>
      <w:r w:rsidRPr="007B0A1A">
        <w:rPr>
          <w:rFonts w:ascii="Palatino Linotype" w:hAnsi="Palatino Linotype" w:cs="Arial"/>
          <w:b/>
          <w:i/>
          <w:sz w:val="22"/>
          <w:szCs w:val="22"/>
        </w:rPr>
        <w:t>pues como tales manifestaciones no formaron parte de la litis natural</w:t>
      </w:r>
      <w:r w:rsidRPr="007B0A1A">
        <w:rPr>
          <w:rFonts w:ascii="Palatino Linotype" w:hAnsi="Palatino Linotype" w:cs="Arial"/>
          <w:i/>
          <w:sz w:val="22"/>
          <w:szCs w:val="22"/>
        </w:rPr>
        <w:t xml:space="preserve">, la Sala </w:t>
      </w:r>
      <w:r w:rsidRPr="007B0A1A">
        <w:rPr>
          <w:rFonts w:ascii="Palatino Linotype" w:hAnsi="Palatino Linotype" w:cs="Arial"/>
          <w:b/>
          <w:i/>
          <w:sz w:val="22"/>
          <w:szCs w:val="22"/>
        </w:rPr>
        <w:t>no tuvo la oportunidad legal de analizarlas ni de pronunciarse sobre ellas</w:t>
      </w:r>
      <w:r w:rsidRPr="007B0A1A">
        <w:rPr>
          <w:rFonts w:ascii="Palatino Linotype" w:hAnsi="Palatino Linotype" w:cs="Arial"/>
          <w:i/>
          <w:sz w:val="22"/>
          <w:szCs w:val="22"/>
        </w:rPr>
        <w:t>.</w:t>
      </w:r>
      <w:r w:rsidRPr="007B0A1A">
        <w:rPr>
          <w:rStyle w:val="Refdenotaalpie"/>
          <w:rFonts w:ascii="Palatino Linotype" w:hAnsi="Palatino Linotype" w:cs="Arial"/>
          <w:i/>
          <w:sz w:val="22"/>
          <w:szCs w:val="22"/>
        </w:rPr>
        <w:footnoteReference w:id="2"/>
      </w:r>
    </w:p>
    <w:p w14:paraId="101E365A" w14:textId="77777777" w:rsidR="008028EC" w:rsidRPr="007B0A1A" w:rsidRDefault="008028EC" w:rsidP="00356365">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p>
    <w:p w14:paraId="78758B36" w14:textId="77777777" w:rsidR="00366E2C" w:rsidRPr="007B0A1A" w:rsidRDefault="00366E2C" w:rsidP="00366E2C">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7B0A1A">
        <w:rPr>
          <w:rFonts w:ascii="Palatino Linotype" w:hAnsi="Palatino Linotype" w:cs="Arial"/>
        </w:rPr>
        <w:t xml:space="preserve">No </w:t>
      </w:r>
      <w:r w:rsidRPr="007B0A1A">
        <w:rPr>
          <w:rFonts w:ascii="Palatino Linotype" w:hAnsi="Palatino Linotype"/>
          <w:lang w:val="es-ES_tradnl"/>
        </w:rPr>
        <w:t>obstante,</w:t>
      </w:r>
      <w:r w:rsidRPr="007B0A1A">
        <w:rPr>
          <w:rFonts w:ascii="Palatino Linotype" w:hAnsi="Palatino Linotype" w:cs="Arial"/>
        </w:rPr>
        <w:t xml:space="preserve"> a efecto de salvaguardar el derecho constitucional de acceso a la información del </w:t>
      </w:r>
      <w:r w:rsidRPr="007B0A1A">
        <w:rPr>
          <w:rFonts w:ascii="Palatino Linotype" w:hAnsi="Palatino Linotype" w:cs="Arial"/>
          <w:b/>
        </w:rPr>
        <w:t>RECURRENTE</w:t>
      </w:r>
      <w:r w:rsidRPr="007B0A1A">
        <w:rPr>
          <w:rFonts w:ascii="Palatino Linotype" w:hAnsi="Palatino Linotype" w:cs="Arial"/>
        </w:rPr>
        <w:t>, quedan a salvo sus derechos para que formule una nueva solicitud si así lo considera pertinente.</w:t>
      </w:r>
    </w:p>
    <w:p w14:paraId="4F67D42B" w14:textId="768E52A8" w:rsidR="00826DF0" w:rsidRPr="007B0A1A" w:rsidRDefault="00366E2C" w:rsidP="00356365">
      <w:pPr>
        <w:pStyle w:val="Prrafodelista"/>
        <w:widowControl w:val="0"/>
        <w:autoSpaceDE w:val="0"/>
        <w:autoSpaceDN w:val="0"/>
        <w:adjustRightInd w:val="0"/>
        <w:spacing w:before="120" w:after="120" w:line="360" w:lineRule="auto"/>
        <w:ind w:left="0"/>
        <w:jc w:val="both"/>
        <w:rPr>
          <w:rFonts w:ascii="Palatino Linotype" w:hAnsi="Palatino Linotype"/>
        </w:rPr>
      </w:pPr>
      <w:r w:rsidRPr="007B0A1A">
        <w:rPr>
          <w:rFonts w:ascii="Palatino Linotype" w:hAnsi="Palatino Linotype" w:cs="Arial"/>
          <w:lang w:eastAsia="es-MX"/>
        </w:rPr>
        <w:t xml:space="preserve">Dicho lo anterior, </w:t>
      </w:r>
      <w:r w:rsidR="00371951" w:rsidRPr="007B0A1A">
        <w:rPr>
          <w:rFonts w:ascii="Palatino Linotype" w:hAnsi="Palatino Linotype" w:cs="Arial"/>
          <w:lang w:eastAsia="es-MX"/>
        </w:rPr>
        <w:t xml:space="preserve">respecto a las peticiones primarias, el SUJETO OBLIGADO </w:t>
      </w:r>
      <w:r w:rsidR="008028EC" w:rsidRPr="007B0A1A">
        <w:rPr>
          <w:rFonts w:ascii="Palatino Linotype" w:hAnsi="Palatino Linotype"/>
        </w:rPr>
        <w:t xml:space="preserve">realizó una búsqueda en los archivos digitales del Registro de Transporte Público del Estado de México de los titulares de concesiones para prestar el servicio de pasajeros en la modalidad de colectivo, proporcionando </w:t>
      </w:r>
      <w:r w:rsidR="00371951" w:rsidRPr="007B0A1A">
        <w:rPr>
          <w:rFonts w:ascii="Palatino Linotype" w:hAnsi="Palatino Linotype" w:cs="Arial"/>
          <w:lang w:eastAsia="es-MX"/>
        </w:rPr>
        <w:t xml:space="preserve">mediante </w:t>
      </w:r>
      <w:r w:rsidR="00AB0666" w:rsidRPr="007B0A1A">
        <w:rPr>
          <w:rFonts w:ascii="Palatino Linotype" w:hAnsi="Palatino Linotype" w:cs="Arial"/>
          <w:lang w:eastAsia="es-MX"/>
        </w:rPr>
        <w:t>archivo digital</w:t>
      </w:r>
      <w:r w:rsidR="00371951" w:rsidRPr="007B0A1A">
        <w:rPr>
          <w:rFonts w:ascii="Palatino Linotype" w:hAnsi="Palatino Linotype" w:cs="Arial"/>
          <w:lang w:eastAsia="es-MX"/>
        </w:rPr>
        <w:t xml:space="preserve"> </w:t>
      </w:r>
      <w:r w:rsidR="004E25F2" w:rsidRPr="007B0A1A">
        <w:rPr>
          <w:rFonts w:ascii="Palatino Linotype" w:hAnsi="Palatino Linotype" w:cs="Arial"/>
          <w:lang w:eastAsia="es-MX"/>
        </w:rPr>
        <w:t xml:space="preserve">denominado </w:t>
      </w:r>
      <w:r w:rsidR="008028EC" w:rsidRPr="007B0A1A">
        <w:rPr>
          <w:rFonts w:ascii="Palatino Linotype" w:hAnsi="Palatino Linotype"/>
          <w:b/>
          <w:color w:val="000000" w:themeColor="text1"/>
        </w:rPr>
        <w:t>CONCESIONARIAS (3).pdf</w:t>
      </w:r>
      <w:r w:rsidR="00CC69B1" w:rsidRPr="007B0A1A">
        <w:rPr>
          <w:rFonts w:ascii="Palatino Linotype" w:hAnsi="Palatino Linotype"/>
          <w:b/>
          <w:color w:val="000000" w:themeColor="text1"/>
        </w:rPr>
        <w:t xml:space="preserve"> </w:t>
      </w:r>
      <w:r w:rsidR="004E25F2" w:rsidRPr="007B0A1A">
        <w:rPr>
          <w:rFonts w:ascii="Palatino Linotype" w:hAnsi="Palatino Linotype"/>
          <w:b/>
          <w:color w:val="000000" w:themeColor="text1"/>
        </w:rPr>
        <w:t xml:space="preserve"> </w:t>
      </w:r>
      <w:r w:rsidR="004E25F2" w:rsidRPr="007B0A1A">
        <w:rPr>
          <w:rFonts w:ascii="Palatino Linotype" w:hAnsi="Palatino Linotype"/>
          <w:color w:val="000000" w:themeColor="text1"/>
        </w:rPr>
        <w:t xml:space="preserve">que contiene </w:t>
      </w:r>
      <w:r w:rsidR="00AB0666" w:rsidRPr="007B0A1A">
        <w:rPr>
          <w:rFonts w:ascii="Palatino Linotype" w:hAnsi="Palatino Linotype"/>
        </w:rPr>
        <w:t>el listado de los nombres de los titulares de concesiones en la moda</w:t>
      </w:r>
      <w:r w:rsidR="008028EC" w:rsidRPr="007B0A1A">
        <w:rPr>
          <w:rFonts w:ascii="Palatino Linotype" w:hAnsi="Palatino Linotype"/>
        </w:rPr>
        <w:t>lidad de cole</w:t>
      </w:r>
      <w:r w:rsidR="00CC69B1" w:rsidRPr="007B0A1A">
        <w:rPr>
          <w:rFonts w:ascii="Palatino Linotype" w:hAnsi="Palatino Linotype"/>
        </w:rPr>
        <w:t>ctivo localizadas</w:t>
      </w:r>
      <w:r w:rsidR="00826DF0" w:rsidRPr="007B0A1A">
        <w:rPr>
          <w:rFonts w:ascii="Palatino Linotype" w:hAnsi="Palatino Linotype"/>
        </w:rPr>
        <w:t>.</w:t>
      </w:r>
    </w:p>
    <w:p w14:paraId="018E0CFE" w14:textId="77777777" w:rsidR="00826DF0" w:rsidRPr="007B0A1A" w:rsidRDefault="00826DF0" w:rsidP="00356365">
      <w:pPr>
        <w:pStyle w:val="Prrafodelista"/>
        <w:widowControl w:val="0"/>
        <w:autoSpaceDE w:val="0"/>
        <w:autoSpaceDN w:val="0"/>
        <w:adjustRightInd w:val="0"/>
        <w:spacing w:before="120" w:after="120" w:line="360" w:lineRule="auto"/>
        <w:ind w:left="0"/>
        <w:jc w:val="both"/>
        <w:rPr>
          <w:rFonts w:ascii="Palatino Linotype" w:hAnsi="Palatino Linotype"/>
        </w:rPr>
      </w:pPr>
    </w:p>
    <w:p w14:paraId="31F99F00" w14:textId="29F8F061" w:rsidR="006C7A78" w:rsidRPr="007B0A1A" w:rsidRDefault="00826DF0" w:rsidP="00356365">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7B0A1A">
        <w:rPr>
          <w:rFonts w:ascii="Palatino Linotype" w:hAnsi="Palatino Linotype"/>
        </w:rPr>
        <w:t>Asimismo, el Coordinador de Informática,</w:t>
      </w:r>
      <w:r w:rsidR="00DA3362" w:rsidRPr="007B0A1A">
        <w:rPr>
          <w:rFonts w:ascii="Palatino Linotype" w:hAnsi="Palatino Linotype"/>
        </w:rPr>
        <w:t xml:space="preserve"> proporcionó </w:t>
      </w:r>
      <w:r w:rsidR="00DA3362" w:rsidRPr="007B0A1A">
        <w:rPr>
          <w:rFonts w:ascii="Palatino Linotype" w:hAnsi="Palatino Linotype" w:cs="Arial"/>
          <w:lang w:eastAsia="es-MX"/>
        </w:rPr>
        <w:t>mediante archivo digital</w:t>
      </w:r>
      <w:r w:rsidRPr="007B0A1A">
        <w:rPr>
          <w:rFonts w:ascii="Palatino Linotype" w:hAnsi="Palatino Linotype"/>
        </w:rPr>
        <w:t xml:space="preserve"> </w:t>
      </w:r>
      <w:r w:rsidRPr="007B0A1A">
        <w:rPr>
          <w:rFonts w:ascii="Palatino Linotype" w:hAnsi="Palatino Linotype"/>
          <w:b/>
          <w:color w:val="000000" w:themeColor="text1"/>
        </w:rPr>
        <w:t>00231-SMOV-IP-2021 (4).pdf</w:t>
      </w:r>
      <w:r w:rsidR="00DA3362" w:rsidRPr="007B0A1A">
        <w:rPr>
          <w:rFonts w:ascii="Palatino Linotype" w:hAnsi="Palatino Linotype"/>
          <w:b/>
          <w:color w:val="000000" w:themeColor="text1"/>
        </w:rPr>
        <w:t xml:space="preserve">, </w:t>
      </w:r>
      <w:r w:rsidR="00DA3362" w:rsidRPr="007B0A1A">
        <w:rPr>
          <w:rFonts w:ascii="Palatino Linotype" w:hAnsi="Palatino Linotype"/>
          <w:color w:val="000000" w:themeColor="text1"/>
        </w:rPr>
        <w:t>la</w:t>
      </w:r>
      <w:r w:rsidRPr="007B0A1A">
        <w:rPr>
          <w:rFonts w:ascii="Palatino Linotype" w:hAnsi="Palatino Linotype"/>
        </w:rPr>
        <w:t xml:space="preserve"> lista de rutas de transporte público de pasajeros vigentes con detalles de cada ruta con datos GPS</w:t>
      </w:r>
      <w:r w:rsidR="00DA3362" w:rsidRPr="007B0A1A">
        <w:rPr>
          <w:rFonts w:ascii="Palatino Linotype" w:hAnsi="Palatino Linotype"/>
        </w:rPr>
        <w:t xml:space="preserve">; quien incluso realizó la precisión de que el peticionario pudo referirse con su petición a las empresas que tienen registro de conectividad GPS en el Centro de Control y Gestión de la Secretaría de Movilidad, y para ello, adjunto el listado de las empresas que se encuentran en tal situación; pero con la salvedad de proporcionar </w:t>
      </w:r>
      <w:r w:rsidR="00CC69B1" w:rsidRPr="007B0A1A">
        <w:rPr>
          <w:rFonts w:ascii="Palatino Linotype" w:hAnsi="Palatino Linotype" w:cs="Arial"/>
        </w:rPr>
        <w:t xml:space="preserve">lo peticionado respecto a </w:t>
      </w:r>
      <w:r w:rsidR="00CC69B1" w:rsidRPr="007B0A1A">
        <w:rPr>
          <w:rFonts w:ascii="Palatino Linotype" w:hAnsi="Palatino Linotype" w:cs="Arial"/>
          <w:b/>
        </w:rPr>
        <w:t>dirección, teléfono</w:t>
      </w:r>
      <w:r w:rsidR="006C7A78" w:rsidRPr="007B0A1A">
        <w:rPr>
          <w:rFonts w:ascii="Palatino Linotype" w:hAnsi="Palatino Linotype" w:cs="Arial"/>
          <w:b/>
        </w:rPr>
        <w:t xml:space="preserve"> y</w:t>
      </w:r>
      <w:r w:rsidR="00CC69B1" w:rsidRPr="007B0A1A">
        <w:rPr>
          <w:rFonts w:ascii="Palatino Linotype" w:hAnsi="Palatino Linotype" w:cs="Arial"/>
          <w:b/>
        </w:rPr>
        <w:t xml:space="preserve"> correo electrónico</w:t>
      </w:r>
      <w:r w:rsidR="006C7A78" w:rsidRPr="007B0A1A">
        <w:rPr>
          <w:rFonts w:ascii="Palatino Linotype" w:hAnsi="Palatino Linotype" w:cs="Arial"/>
        </w:rPr>
        <w:t xml:space="preserve">, pues </w:t>
      </w:r>
      <w:r w:rsidR="006C7A78" w:rsidRPr="007B0A1A">
        <w:rPr>
          <w:rFonts w:ascii="Palatino Linotype" w:hAnsi="Palatino Linotype" w:cs="Arial"/>
          <w:b/>
        </w:rPr>
        <w:t>lo consideró como información confidencial</w:t>
      </w:r>
      <w:r w:rsidR="006C7A78" w:rsidRPr="007B0A1A">
        <w:rPr>
          <w:rFonts w:ascii="Palatino Linotype" w:hAnsi="Palatino Linotype" w:cs="Arial"/>
        </w:rPr>
        <w:t xml:space="preserve">, ya que se refiere a </w:t>
      </w:r>
      <w:r w:rsidR="006C7A78" w:rsidRPr="007B0A1A">
        <w:rPr>
          <w:rFonts w:ascii="Palatino Linotype" w:hAnsi="Palatino Linotype" w:cs="Arial"/>
        </w:rPr>
        <w:lastRenderedPageBreak/>
        <w:t xml:space="preserve">datos personales concernientes a personas físicas y jurídicas colectivas </w:t>
      </w:r>
      <w:r w:rsidR="004E25F2" w:rsidRPr="007B0A1A">
        <w:rPr>
          <w:rFonts w:ascii="Palatino Linotype" w:hAnsi="Palatino Linotype" w:cs="Arial"/>
        </w:rPr>
        <w:t xml:space="preserve">identificadas o identificables; haciendo hincapié que el SUJETO OBLIGADO, </w:t>
      </w:r>
      <w:r w:rsidR="004E25F2" w:rsidRPr="007B0A1A">
        <w:rPr>
          <w:rFonts w:ascii="Palatino Linotype" w:hAnsi="Palatino Linotype" w:cs="Arial"/>
          <w:b/>
        </w:rPr>
        <w:t>realizó la prueba de daño</w:t>
      </w:r>
      <w:r w:rsidR="004E25F2" w:rsidRPr="007B0A1A">
        <w:rPr>
          <w:rFonts w:ascii="Palatino Linotype" w:hAnsi="Palatino Linotype" w:cs="Arial"/>
        </w:rPr>
        <w:t xml:space="preserve"> en la que argumentó la reserva de la información, la cual se analizará más adelante.</w:t>
      </w:r>
    </w:p>
    <w:p w14:paraId="2F32F543" w14:textId="77777777" w:rsidR="00F05ADC" w:rsidRPr="007B0A1A" w:rsidRDefault="00F05ADC" w:rsidP="00356365">
      <w:pPr>
        <w:pStyle w:val="Prrafodelista"/>
        <w:widowControl w:val="0"/>
        <w:autoSpaceDE w:val="0"/>
        <w:autoSpaceDN w:val="0"/>
        <w:adjustRightInd w:val="0"/>
        <w:spacing w:before="120" w:after="120" w:line="360" w:lineRule="auto"/>
        <w:ind w:left="0"/>
        <w:jc w:val="both"/>
        <w:rPr>
          <w:rFonts w:ascii="Palatino Linotype" w:hAnsi="Palatino Linotype" w:cs="Arial"/>
        </w:rPr>
      </w:pPr>
    </w:p>
    <w:p w14:paraId="62594737" w14:textId="7A483614" w:rsidR="00F574D3" w:rsidRPr="007B0A1A" w:rsidRDefault="003A089F" w:rsidP="003A089F">
      <w:pPr>
        <w:pStyle w:val="Prrafodelista"/>
        <w:spacing w:line="360" w:lineRule="auto"/>
        <w:ind w:left="0"/>
        <w:contextualSpacing/>
        <w:jc w:val="both"/>
        <w:rPr>
          <w:rFonts w:ascii="Palatino Linotype" w:hAnsi="Palatino Linotype" w:cs="Arial"/>
        </w:rPr>
      </w:pPr>
      <w:r w:rsidRPr="007B0A1A">
        <w:rPr>
          <w:rFonts w:ascii="Palatino Linotype" w:hAnsi="Palatino Linotype" w:cs="Tahoma"/>
          <w:bCs/>
          <w:szCs w:val="22"/>
        </w:rPr>
        <w:t xml:space="preserve">Ahora bien, </w:t>
      </w:r>
      <w:r w:rsidR="009717D0" w:rsidRPr="007B0A1A">
        <w:rPr>
          <w:rFonts w:ascii="Palatino Linotype" w:hAnsi="Palatino Linotype" w:cs="Tahoma"/>
          <w:bCs/>
          <w:szCs w:val="22"/>
        </w:rPr>
        <w:t>no obstante lo anterior, debe resaltarse que</w:t>
      </w:r>
      <w:r w:rsidRPr="007B0A1A">
        <w:rPr>
          <w:rFonts w:ascii="Palatino Linotype" w:hAnsi="Palatino Linotype" w:cs="Tahoma"/>
          <w:bCs/>
          <w:szCs w:val="22"/>
        </w:rPr>
        <w:t xml:space="preserve"> el Sujeto Obligado realizó la reserva de la información a través del act</w:t>
      </w:r>
      <w:r w:rsidR="009717D0" w:rsidRPr="007B0A1A">
        <w:rPr>
          <w:rFonts w:ascii="Palatino Linotype" w:hAnsi="Palatino Linotype" w:cs="Tahoma"/>
          <w:bCs/>
          <w:szCs w:val="22"/>
        </w:rPr>
        <w:t xml:space="preserve">a </w:t>
      </w:r>
      <w:r w:rsidR="009717D0" w:rsidRPr="007B0A1A">
        <w:rPr>
          <w:rFonts w:ascii="Palatino Linotype" w:hAnsi="Palatino Linotype"/>
        </w:rPr>
        <w:t>CT/SM/A/01/2021 de la SEPTUAGÉSIMA NOVENA SESIÓN EXTRAORDINARIA DEL AÑO DOS MIL VEINTIUNO</w:t>
      </w:r>
      <w:r w:rsidRPr="007B0A1A">
        <w:rPr>
          <w:rFonts w:ascii="Palatino Linotype" w:hAnsi="Palatino Linotype" w:cs="Tahoma"/>
          <w:bCs/>
          <w:szCs w:val="22"/>
        </w:rPr>
        <w:t>; sin embargo, de la revisión de dicho documento, se aprecia que no se encuentra debidamente fundada y motivada de conformidad con la legislación aplicable,</w:t>
      </w:r>
      <w:r w:rsidR="009717D0" w:rsidRPr="007B0A1A">
        <w:rPr>
          <w:rFonts w:ascii="Palatino Linotype" w:hAnsi="Palatino Linotype" w:cs="Tahoma"/>
          <w:bCs/>
          <w:szCs w:val="22"/>
        </w:rPr>
        <w:t xml:space="preserve"> pues aduce realizar la PRUEBA DE DAÑO, respecto a información </w:t>
      </w:r>
      <w:r w:rsidR="00D72735" w:rsidRPr="007B0A1A">
        <w:rPr>
          <w:rFonts w:ascii="Palatino Linotype" w:hAnsi="Palatino Linotype" w:cs="Tahoma"/>
          <w:bCs/>
          <w:szCs w:val="22"/>
        </w:rPr>
        <w:t xml:space="preserve">catalogada como confidencial; sin embargo, respecto a la información en cuestión, siendo </w:t>
      </w:r>
      <w:r w:rsidR="00D72735" w:rsidRPr="007B0A1A">
        <w:rPr>
          <w:rFonts w:ascii="Palatino Linotype" w:hAnsi="Palatino Linotype" w:cs="Arial"/>
          <w:b/>
        </w:rPr>
        <w:t>dirección, teléfono y correo electrónico</w:t>
      </w:r>
      <w:r w:rsidR="00D72735" w:rsidRPr="007B0A1A">
        <w:rPr>
          <w:rFonts w:ascii="Palatino Linotype" w:hAnsi="Palatino Linotype" w:cs="Arial"/>
        </w:rPr>
        <w:t>, la cual fue clasificada como</w:t>
      </w:r>
      <w:r w:rsidR="00F574D3" w:rsidRPr="007B0A1A">
        <w:rPr>
          <w:rFonts w:ascii="Palatino Linotype" w:hAnsi="Palatino Linotype" w:cs="Arial"/>
        </w:rPr>
        <w:t xml:space="preserve"> tal</w:t>
      </w:r>
      <w:r w:rsidR="00D72735" w:rsidRPr="007B0A1A">
        <w:rPr>
          <w:rFonts w:ascii="Palatino Linotype" w:hAnsi="Palatino Linotype" w:cs="Arial"/>
        </w:rPr>
        <w:t>, pues</w:t>
      </w:r>
      <w:r w:rsidR="00F574D3" w:rsidRPr="007B0A1A">
        <w:rPr>
          <w:rFonts w:ascii="Palatino Linotype" w:hAnsi="Palatino Linotype" w:cs="Arial"/>
        </w:rPr>
        <w:t xml:space="preserve"> deviene</w:t>
      </w:r>
      <w:r w:rsidR="00D72735" w:rsidRPr="007B0A1A">
        <w:rPr>
          <w:rFonts w:ascii="Palatino Linotype" w:hAnsi="Palatino Linotype" w:cs="Arial"/>
        </w:rPr>
        <w:t xml:space="preserve"> propia de particulares, </w:t>
      </w:r>
      <w:r w:rsidR="00F574D3" w:rsidRPr="007B0A1A">
        <w:rPr>
          <w:rFonts w:ascii="Palatino Linotype" w:hAnsi="Palatino Linotype" w:cs="Arial"/>
        </w:rPr>
        <w:t xml:space="preserve">que </w:t>
      </w:r>
      <w:r w:rsidR="004D26F2" w:rsidRPr="007B0A1A">
        <w:rPr>
          <w:rFonts w:ascii="Palatino Linotype" w:hAnsi="Palatino Linotype" w:cs="Arial"/>
        </w:rPr>
        <w:t>es</w:t>
      </w:r>
      <w:r w:rsidR="00F574D3" w:rsidRPr="007B0A1A">
        <w:rPr>
          <w:rFonts w:ascii="Palatino Linotype" w:hAnsi="Palatino Linotype" w:cs="Arial"/>
        </w:rPr>
        <w:t xml:space="preserve"> </w:t>
      </w:r>
      <w:r w:rsidR="00D72735" w:rsidRPr="007B0A1A">
        <w:rPr>
          <w:rFonts w:ascii="Palatino Linotype" w:hAnsi="Palatino Linotype" w:cs="Arial"/>
        </w:rPr>
        <w:t xml:space="preserve">entregada por estos a las dependencias; </w:t>
      </w:r>
      <w:r w:rsidR="00F574D3" w:rsidRPr="007B0A1A">
        <w:rPr>
          <w:rFonts w:ascii="Palatino Linotype" w:hAnsi="Palatino Linotype" w:cs="Arial"/>
        </w:rPr>
        <w:t>para su clasificación era necesario realizar un acuerdo únicamente en versión pública</w:t>
      </w:r>
      <w:r w:rsidR="00EE3B5A" w:rsidRPr="007B0A1A">
        <w:rPr>
          <w:rFonts w:ascii="Palatino Linotype" w:hAnsi="Palatino Linotype" w:cs="Arial"/>
        </w:rPr>
        <w:t xml:space="preserve"> p</w:t>
      </w:r>
      <w:r w:rsidR="00931A18" w:rsidRPr="007B0A1A">
        <w:rPr>
          <w:rFonts w:ascii="Palatino Linotype" w:hAnsi="Palatino Linotype" w:cs="Arial"/>
        </w:rPr>
        <w:t>e</w:t>
      </w:r>
      <w:r w:rsidR="00EE3B5A" w:rsidRPr="007B0A1A">
        <w:rPr>
          <w:rFonts w:ascii="Palatino Linotype" w:hAnsi="Palatino Linotype" w:cs="Arial"/>
        </w:rPr>
        <w:t>ro solamente p</w:t>
      </w:r>
      <w:r w:rsidR="00931A18" w:rsidRPr="007B0A1A">
        <w:rPr>
          <w:rFonts w:ascii="Palatino Linotype" w:hAnsi="Palatino Linotype" w:cs="Arial"/>
        </w:rPr>
        <w:t>o</w:t>
      </w:r>
      <w:r w:rsidR="00EE3B5A" w:rsidRPr="007B0A1A">
        <w:rPr>
          <w:rFonts w:ascii="Palatino Linotype" w:hAnsi="Palatino Linotype" w:cs="Arial"/>
        </w:rPr>
        <w:t>r cuanto hace</w:t>
      </w:r>
      <w:r w:rsidR="00931A18" w:rsidRPr="007B0A1A">
        <w:rPr>
          <w:rFonts w:ascii="Palatino Linotype" w:hAnsi="Palatino Linotype" w:cs="Arial"/>
        </w:rPr>
        <w:t xml:space="preserve"> al</w:t>
      </w:r>
      <w:r w:rsidR="00EE3B5A" w:rsidRPr="007B0A1A">
        <w:rPr>
          <w:rFonts w:ascii="Palatino Linotype" w:hAnsi="Palatino Linotype" w:cs="Arial"/>
        </w:rPr>
        <w:t xml:space="preserve"> </w:t>
      </w:r>
      <w:r w:rsidR="00EE3B5A" w:rsidRPr="007B0A1A">
        <w:rPr>
          <w:rFonts w:ascii="Palatino Linotype" w:hAnsi="Palatino Linotype" w:cs="Arial"/>
          <w:b/>
        </w:rPr>
        <w:t>teléfono y correo electrónico.</w:t>
      </w:r>
    </w:p>
    <w:p w14:paraId="5475CA24" w14:textId="77777777" w:rsidR="00F574D3" w:rsidRPr="007B0A1A" w:rsidRDefault="00F574D3" w:rsidP="003A089F">
      <w:pPr>
        <w:pStyle w:val="Prrafodelista"/>
        <w:spacing w:line="360" w:lineRule="auto"/>
        <w:ind w:left="0"/>
        <w:contextualSpacing/>
        <w:jc w:val="both"/>
        <w:rPr>
          <w:rFonts w:ascii="Palatino Linotype" w:hAnsi="Palatino Linotype" w:cs="Arial"/>
        </w:rPr>
      </w:pPr>
    </w:p>
    <w:p w14:paraId="45D8A1F7" w14:textId="26ED2948" w:rsidR="00F574D3" w:rsidRPr="007B0A1A" w:rsidRDefault="00F574D3" w:rsidP="003A089F">
      <w:pPr>
        <w:pStyle w:val="Prrafodelista"/>
        <w:spacing w:line="360" w:lineRule="auto"/>
        <w:ind w:left="0"/>
        <w:contextualSpacing/>
        <w:jc w:val="both"/>
        <w:rPr>
          <w:rFonts w:ascii="Palatino Linotype" w:hAnsi="Palatino Linotype" w:cs="Arial"/>
        </w:rPr>
      </w:pPr>
      <w:r w:rsidRPr="007B0A1A">
        <w:rPr>
          <w:rFonts w:ascii="Palatino Linotype" w:hAnsi="Palatino Linotype" w:cs="Arial"/>
        </w:rPr>
        <w:t xml:space="preserve">Para mejor entendimiento conviene traer a colación la </w:t>
      </w:r>
      <w:r w:rsidRPr="007B0A1A">
        <w:rPr>
          <w:rFonts w:ascii="Palatino Linotype" w:hAnsi="Palatino Linotype" w:cs="Arial"/>
          <w:b/>
        </w:rPr>
        <w:t>definición de prueba de daño</w:t>
      </w:r>
      <w:r w:rsidR="008A3361" w:rsidRPr="007B0A1A">
        <w:rPr>
          <w:rFonts w:ascii="Palatino Linotype" w:hAnsi="Palatino Linotype" w:cs="Arial"/>
        </w:rPr>
        <w:t xml:space="preserve"> de acuerdo a la Ley de Transparencia y Acceso a la Información Pública del Estado de México y Municipios que a la letra refiere</w:t>
      </w:r>
      <w:r w:rsidRPr="007B0A1A">
        <w:rPr>
          <w:rFonts w:ascii="Palatino Linotype" w:hAnsi="Palatino Linotype" w:cs="Arial"/>
        </w:rPr>
        <w:t>:</w:t>
      </w:r>
    </w:p>
    <w:p w14:paraId="30332960" w14:textId="77777777" w:rsidR="008A3361" w:rsidRPr="007B0A1A" w:rsidRDefault="008A3361" w:rsidP="003A089F">
      <w:pPr>
        <w:pStyle w:val="Prrafodelista"/>
        <w:spacing w:line="360" w:lineRule="auto"/>
        <w:ind w:left="0"/>
        <w:contextualSpacing/>
        <w:jc w:val="both"/>
        <w:rPr>
          <w:rFonts w:ascii="Palatino Linotype" w:hAnsi="Palatino Linotype" w:cs="Arial"/>
        </w:rPr>
      </w:pPr>
    </w:p>
    <w:p w14:paraId="35C701F2" w14:textId="0F370306" w:rsidR="008A3361" w:rsidRPr="007B0A1A" w:rsidRDefault="008A3361" w:rsidP="00632260">
      <w:pPr>
        <w:pStyle w:val="Prrafodelista"/>
        <w:ind w:left="851" w:right="902"/>
        <w:contextualSpacing/>
        <w:jc w:val="both"/>
        <w:rPr>
          <w:rFonts w:ascii="Palatino Linotype" w:hAnsi="Palatino Linotype"/>
          <w:i/>
        </w:rPr>
      </w:pPr>
      <w:r w:rsidRPr="007B0A1A">
        <w:rPr>
          <w:rFonts w:ascii="Palatino Linotype" w:hAnsi="Palatino Linotype"/>
          <w:b/>
          <w:i/>
        </w:rPr>
        <w:t>XXXIII</w:t>
      </w:r>
      <w:r w:rsidRPr="007B0A1A">
        <w:rPr>
          <w:rFonts w:ascii="Palatino Linotype" w:hAnsi="Palatino Linotype"/>
          <w:i/>
        </w:rPr>
        <w:t xml:space="preserve">. </w:t>
      </w:r>
      <w:r w:rsidRPr="007B0A1A">
        <w:rPr>
          <w:rFonts w:ascii="Palatino Linotype" w:hAnsi="Palatino Linotype"/>
          <w:b/>
          <w:i/>
        </w:rPr>
        <w:t>Prueba de Daño:</w:t>
      </w:r>
      <w:r w:rsidRPr="007B0A1A">
        <w:rPr>
          <w:rFonts w:ascii="Palatino Linotype" w:hAnsi="Palatino Linotype"/>
          <w:i/>
        </w:rPr>
        <w:t xml:space="preserve"> Responsabilidad de los sujetos obligados de demostrar de manera fundada y motivada que la divulgación de información lesiona el interés jurídicamente protegido por la Ley, y que el menoscabo o </w:t>
      </w:r>
      <w:r w:rsidRPr="007B0A1A">
        <w:rPr>
          <w:rFonts w:ascii="Palatino Linotype" w:hAnsi="Palatino Linotype"/>
          <w:i/>
        </w:rPr>
        <w:lastRenderedPageBreak/>
        <w:t>daño que puede producirse con la publicidad de la información es mayor que el interés de conocerla y por consiguiente debe clasificarse como reservada;</w:t>
      </w:r>
    </w:p>
    <w:p w14:paraId="08C106EB" w14:textId="77777777" w:rsidR="008A3361" w:rsidRPr="007B0A1A" w:rsidRDefault="008A3361" w:rsidP="008A3361">
      <w:pPr>
        <w:pStyle w:val="Prrafodelista"/>
        <w:spacing w:line="360" w:lineRule="auto"/>
        <w:ind w:left="851" w:right="899"/>
        <w:contextualSpacing/>
        <w:jc w:val="both"/>
        <w:rPr>
          <w:rFonts w:ascii="Palatino Linotype" w:hAnsi="Palatino Linotype" w:cs="Arial"/>
          <w:i/>
        </w:rPr>
      </w:pPr>
    </w:p>
    <w:p w14:paraId="053CDBA4" w14:textId="6AD1305F" w:rsidR="009717D0" w:rsidRPr="007B0A1A" w:rsidRDefault="00632260" w:rsidP="003A089F">
      <w:pPr>
        <w:pStyle w:val="Prrafodelista"/>
        <w:spacing w:line="360" w:lineRule="auto"/>
        <w:ind w:left="0"/>
        <w:contextualSpacing/>
        <w:jc w:val="both"/>
        <w:rPr>
          <w:rFonts w:ascii="Palatino Linotype" w:hAnsi="Palatino Linotype" w:cs="Tahoma"/>
          <w:bCs/>
          <w:szCs w:val="22"/>
        </w:rPr>
      </w:pPr>
      <w:r w:rsidRPr="007B0A1A">
        <w:rPr>
          <w:rFonts w:ascii="Palatino Linotype" w:hAnsi="Palatino Linotype" w:cs="Tahoma"/>
          <w:bCs/>
          <w:szCs w:val="22"/>
        </w:rPr>
        <w:t xml:space="preserve">Ahora bien, también es conveniente definir lo concerniente a </w:t>
      </w:r>
      <w:r w:rsidRPr="007B0A1A">
        <w:rPr>
          <w:rFonts w:ascii="Palatino Linotype" w:hAnsi="Palatino Linotype" w:cs="Tahoma"/>
          <w:b/>
          <w:bCs/>
          <w:szCs w:val="22"/>
        </w:rPr>
        <w:t>informaci</w:t>
      </w:r>
      <w:r w:rsidR="0069374B" w:rsidRPr="007B0A1A">
        <w:rPr>
          <w:rFonts w:ascii="Palatino Linotype" w:hAnsi="Palatino Linotype" w:cs="Tahoma"/>
          <w:b/>
          <w:bCs/>
          <w:szCs w:val="22"/>
        </w:rPr>
        <w:t>ón confidencial</w:t>
      </w:r>
      <w:r w:rsidRPr="007B0A1A">
        <w:rPr>
          <w:rFonts w:ascii="Palatino Linotype" w:hAnsi="Palatino Linotype" w:cs="Tahoma"/>
          <w:b/>
          <w:bCs/>
          <w:szCs w:val="22"/>
        </w:rPr>
        <w:t xml:space="preserve">, </w:t>
      </w:r>
      <w:r w:rsidRPr="007B0A1A">
        <w:rPr>
          <w:rFonts w:ascii="Palatino Linotype" w:hAnsi="Palatino Linotype" w:cs="Tahoma"/>
          <w:bCs/>
          <w:szCs w:val="22"/>
        </w:rPr>
        <w:t>de acuerdo a la citada ley:</w:t>
      </w:r>
    </w:p>
    <w:p w14:paraId="1176570D" w14:textId="77777777" w:rsidR="003A089F" w:rsidRPr="007B0A1A" w:rsidRDefault="003A089F" w:rsidP="003A089F">
      <w:pPr>
        <w:pStyle w:val="Prrafodelista"/>
        <w:tabs>
          <w:tab w:val="left" w:pos="5370"/>
        </w:tabs>
        <w:spacing w:line="360" w:lineRule="auto"/>
        <w:ind w:left="0"/>
        <w:jc w:val="both"/>
        <w:rPr>
          <w:rFonts w:ascii="Palatino Linotype" w:hAnsi="Palatino Linotype"/>
        </w:rPr>
      </w:pPr>
      <w:r w:rsidRPr="007B0A1A">
        <w:rPr>
          <w:rFonts w:ascii="Palatino Linotype" w:hAnsi="Palatino Linotype"/>
        </w:rPr>
        <w:tab/>
      </w:r>
    </w:p>
    <w:p w14:paraId="703315FF" w14:textId="467EE853" w:rsidR="008A3361" w:rsidRPr="007B0A1A" w:rsidRDefault="00632260" w:rsidP="00632260">
      <w:pPr>
        <w:pStyle w:val="Prrafodelista"/>
        <w:tabs>
          <w:tab w:val="left" w:pos="5370"/>
        </w:tabs>
        <w:ind w:left="851" w:right="902"/>
        <w:jc w:val="both"/>
        <w:rPr>
          <w:rFonts w:ascii="Palatino Linotype" w:hAnsi="Palatino Linotype"/>
          <w:i/>
        </w:rPr>
      </w:pPr>
      <w:r w:rsidRPr="007B0A1A">
        <w:rPr>
          <w:rFonts w:ascii="Palatino Linotype" w:hAnsi="Palatino Linotype"/>
          <w:b/>
          <w:i/>
        </w:rPr>
        <w:t>XXI. Información confidencial</w:t>
      </w:r>
      <w:r w:rsidRPr="007B0A1A">
        <w:rPr>
          <w:rFonts w:ascii="Palatino Linotype" w:hAnsi="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2719296" w14:textId="77777777" w:rsidR="00632260" w:rsidRPr="007B0A1A" w:rsidRDefault="00632260" w:rsidP="00632260">
      <w:pPr>
        <w:pStyle w:val="Prrafodelista"/>
        <w:tabs>
          <w:tab w:val="left" w:pos="5370"/>
        </w:tabs>
        <w:ind w:left="851" w:right="902"/>
        <w:jc w:val="both"/>
        <w:rPr>
          <w:rFonts w:ascii="Palatino Linotype" w:hAnsi="Palatino Linotype"/>
          <w:i/>
        </w:rPr>
      </w:pPr>
    </w:p>
    <w:p w14:paraId="3E7A28EA" w14:textId="77777777" w:rsidR="00BE5921" w:rsidRPr="007B0A1A" w:rsidRDefault="00BE5921" w:rsidP="00632260">
      <w:pPr>
        <w:pStyle w:val="Prrafodelista"/>
        <w:tabs>
          <w:tab w:val="left" w:pos="5370"/>
        </w:tabs>
        <w:ind w:left="851" w:right="902"/>
        <w:jc w:val="both"/>
      </w:pPr>
    </w:p>
    <w:p w14:paraId="6F8070BF" w14:textId="77777777" w:rsidR="00BE5921" w:rsidRPr="007B0A1A" w:rsidRDefault="00BE5921" w:rsidP="00632260">
      <w:pPr>
        <w:pStyle w:val="Prrafodelista"/>
        <w:tabs>
          <w:tab w:val="left" w:pos="5370"/>
        </w:tabs>
        <w:ind w:left="851" w:right="902"/>
        <w:jc w:val="both"/>
      </w:pPr>
    </w:p>
    <w:p w14:paraId="5A872661" w14:textId="18FCA64F" w:rsidR="00BE5921" w:rsidRPr="007B0A1A" w:rsidRDefault="00BE5921" w:rsidP="00BE5921">
      <w:pPr>
        <w:pStyle w:val="Prrafodelista"/>
        <w:tabs>
          <w:tab w:val="left" w:pos="5370"/>
        </w:tabs>
        <w:ind w:left="851" w:right="902"/>
        <w:jc w:val="center"/>
        <w:rPr>
          <w:rFonts w:ascii="Palatino Linotype" w:hAnsi="Palatino Linotype"/>
          <w:b/>
          <w:i/>
        </w:rPr>
      </w:pPr>
      <w:r w:rsidRPr="007B0A1A">
        <w:rPr>
          <w:rFonts w:ascii="Palatino Linotype" w:hAnsi="Palatino Linotype"/>
          <w:b/>
          <w:i/>
        </w:rPr>
        <w:t>Capítulo III</w:t>
      </w:r>
    </w:p>
    <w:p w14:paraId="2D724420" w14:textId="2F84F2ED" w:rsidR="00BE5921" w:rsidRPr="007B0A1A" w:rsidRDefault="00BE5921" w:rsidP="00BE5921">
      <w:pPr>
        <w:pStyle w:val="Prrafodelista"/>
        <w:tabs>
          <w:tab w:val="left" w:pos="5370"/>
        </w:tabs>
        <w:ind w:left="851" w:right="902"/>
        <w:jc w:val="center"/>
        <w:rPr>
          <w:rFonts w:ascii="Palatino Linotype" w:hAnsi="Palatino Linotype"/>
          <w:b/>
          <w:i/>
        </w:rPr>
      </w:pPr>
      <w:r w:rsidRPr="007B0A1A">
        <w:rPr>
          <w:rFonts w:ascii="Palatino Linotype" w:hAnsi="Palatino Linotype"/>
          <w:b/>
          <w:i/>
        </w:rPr>
        <w:t>De la Información Confidencial</w:t>
      </w:r>
    </w:p>
    <w:p w14:paraId="55F0FBE7" w14:textId="77777777" w:rsidR="00BE5921" w:rsidRPr="007B0A1A" w:rsidRDefault="00BE5921" w:rsidP="00632260">
      <w:pPr>
        <w:pStyle w:val="Prrafodelista"/>
        <w:tabs>
          <w:tab w:val="left" w:pos="5370"/>
        </w:tabs>
        <w:ind w:left="851" w:right="902"/>
        <w:jc w:val="both"/>
        <w:rPr>
          <w:rFonts w:ascii="Palatino Linotype" w:hAnsi="Palatino Linotype"/>
          <w:i/>
        </w:rPr>
      </w:pPr>
    </w:p>
    <w:p w14:paraId="1A6839DA" w14:textId="77777777" w:rsidR="00BE5921" w:rsidRPr="007B0A1A" w:rsidRDefault="00BE5921" w:rsidP="00632260">
      <w:pPr>
        <w:pStyle w:val="Prrafodelista"/>
        <w:tabs>
          <w:tab w:val="left" w:pos="5370"/>
        </w:tabs>
        <w:ind w:left="851" w:right="902"/>
        <w:jc w:val="both"/>
        <w:rPr>
          <w:rFonts w:ascii="Palatino Linotype" w:hAnsi="Palatino Linotype"/>
          <w:i/>
        </w:rPr>
      </w:pPr>
      <w:r w:rsidRPr="007B0A1A">
        <w:rPr>
          <w:rFonts w:ascii="Palatino Linotype" w:hAnsi="Palatino Linotype"/>
          <w:i/>
        </w:rPr>
        <w:t>Artículo 143. Para los efectos de esta Ley se considera información confidencial, la clasificada como tal, de manera permanente, por su naturaleza, cuando:</w:t>
      </w:r>
    </w:p>
    <w:p w14:paraId="6F2B74DD" w14:textId="77777777" w:rsidR="00BE5921" w:rsidRPr="007B0A1A" w:rsidRDefault="00BE5921" w:rsidP="00632260">
      <w:pPr>
        <w:pStyle w:val="Prrafodelista"/>
        <w:tabs>
          <w:tab w:val="left" w:pos="5370"/>
        </w:tabs>
        <w:ind w:left="851" w:right="902"/>
        <w:jc w:val="both"/>
        <w:rPr>
          <w:rFonts w:ascii="Palatino Linotype" w:hAnsi="Palatino Linotype"/>
          <w:i/>
        </w:rPr>
      </w:pPr>
    </w:p>
    <w:p w14:paraId="3C4A7044" w14:textId="273B0DE0" w:rsidR="00BE5921" w:rsidRPr="007B0A1A" w:rsidRDefault="00BE5921" w:rsidP="00BE5921">
      <w:pPr>
        <w:tabs>
          <w:tab w:val="left" w:pos="5370"/>
        </w:tabs>
        <w:ind w:left="851" w:right="902"/>
        <w:jc w:val="both"/>
        <w:rPr>
          <w:rFonts w:ascii="Palatino Linotype" w:hAnsi="Palatino Linotype"/>
          <w:i/>
        </w:rPr>
      </w:pPr>
      <w:r w:rsidRPr="007B0A1A">
        <w:rPr>
          <w:rFonts w:ascii="Palatino Linotype" w:hAnsi="Palatino Linotype"/>
          <w:b/>
          <w:i/>
        </w:rPr>
        <w:t>I.</w:t>
      </w:r>
      <w:r w:rsidRPr="007B0A1A">
        <w:rPr>
          <w:rFonts w:ascii="Palatino Linotype" w:hAnsi="Palatino Linotype"/>
          <w:i/>
        </w:rPr>
        <w:t xml:space="preserve"> Se refiera a la información privada y los datos personales concernientes a una persona física o jurídico colectiva identificada o identificable;</w:t>
      </w:r>
    </w:p>
    <w:p w14:paraId="0F3A7D43" w14:textId="77777777" w:rsidR="00BE5921" w:rsidRPr="007B0A1A" w:rsidRDefault="00BE5921" w:rsidP="00BE5921">
      <w:pPr>
        <w:tabs>
          <w:tab w:val="left" w:pos="5370"/>
        </w:tabs>
        <w:ind w:left="851" w:right="902"/>
        <w:jc w:val="both"/>
        <w:rPr>
          <w:rFonts w:ascii="Palatino Linotype" w:hAnsi="Palatino Linotype"/>
          <w:i/>
        </w:rPr>
      </w:pPr>
    </w:p>
    <w:p w14:paraId="5BF553BD" w14:textId="62374B6A" w:rsidR="00BE5921" w:rsidRPr="007B0A1A" w:rsidRDefault="00BE5921" w:rsidP="00BE5921">
      <w:pPr>
        <w:pStyle w:val="Prrafodelista"/>
        <w:tabs>
          <w:tab w:val="left" w:pos="5370"/>
        </w:tabs>
        <w:ind w:left="851" w:right="902"/>
        <w:jc w:val="both"/>
        <w:rPr>
          <w:rFonts w:ascii="Palatino Linotype" w:hAnsi="Palatino Linotype"/>
          <w:i/>
        </w:rPr>
      </w:pPr>
      <w:r w:rsidRPr="007B0A1A">
        <w:rPr>
          <w:rFonts w:ascii="Palatino Linotype" w:hAnsi="Palatino Linotype"/>
          <w:b/>
          <w:i/>
        </w:rPr>
        <w:t>II.</w:t>
      </w:r>
      <w:r w:rsidRPr="007B0A1A">
        <w:rPr>
          <w:rFonts w:ascii="Palatino Linotype" w:hAnsi="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7E55071B" w14:textId="77777777" w:rsidR="00BE5921" w:rsidRPr="007B0A1A" w:rsidRDefault="00BE5921" w:rsidP="00BE5921">
      <w:pPr>
        <w:pStyle w:val="Prrafodelista"/>
        <w:tabs>
          <w:tab w:val="left" w:pos="5370"/>
        </w:tabs>
        <w:ind w:left="851" w:right="902"/>
        <w:jc w:val="both"/>
        <w:rPr>
          <w:rFonts w:ascii="Palatino Linotype" w:hAnsi="Palatino Linotype"/>
          <w:i/>
        </w:rPr>
      </w:pPr>
    </w:p>
    <w:p w14:paraId="02EBAF28" w14:textId="1EFEA2B4" w:rsidR="00BE5921" w:rsidRPr="007B0A1A" w:rsidRDefault="00BE5921" w:rsidP="00BE5921">
      <w:pPr>
        <w:pStyle w:val="Prrafodelista"/>
        <w:tabs>
          <w:tab w:val="left" w:pos="5370"/>
        </w:tabs>
        <w:ind w:left="851" w:right="902"/>
        <w:jc w:val="both"/>
        <w:rPr>
          <w:rFonts w:ascii="Palatino Linotype" w:hAnsi="Palatino Linotype"/>
          <w:i/>
        </w:rPr>
      </w:pPr>
      <w:r w:rsidRPr="007B0A1A">
        <w:rPr>
          <w:rFonts w:ascii="Palatino Linotype" w:hAnsi="Palatino Linotype"/>
          <w:b/>
          <w:i/>
        </w:rPr>
        <w:t>III.</w:t>
      </w:r>
      <w:r w:rsidRPr="007B0A1A">
        <w:rPr>
          <w:rFonts w:ascii="Palatino Linotype" w:hAnsi="Palatino Linotype"/>
          <w:i/>
        </w:rPr>
        <w:t xml:space="preserve"> La que presenten los particulares a los sujetos obligados, de conformidad con lo dispuesto por las leyes o los tratados internacionales. La información confidencial no estará sujeta a temporalidad alguna y sólo podrán tener acceso a ella los titulares de la misma, sus representantes y los servidores públicos facultados para ello. No se considerará confidencial la información que se </w:t>
      </w:r>
      <w:r w:rsidRPr="007B0A1A">
        <w:rPr>
          <w:rFonts w:ascii="Palatino Linotype" w:hAnsi="Palatino Linotype"/>
          <w:i/>
        </w:rPr>
        <w:lastRenderedPageBreak/>
        <w:t>encuentre en los registros públicos o en fuentes de acceso público, ni tampoco la que sea considerada por la presente ley como información pública.</w:t>
      </w:r>
    </w:p>
    <w:p w14:paraId="53F54D82" w14:textId="77777777" w:rsidR="00BE5921" w:rsidRPr="007B0A1A" w:rsidRDefault="00BE5921" w:rsidP="00632260">
      <w:pPr>
        <w:pStyle w:val="Prrafodelista"/>
        <w:tabs>
          <w:tab w:val="left" w:pos="5370"/>
        </w:tabs>
        <w:ind w:left="851" w:right="902"/>
        <w:jc w:val="both"/>
        <w:rPr>
          <w:rFonts w:ascii="Palatino Linotype" w:hAnsi="Palatino Linotype"/>
          <w:b/>
          <w:i/>
        </w:rPr>
      </w:pPr>
    </w:p>
    <w:p w14:paraId="49673EFD" w14:textId="28E715AF" w:rsidR="00907B2A" w:rsidRPr="007B0A1A" w:rsidRDefault="00907B2A" w:rsidP="00907B2A">
      <w:pPr>
        <w:pStyle w:val="Prrafodelista"/>
        <w:spacing w:line="360" w:lineRule="auto"/>
        <w:ind w:left="0"/>
        <w:contextualSpacing/>
        <w:jc w:val="both"/>
        <w:rPr>
          <w:rFonts w:ascii="Palatino Linotype" w:hAnsi="Palatino Linotype" w:cs="Tahoma"/>
          <w:bCs/>
          <w:szCs w:val="22"/>
        </w:rPr>
      </w:pPr>
      <w:r w:rsidRPr="007B0A1A">
        <w:rPr>
          <w:rFonts w:ascii="Palatino Linotype" w:hAnsi="Palatino Linotype" w:cs="Tahoma"/>
          <w:bCs/>
          <w:szCs w:val="22"/>
        </w:rPr>
        <w:t xml:space="preserve">Ahora bien, también es conveniente definir lo concerniente a </w:t>
      </w:r>
      <w:r w:rsidRPr="007B0A1A">
        <w:rPr>
          <w:rFonts w:ascii="Palatino Linotype" w:hAnsi="Palatino Linotype" w:cs="Tahoma"/>
          <w:b/>
          <w:bCs/>
          <w:szCs w:val="22"/>
        </w:rPr>
        <w:t xml:space="preserve">información reservada, </w:t>
      </w:r>
      <w:r w:rsidRPr="007B0A1A">
        <w:rPr>
          <w:rFonts w:ascii="Palatino Linotype" w:hAnsi="Palatino Linotype" w:cs="Tahoma"/>
          <w:bCs/>
          <w:szCs w:val="22"/>
        </w:rPr>
        <w:t>de acuerdo a la citada ley:</w:t>
      </w:r>
    </w:p>
    <w:p w14:paraId="04AB57CF" w14:textId="77777777" w:rsidR="00BE5921" w:rsidRPr="007B0A1A" w:rsidRDefault="00BE5921" w:rsidP="00907B2A">
      <w:pPr>
        <w:pStyle w:val="Prrafodelista"/>
        <w:tabs>
          <w:tab w:val="left" w:pos="5370"/>
        </w:tabs>
        <w:ind w:left="0" w:right="902"/>
        <w:jc w:val="both"/>
        <w:rPr>
          <w:rFonts w:ascii="Palatino Linotype" w:hAnsi="Palatino Linotype"/>
          <w:b/>
          <w:i/>
        </w:rPr>
      </w:pPr>
    </w:p>
    <w:p w14:paraId="4DF87251" w14:textId="77777777" w:rsidR="00907B2A" w:rsidRPr="007B0A1A" w:rsidRDefault="00907B2A" w:rsidP="00632260">
      <w:pPr>
        <w:pStyle w:val="Prrafodelista"/>
        <w:tabs>
          <w:tab w:val="left" w:pos="5370"/>
        </w:tabs>
        <w:ind w:left="851" w:right="902"/>
        <w:jc w:val="both"/>
        <w:rPr>
          <w:rFonts w:ascii="Palatino Linotype" w:hAnsi="Palatino Linotype"/>
          <w:b/>
          <w:i/>
        </w:rPr>
      </w:pPr>
    </w:p>
    <w:p w14:paraId="0A118AC4" w14:textId="3048B4C8" w:rsidR="00632260" w:rsidRPr="007B0A1A" w:rsidRDefault="00632260" w:rsidP="00632260">
      <w:pPr>
        <w:pStyle w:val="Prrafodelista"/>
        <w:tabs>
          <w:tab w:val="left" w:pos="5370"/>
        </w:tabs>
        <w:ind w:left="851" w:right="902"/>
        <w:jc w:val="both"/>
        <w:rPr>
          <w:rFonts w:ascii="Palatino Linotype" w:hAnsi="Palatino Linotype"/>
          <w:i/>
        </w:rPr>
      </w:pPr>
      <w:r w:rsidRPr="007B0A1A">
        <w:rPr>
          <w:rFonts w:ascii="Palatino Linotype" w:hAnsi="Palatino Linotype"/>
          <w:b/>
          <w:i/>
        </w:rPr>
        <w:t>XXIV. Información reservada</w:t>
      </w:r>
      <w:r w:rsidRPr="007B0A1A">
        <w:rPr>
          <w:rFonts w:ascii="Palatino Linotype" w:hAnsi="Palatino Linotype"/>
          <w:i/>
        </w:rPr>
        <w:t>: La clasificada con este carácter de manera temporal por las disposiciones de esta Ley, cuya divulgación puede causar daño en términos de lo establecido por esta Ley;</w:t>
      </w:r>
    </w:p>
    <w:p w14:paraId="66AD359C" w14:textId="77777777" w:rsidR="00632260" w:rsidRPr="007B0A1A" w:rsidRDefault="00632260" w:rsidP="00632260">
      <w:pPr>
        <w:pStyle w:val="Prrafodelista"/>
        <w:tabs>
          <w:tab w:val="left" w:pos="5370"/>
        </w:tabs>
        <w:ind w:left="851" w:right="902"/>
        <w:jc w:val="both"/>
        <w:rPr>
          <w:rFonts w:ascii="Palatino Linotype" w:hAnsi="Palatino Linotype"/>
          <w:i/>
        </w:rPr>
      </w:pPr>
    </w:p>
    <w:p w14:paraId="136BE23E" w14:textId="77777777" w:rsidR="00632260" w:rsidRPr="007B0A1A" w:rsidRDefault="00632260" w:rsidP="00632260">
      <w:pPr>
        <w:pStyle w:val="Prrafodelista"/>
        <w:tabs>
          <w:tab w:val="left" w:pos="5370"/>
        </w:tabs>
        <w:ind w:left="851" w:right="902"/>
        <w:jc w:val="both"/>
        <w:rPr>
          <w:rFonts w:ascii="Palatino Linotype" w:hAnsi="Palatino Linotype"/>
          <w:i/>
        </w:rPr>
      </w:pPr>
      <w:r w:rsidRPr="007B0A1A">
        <w:rPr>
          <w:rFonts w:ascii="Palatino Linotype" w:hAnsi="Palatino Linotype"/>
          <w:b/>
          <w:i/>
        </w:rPr>
        <w:t>Artículo 125.</w:t>
      </w:r>
      <w:r w:rsidRPr="007B0A1A">
        <w:rPr>
          <w:rFonts w:ascii="Palatino Linotype" w:hAnsi="Palatino Linotype"/>
          <w:i/>
        </w:rPr>
        <w:t xml:space="preserve"> La </w:t>
      </w:r>
      <w:r w:rsidRPr="007B0A1A">
        <w:rPr>
          <w:rFonts w:ascii="Palatino Linotype" w:hAnsi="Palatino Linotype"/>
          <w:b/>
          <w:i/>
        </w:rPr>
        <w:t>información clasificada como reservada</w:t>
      </w:r>
      <w:r w:rsidRPr="007B0A1A">
        <w:rPr>
          <w:rFonts w:ascii="Palatino Linotype" w:hAnsi="Palatino Linotype"/>
          <w:i/>
        </w:rPr>
        <w:t xml:space="preserve">, de acuerdo a lo establecido en esta Ley podrá permanecer con tal carácter hasta por un periodo de cinco años, contados a partir de su clasificación, salvo que antes del cumplimiento del periodo de restricción, dejaran de existir los motivos de su reserva. </w:t>
      </w:r>
    </w:p>
    <w:p w14:paraId="382756DD" w14:textId="77777777" w:rsidR="00632260" w:rsidRPr="007B0A1A" w:rsidRDefault="00632260" w:rsidP="00632260">
      <w:pPr>
        <w:pStyle w:val="Prrafodelista"/>
        <w:tabs>
          <w:tab w:val="left" w:pos="5370"/>
        </w:tabs>
        <w:ind w:left="851" w:right="902"/>
        <w:jc w:val="both"/>
        <w:rPr>
          <w:rFonts w:ascii="Palatino Linotype" w:hAnsi="Palatino Linotype"/>
          <w:i/>
        </w:rPr>
      </w:pPr>
    </w:p>
    <w:p w14:paraId="583C3406" w14:textId="77777777" w:rsidR="00632260" w:rsidRPr="007B0A1A" w:rsidRDefault="00632260" w:rsidP="00632260">
      <w:pPr>
        <w:pStyle w:val="Prrafodelista"/>
        <w:tabs>
          <w:tab w:val="left" w:pos="5370"/>
        </w:tabs>
        <w:ind w:left="851" w:right="902"/>
        <w:jc w:val="both"/>
        <w:rPr>
          <w:rFonts w:ascii="Palatino Linotype" w:hAnsi="Palatino Linotype"/>
          <w:i/>
        </w:rPr>
      </w:pPr>
      <w:r w:rsidRPr="007B0A1A">
        <w:rPr>
          <w:rFonts w:ascii="Palatino Linotype" w:hAnsi="Palatino Linotype"/>
          <w:i/>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033D1710" w14:textId="77777777" w:rsidR="00632260" w:rsidRPr="007B0A1A" w:rsidRDefault="00632260" w:rsidP="00632260">
      <w:pPr>
        <w:pStyle w:val="Prrafodelista"/>
        <w:tabs>
          <w:tab w:val="left" w:pos="5370"/>
        </w:tabs>
        <w:ind w:left="851" w:right="902"/>
        <w:jc w:val="both"/>
        <w:rPr>
          <w:rFonts w:ascii="Palatino Linotype" w:hAnsi="Palatino Linotype"/>
          <w:i/>
        </w:rPr>
      </w:pPr>
    </w:p>
    <w:p w14:paraId="7DABD07D" w14:textId="77777777" w:rsidR="00632260" w:rsidRPr="007B0A1A" w:rsidRDefault="00632260" w:rsidP="00632260">
      <w:pPr>
        <w:pStyle w:val="Prrafodelista"/>
        <w:tabs>
          <w:tab w:val="left" w:pos="5370"/>
        </w:tabs>
        <w:ind w:left="851" w:right="902"/>
        <w:jc w:val="both"/>
        <w:rPr>
          <w:rFonts w:ascii="Palatino Linotype" w:hAnsi="Palatino Linotype"/>
          <w:i/>
        </w:rPr>
      </w:pPr>
      <w:r w:rsidRPr="007B0A1A">
        <w:rPr>
          <w:rFonts w:ascii="Palatino Linotype" w:hAnsi="Palatino Linotype"/>
          <w:i/>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617BC56A" w14:textId="77777777" w:rsidR="00632260" w:rsidRPr="007B0A1A" w:rsidRDefault="00632260" w:rsidP="00632260">
      <w:pPr>
        <w:pStyle w:val="Prrafodelista"/>
        <w:tabs>
          <w:tab w:val="left" w:pos="5370"/>
        </w:tabs>
        <w:ind w:left="851" w:right="902"/>
        <w:jc w:val="both"/>
        <w:rPr>
          <w:rFonts w:ascii="Palatino Linotype" w:hAnsi="Palatino Linotype"/>
          <w:i/>
        </w:rPr>
      </w:pPr>
    </w:p>
    <w:p w14:paraId="2355445A" w14:textId="77777777" w:rsidR="00632260" w:rsidRPr="007B0A1A" w:rsidRDefault="00632260" w:rsidP="00632260">
      <w:pPr>
        <w:pStyle w:val="Prrafodelista"/>
        <w:tabs>
          <w:tab w:val="left" w:pos="5370"/>
        </w:tabs>
        <w:ind w:left="851" w:right="902"/>
        <w:jc w:val="both"/>
        <w:rPr>
          <w:rFonts w:ascii="Palatino Linotype" w:hAnsi="Palatino Linotype"/>
          <w:i/>
        </w:rPr>
      </w:pPr>
    </w:p>
    <w:p w14:paraId="1DEE8661" w14:textId="6451707C" w:rsidR="00632260" w:rsidRPr="007B0A1A" w:rsidRDefault="00632260" w:rsidP="00632260">
      <w:pPr>
        <w:pStyle w:val="Prrafodelista"/>
        <w:tabs>
          <w:tab w:val="left" w:pos="5370"/>
        </w:tabs>
        <w:ind w:left="851" w:right="902"/>
        <w:jc w:val="both"/>
        <w:rPr>
          <w:rFonts w:ascii="Palatino Linotype" w:hAnsi="Palatino Linotype"/>
          <w:i/>
        </w:rPr>
      </w:pPr>
      <w:r w:rsidRPr="007B0A1A">
        <w:rPr>
          <w:rFonts w:ascii="Palatino Linotype" w:hAnsi="Palatino Linotype"/>
          <w:i/>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w:t>
      </w:r>
      <w:r w:rsidRPr="007B0A1A">
        <w:rPr>
          <w:rFonts w:ascii="Palatino Linotype" w:hAnsi="Palatino Linotype"/>
          <w:i/>
        </w:rPr>
        <w:lastRenderedPageBreak/>
        <w:t xml:space="preserve">el periodo de reserva de la información, </w:t>
      </w:r>
      <w:r w:rsidRPr="007B0A1A">
        <w:rPr>
          <w:rFonts w:ascii="Palatino Linotype" w:hAnsi="Palatino Linotype"/>
          <w:b/>
          <w:i/>
        </w:rPr>
        <w:t>el Comité de Transparencia respectivo deberá hacer la solicitud correspondiente al Instituto, debidamente fundada y motivada, aplicando la prueba de daño y señalando el plazo de reserva</w:t>
      </w:r>
      <w:r w:rsidRPr="007B0A1A">
        <w:rPr>
          <w:rFonts w:ascii="Palatino Linotype" w:hAnsi="Palatino Linotype"/>
          <w:i/>
        </w:rPr>
        <w:t>, por lo menos con tres meses de anticipación al vencimiento del periodo.</w:t>
      </w:r>
    </w:p>
    <w:p w14:paraId="72DFD36A" w14:textId="77777777" w:rsidR="008A3361" w:rsidRPr="007B0A1A" w:rsidRDefault="008A3361" w:rsidP="003A089F">
      <w:pPr>
        <w:pStyle w:val="Prrafodelista"/>
        <w:tabs>
          <w:tab w:val="left" w:pos="5370"/>
        </w:tabs>
        <w:spacing w:line="360" w:lineRule="auto"/>
        <w:ind w:left="0"/>
        <w:jc w:val="both"/>
        <w:rPr>
          <w:rFonts w:ascii="Palatino Linotype" w:hAnsi="Palatino Linotype"/>
        </w:rPr>
      </w:pPr>
    </w:p>
    <w:p w14:paraId="61548AAB" w14:textId="4D85C59B" w:rsidR="00C00109" w:rsidRPr="007B0A1A" w:rsidRDefault="003F04D5" w:rsidP="003F04D5">
      <w:pPr>
        <w:spacing w:line="360" w:lineRule="auto"/>
        <w:jc w:val="both"/>
        <w:rPr>
          <w:rFonts w:ascii="Palatino Linotype" w:hAnsi="Palatino Linotype" w:cs="Arial"/>
        </w:rPr>
      </w:pPr>
      <w:r w:rsidRPr="007B0A1A">
        <w:rPr>
          <w:rFonts w:ascii="Palatino Linotype" w:hAnsi="Palatino Linotype" w:cs="Arial"/>
          <w:lang w:val="es-ES" w:eastAsia="es-CO"/>
        </w:rPr>
        <w:t xml:space="preserve">Por lo anterior, este Órgano Garante determina que no se tiene por atendido el derecho de acceso a la información ejercido por el particular; </w:t>
      </w:r>
      <w:r w:rsidR="004D26F2" w:rsidRPr="007B0A1A">
        <w:rPr>
          <w:rFonts w:ascii="Palatino Linotype" w:hAnsi="Palatino Linotype" w:cs="Arial"/>
          <w:lang w:val="es-ES" w:eastAsia="es-CO"/>
        </w:rPr>
        <w:t>en relación a que el acuerdo que realiza no solventa el que los hubiera testado información confidencial, pues lo procedente es</w:t>
      </w:r>
      <w:r w:rsidRPr="007B0A1A">
        <w:rPr>
          <w:rFonts w:ascii="Palatino Linotype" w:hAnsi="Palatino Linotype" w:cs="Arial"/>
          <w:lang w:val="es-ES" w:eastAsia="es-CO"/>
        </w:rPr>
        <w:t xml:space="preserve"> ordena</w:t>
      </w:r>
      <w:r w:rsidR="004D26F2" w:rsidRPr="007B0A1A">
        <w:rPr>
          <w:rFonts w:ascii="Palatino Linotype" w:hAnsi="Palatino Linotype" w:cs="Arial"/>
          <w:lang w:val="es-ES" w:eastAsia="es-CO"/>
        </w:rPr>
        <w:t>r</w:t>
      </w:r>
      <w:r w:rsidRPr="007B0A1A">
        <w:rPr>
          <w:rFonts w:ascii="Palatino Linotype" w:hAnsi="Palatino Linotype" w:cs="Arial"/>
          <w:lang w:val="es-ES" w:eastAsia="es-CO"/>
        </w:rPr>
        <w:t xml:space="preserve"> al </w:t>
      </w:r>
      <w:r w:rsidRPr="007B0A1A">
        <w:rPr>
          <w:rFonts w:ascii="Palatino Linotype" w:hAnsi="Palatino Linotype" w:cs="Arial"/>
          <w:b/>
          <w:lang w:val="es-ES" w:eastAsia="es-CO"/>
        </w:rPr>
        <w:t xml:space="preserve">SUJETO OBLIGADO </w:t>
      </w:r>
      <w:r w:rsidRPr="007B0A1A">
        <w:rPr>
          <w:rFonts w:ascii="Palatino Linotype" w:hAnsi="Palatino Linotype" w:cs="Arial"/>
          <w:lang w:val="es-ES" w:eastAsia="es-CO"/>
        </w:rPr>
        <w:t xml:space="preserve">haga entrega en </w:t>
      </w:r>
      <w:r w:rsidRPr="007B0A1A">
        <w:rPr>
          <w:rFonts w:ascii="Palatino Linotype" w:hAnsi="Palatino Linotype" w:cs="Arial"/>
          <w:b/>
          <w:lang w:val="es-ES" w:eastAsia="es-CO"/>
        </w:rPr>
        <w:t xml:space="preserve">versión pública </w:t>
      </w:r>
      <w:r w:rsidRPr="007B0A1A">
        <w:rPr>
          <w:rFonts w:ascii="Palatino Linotype" w:hAnsi="Palatino Linotype" w:cs="Arial"/>
          <w:lang w:val="es-ES" w:eastAsia="es-CO"/>
        </w:rPr>
        <w:t xml:space="preserve">lo relativo </w:t>
      </w:r>
      <w:r w:rsidR="00205751" w:rsidRPr="007B0A1A">
        <w:rPr>
          <w:rFonts w:ascii="Palatino Linotype" w:hAnsi="Palatino Linotype" w:cs="Arial"/>
          <w:lang w:val="es-ES" w:eastAsia="es-CO"/>
        </w:rPr>
        <w:t>al soporte documental</w:t>
      </w:r>
      <w:r w:rsidR="006B0CC7" w:rsidRPr="007B0A1A">
        <w:rPr>
          <w:rFonts w:ascii="Palatino Linotype" w:hAnsi="Palatino Linotype" w:cs="Arial"/>
          <w:lang w:val="es-ES" w:eastAsia="es-CO"/>
        </w:rPr>
        <w:t xml:space="preserve"> en el que conste el nombre y/o razón social de los titulares de las concesiones, así como el domicilio fiscal de ser procedente, esto a la fecha de solicitud del peticionario, siendo el </w:t>
      </w:r>
      <w:r w:rsidR="006B0CC7" w:rsidRPr="007B0A1A">
        <w:rPr>
          <w:rFonts w:ascii="Palatino Linotype" w:hAnsi="Palatino Linotype" w:cs="Arial"/>
        </w:rPr>
        <w:t>seis de julio de dos mil veintiuno</w:t>
      </w:r>
      <w:r w:rsidR="0058087F" w:rsidRPr="007B0A1A">
        <w:rPr>
          <w:rFonts w:ascii="Palatino Linotype" w:hAnsi="Palatino Linotype" w:cs="Arial"/>
        </w:rPr>
        <w:t xml:space="preserve">; resaltando que, por cuanto hace al </w:t>
      </w:r>
      <w:r w:rsidR="0058087F" w:rsidRPr="007B0A1A">
        <w:rPr>
          <w:rFonts w:ascii="Palatino Linotype" w:hAnsi="Palatino Linotype" w:cs="Arial"/>
          <w:b/>
        </w:rPr>
        <w:t>teléfono y correo electrónico</w:t>
      </w:r>
      <w:r w:rsidR="0058087F" w:rsidRPr="007B0A1A">
        <w:rPr>
          <w:rFonts w:ascii="Palatino Linotype" w:hAnsi="Palatino Linotype" w:cs="Arial"/>
        </w:rPr>
        <w:t>, realice el estudio de dicha versión pública, para que, en el caso de que, estos sean de carácter particular, se manejen como confidenciales, en caso contrario, se proceda a darlos a conocer al solicitante.</w:t>
      </w:r>
    </w:p>
    <w:p w14:paraId="1FFA987D" w14:textId="77777777" w:rsidR="0058087F" w:rsidRPr="007B0A1A" w:rsidRDefault="0058087F" w:rsidP="003F04D5">
      <w:pPr>
        <w:spacing w:line="360" w:lineRule="auto"/>
        <w:jc w:val="both"/>
        <w:rPr>
          <w:rFonts w:ascii="Palatino Linotype" w:hAnsi="Palatino Linotype" w:cs="Arial"/>
        </w:rPr>
      </w:pPr>
    </w:p>
    <w:p w14:paraId="0BB7D065" w14:textId="7DD19A80" w:rsidR="00652FF2" w:rsidRPr="007B0A1A" w:rsidRDefault="006B0CC7" w:rsidP="003F04D5">
      <w:pPr>
        <w:spacing w:line="360" w:lineRule="auto"/>
        <w:jc w:val="both"/>
        <w:rPr>
          <w:rFonts w:ascii="Palatino Linotype" w:hAnsi="Palatino Linotype"/>
        </w:rPr>
      </w:pPr>
      <w:r w:rsidRPr="007B0A1A">
        <w:rPr>
          <w:rFonts w:ascii="Palatino Linotype" w:hAnsi="Palatino Linotype" w:cs="Arial"/>
        </w:rPr>
        <w:t xml:space="preserve">Cabe resaltar que </w:t>
      </w:r>
      <w:r w:rsidRPr="007B0A1A">
        <w:rPr>
          <w:rFonts w:ascii="Palatino Linotype" w:hAnsi="Palatino Linotype"/>
        </w:rPr>
        <w:t xml:space="preserve">en el caso de tratarse de personas jurídica colectivas (empresas), </w:t>
      </w:r>
      <w:r w:rsidR="004316A7" w:rsidRPr="007B0A1A">
        <w:rPr>
          <w:rFonts w:ascii="Palatino Linotype" w:hAnsi="Palatino Linotype"/>
        </w:rPr>
        <w:t>el domicilio es</w:t>
      </w:r>
      <w:r w:rsidRPr="007B0A1A">
        <w:rPr>
          <w:rFonts w:ascii="Palatino Linotype" w:hAnsi="Palatino Linotype"/>
        </w:rPr>
        <w:t xml:space="preserve"> de carácter confidencial no resulta aplicable. Ya que es de mencionar que en el caso de personas morales o jurídicas colectivas estas tienen un nombre Legal que atiende a la denominación o razón social y domicilios</w:t>
      </w:r>
      <w:r w:rsidR="00361C25" w:rsidRPr="007B0A1A">
        <w:rPr>
          <w:rFonts w:ascii="Palatino Linotype" w:hAnsi="Palatino Linotype"/>
        </w:rPr>
        <w:t xml:space="preserve"> que solo las hacen identificables </w:t>
      </w:r>
      <w:r w:rsidRPr="007B0A1A">
        <w:rPr>
          <w:rFonts w:ascii="Palatino Linotype" w:hAnsi="Palatino Linotype"/>
        </w:rPr>
        <w:t>para la realización de sus propias actividades, en donde significativamente las empresas con la finalidad de</w:t>
      </w:r>
      <w:r w:rsidR="00CA5642" w:rsidRPr="007B0A1A">
        <w:rPr>
          <w:rFonts w:ascii="Palatino Linotype" w:hAnsi="Palatino Linotype"/>
        </w:rPr>
        <w:t xml:space="preserve"> tener</w:t>
      </w:r>
      <w:r w:rsidRPr="007B0A1A">
        <w:rPr>
          <w:rFonts w:ascii="Palatino Linotype" w:hAnsi="Palatino Linotype"/>
        </w:rPr>
        <w:t xml:space="preserve"> mayores clientes</w:t>
      </w:r>
      <w:r w:rsidR="00CA5642" w:rsidRPr="007B0A1A">
        <w:rPr>
          <w:rFonts w:ascii="Palatino Linotype" w:hAnsi="Palatino Linotype"/>
        </w:rPr>
        <w:t>,</w:t>
      </w:r>
      <w:r w:rsidRPr="007B0A1A">
        <w:rPr>
          <w:rFonts w:ascii="Palatino Linotype" w:hAnsi="Palatino Linotype"/>
        </w:rPr>
        <w:t xml:space="preserve"> su mayor objetivo es la propia </w:t>
      </w:r>
      <w:r w:rsidRPr="007B0A1A">
        <w:rPr>
          <w:rFonts w:ascii="Palatino Linotype" w:hAnsi="Palatino Linotype"/>
        </w:rPr>
        <w:lastRenderedPageBreak/>
        <w:t xml:space="preserve">publicidad de las mismas, por lo que no sería atendible considerarlo como confidencial al tratarse de un dato de carácter personal. </w:t>
      </w:r>
    </w:p>
    <w:p w14:paraId="2FAADC37" w14:textId="77777777" w:rsidR="00652FF2" w:rsidRPr="007B0A1A" w:rsidRDefault="00652FF2" w:rsidP="003F04D5">
      <w:pPr>
        <w:spacing w:line="360" w:lineRule="auto"/>
        <w:jc w:val="both"/>
        <w:rPr>
          <w:rFonts w:ascii="Palatino Linotype" w:hAnsi="Palatino Linotype"/>
        </w:rPr>
      </w:pPr>
    </w:p>
    <w:p w14:paraId="709A9E83" w14:textId="5CF20115" w:rsidR="00652FF2" w:rsidRPr="007B0A1A" w:rsidRDefault="006B0CC7" w:rsidP="003F04D5">
      <w:pPr>
        <w:spacing w:line="360" w:lineRule="auto"/>
        <w:jc w:val="both"/>
        <w:rPr>
          <w:rFonts w:ascii="Palatino Linotype" w:hAnsi="Palatino Linotype"/>
        </w:rPr>
      </w:pPr>
      <w:r w:rsidRPr="007B0A1A">
        <w:rPr>
          <w:rFonts w:ascii="Palatino Linotype" w:hAnsi="Palatino Linotype"/>
        </w:rPr>
        <w:t>Lo anterior en base a que una persona jurídica colectiva actúa bajo un representante legal en cuyo caso, si bien algunos datos de este, podrán ser considerados de carácter confidencial no menos cierto es que la totalidad de la información inmersa en dichos documentos, no enmarcarían dentro de un dato personal, como puede ser el nombre de la persona jurídica colectiva y su domicilio</w:t>
      </w:r>
      <w:r w:rsidR="00652FF2" w:rsidRPr="007B0A1A">
        <w:rPr>
          <w:rFonts w:ascii="Palatino Linotype" w:hAnsi="Palatino Linotype"/>
        </w:rPr>
        <w:t xml:space="preserve"> fiscal</w:t>
      </w:r>
      <w:r w:rsidRPr="007B0A1A">
        <w:rPr>
          <w:rFonts w:ascii="Palatino Linotype" w:hAnsi="Palatino Linotype"/>
        </w:rPr>
        <w:t xml:space="preserve"> por citar algunos. Por lo que resultaría equivoca la confidencialidad por datos personales respecto de personas jurídico colectivas, pues debe dejarse claro que la invocación de datos personales y en su caso el carácter confidencial de la información por contener datos personales especialmente protegidos es aplicable solo a personas "físicas" o humanas no así a personas</w:t>
      </w:r>
      <w:r w:rsidR="00652FF2" w:rsidRPr="007B0A1A">
        <w:rPr>
          <w:rFonts w:ascii="Palatino Linotype" w:hAnsi="Palatino Linotype"/>
        </w:rPr>
        <w:t xml:space="preserve"> morales o jurídico colectivas.</w:t>
      </w:r>
    </w:p>
    <w:p w14:paraId="6D2126D8" w14:textId="77777777" w:rsidR="00CA5642" w:rsidRPr="007B0A1A" w:rsidRDefault="00CA5642" w:rsidP="003F04D5">
      <w:pPr>
        <w:spacing w:line="360" w:lineRule="auto"/>
        <w:jc w:val="both"/>
        <w:rPr>
          <w:rFonts w:ascii="Palatino Linotype" w:hAnsi="Palatino Linotype"/>
        </w:rPr>
      </w:pPr>
    </w:p>
    <w:p w14:paraId="2BDC2089" w14:textId="50918E9C" w:rsidR="00CA5642" w:rsidRPr="007B0A1A" w:rsidRDefault="00CA5642" w:rsidP="003F04D5">
      <w:pPr>
        <w:spacing w:line="360" w:lineRule="auto"/>
        <w:jc w:val="both"/>
        <w:rPr>
          <w:rFonts w:ascii="Palatino Linotype" w:hAnsi="Palatino Linotype"/>
        </w:rPr>
      </w:pPr>
      <w:r w:rsidRPr="007B0A1A">
        <w:rPr>
          <w:rFonts w:ascii="Palatino Linotype" w:hAnsi="Palatino Linotype"/>
        </w:rPr>
        <w:t>Además debe resaltarse</w:t>
      </w:r>
      <w:r w:rsidR="00B915DE" w:rsidRPr="007B0A1A">
        <w:rPr>
          <w:rFonts w:ascii="Palatino Linotype" w:hAnsi="Palatino Linotype"/>
        </w:rPr>
        <w:t>,</w:t>
      </w:r>
      <w:r w:rsidRPr="007B0A1A">
        <w:rPr>
          <w:rFonts w:ascii="Palatino Linotype" w:hAnsi="Palatino Linotype"/>
        </w:rPr>
        <w:t xml:space="preserve"> que las personas morales, no tiene derecho a la protección de datos personales, precisamente porque éstas no son titulares</w:t>
      </w:r>
      <w:r w:rsidR="00B915DE" w:rsidRPr="007B0A1A">
        <w:rPr>
          <w:rFonts w:ascii="Palatino Linotype" w:hAnsi="Palatino Linotype"/>
        </w:rPr>
        <w:t xml:space="preserve"> del derecho a la intimidad, </w:t>
      </w:r>
      <w:r w:rsidRPr="007B0A1A">
        <w:rPr>
          <w:rFonts w:ascii="Palatino Linotype" w:hAnsi="Palatino Linotype"/>
        </w:rPr>
        <w:t>entre otras razones</w:t>
      </w:r>
      <w:r w:rsidR="00B915DE" w:rsidRPr="007B0A1A">
        <w:rPr>
          <w:rFonts w:ascii="Palatino Linotype" w:hAnsi="Palatino Linotype"/>
        </w:rPr>
        <w:t>,</w:t>
      </w:r>
      <w:r w:rsidRPr="007B0A1A">
        <w:rPr>
          <w:rFonts w:ascii="Palatino Linotype" w:hAnsi="Palatino Linotype"/>
        </w:rPr>
        <w:t xml:space="preserve"> porque no pueden cumplir con los fines mediatos e inmediatos a los que se orienta el derecho a la intimidad; tutela de la autodeterminación pe</w:t>
      </w:r>
      <w:r w:rsidR="00B915DE" w:rsidRPr="007B0A1A">
        <w:rPr>
          <w:rFonts w:ascii="Palatino Linotype" w:hAnsi="Palatino Linotype"/>
        </w:rPr>
        <w:t>rsonal en la esfera privada y e</w:t>
      </w:r>
      <w:r w:rsidRPr="007B0A1A">
        <w:rPr>
          <w:rFonts w:ascii="Palatino Linotype" w:hAnsi="Palatino Linotype"/>
        </w:rPr>
        <w:t>l libre desarrollo de la personalida</w:t>
      </w:r>
      <w:r w:rsidR="00B915DE" w:rsidRPr="007B0A1A">
        <w:rPr>
          <w:rFonts w:ascii="Palatino Linotype" w:hAnsi="Palatino Linotype"/>
        </w:rPr>
        <w:t>d; en el mismo sentido, si se t</w:t>
      </w:r>
      <w:r w:rsidRPr="007B0A1A">
        <w:rPr>
          <w:rFonts w:ascii="Palatino Linotype" w:hAnsi="Palatino Linotype"/>
        </w:rPr>
        <w:t>oma en cuenta que las personas morales tampoco cuentan con dignidad humana y carecen de una vida privada o familiar, no se les puede considerar como titulares del derech</w:t>
      </w:r>
      <w:r w:rsidR="00B915DE" w:rsidRPr="007B0A1A">
        <w:rPr>
          <w:rFonts w:ascii="Palatino Linotype" w:hAnsi="Palatino Linotype"/>
        </w:rPr>
        <w:t>o</w:t>
      </w:r>
      <w:r w:rsidRPr="007B0A1A">
        <w:rPr>
          <w:rFonts w:ascii="Palatino Linotype" w:hAnsi="Palatino Linotype"/>
        </w:rPr>
        <w:t xml:space="preserve"> a la intimidad, en consecuencia, tampoco tienen  derecho a la protección de datos personales.</w:t>
      </w:r>
    </w:p>
    <w:p w14:paraId="200480BC" w14:textId="77777777" w:rsidR="00E17E06" w:rsidRPr="007B0A1A" w:rsidRDefault="00E17E06" w:rsidP="003F04D5">
      <w:pPr>
        <w:spacing w:line="360" w:lineRule="auto"/>
        <w:jc w:val="both"/>
        <w:rPr>
          <w:rFonts w:ascii="Palatino Linotype" w:hAnsi="Palatino Linotype"/>
        </w:rPr>
      </w:pPr>
    </w:p>
    <w:p w14:paraId="0522472F" w14:textId="45F83449" w:rsidR="00E17E06" w:rsidRPr="007B0A1A" w:rsidRDefault="00E17E06" w:rsidP="00E17E06">
      <w:pPr>
        <w:spacing w:line="360" w:lineRule="auto"/>
        <w:jc w:val="both"/>
        <w:rPr>
          <w:rFonts w:ascii="Palatino Linotype" w:hAnsi="Palatino Linotype" w:cs="Arial"/>
        </w:rPr>
      </w:pPr>
      <w:r w:rsidRPr="007B0A1A">
        <w:rPr>
          <w:rFonts w:ascii="Palatino Linotype" w:hAnsi="Palatino Linotype" w:cs="Arial"/>
        </w:rPr>
        <w:lastRenderedPageBreak/>
        <w:t xml:space="preserve">Sirve de sustento a lo anterior, el siguiente criterio,  el cual refiere: </w:t>
      </w:r>
    </w:p>
    <w:p w14:paraId="67CB810A" w14:textId="77777777" w:rsidR="00E17E06" w:rsidRPr="007B0A1A" w:rsidRDefault="00E17E06" w:rsidP="003F04D5">
      <w:pPr>
        <w:spacing w:line="360" w:lineRule="auto"/>
        <w:jc w:val="both"/>
        <w:rPr>
          <w:rFonts w:ascii="Palatino Linotype" w:hAnsi="Palatino Linotype"/>
        </w:rPr>
      </w:pPr>
    </w:p>
    <w:p w14:paraId="0F1194CB" w14:textId="62C44F07" w:rsidR="00E17E06" w:rsidRPr="007B0A1A" w:rsidRDefault="00E17E06" w:rsidP="00E17E06">
      <w:pPr>
        <w:ind w:left="851" w:right="899"/>
        <w:contextualSpacing/>
        <w:jc w:val="both"/>
        <w:rPr>
          <w:rFonts w:ascii="Palatino Linotype" w:hAnsi="Palatino Linotype"/>
          <w:i/>
          <w:sz w:val="22"/>
          <w:szCs w:val="22"/>
        </w:rPr>
      </w:pPr>
      <w:r w:rsidRPr="007B0A1A">
        <w:rPr>
          <w:rFonts w:ascii="Palatino Linotype" w:hAnsi="Palatino Linotype"/>
          <w:b/>
          <w:i/>
          <w:sz w:val="22"/>
          <w:szCs w:val="22"/>
        </w:rPr>
        <w:t>PERSONAS MORALES. TIENEN DERECHO A LA PROTECCIÓN DE LOS DATOS QUE PUEDAN EQUIPARARSE A LOS PERSONALES, AUN CUANDO DICHA INFORMACIÓN HAYA SIDO ENTREGADA A UNA AUTORIDAD</w:t>
      </w:r>
      <w:r w:rsidRPr="007B0A1A">
        <w:rPr>
          <w:rFonts w:ascii="Palatino Linotype" w:hAnsi="Palatino Linotype"/>
          <w:i/>
          <w:sz w:val="22"/>
          <w:szCs w:val="22"/>
        </w:rPr>
        <w:t>. El artículo 16, párrafo segundo, de la Constitución Política de los Estados Unidos Mexicanos reconoce el derecho a la protección de datos personales, consistente en el control de cada individuo sobre el acceso y uso de la información personal en aras de preservar la vida privada de las personas. En ese sentido, el derecho a la protección de datos personales podría entenderse, en primera instancia, como una prerrogativa de las personas físicas, ante la imposibilidad de afirmar que las morales son titulares del derecho a la intimidad y/o a la vida privada; sin embargo, el contenido de este derecho puede extenderse a cierta información de las personas jurídicas colectivas, en tanto que también cuentan con determinados espacios de protección ante cualquier intromisión arbitraria por parte de terceros respecto de cierta información económica, comercial o relativa a su identidad que, de revelarse, pudiera anular o menoscabar su libre y buen desarrollo. Por tanto, los bienes protegidos por el derecho a la privacidad y de protección de datos de las personas morales, comprenden aquellos documentos e información que les son inherentes, que deben permanecer ajenos al conocimiento de terceros, independientemente de que, en materia de transparencia e información pública, opere el principio de máxima publicidad y disponibilidad, conforme al cual, toda información en posesión de las autoridades es pública, sin importar la fuente o la forma en que se haya obtenido, pues, acorde con el artículo 6o., en relación con el 16, párrafo segundo, constitucionales, la información entregada a las autoridades por parte de las personas morales, será confidencial cuando tenga el carácter de privada por contener datos que pudieran equipararse a los personales, o bien, reservada temporalmente, si se actualiza alguno de los supuestos previstos legalmente.</w:t>
      </w:r>
      <w:r w:rsidRPr="007B0A1A">
        <w:rPr>
          <w:rStyle w:val="Refdenotaalpie"/>
          <w:rFonts w:ascii="Palatino Linotype" w:hAnsi="Palatino Linotype"/>
          <w:i/>
          <w:sz w:val="22"/>
          <w:szCs w:val="22"/>
        </w:rPr>
        <w:footnoteReference w:id="3"/>
      </w:r>
    </w:p>
    <w:p w14:paraId="37EC26B3" w14:textId="77777777" w:rsidR="00652FF2" w:rsidRPr="007B0A1A" w:rsidRDefault="00652FF2" w:rsidP="003F04D5">
      <w:pPr>
        <w:spacing w:line="360" w:lineRule="auto"/>
        <w:jc w:val="both"/>
        <w:rPr>
          <w:rFonts w:ascii="Palatino Linotype" w:hAnsi="Palatino Linotype"/>
        </w:rPr>
      </w:pPr>
    </w:p>
    <w:p w14:paraId="2556104E" w14:textId="77777777" w:rsidR="00652FF2" w:rsidRPr="007B0A1A" w:rsidRDefault="00652FF2" w:rsidP="003F04D5">
      <w:pPr>
        <w:spacing w:line="360" w:lineRule="auto"/>
        <w:jc w:val="both"/>
        <w:rPr>
          <w:rFonts w:ascii="Palatino Linotype" w:hAnsi="Palatino Linotype"/>
        </w:rPr>
      </w:pPr>
      <w:r w:rsidRPr="007B0A1A">
        <w:rPr>
          <w:rFonts w:ascii="Palatino Linotype" w:hAnsi="Palatino Linotype"/>
        </w:rPr>
        <w:t xml:space="preserve">Pues debe entenderse </w:t>
      </w:r>
      <w:r w:rsidR="006B0CC7" w:rsidRPr="007B0A1A">
        <w:rPr>
          <w:rFonts w:ascii="Palatino Linotype" w:hAnsi="Palatino Linotype"/>
        </w:rPr>
        <w:t>por datos personales "la información concerniente a una persona física, identificada o identificable"; es decir es una cualidad o atributo de una persona física o persona humana, excluye</w:t>
      </w:r>
      <w:r w:rsidRPr="007B0A1A">
        <w:rPr>
          <w:rFonts w:ascii="Palatino Linotype" w:hAnsi="Palatino Linotype"/>
        </w:rPr>
        <w:t>ndo así a las personas morales.</w:t>
      </w:r>
    </w:p>
    <w:p w14:paraId="5DB791BD" w14:textId="77777777" w:rsidR="00652FF2" w:rsidRPr="007B0A1A" w:rsidRDefault="00652FF2" w:rsidP="003F04D5">
      <w:pPr>
        <w:spacing w:line="360" w:lineRule="auto"/>
        <w:jc w:val="both"/>
        <w:rPr>
          <w:rFonts w:ascii="Palatino Linotype" w:hAnsi="Palatino Linotype"/>
        </w:rPr>
      </w:pPr>
    </w:p>
    <w:p w14:paraId="1F71E38A" w14:textId="37F2032B" w:rsidR="006B0CC7" w:rsidRPr="007B0A1A" w:rsidRDefault="006B0CC7" w:rsidP="003F04D5">
      <w:pPr>
        <w:spacing w:line="360" w:lineRule="auto"/>
        <w:jc w:val="both"/>
        <w:rPr>
          <w:rFonts w:ascii="Palatino Linotype" w:hAnsi="Palatino Linotype" w:cs="Arial"/>
          <w:lang w:val="es-ES" w:eastAsia="es-CO"/>
        </w:rPr>
      </w:pPr>
      <w:r w:rsidRPr="007B0A1A">
        <w:rPr>
          <w:rFonts w:ascii="Palatino Linotype" w:hAnsi="Palatino Linotype"/>
        </w:rPr>
        <w:t>Por lo tanto la protección de datos personales tutela sólo el derecho a la protección de datos de las personas físicas y no de las morales, colectivas o jurídicas privadas, pues tal distinción se justifica porque el derecho a la protección de los datos personales se refiere únicamente a las personas físicas por estar encausado al respeto de un derecho personalísimo, como es e</w:t>
      </w:r>
      <w:r w:rsidR="00652FF2" w:rsidRPr="007B0A1A">
        <w:rPr>
          <w:rFonts w:ascii="Palatino Linotype" w:hAnsi="Palatino Linotype"/>
        </w:rPr>
        <w:t>l de la privacidad o intimidad.</w:t>
      </w:r>
    </w:p>
    <w:p w14:paraId="6F32E3B2" w14:textId="77777777" w:rsidR="006B0CC7" w:rsidRPr="007B0A1A" w:rsidRDefault="006B0CC7" w:rsidP="003F04D5">
      <w:pPr>
        <w:spacing w:line="360" w:lineRule="auto"/>
        <w:jc w:val="both"/>
        <w:rPr>
          <w:rFonts w:ascii="Palatino Linotype" w:hAnsi="Palatino Linotype" w:cs="Arial"/>
          <w:lang w:val="es-ES" w:eastAsia="es-CO"/>
        </w:rPr>
      </w:pPr>
    </w:p>
    <w:p w14:paraId="233D096E" w14:textId="77777777" w:rsidR="00323A5A" w:rsidRPr="007B0A1A" w:rsidRDefault="00323A5A" w:rsidP="00361C25">
      <w:pPr>
        <w:spacing w:line="360" w:lineRule="auto"/>
        <w:jc w:val="both"/>
        <w:rPr>
          <w:rFonts w:ascii="Palatino Linotype" w:hAnsi="Palatino Linotype"/>
        </w:rPr>
      </w:pPr>
      <w:r w:rsidRPr="007B0A1A">
        <w:rPr>
          <w:rFonts w:ascii="Palatino Linotype" w:hAnsi="Palatino Linotype"/>
        </w:rPr>
        <w:t>Lo anterior es así,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79F988D" w14:textId="77777777" w:rsidR="00323A5A" w:rsidRPr="007B0A1A" w:rsidRDefault="00323A5A" w:rsidP="00323A5A">
      <w:pPr>
        <w:spacing w:line="360" w:lineRule="auto"/>
        <w:jc w:val="both"/>
        <w:rPr>
          <w:rFonts w:ascii="Palatino Linotype" w:eastAsia="Calibri" w:hAnsi="Palatino Linotype" w:cs="Arial"/>
          <w:bCs/>
          <w:lang w:eastAsia="en-US"/>
        </w:rPr>
      </w:pPr>
    </w:p>
    <w:p w14:paraId="40AC4006" w14:textId="77777777" w:rsidR="00323A5A" w:rsidRPr="007B0A1A" w:rsidRDefault="00323A5A" w:rsidP="00323A5A">
      <w:pPr>
        <w:spacing w:line="360" w:lineRule="auto"/>
        <w:jc w:val="both"/>
        <w:rPr>
          <w:rFonts w:ascii="Palatino Linotype" w:hAnsi="Palatino Linotype" w:cs="Arial"/>
          <w:bCs/>
        </w:rPr>
      </w:pPr>
      <w:r w:rsidRPr="007B0A1A">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2B21081D" w14:textId="77777777" w:rsidR="00323A5A" w:rsidRPr="007B0A1A" w:rsidRDefault="00323A5A" w:rsidP="00323A5A">
      <w:pPr>
        <w:autoSpaceDE w:val="0"/>
        <w:autoSpaceDN w:val="0"/>
        <w:adjustRightInd w:val="0"/>
        <w:ind w:right="899"/>
        <w:jc w:val="both"/>
        <w:rPr>
          <w:rFonts w:ascii="Palatino Linotype" w:hAnsi="Palatino Linotype" w:cs="Arial"/>
        </w:rPr>
      </w:pPr>
    </w:p>
    <w:p w14:paraId="2D410386" w14:textId="77777777" w:rsidR="00323A5A" w:rsidRPr="007B0A1A" w:rsidRDefault="00323A5A" w:rsidP="00323A5A">
      <w:pPr>
        <w:ind w:left="851" w:right="901"/>
        <w:jc w:val="both"/>
        <w:rPr>
          <w:rFonts w:ascii="Palatino Linotype" w:hAnsi="Palatino Linotype"/>
          <w:i/>
          <w:sz w:val="22"/>
          <w:szCs w:val="22"/>
        </w:rPr>
      </w:pPr>
      <w:r w:rsidRPr="007B0A1A">
        <w:rPr>
          <w:rFonts w:ascii="Palatino Linotype" w:hAnsi="Palatino Linotype" w:cs="Arial"/>
          <w:b/>
          <w:bCs/>
          <w:i/>
          <w:noProof/>
          <w:sz w:val="22"/>
          <w:szCs w:val="22"/>
        </w:rPr>
        <w:t>“</w:t>
      </w:r>
      <w:r w:rsidRPr="007B0A1A">
        <w:rPr>
          <w:rFonts w:ascii="Palatino Linotype" w:hAnsi="Palatino Linotype" w:cs="Arial"/>
          <w:b/>
          <w:bCs/>
          <w:i/>
          <w:sz w:val="22"/>
          <w:szCs w:val="22"/>
        </w:rPr>
        <w:t xml:space="preserve">Artículo 3. </w:t>
      </w:r>
      <w:r w:rsidRPr="007B0A1A">
        <w:rPr>
          <w:rFonts w:ascii="Palatino Linotype" w:hAnsi="Palatino Linotype"/>
          <w:i/>
          <w:sz w:val="22"/>
          <w:szCs w:val="22"/>
        </w:rPr>
        <w:t xml:space="preserve">Para los efectos de la presente Ley se entenderá por: </w:t>
      </w:r>
    </w:p>
    <w:p w14:paraId="3230EDFE" w14:textId="77777777" w:rsidR="00323A5A" w:rsidRPr="007B0A1A" w:rsidRDefault="00323A5A" w:rsidP="00323A5A">
      <w:pPr>
        <w:ind w:left="851" w:right="899"/>
        <w:jc w:val="both"/>
        <w:rPr>
          <w:rFonts w:ascii="Palatino Linotype" w:hAnsi="Palatino Linotype" w:cs="Arial"/>
          <w:i/>
          <w:sz w:val="22"/>
          <w:szCs w:val="22"/>
        </w:rPr>
      </w:pPr>
      <w:r w:rsidRPr="007B0A1A">
        <w:rPr>
          <w:rFonts w:ascii="Palatino Linotype" w:hAnsi="Palatino Linotype" w:cs="Arial"/>
          <w:b/>
          <w:i/>
          <w:sz w:val="22"/>
          <w:szCs w:val="22"/>
        </w:rPr>
        <w:t>IX.</w:t>
      </w:r>
      <w:r w:rsidRPr="007B0A1A">
        <w:rPr>
          <w:rFonts w:ascii="Palatino Linotype" w:hAnsi="Palatino Linotype" w:cs="Arial"/>
          <w:i/>
          <w:sz w:val="22"/>
          <w:szCs w:val="22"/>
        </w:rPr>
        <w:t xml:space="preserve"> </w:t>
      </w:r>
      <w:r w:rsidRPr="007B0A1A">
        <w:rPr>
          <w:rFonts w:ascii="Palatino Linotype" w:hAnsi="Palatino Linotype" w:cs="Arial"/>
          <w:b/>
          <w:i/>
          <w:sz w:val="22"/>
          <w:szCs w:val="22"/>
        </w:rPr>
        <w:t xml:space="preserve">Datos personales: </w:t>
      </w:r>
      <w:r w:rsidRPr="007B0A1A">
        <w:rPr>
          <w:rFonts w:ascii="Palatino Linotype" w:hAnsi="Palatino Linotype" w:cs="Arial"/>
          <w:i/>
          <w:sz w:val="22"/>
          <w:szCs w:val="22"/>
        </w:rPr>
        <w:t xml:space="preserve">La información concerniente a una persona, identificada o identificable según lo dispuesto por la Ley de </w:t>
      </w:r>
      <w:r w:rsidRPr="007B0A1A">
        <w:rPr>
          <w:rFonts w:ascii="Palatino Linotype" w:hAnsi="Palatino Linotype"/>
          <w:i/>
          <w:sz w:val="22"/>
          <w:szCs w:val="22"/>
        </w:rPr>
        <w:t>Protección</w:t>
      </w:r>
      <w:r w:rsidRPr="007B0A1A">
        <w:rPr>
          <w:rFonts w:ascii="Palatino Linotype" w:hAnsi="Palatino Linotype" w:cs="Arial"/>
          <w:i/>
          <w:sz w:val="22"/>
          <w:szCs w:val="22"/>
        </w:rPr>
        <w:t xml:space="preserve"> de Datos Personales del Estado de México; </w:t>
      </w:r>
    </w:p>
    <w:p w14:paraId="1A26F999" w14:textId="77777777" w:rsidR="00323A5A" w:rsidRPr="007B0A1A" w:rsidRDefault="00323A5A" w:rsidP="00323A5A">
      <w:pPr>
        <w:ind w:left="851" w:right="899"/>
        <w:jc w:val="both"/>
        <w:rPr>
          <w:rFonts w:ascii="Palatino Linotype" w:hAnsi="Palatino Linotype" w:cs="Arial"/>
          <w:i/>
          <w:sz w:val="22"/>
          <w:szCs w:val="22"/>
        </w:rPr>
      </w:pPr>
      <w:r w:rsidRPr="007B0A1A">
        <w:rPr>
          <w:rFonts w:ascii="Palatino Linotype" w:hAnsi="Palatino Linotype" w:cs="Arial"/>
          <w:b/>
          <w:i/>
          <w:sz w:val="22"/>
          <w:szCs w:val="22"/>
        </w:rPr>
        <w:t>XX.</w:t>
      </w:r>
      <w:r w:rsidRPr="007B0A1A">
        <w:rPr>
          <w:rFonts w:ascii="Palatino Linotype" w:hAnsi="Palatino Linotype" w:cs="Arial"/>
          <w:i/>
          <w:sz w:val="22"/>
          <w:szCs w:val="22"/>
        </w:rPr>
        <w:t xml:space="preserve"> </w:t>
      </w:r>
      <w:r w:rsidRPr="007B0A1A">
        <w:rPr>
          <w:rFonts w:ascii="Palatino Linotype" w:hAnsi="Palatino Linotype" w:cs="Arial"/>
          <w:b/>
          <w:i/>
          <w:sz w:val="22"/>
          <w:szCs w:val="22"/>
        </w:rPr>
        <w:t>Información clasificada:</w:t>
      </w:r>
      <w:r w:rsidRPr="007B0A1A">
        <w:rPr>
          <w:rFonts w:ascii="Palatino Linotype" w:hAnsi="Palatino Linotype" w:cs="Arial"/>
          <w:i/>
          <w:sz w:val="22"/>
          <w:szCs w:val="22"/>
        </w:rPr>
        <w:t xml:space="preserve"> Aquella considerada por la presente Ley como reservada o confidencial; </w:t>
      </w:r>
    </w:p>
    <w:p w14:paraId="644231A1" w14:textId="77777777" w:rsidR="00323A5A" w:rsidRPr="007B0A1A" w:rsidRDefault="00323A5A" w:rsidP="00323A5A">
      <w:pPr>
        <w:ind w:left="851" w:right="899"/>
        <w:jc w:val="both"/>
        <w:rPr>
          <w:rFonts w:ascii="Palatino Linotype" w:hAnsi="Palatino Linotype" w:cs="Arial"/>
          <w:i/>
          <w:sz w:val="22"/>
          <w:szCs w:val="22"/>
        </w:rPr>
      </w:pPr>
      <w:r w:rsidRPr="007B0A1A">
        <w:rPr>
          <w:rFonts w:ascii="Palatino Linotype" w:hAnsi="Palatino Linotype" w:cs="Arial"/>
          <w:b/>
          <w:i/>
          <w:sz w:val="22"/>
          <w:szCs w:val="22"/>
        </w:rPr>
        <w:t>XXI.</w:t>
      </w:r>
      <w:r w:rsidRPr="007B0A1A">
        <w:rPr>
          <w:rFonts w:ascii="Palatino Linotype" w:hAnsi="Palatino Linotype" w:cs="Arial"/>
          <w:i/>
          <w:sz w:val="22"/>
          <w:szCs w:val="22"/>
        </w:rPr>
        <w:t xml:space="preserve"> </w:t>
      </w:r>
      <w:r w:rsidRPr="007B0A1A">
        <w:rPr>
          <w:rFonts w:ascii="Palatino Linotype" w:hAnsi="Palatino Linotype" w:cs="Arial"/>
          <w:b/>
          <w:i/>
          <w:sz w:val="22"/>
          <w:szCs w:val="22"/>
        </w:rPr>
        <w:t>Información confidencial</w:t>
      </w:r>
      <w:r w:rsidRPr="007B0A1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A76DF87" w14:textId="77777777" w:rsidR="00323A5A" w:rsidRPr="007B0A1A" w:rsidRDefault="00323A5A" w:rsidP="00323A5A">
      <w:pPr>
        <w:ind w:left="851" w:right="899"/>
        <w:jc w:val="both"/>
        <w:rPr>
          <w:rFonts w:ascii="Palatino Linotype" w:hAnsi="Palatino Linotype" w:cs="Arial"/>
          <w:i/>
          <w:sz w:val="22"/>
          <w:szCs w:val="22"/>
        </w:rPr>
      </w:pPr>
      <w:r w:rsidRPr="007B0A1A">
        <w:rPr>
          <w:rFonts w:ascii="Palatino Linotype" w:hAnsi="Palatino Linotype" w:cs="Arial"/>
          <w:b/>
          <w:i/>
          <w:sz w:val="22"/>
          <w:szCs w:val="22"/>
        </w:rPr>
        <w:t>XLV. Versión pública:</w:t>
      </w:r>
      <w:r w:rsidRPr="007B0A1A">
        <w:rPr>
          <w:rFonts w:ascii="Palatino Linotype" w:hAnsi="Palatino Linotype" w:cs="Arial"/>
          <w:i/>
          <w:sz w:val="22"/>
          <w:szCs w:val="22"/>
        </w:rPr>
        <w:t xml:space="preserve"> Documento en el que se elimine, suprime o borra la información clasificada como reservada o confidencial para permitir su acceso. </w:t>
      </w:r>
    </w:p>
    <w:p w14:paraId="1D6A296B" w14:textId="77777777" w:rsidR="00323A5A" w:rsidRPr="007B0A1A" w:rsidRDefault="00323A5A" w:rsidP="00323A5A">
      <w:pPr>
        <w:ind w:left="851" w:right="899"/>
        <w:jc w:val="both"/>
        <w:rPr>
          <w:rFonts w:ascii="Palatino Linotype" w:hAnsi="Palatino Linotype" w:cs="Arial"/>
          <w:i/>
          <w:sz w:val="22"/>
          <w:szCs w:val="22"/>
        </w:rPr>
      </w:pPr>
      <w:r w:rsidRPr="007B0A1A">
        <w:rPr>
          <w:rFonts w:ascii="Palatino Linotype" w:hAnsi="Palatino Linotype" w:cs="Arial"/>
          <w:b/>
          <w:i/>
          <w:sz w:val="22"/>
          <w:szCs w:val="22"/>
        </w:rPr>
        <w:t>Artículo 51.</w:t>
      </w:r>
      <w:r w:rsidRPr="007B0A1A">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B0A1A">
        <w:rPr>
          <w:rFonts w:ascii="Palatino Linotype" w:hAnsi="Palatino Linotype" w:cs="Arial"/>
          <w:b/>
          <w:i/>
          <w:sz w:val="22"/>
          <w:szCs w:val="22"/>
        </w:rPr>
        <w:t xml:space="preserve">y tendrá la responsabilidad de verificar en cada caso que la misma no sea confidencial o reservada. </w:t>
      </w:r>
      <w:r w:rsidRPr="007B0A1A">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CC3AC84" w14:textId="77777777" w:rsidR="00323A5A" w:rsidRPr="007B0A1A" w:rsidRDefault="00323A5A" w:rsidP="00323A5A">
      <w:pPr>
        <w:ind w:left="851" w:right="899"/>
        <w:jc w:val="both"/>
        <w:rPr>
          <w:rFonts w:ascii="Palatino Linotype" w:hAnsi="Palatino Linotype" w:cs="Arial"/>
          <w:i/>
          <w:sz w:val="22"/>
          <w:szCs w:val="22"/>
        </w:rPr>
      </w:pPr>
      <w:r w:rsidRPr="007B0A1A">
        <w:rPr>
          <w:rFonts w:ascii="Palatino Linotype" w:hAnsi="Palatino Linotype" w:cs="Arial"/>
          <w:b/>
          <w:i/>
          <w:sz w:val="22"/>
          <w:szCs w:val="22"/>
        </w:rPr>
        <w:t>Artículo 52.</w:t>
      </w:r>
      <w:r w:rsidRPr="007B0A1A">
        <w:rPr>
          <w:rFonts w:ascii="Palatino Linotype" w:hAnsi="Palatino Linotype" w:cs="Arial"/>
          <w:i/>
          <w:sz w:val="22"/>
          <w:szCs w:val="22"/>
        </w:rPr>
        <w:t xml:space="preserve"> Las solicitudes de acceso a la información y las respuestas que se les dé, incluyendo, en su caso, </w:t>
      </w:r>
      <w:r w:rsidRPr="007B0A1A">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7B0A1A">
        <w:rPr>
          <w:rFonts w:ascii="Palatino Linotype" w:hAnsi="Palatino Linotype" w:cs="Arial"/>
          <w:i/>
          <w:sz w:val="22"/>
          <w:szCs w:val="22"/>
        </w:rPr>
        <w:t>, siempre y cuando la resolución de referencia se someta a un proceso de disociación, es decir, no haga identificable al titular de tales datos personales.</w:t>
      </w:r>
      <w:r w:rsidRPr="007B0A1A">
        <w:rPr>
          <w:rFonts w:ascii="Palatino Linotype" w:hAnsi="Palatino Linotype" w:cs="Arial"/>
          <w:bCs/>
          <w:i/>
          <w:noProof/>
          <w:sz w:val="22"/>
          <w:szCs w:val="22"/>
        </w:rPr>
        <w:t>”</w:t>
      </w:r>
    </w:p>
    <w:p w14:paraId="49BDF1BC" w14:textId="77777777" w:rsidR="00323A5A" w:rsidRPr="007B0A1A" w:rsidRDefault="00323A5A" w:rsidP="00323A5A">
      <w:pPr>
        <w:ind w:right="899" w:firstLine="708"/>
        <w:jc w:val="both"/>
        <w:rPr>
          <w:rFonts w:ascii="Palatino Linotype" w:hAnsi="Palatino Linotype" w:cs="Arial"/>
          <w:sz w:val="22"/>
          <w:szCs w:val="22"/>
        </w:rPr>
      </w:pPr>
      <w:r w:rsidRPr="007B0A1A">
        <w:rPr>
          <w:rFonts w:ascii="Palatino Linotype" w:hAnsi="Palatino Linotype" w:cs="Arial"/>
          <w:sz w:val="22"/>
          <w:szCs w:val="22"/>
        </w:rPr>
        <w:t>(Énfasis añadido)</w:t>
      </w:r>
    </w:p>
    <w:p w14:paraId="16EF9277" w14:textId="77777777" w:rsidR="00323A5A" w:rsidRPr="007B0A1A" w:rsidRDefault="00323A5A" w:rsidP="00323A5A">
      <w:pPr>
        <w:ind w:right="899" w:firstLine="708"/>
        <w:jc w:val="both"/>
        <w:rPr>
          <w:rFonts w:ascii="Palatino Linotype" w:hAnsi="Palatino Linotype" w:cs="Arial"/>
        </w:rPr>
      </w:pPr>
    </w:p>
    <w:p w14:paraId="7FD2988C" w14:textId="77777777" w:rsidR="00323A5A" w:rsidRPr="007B0A1A" w:rsidRDefault="00323A5A" w:rsidP="00323A5A">
      <w:pPr>
        <w:spacing w:line="360" w:lineRule="auto"/>
        <w:jc w:val="both"/>
        <w:rPr>
          <w:rFonts w:ascii="Palatino Linotype" w:hAnsi="Palatino Linotype" w:cs="Arial"/>
        </w:rPr>
      </w:pPr>
      <w:r w:rsidRPr="007B0A1A">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7B0A1A">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D333156" w14:textId="77777777" w:rsidR="00323A5A" w:rsidRPr="007B0A1A" w:rsidRDefault="00323A5A" w:rsidP="00323A5A">
      <w:pPr>
        <w:jc w:val="both"/>
        <w:rPr>
          <w:rFonts w:ascii="Palatino Linotype" w:hAnsi="Palatino Linotype" w:cs="Arial"/>
        </w:rPr>
      </w:pPr>
    </w:p>
    <w:p w14:paraId="3FF8A176" w14:textId="77777777" w:rsidR="00323A5A" w:rsidRPr="007B0A1A" w:rsidRDefault="00323A5A" w:rsidP="00323A5A">
      <w:pPr>
        <w:ind w:left="851" w:right="902"/>
        <w:jc w:val="both"/>
        <w:rPr>
          <w:rFonts w:ascii="Palatino Linotype" w:eastAsia="Arial Unicode MS" w:hAnsi="Palatino Linotype" w:cs="Arial"/>
          <w:i/>
          <w:sz w:val="22"/>
          <w:szCs w:val="22"/>
        </w:rPr>
      </w:pPr>
      <w:r w:rsidRPr="007B0A1A">
        <w:rPr>
          <w:rFonts w:ascii="Palatino Linotype" w:eastAsia="Arial Unicode MS" w:hAnsi="Palatino Linotype" w:cs="Arial"/>
          <w:b/>
          <w:i/>
          <w:sz w:val="22"/>
          <w:szCs w:val="22"/>
        </w:rPr>
        <w:t>“Artículo 22.</w:t>
      </w:r>
      <w:r w:rsidRPr="007B0A1A">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056F0F4" w14:textId="77777777" w:rsidR="00323A5A" w:rsidRPr="007B0A1A" w:rsidRDefault="00323A5A" w:rsidP="00323A5A">
      <w:pPr>
        <w:ind w:left="851" w:right="902"/>
        <w:jc w:val="both"/>
        <w:rPr>
          <w:rFonts w:ascii="Palatino Linotype" w:eastAsia="Arial Unicode MS" w:hAnsi="Palatino Linotype" w:cs="Arial"/>
          <w:i/>
          <w:sz w:val="22"/>
          <w:szCs w:val="22"/>
        </w:rPr>
      </w:pPr>
      <w:r w:rsidRPr="007B0A1A">
        <w:rPr>
          <w:rFonts w:ascii="Palatino Linotype" w:eastAsia="Arial Unicode MS" w:hAnsi="Palatino Linotype" w:cs="Arial"/>
          <w:b/>
          <w:i/>
          <w:sz w:val="22"/>
          <w:szCs w:val="22"/>
        </w:rPr>
        <w:t>Artículo 38.</w:t>
      </w:r>
      <w:r w:rsidRPr="007B0A1A">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B0A1A">
        <w:rPr>
          <w:rFonts w:ascii="Palatino Linotype" w:eastAsia="Arial Unicode MS" w:hAnsi="Palatino Linotype" w:cs="Arial"/>
          <w:b/>
          <w:i/>
          <w:sz w:val="22"/>
          <w:szCs w:val="22"/>
        </w:rPr>
        <w:t>”</w:t>
      </w:r>
      <w:r w:rsidRPr="007B0A1A">
        <w:rPr>
          <w:rFonts w:ascii="Palatino Linotype" w:eastAsia="Arial Unicode MS" w:hAnsi="Palatino Linotype" w:cs="Arial"/>
          <w:i/>
          <w:sz w:val="22"/>
          <w:szCs w:val="22"/>
        </w:rPr>
        <w:t xml:space="preserve"> </w:t>
      </w:r>
    </w:p>
    <w:p w14:paraId="6266863F" w14:textId="77777777" w:rsidR="00323A5A" w:rsidRPr="007B0A1A" w:rsidRDefault="00323A5A" w:rsidP="00323A5A">
      <w:pPr>
        <w:ind w:left="851" w:right="850"/>
        <w:jc w:val="both"/>
        <w:rPr>
          <w:rFonts w:ascii="Palatino Linotype" w:eastAsia="Arial Unicode MS" w:hAnsi="Palatino Linotype" w:cs="Arial"/>
          <w:i/>
          <w:sz w:val="22"/>
          <w:szCs w:val="22"/>
        </w:rPr>
      </w:pPr>
    </w:p>
    <w:p w14:paraId="12391547" w14:textId="77777777" w:rsidR="00323A5A" w:rsidRPr="007B0A1A" w:rsidRDefault="00323A5A" w:rsidP="00323A5A">
      <w:pPr>
        <w:spacing w:line="360" w:lineRule="auto"/>
        <w:jc w:val="both"/>
        <w:rPr>
          <w:rFonts w:ascii="Palatino Linotype" w:hAnsi="Palatino Linotype" w:cs="Arial"/>
        </w:rPr>
      </w:pPr>
      <w:r w:rsidRPr="007B0A1A">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2F1F7F8" w14:textId="77777777" w:rsidR="00323A5A" w:rsidRPr="007B0A1A" w:rsidRDefault="00323A5A" w:rsidP="00323A5A">
      <w:pPr>
        <w:spacing w:line="360" w:lineRule="auto"/>
        <w:jc w:val="both"/>
        <w:rPr>
          <w:rFonts w:ascii="Palatino Linotype" w:hAnsi="Palatino Linotype" w:cs="Arial"/>
        </w:rPr>
      </w:pPr>
    </w:p>
    <w:p w14:paraId="07C2C142" w14:textId="77777777" w:rsidR="00323A5A" w:rsidRPr="007B0A1A" w:rsidRDefault="00323A5A" w:rsidP="00323A5A">
      <w:pPr>
        <w:spacing w:line="360" w:lineRule="auto"/>
        <w:jc w:val="both"/>
        <w:rPr>
          <w:rFonts w:ascii="Palatino Linotype" w:hAnsi="Palatino Linotype" w:cs="Arial"/>
        </w:rPr>
      </w:pPr>
      <w:r w:rsidRPr="007B0A1A">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7B0A1A">
        <w:rPr>
          <w:rFonts w:ascii="Palatino Linotype" w:eastAsia="Arial Unicode MS" w:hAnsi="Palatino Linotype" w:cs="Arial"/>
        </w:rPr>
        <w:t xml:space="preserve"> que debe ser protegida por </w:t>
      </w:r>
      <w:r w:rsidRPr="007B0A1A">
        <w:rPr>
          <w:rFonts w:ascii="Palatino Linotype" w:eastAsia="Arial Unicode MS" w:hAnsi="Palatino Linotype" w:cs="Arial"/>
          <w:b/>
        </w:rPr>
        <w:t xml:space="preserve">EL </w:t>
      </w:r>
      <w:r w:rsidRPr="007B0A1A">
        <w:rPr>
          <w:rFonts w:ascii="Palatino Linotype" w:eastAsia="Arial Unicode MS" w:hAnsi="Palatino Linotype" w:cs="Arial"/>
          <w:b/>
        </w:rPr>
        <w:lastRenderedPageBreak/>
        <w:t>SUJETO OBLIGADO,</w:t>
      </w:r>
      <w:r w:rsidRPr="007B0A1A">
        <w:rPr>
          <w:rFonts w:ascii="Palatino Linotype" w:eastAsia="Arial Unicode MS" w:hAnsi="Palatino Linotype" w:cs="Arial"/>
        </w:rPr>
        <w:t xml:space="preserve"> por lo </w:t>
      </w:r>
      <w:r w:rsidRPr="007B0A1A">
        <w:rPr>
          <w:rFonts w:ascii="Palatino Linotype" w:hAnsi="Palatino Linotype" w:cs="Arial"/>
        </w:rPr>
        <w:t>que, todo dato personal susceptible de clasificación debe ser protegido.</w:t>
      </w:r>
    </w:p>
    <w:p w14:paraId="557CC47C" w14:textId="77777777" w:rsidR="00323A5A" w:rsidRPr="007B0A1A" w:rsidRDefault="00323A5A" w:rsidP="00323A5A">
      <w:pPr>
        <w:spacing w:line="360" w:lineRule="auto"/>
        <w:jc w:val="both"/>
        <w:rPr>
          <w:rFonts w:ascii="Palatino Linotype" w:hAnsi="Palatino Linotype" w:cs="Arial"/>
        </w:rPr>
      </w:pPr>
    </w:p>
    <w:p w14:paraId="2E8ABC23" w14:textId="77777777" w:rsidR="00323A5A" w:rsidRPr="007B0A1A" w:rsidRDefault="00323A5A" w:rsidP="00323A5A">
      <w:pPr>
        <w:spacing w:line="360" w:lineRule="auto"/>
        <w:jc w:val="both"/>
        <w:rPr>
          <w:rFonts w:ascii="Palatino Linotype" w:hAnsi="Palatino Linotype" w:cs="Arial"/>
        </w:rPr>
      </w:pPr>
      <w:r w:rsidRPr="007B0A1A">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B60648E" w14:textId="77777777" w:rsidR="00323A5A" w:rsidRPr="007B0A1A" w:rsidRDefault="00323A5A" w:rsidP="00323A5A">
      <w:pPr>
        <w:spacing w:line="360" w:lineRule="auto"/>
        <w:jc w:val="both"/>
        <w:rPr>
          <w:rFonts w:ascii="Palatino Linotype" w:hAnsi="Palatino Linotype" w:cs="Arial"/>
        </w:rPr>
      </w:pPr>
    </w:p>
    <w:p w14:paraId="36A82260" w14:textId="77777777" w:rsidR="00323A5A" w:rsidRPr="007B0A1A" w:rsidRDefault="00323A5A" w:rsidP="00323A5A">
      <w:pPr>
        <w:widowControl w:val="0"/>
        <w:autoSpaceDE w:val="0"/>
        <w:autoSpaceDN w:val="0"/>
        <w:adjustRightInd w:val="0"/>
        <w:spacing w:before="200" w:after="200" w:line="360" w:lineRule="auto"/>
        <w:contextualSpacing/>
        <w:jc w:val="both"/>
        <w:rPr>
          <w:rFonts w:ascii="Palatino Linotype" w:hAnsi="Palatino Linotype" w:cs="Arial"/>
          <w:lang w:val="es-ES" w:eastAsia="es-MX"/>
        </w:rPr>
      </w:pPr>
      <w:r w:rsidRPr="007B0A1A">
        <w:rPr>
          <w:rFonts w:ascii="Palatino Linotype" w:hAnsi="Palatino Linotype"/>
          <w:lang w:val="es-ES"/>
        </w:rPr>
        <w:t xml:space="preserve">Así, si bien se debe transparentar el quehacer público, en este caso, el acto de autoridad que es la licencia </w:t>
      </w:r>
      <w:r w:rsidRPr="007B0A1A">
        <w:rPr>
          <w:rFonts w:ascii="Palatino Linotype" w:hAnsi="Palatino Linotype" w:cs="Arial"/>
        </w:rPr>
        <w:t>otorgada</w:t>
      </w:r>
      <w:r w:rsidRPr="007B0A1A">
        <w:rPr>
          <w:rFonts w:ascii="Palatino Linotype" w:hAnsi="Palatino Linotype"/>
          <w:lang w:val="es-ES"/>
        </w:rPr>
        <w:t xml:space="preserve">, ello no implica el hacer público el nombre de una persona, misma que goza del derecho a la protección de sus datos, lo cual encuentra sustento en </w:t>
      </w:r>
      <w:r w:rsidRPr="007B0A1A">
        <w:rPr>
          <w:rFonts w:ascii="Palatino Linotype" w:hAnsi="Palatino Linotype" w:cs="Arial"/>
          <w:lang w:val="es-ES" w:eastAsia="es-MX"/>
        </w:rPr>
        <w:t>la Jurisprudencia con número de registro 2015828 de la Décima Época, sustentada por la Segunda Sala de la Suprema Corte de Justicia de la Nación, visible en la página 487, libro 49, Tomo I, de diciembre de 2017, publicada en el Semanario Judicial de la Federación, cuyo rubro y texto esgrimen:</w:t>
      </w:r>
    </w:p>
    <w:p w14:paraId="6B3B88A0" w14:textId="77777777" w:rsidR="00323A5A" w:rsidRPr="007B0A1A" w:rsidRDefault="00323A5A" w:rsidP="00323A5A">
      <w:pPr>
        <w:widowControl w:val="0"/>
        <w:autoSpaceDE w:val="0"/>
        <w:autoSpaceDN w:val="0"/>
        <w:adjustRightInd w:val="0"/>
        <w:spacing w:before="200" w:after="200" w:line="360" w:lineRule="auto"/>
        <w:contextualSpacing/>
        <w:jc w:val="both"/>
        <w:rPr>
          <w:rFonts w:ascii="Arial" w:hAnsi="Arial" w:cs="Arial"/>
          <w:lang w:val="es-ES" w:eastAsia="es-MX"/>
        </w:rPr>
      </w:pPr>
    </w:p>
    <w:p w14:paraId="65F55477" w14:textId="77777777" w:rsidR="00323A5A" w:rsidRPr="007B0A1A" w:rsidRDefault="00323A5A" w:rsidP="00323A5A">
      <w:pPr>
        <w:ind w:left="851" w:right="902"/>
        <w:jc w:val="both"/>
        <w:rPr>
          <w:rFonts w:ascii="Palatino Linotype" w:hAnsi="Palatino Linotype"/>
          <w:i/>
          <w:sz w:val="22"/>
          <w:lang w:val="es-ES"/>
        </w:rPr>
      </w:pPr>
      <w:r w:rsidRPr="007B0A1A">
        <w:rPr>
          <w:rFonts w:ascii="Palatino Linotype" w:hAnsi="Palatino Linotype"/>
          <w:i/>
          <w:sz w:val="22"/>
          <w:lang w:val="es-ES"/>
        </w:rPr>
        <w:t>“</w:t>
      </w:r>
      <w:r w:rsidRPr="007B0A1A">
        <w:rPr>
          <w:rFonts w:ascii="Palatino Linotype" w:hAnsi="Palatino Linotype"/>
          <w:b/>
          <w:i/>
          <w:sz w:val="22"/>
          <w:lang w:val="es-ES"/>
        </w:rPr>
        <w:t xml:space="preserve">RESTRICCIONES CONSTITUCIONALES AL GOCE Y EJERCICIO DE LOS DERECHOS Y LIBERTADES. SU CONTENIDO NO IMPIDE QUE LA SUPREMA CORTE DE JUSTICIA DE LA NACIÓN LAS INTERPRETE DE LA MANERA MÁS FAVORABLE A LAS PERSONAS, EN TÉRMINOS DE LOS PROPIOS POSTULADOS CONSTITUCIONALES. </w:t>
      </w:r>
      <w:r w:rsidRPr="007B0A1A">
        <w:rPr>
          <w:rFonts w:ascii="Palatino Linotype" w:hAnsi="Palatino Linotype"/>
          <w:i/>
          <w:sz w:val="22"/>
          <w:lang w:val="es-ES"/>
        </w:rPr>
        <w:t xml:space="preserve">Conforme a lo resuelto por el Pleno de la Suprema Corte de Justicia de la Nación en la contradicción de tesis 293/2011, las restricciones constitucionales al goce y ejercicio de los derechos y libertades prevalecen sobre la norma convencional, sin dar lugar a emprender algún juicio de ponderación posterior; sin embargo, nada impide que el intérprete constitucional, principalmente la Suprema Corte de Justicia de la Nación, al hacer prevalecer una restricción o limitación constitucional, también practique un examen </w:t>
      </w:r>
      <w:r w:rsidRPr="007B0A1A">
        <w:rPr>
          <w:rFonts w:ascii="Palatino Linotype" w:hAnsi="Palatino Linotype"/>
          <w:i/>
          <w:sz w:val="22"/>
          <w:lang w:val="es-ES"/>
        </w:rPr>
        <w:lastRenderedPageBreak/>
        <w:t>de interpretación más favorable en la propia disposición suprema, delimitando sus alcances de forma interrelacionada con el resto de las disposiciones del mismo texto constitucional. En efecto, no porque el texto de la Constitución Política de los Estados Unidos Mexicanos deba prevalecer, su aplicación ha de realizarse de manera indiscriminada, lejos de ello, el compromiso derivado de lo resuelto en la aludida contradicción de tesis privilegia un ejercicio hermenéutico que lleve al operador jurídico competente a que, sin vaciar de contenido la disposición restrictiva, ésta sea leída de la forma más favorable posible, como producto de una interpretación sistemática de todos sus postulados.</w:t>
      </w:r>
    </w:p>
    <w:p w14:paraId="0FB63A44" w14:textId="77777777" w:rsidR="00323A5A" w:rsidRPr="007B0A1A" w:rsidRDefault="00323A5A" w:rsidP="00323A5A">
      <w:pPr>
        <w:ind w:left="851" w:right="902"/>
        <w:jc w:val="both"/>
        <w:rPr>
          <w:rFonts w:ascii="Palatino Linotype" w:hAnsi="Palatino Linotype"/>
          <w:i/>
          <w:sz w:val="22"/>
          <w:lang w:val="es-ES"/>
        </w:rPr>
      </w:pPr>
      <w:r w:rsidRPr="007B0A1A">
        <w:rPr>
          <w:rFonts w:ascii="Palatino Linotype" w:hAnsi="Palatino Linotype"/>
          <w:i/>
          <w:sz w:val="22"/>
          <w:lang w:val="es-ES"/>
        </w:rPr>
        <w:t>Amparo directo en revisión 583/2015. Citlali Griselda Godínez Téllez. 9 de septiembre de 2015. Unanimidad de cuatro votos de los Ministros Eduardo Medina Mora I., José Fernando Franco González Salas, Margarita Beatriz Luna Ramos y Alberto Pérez Dayán. Ausente: Juan N. Silva Meza. Ponente: Alberto Pérez Dayán. Secretarios: Jorge Jannu Lizárraga Delgado y Jorge Antonio Medina Gaona.</w:t>
      </w:r>
    </w:p>
    <w:p w14:paraId="5CE5FECB" w14:textId="77777777" w:rsidR="00323A5A" w:rsidRPr="007B0A1A" w:rsidRDefault="00323A5A" w:rsidP="00323A5A">
      <w:pPr>
        <w:ind w:left="851" w:right="902"/>
        <w:jc w:val="both"/>
        <w:rPr>
          <w:rFonts w:ascii="Palatino Linotype" w:hAnsi="Palatino Linotype"/>
          <w:i/>
          <w:sz w:val="22"/>
          <w:lang w:val="es-ES"/>
        </w:rPr>
      </w:pPr>
      <w:r w:rsidRPr="007B0A1A">
        <w:rPr>
          <w:rFonts w:ascii="Palatino Linotype" w:hAnsi="Palatino Linotype"/>
          <w:i/>
          <w:sz w:val="22"/>
          <w:lang w:val="es-ES"/>
        </w:rPr>
        <w:t>Amparo directo en revisión 2519/2015. Armando Escamilla Gutiérrez. 25 de noviembre de 2015. Mayoría de cuatro votos de los Ministros Eduardo Medina Mora I., José Fernando Franco González Salas, Margarita Beatriz Luna Ramos y Alberto Pérez Dayán. Disidente y Ponente: Juan N. Silva Meza. Secretario: Rodrigo de la Peza López Figueroa.</w:t>
      </w:r>
    </w:p>
    <w:p w14:paraId="7E6CA582" w14:textId="77777777" w:rsidR="00323A5A" w:rsidRPr="007B0A1A" w:rsidRDefault="00323A5A" w:rsidP="00323A5A">
      <w:pPr>
        <w:ind w:left="851" w:right="902"/>
        <w:jc w:val="both"/>
        <w:rPr>
          <w:rFonts w:ascii="Palatino Linotype" w:hAnsi="Palatino Linotype"/>
          <w:i/>
          <w:sz w:val="22"/>
          <w:lang w:val="es-ES"/>
        </w:rPr>
      </w:pPr>
      <w:r w:rsidRPr="007B0A1A">
        <w:rPr>
          <w:rFonts w:ascii="Palatino Linotype" w:hAnsi="Palatino Linotype"/>
          <w:i/>
          <w:sz w:val="22"/>
          <w:lang w:val="es-ES"/>
        </w:rPr>
        <w:t>Amparo directo en revisión 5239/2015. José María Mercado Ascencio. 3 de febrero de 2016. Mayoría de cuatro votos de los Ministros Eduardo Medina Mora I., José Fernando Franco González Salas, Margarita Beatriz Luna Ramos y Alberto Pérez Dayán. Disidente: Javier Laynez Potisek. Ponente: Alberto Pérez Dayán. Secretario: Jorge Antonio Medina Gaona.</w:t>
      </w:r>
    </w:p>
    <w:p w14:paraId="29165E6B" w14:textId="77777777" w:rsidR="00323A5A" w:rsidRPr="007B0A1A" w:rsidRDefault="00323A5A" w:rsidP="00323A5A">
      <w:pPr>
        <w:ind w:left="851" w:right="902"/>
        <w:jc w:val="both"/>
        <w:rPr>
          <w:rFonts w:ascii="Palatino Linotype" w:hAnsi="Palatino Linotype"/>
          <w:i/>
          <w:sz w:val="22"/>
          <w:lang w:val="es-ES"/>
        </w:rPr>
      </w:pPr>
      <w:r w:rsidRPr="007B0A1A">
        <w:rPr>
          <w:rFonts w:ascii="Palatino Linotype" w:hAnsi="Palatino Linotype"/>
          <w:i/>
          <w:sz w:val="22"/>
          <w:lang w:val="es-ES"/>
        </w:rPr>
        <w:t>Amparo directo en revisión 5946/2015. Secretario de Gobernación. 3 de febrero de 2016. Mayoría de cuatro votos de los Ministros Eduardo Medina Mora I., José Fernando Franco González Salas, Margarita Beatriz Luna Ramos y Alberto Pérez Dayán; votó con reserva José Fernando Franco González Salas. Disidente: Javier Laynez Potisek. Ponente: Alberto Pérez Dayán. Secretario: Jorge Antonio Medina Gaona.</w:t>
      </w:r>
    </w:p>
    <w:p w14:paraId="5A3101D1" w14:textId="77777777" w:rsidR="00323A5A" w:rsidRPr="007B0A1A" w:rsidRDefault="00323A5A" w:rsidP="00323A5A">
      <w:pPr>
        <w:ind w:left="851" w:right="902"/>
        <w:jc w:val="both"/>
        <w:rPr>
          <w:rFonts w:ascii="Palatino Linotype" w:hAnsi="Palatino Linotype"/>
          <w:i/>
          <w:sz w:val="22"/>
          <w:lang w:val="es-ES"/>
        </w:rPr>
      </w:pPr>
      <w:r w:rsidRPr="007B0A1A">
        <w:rPr>
          <w:rFonts w:ascii="Palatino Linotype" w:hAnsi="Palatino Linotype"/>
          <w:i/>
          <w:sz w:val="22"/>
          <w:lang w:val="es-ES"/>
        </w:rPr>
        <w:t>Amparo en revisión 706/2017. GDF Suez México Comercializadora, S. de R.L. de C.V. 8 de noviembre de 2017. Unanimidad de cuatro votos de los Ministros Alberto Pérez Dayán, Javier Laynez Potisek, José Fernando Franco González Salas y Eduardo Medina Mora I.; votó con salvedad José Fernando Franco González Salas. Ausente: Margarita Beatriz Luna Ramos. Ponente: Alberto Pérez Dayán. Secretario: Isidro Emmanuel Muñoz Acevedo.”</w:t>
      </w:r>
    </w:p>
    <w:p w14:paraId="251F8BB0" w14:textId="77777777" w:rsidR="00323A5A" w:rsidRPr="007B0A1A" w:rsidRDefault="00323A5A" w:rsidP="00323A5A">
      <w:pPr>
        <w:autoSpaceDE w:val="0"/>
        <w:autoSpaceDN w:val="0"/>
        <w:adjustRightInd w:val="0"/>
        <w:spacing w:line="360" w:lineRule="auto"/>
        <w:ind w:right="49"/>
        <w:jc w:val="both"/>
        <w:rPr>
          <w:rFonts w:ascii="Palatino Linotype" w:hAnsi="Palatino Linotype" w:cs="Arial"/>
          <w:lang w:val="es-ES"/>
        </w:rPr>
      </w:pPr>
    </w:p>
    <w:p w14:paraId="463EB3D5" w14:textId="77777777" w:rsidR="00323A5A" w:rsidRPr="007B0A1A" w:rsidRDefault="00323A5A" w:rsidP="00323A5A">
      <w:pPr>
        <w:spacing w:line="360" w:lineRule="auto"/>
        <w:jc w:val="both"/>
        <w:rPr>
          <w:rFonts w:ascii="Palatino Linotype" w:hAnsi="Palatino Linotype" w:cs="Arial"/>
        </w:rPr>
      </w:pPr>
      <w:r w:rsidRPr="007B0A1A">
        <w:rPr>
          <w:rFonts w:ascii="Palatino Linotype" w:hAnsi="Palatino Linotype" w:cs="Arial"/>
        </w:rPr>
        <w:lastRenderedPageBreak/>
        <w:t>Aunado a lo anterior, es de señalar que el artículo 1, párrafo segundo de la Constitución Política de los Estados Unidos Mexicanos, determina que las normas referentes a los derechos humanos se interpretarán favoreciendo en todo tiempo a las personas; por su parte, el diverso 6, apartado A, fracciones I y II del mismo ordenamiento estipula que toda la información en posesión de los entes públicos es pública y sólo podrá ser restringida por cuestiones de seguridad nacional y para proteger la vida privada y datos personales.</w:t>
      </w:r>
    </w:p>
    <w:p w14:paraId="6E85C47F" w14:textId="77777777" w:rsidR="00323A5A" w:rsidRPr="007B0A1A" w:rsidRDefault="00323A5A" w:rsidP="00323A5A">
      <w:pPr>
        <w:spacing w:line="360" w:lineRule="auto"/>
        <w:jc w:val="both"/>
        <w:rPr>
          <w:rFonts w:ascii="Palatino Linotype" w:hAnsi="Palatino Linotype"/>
          <w:lang w:val="es-ES"/>
        </w:rPr>
      </w:pPr>
    </w:p>
    <w:p w14:paraId="1CD03F57" w14:textId="77777777" w:rsidR="00323A5A" w:rsidRPr="007B0A1A" w:rsidRDefault="00323A5A" w:rsidP="00323A5A">
      <w:pPr>
        <w:autoSpaceDE w:val="0"/>
        <w:autoSpaceDN w:val="0"/>
        <w:adjustRightInd w:val="0"/>
        <w:spacing w:line="360" w:lineRule="auto"/>
        <w:ind w:right="49"/>
        <w:jc w:val="both"/>
        <w:rPr>
          <w:rFonts w:ascii="Palatino Linotype" w:hAnsi="Palatino Linotype" w:cs="Arial"/>
          <w:lang w:val="es-ES"/>
        </w:rPr>
      </w:pPr>
      <w:r w:rsidRPr="007B0A1A">
        <w:rPr>
          <w:rFonts w:ascii="Palatino Linotype" w:hAnsi="Palatino Linotype" w:cs="Arial"/>
          <w:lang w:val="es-ES"/>
        </w:rPr>
        <w:t xml:space="preserve">Asimismo, es importante referir que conforme al artículo 204 de la Ley de la materia, los criterios reiterados y relevantes, son obligatorios para </w:t>
      </w:r>
      <w:r w:rsidRPr="007B0A1A">
        <w:rPr>
          <w:rFonts w:ascii="Palatino Linotype" w:hAnsi="Palatino Linotype" w:cs="Arial"/>
          <w:b/>
          <w:lang w:val="es-ES"/>
        </w:rPr>
        <w:t>EL SUJETO OBLIGADO</w:t>
      </w:r>
      <w:r w:rsidRPr="007B0A1A">
        <w:rPr>
          <w:rFonts w:ascii="Palatino Linotype" w:hAnsi="Palatino Linotype" w:cs="Arial"/>
          <w:lang w:val="es-ES"/>
        </w:rPr>
        <w:t>, y debe ser observado al dar cumplimiento a la presente resolución.</w:t>
      </w:r>
    </w:p>
    <w:p w14:paraId="7C1AA22D" w14:textId="77777777" w:rsidR="00323A5A" w:rsidRPr="007B0A1A" w:rsidRDefault="00323A5A" w:rsidP="00323A5A">
      <w:pPr>
        <w:rPr>
          <w:lang w:val="es-ES"/>
        </w:rPr>
      </w:pPr>
    </w:p>
    <w:p w14:paraId="24CC93AE" w14:textId="77777777" w:rsidR="00323A5A" w:rsidRPr="007B0A1A" w:rsidRDefault="00323A5A" w:rsidP="00323A5A">
      <w:pPr>
        <w:spacing w:line="360" w:lineRule="auto"/>
        <w:jc w:val="both"/>
        <w:rPr>
          <w:rFonts w:ascii="Palatino Linotype" w:hAnsi="Palatino Linotype" w:cs="Arial"/>
        </w:rPr>
      </w:pPr>
      <w:r w:rsidRPr="007B0A1A">
        <w:rPr>
          <w:rFonts w:ascii="Palatino Linotype" w:hAnsi="Palatino Linotype" w:cs="Arial"/>
        </w:rPr>
        <w:t>Ahora bien, es importante señalar que la clasificación de información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74A5373" w14:textId="77777777" w:rsidR="00323A5A" w:rsidRPr="007B0A1A" w:rsidRDefault="00323A5A" w:rsidP="00323A5A">
      <w:pPr>
        <w:jc w:val="both"/>
        <w:rPr>
          <w:rFonts w:ascii="Palatino Linotype" w:hAnsi="Palatino Linotype" w:cs="Arial"/>
        </w:rPr>
      </w:pPr>
    </w:p>
    <w:p w14:paraId="5970496E" w14:textId="77777777" w:rsidR="00323A5A" w:rsidRPr="007B0A1A" w:rsidRDefault="00323A5A" w:rsidP="00323A5A">
      <w:pPr>
        <w:ind w:left="851" w:right="902"/>
        <w:jc w:val="both"/>
        <w:rPr>
          <w:rFonts w:ascii="Palatino Linotype" w:hAnsi="Palatino Linotype" w:cs="Arial"/>
          <w:i/>
          <w:sz w:val="22"/>
          <w:szCs w:val="22"/>
        </w:rPr>
      </w:pPr>
      <w:r w:rsidRPr="007B0A1A">
        <w:rPr>
          <w:rFonts w:ascii="Palatino Linotype" w:hAnsi="Palatino Linotype" w:cs="Arial"/>
          <w:b/>
          <w:i/>
          <w:sz w:val="22"/>
          <w:szCs w:val="22"/>
        </w:rPr>
        <w:t xml:space="preserve">“Artículo 49. </w:t>
      </w:r>
      <w:r w:rsidRPr="007B0A1A">
        <w:rPr>
          <w:rFonts w:ascii="Palatino Linotype" w:hAnsi="Palatino Linotype" w:cs="Arial"/>
          <w:i/>
          <w:sz w:val="22"/>
          <w:szCs w:val="22"/>
        </w:rPr>
        <w:t>Los Comités de Transparencia tendrán las siguientes atribuciones:</w:t>
      </w:r>
    </w:p>
    <w:p w14:paraId="43BDD4F5" w14:textId="77777777" w:rsidR="00323A5A" w:rsidRPr="007B0A1A" w:rsidRDefault="00323A5A" w:rsidP="00323A5A">
      <w:pPr>
        <w:ind w:left="851" w:right="902"/>
        <w:jc w:val="both"/>
        <w:rPr>
          <w:rFonts w:ascii="Palatino Linotype" w:hAnsi="Palatino Linotype" w:cs="Arial"/>
          <w:i/>
          <w:sz w:val="22"/>
          <w:szCs w:val="22"/>
        </w:rPr>
      </w:pPr>
      <w:r w:rsidRPr="007B0A1A">
        <w:rPr>
          <w:rFonts w:ascii="Palatino Linotype" w:hAnsi="Palatino Linotype" w:cs="Arial"/>
          <w:b/>
          <w:i/>
          <w:sz w:val="22"/>
          <w:szCs w:val="22"/>
        </w:rPr>
        <w:t>VIII.</w:t>
      </w:r>
      <w:r w:rsidRPr="007B0A1A">
        <w:rPr>
          <w:rFonts w:ascii="Palatino Linotype" w:hAnsi="Palatino Linotype" w:cs="Arial"/>
          <w:i/>
          <w:sz w:val="22"/>
          <w:szCs w:val="22"/>
        </w:rPr>
        <w:t xml:space="preserve"> Aprobar, modificar o revocar la clasificación de la información;</w:t>
      </w:r>
    </w:p>
    <w:p w14:paraId="649F863B" w14:textId="77777777" w:rsidR="00323A5A" w:rsidRPr="007B0A1A" w:rsidRDefault="00323A5A" w:rsidP="00323A5A">
      <w:pPr>
        <w:ind w:left="851" w:right="902"/>
        <w:jc w:val="both"/>
        <w:rPr>
          <w:rFonts w:ascii="Palatino Linotype" w:hAnsi="Palatino Linotype" w:cs="Arial"/>
          <w:i/>
          <w:sz w:val="22"/>
          <w:szCs w:val="22"/>
        </w:rPr>
      </w:pPr>
      <w:r w:rsidRPr="007B0A1A">
        <w:rPr>
          <w:rFonts w:ascii="Palatino Linotype" w:hAnsi="Palatino Linotype" w:cs="Arial"/>
          <w:b/>
          <w:i/>
          <w:sz w:val="22"/>
          <w:szCs w:val="22"/>
        </w:rPr>
        <w:t>Artículo 132.</w:t>
      </w:r>
      <w:r w:rsidRPr="007B0A1A">
        <w:rPr>
          <w:rFonts w:ascii="Palatino Linotype" w:hAnsi="Palatino Linotype" w:cs="Arial"/>
          <w:i/>
          <w:sz w:val="22"/>
          <w:szCs w:val="22"/>
        </w:rPr>
        <w:t xml:space="preserve"> La clasificación de la información se llevará a cabo en el momento en que:</w:t>
      </w:r>
    </w:p>
    <w:p w14:paraId="56ED6D5C" w14:textId="77777777" w:rsidR="00323A5A" w:rsidRPr="007B0A1A" w:rsidRDefault="00323A5A" w:rsidP="00323A5A">
      <w:pPr>
        <w:ind w:left="851" w:right="902"/>
        <w:jc w:val="both"/>
        <w:rPr>
          <w:rFonts w:ascii="Palatino Linotype" w:hAnsi="Palatino Linotype" w:cs="Arial"/>
          <w:i/>
          <w:sz w:val="22"/>
          <w:szCs w:val="22"/>
        </w:rPr>
      </w:pPr>
      <w:r w:rsidRPr="007B0A1A">
        <w:rPr>
          <w:rFonts w:ascii="Palatino Linotype" w:hAnsi="Palatino Linotype" w:cs="Arial"/>
          <w:b/>
          <w:i/>
          <w:sz w:val="22"/>
          <w:szCs w:val="22"/>
        </w:rPr>
        <w:lastRenderedPageBreak/>
        <w:t>I.</w:t>
      </w:r>
      <w:r w:rsidRPr="007B0A1A">
        <w:rPr>
          <w:rFonts w:ascii="Palatino Linotype" w:hAnsi="Palatino Linotype" w:cs="Arial"/>
          <w:i/>
          <w:sz w:val="22"/>
          <w:szCs w:val="22"/>
        </w:rPr>
        <w:t xml:space="preserve"> Se reciba una solicitud de acceso a la información;</w:t>
      </w:r>
    </w:p>
    <w:p w14:paraId="6D8939C9" w14:textId="77777777" w:rsidR="00323A5A" w:rsidRPr="007B0A1A" w:rsidRDefault="00323A5A" w:rsidP="00323A5A">
      <w:pPr>
        <w:ind w:left="851" w:right="902"/>
        <w:jc w:val="both"/>
        <w:rPr>
          <w:rFonts w:ascii="Palatino Linotype" w:hAnsi="Palatino Linotype" w:cs="Arial"/>
          <w:i/>
          <w:sz w:val="22"/>
          <w:szCs w:val="22"/>
        </w:rPr>
      </w:pPr>
      <w:r w:rsidRPr="007B0A1A">
        <w:rPr>
          <w:rFonts w:ascii="Palatino Linotype" w:hAnsi="Palatino Linotype" w:cs="Arial"/>
          <w:b/>
          <w:i/>
          <w:sz w:val="22"/>
          <w:szCs w:val="22"/>
        </w:rPr>
        <w:t>II.</w:t>
      </w:r>
      <w:r w:rsidRPr="007B0A1A">
        <w:rPr>
          <w:rFonts w:ascii="Palatino Linotype" w:hAnsi="Palatino Linotype" w:cs="Arial"/>
          <w:i/>
          <w:sz w:val="22"/>
          <w:szCs w:val="22"/>
        </w:rPr>
        <w:t xml:space="preserve"> Se determine mediante resolución de autoridad competente; o</w:t>
      </w:r>
    </w:p>
    <w:p w14:paraId="447ACC48" w14:textId="77777777" w:rsidR="00323A5A" w:rsidRPr="007B0A1A" w:rsidRDefault="00323A5A" w:rsidP="00323A5A">
      <w:pPr>
        <w:ind w:left="851" w:right="902"/>
        <w:jc w:val="both"/>
        <w:rPr>
          <w:rFonts w:ascii="Palatino Linotype" w:hAnsi="Palatino Linotype" w:cs="Arial"/>
          <w:b/>
          <w:i/>
          <w:sz w:val="22"/>
          <w:szCs w:val="22"/>
        </w:rPr>
      </w:pPr>
      <w:r w:rsidRPr="007B0A1A">
        <w:rPr>
          <w:rFonts w:ascii="Palatino Linotype" w:hAnsi="Palatino Linotype" w:cs="Arial"/>
          <w:i/>
          <w:sz w:val="22"/>
          <w:szCs w:val="22"/>
        </w:rPr>
        <w:t>III. Se generen versiones públicas para dar cumplimiento a las obligaciones de transparencia previstas en esta Ley.</w:t>
      </w:r>
      <w:r w:rsidRPr="007B0A1A">
        <w:rPr>
          <w:rFonts w:ascii="Palatino Linotype" w:hAnsi="Palatino Linotype" w:cs="Arial"/>
          <w:b/>
          <w:i/>
          <w:sz w:val="22"/>
          <w:szCs w:val="22"/>
        </w:rPr>
        <w:t>”</w:t>
      </w:r>
    </w:p>
    <w:p w14:paraId="35FBAE2A" w14:textId="77777777" w:rsidR="00323A5A" w:rsidRPr="007B0A1A" w:rsidRDefault="00323A5A" w:rsidP="00323A5A">
      <w:pPr>
        <w:ind w:left="851" w:right="902"/>
        <w:jc w:val="both"/>
        <w:rPr>
          <w:rFonts w:ascii="Palatino Linotype" w:hAnsi="Palatino Linotype" w:cs="Arial"/>
          <w:i/>
          <w:sz w:val="22"/>
          <w:szCs w:val="22"/>
        </w:rPr>
      </w:pPr>
      <w:r w:rsidRPr="007B0A1A">
        <w:rPr>
          <w:rFonts w:ascii="Palatino Linotype" w:hAnsi="Palatino Linotype" w:cs="Arial"/>
          <w:b/>
          <w:i/>
          <w:sz w:val="22"/>
          <w:szCs w:val="22"/>
        </w:rPr>
        <w:t>“Segundo.-</w:t>
      </w:r>
      <w:r w:rsidRPr="007B0A1A">
        <w:rPr>
          <w:rFonts w:ascii="Palatino Linotype" w:hAnsi="Palatino Linotype" w:cs="Arial"/>
          <w:i/>
          <w:sz w:val="22"/>
          <w:szCs w:val="22"/>
        </w:rPr>
        <w:t xml:space="preserve"> Para efectos de los presentes Lineamientos Generales, se entenderá por:</w:t>
      </w:r>
    </w:p>
    <w:p w14:paraId="13554A17" w14:textId="77777777" w:rsidR="00323A5A" w:rsidRPr="007B0A1A" w:rsidRDefault="00323A5A" w:rsidP="00323A5A">
      <w:pPr>
        <w:ind w:left="851" w:right="902"/>
        <w:jc w:val="both"/>
        <w:rPr>
          <w:rFonts w:ascii="Palatino Linotype" w:hAnsi="Palatino Linotype" w:cs="Arial"/>
          <w:i/>
          <w:sz w:val="22"/>
          <w:szCs w:val="22"/>
        </w:rPr>
      </w:pPr>
      <w:r w:rsidRPr="007B0A1A">
        <w:rPr>
          <w:rFonts w:ascii="Palatino Linotype" w:hAnsi="Palatino Linotype" w:cs="Arial"/>
          <w:b/>
          <w:i/>
          <w:sz w:val="22"/>
          <w:szCs w:val="22"/>
        </w:rPr>
        <w:t>XVIII.</w:t>
      </w:r>
      <w:r w:rsidRPr="007B0A1A">
        <w:rPr>
          <w:rFonts w:ascii="Palatino Linotype" w:hAnsi="Palatino Linotype" w:cs="Arial"/>
          <w:i/>
          <w:sz w:val="22"/>
          <w:szCs w:val="22"/>
        </w:rPr>
        <w:t xml:space="preserve">  </w:t>
      </w:r>
      <w:r w:rsidRPr="007B0A1A">
        <w:rPr>
          <w:rFonts w:ascii="Palatino Linotype" w:hAnsi="Palatino Linotype" w:cs="Arial"/>
          <w:b/>
          <w:i/>
          <w:sz w:val="22"/>
          <w:szCs w:val="22"/>
        </w:rPr>
        <w:t>Versión pública:</w:t>
      </w:r>
      <w:r w:rsidRPr="007B0A1A">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A081D1C" w14:textId="77777777" w:rsidR="00323A5A" w:rsidRPr="007B0A1A" w:rsidRDefault="00323A5A" w:rsidP="00323A5A">
      <w:pPr>
        <w:ind w:left="851" w:right="902"/>
        <w:jc w:val="both"/>
        <w:rPr>
          <w:rFonts w:ascii="Palatino Linotype" w:hAnsi="Palatino Linotype" w:cs="Arial"/>
          <w:i/>
          <w:sz w:val="22"/>
          <w:szCs w:val="22"/>
        </w:rPr>
      </w:pPr>
      <w:r w:rsidRPr="007B0A1A">
        <w:rPr>
          <w:rFonts w:ascii="Palatino Linotype" w:hAnsi="Palatino Linotype" w:cs="Arial"/>
          <w:b/>
          <w:i/>
          <w:sz w:val="22"/>
          <w:szCs w:val="22"/>
        </w:rPr>
        <w:t>Cuarto.</w:t>
      </w:r>
      <w:r w:rsidRPr="007B0A1A">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451A353" w14:textId="77777777" w:rsidR="00323A5A" w:rsidRPr="007B0A1A" w:rsidRDefault="00323A5A" w:rsidP="00323A5A">
      <w:pPr>
        <w:ind w:left="851" w:right="902"/>
        <w:jc w:val="both"/>
        <w:rPr>
          <w:rFonts w:ascii="Palatino Linotype" w:hAnsi="Palatino Linotype" w:cs="Arial"/>
          <w:i/>
          <w:sz w:val="22"/>
          <w:szCs w:val="22"/>
        </w:rPr>
      </w:pPr>
      <w:r w:rsidRPr="007B0A1A">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AF36D10" w14:textId="77777777" w:rsidR="00323A5A" w:rsidRPr="007B0A1A" w:rsidRDefault="00323A5A" w:rsidP="00323A5A">
      <w:pPr>
        <w:ind w:left="851" w:right="902"/>
        <w:jc w:val="both"/>
        <w:rPr>
          <w:rFonts w:ascii="Palatino Linotype" w:hAnsi="Palatino Linotype" w:cs="Arial"/>
          <w:i/>
          <w:sz w:val="22"/>
          <w:szCs w:val="22"/>
        </w:rPr>
      </w:pPr>
      <w:r w:rsidRPr="007B0A1A">
        <w:rPr>
          <w:rFonts w:ascii="Palatino Linotype" w:hAnsi="Palatino Linotype" w:cs="Arial"/>
          <w:b/>
          <w:i/>
          <w:sz w:val="22"/>
          <w:szCs w:val="22"/>
        </w:rPr>
        <w:t>Quinto.</w:t>
      </w:r>
      <w:r w:rsidRPr="007B0A1A">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7ABC459" w14:textId="77777777" w:rsidR="00323A5A" w:rsidRPr="007B0A1A" w:rsidRDefault="00323A5A" w:rsidP="00323A5A">
      <w:pPr>
        <w:ind w:left="851" w:right="902"/>
        <w:jc w:val="both"/>
        <w:rPr>
          <w:rFonts w:ascii="Palatino Linotype" w:hAnsi="Palatino Linotype" w:cs="Arial"/>
          <w:i/>
          <w:sz w:val="22"/>
          <w:szCs w:val="22"/>
        </w:rPr>
      </w:pPr>
      <w:r w:rsidRPr="007B0A1A">
        <w:rPr>
          <w:rFonts w:ascii="Palatino Linotype" w:hAnsi="Palatino Linotype" w:cs="Arial"/>
          <w:b/>
          <w:i/>
          <w:sz w:val="22"/>
          <w:szCs w:val="22"/>
        </w:rPr>
        <w:t>Sexto.</w:t>
      </w:r>
      <w:r w:rsidRPr="007B0A1A">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3985364" w14:textId="77777777" w:rsidR="00323A5A" w:rsidRPr="007B0A1A" w:rsidRDefault="00323A5A" w:rsidP="00323A5A">
      <w:pPr>
        <w:ind w:left="851" w:right="902"/>
        <w:jc w:val="both"/>
        <w:rPr>
          <w:rFonts w:ascii="Palatino Linotype" w:hAnsi="Palatino Linotype" w:cs="Arial"/>
          <w:i/>
          <w:sz w:val="22"/>
          <w:szCs w:val="22"/>
        </w:rPr>
      </w:pPr>
      <w:r w:rsidRPr="007B0A1A">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5C3DAA1" w14:textId="77777777" w:rsidR="00323A5A" w:rsidRPr="007B0A1A" w:rsidRDefault="00323A5A" w:rsidP="00323A5A">
      <w:pPr>
        <w:ind w:left="851" w:right="902"/>
        <w:jc w:val="both"/>
        <w:rPr>
          <w:rFonts w:ascii="Palatino Linotype" w:hAnsi="Palatino Linotype" w:cs="Arial"/>
          <w:i/>
          <w:sz w:val="22"/>
          <w:szCs w:val="22"/>
        </w:rPr>
      </w:pPr>
      <w:r w:rsidRPr="007B0A1A">
        <w:rPr>
          <w:rFonts w:ascii="Palatino Linotype" w:hAnsi="Palatino Linotype" w:cs="Arial"/>
          <w:b/>
          <w:i/>
          <w:sz w:val="22"/>
          <w:szCs w:val="22"/>
        </w:rPr>
        <w:t>Séptimo.</w:t>
      </w:r>
      <w:r w:rsidRPr="007B0A1A">
        <w:rPr>
          <w:rFonts w:ascii="Palatino Linotype" w:hAnsi="Palatino Linotype" w:cs="Arial"/>
          <w:i/>
          <w:sz w:val="22"/>
          <w:szCs w:val="22"/>
        </w:rPr>
        <w:t xml:space="preserve"> La clasificación de la información se llevará a cabo en el momento en que:</w:t>
      </w:r>
    </w:p>
    <w:p w14:paraId="45A707EA" w14:textId="77777777" w:rsidR="00323A5A" w:rsidRPr="007B0A1A" w:rsidRDefault="00323A5A" w:rsidP="00323A5A">
      <w:pPr>
        <w:ind w:left="851" w:right="902"/>
        <w:jc w:val="both"/>
        <w:rPr>
          <w:rFonts w:ascii="Palatino Linotype" w:hAnsi="Palatino Linotype" w:cs="Arial"/>
          <w:i/>
          <w:sz w:val="22"/>
          <w:szCs w:val="22"/>
        </w:rPr>
      </w:pPr>
      <w:r w:rsidRPr="007B0A1A">
        <w:rPr>
          <w:rFonts w:ascii="Palatino Linotype" w:hAnsi="Palatino Linotype" w:cs="Arial"/>
          <w:b/>
          <w:i/>
          <w:sz w:val="22"/>
          <w:szCs w:val="22"/>
        </w:rPr>
        <w:t>I.</w:t>
      </w:r>
      <w:r w:rsidRPr="007B0A1A">
        <w:rPr>
          <w:rFonts w:ascii="Palatino Linotype" w:hAnsi="Palatino Linotype" w:cs="Arial"/>
          <w:i/>
          <w:sz w:val="22"/>
          <w:szCs w:val="22"/>
        </w:rPr>
        <w:t xml:space="preserve">        Se reciba una solicitud de acceso a la información;</w:t>
      </w:r>
    </w:p>
    <w:p w14:paraId="33E7630A" w14:textId="77777777" w:rsidR="00323A5A" w:rsidRPr="007B0A1A" w:rsidRDefault="00323A5A" w:rsidP="00323A5A">
      <w:pPr>
        <w:ind w:left="851" w:right="902"/>
        <w:jc w:val="both"/>
        <w:rPr>
          <w:rFonts w:ascii="Palatino Linotype" w:hAnsi="Palatino Linotype" w:cs="Arial"/>
          <w:i/>
          <w:sz w:val="22"/>
          <w:szCs w:val="22"/>
        </w:rPr>
      </w:pPr>
      <w:r w:rsidRPr="007B0A1A">
        <w:rPr>
          <w:rFonts w:ascii="Palatino Linotype" w:hAnsi="Palatino Linotype" w:cs="Arial"/>
          <w:b/>
          <w:i/>
          <w:sz w:val="22"/>
          <w:szCs w:val="22"/>
        </w:rPr>
        <w:t>II.</w:t>
      </w:r>
      <w:r w:rsidRPr="007B0A1A">
        <w:rPr>
          <w:rFonts w:ascii="Palatino Linotype" w:hAnsi="Palatino Linotype" w:cs="Arial"/>
          <w:i/>
          <w:sz w:val="22"/>
          <w:szCs w:val="22"/>
        </w:rPr>
        <w:t xml:space="preserve">       Se determine mediante resolución de autoridad competente, o</w:t>
      </w:r>
    </w:p>
    <w:p w14:paraId="4ECF57F7" w14:textId="77777777" w:rsidR="00323A5A" w:rsidRPr="007B0A1A" w:rsidRDefault="00323A5A" w:rsidP="00323A5A">
      <w:pPr>
        <w:ind w:left="851" w:right="902"/>
        <w:jc w:val="both"/>
        <w:rPr>
          <w:rFonts w:ascii="Palatino Linotype" w:hAnsi="Palatino Linotype" w:cs="Arial"/>
          <w:i/>
          <w:sz w:val="22"/>
          <w:szCs w:val="22"/>
        </w:rPr>
      </w:pPr>
      <w:r w:rsidRPr="007B0A1A">
        <w:rPr>
          <w:rFonts w:ascii="Palatino Linotype" w:hAnsi="Palatino Linotype" w:cs="Arial"/>
          <w:b/>
          <w:i/>
          <w:sz w:val="22"/>
          <w:szCs w:val="22"/>
        </w:rPr>
        <w:t>III.</w:t>
      </w:r>
      <w:r w:rsidRPr="007B0A1A">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36E76B3" w14:textId="77777777" w:rsidR="00323A5A" w:rsidRPr="007B0A1A" w:rsidRDefault="00323A5A" w:rsidP="00323A5A">
      <w:pPr>
        <w:ind w:left="851" w:right="902"/>
        <w:jc w:val="both"/>
        <w:rPr>
          <w:rFonts w:ascii="Palatino Linotype" w:hAnsi="Palatino Linotype" w:cs="Arial"/>
          <w:i/>
          <w:sz w:val="22"/>
          <w:szCs w:val="22"/>
        </w:rPr>
      </w:pPr>
      <w:r w:rsidRPr="007B0A1A">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FCC6DF2" w14:textId="77777777" w:rsidR="00323A5A" w:rsidRPr="007B0A1A" w:rsidRDefault="00323A5A" w:rsidP="00323A5A">
      <w:pPr>
        <w:ind w:left="851" w:right="902"/>
        <w:jc w:val="both"/>
        <w:rPr>
          <w:rFonts w:ascii="Palatino Linotype" w:hAnsi="Palatino Linotype" w:cs="Arial"/>
          <w:i/>
          <w:sz w:val="22"/>
          <w:szCs w:val="22"/>
        </w:rPr>
      </w:pPr>
      <w:r w:rsidRPr="007B0A1A">
        <w:rPr>
          <w:rFonts w:ascii="Palatino Linotype" w:hAnsi="Palatino Linotype" w:cs="Arial"/>
          <w:b/>
          <w:i/>
          <w:sz w:val="22"/>
          <w:szCs w:val="22"/>
        </w:rPr>
        <w:lastRenderedPageBreak/>
        <w:t>Octavo.</w:t>
      </w:r>
      <w:r w:rsidRPr="007B0A1A">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0A2AA3E" w14:textId="77777777" w:rsidR="00323A5A" w:rsidRPr="007B0A1A" w:rsidRDefault="00323A5A" w:rsidP="00323A5A">
      <w:pPr>
        <w:ind w:left="851" w:right="902"/>
        <w:jc w:val="both"/>
        <w:rPr>
          <w:rFonts w:ascii="Palatino Linotype" w:hAnsi="Palatino Linotype" w:cs="Arial"/>
          <w:i/>
          <w:sz w:val="22"/>
          <w:szCs w:val="22"/>
        </w:rPr>
      </w:pPr>
      <w:r w:rsidRPr="007B0A1A">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B69D163" w14:textId="77777777" w:rsidR="00323A5A" w:rsidRPr="007B0A1A" w:rsidRDefault="00323A5A" w:rsidP="00323A5A">
      <w:pPr>
        <w:ind w:left="851" w:right="902"/>
        <w:jc w:val="both"/>
        <w:rPr>
          <w:rFonts w:ascii="Palatino Linotype" w:hAnsi="Palatino Linotype" w:cs="Arial"/>
          <w:i/>
          <w:sz w:val="22"/>
          <w:szCs w:val="22"/>
        </w:rPr>
      </w:pPr>
      <w:r w:rsidRPr="007B0A1A">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459273AB" w14:textId="77777777" w:rsidR="00323A5A" w:rsidRPr="007B0A1A" w:rsidRDefault="00323A5A" w:rsidP="00323A5A">
      <w:pPr>
        <w:ind w:left="851" w:right="902"/>
        <w:jc w:val="both"/>
        <w:rPr>
          <w:rFonts w:ascii="Palatino Linotype" w:hAnsi="Palatino Linotype" w:cs="Arial"/>
          <w:i/>
          <w:sz w:val="22"/>
          <w:szCs w:val="22"/>
        </w:rPr>
      </w:pPr>
      <w:r w:rsidRPr="007B0A1A">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E6C4383" w14:textId="77777777" w:rsidR="00323A5A" w:rsidRPr="007B0A1A" w:rsidRDefault="00323A5A" w:rsidP="00323A5A">
      <w:pPr>
        <w:ind w:left="851" w:right="902"/>
        <w:jc w:val="both"/>
        <w:rPr>
          <w:rFonts w:ascii="Palatino Linotype" w:hAnsi="Palatino Linotype" w:cs="Arial"/>
          <w:i/>
          <w:sz w:val="22"/>
          <w:szCs w:val="22"/>
        </w:rPr>
      </w:pPr>
      <w:r w:rsidRPr="007B0A1A">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3A66AAA5" w14:textId="77777777" w:rsidR="00323A5A" w:rsidRPr="007B0A1A" w:rsidRDefault="00323A5A" w:rsidP="00323A5A">
      <w:pPr>
        <w:ind w:left="851" w:right="902"/>
        <w:jc w:val="both"/>
        <w:rPr>
          <w:rFonts w:ascii="Palatino Linotype" w:hAnsi="Palatino Linotype" w:cs="Arial"/>
          <w:i/>
          <w:sz w:val="22"/>
          <w:szCs w:val="22"/>
        </w:rPr>
      </w:pPr>
      <w:r w:rsidRPr="007B0A1A">
        <w:rPr>
          <w:rFonts w:ascii="Palatino Linotype" w:hAnsi="Palatino Linotype" w:cs="Arial"/>
          <w:b/>
          <w:i/>
          <w:sz w:val="22"/>
          <w:szCs w:val="22"/>
        </w:rPr>
        <w:t>Noveno.</w:t>
      </w:r>
      <w:r w:rsidRPr="007B0A1A">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FAD3C4F" w14:textId="77777777" w:rsidR="00323A5A" w:rsidRPr="007B0A1A" w:rsidRDefault="00323A5A" w:rsidP="00323A5A">
      <w:pPr>
        <w:ind w:left="851" w:right="902"/>
        <w:jc w:val="both"/>
        <w:rPr>
          <w:rFonts w:ascii="Palatino Linotype" w:hAnsi="Palatino Linotype" w:cs="Arial"/>
          <w:i/>
          <w:sz w:val="22"/>
          <w:szCs w:val="22"/>
        </w:rPr>
      </w:pPr>
      <w:r w:rsidRPr="007B0A1A">
        <w:rPr>
          <w:rFonts w:ascii="Palatino Linotype" w:hAnsi="Palatino Linotype" w:cs="Arial"/>
          <w:b/>
          <w:i/>
          <w:sz w:val="22"/>
          <w:szCs w:val="22"/>
        </w:rPr>
        <w:t>Décimo.</w:t>
      </w:r>
      <w:r w:rsidRPr="007B0A1A">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3EF574E" w14:textId="77777777" w:rsidR="00323A5A" w:rsidRPr="007B0A1A" w:rsidRDefault="00323A5A" w:rsidP="00323A5A">
      <w:pPr>
        <w:ind w:left="851" w:right="902"/>
        <w:jc w:val="both"/>
        <w:rPr>
          <w:rFonts w:ascii="Palatino Linotype" w:hAnsi="Palatino Linotype" w:cs="Arial"/>
          <w:i/>
          <w:sz w:val="22"/>
          <w:szCs w:val="22"/>
        </w:rPr>
      </w:pPr>
      <w:r w:rsidRPr="007B0A1A">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FF4EC15" w14:textId="77777777" w:rsidR="00323A5A" w:rsidRPr="007B0A1A" w:rsidRDefault="00323A5A" w:rsidP="00323A5A">
      <w:pPr>
        <w:ind w:left="851" w:right="899"/>
        <w:jc w:val="both"/>
        <w:rPr>
          <w:rFonts w:ascii="Palatino Linotype" w:hAnsi="Palatino Linotype" w:cs="Arial"/>
          <w:b/>
          <w:i/>
          <w:sz w:val="22"/>
          <w:szCs w:val="22"/>
        </w:rPr>
      </w:pPr>
      <w:r w:rsidRPr="007B0A1A">
        <w:rPr>
          <w:rFonts w:ascii="Palatino Linotype" w:hAnsi="Palatino Linotype" w:cs="Arial"/>
          <w:b/>
          <w:i/>
          <w:sz w:val="22"/>
          <w:szCs w:val="22"/>
        </w:rPr>
        <w:t>Décimo primero.</w:t>
      </w:r>
      <w:r w:rsidRPr="007B0A1A">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B0A1A">
        <w:rPr>
          <w:rFonts w:ascii="Palatino Linotype" w:hAnsi="Palatino Linotype" w:cs="Arial"/>
          <w:b/>
          <w:i/>
          <w:sz w:val="22"/>
          <w:szCs w:val="22"/>
        </w:rPr>
        <w:t>”</w:t>
      </w:r>
    </w:p>
    <w:p w14:paraId="4211A391" w14:textId="77777777" w:rsidR="00323A5A" w:rsidRPr="007B0A1A" w:rsidRDefault="00323A5A" w:rsidP="00323A5A">
      <w:pPr>
        <w:ind w:left="851" w:right="899"/>
        <w:jc w:val="both"/>
        <w:rPr>
          <w:rFonts w:ascii="Palatino Linotype" w:hAnsi="Palatino Linotype" w:cs="Arial"/>
          <w:b/>
          <w:bCs/>
          <w:i/>
          <w:noProof/>
        </w:rPr>
      </w:pPr>
    </w:p>
    <w:p w14:paraId="39BCC585" w14:textId="77777777" w:rsidR="00323A5A" w:rsidRPr="007B0A1A" w:rsidRDefault="00323A5A" w:rsidP="00323A5A">
      <w:pPr>
        <w:spacing w:line="360" w:lineRule="auto"/>
        <w:jc w:val="both"/>
        <w:rPr>
          <w:rFonts w:ascii="Palatino Linotype" w:hAnsi="Palatino Linotype" w:cs="Arial"/>
        </w:rPr>
      </w:pPr>
      <w:r w:rsidRPr="007B0A1A">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9F262F9" w14:textId="77777777" w:rsidR="00323A5A" w:rsidRPr="007B0A1A" w:rsidRDefault="00323A5A" w:rsidP="00323A5A">
      <w:pPr>
        <w:spacing w:line="360" w:lineRule="auto"/>
        <w:ind w:right="-93"/>
        <w:jc w:val="both"/>
        <w:rPr>
          <w:rFonts w:ascii="Palatino Linotype" w:hAnsi="Palatino Linotype" w:cs="Arial"/>
          <w:lang w:eastAsia="es-MX"/>
        </w:rPr>
      </w:pPr>
    </w:p>
    <w:p w14:paraId="02CBB444" w14:textId="77777777" w:rsidR="00323A5A" w:rsidRPr="007B0A1A" w:rsidRDefault="00323A5A" w:rsidP="00323A5A">
      <w:pPr>
        <w:spacing w:line="360" w:lineRule="auto"/>
        <w:jc w:val="both"/>
        <w:rPr>
          <w:rFonts w:ascii="Palatino Linotype" w:eastAsia="Calibri" w:hAnsi="Palatino Linotype"/>
          <w:lang w:eastAsia="en-US"/>
        </w:rPr>
      </w:pPr>
      <w:r w:rsidRPr="007B0A1A">
        <w:rPr>
          <w:rFonts w:ascii="Palatino Linotype" w:hAnsi="Palatino Linotype" w:cs="Arial"/>
        </w:rPr>
        <w:t xml:space="preserve">Consecuentemente, se destaca que la versión pública que elabore </w:t>
      </w:r>
      <w:r w:rsidRPr="007B0A1A">
        <w:rPr>
          <w:rFonts w:ascii="Palatino Linotype" w:hAnsi="Palatino Linotype" w:cs="Arial"/>
          <w:b/>
        </w:rPr>
        <w:t>EL SUJETO OBLIGADO</w:t>
      </w:r>
      <w:r w:rsidRPr="007B0A1A">
        <w:rPr>
          <w:rFonts w:ascii="Palatino Linotype" w:hAnsi="Palatino Linotype" w:cs="Arial"/>
        </w:rPr>
        <w:t xml:space="preserve"> debe cumplir con las formalidades exigidas en la Ley, por lo que para tal efecto emitirá el </w:t>
      </w:r>
      <w:r w:rsidRPr="007B0A1A">
        <w:rPr>
          <w:rFonts w:ascii="Palatino Linotype" w:hAnsi="Palatino Linotype" w:cs="Arial"/>
          <w:b/>
        </w:rPr>
        <w:t>Acuerdo del Comité de Transparencia</w:t>
      </w:r>
      <w:r w:rsidRPr="007B0A1A">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7B0A1A">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BCF44F5" w14:textId="77777777" w:rsidR="00323A5A" w:rsidRPr="007B0A1A" w:rsidRDefault="00323A5A" w:rsidP="00323A5A">
      <w:pPr>
        <w:spacing w:line="360" w:lineRule="auto"/>
        <w:jc w:val="both"/>
        <w:rPr>
          <w:rFonts w:ascii="Palatino Linotype" w:hAnsi="Palatino Linotype" w:cs="Arial"/>
          <w:lang w:eastAsia="es-MX"/>
        </w:rPr>
      </w:pPr>
    </w:p>
    <w:p w14:paraId="399543F2" w14:textId="77777777" w:rsidR="00323A5A" w:rsidRPr="007B0A1A" w:rsidRDefault="00323A5A" w:rsidP="00323A5A">
      <w:pPr>
        <w:spacing w:line="360" w:lineRule="auto"/>
        <w:jc w:val="both"/>
        <w:rPr>
          <w:rFonts w:ascii="Palatino Linotype" w:hAnsi="Palatino Linotype"/>
        </w:rPr>
      </w:pPr>
      <w:r w:rsidRPr="007B0A1A">
        <w:rPr>
          <w:rFonts w:ascii="Palatino Linotype" w:hAnsi="Palatino Linotype"/>
        </w:rPr>
        <w:t xml:space="preserve">Finalmente, no se omite comentar que al haber existido un pronunciamiento por parte del </w:t>
      </w:r>
      <w:r w:rsidRPr="007B0A1A">
        <w:rPr>
          <w:rFonts w:ascii="Palatino Linotype" w:hAnsi="Palatino Linotype"/>
          <w:b/>
        </w:rPr>
        <w:t>SUJETO OBLIGADO</w:t>
      </w:r>
      <w:r w:rsidRPr="007B0A1A">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2E5C7CB2" w14:textId="77777777" w:rsidR="00323A5A" w:rsidRPr="007B0A1A" w:rsidRDefault="00323A5A" w:rsidP="00323A5A">
      <w:pPr>
        <w:spacing w:line="360" w:lineRule="auto"/>
        <w:jc w:val="both"/>
        <w:rPr>
          <w:rFonts w:ascii="Palatino Linotype" w:hAnsi="Palatino Linotype" w:cs="Arial"/>
        </w:rPr>
      </w:pPr>
    </w:p>
    <w:p w14:paraId="2D289414" w14:textId="77777777" w:rsidR="00323A5A" w:rsidRPr="007B0A1A" w:rsidRDefault="00323A5A" w:rsidP="00323A5A">
      <w:pPr>
        <w:spacing w:line="360" w:lineRule="auto"/>
        <w:jc w:val="both"/>
        <w:rPr>
          <w:rFonts w:ascii="Palatino Linotype" w:hAnsi="Palatino Linotype" w:cs="Arial"/>
        </w:rPr>
      </w:pPr>
      <w:r w:rsidRPr="007B0A1A">
        <w:rPr>
          <w:rFonts w:ascii="Palatino Linotype" w:hAnsi="Palatino Linotype" w:cs="Aria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08C58DD3" w14:textId="77777777" w:rsidR="00323A5A" w:rsidRPr="007B0A1A" w:rsidRDefault="00323A5A" w:rsidP="00323A5A">
      <w:pPr>
        <w:jc w:val="both"/>
        <w:rPr>
          <w:rFonts w:ascii="Palatino Linotype" w:hAnsi="Palatino Linotype" w:cs="Arial"/>
        </w:rPr>
      </w:pPr>
    </w:p>
    <w:p w14:paraId="1DDE80DE" w14:textId="77777777" w:rsidR="00323A5A" w:rsidRPr="007B0A1A" w:rsidRDefault="00323A5A" w:rsidP="00323A5A">
      <w:pPr>
        <w:tabs>
          <w:tab w:val="left" w:pos="8222"/>
        </w:tabs>
        <w:ind w:left="851" w:right="899"/>
        <w:jc w:val="both"/>
        <w:rPr>
          <w:rFonts w:ascii="Palatino Linotype" w:hAnsi="Palatino Linotype" w:cs="Arial"/>
          <w:i/>
          <w:sz w:val="22"/>
        </w:rPr>
      </w:pPr>
      <w:r w:rsidRPr="007B0A1A">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7B0A1A">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7C027460" w14:textId="77777777" w:rsidR="00323A5A" w:rsidRPr="007B0A1A" w:rsidRDefault="00323A5A" w:rsidP="00323A5A">
      <w:pPr>
        <w:ind w:left="709" w:right="757"/>
        <w:jc w:val="both"/>
        <w:rPr>
          <w:rFonts w:ascii="Palatino Linotype" w:hAnsi="Palatino Linotype" w:cs="Arial"/>
          <w:b/>
          <w:i/>
          <w:sz w:val="22"/>
        </w:rPr>
      </w:pPr>
      <w:r w:rsidRPr="007B0A1A">
        <w:rPr>
          <w:rFonts w:ascii="Palatino Linotype" w:hAnsi="Palatino Linotype" w:cs="Arial"/>
          <w:i/>
          <w:sz w:val="22"/>
        </w:rPr>
        <w:t>Criterio 31/10</w:t>
      </w:r>
      <w:r w:rsidRPr="007B0A1A">
        <w:rPr>
          <w:rFonts w:ascii="Palatino Linotype" w:hAnsi="Palatino Linotype" w:cs="Arial"/>
          <w:b/>
          <w:i/>
          <w:sz w:val="22"/>
        </w:rPr>
        <w:t>”</w:t>
      </w:r>
      <w:r w:rsidRPr="007B0A1A">
        <w:rPr>
          <w:rFonts w:ascii="Palatino Linotype" w:hAnsi="Palatino Linotype" w:cs="Arial"/>
          <w:i/>
          <w:sz w:val="22"/>
        </w:rPr>
        <w:t xml:space="preserve"> (sic)</w:t>
      </w:r>
    </w:p>
    <w:p w14:paraId="05377BC4" w14:textId="77777777" w:rsidR="00323A5A" w:rsidRPr="007B0A1A" w:rsidRDefault="00323A5A" w:rsidP="00323A5A">
      <w:pPr>
        <w:autoSpaceDE w:val="0"/>
        <w:autoSpaceDN w:val="0"/>
        <w:adjustRightInd w:val="0"/>
        <w:ind w:right="18"/>
        <w:jc w:val="both"/>
        <w:rPr>
          <w:rFonts w:ascii="Palatino Linotype" w:hAnsi="Palatino Linotype" w:cs="Arial"/>
        </w:rPr>
      </w:pPr>
    </w:p>
    <w:p w14:paraId="4AB15E8C" w14:textId="5FD19632" w:rsidR="00C00109" w:rsidRPr="007B0A1A" w:rsidRDefault="00C00109" w:rsidP="00C00109">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7B0A1A">
        <w:rPr>
          <w:rFonts w:ascii="Palatino Linotype" w:hAnsi="Palatino Linotype" w:cs="Arial"/>
          <w:color w:val="000000" w:themeColor="text1"/>
        </w:rPr>
        <w:t xml:space="preserve">En razón de lo anteriormente expuesto, este Instituto estima que las razones o motivos de inconformidad hechos valer por </w:t>
      </w:r>
      <w:r w:rsidRPr="007B0A1A">
        <w:rPr>
          <w:rFonts w:ascii="Palatino Linotype" w:hAnsi="Palatino Linotype" w:cs="Arial"/>
          <w:b/>
          <w:color w:val="000000" w:themeColor="text1"/>
        </w:rPr>
        <w:t>EL RECURRENTE</w:t>
      </w:r>
      <w:r w:rsidRPr="007B0A1A">
        <w:rPr>
          <w:rFonts w:ascii="Palatino Linotype" w:hAnsi="Palatino Linotype" w:cs="Arial"/>
          <w:color w:val="000000" w:themeColor="text1"/>
        </w:rPr>
        <w:t xml:space="preserve"> devienen </w:t>
      </w:r>
      <w:r w:rsidRPr="007B0A1A">
        <w:rPr>
          <w:rFonts w:ascii="Palatino Linotype" w:hAnsi="Palatino Linotype" w:cs="Arial"/>
          <w:b/>
          <w:color w:val="000000" w:themeColor="text1"/>
        </w:rPr>
        <w:t>fundadas</w:t>
      </w:r>
      <w:r w:rsidRPr="007B0A1A">
        <w:rPr>
          <w:rFonts w:ascii="Palatino Linotype" w:hAnsi="Palatino Linotype" w:cs="Arial"/>
          <w:color w:val="000000" w:themeColor="text1"/>
        </w:rPr>
        <w:t xml:space="preserve"> y suficientes para </w:t>
      </w:r>
      <w:r w:rsidRPr="007B0A1A">
        <w:rPr>
          <w:rFonts w:ascii="Palatino Linotype" w:hAnsi="Palatino Linotype" w:cs="Arial"/>
          <w:b/>
          <w:color w:val="000000" w:themeColor="text1"/>
        </w:rPr>
        <w:t>MODIFICAR</w:t>
      </w:r>
      <w:r w:rsidRPr="007B0A1A">
        <w:rPr>
          <w:rFonts w:ascii="Palatino Linotype" w:hAnsi="Palatino Linotype" w:cs="Arial"/>
          <w:color w:val="000000" w:themeColor="text1"/>
        </w:rPr>
        <w:t xml:space="preserve"> la respuesta del </w:t>
      </w:r>
      <w:r w:rsidRPr="007B0A1A">
        <w:rPr>
          <w:rFonts w:ascii="Palatino Linotype" w:hAnsi="Palatino Linotype" w:cs="Arial"/>
          <w:b/>
          <w:color w:val="000000" w:themeColor="text1"/>
        </w:rPr>
        <w:t>SUJETO OBLIGADO</w:t>
      </w:r>
      <w:r w:rsidRPr="007B0A1A">
        <w:rPr>
          <w:rFonts w:ascii="Palatino Linotype" w:hAnsi="Palatino Linotype" w:cs="Arial"/>
          <w:color w:val="000000" w:themeColor="text1"/>
        </w:rPr>
        <w:t xml:space="preserve"> y ordenarle haga entrega de la información descrita en el presente Considerando.</w:t>
      </w:r>
    </w:p>
    <w:p w14:paraId="118507AA" w14:textId="77777777" w:rsidR="00C00109" w:rsidRPr="007B0A1A" w:rsidRDefault="00C00109" w:rsidP="00C00109">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3783C054" w14:textId="77777777" w:rsidR="00C00109" w:rsidRPr="007B0A1A" w:rsidRDefault="00C00109" w:rsidP="00C00109">
      <w:pPr>
        <w:widowControl w:val="0"/>
        <w:autoSpaceDE w:val="0"/>
        <w:autoSpaceDN w:val="0"/>
        <w:adjustRightInd w:val="0"/>
        <w:spacing w:line="360" w:lineRule="auto"/>
        <w:jc w:val="both"/>
        <w:rPr>
          <w:rFonts w:ascii="Palatino Linotype" w:eastAsia="Calibri" w:hAnsi="Palatino Linotype" w:cs="Arial"/>
          <w:color w:val="000000" w:themeColor="text1"/>
        </w:rPr>
      </w:pPr>
      <w:r w:rsidRPr="007B0A1A">
        <w:rPr>
          <w:rFonts w:ascii="Palatino Linotype" w:eastAsia="Calibri" w:hAnsi="Palatino Linotype" w:cs="Arial"/>
          <w:color w:val="000000" w:themeColor="text1"/>
        </w:rPr>
        <w:t xml:space="preserve">Así, con </w:t>
      </w:r>
      <w:r w:rsidRPr="007B0A1A">
        <w:rPr>
          <w:rFonts w:ascii="Palatino Linotype" w:hAnsi="Palatino Linotype" w:cs="Arial"/>
          <w:color w:val="000000" w:themeColor="text1"/>
        </w:rPr>
        <w:t>fundamento</w:t>
      </w:r>
      <w:r w:rsidRPr="007B0A1A">
        <w:rPr>
          <w:rFonts w:ascii="Palatino Linotype" w:eastAsia="Calibri" w:hAnsi="Palatino Linotype" w:cs="Arial"/>
          <w:color w:val="000000" w:themeColor="text1"/>
        </w:rPr>
        <w:t xml:space="preserve"> en lo prescrito en los artículos 5, párrafos</w:t>
      </w:r>
      <w:r w:rsidRPr="007B0A1A">
        <w:rPr>
          <w:rFonts w:ascii="Palatino Linotype" w:hAnsi="Palatino Linotype"/>
          <w:color w:val="000000" w:themeColor="text1"/>
        </w:rPr>
        <w:t xml:space="preserve"> trigésimo, trigésimo primero y trigésimo segundo</w:t>
      </w:r>
      <w:r w:rsidRPr="007B0A1A">
        <w:rPr>
          <w:rFonts w:ascii="Palatino Linotype" w:hAnsi="Palatino Linotype" w:cs="Arial"/>
          <w:color w:val="000000" w:themeColor="text1"/>
        </w:rPr>
        <w:t>,</w:t>
      </w:r>
      <w:r w:rsidRPr="007B0A1A">
        <w:rPr>
          <w:rFonts w:ascii="Palatino Linotype" w:hAnsi="Palatino Linotype"/>
          <w:color w:val="000000" w:themeColor="text1"/>
        </w:rPr>
        <w:t xml:space="preserve"> fracciones IV y V,</w:t>
      </w:r>
      <w:r w:rsidRPr="007B0A1A">
        <w:rPr>
          <w:rFonts w:ascii="Palatino Linotype" w:eastAsia="Calibri" w:hAnsi="Palatino Linotype" w:cs="Arial"/>
          <w:color w:val="000000" w:themeColor="text1"/>
        </w:rPr>
        <w:t xml:space="preserve"> de la Constitución Política del Estado </w:t>
      </w:r>
      <w:r w:rsidRPr="007B0A1A">
        <w:rPr>
          <w:rFonts w:ascii="Palatino Linotype" w:eastAsia="Calibri" w:hAnsi="Palatino Linotype" w:cs="Arial"/>
          <w:color w:val="000000" w:themeColor="text1"/>
        </w:rPr>
        <w:lastRenderedPageBreak/>
        <w:t xml:space="preserve">Libre y Soberano de </w:t>
      </w:r>
      <w:r w:rsidRPr="007B0A1A">
        <w:rPr>
          <w:rFonts w:ascii="Palatino Linotype" w:hAnsi="Palatino Linotype" w:cs="Arial"/>
          <w:color w:val="000000" w:themeColor="text1"/>
          <w:lang w:val="es-ES_tradnl"/>
        </w:rPr>
        <w:t>México</w:t>
      </w:r>
      <w:r w:rsidRPr="007B0A1A">
        <w:rPr>
          <w:rFonts w:ascii="Palatino Linotype" w:eastAsia="Calibri" w:hAnsi="Palatino Linotype" w:cs="Arial"/>
          <w:color w:val="000000" w:themeColor="text1"/>
        </w:rPr>
        <w:t xml:space="preserve">, y los artículos </w:t>
      </w:r>
      <w:r w:rsidRPr="007B0A1A">
        <w:rPr>
          <w:rFonts w:ascii="Palatino Linotype" w:hAnsi="Palatino Linotype"/>
          <w:color w:val="000000" w:themeColor="text1"/>
        </w:rPr>
        <w:t xml:space="preserve">2, </w:t>
      </w:r>
      <w:r w:rsidRPr="007B0A1A">
        <w:rPr>
          <w:rFonts w:ascii="Palatino Linotype" w:hAnsi="Palatino Linotype" w:cs="Arial"/>
          <w:color w:val="000000" w:themeColor="text1"/>
        </w:rPr>
        <w:t>fracción</w:t>
      </w:r>
      <w:r w:rsidRPr="007B0A1A">
        <w:rPr>
          <w:rFonts w:ascii="Palatino Linotype" w:hAnsi="Palatino Linotype"/>
          <w:color w:val="000000" w:themeColor="text1"/>
        </w:rPr>
        <w:t xml:space="preserve"> II, 9, </w:t>
      </w:r>
      <w:r w:rsidRPr="007B0A1A">
        <w:rPr>
          <w:rFonts w:ascii="Palatino Linotype" w:hAnsi="Palatino Linotype" w:cs="Arial"/>
          <w:color w:val="000000" w:themeColor="text1"/>
          <w:lang w:val="es-ES_tradnl"/>
        </w:rPr>
        <w:t>29</w:t>
      </w:r>
      <w:r w:rsidRPr="007B0A1A">
        <w:rPr>
          <w:rFonts w:ascii="Palatino Linotype" w:hAnsi="Palatino Linotype"/>
          <w:color w:val="000000" w:themeColor="text1"/>
        </w:rPr>
        <w:t>, 36, fracciones I y II, 176, 178, 179, 181, 185, fracción I, 186 y 188,</w:t>
      </w:r>
      <w:r w:rsidRPr="007B0A1A">
        <w:rPr>
          <w:rFonts w:ascii="Palatino Linotype" w:eastAsia="Calibri" w:hAnsi="Palatino Linotype" w:cs="Arial"/>
          <w:color w:val="000000" w:themeColor="text1"/>
        </w:rPr>
        <w:t xml:space="preserve"> de la Ley de Transparencia y Acceso a la Información Pública del Estado de México y </w:t>
      </w:r>
      <w:r w:rsidRPr="007B0A1A">
        <w:rPr>
          <w:rFonts w:ascii="Palatino Linotype" w:hAnsi="Palatino Linotype" w:cs="Arial"/>
          <w:color w:val="000000" w:themeColor="text1"/>
        </w:rPr>
        <w:t>Municipios</w:t>
      </w:r>
      <w:r w:rsidRPr="007B0A1A">
        <w:rPr>
          <w:rFonts w:ascii="Palatino Linotype" w:eastAsia="Calibri" w:hAnsi="Palatino Linotype" w:cs="Arial"/>
          <w:color w:val="000000" w:themeColor="text1"/>
        </w:rPr>
        <w:t xml:space="preserve">, </w:t>
      </w:r>
      <w:r w:rsidRPr="007B0A1A">
        <w:rPr>
          <w:rFonts w:ascii="Palatino Linotype" w:hAnsi="Palatino Linotype"/>
          <w:color w:val="000000" w:themeColor="text1"/>
        </w:rPr>
        <w:t>este</w:t>
      </w:r>
      <w:r w:rsidRPr="007B0A1A">
        <w:rPr>
          <w:rFonts w:ascii="Palatino Linotype" w:eastAsia="Calibri" w:hAnsi="Palatino Linotype" w:cs="Arial"/>
          <w:color w:val="000000" w:themeColor="text1"/>
        </w:rPr>
        <w:t xml:space="preserve"> Pleno:</w:t>
      </w:r>
    </w:p>
    <w:p w14:paraId="54761980" w14:textId="77777777" w:rsidR="00C00109" w:rsidRPr="007B0A1A" w:rsidRDefault="00C00109" w:rsidP="00C00109">
      <w:pPr>
        <w:jc w:val="center"/>
        <w:rPr>
          <w:rFonts w:ascii="Palatino Linotype" w:hAnsi="Palatino Linotype"/>
          <w:b/>
          <w:bCs/>
          <w:color w:val="000000" w:themeColor="text1"/>
          <w:spacing w:val="40"/>
          <w:sz w:val="28"/>
        </w:rPr>
      </w:pPr>
    </w:p>
    <w:p w14:paraId="007DB451" w14:textId="77777777" w:rsidR="001C38F6" w:rsidRPr="007B0A1A" w:rsidRDefault="001C38F6" w:rsidP="001C38F6">
      <w:pPr>
        <w:jc w:val="center"/>
        <w:rPr>
          <w:rFonts w:ascii="Palatino Linotype" w:hAnsi="Palatino Linotype"/>
          <w:b/>
          <w:sz w:val="28"/>
        </w:rPr>
      </w:pPr>
      <w:r w:rsidRPr="007B0A1A">
        <w:rPr>
          <w:rFonts w:ascii="Palatino Linotype" w:hAnsi="Palatino Linotype"/>
          <w:b/>
          <w:sz w:val="28"/>
        </w:rPr>
        <w:t>R E S U E L V E</w:t>
      </w:r>
    </w:p>
    <w:p w14:paraId="6F1AF0DC" w14:textId="77777777" w:rsidR="00F05ADC" w:rsidRPr="007B0A1A" w:rsidRDefault="00F05ADC" w:rsidP="001C38F6">
      <w:pPr>
        <w:jc w:val="center"/>
        <w:rPr>
          <w:rFonts w:ascii="Palatino Linotype" w:hAnsi="Palatino Linotype"/>
          <w:b/>
          <w:sz w:val="28"/>
        </w:rPr>
      </w:pPr>
    </w:p>
    <w:p w14:paraId="2FFF9500" w14:textId="77777777" w:rsidR="00EC0E84" w:rsidRPr="007B0A1A" w:rsidRDefault="00EC0E84" w:rsidP="00EC0E84">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7B0A1A">
        <w:rPr>
          <w:rFonts w:ascii="Palatino Linotype" w:hAnsi="Palatino Linotype" w:cs="Arial"/>
          <w:b/>
          <w:sz w:val="28"/>
          <w:szCs w:val="28"/>
        </w:rPr>
        <w:t xml:space="preserve">PRIMERO. </w:t>
      </w:r>
      <w:r w:rsidRPr="007B0A1A">
        <w:rPr>
          <w:rFonts w:ascii="Palatino Linotype" w:hAnsi="Palatino Linotype" w:cs="Arial"/>
        </w:rPr>
        <w:t xml:space="preserve">Resultan </w:t>
      </w:r>
      <w:r w:rsidRPr="007B0A1A">
        <w:rPr>
          <w:rFonts w:ascii="Palatino Linotype" w:hAnsi="Palatino Linotype" w:cs="Arial"/>
          <w:b/>
        </w:rPr>
        <w:t>fundadas</w:t>
      </w:r>
      <w:r w:rsidRPr="007B0A1A">
        <w:rPr>
          <w:rFonts w:ascii="Palatino Linotype" w:hAnsi="Palatino Linotype" w:cs="Arial"/>
        </w:rPr>
        <w:t xml:space="preserve"> las razones o motivos de inconformidad planteadas por </w:t>
      </w:r>
      <w:r w:rsidRPr="007B0A1A">
        <w:rPr>
          <w:rFonts w:ascii="Palatino Linotype" w:hAnsi="Palatino Linotype" w:cs="Arial"/>
          <w:b/>
        </w:rPr>
        <w:t>EL RECURRENTE</w:t>
      </w:r>
      <w:r w:rsidRPr="007B0A1A">
        <w:rPr>
          <w:rFonts w:ascii="Palatino Linotype" w:hAnsi="Palatino Linotype" w:cs="Arial"/>
        </w:rPr>
        <w:t xml:space="preserve">, en el recurso de revisión en términos del Considerando </w:t>
      </w:r>
      <w:r w:rsidRPr="007B0A1A">
        <w:rPr>
          <w:rFonts w:ascii="Palatino Linotype" w:hAnsi="Palatino Linotype" w:cs="Arial"/>
          <w:b/>
        </w:rPr>
        <w:t>QUINTO</w:t>
      </w:r>
      <w:r w:rsidRPr="007B0A1A">
        <w:rPr>
          <w:rFonts w:ascii="Palatino Linotype" w:hAnsi="Palatino Linotype" w:cs="Arial"/>
        </w:rPr>
        <w:t xml:space="preserve"> de la presente resolución.</w:t>
      </w:r>
    </w:p>
    <w:p w14:paraId="7B03E4E2" w14:textId="23A671CE" w:rsidR="00EC0E84" w:rsidRPr="007B0A1A" w:rsidRDefault="00EC0E84" w:rsidP="00EC0E84">
      <w:pPr>
        <w:widowControl w:val="0"/>
        <w:autoSpaceDE w:val="0"/>
        <w:autoSpaceDN w:val="0"/>
        <w:adjustRightInd w:val="0"/>
        <w:spacing w:before="100" w:beforeAutospacing="1" w:after="100" w:afterAutospacing="1" w:line="360" w:lineRule="auto"/>
        <w:jc w:val="both"/>
        <w:rPr>
          <w:rFonts w:ascii="Palatino Linotype" w:hAnsi="Palatino Linotype" w:cs="Arial"/>
          <w:b/>
          <w:bCs/>
        </w:rPr>
      </w:pPr>
      <w:r w:rsidRPr="007B0A1A">
        <w:rPr>
          <w:rFonts w:ascii="Palatino Linotype" w:hAnsi="Palatino Linotype" w:cs="Arial"/>
          <w:b/>
          <w:sz w:val="28"/>
          <w:szCs w:val="28"/>
        </w:rPr>
        <w:t>SEGUNDO</w:t>
      </w:r>
      <w:r w:rsidRPr="007B0A1A">
        <w:rPr>
          <w:rFonts w:ascii="Palatino Linotype" w:hAnsi="Palatino Linotype" w:cs="Arial"/>
          <w:sz w:val="28"/>
          <w:szCs w:val="28"/>
        </w:rPr>
        <w:t>.</w:t>
      </w:r>
      <w:r w:rsidRPr="007B0A1A">
        <w:rPr>
          <w:rFonts w:ascii="Palatino Linotype" w:hAnsi="Palatino Linotype" w:cs="Arial"/>
        </w:rPr>
        <w:t xml:space="preserve"> Se </w:t>
      </w:r>
      <w:r w:rsidRPr="007B0A1A">
        <w:rPr>
          <w:rFonts w:ascii="Palatino Linotype" w:hAnsi="Palatino Linotype" w:cs="Arial"/>
          <w:b/>
        </w:rPr>
        <w:t xml:space="preserve">MODIFICA </w:t>
      </w:r>
      <w:r w:rsidRPr="007B0A1A">
        <w:rPr>
          <w:rFonts w:ascii="Palatino Linotype" w:hAnsi="Palatino Linotype" w:cs="Arial"/>
        </w:rPr>
        <w:t xml:space="preserve">la respuesta otorgada por </w:t>
      </w:r>
      <w:r w:rsidRPr="007B0A1A">
        <w:rPr>
          <w:rFonts w:ascii="Palatino Linotype" w:hAnsi="Palatino Linotype" w:cs="Arial"/>
          <w:b/>
        </w:rPr>
        <w:t xml:space="preserve">EL SUJETO OBLIGADO </w:t>
      </w:r>
      <w:r w:rsidRPr="007B0A1A">
        <w:rPr>
          <w:rFonts w:ascii="Palatino Linotype" w:hAnsi="Palatino Linotype" w:cs="Arial"/>
          <w:bCs/>
        </w:rPr>
        <w:t xml:space="preserve">a la solicitud de información que dio origen al recurso de revisión </w:t>
      </w:r>
      <w:r w:rsidR="00DC5C47" w:rsidRPr="007B0A1A">
        <w:rPr>
          <w:rFonts w:ascii="Palatino Linotype" w:hAnsi="Palatino Linotype" w:cs="Arial"/>
          <w:b/>
          <w:bCs/>
        </w:rPr>
        <w:t>04077</w:t>
      </w:r>
      <w:r w:rsidRPr="007B0A1A">
        <w:rPr>
          <w:rFonts w:ascii="Palatino Linotype" w:hAnsi="Palatino Linotype" w:cs="Arial"/>
          <w:b/>
          <w:bCs/>
        </w:rPr>
        <w:t xml:space="preserve">/INFOEM/IP/RR/2021 </w:t>
      </w:r>
      <w:r w:rsidRPr="007B0A1A">
        <w:rPr>
          <w:rFonts w:ascii="Palatino Linotype" w:hAnsi="Palatino Linotype" w:cs="Arial"/>
          <w:bCs/>
        </w:rPr>
        <w:t xml:space="preserve">y se </w:t>
      </w:r>
      <w:r w:rsidRPr="007B0A1A">
        <w:rPr>
          <w:rFonts w:ascii="Palatino Linotype" w:hAnsi="Palatino Linotype" w:cs="Arial"/>
          <w:b/>
          <w:bCs/>
        </w:rPr>
        <w:t xml:space="preserve">ordena </w:t>
      </w:r>
      <w:r w:rsidRPr="007B0A1A">
        <w:rPr>
          <w:rFonts w:ascii="Palatino Linotype" w:hAnsi="Palatino Linotype" w:cs="Arial"/>
          <w:bCs/>
        </w:rPr>
        <w:t>haga entrega</w:t>
      </w:r>
      <w:r w:rsidR="00361C25" w:rsidRPr="007B0A1A">
        <w:rPr>
          <w:rFonts w:ascii="Palatino Linotype" w:hAnsi="Palatino Linotype" w:cs="Arial"/>
          <w:bCs/>
        </w:rPr>
        <w:t xml:space="preserve"> en </w:t>
      </w:r>
      <w:r w:rsidR="00361C25" w:rsidRPr="007B0A1A">
        <w:rPr>
          <w:rFonts w:ascii="Palatino Linotype" w:hAnsi="Palatino Linotype" w:cs="Arial"/>
          <w:b/>
          <w:bCs/>
        </w:rPr>
        <w:t>versión pública</w:t>
      </w:r>
      <w:r w:rsidRPr="007B0A1A">
        <w:rPr>
          <w:rFonts w:ascii="Palatino Linotype" w:hAnsi="Palatino Linotype" w:cs="Arial"/>
          <w:bCs/>
        </w:rPr>
        <w:t xml:space="preserve"> al </w:t>
      </w:r>
      <w:r w:rsidRPr="007B0A1A">
        <w:rPr>
          <w:rFonts w:ascii="Palatino Linotype" w:hAnsi="Palatino Linotype" w:cs="Arial"/>
          <w:b/>
          <w:bCs/>
        </w:rPr>
        <w:t>RECURRENTE</w:t>
      </w:r>
      <w:r w:rsidRPr="007B0A1A">
        <w:rPr>
          <w:rFonts w:ascii="Palatino Linotype" w:hAnsi="Palatino Linotype" w:cs="Arial"/>
          <w:bCs/>
        </w:rPr>
        <w:t>, en términos del Considerando</w:t>
      </w:r>
      <w:r w:rsidRPr="007B0A1A">
        <w:rPr>
          <w:rFonts w:ascii="Palatino Linotype" w:hAnsi="Palatino Linotype" w:cs="Arial"/>
          <w:b/>
          <w:bCs/>
        </w:rPr>
        <w:t xml:space="preserve"> QUINTO </w:t>
      </w:r>
      <w:r w:rsidRPr="007B0A1A">
        <w:rPr>
          <w:rFonts w:ascii="Palatino Linotype" w:hAnsi="Palatino Linotype" w:cs="Arial"/>
          <w:bCs/>
        </w:rPr>
        <w:t>de esta resolución, vía</w:t>
      </w:r>
      <w:r w:rsidRPr="007B0A1A">
        <w:rPr>
          <w:rFonts w:ascii="Palatino Linotype" w:hAnsi="Palatino Linotype" w:cs="Arial"/>
          <w:b/>
          <w:bCs/>
        </w:rPr>
        <w:t xml:space="preserve"> SAIMEX, </w:t>
      </w:r>
      <w:r w:rsidRPr="007B0A1A">
        <w:rPr>
          <w:rFonts w:ascii="Palatino Linotype" w:hAnsi="Palatino Linotype" w:cs="Arial"/>
          <w:bCs/>
        </w:rPr>
        <w:t>de lo siguiente</w:t>
      </w:r>
      <w:r w:rsidRPr="007B0A1A">
        <w:rPr>
          <w:rFonts w:ascii="Palatino Linotype" w:hAnsi="Palatino Linotype" w:cs="Arial"/>
          <w:b/>
          <w:bCs/>
        </w:rPr>
        <w:t>:</w:t>
      </w:r>
    </w:p>
    <w:p w14:paraId="3BCCF6B8" w14:textId="77777777" w:rsidR="00361C25" w:rsidRPr="007B0A1A" w:rsidRDefault="00EC0E84" w:rsidP="00361C25">
      <w:pPr>
        <w:ind w:left="851" w:right="899"/>
        <w:jc w:val="both"/>
        <w:rPr>
          <w:rFonts w:ascii="Palatino Linotype" w:hAnsi="Palatino Linotype"/>
          <w:bCs/>
          <w:i/>
          <w:sz w:val="22"/>
          <w:szCs w:val="22"/>
        </w:rPr>
      </w:pPr>
      <w:r w:rsidRPr="007B0A1A">
        <w:rPr>
          <w:rFonts w:ascii="Palatino Linotype" w:hAnsi="Palatino Linotype"/>
          <w:bCs/>
          <w:i/>
          <w:sz w:val="22"/>
          <w:szCs w:val="22"/>
        </w:rPr>
        <w:t xml:space="preserve">“El </w:t>
      </w:r>
      <w:r w:rsidR="00361C25" w:rsidRPr="007B0A1A">
        <w:rPr>
          <w:rFonts w:ascii="Palatino Linotype" w:hAnsi="Palatino Linotype"/>
          <w:bCs/>
          <w:i/>
          <w:sz w:val="22"/>
          <w:szCs w:val="22"/>
        </w:rPr>
        <w:t>soporte documental en el que conste el nombre y/o razón social de los titulares de las concesiones, así como el domicilio fiscal de ser procedente, esto a la fecha de solicitud del peticionario, siendo el seis de julio de dos mil veintiuno.</w:t>
      </w:r>
    </w:p>
    <w:p w14:paraId="3FFA6D6D" w14:textId="77777777" w:rsidR="00361C25" w:rsidRPr="007B0A1A" w:rsidRDefault="00361C25" w:rsidP="00361C25">
      <w:pPr>
        <w:ind w:left="851" w:right="899"/>
        <w:jc w:val="both"/>
        <w:rPr>
          <w:rFonts w:ascii="Palatino Linotype" w:hAnsi="Palatino Linotype"/>
          <w:bCs/>
          <w:i/>
          <w:sz w:val="22"/>
          <w:szCs w:val="22"/>
        </w:rPr>
      </w:pPr>
    </w:p>
    <w:p w14:paraId="198E98D4" w14:textId="34B08E9F" w:rsidR="00652FF2" w:rsidRPr="007B0A1A" w:rsidRDefault="00361C25" w:rsidP="00361C25">
      <w:pPr>
        <w:ind w:left="851" w:right="899"/>
        <w:jc w:val="both"/>
        <w:rPr>
          <w:rFonts w:ascii="Palatino Linotype" w:hAnsi="Palatino Linotype" w:cs="Arial"/>
          <w:i/>
        </w:rPr>
      </w:pPr>
      <w:r w:rsidRPr="007B0A1A">
        <w:rPr>
          <w:rFonts w:ascii="Palatino Linotype" w:hAnsi="Palatino Linotype"/>
          <w:bCs/>
          <w:i/>
          <w:sz w:val="22"/>
          <w:szCs w:val="22"/>
        </w:rPr>
        <w:t xml:space="preserve">Debiendo notificar al </w:t>
      </w:r>
      <w:r w:rsidRPr="007B0A1A">
        <w:rPr>
          <w:rFonts w:ascii="Palatino Linotype" w:hAnsi="Palatino Linotype"/>
          <w:b/>
          <w:bCs/>
          <w:i/>
          <w:sz w:val="22"/>
          <w:szCs w:val="22"/>
        </w:rPr>
        <w:t xml:space="preserve">RECURRENTE </w:t>
      </w:r>
      <w:r w:rsidRPr="007B0A1A">
        <w:rPr>
          <w:rFonts w:ascii="Palatino Linotype" w:hAnsi="Palatino Linotype"/>
          <w:bCs/>
          <w:i/>
          <w:sz w:val="22"/>
          <w:szCs w:val="22"/>
        </w:rPr>
        <w:t xml:space="preserve">el </w:t>
      </w:r>
      <w:r w:rsidR="00EC0E84" w:rsidRPr="007B0A1A">
        <w:rPr>
          <w:rFonts w:ascii="Palatino Linotype" w:hAnsi="Palatino Linotype"/>
          <w:bCs/>
          <w:i/>
          <w:sz w:val="22"/>
          <w:szCs w:val="22"/>
        </w:rPr>
        <w:t>Acuerdo de Clasificación de la información q</w:t>
      </w:r>
      <w:r w:rsidRPr="007B0A1A">
        <w:rPr>
          <w:rFonts w:ascii="Palatino Linotype" w:hAnsi="Palatino Linotype"/>
          <w:bCs/>
          <w:i/>
          <w:sz w:val="22"/>
          <w:szCs w:val="22"/>
        </w:rPr>
        <w:t>ue sustente la versión pública.”</w:t>
      </w:r>
    </w:p>
    <w:p w14:paraId="7EF708CA" w14:textId="77777777" w:rsidR="00EC0E84" w:rsidRPr="007B0A1A" w:rsidRDefault="00EC0E84" w:rsidP="00EC0E8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7B0A1A">
        <w:rPr>
          <w:rFonts w:ascii="Palatino Linotype" w:hAnsi="Palatino Linotype" w:cs="Arial"/>
          <w:b/>
          <w:sz w:val="28"/>
          <w:szCs w:val="28"/>
        </w:rPr>
        <w:t xml:space="preserve">TERCERO. </w:t>
      </w:r>
      <w:r w:rsidRPr="007B0A1A">
        <w:rPr>
          <w:rFonts w:ascii="Palatino Linotype" w:hAnsi="Palatino Linotype" w:cs="Arial"/>
          <w:b/>
        </w:rPr>
        <w:t>Notifíquese</w:t>
      </w:r>
      <w:r w:rsidRPr="007B0A1A">
        <w:rPr>
          <w:rFonts w:ascii="Palatino Linotype" w:hAnsi="Palatino Linotype" w:cs="Arial"/>
        </w:rPr>
        <w:t xml:space="preserve"> la presente resolución a la Titular de la Unidad de Transparencia del </w:t>
      </w:r>
      <w:r w:rsidRPr="007B0A1A">
        <w:rPr>
          <w:rFonts w:ascii="Palatino Linotype" w:hAnsi="Palatino Linotype" w:cs="Arial"/>
          <w:b/>
        </w:rPr>
        <w:t>SUJETO OBLIGADO</w:t>
      </w:r>
      <w:r w:rsidRPr="007B0A1A">
        <w:rPr>
          <w:rFonts w:ascii="Palatino Linotype" w:hAnsi="Palatino Linotype" w:cs="Arial"/>
        </w:rPr>
        <w:t xml:space="preserve"> para que, conforme a los artículos 186, último párrafo y 189, párrafo segundo de la Ley de Transparencia y Acceso a la Información Pública del Estado de México y Municipios, dé cumplimiento a lo ordenado, dentro del </w:t>
      </w:r>
      <w:r w:rsidRPr="007B0A1A">
        <w:rPr>
          <w:rFonts w:ascii="Palatino Linotype" w:hAnsi="Palatino Linotype" w:cs="Arial"/>
        </w:rPr>
        <w:lastRenderedPageBreak/>
        <w:t>plazo de diez días hábiles, debiendo informar a este Instituto, en un plazo de tres días hábiles siguientes, sobre el cumplimiento dado a la presente resolución.</w:t>
      </w:r>
    </w:p>
    <w:p w14:paraId="66192E42" w14:textId="77777777" w:rsidR="00EC0E84" w:rsidRPr="007B0A1A" w:rsidRDefault="00EC0E84" w:rsidP="00EC0E84">
      <w:pPr>
        <w:widowControl w:val="0"/>
        <w:autoSpaceDE w:val="0"/>
        <w:autoSpaceDN w:val="0"/>
        <w:adjustRightInd w:val="0"/>
        <w:spacing w:before="100" w:beforeAutospacing="1" w:after="100" w:afterAutospacing="1" w:line="360" w:lineRule="auto"/>
        <w:jc w:val="both"/>
        <w:rPr>
          <w:rFonts w:ascii="Palatino Linotype" w:hAnsi="Palatino Linotype"/>
          <w:color w:val="222222"/>
          <w:lang w:eastAsia="es-MX"/>
        </w:rPr>
      </w:pPr>
      <w:r w:rsidRPr="007B0A1A">
        <w:rPr>
          <w:rFonts w:ascii="Palatino Linotype" w:hAnsi="Palatino Linotype" w:cs="Arial"/>
          <w:b/>
          <w:sz w:val="28"/>
          <w:lang w:val="es-ES_tradnl"/>
        </w:rPr>
        <w:t xml:space="preserve">CUARTO. </w:t>
      </w:r>
      <w:r w:rsidRPr="007B0A1A">
        <w:rPr>
          <w:rFonts w:ascii="Palatino Linotype" w:hAnsi="Palatino Linotype"/>
          <w:b/>
          <w:bCs/>
          <w:color w:val="222222"/>
          <w:lang w:eastAsia="es-MX"/>
        </w:rPr>
        <w:t>Notifíquese</w:t>
      </w:r>
      <w:r w:rsidRPr="007B0A1A">
        <w:rPr>
          <w:rFonts w:ascii="Palatino Linotype" w:hAnsi="Palatino Linotype"/>
          <w:color w:val="222222"/>
          <w:lang w:eastAsia="es-MX"/>
        </w:rPr>
        <w:t xml:space="preserve"> al </w:t>
      </w:r>
      <w:r w:rsidRPr="007B0A1A">
        <w:rPr>
          <w:rFonts w:ascii="Palatino Linotype" w:hAnsi="Palatino Linotype"/>
          <w:b/>
          <w:bCs/>
          <w:color w:val="222222"/>
          <w:lang w:eastAsia="es-MX"/>
        </w:rPr>
        <w:t>RECURRENTE</w:t>
      </w:r>
      <w:r w:rsidRPr="007B0A1A">
        <w:rPr>
          <w:rFonts w:ascii="Palatino Linotype" w:hAnsi="Palatino Linotype"/>
          <w:color w:val="222222"/>
          <w:lang w:eastAsia="es-MX"/>
        </w:rPr>
        <w:t xml:space="preserve"> la presente resolución.</w:t>
      </w:r>
    </w:p>
    <w:p w14:paraId="6F1083FF" w14:textId="77777777" w:rsidR="00EC0E84" w:rsidRPr="007B0A1A" w:rsidRDefault="00EC0E84" w:rsidP="00EC0E84">
      <w:pPr>
        <w:spacing w:before="100" w:beforeAutospacing="1" w:after="100" w:afterAutospacing="1" w:line="360" w:lineRule="auto"/>
        <w:ind w:right="49"/>
        <w:jc w:val="both"/>
        <w:rPr>
          <w:rFonts w:ascii="Palatino Linotype" w:hAnsi="Palatino Linotype"/>
          <w:color w:val="222222"/>
          <w:lang w:eastAsia="es-MX"/>
        </w:rPr>
      </w:pPr>
      <w:r w:rsidRPr="007B0A1A">
        <w:rPr>
          <w:rFonts w:ascii="Palatino Linotype" w:hAnsi="Palatino Linotype" w:cs="Arial"/>
          <w:b/>
          <w:sz w:val="28"/>
          <w:lang w:val="es-ES_tradnl"/>
        </w:rPr>
        <w:t xml:space="preserve">QUINTO. </w:t>
      </w:r>
      <w:r w:rsidRPr="007B0A1A">
        <w:rPr>
          <w:rFonts w:ascii="Palatino Linotype" w:hAnsi="Palatino Linotype"/>
          <w:b/>
          <w:bCs/>
          <w:color w:val="222222"/>
          <w:lang w:eastAsia="es-MX"/>
        </w:rPr>
        <w:t>Hágase del conocimiento</w:t>
      </w:r>
      <w:r w:rsidRPr="007B0A1A">
        <w:rPr>
          <w:rFonts w:ascii="Palatino Linotype" w:hAnsi="Palatino Linotype"/>
          <w:color w:val="222222"/>
          <w:lang w:eastAsia="es-MX"/>
        </w:rPr>
        <w:t xml:space="preserve"> del </w:t>
      </w:r>
      <w:r w:rsidRPr="007B0A1A">
        <w:rPr>
          <w:rFonts w:ascii="Palatino Linotype" w:hAnsi="Palatino Linotype"/>
          <w:b/>
          <w:color w:val="222222"/>
          <w:lang w:eastAsia="es-MX"/>
        </w:rPr>
        <w:t>RECURRENTE</w:t>
      </w:r>
      <w:r w:rsidRPr="007B0A1A">
        <w:rPr>
          <w:rFonts w:ascii="Palatino Linotype" w:hAnsi="Palatino Linotype"/>
          <w:color w:val="222222"/>
          <w:lang w:eastAsia="es-MX"/>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7A4CEA9" w14:textId="77777777" w:rsidR="00EC0E84" w:rsidRPr="007B0A1A" w:rsidRDefault="00EC0E84" w:rsidP="00EC0E84">
      <w:pPr>
        <w:spacing w:before="100" w:beforeAutospacing="1" w:after="100" w:afterAutospacing="1" w:line="360" w:lineRule="auto"/>
        <w:ind w:right="49"/>
        <w:jc w:val="both"/>
        <w:rPr>
          <w:rFonts w:ascii="Palatino Linotype" w:eastAsia="Calibri" w:hAnsi="Palatino Linotype" w:cs="Arial"/>
        </w:rPr>
      </w:pPr>
      <w:r w:rsidRPr="007B0A1A">
        <w:rPr>
          <w:rFonts w:ascii="Palatino Linotype" w:hAnsi="Palatino Linotype"/>
          <w:b/>
          <w:color w:val="222222"/>
          <w:sz w:val="28"/>
          <w:szCs w:val="28"/>
          <w:lang w:eastAsia="es-ES_tradnl"/>
        </w:rPr>
        <w:t>SEXTO.</w:t>
      </w:r>
      <w:r w:rsidRPr="007B0A1A">
        <w:rPr>
          <w:rFonts w:ascii="Palatino Linotype" w:hAnsi="Palatino Linotype"/>
          <w:b/>
          <w:color w:val="222222"/>
          <w:szCs w:val="17"/>
          <w:lang w:eastAsia="es-ES_tradnl"/>
        </w:rPr>
        <w:t xml:space="preserve"> </w:t>
      </w:r>
      <w:r w:rsidRPr="007B0A1A">
        <w:rPr>
          <w:rFonts w:ascii="Palatino Linotype" w:hAnsi="Palatino Linotype"/>
          <w:szCs w:val="17"/>
          <w:lang w:eastAsia="es-ES_tradnl"/>
        </w:rPr>
        <w:t xml:space="preserve">De conformidad con el artículo 198 de la Ley de Transparencia y Acceso a la Información Pública del Estado de México y Municipios, de considerarlo procedente, </w:t>
      </w:r>
      <w:r w:rsidRPr="007B0A1A">
        <w:rPr>
          <w:rFonts w:ascii="Palatino Linotype" w:hAnsi="Palatino Linotype"/>
          <w:b/>
          <w:szCs w:val="17"/>
          <w:lang w:eastAsia="es-ES_tradnl"/>
        </w:rPr>
        <w:t>EL SUJETO OBLIGADO</w:t>
      </w:r>
      <w:r w:rsidRPr="007B0A1A">
        <w:rPr>
          <w:rFonts w:ascii="Palatino Linotype" w:hAnsi="Palatino Linotype"/>
          <w:szCs w:val="17"/>
          <w:lang w:eastAsia="es-ES_tradnl"/>
        </w:rPr>
        <w:t xml:space="preserve"> de manera fundada y motivada, podrá solicitar una ampliación de plazo para el cumplimiento de la presente.</w:t>
      </w:r>
    </w:p>
    <w:p w14:paraId="427FF856" w14:textId="10FD9102" w:rsidR="001C38F6" w:rsidRPr="007B0A1A" w:rsidRDefault="001C38F6" w:rsidP="001C38F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7B0A1A">
        <w:rPr>
          <w:rFonts w:ascii="Palatino Linotype" w:hAnsi="Palatino Linotype" w:cs="Arial"/>
        </w:rPr>
        <w:t>ASÍ LO RESUELVE, POR UNANIMIDAD DE VOTOS EL PLENO DEL</w:t>
      </w:r>
      <w:r w:rsidRPr="007B0A1A">
        <w:rPr>
          <w:rFonts w:ascii="Palatino Linotype" w:eastAsia="Arial Unicode MS" w:hAnsi="Palatino Linotype" w:cs="Arial"/>
        </w:rPr>
        <w:t xml:space="preserve"> INSTITUTO DE </w:t>
      </w:r>
      <w:r w:rsidRPr="007B0A1A">
        <w:rPr>
          <w:rFonts w:ascii="Palatino Linotype" w:hAnsi="Palatino Linotype"/>
          <w:lang w:eastAsia="en-US"/>
        </w:rPr>
        <w:t>TRANSPARENCIA</w:t>
      </w:r>
      <w:r w:rsidRPr="007B0A1A">
        <w:rPr>
          <w:rFonts w:ascii="Palatino Linotype" w:eastAsia="Arial Unicode MS" w:hAnsi="Palatino Linotype" w:cs="Arial"/>
        </w:rPr>
        <w:t>, ACCESO A LA INFORMACIÓN PÚBLICA Y PROTECCIÓN DE DATOS PERSONALES DEL ESTADO DE MÉXICO Y MUNICIPIOS</w:t>
      </w:r>
      <w:r w:rsidRPr="007B0A1A">
        <w:rPr>
          <w:rFonts w:ascii="Palatino Linotype" w:hAnsi="Palatino Linotype" w:cs="Arial"/>
        </w:rPr>
        <w:t xml:space="preserve">, CONFORMADO POR LOS COMISIONADOS JOSÉ MARTÍNEZ VILCHIS; MARÍA DEL ROSARIO MEJÍA AYALA; SHARON CRISTINA MORALES MARTÍNEZ; LUIS GUSTAVO PARRA NORIEGA Y GUADALUPE RAMÍREZ PEÑA; </w:t>
      </w:r>
      <w:r w:rsidR="00F52502" w:rsidRPr="007B0A1A">
        <w:rPr>
          <w:rFonts w:ascii="Palatino Linotype" w:hAnsi="Palatino Linotype" w:cs="Arial"/>
        </w:rPr>
        <w:t xml:space="preserve">EN LA TRIGÉSIMA </w:t>
      </w:r>
      <w:r w:rsidR="00EB0EDD" w:rsidRPr="007B0A1A">
        <w:rPr>
          <w:rFonts w:ascii="Palatino Linotype" w:hAnsi="Palatino Linotype" w:cs="Arial"/>
        </w:rPr>
        <w:t>OCTAVA</w:t>
      </w:r>
      <w:r w:rsidRPr="007B0A1A">
        <w:rPr>
          <w:rFonts w:ascii="Palatino Linotype" w:hAnsi="Palatino Linotype" w:cs="Arial"/>
        </w:rPr>
        <w:t xml:space="preserve"> SESIÓN ORDINARIA CELEBRADA EL </w:t>
      </w:r>
      <w:r w:rsidR="00EB0EDD" w:rsidRPr="007B0A1A">
        <w:rPr>
          <w:rFonts w:ascii="Palatino Linotype" w:hAnsi="Palatino Linotype" w:cs="Arial"/>
        </w:rPr>
        <w:t>VEINTISIETE</w:t>
      </w:r>
      <w:r w:rsidRPr="007B0A1A">
        <w:rPr>
          <w:rFonts w:ascii="Palatino Linotype" w:hAnsi="Palatino Linotype" w:cs="Arial"/>
        </w:rPr>
        <w:t xml:space="preserve"> DE OCTUBRE DE DOS MIL VEINTIUNO, ANTE EL SECRETARIO TÉCNICO DEL PLENO, ALEXIS TAPIA RAMÍREZ.</w:t>
      </w:r>
    </w:p>
    <w:p w14:paraId="4266D24F" w14:textId="77777777" w:rsidR="001C38F6" w:rsidRDefault="001C38F6" w:rsidP="001C38F6">
      <w:pPr>
        <w:jc w:val="both"/>
        <w:rPr>
          <w:rFonts w:ascii="Palatino Linotype" w:hAnsi="Palatino Linotype" w:cs="Arial"/>
          <w:sz w:val="16"/>
          <w:szCs w:val="16"/>
          <w:lang w:val="es-ES"/>
        </w:rPr>
      </w:pPr>
      <w:r w:rsidRPr="007B0A1A">
        <w:rPr>
          <w:rFonts w:ascii="Palatino Linotype" w:hAnsi="Palatino Linotype" w:cs="Arial"/>
          <w:sz w:val="16"/>
          <w:szCs w:val="16"/>
          <w:lang w:val="es-ES"/>
        </w:rPr>
        <w:t>SCMM/BLA/DEMF/AGE</w:t>
      </w:r>
    </w:p>
    <w:p w14:paraId="75D69846" w14:textId="498C3C7D" w:rsidR="00E07345" w:rsidRDefault="00E07345" w:rsidP="008E5876">
      <w:pPr>
        <w:spacing w:after="160" w:line="259" w:lineRule="auto"/>
        <w:rPr>
          <w:rFonts w:ascii="Palatino Linotype" w:hAnsi="Palatino Linotype" w:cs="Arial"/>
          <w:color w:val="000000" w:themeColor="text1"/>
          <w:lang w:val="es-ES"/>
        </w:rPr>
      </w:pPr>
    </w:p>
    <w:p w14:paraId="7C5A46CA" w14:textId="77777777" w:rsidR="00E07345" w:rsidRDefault="00E07345" w:rsidP="00F1165E">
      <w:pPr>
        <w:spacing w:line="360" w:lineRule="auto"/>
        <w:jc w:val="both"/>
        <w:rPr>
          <w:rFonts w:ascii="Palatino Linotype" w:eastAsiaTheme="minorEastAsia" w:hAnsi="Palatino Linotype" w:cs="Arial"/>
          <w:color w:val="000000" w:themeColor="text1"/>
          <w:lang w:val="es-ES_tradnl"/>
        </w:rPr>
      </w:pPr>
    </w:p>
    <w:p w14:paraId="2E5A9F0E" w14:textId="77777777" w:rsidR="00E07345" w:rsidRDefault="00E07345" w:rsidP="00F1165E">
      <w:pPr>
        <w:spacing w:line="360" w:lineRule="auto"/>
        <w:jc w:val="both"/>
        <w:rPr>
          <w:rFonts w:ascii="Palatino Linotype" w:eastAsiaTheme="minorEastAsia" w:hAnsi="Palatino Linotype" w:cs="Arial"/>
          <w:color w:val="000000" w:themeColor="text1"/>
          <w:lang w:val="es-ES_tradnl"/>
        </w:rPr>
      </w:pPr>
    </w:p>
    <w:p w14:paraId="6594B6AC" w14:textId="77777777" w:rsidR="00E07345" w:rsidRDefault="00E07345" w:rsidP="00F1165E">
      <w:pPr>
        <w:spacing w:line="360" w:lineRule="auto"/>
        <w:jc w:val="both"/>
        <w:rPr>
          <w:rFonts w:ascii="Palatino Linotype" w:eastAsiaTheme="minorEastAsia" w:hAnsi="Palatino Linotype" w:cs="Arial"/>
          <w:color w:val="000000" w:themeColor="text1"/>
          <w:lang w:val="es-ES_tradnl"/>
        </w:rPr>
      </w:pPr>
    </w:p>
    <w:p w14:paraId="1530D57B" w14:textId="77777777" w:rsidR="00E07345" w:rsidRDefault="00E07345" w:rsidP="00F1165E">
      <w:pPr>
        <w:spacing w:line="360" w:lineRule="auto"/>
        <w:jc w:val="both"/>
        <w:rPr>
          <w:rFonts w:ascii="Palatino Linotype" w:eastAsiaTheme="minorEastAsia" w:hAnsi="Palatino Linotype" w:cs="Arial"/>
          <w:color w:val="000000" w:themeColor="text1"/>
          <w:lang w:val="es-ES_tradnl"/>
        </w:rPr>
      </w:pPr>
    </w:p>
    <w:p w14:paraId="0D7A7FDE" w14:textId="77777777" w:rsidR="00E07345" w:rsidRDefault="00E07345" w:rsidP="00F1165E">
      <w:pPr>
        <w:spacing w:line="360" w:lineRule="auto"/>
        <w:jc w:val="both"/>
        <w:rPr>
          <w:rFonts w:ascii="Palatino Linotype" w:eastAsiaTheme="minorEastAsia" w:hAnsi="Palatino Linotype" w:cs="Arial"/>
          <w:color w:val="000000" w:themeColor="text1"/>
          <w:lang w:val="es-ES_tradnl"/>
        </w:rPr>
      </w:pPr>
    </w:p>
    <w:p w14:paraId="2F881342" w14:textId="77777777" w:rsidR="00E07345" w:rsidRDefault="00E07345" w:rsidP="00F1165E">
      <w:pPr>
        <w:spacing w:line="360" w:lineRule="auto"/>
        <w:jc w:val="both"/>
        <w:rPr>
          <w:rFonts w:ascii="Palatino Linotype" w:eastAsiaTheme="minorEastAsia" w:hAnsi="Palatino Linotype" w:cs="Arial"/>
          <w:color w:val="000000" w:themeColor="text1"/>
          <w:lang w:val="es-ES_tradnl"/>
        </w:rPr>
      </w:pPr>
    </w:p>
    <w:p w14:paraId="125799E1" w14:textId="77777777" w:rsidR="00E07345" w:rsidRDefault="00E07345" w:rsidP="00F1165E">
      <w:pPr>
        <w:spacing w:line="360" w:lineRule="auto"/>
        <w:jc w:val="both"/>
        <w:rPr>
          <w:rFonts w:ascii="Palatino Linotype" w:eastAsiaTheme="minorEastAsia" w:hAnsi="Palatino Linotype" w:cs="Arial"/>
          <w:color w:val="000000" w:themeColor="text1"/>
          <w:lang w:val="es-ES_tradnl"/>
        </w:rPr>
      </w:pPr>
    </w:p>
    <w:p w14:paraId="45B70A7B" w14:textId="77777777" w:rsidR="00E07345" w:rsidRDefault="00E07345" w:rsidP="00F1165E">
      <w:pPr>
        <w:spacing w:line="360" w:lineRule="auto"/>
        <w:jc w:val="both"/>
        <w:rPr>
          <w:rFonts w:ascii="Palatino Linotype" w:eastAsiaTheme="minorEastAsia" w:hAnsi="Palatino Linotype" w:cs="Arial"/>
          <w:color w:val="000000" w:themeColor="text1"/>
          <w:lang w:val="es-ES_tradnl"/>
        </w:rPr>
      </w:pPr>
    </w:p>
    <w:p w14:paraId="1A19DDF0" w14:textId="77777777" w:rsidR="00E07345" w:rsidRDefault="00E07345" w:rsidP="00F1165E">
      <w:pPr>
        <w:spacing w:line="360" w:lineRule="auto"/>
        <w:jc w:val="both"/>
        <w:rPr>
          <w:rFonts w:ascii="Palatino Linotype" w:eastAsiaTheme="minorEastAsia" w:hAnsi="Palatino Linotype" w:cs="Arial"/>
          <w:color w:val="000000" w:themeColor="text1"/>
          <w:lang w:val="es-ES_tradnl"/>
        </w:rPr>
      </w:pPr>
    </w:p>
    <w:p w14:paraId="6D63FE13" w14:textId="77777777" w:rsidR="00E07345" w:rsidRDefault="00E07345" w:rsidP="00F1165E">
      <w:pPr>
        <w:spacing w:line="360" w:lineRule="auto"/>
        <w:jc w:val="both"/>
        <w:rPr>
          <w:rFonts w:ascii="Palatino Linotype" w:eastAsiaTheme="minorEastAsia" w:hAnsi="Palatino Linotype" w:cs="Arial"/>
          <w:color w:val="000000" w:themeColor="text1"/>
          <w:lang w:val="es-ES_tradnl"/>
        </w:rPr>
      </w:pPr>
    </w:p>
    <w:p w14:paraId="30172074" w14:textId="77777777" w:rsidR="00E07345" w:rsidRDefault="00E07345" w:rsidP="00F1165E">
      <w:pPr>
        <w:spacing w:line="360" w:lineRule="auto"/>
        <w:jc w:val="both"/>
        <w:rPr>
          <w:rFonts w:ascii="Palatino Linotype" w:eastAsiaTheme="minorEastAsia" w:hAnsi="Palatino Linotype" w:cs="Arial"/>
          <w:color w:val="000000" w:themeColor="text1"/>
          <w:lang w:val="es-ES_tradnl"/>
        </w:rPr>
      </w:pPr>
    </w:p>
    <w:p w14:paraId="0244DE3B" w14:textId="77777777" w:rsidR="00E07345" w:rsidRDefault="00E07345" w:rsidP="00F1165E">
      <w:pPr>
        <w:spacing w:line="360" w:lineRule="auto"/>
        <w:jc w:val="both"/>
        <w:rPr>
          <w:rFonts w:ascii="Palatino Linotype" w:eastAsiaTheme="minorEastAsia" w:hAnsi="Palatino Linotype" w:cs="Arial"/>
          <w:color w:val="000000" w:themeColor="text1"/>
          <w:lang w:val="es-ES_tradnl"/>
        </w:rPr>
      </w:pPr>
    </w:p>
    <w:p w14:paraId="270E39FA" w14:textId="77777777" w:rsidR="00E07345" w:rsidRDefault="00E07345" w:rsidP="00F1165E">
      <w:pPr>
        <w:spacing w:line="360" w:lineRule="auto"/>
        <w:jc w:val="both"/>
        <w:rPr>
          <w:rFonts w:ascii="Palatino Linotype" w:eastAsiaTheme="minorEastAsia" w:hAnsi="Palatino Linotype" w:cs="Arial"/>
          <w:color w:val="000000" w:themeColor="text1"/>
          <w:lang w:val="es-ES_tradnl"/>
        </w:rPr>
      </w:pPr>
    </w:p>
    <w:p w14:paraId="67D2FCAB" w14:textId="77777777" w:rsidR="00E07345" w:rsidRDefault="00E07345" w:rsidP="00F1165E">
      <w:pPr>
        <w:spacing w:line="360" w:lineRule="auto"/>
        <w:jc w:val="both"/>
        <w:rPr>
          <w:rFonts w:ascii="Palatino Linotype" w:eastAsiaTheme="minorEastAsia" w:hAnsi="Palatino Linotype" w:cs="Arial"/>
          <w:color w:val="000000" w:themeColor="text1"/>
          <w:lang w:val="es-ES_tradnl"/>
        </w:rPr>
      </w:pPr>
    </w:p>
    <w:p w14:paraId="24341C97" w14:textId="77777777" w:rsidR="00E07345" w:rsidRDefault="00E07345" w:rsidP="00F1165E">
      <w:pPr>
        <w:spacing w:line="360" w:lineRule="auto"/>
        <w:jc w:val="both"/>
        <w:rPr>
          <w:rFonts w:ascii="Palatino Linotype" w:eastAsiaTheme="minorEastAsia" w:hAnsi="Palatino Linotype" w:cs="Arial"/>
          <w:color w:val="000000" w:themeColor="text1"/>
          <w:lang w:val="es-ES_tradnl"/>
        </w:rPr>
      </w:pPr>
    </w:p>
    <w:p w14:paraId="7E3998FB" w14:textId="77777777" w:rsidR="00E07345" w:rsidRDefault="00E07345" w:rsidP="00F1165E">
      <w:pPr>
        <w:spacing w:line="360" w:lineRule="auto"/>
        <w:jc w:val="both"/>
        <w:rPr>
          <w:rFonts w:ascii="Palatino Linotype" w:eastAsiaTheme="minorEastAsia" w:hAnsi="Palatino Linotype" w:cs="Arial"/>
          <w:color w:val="000000" w:themeColor="text1"/>
          <w:lang w:val="es-ES_tradnl"/>
        </w:rPr>
      </w:pPr>
    </w:p>
    <w:p w14:paraId="02AEC402" w14:textId="77777777" w:rsidR="00E07345" w:rsidRDefault="00E07345" w:rsidP="00F1165E">
      <w:pPr>
        <w:spacing w:line="360" w:lineRule="auto"/>
        <w:jc w:val="both"/>
        <w:rPr>
          <w:rFonts w:ascii="Palatino Linotype" w:eastAsiaTheme="minorEastAsia" w:hAnsi="Palatino Linotype" w:cs="Arial"/>
          <w:color w:val="000000" w:themeColor="text1"/>
          <w:lang w:val="es-ES_tradnl"/>
        </w:rPr>
      </w:pPr>
    </w:p>
    <w:p w14:paraId="05A226B8" w14:textId="77777777" w:rsidR="00E07345" w:rsidRDefault="00E07345" w:rsidP="00F1165E">
      <w:pPr>
        <w:spacing w:line="360" w:lineRule="auto"/>
        <w:jc w:val="both"/>
        <w:rPr>
          <w:rFonts w:ascii="Palatino Linotype" w:eastAsiaTheme="minorEastAsia" w:hAnsi="Palatino Linotype" w:cs="Arial"/>
          <w:color w:val="000000" w:themeColor="text1"/>
          <w:lang w:val="es-ES_tradnl"/>
        </w:rPr>
      </w:pPr>
    </w:p>
    <w:p w14:paraId="38B417D8" w14:textId="77777777" w:rsidR="00E07345" w:rsidRDefault="00E07345" w:rsidP="00F1165E">
      <w:pPr>
        <w:spacing w:line="360" w:lineRule="auto"/>
        <w:jc w:val="both"/>
        <w:rPr>
          <w:rFonts w:ascii="Palatino Linotype" w:eastAsiaTheme="minorEastAsia" w:hAnsi="Palatino Linotype" w:cs="Arial"/>
          <w:color w:val="000000" w:themeColor="text1"/>
          <w:lang w:val="es-ES_tradnl"/>
        </w:rPr>
      </w:pPr>
    </w:p>
    <w:p w14:paraId="70039060" w14:textId="77777777" w:rsidR="00E07345" w:rsidRPr="00F1165E" w:rsidRDefault="00E07345" w:rsidP="00F1165E">
      <w:pPr>
        <w:spacing w:line="360" w:lineRule="auto"/>
        <w:jc w:val="both"/>
        <w:rPr>
          <w:rFonts w:ascii="Palatino Linotype" w:eastAsiaTheme="minorEastAsia" w:hAnsi="Palatino Linotype" w:cs="Arial"/>
          <w:color w:val="000000" w:themeColor="text1"/>
          <w:lang w:val="es-ES_tradnl"/>
        </w:rPr>
      </w:pPr>
    </w:p>
    <w:p w14:paraId="25B7667B" w14:textId="77777777" w:rsidR="0092115B" w:rsidRPr="00F1165E" w:rsidRDefault="0092115B" w:rsidP="00F1165E">
      <w:pPr>
        <w:spacing w:line="360" w:lineRule="auto"/>
        <w:jc w:val="both"/>
        <w:rPr>
          <w:rFonts w:ascii="Palatino Linotype" w:eastAsiaTheme="minorEastAsia" w:hAnsi="Palatino Linotype" w:cs="Arial"/>
          <w:color w:val="000000" w:themeColor="text1"/>
          <w:lang w:val="es-ES_tradnl"/>
        </w:rPr>
      </w:pPr>
    </w:p>
    <w:sectPr w:rsidR="0092115B" w:rsidRPr="00F1165E"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2A783" w14:textId="77777777" w:rsidR="00634A50" w:rsidRDefault="00634A50" w:rsidP="00C80F8C">
      <w:r>
        <w:separator/>
      </w:r>
    </w:p>
  </w:endnote>
  <w:endnote w:type="continuationSeparator" w:id="0">
    <w:p w14:paraId="182B6F7F" w14:textId="77777777" w:rsidR="00634A50" w:rsidRDefault="00634A5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572EA" w:rsidRPr="0010196A" w:rsidRDefault="001572E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33108">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33108">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572EA" w:rsidRPr="0010196A" w:rsidRDefault="001572E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3310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33108">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9BB37" w14:textId="77777777" w:rsidR="00634A50" w:rsidRDefault="00634A50" w:rsidP="00C80F8C">
      <w:r>
        <w:separator/>
      </w:r>
    </w:p>
  </w:footnote>
  <w:footnote w:type="continuationSeparator" w:id="0">
    <w:p w14:paraId="7132FA7D" w14:textId="77777777" w:rsidR="00634A50" w:rsidRDefault="00634A50" w:rsidP="00C80F8C">
      <w:r>
        <w:continuationSeparator/>
      </w:r>
    </w:p>
  </w:footnote>
  <w:footnote w:id="1">
    <w:p w14:paraId="3DCF52F3" w14:textId="77777777" w:rsidR="002276D7" w:rsidRDefault="002276D7" w:rsidP="002276D7">
      <w:pPr>
        <w:pStyle w:val="Textonotapie"/>
        <w:jc w:val="both"/>
      </w:pPr>
      <w:r w:rsidRPr="002E40D5">
        <w:rPr>
          <w:rStyle w:val="Refdenotaalpie"/>
          <w:sz w:val="16"/>
          <w:szCs w:val="16"/>
        </w:rPr>
        <w:footnoteRef/>
      </w:r>
      <w:r w:rsidRPr="002E40D5">
        <w:rPr>
          <w:sz w:val="16"/>
          <w:szCs w:val="16"/>
        </w:rPr>
        <w:t xml:space="preserve"> Resoluciones: </w:t>
      </w:r>
      <w:r w:rsidRPr="002E40D5">
        <w:rPr>
          <w:sz w:val="16"/>
          <w:szCs w:val="16"/>
        </w:rPr>
        <w:sym w:font="Symbol" w:char="F0B7"/>
      </w:r>
      <w:r w:rsidRPr="002E40D5">
        <w:rPr>
          <w:sz w:val="16"/>
          <w:szCs w:val="16"/>
        </w:rPr>
        <w:t xml:space="preserve"> RRA 0196/16. Secretaría de Agricultura, Ganadería, Desarrollo Rural, Pesca y Alimentación. 13 de julio de 2016. Por unanimidad. Comisionado Ponente Joel Salas Suárez. </w:t>
      </w:r>
      <w:r w:rsidRPr="002E40D5">
        <w:rPr>
          <w:sz w:val="16"/>
          <w:szCs w:val="16"/>
        </w:rPr>
        <w:sym w:font="Symbol" w:char="F0B7"/>
      </w:r>
      <w:r w:rsidRPr="002E40D5">
        <w:rPr>
          <w:sz w:val="16"/>
          <w:szCs w:val="16"/>
        </w:rPr>
        <w:t xml:space="preserve"> RRA 0130/16. Comisión Nacional del Agua. 09 de agosto de 2016. Por unanimidad. Comisionado Ponente María Patricia Kurczyn Villalobos. </w:t>
      </w:r>
      <w:r w:rsidRPr="002E40D5">
        <w:rPr>
          <w:sz w:val="16"/>
          <w:szCs w:val="16"/>
        </w:rPr>
        <w:sym w:font="Symbol" w:char="F0B7"/>
      </w:r>
      <w:r w:rsidRPr="002E40D5">
        <w:rPr>
          <w:sz w:val="16"/>
          <w:szCs w:val="16"/>
        </w:rPr>
        <w:t xml:space="preserve"> RRA 0342/16. Colegio de Bachilleres. 24 de agosto de 2016. Por unanimidad. Comisionada Ponente Ximena Puente de la Mora</w:t>
      </w:r>
      <w:r>
        <w:t>.</w:t>
      </w:r>
    </w:p>
  </w:footnote>
  <w:footnote w:id="2">
    <w:p w14:paraId="7B87D1A1" w14:textId="77777777" w:rsidR="00366E2C" w:rsidRPr="00DB53B7" w:rsidRDefault="00366E2C" w:rsidP="00366E2C">
      <w:pPr>
        <w:spacing w:before="120" w:after="120"/>
        <w:ind w:right="49"/>
        <w:contextualSpacing/>
        <w:jc w:val="both"/>
        <w:rPr>
          <w:rFonts w:ascii="Palatino Linotype" w:hAnsi="Palatino Linotype" w:cs="Arial"/>
          <w:i/>
          <w:sz w:val="16"/>
          <w:szCs w:val="16"/>
        </w:rPr>
      </w:pPr>
      <w:r w:rsidRPr="00DB53B7">
        <w:rPr>
          <w:rStyle w:val="Refdenotaalpie"/>
          <w:rFonts w:ascii="Palatino Linotype" w:hAnsi="Palatino Linotype"/>
          <w:sz w:val="16"/>
          <w:szCs w:val="16"/>
        </w:rPr>
        <w:footnoteRef/>
      </w:r>
      <w:r w:rsidRPr="00DB53B7">
        <w:rPr>
          <w:rFonts w:ascii="Palatino Linotype" w:hAnsi="Palatino Linotype"/>
          <w:sz w:val="16"/>
          <w:szCs w:val="16"/>
        </w:rPr>
        <w:t xml:space="preserve"> </w:t>
      </w:r>
      <w:r w:rsidRPr="00DB53B7">
        <w:rPr>
          <w:rFonts w:ascii="Palatino Linotype" w:hAnsi="Palatino Linotype" w:cs="Arial"/>
          <w:i/>
          <w:sz w:val="16"/>
          <w:szCs w:val="16"/>
        </w:rPr>
        <w:t>SEGUNDO TRIBUNAL COLEGIADO EN MATERIA ADMINISTRATIVA DEL SEXTO CIRCUITO.</w:t>
      </w:r>
    </w:p>
    <w:p w14:paraId="2481F69D" w14:textId="77777777" w:rsidR="00366E2C" w:rsidRPr="00DB53B7" w:rsidRDefault="00366E2C" w:rsidP="00366E2C">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Amparo directo 338/2001. Hilados de Lana, S.A. de C.V. 31 de octubre de 2001. Unanimidad de votos. Ponente: Amanda R. García González. Secretaria: Fernanda María Adela Talavera Díaz.</w:t>
      </w:r>
    </w:p>
    <w:p w14:paraId="28DEB8E2" w14:textId="77777777" w:rsidR="00366E2C" w:rsidRPr="00DB53B7" w:rsidRDefault="00366E2C" w:rsidP="00366E2C">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Amparo directo 20/2002. Afianzadora Insurgentes, S.A. de C.V. 14 de febrero de 2002. Unanimidad de votos. Ponente: Omar Losson Ovando. Secretaria: Elsa María López Luna.</w:t>
      </w:r>
    </w:p>
    <w:p w14:paraId="03677366" w14:textId="77777777" w:rsidR="00366E2C" w:rsidRPr="00DB53B7" w:rsidRDefault="00366E2C" w:rsidP="00366E2C">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Amparo directo 271/2002. Fianzas México Bital, S.A., Grupo Financiero Bital. 7 de noviembre de 2002. Unanimidad de votos. Ponente: Antonio Meza Alarcón. Secretario: Roberto Genchi Recinos.</w:t>
      </w:r>
    </w:p>
    <w:p w14:paraId="32C2B37F" w14:textId="77777777" w:rsidR="00366E2C" w:rsidRPr="00DB53B7" w:rsidRDefault="00366E2C" w:rsidP="00366E2C">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Amparo directo 181/2003. Constructora y Arrendadora Paquime, S.A. de C.V. 5 de junio de 2003. Unanimidad de votos. Ponente: Omar Losson Ovando. Secretaria: Elsa María López Luna.</w:t>
      </w:r>
    </w:p>
    <w:p w14:paraId="726CE5C0" w14:textId="77777777" w:rsidR="00366E2C" w:rsidRPr="00DB53B7" w:rsidRDefault="00366E2C" w:rsidP="00366E2C">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Amparo directo 137/2003. Oficentro Zanella, S.A. de C.V. 12 de junio de 2003. Unanimidad de votos. Ponente: Omar Losson Ovando. Secretaria: Elsa María López Luna.</w:t>
      </w:r>
    </w:p>
    <w:p w14:paraId="56B6F60D" w14:textId="77777777" w:rsidR="00366E2C" w:rsidRPr="00DB53B7" w:rsidRDefault="00366E2C" w:rsidP="00366E2C">
      <w:pPr>
        <w:spacing w:before="120" w:after="120"/>
        <w:ind w:right="49"/>
        <w:contextualSpacing/>
        <w:jc w:val="both"/>
        <w:rPr>
          <w:rFonts w:ascii="Palatino Linotype" w:hAnsi="Palatino Linotype" w:cs="Arial"/>
          <w:i/>
          <w:sz w:val="16"/>
          <w:szCs w:val="16"/>
        </w:rPr>
      </w:pPr>
      <w:r w:rsidRPr="00DB53B7">
        <w:rPr>
          <w:rFonts w:ascii="Palatino Linotype" w:hAnsi="Palatino Linotype" w:cs="Arial"/>
          <w:i/>
          <w:sz w:val="16"/>
          <w:szCs w:val="16"/>
        </w:rPr>
        <w:t>Véase: Apéndice al Semanario Judicial de la Federación 1917-2000, Tomo III, Materia Administrativa, página 267, tesis 250, de rubro: "CONCEPTOS DE VIOLACIÓN EN EL AMPARO DIRECTO. INEFICACIA DE LOS ARGUMENTOS NO PROPUESTOS A LA SALA FISCAL RESPONSABLE."</w:t>
      </w:r>
    </w:p>
    <w:p w14:paraId="440A41F0" w14:textId="77777777" w:rsidR="00366E2C" w:rsidRDefault="00366E2C" w:rsidP="00366E2C">
      <w:pPr>
        <w:pStyle w:val="Textonotapie"/>
      </w:pPr>
    </w:p>
  </w:footnote>
  <w:footnote w:id="3">
    <w:p w14:paraId="547E5C6F" w14:textId="77777777" w:rsidR="00E17E06" w:rsidRPr="00E17E06" w:rsidRDefault="00E17E06" w:rsidP="00E17E06">
      <w:pPr>
        <w:contextualSpacing/>
        <w:jc w:val="both"/>
        <w:rPr>
          <w:rFonts w:ascii="Palatino Linotype" w:hAnsi="Palatino Linotype"/>
          <w:sz w:val="16"/>
          <w:szCs w:val="16"/>
        </w:rPr>
      </w:pPr>
      <w:r>
        <w:rPr>
          <w:rStyle w:val="Refdenotaalpie"/>
        </w:rPr>
        <w:footnoteRef/>
      </w:r>
      <w:r>
        <w:t xml:space="preserve"> </w:t>
      </w:r>
      <w:r w:rsidRPr="00E17E06">
        <w:rPr>
          <w:rFonts w:ascii="Palatino Linotype" w:hAnsi="Palatino Linotype"/>
          <w:sz w:val="16"/>
          <w:szCs w:val="16"/>
        </w:rPr>
        <w:t>Contradicción de tesis 56/2011. Entre las sustentadas por la Primera y la Segunda Salas de la Suprema Corte de Justicia de la Nación. 30 de mayo de 2013. Mayoría de siete votos de los Ministros Margarita Beatriz Luna Ramos, José Fernando Franco González Salas, Arturo Zaldívar Lelo de Larrea, Jorge Mario Pardo Rebolledo, Sergio A. Valls Hernández, Olga Sánchez Cordero de García Villegas y Alberto Pérez Dayán; votaron en contra: Alfredo Gutiérrez Ortiz Mena, José Ramón Cossío Díaz, Luis María Aguilar Morales y Juan N. Silva Meza. Ponente: Sergio A. Valls Hernández. Secretarios: Laura García Velasco y José Álvaro Vargas Ornelas.</w:t>
      </w:r>
    </w:p>
    <w:p w14:paraId="0EACDE20" w14:textId="77777777" w:rsidR="00E17E06" w:rsidRPr="00E17E06" w:rsidRDefault="00E17E06" w:rsidP="00E17E06">
      <w:pPr>
        <w:contextualSpacing/>
        <w:jc w:val="both"/>
        <w:rPr>
          <w:rFonts w:ascii="Palatino Linotype" w:hAnsi="Palatino Linotype"/>
          <w:sz w:val="16"/>
          <w:szCs w:val="16"/>
        </w:rPr>
      </w:pPr>
    </w:p>
    <w:p w14:paraId="18D23643" w14:textId="77777777" w:rsidR="00E17E06" w:rsidRPr="00E17E06" w:rsidRDefault="00E17E06" w:rsidP="00E17E06">
      <w:pPr>
        <w:contextualSpacing/>
        <w:jc w:val="both"/>
        <w:rPr>
          <w:rFonts w:ascii="Palatino Linotype" w:hAnsi="Palatino Linotype"/>
          <w:sz w:val="16"/>
          <w:szCs w:val="16"/>
        </w:rPr>
      </w:pPr>
      <w:r w:rsidRPr="00E17E06">
        <w:rPr>
          <w:rFonts w:ascii="Palatino Linotype" w:hAnsi="Palatino Linotype"/>
          <w:sz w:val="16"/>
          <w:szCs w:val="16"/>
        </w:rPr>
        <w:t>El Tribunal Pleno, el veintitrés de enero en curso, aprobó, con el número II/2014 (10a.), la tesis aislada que antecede. México, Distrito Federal, a veintitrés de enero de dos mil catorce.</w:t>
      </w:r>
    </w:p>
    <w:p w14:paraId="53786A80" w14:textId="77777777" w:rsidR="00E17E06" w:rsidRPr="00E17E06" w:rsidRDefault="00E17E06" w:rsidP="00E17E06">
      <w:pPr>
        <w:contextualSpacing/>
        <w:jc w:val="both"/>
        <w:rPr>
          <w:rFonts w:ascii="Palatino Linotype" w:hAnsi="Palatino Linotype"/>
          <w:sz w:val="16"/>
          <w:szCs w:val="16"/>
        </w:rPr>
      </w:pPr>
    </w:p>
    <w:p w14:paraId="4D9A9940" w14:textId="77777777" w:rsidR="00E17E06" w:rsidRPr="00E17E06" w:rsidRDefault="00E17E06" w:rsidP="00E17E06">
      <w:pPr>
        <w:contextualSpacing/>
        <w:jc w:val="both"/>
        <w:rPr>
          <w:rFonts w:ascii="Palatino Linotype" w:hAnsi="Palatino Linotype"/>
          <w:sz w:val="16"/>
          <w:szCs w:val="16"/>
        </w:rPr>
      </w:pPr>
      <w:r w:rsidRPr="00E17E06">
        <w:rPr>
          <w:rFonts w:ascii="Palatino Linotype" w:hAnsi="Palatino Linotype"/>
          <w:sz w:val="16"/>
          <w:szCs w:val="16"/>
        </w:rPr>
        <w:t>Nota: Esta tesis no constituye jurisprudencia, ya que no resuelve el tema de la contradicción planteada.</w:t>
      </w:r>
    </w:p>
    <w:p w14:paraId="3EF6038B" w14:textId="77777777" w:rsidR="00E17E06" w:rsidRPr="00E17E06" w:rsidRDefault="00E17E06" w:rsidP="00E17E06">
      <w:pPr>
        <w:contextualSpacing/>
        <w:jc w:val="both"/>
        <w:rPr>
          <w:rFonts w:ascii="Palatino Linotype" w:hAnsi="Palatino Linotype"/>
          <w:sz w:val="16"/>
          <w:szCs w:val="16"/>
        </w:rPr>
      </w:pPr>
    </w:p>
    <w:p w14:paraId="20189FFA" w14:textId="7EF2B66C" w:rsidR="00E17E06" w:rsidRDefault="00E17E06" w:rsidP="00E17E06">
      <w:pPr>
        <w:pStyle w:val="Textonotapie"/>
      </w:pPr>
      <w:r w:rsidRPr="00E17E06">
        <w:rPr>
          <w:rFonts w:ascii="Palatino Linotype" w:hAnsi="Palatino Linotype"/>
          <w:sz w:val="16"/>
          <w:szCs w:val="16"/>
        </w:rPr>
        <w:t>Esta tesis se publicó el viernes 14 de febrero de 2014 a las 11:05 horas en el Semanario Judicial de la Federación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572EA" w:rsidRDefault="00634A5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572EA" w:rsidRPr="0010196A" w:rsidRDefault="00634A5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544"/>
      <w:gridCol w:w="2552"/>
      <w:gridCol w:w="3438"/>
    </w:tblGrid>
    <w:tr w:rsidR="001572EA" w:rsidRPr="008F2CCC" w14:paraId="1F097D8A" w14:textId="77777777" w:rsidTr="00661719">
      <w:tc>
        <w:tcPr>
          <w:tcW w:w="3544" w:type="dxa"/>
          <w:vMerge w:val="restart"/>
        </w:tcPr>
        <w:p w14:paraId="1F780A0C" w14:textId="1EFF25F4" w:rsidR="001572EA" w:rsidRPr="008F2CCC" w:rsidRDefault="001572E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77777777" w:rsidR="001572EA" w:rsidRPr="00664658" w:rsidRDefault="001572E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438" w:type="dxa"/>
          <w:shd w:val="clear" w:color="auto" w:fill="auto"/>
          <w:vAlign w:val="center"/>
        </w:tcPr>
        <w:p w14:paraId="65AFA994" w14:textId="4CB07D86" w:rsidR="001572EA" w:rsidRPr="00664658" w:rsidRDefault="0042316E" w:rsidP="0042316E">
          <w:pPr>
            <w:jc w:val="both"/>
            <w:rPr>
              <w:rFonts w:ascii="Palatino Linotype" w:hAnsi="Palatino Linotype"/>
              <w:b/>
              <w:sz w:val="22"/>
              <w:szCs w:val="22"/>
              <w:lang w:val="es-ES_tradnl"/>
            </w:rPr>
          </w:pPr>
          <w:r>
            <w:rPr>
              <w:rFonts w:ascii="Palatino Linotype" w:hAnsi="Palatino Linotype"/>
              <w:b/>
              <w:sz w:val="22"/>
              <w:szCs w:val="22"/>
              <w:lang w:val="es-ES_tradnl"/>
            </w:rPr>
            <w:t>04077</w:t>
          </w:r>
          <w:r w:rsidR="005A12AB">
            <w:rPr>
              <w:rFonts w:ascii="Palatino Linotype" w:hAnsi="Palatino Linotype"/>
              <w:b/>
              <w:sz w:val="22"/>
              <w:szCs w:val="22"/>
              <w:lang w:val="es-ES_tradnl"/>
            </w:rPr>
            <w:t>/INFOEM/IP/RR/2021</w:t>
          </w:r>
        </w:p>
      </w:tc>
    </w:tr>
    <w:tr w:rsidR="001572EA" w:rsidRPr="008F2CCC" w14:paraId="049677A3" w14:textId="77777777" w:rsidTr="00661719">
      <w:tc>
        <w:tcPr>
          <w:tcW w:w="3544" w:type="dxa"/>
          <w:vMerge/>
        </w:tcPr>
        <w:p w14:paraId="4A21EAC1" w14:textId="5C1F145E" w:rsidR="001572EA" w:rsidRPr="008F2CCC" w:rsidRDefault="001572EA" w:rsidP="00A938C3">
          <w:pPr>
            <w:rPr>
              <w:rFonts w:ascii="Palatino Linotype" w:hAnsi="Palatino Linotype"/>
              <w:b/>
              <w:sz w:val="22"/>
              <w:szCs w:val="22"/>
              <w:lang w:val="es-ES_tradnl"/>
            </w:rPr>
          </w:pPr>
        </w:p>
      </w:tc>
      <w:tc>
        <w:tcPr>
          <w:tcW w:w="2552" w:type="dxa"/>
          <w:shd w:val="clear" w:color="auto" w:fill="auto"/>
        </w:tcPr>
        <w:p w14:paraId="1237BCDE" w14:textId="77777777" w:rsidR="001572EA" w:rsidRPr="00664658" w:rsidRDefault="001572EA" w:rsidP="00A938C3">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2B56972C" w:rsidR="001572EA" w:rsidRPr="00D41D47" w:rsidRDefault="0042316E" w:rsidP="005A12AB">
          <w:pPr>
            <w:jc w:val="both"/>
            <w:rPr>
              <w:rFonts w:ascii="Palatino Linotype" w:hAnsi="Palatino Linotype"/>
              <w:b/>
              <w:sz w:val="22"/>
              <w:szCs w:val="22"/>
              <w:lang w:val="es-ES_tradnl"/>
            </w:rPr>
          </w:pPr>
          <w:r>
            <w:rPr>
              <w:rFonts w:ascii="Palatino Linotype" w:hAnsi="Palatino Linotype"/>
              <w:b/>
              <w:sz w:val="22"/>
              <w:szCs w:val="22"/>
              <w:lang w:val="es-ES_tradnl"/>
            </w:rPr>
            <w:t>Secretaría de Movilidad</w:t>
          </w:r>
          <w:r w:rsidR="005A12AB">
            <w:rPr>
              <w:rFonts w:ascii="Palatino Linotype" w:hAnsi="Palatino Linotype"/>
              <w:b/>
              <w:sz w:val="22"/>
              <w:szCs w:val="22"/>
              <w:lang w:val="es-ES_tradnl"/>
            </w:rPr>
            <w:t xml:space="preserve"> </w:t>
          </w:r>
          <w:r w:rsidR="001572EA">
            <w:rPr>
              <w:rFonts w:ascii="Palatino Linotype" w:hAnsi="Palatino Linotype"/>
              <w:b/>
              <w:sz w:val="22"/>
              <w:szCs w:val="22"/>
              <w:lang w:val="es-ES_tradnl"/>
            </w:rPr>
            <w:t xml:space="preserve">   </w:t>
          </w:r>
        </w:p>
      </w:tc>
    </w:tr>
    <w:tr w:rsidR="005A12AB" w:rsidRPr="008F2CCC" w14:paraId="72CD087D" w14:textId="77777777" w:rsidTr="00661719">
      <w:trPr>
        <w:trHeight w:val="228"/>
      </w:trPr>
      <w:tc>
        <w:tcPr>
          <w:tcW w:w="3544" w:type="dxa"/>
          <w:vMerge/>
        </w:tcPr>
        <w:p w14:paraId="1B78656F" w14:textId="01E6F6F6" w:rsidR="005A12AB" w:rsidRPr="008F2CCC" w:rsidRDefault="005A12AB" w:rsidP="005A12AB">
          <w:pPr>
            <w:rPr>
              <w:rFonts w:ascii="Palatino Linotype" w:hAnsi="Palatino Linotype"/>
              <w:b/>
              <w:sz w:val="22"/>
              <w:szCs w:val="22"/>
              <w:lang w:val="es-ES_tradnl"/>
            </w:rPr>
          </w:pPr>
        </w:p>
      </w:tc>
      <w:tc>
        <w:tcPr>
          <w:tcW w:w="2552" w:type="dxa"/>
          <w:shd w:val="clear" w:color="auto" w:fill="auto"/>
        </w:tcPr>
        <w:p w14:paraId="74D81628" w14:textId="77777777" w:rsidR="005A12AB" w:rsidRPr="00664658" w:rsidRDefault="005A12AB" w:rsidP="005A12AB">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438" w:type="dxa"/>
          <w:shd w:val="clear" w:color="auto" w:fill="auto"/>
        </w:tcPr>
        <w:p w14:paraId="20D6FDA3" w14:textId="61929429" w:rsidR="005A12AB" w:rsidRPr="00664658" w:rsidRDefault="005A12AB" w:rsidP="005A12AB">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3ECB9F0B" w14:textId="77777777" w:rsidR="001572EA" w:rsidRPr="0010196A" w:rsidRDefault="001572E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1572EA" w:rsidRPr="0010196A" w:rsidRDefault="001572EA">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395"/>
      <w:gridCol w:w="2551"/>
      <w:gridCol w:w="3544"/>
    </w:tblGrid>
    <w:tr w:rsidR="001572EA" w:rsidRPr="008F2CCC" w14:paraId="6ABABA57" w14:textId="77777777" w:rsidTr="00661719">
      <w:tc>
        <w:tcPr>
          <w:tcW w:w="4395" w:type="dxa"/>
          <w:vMerge w:val="restart"/>
          <w:shd w:val="clear" w:color="auto" w:fill="auto"/>
        </w:tcPr>
        <w:p w14:paraId="6AA376CC" w14:textId="1E62217E" w:rsidR="001572EA" w:rsidRPr="008F2CCC" w:rsidRDefault="001572EA"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77777777" w:rsidR="001572EA" w:rsidRPr="008F2CCC" w:rsidRDefault="001572E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14:paraId="5F0F5848" w14:textId="4B93A71C" w:rsidR="001572EA" w:rsidRPr="008F2CCC" w:rsidRDefault="0042316E" w:rsidP="00FF2351">
          <w:pPr>
            <w:jc w:val="both"/>
            <w:rPr>
              <w:rFonts w:ascii="Palatino Linotype" w:hAnsi="Palatino Linotype"/>
              <w:b/>
              <w:sz w:val="22"/>
              <w:szCs w:val="22"/>
              <w:lang w:val="es-ES_tradnl"/>
            </w:rPr>
          </w:pPr>
          <w:r>
            <w:rPr>
              <w:rFonts w:ascii="Palatino Linotype" w:hAnsi="Palatino Linotype"/>
              <w:b/>
              <w:sz w:val="22"/>
              <w:szCs w:val="22"/>
              <w:lang w:val="es-ES_tradnl"/>
            </w:rPr>
            <w:t>04077</w:t>
          </w:r>
          <w:r w:rsidR="001572EA">
            <w:rPr>
              <w:rFonts w:ascii="Palatino Linotype" w:hAnsi="Palatino Linotype"/>
              <w:b/>
              <w:sz w:val="22"/>
              <w:szCs w:val="22"/>
              <w:lang w:val="es-ES_tradnl"/>
            </w:rPr>
            <w:t>/INFOEM/IP/RR/2021</w:t>
          </w:r>
        </w:p>
      </w:tc>
    </w:tr>
    <w:tr w:rsidR="001572EA" w:rsidRPr="008F2CCC" w14:paraId="3B45FB53" w14:textId="77777777" w:rsidTr="00661719">
      <w:tc>
        <w:tcPr>
          <w:tcW w:w="4395" w:type="dxa"/>
          <w:vMerge/>
          <w:shd w:val="clear" w:color="auto" w:fill="auto"/>
        </w:tcPr>
        <w:p w14:paraId="188B82EF" w14:textId="77777777" w:rsidR="001572EA" w:rsidRPr="008F2CCC" w:rsidRDefault="001572EA" w:rsidP="00A2780F">
          <w:pPr>
            <w:rPr>
              <w:rFonts w:ascii="Palatino Linotype" w:hAnsi="Palatino Linotype"/>
              <w:b/>
              <w:sz w:val="22"/>
              <w:szCs w:val="22"/>
              <w:lang w:val="es-ES_tradnl"/>
            </w:rPr>
          </w:pPr>
        </w:p>
      </w:tc>
      <w:tc>
        <w:tcPr>
          <w:tcW w:w="2551" w:type="dxa"/>
          <w:shd w:val="clear" w:color="auto" w:fill="auto"/>
        </w:tcPr>
        <w:p w14:paraId="3B2AD0CF" w14:textId="77777777" w:rsidR="001572EA" w:rsidRPr="008F2CCC" w:rsidRDefault="001572E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14:paraId="749961B3" w14:textId="7FA1D54E" w:rsidR="001572EA" w:rsidRPr="008F2CCC" w:rsidRDefault="00433108" w:rsidP="00D82AD3">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XXXXXXX XXXXX XXXXXXXXX representada por XXXXX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XXXXXX XXXXXXXX</w:t>
          </w:r>
        </w:p>
      </w:tc>
    </w:tr>
    <w:tr w:rsidR="001572EA" w:rsidRPr="008F2CCC" w14:paraId="28A493EB" w14:textId="77777777" w:rsidTr="00661719">
      <w:trPr>
        <w:trHeight w:val="228"/>
      </w:trPr>
      <w:tc>
        <w:tcPr>
          <w:tcW w:w="4395" w:type="dxa"/>
          <w:vMerge/>
          <w:shd w:val="clear" w:color="auto" w:fill="auto"/>
        </w:tcPr>
        <w:p w14:paraId="06C77D31" w14:textId="77777777" w:rsidR="001572EA" w:rsidRPr="008F2CCC" w:rsidRDefault="001572EA" w:rsidP="00E37C88">
          <w:pPr>
            <w:rPr>
              <w:rFonts w:ascii="Palatino Linotype" w:hAnsi="Palatino Linotype"/>
              <w:b/>
              <w:sz w:val="22"/>
              <w:szCs w:val="22"/>
              <w:lang w:val="es-ES_tradnl"/>
            </w:rPr>
          </w:pPr>
        </w:p>
      </w:tc>
      <w:tc>
        <w:tcPr>
          <w:tcW w:w="2551" w:type="dxa"/>
          <w:shd w:val="clear" w:color="auto" w:fill="auto"/>
        </w:tcPr>
        <w:p w14:paraId="2E1A72B4" w14:textId="77777777" w:rsidR="001572EA" w:rsidRPr="008F2CCC" w:rsidRDefault="001572E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14:paraId="47AF3C2E" w14:textId="2059826D" w:rsidR="001572EA" w:rsidRPr="00DC41C8" w:rsidRDefault="0042316E" w:rsidP="00D82AD3">
          <w:pPr>
            <w:jc w:val="both"/>
            <w:rPr>
              <w:rFonts w:ascii="Palatino Linotype" w:hAnsi="Palatino Linotype"/>
              <w:b/>
              <w:sz w:val="22"/>
              <w:szCs w:val="22"/>
            </w:rPr>
          </w:pPr>
          <w:r>
            <w:rPr>
              <w:rFonts w:ascii="Palatino Linotype" w:hAnsi="Palatino Linotype"/>
              <w:b/>
              <w:sz w:val="22"/>
              <w:szCs w:val="22"/>
              <w:lang w:val="es-ES_tradnl"/>
            </w:rPr>
            <w:t>Secretaría de Movilidad</w:t>
          </w:r>
        </w:p>
      </w:tc>
    </w:tr>
    <w:tr w:rsidR="001572EA" w:rsidRPr="008F2CCC" w14:paraId="0F114FF0" w14:textId="77777777" w:rsidTr="00661719">
      <w:tc>
        <w:tcPr>
          <w:tcW w:w="4395" w:type="dxa"/>
          <w:vMerge/>
          <w:shd w:val="clear" w:color="auto" w:fill="auto"/>
        </w:tcPr>
        <w:p w14:paraId="4CCB64BA" w14:textId="77777777" w:rsidR="001572EA" w:rsidRPr="008F2CCC" w:rsidRDefault="001572EA" w:rsidP="00A2780F">
          <w:pPr>
            <w:rPr>
              <w:rFonts w:ascii="Palatino Linotype" w:hAnsi="Palatino Linotype"/>
              <w:b/>
              <w:sz w:val="22"/>
              <w:szCs w:val="22"/>
              <w:lang w:val="es-ES_tradnl"/>
            </w:rPr>
          </w:pPr>
        </w:p>
      </w:tc>
      <w:tc>
        <w:tcPr>
          <w:tcW w:w="2551" w:type="dxa"/>
          <w:shd w:val="clear" w:color="auto" w:fill="auto"/>
        </w:tcPr>
        <w:p w14:paraId="31E422EA" w14:textId="77777777" w:rsidR="001572EA" w:rsidRPr="008F2CCC" w:rsidRDefault="001572E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14:paraId="181C41B4" w14:textId="5B7ADC99" w:rsidR="001572EA" w:rsidRPr="008F2CCC" w:rsidRDefault="00D82AD3" w:rsidP="00D82AD3">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63470D9" w14:textId="35AB92B3" w:rsidR="001572EA" w:rsidRPr="0010196A" w:rsidRDefault="00634A50"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7592"/>
    <w:multiLevelType w:val="hybridMultilevel"/>
    <w:tmpl w:val="F21A666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770144"/>
    <w:multiLevelType w:val="hybridMultilevel"/>
    <w:tmpl w:val="39C21E64"/>
    <w:lvl w:ilvl="0" w:tplc="A3D8258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04BA7D1C"/>
    <w:multiLevelType w:val="hybridMultilevel"/>
    <w:tmpl w:val="DAA2F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A0D63B4"/>
    <w:multiLevelType w:val="hybridMultilevel"/>
    <w:tmpl w:val="A27295CC"/>
    <w:lvl w:ilvl="0" w:tplc="C2D60E3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2CCC3D0F"/>
    <w:multiLevelType w:val="hybridMultilevel"/>
    <w:tmpl w:val="4C944C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60D3CC4"/>
    <w:multiLevelType w:val="hybridMultilevel"/>
    <w:tmpl w:val="66F406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952415A"/>
    <w:multiLevelType w:val="hybridMultilevel"/>
    <w:tmpl w:val="CC4058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B5B2A6A"/>
    <w:multiLevelType w:val="multilevel"/>
    <w:tmpl w:val="9934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8A2F5C"/>
    <w:multiLevelType w:val="hybridMultilevel"/>
    <w:tmpl w:val="4C944C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9F37E5E"/>
    <w:multiLevelType w:val="hybridMultilevel"/>
    <w:tmpl w:val="3CD423F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F78367A"/>
    <w:multiLevelType w:val="hybridMultilevel"/>
    <w:tmpl w:val="4C944C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3B43E16"/>
    <w:multiLevelType w:val="hybridMultilevel"/>
    <w:tmpl w:val="CC4058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6AE769B"/>
    <w:multiLevelType w:val="hybridMultilevel"/>
    <w:tmpl w:val="4DC29078"/>
    <w:lvl w:ilvl="0" w:tplc="C31A5A8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nsid w:val="697337D5"/>
    <w:multiLevelType w:val="hybridMultilevel"/>
    <w:tmpl w:val="66F68564"/>
    <w:lvl w:ilvl="0" w:tplc="ED44D1C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6F1547B2"/>
    <w:multiLevelType w:val="hybridMultilevel"/>
    <w:tmpl w:val="CC4058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A8F08F5"/>
    <w:multiLevelType w:val="hybridMultilevel"/>
    <w:tmpl w:val="1610BF1A"/>
    <w:lvl w:ilvl="0" w:tplc="DF14A7E0">
      <w:start w:val="1"/>
      <w:numFmt w:val="decimal"/>
      <w:lvlText w:val="%1."/>
      <w:lvlJc w:val="left"/>
      <w:pPr>
        <w:ind w:left="502"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C5C2F63"/>
    <w:multiLevelType w:val="multilevel"/>
    <w:tmpl w:val="6D74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9"/>
  </w:num>
  <w:num w:numId="4">
    <w:abstractNumId w:val="7"/>
  </w:num>
  <w:num w:numId="5">
    <w:abstractNumId w:val="8"/>
  </w:num>
  <w:num w:numId="6">
    <w:abstractNumId w:val="18"/>
  </w:num>
  <w:num w:numId="7">
    <w:abstractNumId w:val="13"/>
  </w:num>
  <w:num w:numId="8">
    <w:abstractNumId w:val="0"/>
  </w:num>
  <w:num w:numId="9">
    <w:abstractNumId w:val="16"/>
  </w:num>
  <w:num w:numId="10">
    <w:abstractNumId w:val="2"/>
  </w:num>
  <w:num w:numId="11">
    <w:abstractNumId w:val="11"/>
  </w:num>
  <w:num w:numId="12">
    <w:abstractNumId w:val="10"/>
  </w:num>
  <w:num w:numId="13">
    <w:abstractNumId w:val="5"/>
  </w:num>
  <w:num w:numId="14">
    <w:abstractNumId w:val="12"/>
  </w:num>
  <w:num w:numId="15">
    <w:abstractNumId w:val="17"/>
  </w:num>
  <w:num w:numId="16">
    <w:abstractNumId w:val="15"/>
  </w:num>
  <w:num w:numId="17">
    <w:abstractNumId w:val="1"/>
  </w:num>
  <w:num w:numId="18">
    <w:abstractNumId w:val="4"/>
  </w:num>
  <w:num w:numId="1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586"/>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2CA"/>
    <w:rsid w:val="00013986"/>
    <w:rsid w:val="00013C80"/>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46F"/>
    <w:rsid w:val="00036B1A"/>
    <w:rsid w:val="00037136"/>
    <w:rsid w:val="00037DDE"/>
    <w:rsid w:val="00037FDC"/>
    <w:rsid w:val="00040C7B"/>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821"/>
    <w:rsid w:val="00067C7D"/>
    <w:rsid w:val="0007023A"/>
    <w:rsid w:val="00070856"/>
    <w:rsid w:val="00071FC4"/>
    <w:rsid w:val="0007208F"/>
    <w:rsid w:val="000725D3"/>
    <w:rsid w:val="0007261F"/>
    <w:rsid w:val="000728B7"/>
    <w:rsid w:val="00072954"/>
    <w:rsid w:val="00072CB3"/>
    <w:rsid w:val="00072DE9"/>
    <w:rsid w:val="00072F99"/>
    <w:rsid w:val="0007327E"/>
    <w:rsid w:val="000734E9"/>
    <w:rsid w:val="0007367D"/>
    <w:rsid w:val="00073A2F"/>
    <w:rsid w:val="0007436D"/>
    <w:rsid w:val="00074CF8"/>
    <w:rsid w:val="00075283"/>
    <w:rsid w:val="00075615"/>
    <w:rsid w:val="00075D95"/>
    <w:rsid w:val="00075EA3"/>
    <w:rsid w:val="00076FD9"/>
    <w:rsid w:val="00077AC1"/>
    <w:rsid w:val="00077B79"/>
    <w:rsid w:val="00077BB8"/>
    <w:rsid w:val="00077BC0"/>
    <w:rsid w:val="0008043B"/>
    <w:rsid w:val="0008139C"/>
    <w:rsid w:val="00081B66"/>
    <w:rsid w:val="0008338D"/>
    <w:rsid w:val="00083C83"/>
    <w:rsid w:val="00084079"/>
    <w:rsid w:val="0008420F"/>
    <w:rsid w:val="0008455F"/>
    <w:rsid w:val="000847B2"/>
    <w:rsid w:val="00085229"/>
    <w:rsid w:val="0008542A"/>
    <w:rsid w:val="00085585"/>
    <w:rsid w:val="00085973"/>
    <w:rsid w:val="000861FF"/>
    <w:rsid w:val="0008668D"/>
    <w:rsid w:val="00086790"/>
    <w:rsid w:val="00086980"/>
    <w:rsid w:val="00086BEA"/>
    <w:rsid w:val="0008710F"/>
    <w:rsid w:val="00087D47"/>
    <w:rsid w:val="0009069F"/>
    <w:rsid w:val="00090C67"/>
    <w:rsid w:val="00090CC8"/>
    <w:rsid w:val="00091155"/>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1A3B"/>
    <w:rsid w:val="000A24A3"/>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0DD6"/>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DA0"/>
    <w:rsid w:val="000D1A6F"/>
    <w:rsid w:val="000D1B2D"/>
    <w:rsid w:val="000D21C4"/>
    <w:rsid w:val="000D2BC0"/>
    <w:rsid w:val="000D3E87"/>
    <w:rsid w:val="000D447F"/>
    <w:rsid w:val="000D5180"/>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2B4F"/>
    <w:rsid w:val="00113015"/>
    <w:rsid w:val="001131FD"/>
    <w:rsid w:val="001132F3"/>
    <w:rsid w:val="00113629"/>
    <w:rsid w:val="001136D3"/>
    <w:rsid w:val="001136E8"/>
    <w:rsid w:val="001149CC"/>
    <w:rsid w:val="00114CC0"/>
    <w:rsid w:val="00114EE5"/>
    <w:rsid w:val="0011502F"/>
    <w:rsid w:val="0011507B"/>
    <w:rsid w:val="00115DB1"/>
    <w:rsid w:val="00115E6B"/>
    <w:rsid w:val="00116272"/>
    <w:rsid w:val="00116376"/>
    <w:rsid w:val="001163D7"/>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37DB"/>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069"/>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3A80"/>
    <w:rsid w:val="00144037"/>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2EA"/>
    <w:rsid w:val="00157A4F"/>
    <w:rsid w:val="0016023D"/>
    <w:rsid w:val="00160405"/>
    <w:rsid w:val="00160AB4"/>
    <w:rsid w:val="00160C20"/>
    <w:rsid w:val="00161318"/>
    <w:rsid w:val="00161607"/>
    <w:rsid w:val="00161664"/>
    <w:rsid w:val="00161908"/>
    <w:rsid w:val="00161D33"/>
    <w:rsid w:val="00161D9E"/>
    <w:rsid w:val="001624E0"/>
    <w:rsid w:val="00162617"/>
    <w:rsid w:val="001626F3"/>
    <w:rsid w:val="00162F49"/>
    <w:rsid w:val="00163E4C"/>
    <w:rsid w:val="001640BD"/>
    <w:rsid w:val="001641CF"/>
    <w:rsid w:val="001642E9"/>
    <w:rsid w:val="0016439F"/>
    <w:rsid w:val="001646CE"/>
    <w:rsid w:val="0016493E"/>
    <w:rsid w:val="00164D1B"/>
    <w:rsid w:val="00165069"/>
    <w:rsid w:val="001657E8"/>
    <w:rsid w:val="00165891"/>
    <w:rsid w:val="00165B8D"/>
    <w:rsid w:val="00166410"/>
    <w:rsid w:val="00166D1D"/>
    <w:rsid w:val="00166F44"/>
    <w:rsid w:val="0016735C"/>
    <w:rsid w:val="00167677"/>
    <w:rsid w:val="001676B7"/>
    <w:rsid w:val="00167D9D"/>
    <w:rsid w:val="00170043"/>
    <w:rsid w:val="001701E7"/>
    <w:rsid w:val="0017034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B0"/>
    <w:rsid w:val="00184684"/>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20FE"/>
    <w:rsid w:val="00192873"/>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159"/>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8F6"/>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5E99"/>
    <w:rsid w:val="001D6107"/>
    <w:rsid w:val="001D61F9"/>
    <w:rsid w:val="001D6F14"/>
    <w:rsid w:val="001D7279"/>
    <w:rsid w:val="001D73D9"/>
    <w:rsid w:val="001D7A1D"/>
    <w:rsid w:val="001D7A88"/>
    <w:rsid w:val="001D7C26"/>
    <w:rsid w:val="001D7D77"/>
    <w:rsid w:val="001D7F59"/>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BE5"/>
    <w:rsid w:val="00201D37"/>
    <w:rsid w:val="00201EFA"/>
    <w:rsid w:val="00202781"/>
    <w:rsid w:val="002028D5"/>
    <w:rsid w:val="0020314B"/>
    <w:rsid w:val="002034BD"/>
    <w:rsid w:val="00204207"/>
    <w:rsid w:val="00204DE3"/>
    <w:rsid w:val="00204FDF"/>
    <w:rsid w:val="0020533C"/>
    <w:rsid w:val="0020564A"/>
    <w:rsid w:val="00205684"/>
    <w:rsid w:val="00205751"/>
    <w:rsid w:val="00205BDE"/>
    <w:rsid w:val="002064B3"/>
    <w:rsid w:val="00206EF4"/>
    <w:rsid w:val="00210956"/>
    <w:rsid w:val="00210AF1"/>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70E"/>
    <w:rsid w:val="00216EF2"/>
    <w:rsid w:val="002176D1"/>
    <w:rsid w:val="00217725"/>
    <w:rsid w:val="002178DB"/>
    <w:rsid w:val="0021793F"/>
    <w:rsid w:val="0022012C"/>
    <w:rsid w:val="0022054B"/>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6D7"/>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E0D"/>
    <w:rsid w:val="00242F07"/>
    <w:rsid w:val="0024336D"/>
    <w:rsid w:val="002442F5"/>
    <w:rsid w:val="002447BD"/>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2377"/>
    <w:rsid w:val="00263BFE"/>
    <w:rsid w:val="002653BD"/>
    <w:rsid w:val="00265CEC"/>
    <w:rsid w:val="00265D9D"/>
    <w:rsid w:val="00265F1F"/>
    <w:rsid w:val="002660D2"/>
    <w:rsid w:val="0027005C"/>
    <w:rsid w:val="0027008F"/>
    <w:rsid w:val="002702BD"/>
    <w:rsid w:val="00270404"/>
    <w:rsid w:val="00270723"/>
    <w:rsid w:val="00270B6F"/>
    <w:rsid w:val="00270CBB"/>
    <w:rsid w:val="0027142F"/>
    <w:rsid w:val="00271AD4"/>
    <w:rsid w:val="002724AC"/>
    <w:rsid w:val="00272629"/>
    <w:rsid w:val="002727E6"/>
    <w:rsid w:val="002729DA"/>
    <w:rsid w:val="002729F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019"/>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29B"/>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314"/>
    <w:rsid w:val="002B2608"/>
    <w:rsid w:val="002B285A"/>
    <w:rsid w:val="002B29D7"/>
    <w:rsid w:val="002B2AF8"/>
    <w:rsid w:val="002B2F18"/>
    <w:rsid w:val="002B323A"/>
    <w:rsid w:val="002B38AB"/>
    <w:rsid w:val="002B52E6"/>
    <w:rsid w:val="002B578D"/>
    <w:rsid w:val="002B5A2B"/>
    <w:rsid w:val="002B60B8"/>
    <w:rsid w:val="002B60DC"/>
    <w:rsid w:val="002B6394"/>
    <w:rsid w:val="002B6E0A"/>
    <w:rsid w:val="002B6E64"/>
    <w:rsid w:val="002B7094"/>
    <w:rsid w:val="002B7129"/>
    <w:rsid w:val="002B7695"/>
    <w:rsid w:val="002B7D32"/>
    <w:rsid w:val="002C0146"/>
    <w:rsid w:val="002C0512"/>
    <w:rsid w:val="002C0CD3"/>
    <w:rsid w:val="002C12D5"/>
    <w:rsid w:val="002C135F"/>
    <w:rsid w:val="002C1459"/>
    <w:rsid w:val="002C18C0"/>
    <w:rsid w:val="002C1C07"/>
    <w:rsid w:val="002C2724"/>
    <w:rsid w:val="002C34F0"/>
    <w:rsid w:val="002C3662"/>
    <w:rsid w:val="002C3702"/>
    <w:rsid w:val="002C3A41"/>
    <w:rsid w:val="002C3B01"/>
    <w:rsid w:val="002C451D"/>
    <w:rsid w:val="002C47D6"/>
    <w:rsid w:val="002C4863"/>
    <w:rsid w:val="002C4987"/>
    <w:rsid w:val="002C6CE9"/>
    <w:rsid w:val="002C7342"/>
    <w:rsid w:val="002C742B"/>
    <w:rsid w:val="002C783E"/>
    <w:rsid w:val="002C798F"/>
    <w:rsid w:val="002C79B8"/>
    <w:rsid w:val="002C7D16"/>
    <w:rsid w:val="002D0ADC"/>
    <w:rsid w:val="002D0DE7"/>
    <w:rsid w:val="002D1C47"/>
    <w:rsid w:val="002D1F7F"/>
    <w:rsid w:val="002D2928"/>
    <w:rsid w:val="002D2D55"/>
    <w:rsid w:val="002D2E8E"/>
    <w:rsid w:val="002D30A0"/>
    <w:rsid w:val="002D32E2"/>
    <w:rsid w:val="002D334A"/>
    <w:rsid w:val="002D4245"/>
    <w:rsid w:val="002D43F8"/>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CFE"/>
    <w:rsid w:val="00310EF9"/>
    <w:rsid w:val="003115D4"/>
    <w:rsid w:val="0031165B"/>
    <w:rsid w:val="0031182B"/>
    <w:rsid w:val="003123CB"/>
    <w:rsid w:val="00312CD1"/>
    <w:rsid w:val="0031305F"/>
    <w:rsid w:val="00313499"/>
    <w:rsid w:val="003135FC"/>
    <w:rsid w:val="00313781"/>
    <w:rsid w:val="0031406E"/>
    <w:rsid w:val="0031490B"/>
    <w:rsid w:val="00314A51"/>
    <w:rsid w:val="00315203"/>
    <w:rsid w:val="003154CE"/>
    <w:rsid w:val="003164BC"/>
    <w:rsid w:val="00316C42"/>
    <w:rsid w:val="00316FD6"/>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A5A"/>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6F5"/>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5DCD"/>
    <w:rsid w:val="003561CB"/>
    <w:rsid w:val="00356365"/>
    <w:rsid w:val="0035677A"/>
    <w:rsid w:val="003567C7"/>
    <w:rsid w:val="00356E5D"/>
    <w:rsid w:val="00357421"/>
    <w:rsid w:val="003576E8"/>
    <w:rsid w:val="00357994"/>
    <w:rsid w:val="00357ADF"/>
    <w:rsid w:val="0036004B"/>
    <w:rsid w:val="003604BD"/>
    <w:rsid w:val="003604F7"/>
    <w:rsid w:val="003605BA"/>
    <w:rsid w:val="00360675"/>
    <w:rsid w:val="00361C25"/>
    <w:rsid w:val="00361CFC"/>
    <w:rsid w:val="003622A6"/>
    <w:rsid w:val="003622CB"/>
    <w:rsid w:val="003628F4"/>
    <w:rsid w:val="0036306A"/>
    <w:rsid w:val="00364BC7"/>
    <w:rsid w:val="00365628"/>
    <w:rsid w:val="00365921"/>
    <w:rsid w:val="00365DB3"/>
    <w:rsid w:val="00366317"/>
    <w:rsid w:val="003663F5"/>
    <w:rsid w:val="00366DDB"/>
    <w:rsid w:val="00366E2C"/>
    <w:rsid w:val="00367536"/>
    <w:rsid w:val="0036781E"/>
    <w:rsid w:val="00367DBB"/>
    <w:rsid w:val="00367DDA"/>
    <w:rsid w:val="003703DC"/>
    <w:rsid w:val="00370582"/>
    <w:rsid w:val="00370A22"/>
    <w:rsid w:val="0037195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3BB"/>
    <w:rsid w:val="003807A8"/>
    <w:rsid w:val="00380A53"/>
    <w:rsid w:val="0038102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6E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6D14"/>
    <w:rsid w:val="00396E36"/>
    <w:rsid w:val="00397407"/>
    <w:rsid w:val="003A0091"/>
    <w:rsid w:val="003A021D"/>
    <w:rsid w:val="003A04C3"/>
    <w:rsid w:val="003A089F"/>
    <w:rsid w:val="003A097E"/>
    <w:rsid w:val="003A0D57"/>
    <w:rsid w:val="003A0EC4"/>
    <w:rsid w:val="003A10A9"/>
    <w:rsid w:val="003A1C98"/>
    <w:rsid w:val="003A1DFE"/>
    <w:rsid w:val="003A228E"/>
    <w:rsid w:val="003A2718"/>
    <w:rsid w:val="003A3C82"/>
    <w:rsid w:val="003A3FBF"/>
    <w:rsid w:val="003A41C5"/>
    <w:rsid w:val="003A468A"/>
    <w:rsid w:val="003A4E64"/>
    <w:rsid w:val="003A52A9"/>
    <w:rsid w:val="003A546B"/>
    <w:rsid w:val="003A5BF1"/>
    <w:rsid w:val="003A660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0F7"/>
    <w:rsid w:val="003B71DB"/>
    <w:rsid w:val="003B7AA0"/>
    <w:rsid w:val="003C0396"/>
    <w:rsid w:val="003C04E5"/>
    <w:rsid w:val="003C0544"/>
    <w:rsid w:val="003C0C03"/>
    <w:rsid w:val="003C0C4B"/>
    <w:rsid w:val="003C0F0A"/>
    <w:rsid w:val="003C20B9"/>
    <w:rsid w:val="003C22CD"/>
    <w:rsid w:val="003C2568"/>
    <w:rsid w:val="003C2EB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0FDD"/>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9CF"/>
    <w:rsid w:val="003E3AFA"/>
    <w:rsid w:val="003E446F"/>
    <w:rsid w:val="003E4810"/>
    <w:rsid w:val="003E6C51"/>
    <w:rsid w:val="003E728E"/>
    <w:rsid w:val="003E77DB"/>
    <w:rsid w:val="003E7BF9"/>
    <w:rsid w:val="003E7D00"/>
    <w:rsid w:val="003F012C"/>
    <w:rsid w:val="003F01CE"/>
    <w:rsid w:val="003F04D5"/>
    <w:rsid w:val="003F05FB"/>
    <w:rsid w:val="003F0AD8"/>
    <w:rsid w:val="003F1044"/>
    <w:rsid w:val="003F14A0"/>
    <w:rsid w:val="003F1D20"/>
    <w:rsid w:val="003F1D4C"/>
    <w:rsid w:val="003F1FF7"/>
    <w:rsid w:val="003F216F"/>
    <w:rsid w:val="003F2B44"/>
    <w:rsid w:val="003F38D6"/>
    <w:rsid w:val="003F4BAB"/>
    <w:rsid w:val="003F4DDF"/>
    <w:rsid w:val="003F4F0B"/>
    <w:rsid w:val="003F614E"/>
    <w:rsid w:val="003F623D"/>
    <w:rsid w:val="003F6CF0"/>
    <w:rsid w:val="003F7A46"/>
    <w:rsid w:val="003F7DA5"/>
    <w:rsid w:val="004000EC"/>
    <w:rsid w:val="00400224"/>
    <w:rsid w:val="00400574"/>
    <w:rsid w:val="004005B5"/>
    <w:rsid w:val="00400629"/>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16E"/>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6A7"/>
    <w:rsid w:val="00431B40"/>
    <w:rsid w:val="004325CE"/>
    <w:rsid w:val="00432DE2"/>
    <w:rsid w:val="00433108"/>
    <w:rsid w:val="0043310A"/>
    <w:rsid w:val="0043364B"/>
    <w:rsid w:val="0043395D"/>
    <w:rsid w:val="00433CF2"/>
    <w:rsid w:val="00433F59"/>
    <w:rsid w:val="00434458"/>
    <w:rsid w:val="00434879"/>
    <w:rsid w:val="00434C7F"/>
    <w:rsid w:val="0043508A"/>
    <w:rsid w:val="0043548E"/>
    <w:rsid w:val="004356D0"/>
    <w:rsid w:val="00435CB4"/>
    <w:rsid w:val="00436020"/>
    <w:rsid w:val="004360B6"/>
    <w:rsid w:val="0043682E"/>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1A3E"/>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1CA4"/>
    <w:rsid w:val="00472203"/>
    <w:rsid w:val="00472B2F"/>
    <w:rsid w:val="00472EEC"/>
    <w:rsid w:val="00473992"/>
    <w:rsid w:val="004746D0"/>
    <w:rsid w:val="00474CAE"/>
    <w:rsid w:val="0047558D"/>
    <w:rsid w:val="004757C4"/>
    <w:rsid w:val="0047601E"/>
    <w:rsid w:val="0047651B"/>
    <w:rsid w:val="004767EC"/>
    <w:rsid w:val="004774D7"/>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2AD"/>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759"/>
    <w:rsid w:val="004A087A"/>
    <w:rsid w:val="004A088B"/>
    <w:rsid w:val="004A0CAD"/>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388"/>
    <w:rsid w:val="004C1AE2"/>
    <w:rsid w:val="004C202E"/>
    <w:rsid w:val="004C2299"/>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6F2"/>
    <w:rsid w:val="004D2AAD"/>
    <w:rsid w:val="004D3171"/>
    <w:rsid w:val="004D44C8"/>
    <w:rsid w:val="004D4829"/>
    <w:rsid w:val="004D4EEC"/>
    <w:rsid w:val="004D546C"/>
    <w:rsid w:val="004D5B01"/>
    <w:rsid w:val="004D5D80"/>
    <w:rsid w:val="004D5EF3"/>
    <w:rsid w:val="004D6483"/>
    <w:rsid w:val="004D6B55"/>
    <w:rsid w:val="004E0611"/>
    <w:rsid w:val="004E1194"/>
    <w:rsid w:val="004E25F2"/>
    <w:rsid w:val="004E2CC6"/>
    <w:rsid w:val="004E2E1D"/>
    <w:rsid w:val="004E2FC6"/>
    <w:rsid w:val="004E3429"/>
    <w:rsid w:val="004E34E5"/>
    <w:rsid w:val="004E35E4"/>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DE"/>
    <w:rsid w:val="004F28E9"/>
    <w:rsid w:val="004F2952"/>
    <w:rsid w:val="004F2C3E"/>
    <w:rsid w:val="004F316F"/>
    <w:rsid w:val="004F3767"/>
    <w:rsid w:val="004F37EB"/>
    <w:rsid w:val="004F47A8"/>
    <w:rsid w:val="004F4901"/>
    <w:rsid w:val="004F4C74"/>
    <w:rsid w:val="004F4DFF"/>
    <w:rsid w:val="004F542F"/>
    <w:rsid w:val="004F5C0F"/>
    <w:rsid w:val="004F73FB"/>
    <w:rsid w:val="004F768B"/>
    <w:rsid w:val="004F7BFF"/>
    <w:rsid w:val="005003FA"/>
    <w:rsid w:val="00500B8C"/>
    <w:rsid w:val="00501697"/>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55D"/>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CA8"/>
    <w:rsid w:val="00521291"/>
    <w:rsid w:val="005215F0"/>
    <w:rsid w:val="00521CC2"/>
    <w:rsid w:val="00521DB0"/>
    <w:rsid w:val="0052232E"/>
    <w:rsid w:val="00522397"/>
    <w:rsid w:val="00522A1D"/>
    <w:rsid w:val="00522D84"/>
    <w:rsid w:val="00523636"/>
    <w:rsid w:val="0052391C"/>
    <w:rsid w:val="00523B0C"/>
    <w:rsid w:val="005242AC"/>
    <w:rsid w:val="005245EC"/>
    <w:rsid w:val="00524C0D"/>
    <w:rsid w:val="00524ED4"/>
    <w:rsid w:val="005251DD"/>
    <w:rsid w:val="00525242"/>
    <w:rsid w:val="0052570C"/>
    <w:rsid w:val="0052578D"/>
    <w:rsid w:val="00525B05"/>
    <w:rsid w:val="00525C4A"/>
    <w:rsid w:val="00525D52"/>
    <w:rsid w:val="00525ED0"/>
    <w:rsid w:val="00526CD3"/>
    <w:rsid w:val="005271AC"/>
    <w:rsid w:val="0052736F"/>
    <w:rsid w:val="00527D00"/>
    <w:rsid w:val="005304EE"/>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4B"/>
    <w:rsid w:val="00542E83"/>
    <w:rsid w:val="00543224"/>
    <w:rsid w:val="00543CC6"/>
    <w:rsid w:val="005446F5"/>
    <w:rsid w:val="00544C69"/>
    <w:rsid w:val="0054525B"/>
    <w:rsid w:val="00545557"/>
    <w:rsid w:val="00545A2E"/>
    <w:rsid w:val="005465AB"/>
    <w:rsid w:val="00546C2E"/>
    <w:rsid w:val="00546F5D"/>
    <w:rsid w:val="0054716E"/>
    <w:rsid w:val="0054754C"/>
    <w:rsid w:val="00547BC3"/>
    <w:rsid w:val="00547D0B"/>
    <w:rsid w:val="00550E43"/>
    <w:rsid w:val="00551BE0"/>
    <w:rsid w:val="00551ECF"/>
    <w:rsid w:val="0055235E"/>
    <w:rsid w:val="005529BF"/>
    <w:rsid w:val="00552FCF"/>
    <w:rsid w:val="005535F4"/>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2E9B"/>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087F"/>
    <w:rsid w:val="00581F80"/>
    <w:rsid w:val="005821A1"/>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2AB"/>
    <w:rsid w:val="005A14E6"/>
    <w:rsid w:val="005A1914"/>
    <w:rsid w:val="005A1BA8"/>
    <w:rsid w:val="005A1F9F"/>
    <w:rsid w:val="005A2186"/>
    <w:rsid w:val="005A2A2E"/>
    <w:rsid w:val="005A2F69"/>
    <w:rsid w:val="005A4B84"/>
    <w:rsid w:val="005A4D1B"/>
    <w:rsid w:val="005A523C"/>
    <w:rsid w:val="005A5D7B"/>
    <w:rsid w:val="005A7195"/>
    <w:rsid w:val="005A7E33"/>
    <w:rsid w:val="005B0786"/>
    <w:rsid w:val="005B12C5"/>
    <w:rsid w:val="005B1384"/>
    <w:rsid w:val="005B1571"/>
    <w:rsid w:val="005B1A12"/>
    <w:rsid w:val="005B1BAB"/>
    <w:rsid w:val="005B1DCF"/>
    <w:rsid w:val="005B23C8"/>
    <w:rsid w:val="005B331F"/>
    <w:rsid w:val="005B442E"/>
    <w:rsid w:val="005B5AD9"/>
    <w:rsid w:val="005B6571"/>
    <w:rsid w:val="005B6AFF"/>
    <w:rsid w:val="005B6C71"/>
    <w:rsid w:val="005B70A2"/>
    <w:rsid w:val="005B7AD1"/>
    <w:rsid w:val="005C0DCA"/>
    <w:rsid w:val="005C1FEE"/>
    <w:rsid w:val="005C2110"/>
    <w:rsid w:val="005C21E7"/>
    <w:rsid w:val="005C267D"/>
    <w:rsid w:val="005C295E"/>
    <w:rsid w:val="005C2995"/>
    <w:rsid w:val="005C2D90"/>
    <w:rsid w:val="005C2F07"/>
    <w:rsid w:val="005C3141"/>
    <w:rsid w:val="005C3597"/>
    <w:rsid w:val="005C38B8"/>
    <w:rsid w:val="005C41F8"/>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B8A"/>
    <w:rsid w:val="005C7BF6"/>
    <w:rsid w:val="005C7E19"/>
    <w:rsid w:val="005D0128"/>
    <w:rsid w:val="005D08E0"/>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3BF"/>
    <w:rsid w:val="005D64DA"/>
    <w:rsid w:val="005D7418"/>
    <w:rsid w:val="005D74EC"/>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7AC"/>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79A"/>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17F13"/>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2260"/>
    <w:rsid w:val="00632C97"/>
    <w:rsid w:val="0063355C"/>
    <w:rsid w:val="0063386B"/>
    <w:rsid w:val="00633A1F"/>
    <w:rsid w:val="00633A73"/>
    <w:rsid w:val="006340C7"/>
    <w:rsid w:val="00634138"/>
    <w:rsid w:val="00634485"/>
    <w:rsid w:val="00634511"/>
    <w:rsid w:val="00634890"/>
    <w:rsid w:val="00634A50"/>
    <w:rsid w:val="00634E48"/>
    <w:rsid w:val="00635154"/>
    <w:rsid w:val="006356D1"/>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2FF2"/>
    <w:rsid w:val="0065315B"/>
    <w:rsid w:val="006535EA"/>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7"/>
    <w:rsid w:val="00661719"/>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BE"/>
    <w:rsid w:val="006808E7"/>
    <w:rsid w:val="00680D81"/>
    <w:rsid w:val="00680F91"/>
    <w:rsid w:val="0068120B"/>
    <w:rsid w:val="00681AC4"/>
    <w:rsid w:val="00681BBD"/>
    <w:rsid w:val="00681D62"/>
    <w:rsid w:val="00682137"/>
    <w:rsid w:val="00682357"/>
    <w:rsid w:val="0068241F"/>
    <w:rsid w:val="0068264A"/>
    <w:rsid w:val="00682BE9"/>
    <w:rsid w:val="00682EA5"/>
    <w:rsid w:val="006836CA"/>
    <w:rsid w:val="00684125"/>
    <w:rsid w:val="00684A1C"/>
    <w:rsid w:val="006852FD"/>
    <w:rsid w:val="0068601F"/>
    <w:rsid w:val="006860A6"/>
    <w:rsid w:val="00686102"/>
    <w:rsid w:val="0068633E"/>
    <w:rsid w:val="00686869"/>
    <w:rsid w:val="006868B0"/>
    <w:rsid w:val="00686FEE"/>
    <w:rsid w:val="0069069F"/>
    <w:rsid w:val="00691799"/>
    <w:rsid w:val="00691932"/>
    <w:rsid w:val="00692F31"/>
    <w:rsid w:val="00692F64"/>
    <w:rsid w:val="006930D5"/>
    <w:rsid w:val="00693490"/>
    <w:rsid w:val="0069374B"/>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497F"/>
    <w:rsid w:val="006A5B63"/>
    <w:rsid w:val="006A6BEF"/>
    <w:rsid w:val="006A71F6"/>
    <w:rsid w:val="006A7765"/>
    <w:rsid w:val="006B03BE"/>
    <w:rsid w:val="006B0914"/>
    <w:rsid w:val="006B0962"/>
    <w:rsid w:val="006B0C8E"/>
    <w:rsid w:val="006B0CC7"/>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A78"/>
    <w:rsid w:val="006D047D"/>
    <w:rsid w:val="006D071E"/>
    <w:rsid w:val="006D0C2A"/>
    <w:rsid w:val="006D0E52"/>
    <w:rsid w:val="006D1488"/>
    <w:rsid w:val="006D1B0A"/>
    <w:rsid w:val="006D201B"/>
    <w:rsid w:val="006D2023"/>
    <w:rsid w:val="006D2625"/>
    <w:rsid w:val="006D2887"/>
    <w:rsid w:val="006D2CA2"/>
    <w:rsid w:val="006D2D7F"/>
    <w:rsid w:val="006D3972"/>
    <w:rsid w:val="006D3A3B"/>
    <w:rsid w:val="006D4392"/>
    <w:rsid w:val="006D4785"/>
    <w:rsid w:val="006D4A76"/>
    <w:rsid w:val="006D4D7E"/>
    <w:rsid w:val="006D5B86"/>
    <w:rsid w:val="006D6201"/>
    <w:rsid w:val="006D6E39"/>
    <w:rsid w:val="006D78E8"/>
    <w:rsid w:val="006D7EA2"/>
    <w:rsid w:val="006D7EEB"/>
    <w:rsid w:val="006D7F59"/>
    <w:rsid w:val="006E0055"/>
    <w:rsid w:val="006E025C"/>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316"/>
    <w:rsid w:val="006F03F0"/>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28"/>
    <w:rsid w:val="007001DA"/>
    <w:rsid w:val="00700436"/>
    <w:rsid w:val="007004CA"/>
    <w:rsid w:val="00700CBB"/>
    <w:rsid w:val="00700FF5"/>
    <w:rsid w:val="00701189"/>
    <w:rsid w:val="007017EB"/>
    <w:rsid w:val="00701856"/>
    <w:rsid w:val="00701E0E"/>
    <w:rsid w:val="0070224A"/>
    <w:rsid w:val="00702909"/>
    <w:rsid w:val="00703168"/>
    <w:rsid w:val="00703C28"/>
    <w:rsid w:val="007042CF"/>
    <w:rsid w:val="0070431A"/>
    <w:rsid w:val="007047FD"/>
    <w:rsid w:val="0070528E"/>
    <w:rsid w:val="00705741"/>
    <w:rsid w:val="00706383"/>
    <w:rsid w:val="007065F1"/>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4E6B"/>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10B"/>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37F22"/>
    <w:rsid w:val="00740052"/>
    <w:rsid w:val="007400E8"/>
    <w:rsid w:val="00740238"/>
    <w:rsid w:val="00740494"/>
    <w:rsid w:val="00740AFD"/>
    <w:rsid w:val="00740BA5"/>
    <w:rsid w:val="00741046"/>
    <w:rsid w:val="007410AA"/>
    <w:rsid w:val="00741570"/>
    <w:rsid w:val="007416A3"/>
    <w:rsid w:val="00741AB6"/>
    <w:rsid w:val="00741CEE"/>
    <w:rsid w:val="00742EDD"/>
    <w:rsid w:val="007431A4"/>
    <w:rsid w:val="00743F63"/>
    <w:rsid w:val="00744446"/>
    <w:rsid w:val="00744BA4"/>
    <w:rsid w:val="00745354"/>
    <w:rsid w:val="007458B3"/>
    <w:rsid w:val="007465F0"/>
    <w:rsid w:val="00746708"/>
    <w:rsid w:val="00747261"/>
    <w:rsid w:val="00747331"/>
    <w:rsid w:val="00747F64"/>
    <w:rsid w:val="00750D6F"/>
    <w:rsid w:val="00750DC2"/>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1D57"/>
    <w:rsid w:val="007626AB"/>
    <w:rsid w:val="00762D02"/>
    <w:rsid w:val="00762EBE"/>
    <w:rsid w:val="007631BF"/>
    <w:rsid w:val="007631D9"/>
    <w:rsid w:val="007636B4"/>
    <w:rsid w:val="007637A7"/>
    <w:rsid w:val="00763C13"/>
    <w:rsid w:val="007642A9"/>
    <w:rsid w:val="0076517B"/>
    <w:rsid w:val="007651D4"/>
    <w:rsid w:val="007661B7"/>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21A"/>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31B0"/>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7D8"/>
    <w:rsid w:val="007A09B0"/>
    <w:rsid w:val="007A15A9"/>
    <w:rsid w:val="007A16B4"/>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1A"/>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564E"/>
    <w:rsid w:val="007B57FB"/>
    <w:rsid w:val="007B599E"/>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2CD2"/>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2D6"/>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E0E"/>
    <w:rsid w:val="007F414D"/>
    <w:rsid w:val="007F471C"/>
    <w:rsid w:val="007F4D6F"/>
    <w:rsid w:val="007F4DA5"/>
    <w:rsid w:val="007F502F"/>
    <w:rsid w:val="007F53AA"/>
    <w:rsid w:val="007F75A8"/>
    <w:rsid w:val="00801018"/>
    <w:rsid w:val="008011A7"/>
    <w:rsid w:val="008014D3"/>
    <w:rsid w:val="00801A6C"/>
    <w:rsid w:val="00802403"/>
    <w:rsid w:val="00802451"/>
    <w:rsid w:val="0080273A"/>
    <w:rsid w:val="008028EC"/>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41A"/>
    <w:rsid w:val="00816685"/>
    <w:rsid w:val="0081688A"/>
    <w:rsid w:val="00816903"/>
    <w:rsid w:val="00816A6B"/>
    <w:rsid w:val="008170E4"/>
    <w:rsid w:val="008170FC"/>
    <w:rsid w:val="00817494"/>
    <w:rsid w:val="008175CE"/>
    <w:rsid w:val="0081786A"/>
    <w:rsid w:val="008178E3"/>
    <w:rsid w:val="00817CC5"/>
    <w:rsid w:val="00817F88"/>
    <w:rsid w:val="00820488"/>
    <w:rsid w:val="00820B21"/>
    <w:rsid w:val="00820B9B"/>
    <w:rsid w:val="00820D1B"/>
    <w:rsid w:val="00820F4D"/>
    <w:rsid w:val="00822643"/>
    <w:rsid w:val="0082293F"/>
    <w:rsid w:val="00822E25"/>
    <w:rsid w:val="008236E8"/>
    <w:rsid w:val="00824389"/>
    <w:rsid w:val="00824392"/>
    <w:rsid w:val="008245DA"/>
    <w:rsid w:val="008256D6"/>
    <w:rsid w:val="0082576A"/>
    <w:rsid w:val="008263BB"/>
    <w:rsid w:val="00826BFD"/>
    <w:rsid w:val="00826DF0"/>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6AB"/>
    <w:rsid w:val="008367EE"/>
    <w:rsid w:val="0083699C"/>
    <w:rsid w:val="00836B16"/>
    <w:rsid w:val="00836EA5"/>
    <w:rsid w:val="00837CE4"/>
    <w:rsid w:val="00837D19"/>
    <w:rsid w:val="00840312"/>
    <w:rsid w:val="008403E9"/>
    <w:rsid w:val="00840439"/>
    <w:rsid w:val="008404D4"/>
    <w:rsid w:val="0084074D"/>
    <w:rsid w:val="00840B86"/>
    <w:rsid w:val="00840ECD"/>
    <w:rsid w:val="00840FBE"/>
    <w:rsid w:val="00841E4A"/>
    <w:rsid w:val="00841EC8"/>
    <w:rsid w:val="008422EC"/>
    <w:rsid w:val="00842C7F"/>
    <w:rsid w:val="00844279"/>
    <w:rsid w:val="0084429F"/>
    <w:rsid w:val="008448E0"/>
    <w:rsid w:val="00844916"/>
    <w:rsid w:val="00845238"/>
    <w:rsid w:val="00845695"/>
    <w:rsid w:val="00845969"/>
    <w:rsid w:val="00845A61"/>
    <w:rsid w:val="00846204"/>
    <w:rsid w:val="008465C6"/>
    <w:rsid w:val="008467B8"/>
    <w:rsid w:val="008469EE"/>
    <w:rsid w:val="00847359"/>
    <w:rsid w:val="00847945"/>
    <w:rsid w:val="00847A4A"/>
    <w:rsid w:val="00850321"/>
    <w:rsid w:val="008505AA"/>
    <w:rsid w:val="0085064A"/>
    <w:rsid w:val="00850B37"/>
    <w:rsid w:val="00851C51"/>
    <w:rsid w:val="008526EF"/>
    <w:rsid w:val="008527E0"/>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687C"/>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5D0D"/>
    <w:rsid w:val="008661A4"/>
    <w:rsid w:val="008668EA"/>
    <w:rsid w:val="008669AB"/>
    <w:rsid w:val="00866DBF"/>
    <w:rsid w:val="008677B6"/>
    <w:rsid w:val="00867A8D"/>
    <w:rsid w:val="00867BA9"/>
    <w:rsid w:val="00867C07"/>
    <w:rsid w:val="00867D3D"/>
    <w:rsid w:val="00870190"/>
    <w:rsid w:val="00870221"/>
    <w:rsid w:val="00870DC0"/>
    <w:rsid w:val="0087125C"/>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6E77"/>
    <w:rsid w:val="00877DA3"/>
    <w:rsid w:val="00877DA5"/>
    <w:rsid w:val="00877F14"/>
    <w:rsid w:val="00880852"/>
    <w:rsid w:val="00880865"/>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7A0"/>
    <w:rsid w:val="0089181D"/>
    <w:rsid w:val="0089193E"/>
    <w:rsid w:val="0089272F"/>
    <w:rsid w:val="00892774"/>
    <w:rsid w:val="008929EC"/>
    <w:rsid w:val="00892AFC"/>
    <w:rsid w:val="00893288"/>
    <w:rsid w:val="0089336B"/>
    <w:rsid w:val="00893451"/>
    <w:rsid w:val="00894925"/>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361"/>
    <w:rsid w:val="008A353E"/>
    <w:rsid w:val="008A3B8A"/>
    <w:rsid w:val="008A3E74"/>
    <w:rsid w:val="008A3FF9"/>
    <w:rsid w:val="008A419A"/>
    <w:rsid w:val="008A4488"/>
    <w:rsid w:val="008A4873"/>
    <w:rsid w:val="008A5050"/>
    <w:rsid w:val="008A5B0A"/>
    <w:rsid w:val="008A622A"/>
    <w:rsid w:val="008A6446"/>
    <w:rsid w:val="008A78C5"/>
    <w:rsid w:val="008B0019"/>
    <w:rsid w:val="008B00B8"/>
    <w:rsid w:val="008B0908"/>
    <w:rsid w:val="008B11CC"/>
    <w:rsid w:val="008B1288"/>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2F2"/>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876"/>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705"/>
    <w:rsid w:val="008F6A7E"/>
    <w:rsid w:val="008F6AA0"/>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CC"/>
    <w:rsid w:val="00902CD7"/>
    <w:rsid w:val="00902FA8"/>
    <w:rsid w:val="009030D7"/>
    <w:rsid w:val="00903B60"/>
    <w:rsid w:val="009054F7"/>
    <w:rsid w:val="00905581"/>
    <w:rsid w:val="00905693"/>
    <w:rsid w:val="009059F2"/>
    <w:rsid w:val="00905B09"/>
    <w:rsid w:val="00905B13"/>
    <w:rsid w:val="00905B9C"/>
    <w:rsid w:val="00906A95"/>
    <w:rsid w:val="0090705B"/>
    <w:rsid w:val="009074AD"/>
    <w:rsid w:val="00907B2A"/>
    <w:rsid w:val="00910BF0"/>
    <w:rsid w:val="00910EFB"/>
    <w:rsid w:val="00910FAF"/>
    <w:rsid w:val="00911033"/>
    <w:rsid w:val="00911129"/>
    <w:rsid w:val="00911151"/>
    <w:rsid w:val="00911D17"/>
    <w:rsid w:val="00911E3E"/>
    <w:rsid w:val="00911FE7"/>
    <w:rsid w:val="009123D8"/>
    <w:rsid w:val="00912424"/>
    <w:rsid w:val="00912795"/>
    <w:rsid w:val="009129C6"/>
    <w:rsid w:val="00912DF0"/>
    <w:rsid w:val="009132E4"/>
    <w:rsid w:val="00913850"/>
    <w:rsid w:val="009139EA"/>
    <w:rsid w:val="00913B12"/>
    <w:rsid w:val="00913C85"/>
    <w:rsid w:val="00913E2D"/>
    <w:rsid w:val="0091420B"/>
    <w:rsid w:val="00914863"/>
    <w:rsid w:val="00914B51"/>
    <w:rsid w:val="00914C1D"/>
    <w:rsid w:val="00914EEA"/>
    <w:rsid w:val="009156E2"/>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0EF5"/>
    <w:rsid w:val="0092115B"/>
    <w:rsid w:val="00922191"/>
    <w:rsid w:val="0092226E"/>
    <w:rsid w:val="00922BAC"/>
    <w:rsid w:val="00923009"/>
    <w:rsid w:val="00923640"/>
    <w:rsid w:val="00923900"/>
    <w:rsid w:val="00923E4E"/>
    <w:rsid w:val="00923E89"/>
    <w:rsid w:val="009246E5"/>
    <w:rsid w:val="00926554"/>
    <w:rsid w:val="009266EA"/>
    <w:rsid w:val="0092689E"/>
    <w:rsid w:val="00926C88"/>
    <w:rsid w:val="00926DDC"/>
    <w:rsid w:val="00927525"/>
    <w:rsid w:val="00927577"/>
    <w:rsid w:val="00927999"/>
    <w:rsid w:val="00927AFB"/>
    <w:rsid w:val="00927BD5"/>
    <w:rsid w:val="00931194"/>
    <w:rsid w:val="0093124D"/>
    <w:rsid w:val="009314FE"/>
    <w:rsid w:val="009317DB"/>
    <w:rsid w:val="00931A18"/>
    <w:rsid w:val="0093204F"/>
    <w:rsid w:val="009332D9"/>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222"/>
    <w:rsid w:val="009455A8"/>
    <w:rsid w:val="00945F01"/>
    <w:rsid w:val="00946543"/>
    <w:rsid w:val="00946719"/>
    <w:rsid w:val="00946A34"/>
    <w:rsid w:val="00946EC4"/>
    <w:rsid w:val="00947988"/>
    <w:rsid w:val="00947C72"/>
    <w:rsid w:val="00947CF2"/>
    <w:rsid w:val="00947EE6"/>
    <w:rsid w:val="0095005F"/>
    <w:rsid w:val="009500B0"/>
    <w:rsid w:val="009507C2"/>
    <w:rsid w:val="00950BCA"/>
    <w:rsid w:val="00950F35"/>
    <w:rsid w:val="00952203"/>
    <w:rsid w:val="00952DFE"/>
    <w:rsid w:val="009537A0"/>
    <w:rsid w:val="00953838"/>
    <w:rsid w:val="009539AE"/>
    <w:rsid w:val="00953A6E"/>
    <w:rsid w:val="009548C2"/>
    <w:rsid w:val="009548CA"/>
    <w:rsid w:val="00955F29"/>
    <w:rsid w:val="00955FE5"/>
    <w:rsid w:val="00956B60"/>
    <w:rsid w:val="009579DF"/>
    <w:rsid w:val="00957D35"/>
    <w:rsid w:val="00960460"/>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1B8"/>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D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2A7"/>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2CB6"/>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28D"/>
    <w:rsid w:val="009A05D8"/>
    <w:rsid w:val="009A0628"/>
    <w:rsid w:val="009A0EE3"/>
    <w:rsid w:val="009A19AF"/>
    <w:rsid w:val="009A1C6B"/>
    <w:rsid w:val="009A1CBE"/>
    <w:rsid w:val="009A274E"/>
    <w:rsid w:val="009A30EF"/>
    <w:rsid w:val="009A3CAE"/>
    <w:rsid w:val="009A415B"/>
    <w:rsid w:val="009A47DA"/>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1FF0"/>
    <w:rsid w:val="009B2269"/>
    <w:rsid w:val="009B226C"/>
    <w:rsid w:val="009B28E5"/>
    <w:rsid w:val="009B29BF"/>
    <w:rsid w:val="009B2ABF"/>
    <w:rsid w:val="009B3276"/>
    <w:rsid w:val="009B36A5"/>
    <w:rsid w:val="009B3BAC"/>
    <w:rsid w:val="009B4827"/>
    <w:rsid w:val="009B4982"/>
    <w:rsid w:val="009B4D74"/>
    <w:rsid w:val="009B506E"/>
    <w:rsid w:val="009B5BC1"/>
    <w:rsid w:val="009B756F"/>
    <w:rsid w:val="009B7C7B"/>
    <w:rsid w:val="009C0404"/>
    <w:rsid w:val="009C05E7"/>
    <w:rsid w:val="009C0DF7"/>
    <w:rsid w:val="009C1396"/>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6C1"/>
    <w:rsid w:val="009D6755"/>
    <w:rsid w:val="009D6B5A"/>
    <w:rsid w:val="009D7256"/>
    <w:rsid w:val="009D7303"/>
    <w:rsid w:val="009D7485"/>
    <w:rsid w:val="009D79B3"/>
    <w:rsid w:val="009D7EB2"/>
    <w:rsid w:val="009E0232"/>
    <w:rsid w:val="009E0403"/>
    <w:rsid w:val="009E04FD"/>
    <w:rsid w:val="009E2354"/>
    <w:rsid w:val="009E23CA"/>
    <w:rsid w:val="009E29D0"/>
    <w:rsid w:val="009E2D79"/>
    <w:rsid w:val="009E37B2"/>
    <w:rsid w:val="009E3AFE"/>
    <w:rsid w:val="009E3EB1"/>
    <w:rsid w:val="009E4316"/>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35F"/>
    <w:rsid w:val="00A00E64"/>
    <w:rsid w:val="00A01032"/>
    <w:rsid w:val="00A01E11"/>
    <w:rsid w:val="00A0253F"/>
    <w:rsid w:val="00A02787"/>
    <w:rsid w:val="00A02921"/>
    <w:rsid w:val="00A033DA"/>
    <w:rsid w:val="00A04476"/>
    <w:rsid w:val="00A04CFA"/>
    <w:rsid w:val="00A05390"/>
    <w:rsid w:val="00A05730"/>
    <w:rsid w:val="00A059CF"/>
    <w:rsid w:val="00A060F8"/>
    <w:rsid w:val="00A064B3"/>
    <w:rsid w:val="00A07280"/>
    <w:rsid w:val="00A0756F"/>
    <w:rsid w:val="00A07627"/>
    <w:rsid w:val="00A11024"/>
    <w:rsid w:val="00A11233"/>
    <w:rsid w:val="00A11619"/>
    <w:rsid w:val="00A11B39"/>
    <w:rsid w:val="00A11C34"/>
    <w:rsid w:val="00A127A4"/>
    <w:rsid w:val="00A1302E"/>
    <w:rsid w:val="00A13637"/>
    <w:rsid w:val="00A13741"/>
    <w:rsid w:val="00A1375F"/>
    <w:rsid w:val="00A139D8"/>
    <w:rsid w:val="00A13FFF"/>
    <w:rsid w:val="00A1493B"/>
    <w:rsid w:val="00A14A4E"/>
    <w:rsid w:val="00A1507E"/>
    <w:rsid w:val="00A166EE"/>
    <w:rsid w:val="00A16D9E"/>
    <w:rsid w:val="00A175E5"/>
    <w:rsid w:val="00A176ED"/>
    <w:rsid w:val="00A2014B"/>
    <w:rsid w:val="00A20EF5"/>
    <w:rsid w:val="00A21103"/>
    <w:rsid w:val="00A2148F"/>
    <w:rsid w:val="00A215D9"/>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74B"/>
    <w:rsid w:val="00A26DA4"/>
    <w:rsid w:val="00A27240"/>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354"/>
    <w:rsid w:val="00A326B5"/>
    <w:rsid w:val="00A327E0"/>
    <w:rsid w:val="00A33089"/>
    <w:rsid w:val="00A3348E"/>
    <w:rsid w:val="00A33C52"/>
    <w:rsid w:val="00A33C9D"/>
    <w:rsid w:val="00A3447A"/>
    <w:rsid w:val="00A345DA"/>
    <w:rsid w:val="00A35172"/>
    <w:rsid w:val="00A356F2"/>
    <w:rsid w:val="00A3617A"/>
    <w:rsid w:val="00A3689D"/>
    <w:rsid w:val="00A37C30"/>
    <w:rsid w:val="00A40452"/>
    <w:rsid w:val="00A40899"/>
    <w:rsid w:val="00A41149"/>
    <w:rsid w:val="00A41626"/>
    <w:rsid w:val="00A416DA"/>
    <w:rsid w:val="00A41A00"/>
    <w:rsid w:val="00A41CEF"/>
    <w:rsid w:val="00A41F8B"/>
    <w:rsid w:val="00A430EB"/>
    <w:rsid w:val="00A435B3"/>
    <w:rsid w:val="00A438C6"/>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8BF"/>
    <w:rsid w:val="00A65B4D"/>
    <w:rsid w:val="00A65C19"/>
    <w:rsid w:val="00A65D16"/>
    <w:rsid w:val="00A66398"/>
    <w:rsid w:val="00A66DD5"/>
    <w:rsid w:val="00A66E61"/>
    <w:rsid w:val="00A6702C"/>
    <w:rsid w:val="00A67228"/>
    <w:rsid w:val="00A67612"/>
    <w:rsid w:val="00A6778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8C3"/>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030"/>
    <w:rsid w:val="00AA140F"/>
    <w:rsid w:val="00AA1ED9"/>
    <w:rsid w:val="00AA1F9E"/>
    <w:rsid w:val="00AA28EA"/>
    <w:rsid w:val="00AA2CF1"/>
    <w:rsid w:val="00AA2E0D"/>
    <w:rsid w:val="00AA300F"/>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666"/>
    <w:rsid w:val="00AB0828"/>
    <w:rsid w:val="00AB159D"/>
    <w:rsid w:val="00AB17BA"/>
    <w:rsid w:val="00AB1847"/>
    <w:rsid w:val="00AB272D"/>
    <w:rsid w:val="00AB2802"/>
    <w:rsid w:val="00AB2C63"/>
    <w:rsid w:val="00AB412E"/>
    <w:rsid w:val="00AB4B9D"/>
    <w:rsid w:val="00AB4D70"/>
    <w:rsid w:val="00AB4E3C"/>
    <w:rsid w:val="00AB5702"/>
    <w:rsid w:val="00AB5FFF"/>
    <w:rsid w:val="00AB61B4"/>
    <w:rsid w:val="00AB64B8"/>
    <w:rsid w:val="00AB6C73"/>
    <w:rsid w:val="00AB7158"/>
    <w:rsid w:val="00AB7563"/>
    <w:rsid w:val="00AB76BB"/>
    <w:rsid w:val="00AB78FA"/>
    <w:rsid w:val="00AB7D26"/>
    <w:rsid w:val="00AC0987"/>
    <w:rsid w:val="00AC0B68"/>
    <w:rsid w:val="00AC0C4F"/>
    <w:rsid w:val="00AC0CD4"/>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3729"/>
    <w:rsid w:val="00AD43BD"/>
    <w:rsid w:val="00AD48BB"/>
    <w:rsid w:val="00AD5AF1"/>
    <w:rsid w:val="00AD5D99"/>
    <w:rsid w:val="00AD6316"/>
    <w:rsid w:val="00AD64A0"/>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500"/>
    <w:rsid w:val="00AE7F1F"/>
    <w:rsid w:val="00AE7F31"/>
    <w:rsid w:val="00AF0034"/>
    <w:rsid w:val="00AF0113"/>
    <w:rsid w:val="00AF1159"/>
    <w:rsid w:val="00AF156F"/>
    <w:rsid w:val="00AF1B03"/>
    <w:rsid w:val="00AF2340"/>
    <w:rsid w:val="00AF2575"/>
    <w:rsid w:val="00AF2BAE"/>
    <w:rsid w:val="00AF320B"/>
    <w:rsid w:val="00AF42BB"/>
    <w:rsid w:val="00AF487E"/>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312B"/>
    <w:rsid w:val="00B13AD8"/>
    <w:rsid w:val="00B13B9C"/>
    <w:rsid w:val="00B1458C"/>
    <w:rsid w:val="00B1462E"/>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78"/>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12B"/>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6B"/>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A6E"/>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978"/>
    <w:rsid w:val="00B71D0B"/>
    <w:rsid w:val="00B72298"/>
    <w:rsid w:val="00B72EFD"/>
    <w:rsid w:val="00B7314B"/>
    <w:rsid w:val="00B7361E"/>
    <w:rsid w:val="00B74B16"/>
    <w:rsid w:val="00B74E84"/>
    <w:rsid w:val="00B75029"/>
    <w:rsid w:val="00B75197"/>
    <w:rsid w:val="00B7536D"/>
    <w:rsid w:val="00B75C54"/>
    <w:rsid w:val="00B76130"/>
    <w:rsid w:val="00B76548"/>
    <w:rsid w:val="00B76607"/>
    <w:rsid w:val="00B769CA"/>
    <w:rsid w:val="00B775DF"/>
    <w:rsid w:val="00B77A3F"/>
    <w:rsid w:val="00B77C4F"/>
    <w:rsid w:val="00B77D98"/>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4E9"/>
    <w:rsid w:val="00B8484A"/>
    <w:rsid w:val="00B849A7"/>
    <w:rsid w:val="00B8508B"/>
    <w:rsid w:val="00B8513C"/>
    <w:rsid w:val="00B85167"/>
    <w:rsid w:val="00B85A5E"/>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5DE"/>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97F5B"/>
    <w:rsid w:val="00BA0A3E"/>
    <w:rsid w:val="00BA11A9"/>
    <w:rsid w:val="00BA1C82"/>
    <w:rsid w:val="00BA20C4"/>
    <w:rsid w:val="00BA2445"/>
    <w:rsid w:val="00BA2582"/>
    <w:rsid w:val="00BA2714"/>
    <w:rsid w:val="00BA33EC"/>
    <w:rsid w:val="00BA35C1"/>
    <w:rsid w:val="00BA46C1"/>
    <w:rsid w:val="00BA4725"/>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4A"/>
    <w:rsid w:val="00BB4778"/>
    <w:rsid w:val="00BB499D"/>
    <w:rsid w:val="00BB4D21"/>
    <w:rsid w:val="00BB57A0"/>
    <w:rsid w:val="00BB5DCD"/>
    <w:rsid w:val="00BB79B4"/>
    <w:rsid w:val="00BC0183"/>
    <w:rsid w:val="00BC07CB"/>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6BC"/>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5921"/>
    <w:rsid w:val="00BE6432"/>
    <w:rsid w:val="00BE6516"/>
    <w:rsid w:val="00BE6C6B"/>
    <w:rsid w:val="00BE6CA4"/>
    <w:rsid w:val="00BE7A84"/>
    <w:rsid w:val="00BE7B4E"/>
    <w:rsid w:val="00BE7C2A"/>
    <w:rsid w:val="00BE7D70"/>
    <w:rsid w:val="00BE7E7B"/>
    <w:rsid w:val="00BF02E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10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0B19"/>
    <w:rsid w:val="00C11597"/>
    <w:rsid w:val="00C125A7"/>
    <w:rsid w:val="00C12A74"/>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188C"/>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AB8"/>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3869"/>
    <w:rsid w:val="00C748B8"/>
    <w:rsid w:val="00C74D84"/>
    <w:rsid w:val="00C750D9"/>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23C"/>
    <w:rsid w:val="00C94744"/>
    <w:rsid w:val="00C9571F"/>
    <w:rsid w:val="00C95979"/>
    <w:rsid w:val="00C95B7B"/>
    <w:rsid w:val="00C967C2"/>
    <w:rsid w:val="00C96DEA"/>
    <w:rsid w:val="00C96E71"/>
    <w:rsid w:val="00CA0E4C"/>
    <w:rsid w:val="00CA0FD7"/>
    <w:rsid w:val="00CA0FFF"/>
    <w:rsid w:val="00CA16C9"/>
    <w:rsid w:val="00CA1976"/>
    <w:rsid w:val="00CA1AF4"/>
    <w:rsid w:val="00CA217B"/>
    <w:rsid w:val="00CA2D89"/>
    <w:rsid w:val="00CA328C"/>
    <w:rsid w:val="00CA40D9"/>
    <w:rsid w:val="00CA421E"/>
    <w:rsid w:val="00CA4396"/>
    <w:rsid w:val="00CA4AE4"/>
    <w:rsid w:val="00CA4FFF"/>
    <w:rsid w:val="00CA538C"/>
    <w:rsid w:val="00CA5642"/>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5A1B"/>
    <w:rsid w:val="00CB6118"/>
    <w:rsid w:val="00CB6497"/>
    <w:rsid w:val="00CB6556"/>
    <w:rsid w:val="00CB673A"/>
    <w:rsid w:val="00CB70A1"/>
    <w:rsid w:val="00CB734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9B1"/>
    <w:rsid w:val="00CC6AB2"/>
    <w:rsid w:val="00CC7872"/>
    <w:rsid w:val="00CC7BDB"/>
    <w:rsid w:val="00CC7D0C"/>
    <w:rsid w:val="00CC7EA4"/>
    <w:rsid w:val="00CD0754"/>
    <w:rsid w:val="00CD0EC8"/>
    <w:rsid w:val="00CD121D"/>
    <w:rsid w:val="00CD1A7C"/>
    <w:rsid w:val="00CD22CF"/>
    <w:rsid w:val="00CD2319"/>
    <w:rsid w:val="00CD290E"/>
    <w:rsid w:val="00CD2DE8"/>
    <w:rsid w:val="00CD3257"/>
    <w:rsid w:val="00CD39AB"/>
    <w:rsid w:val="00CD39D7"/>
    <w:rsid w:val="00CD3AEA"/>
    <w:rsid w:val="00CD3DDA"/>
    <w:rsid w:val="00CD4055"/>
    <w:rsid w:val="00CD40EB"/>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222"/>
    <w:rsid w:val="00CE560D"/>
    <w:rsid w:val="00CE577F"/>
    <w:rsid w:val="00CE587F"/>
    <w:rsid w:val="00CE5CFC"/>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4481"/>
    <w:rsid w:val="00CF50E6"/>
    <w:rsid w:val="00CF5A72"/>
    <w:rsid w:val="00CF5B6A"/>
    <w:rsid w:val="00CF5C06"/>
    <w:rsid w:val="00CF6421"/>
    <w:rsid w:val="00CF7515"/>
    <w:rsid w:val="00D002E6"/>
    <w:rsid w:val="00D00664"/>
    <w:rsid w:val="00D00A64"/>
    <w:rsid w:val="00D00B6E"/>
    <w:rsid w:val="00D014AE"/>
    <w:rsid w:val="00D01D8E"/>
    <w:rsid w:val="00D0228D"/>
    <w:rsid w:val="00D023BF"/>
    <w:rsid w:val="00D0320A"/>
    <w:rsid w:val="00D034AE"/>
    <w:rsid w:val="00D03D86"/>
    <w:rsid w:val="00D041DB"/>
    <w:rsid w:val="00D060F4"/>
    <w:rsid w:val="00D06221"/>
    <w:rsid w:val="00D076F9"/>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C11"/>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1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37EE"/>
    <w:rsid w:val="00D33A00"/>
    <w:rsid w:val="00D34366"/>
    <w:rsid w:val="00D34690"/>
    <w:rsid w:val="00D348AC"/>
    <w:rsid w:val="00D34FEF"/>
    <w:rsid w:val="00D35447"/>
    <w:rsid w:val="00D35470"/>
    <w:rsid w:val="00D35E3E"/>
    <w:rsid w:val="00D363E9"/>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4B26"/>
    <w:rsid w:val="00D6540E"/>
    <w:rsid w:val="00D65AEB"/>
    <w:rsid w:val="00D6610B"/>
    <w:rsid w:val="00D66DEF"/>
    <w:rsid w:val="00D67464"/>
    <w:rsid w:val="00D67770"/>
    <w:rsid w:val="00D67B93"/>
    <w:rsid w:val="00D71480"/>
    <w:rsid w:val="00D7177B"/>
    <w:rsid w:val="00D7223A"/>
    <w:rsid w:val="00D72581"/>
    <w:rsid w:val="00D72689"/>
    <w:rsid w:val="00D7271E"/>
    <w:rsid w:val="00D72735"/>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5F2C"/>
    <w:rsid w:val="00D76259"/>
    <w:rsid w:val="00D774E5"/>
    <w:rsid w:val="00D77927"/>
    <w:rsid w:val="00D77A5E"/>
    <w:rsid w:val="00D77A78"/>
    <w:rsid w:val="00D812BF"/>
    <w:rsid w:val="00D8180F"/>
    <w:rsid w:val="00D8259E"/>
    <w:rsid w:val="00D82AD3"/>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2C2"/>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362"/>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50D"/>
    <w:rsid w:val="00DB4FA7"/>
    <w:rsid w:val="00DB54FB"/>
    <w:rsid w:val="00DB5EC6"/>
    <w:rsid w:val="00DB63E0"/>
    <w:rsid w:val="00DB63FB"/>
    <w:rsid w:val="00DB6554"/>
    <w:rsid w:val="00DB6CF1"/>
    <w:rsid w:val="00DB70F1"/>
    <w:rsid w:val="00DB7976"/>
    <w:rsid w:val="00DB7B10"/>
    <w:rsid w:val="00DC038A"/>
    <w:rsid w:val="00DC03BB"/>
    <w:rsid w:val="00DC08F2"/>
    <w:rsid w:val="00DC09C5"/>
    <w:rsid w:val="00DC0A73"/>
    <w:rsid w:val="00DC13F6"/>
    <w:rsid w:val="00DC1A69"/>
    <w:rsid w:val="00DC1D35"/>
    <w:rsid w:val="00DC27BD"/>
    <w:rsid w:val="00DC29EE"/>
    <w:rsid w:val="00DC2F57"/>
    <w:rsid w:val="00DC31DF"/>
    <w:rsid w:val="00DC3223"/>
    <w:rsid w:val="00DC32D0"/>
    <w:rsid w:val="00DC373B"/>
    <w:rsid w:val="00DC3755"/>
    <w:rsid w:val="00DC3B5E"/>
    <w:rsid w:val="00DC40D8"/>
    <w:rsid w:val="00DC41C8"/>
    <w:rsid w:val="00DC492F"/>
    <w:rsid w:val="00DC4CA2"/>
    <w:rsid w:val="00DC4D94"/>
    <w:rsid w:val="00DC4E59"/>
    <w:rsid w:val="00DC4FD1"/>
    <w:rsid w:val="00DC51F9"/>
    <w:rsid w:val="00DC5C47"/>
    <w:rsid w:val="00DC5D75"/>
    <w:rsid w:val="00DC6D1C"/>
    <w:rsid w:val="00DC6E2E"/>
    <w:rsid w:val="00DC70DE"/>
    <w:rsid w:val="00DC7579"/>
    <w:rsid w:val="00DC76FF"/>
    <w:rsid w:val="00DC79CF"/>
    <w:rsid w:val="00DC7B79"/>
    <w:rsid w:val="00DC7F94"/>
    <w:rsid w:val="00DD0129"/>
    <w:rsid w:val="00DD022B"/>
    <w:rsid w:val="00DD0A94"/>
    <w:rsid w:val="00DD0D57"/>
    <w:rsid w:val="00DD1733"/>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04A"/>
    <w:rsid w:val="00E03B27"/>
    <w:rsid w:val="00E040ED"/>
    <w:rsid w:val="00E044F7"/>
    <w:rsid w:val="00E0504C"/>
    <w:rsid w:val="00E05879"/>
    <w:rsid w:val="00E05A73"/>
    <w:rsid w:val="00E07345"/>
    <w:rsid w:val="00E0755D"/>
    <w:rsid w:val="00E07710"/>
    <w:rsid w:val="00E07970"/>
    <w:rsid w:val="00E10CC9"/>
    <w:rsid w:val="00E110F8"/>
    <w:rsid w:val="00E112CA"/>
    <w:rsid w:val="00E120FD"/>
    <w:rsid w:val="00E12193"/>
    <w:rsid w:val="00E12B9D"/>
    <w:rsid w:val="00E13B19"/>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06"/>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E55"/>
    <w:rsid w:val="00E27EEF"/>
    <w:rsid w:val="00E30239"/>
    <w:rsid w:val="00E30676"/>
    <w:rsid w:val="00E309E9"/>
    <w:rsid w:val="00E30B7B"/>
    <w:rsid w:val="00E30C45"/>
    <w:rsid w:val="00E30DCA"/>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8F8"/>
    <w:rsid w:val="00E52CEC"/>
    <w:rsid w:val="00E52DD5"/>
    <w:rsid w:val="00E5313E"/>
    <w:rsid w:val="00E53410"/>
    <w:rsid w:val="00E53498"/>
    <w:rsid w:val="00E53979"/>
    <w:rsid w:val="00E53E42"/>
    <w:rsid w:val="00E542F9"/>
    <w:rsid w:val="00E5460E"/>
    <w:rsid w:val="00E5559D"/>
    <w:rsid w:val="00E55C0B"/>
    <w:rsid w:val="00E5610C"/>
    <w:rsid w:val="00E5626A"/>
    <w:rsid w:val="00E5676C"/>
    <w:rsid w:val="00E56E8D"/>
    <w:rsid w:val="00E56EE0"/>
    <w:rsid w:val="00E573F7"/>
    <w:rsid w:val="00E576DA"/>
    <w:rsid w:val="00E6045D"/>
    <w:rsid w:val="00E60C8B"/>
    <w:rsid w:val="00E612B9"/>
    <w:rsid w:val="00E61442"/>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A02"/>
    <w:rsid w:val="00E64F7C"/>
    <w:rsid w:val="00E650AB"/>
    <w:rsid w:val="00E65D1E"/>
    <w:rsid w:val="00E65E3A"/>
    <w:rsid w:val="00E66061"/>
    <w:rsid w:val="00E66083"/>
    <w:rsid w:val="00E664A8"/>
    <w:rsid w:val="00E673A0"/>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750"/>
    <w:rsid w:val="00E77DDD"/>
    <w:rsid w:val="00E80488"/>
    <w:rsid w:val="00E808C7"/>
    <w:rsid w:val="00E80B7F"/>
    <w:rsid w:val="00E81572"/>
    <w:rsid w:val="00E816E0"/>
    <w:rsid w:val="00E81912"/>
    <w:rsid w:val="00E81F98"/>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46A"/>
    <w:rsid w:val="00E958A5"/>
    <w:rsid w:val="00E96568"/>
    <w:rsid w:val="00E96AC5"/>
    <w:rsid w:val="00E96BE8"/>
    <w:rsid w:val="00E96CDD"/>
    <w:rsid w:val="00E96EA4"/>
    <w:rsid w:val="00EA0839"/>
    <w:rsid w:val="00EA0E77"/>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0EDD"/>
    <w:rsid w:val="00EB1644"/>
    <w:rsid w:val="00EB1F03"/>
    <w:rsid w:val="00EB2BC1"/>
    <w:rsid w:val="00EB2EA1"/>
    <w:rsid w:val="00EB3302"/>
    <w:rsid w:val="00EB34EA"/>
    <w:rsid w:val="00EB3635"/>
    <w:rsid w:val="00EB3895"/>
    <w:rsid w:val="00EB456A"/>
    <w:rsid w:val="00EB4606"/>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0E84"/>
    <w:rsid w:val="00EC1280"/>
    <w:rsid w:val="00EC26E1"/>
    <w:rsid w:val="00EC298C"/>
    <w:rsid w:val="00EC2C26"/>
    <w:rsid w:val="00EC3429"/>
    <w:rsid w:val="00EC356B"/>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B5A"/>
    <w:rsid w:val="00EE3CB6"/>
    <w:rsid w:val="00EE4801"/>
    <w:rsid w:val="00EE4CD3"/>
    <w:rsid w:val="00EE4D66"/>
    <w:rsid w:val="00EE50D3"/>
    <w:rsid w:val="00EE52BC"/>
    <w:rsid w:val="00EE5AB7"/>
    <w:rsid w:val="00EE5EFD"/>
    <w:rsid w:val="00EE76EB"/>
    <w:rsid w:val="00EE77DC"/>
    <w:rsid w:val="00EE7A5A"/>
    <w:rsid w:val="00EE7AD7"/>
    <w:rsid w:val="00EE7F79"/>
    <w:rsid w:val="00EF06BF"/>
    <w:rsid w:val="00EF06C6"/>
    <w:rsid w:val="00EF0AC4"/>
    <w:rsid w:val="00EF101D"/>
    <w:rsid w:val="00EF1C96"/>
    <w:rsid w:val="00EF1DAE"/>
    <w:rsid w:val="00EF1F1B"/>
    <w:rsid w:val="00EF2F68"/>
    <w:rsid w:val="00EF377C"/>
    <w:rsid w:val="00EF3D86"/>
    <w:rsid w:val="00EF3DC2"/>
    <w:rsid w:val="00EF3E64"/>
    <w:rsid w:val="00EF3EB6"/>
    <w:rsid w:val="00EF4240"/>
    <w:rsid w:val="00EF56DB"/>
    <w:rsid w:val="00EF5E59"/>
    <w:rsid w:val="00EF5FD3"/>
    <w:rsid w:val="00EF5FEF"/>
    <w:rsid w:val="00EF6383"/>
    <w:rsid w:val="00EF645D"/>
    <w:rsid w:val="00EF6910"/>
    <w:rsid w:val="00EF7031"/>
    <w:rsid w:val="00EF7198"/>
    <w:rsid w:val="00EF7220"/>
    <w:rsid w:val="00EF7982"/>
    <w:rsid w:val="00EF7AE9"/>
    <w:rsid w:val="00F00CF8"/>
    <w:rsid w:val="00F00DAC"/>
    <w:rsid w:val="00F01AB5"/>
    <w:rsid w:val="00F01DBA"/>
    <w:rsid w:val="00F0219A"/>
    <w:rsid w:val="00F025F3"/>
    <w:rsid w:val="00F02687"/>
    <w:rsid w:val="00F02ADE"/>
    <w:rsid w:val="00F0318D"/>
    <w:rsid w:val="00F03506"/>
    <w:rsid w:val="00F0389E"/>
    <w:rsid w:val="00F03AB4"/>
    <w:rsid w:val="00F043D1"/>
    <w:rsid w:val="00F045B2"/>
    <w:rsid w:val="00F04CB4"/>
    <w:rsid w:val="00F04D59"/>
    <w:rsid w:val="00F05007"/>
    <w:rsid w:val="00F05412"/>
    <w:rsid w:val="00F05839"/>
    <w:rsid w:val="00F05ADC"/>
    <w:rsid w:val="00F05FE2"/>
    <w:rsid w:val="00F067FC"/>
    <w:rsid w:val="00F06B31"/>
    <w:rsid w:val="00F06D75"/>
    <w:rsid w:val="00F071B6"/>
    <w:rsid w:val="00F076B0"/>
    <w:rsid w:val="00F1005B"/>
    <w:rsid w:val="00F108C6"/>
    <w:rsid w:val="00F114C2"/>
    <w:rsid w:val="00F11623"/>
    <w:rsid w:val="00F1165E"/>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2C0"/>
    <w:rsid w:val="00F17345"/>
    <w:rsid w:val="00F175B3"/>
    <w:rsid w:val="00F17AC9"/>
    <w:rsid w:val="00F212DD"/>
    <w:rsid w:val="00F2163E"/>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B4C"/>
    <w:rsid w:val="00F310CE"/>
    <w:rsid w:val="00F31281"/>
    <w:rsid w:val="00F31AAA"/>
    <w:rsid w:val="00F31E00"/>
    <w:rsid w:val="00F3224B"/>
    <w:rsid w:val="00F32A4F"/>
    <w:rsid w:val="00F32AA4"/>
    <w:rsid w:val="00F32B2F"/>
    <w:rsid w:val="00F33560"/>
    <w:rsid w:val="00F33C10"/>
    <w:rsid w:val="00F3460E"/>
    <w:rsid w:val="00F35168"/>
    <w:rsid w:val="00F355D4"/>
    <w:rsid w:val="00F3596B"/>
    <w:rsid w:val="00F369F8"/>
    <w:rsid w:val="00F3712D"/>
    <w:rsid w:val="00F37384"/>
    <w:rsid w:val="00F40701"/>
    <w:rsid w:val="00F407CB"/>
    <w:rsid w:val="00F408A1"/>
    <w:rsid w:val="00F408E3"/>
    <w:rsid w:val="00F40912"/>
    <w:rsid w:val="00F413DE"/>
    <w:rsid w:val="00F41917"/>
    <w:rsid w:val="00F43AFE"/>
    <w:rsid w:val="00F4470A"/>
    <w:rsid w:val="00F4485A"/>
    <w:rsid w:val="00F44AF6"/>
    <w:rsid w:val="00F44E39"/>
    <w:rsid w:val="00F452B7"/>
    <w:rsid w:val="00F45528"/>
    <w:rsid w:val="00F456AB"/>
    <w:rsid w:val="00F45780"/>
    <w:rsid w:val="00F45802"/>
    <w:rsid w:val="00F4732B"/>
    <w:rsid w:val="00F478CD"/>
    <w:rsid w:val="00F47D79"/>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2"/>
    <w:rsid w:val="00F52B2C"/>
    <w:rsid w:val="00F52CBC"/>
    <w:rsid w:val="00F52F48"/>
    <w:rsid w:val="00F5331E"/>
    <w:rsid w:val="00F5356B"/>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045"/>
    <w:rsid w:val="00F574D3"/>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67975"/>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36"/>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3138"/>
    <w:rsid w:val="00F9402A"/>
    <w:rsid w:val="00F941C8"/>
    <w:rsid w:val="00F9454F"/>
    <w:rsid w:val="00F94593"/>
    <w:rsid w:val="00F9477D"/>
    <w:rsid w:val="00F95E33"/>
    <w:rsid w:val="00F960EC"/>
    <w:rsid w:val="00F969DB"/>
    <w:rsid w:val="00F96A5D"/>
    <w:rsid w:val="00F96C31"/>
    <w:rsid w:val="00F96E6C"/>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0A"/>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57D"/>
    <w:rsid w:val="00FC5C23"/>
    <w:rsid w:val="00FC63D5"/>
    <w:rsid w:val="00FC6581"/>
    <w:rsid w:val="00FC675E"/>
    <w:rsid w:val="00FC682F"/>
    <w:rsid w:val="00FC6BD0"/>
    <w:rsid w:val="00FC7738"/>
    <w:rsid w:val="00FC7DF3"/>
    <w:rsid w:val="00FD0744"/>
    <w:rsid w:val="00FD15D9"/>
    <w:rsid w:val="00FD18B7"/>
    <w:rsid w:val="00FD22CB"/>
    <w:rsid w:val="00FD387E"/>
    <w:rsid w:val="00FD3CA5"/>
    <w:rsid w:val="00FD3CB1"/>
    <w:rsid w:val="00FD3CC5"/>
    <w:rsid w:val="00FD41F6"/>
    <w:rsid w:val="00FD50ED"/>
    <w:rsid w:val="00FD5206"/>
    <w:rsid w:val="00FD5333"/>
    <w:rsid w:val="00FD5889"/>
    <w:rsid w:val="00FD5A53"/>
    <w:rsid w:val="00FD645D"/>
    <w:rsid w:val="00FD6506"/>
    <w:rsid w:val="00FD6D3C"/>
    <w:rsid w:val="00FD6F87"/>
    <w:rsid w:val="00FD736A"/>
    <w:rsid w:val="00FD78AF"/>
    <w:rsid w:val="00FE021D"/>
    <w:rsid w:val="00FE041A"/>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351"/>
    <w:rsid w:val="00FF24EC"/>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FEFDD23-1826-4249-A78B-7AE3CB75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C0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661719"/>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563981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660415">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156798">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8256894">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7137234">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29146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018603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882530">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7475766">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5989571">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64741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528195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18888209">
      <w:bodyDiv w:val="1"/>
      <w:marLeft w:val="0"/>
      <w:marRight w:val="0"/>
      <w:marTop w:val="0"/>
      <w:marBottom w:val="0"/>
      <w:divBdr>
        <w:top w:val="none" w:sz="0" w:space="0" w:color="auto"/>
        <w:left w:val="none" w:sz="0" w:space="0" w:color="auto"/>
        <w:bottom w:val="none" w:sz="0" w:space="0" w:color="auto"/>
        <w:right w:val="none" w:sz="0" w:space="0" w:color="auto"/>
      </w:divBdr>
    </w:div>
    <w:div w:id="1019425921">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6179912">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017997">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569442">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9272123">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04068">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6452761">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08803">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6975068">
      <w:bodyDiv w:val="1"/>
      <w:marLeft w:val="0"/>
      <w:marRight w:val="0"/>
      <w:marTop w:val="0"/>
      <w:marBottom w:val="0"/>
      <w:divBdr>
        <w:top w:val="none" w:sz="0" w:space="0" w:color="auto"/>
        <w:left w:val="none" w:sz="0" w:space="0" w:color="auto"/>
        <w:bottom w:val="none" w:sz="0" w:space="0" w:color="auto"/>
        <w:right w:val="none" w:sz="0" w:space="0" w:color="auto"/>
      </w:divBdr>
    </w:div>
    <w:div w:id="1421104770">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492863919">
      <w:bodyDiv w:val="1"/>
      <w:marLeft w:val="0"/>
      <w:marRight w:val="0"/>
      <w:marTop w:val="0"/>
      <w:marBottom w:val="0"/>
      <w:divBdr>
        <w:top w:val="none" w:sz="0" w:space="0" w:color="auto"/>
        <w:left w:val="none" w:sz="0" w:space="0" w:color="auto"/>
        <w:bottom w:val="none" w:sz="0" w:space="0" w:color="auto"/>
        <w:right w:val="none" w:sz="0" w:space="0" w:color="auto"/>
      </w:divBdr>
    </w:div>
    <w:div w:id="150636285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3574263">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4926261">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0406732">
      <w:bodyDiv w:val="1"/>
      <w:marLeft w:val="0"/>
      <w:marRight w:val="0"/>
      <w:marTop w:val="0"/>
      <w:marBottom w:val="0"/>
      <w:divBdr>
        <w:top w:val="none" w:sz="0" w:space="0" w:color="auto"/>
        <w:left w:val="none" w:sz="0" w:space="0" w:color="auto"/>
        <w:bottom w:val="none" w:sz="0" w:space="0" w:color="auto"/>
        <w:right w:val="none" w:sz="0" w:space="0" w:color="auto"/>
      </w:divBdr>
    </w:div>
    <w:div w:id="1623226637">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3700266">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1676593">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3637854">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84777071">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236803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078919">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582507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987015">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0645D-C8BD-4FC1-8457-26383C760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1220</TotalTime>
  <Pages>35</Pages>
  <Words>9253</Words>
  <Characters>50895</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58</cp:revision>
  <cp:lastPrinted>2021-10-19T22:17:00Z</cp:lastPrinted>
  <dcterms:created xsi:type="dcterms:W3CDTF">2021-10-04T23:46:00Z</dcterms:created>
  <dcterms:modified xsi:type="dcterms:W3CDTF">2021-11-05T21:35:00Z</dcterms:modified>
</cp:coreProperties>
</file>