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AF7" w:rsidRPr="002E4E51" w:rsidRDefault="00E10AF7" w:rsidP="00CB57AA">
      <w:pPr>
        <w:spacing w:before="240" w:after="240" w:line="360" w:lineRule="auto"/>
        <w:jc w:val="both"/>
        <w:rPr>
          <w:rFonts w:ascii="Palatino Linotype" w:hAnsi="Palatino Linotype" w:cs="Arial"/>
        </w:rPr>
      </w:pPr>
      <w:r w:rsidRPr="002E4E5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2E4E51">
        <w:rPr>
          <w:rStyle w:val="normaltextrun"/>
          <w:rFonts w:ascii="Palatino Linotype" w:hAnsi="Palatino Linotype" w:cs="Arial"/>
        </w:rPr>
        <w:t>,</w:t>
      </w:r>
      <w:r w:rsidRPr="002E4E51">
        <w:rPr>
          <w:rStyle w:val="apple-converted-space"/>
          <w:rFonts w:ascii="Palatino Linotype" w:hAnsi="Palatino Linotype" w:cs="Arial"/>
        </w:rPr>
        <w:t> </w:t>
      </w:r>
      <w:r w:rsidR="005273F9" w:rsidRPr="002E4E51">
        <w:rPr>
          <w:rStyle w:val="normaltextrun"/>
          <w:rFonts w:ascii="Palatino Linotype" w:hAnsi="Palatino Linotype" w:cs="Arial"/>
        </w:rPr>
        <w:t>diez</w:t>
      </w:r>
      <w:r w:rsidR="0078772E" w:rsidRPr="002E4E51">
        <w:rPr>
          <w:rStyle w:val="normaltextrun"/>
          <w:rFonts w:ascii="Palatino Linotype" w:hAnsi="Palatino Linotype" w:cs="Arial"/>
        </w:rPr>
        <w:t xml:space="preserve"> </w:t>
      </w:r>
      <w:r w:rsidR="006530EA" w:rsidRPr="002E4E51">
        <w:rPr>
          <w:rStyle w:val="normaltextrun"/>
          <w:rFonts w:ascii="Palatino Linotype" w:hAnsi="Palatino Linotype" w:cs="Arial"/>
        </w:rPr>
        <w:t xml:space="preserve"> de</w:t>
      </w:r>
      <w:r w:rsidR="005273F9" w:rsidRPr="002E4E51">
        <w:rPr>
          <w:rStyle w:val="normaltextrun"/>
          <w:rFonts w:ascii="Palatino Linotype" w:hAnsi="Palatino Linotype" w:cs="Arial"/>
        </w:rPr>
        <w:t xml:space="preserve"> noviembre</w:t>
      </w:r>
      <w:r w:rsidR="00693BF9" w:rsidRPr="002E4E51">
        <w:rPr>
          <w:rStyle w:val="normaltextrun"/>
          <w:rFonts w:ascii="Palatino Linotype" w:hAnsi="Palatino Linotype" w:cs="Arial"/>
        </w:rPr>
        <w:t xml:space="preserve"> de</w:t>
      </w:r>
      <w:r w:rsidR="00CB57AA" w:rsidRPr="002E4E51">
        <w:rPr>
          <w:rStyle w:val="normaltextrun"/>
          <w:rFonts w:ascii="Palatino Linotype" w:hAnsi="Palatino Linotype" w:cs="Arial"/>
        </w:rPr>
        <w:t xml:space="preserve"> dos mil veintiuno</w:t>
      </w:r>
      <w:r w:rsidRPr="002E4E51">
        <w:rPr>
          <w:rStyle w:val="normaltextrun"/>
          <w:rFonts w:ascii="Palatino Linotype" w:hAnsi="Palatino Linotype" w:cs="Arial"/>
        </w:rPr>
        <w:t>.</w:t>
      </w:r>
    </w:p>
    <w:p w:rsidR="00E10AF7" w:rsidRPr="002E4E51" w:rsidRDefault="00E10AF7" w:rsidP="00CB57AA">
      <w:pPr>
        <w:spacing w:before="240" w:after="240" w:line="360" w:lineRule="auto"/>
        <w:jc w:val="both"/>
        <w:rPr>
          <w:rFonts w:ascii="Palatino Linotype" w:hAnsi="Palatino Linotype" w:cs="Arial"/>
        </w:rPr>
      </w:pPr>
      <w:r w:rsidRPr="002E4E51">
        <w:rPr>
          <w:rFonts w:ascii="Palatino Linotype" w:hAnsi="Palatino Linotype" w:cs="Arial"/>
          <w:b/>
        </w:rPr>
        <w:t xml:space="preserve">Visto </w:t>
      </w:r>
      <w:r w:rsidRPr="002E4E51">
        <w:rPr>
          <w:rFonts w:ascii="Palatino Linotype" w:hAnsi="Palatino Linotype" w:cs="Arial"/>
        </w:rPr>
        <w:t xml:space="preserve">el expediente relativo al recurso de revisión </w:t>
      </w:r>
      <w:r w:rsidR="005273F9" w:rsidRPr="002E4E51">
        <w:rPr>
          <w:rFonts w:ascii="Palatino Linotype" w:hAnsi="Palatino Linotype"/>
          <w:b/>
          <w:lang w:val="es-ES_tradnl"/>
        </w:rPr>
        <w:t>03254</w:t>
      </w:r>
      <w:r w:rsidR="000B3BD4" w:rsidRPr="002E4E51">
        <w:rPr>
          <w:rFonts w:ascii="Palatino Linotype" w:hAnsi="Palatino Linotype"/>
          <w:b/>
          <w:lang w:val="es-ES_tradnl"/>
        </w:rPr>
        <w:t>/INFOEM/IP/RR/2021</w:t>
      </w:r>
      <w:r w:rsidRPr="002E4E51">
        <w:rPr>
          <w:rFonts w:ascii="Palatino Linotype" w:hAnsi="Palatino Linotype" w:cs="Arial"/>
        </w:rPr>
        <w:t>, interpuesto por</w:t>
      </w:r>
      <w:r w:rsidR="007022F6" w:rsidRPr="002E4E51">
        <w:rPr>
          <w:rFonts w:ascii="Palatino Linotype" w:hAnsi="Palatino Linotype" w:cs="Arial"/>
        </w:rPr>
        <w:t xml:space="preserve"> </w:t>
      </w:r>
      <w:r w:rsidR="00BB59CF">
        <w:rPr>
          <w:rFonts w:ascii="Palatino Linotype" w:hAnsi="Palatino Linotype" w:cs="Arial"/>
          <w:b/>
        </w:rPr>
        <w:t>XXXXXXXXXXXXXXXXXXXXXX</w:t>
      </w:r>
      <w:r w:rsidRPr="002E4E51">
        <w:rPr>
          <w:rFonts w:ascii="Palatino Linotype" w:hAnsi="Palatino Linotype" w:cs="Arial"/>
          <w:b/>
        </w:rPr>
        <w:t xml:space="preserve">, </w:t>
      </w:r>
      <w:r w:rsidR="005273F9" w:rsidRPr="002E4E51">
        <w:rPr>
          <w:rFonts w:ascii="Palatino Linotype" w:hAnsi="Palatino Linotype" w:cs="Arial"/>
        </w:rPr>
        <w:t>en lo sucesivo la parte</w:t>
      </w:r>
      <w:r w:rsidRPr="002E4E51">
        <w:rPr>
          <w:rFonts w:ascii="Palatino Linotype" w:hAnsi="Palatino Linotype" w:cs="Arial"/>
        </w:rPr>
        <w:t xml:space="preserve"> </w:t>
      </w:r>
      <w:r w:rsidR="005273F9" w:rsidRPr="002E4E51">
        <w:rPr>
          <w:rFonts w:ascii="Palatino Linotype" w:hAnsi="Palatino Linotype" w:cs="Arial"/>
          <w:b/>
        </w:rPr>
        <w:t>RECURRENTE</w:t>
      </w:r>
      <w:r w:rsidRPr="002E4E51">
        <w:rPr>
          <w:rFonts w:ascii="Palatino Linotype" w:hAnsi="Palatino Linotype" w:cs="Arial"/>
        </w:rPr>
        <w:t xml:space="preserve"> en contra de la respuesta a la solicitud de información con número de folio </w:t>
      </w:r>
      <w:r w:rsidR="005273F9" w:rsidRPr="002E4E51">
        <w:rPr>
          <w:rFonts w:ascii="Palatino Linotype" w:hAnsi="Palatino Linotype" w:cs="Arial"/>
          <w:b/>
        </w:rPr>
        <w:t>00140/SMOV/IP/2021</w:t>
      </w:r>
      <w:r w:rsidRPr="002E4E51">
        <w:rPr>
          <w:rFonts w:ascii="Palatino Linotype" w:hAnsi="Palatino Linotype" w:cs="Arial"/>
        </w:rPr>
        <w:t>, por parte de</w:t>
      </w:r>
      <w:r w:rsidR="005273F9" w:rsidRPr="002E4E51">
        <w:rPr>
          <w:rFonts w:ascii="Palatino Linotype" w:hAnsi="Palatino Linotype" w:cs="Arial"/>
        </w:rPr>
        <w:t xml:space="preserve"> la</w:t>
      </w:r>
      <w:r w:rsidRPr="002E4E51">
        <w:rPr>
          <w:rFonts w:ascii="Palatino Linotype" w:hAnsi="Palatino Linotype" w:cs="Arial"/>
        </w:rPr>
        <w:t xml:space="preserve"> </w:t>
      </w:r>
      <w:r w:rsidR="005273F9" w:rsidRPr="002E4E51">
        <w:rPr>
          <w:rFonts w:ascii="Palatino Linotype" w:hAnsi="Palatino Linotype"/>
          <w:b/>
          <w:lang w:val="es-ES_tradnl"/>
        </w:rPr>
        <w:t>Secretaría de Movilidad</w:t>
      </w:r>
      <w:r w:rsidRPr="002E4E51">
        <w:rPr>
          <w:rFonts w:ascii="Palatino Linotype" w:hAnsi="Palatino Linotype" w:cs="Arial"/>
        </w:rPr>
        <w:t xml:space="preserve">, en lo sucesivo el </w:t>
      </w:r>
      <w:r w:rsidR="005273F9" w:rsidRPr="002E4E51">
        <w:rPr>
          <w:rFonts w:ascii="Palatino Linotype" w:hAnsi="Palatino Linotype" w:cs="Arial"/>
          <w:b/>
        </w:rPr>
        <w:t>SUJETO OBLIGADO</w:t>
      </w:r>
      <w:r w:rsidRPr="002E4E51">
        <w:rPr>
          <w:rFonts w:ascii="Palatino Linotype" w:hAnsi="Palatino Linotype" w:cs="Arial"/>
          <w:b/>
        </w:rPr>
        <w:t xml:space="preserve">; </w:t>
      </w:r>
      <w:r w:rsidRPr="002E4E51">
        <w:rPr>
          <w:rFonts w:ascii="Palatino Linotype" w:hAnsi="Palatino Linotype" w:cs="Arial"/>
        </w:rPr>
        <w:t>se procede a dictar la presente resolución, con base en lo siguiente.</w:t>
      </w:r>
    </w:p>
    <w:p w:rsidR="00E10AF7" w:rsidRPr="002E4E51" w:rsidRDefault="00E10AF7" w:rsidP="00CB57A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2E4E51">
        <w:rPr>
          <w:rFonts w:ascii="Palatino Linotype" w:hAnsi="Palatino Linotype" w:cs="Arial"/>
          <w:b/>
          <w:sz w:val="24"/>
          <w:szCs w:val="24"/>
        </w:rPr>
        <w:t xml:space="preserve">A N T E C E </w:t>
      </w:r>
      <w:r w:rsidR="001A5951" w:rsidRPr="002E4E51">
        <w:rPr>
          <w:rFonts w:ascii="Palatino Linotype" w:hAnsi="Palatino Linotype" w:cs="Arial"/>
          <w:b/>
          <w:sz w:val="24"/>
          <w:szCs w:val="24"/>
        </w:rPr>
        <w:t>D E N T E S</w:t>
      </w:r>
    </w:p>
    <w:p w:rsidR="005213EC" w:rsidRPr="002E4E51" w:rsidRDefault="00D20831" w:rsidP="00CB57AA">
      <w:pPr>
        <w:spacing w:before="240" w:after="240" w:line="360" w:lineRule="auto"/>
        <w:jc w:val="both"/>
        <w:rPr>
          <w:rFonts w:ascii="Palatino Linotype" w:hAnsi="Palatino Linotype" w:cs="Arial"/>
        </w:rPr>
      </w:pPr>
      <w:r w:rsidRPr="002E4E51">
        <w:rPr>
          <w:rFonts w:ascii="Palatino Linotype" w:hAnsi="Palatino Linotype" w:cs="Arial"/>
          <w:b/>
        </w:rPr>
        <w:t>Primero</w:t>
      </w:r>
      <w:r w:rsidR="00E10AF7" w:rsidRPr="002E4E51">
        <w:rPr>
          <w:rFonts w:ascii="Palatino Linotype" w:hAnsi="Palatino Linotype" w:cs="Arial"/>
          <w:b/>
        </w:rPr>
        <w:t xml:space="preserve">. Solicitud de acceso a la información. </w:t>
      </w:r>
      <w:r w:rsidR="00E10AF7" w:rsidRPr="002E4E51">
        <w:rPr>
          <w:rFonts w:ascii="Palatino Linotype" w:hAnsi="Palatino Linotype" w:cs="Arial"/>
        </w:rPr>
        <w:t xml:space="preserve">Con fecha </w:t>
      </w:r>
      <w:r w:rsidR="000B3BD4" w:rsidRPr="002E4E51">
        <w:rPr>
          <w:rFonts w:ascii="Palatino Linotype" w:hAnsi="Palatino Linotype" w:cs="Arial"/>
        </w:rPr>
        <w:t>diecinueve de abril</w:t>
      </w:r>
      <w:r w:rsidR="00E10AF7" w:rsidRPr="002E4E51">
        <w:rPr>
          <w:rFonts w:ascii="Palatino Linotype" w:hAnsi="Palatino Linotype" w:cs="Arial"/>
        </w:rPr>
        <w:t xml:space="preserve"> </w:t>
      </w:r>
      <w:r w:rsidR="000B3BD4" w:rsidRPr="002E4E51">
        <w:rPr>
          <w:rFonts w:ascii="Palatino Linotype" w:hAnsi="Palatino Linotype" w:cs="Arial"/>
        </w:rPr>
        <w:t>de dos mil veintiuno</w:t>
      </w:r>
      <w:r w:rsidR="00E10AF7" w:rsidRPr="002E4E51">
        <w:rPr>
          <w:rFonts w:ascii="Palatino Linotype" w:hAnsi="Palatino Linotype" w:cs="Arial"/>
        </w:rPr>
        <w:t xml:space="preserve">, la parte </w:t>
      </w:r>
      <w:r w:rsidR="007F49AF" w:rsidRPr="002E4E51">
        <w:rPr>
          <w:rFonts w:ascii="Palatino Linotype" w:hAnsi="Palatino Linotype" w:cs="Arial"/>
          <w:b/>
        </w:rPr>
        <w:t>recurrente</w:t>
      </w:r>
      <w:r w:rsidR="00E10AF7" w:rsidRPr="002E4E51">
        <w:rPr>
          <w:rFonts w:ascii="Palatino Linotype" w:hAnsi="Palatino Linotype" w:cs="Arial"/>
        </w:rPr>
        <w:t xml:space="preserve"> formuló solicitud de acceso a información pública al </w:t>
      </w:r>
      <w:r w:rsidR="007F49AF" w:rsidRPr="002E4E51">
        <w:rPr>
          <w:rFonts w:ascii="Palatino Linotype" w:hAnsi="Palatino Linotype" w:cs="Arial"/>
          <w:b/>
        </w:rPr>
        <w:t>Sujeto Obligado</w:t>
      </w:r>
      <w:r w:rsidR="00E10AF7" w:rsidRPr="002E4E51">
        <w:rPr>
          <w:rFonts w:ascii="Palatino Linotype" w:hAnsi="Palatino Linotype" w:cs="Arial"/>
        </w:rPr>
        <w:t xml:space="preserve"> a través del Sistema de Acceso a la Información Mexiquense, en adelante </w:t>
      </w:r>
      <w:r w:rsidR="00E10AF7" w:rsidRPr="002E4E51">
        <w:rPr>
          <w:rFonts w:ascii="Palatino Linotype" w:hAnsi="Palatino Linotype" w:cs="Arial"/>
          <w:b/>
        </w:rPr>
        <w:t>SAIMEX</w:t>
      </w:r>
      <w:r w:rsidR="00430158" w:rsidRPr="002E4E51">
        <w:rPr>
          <w:rFonts w:ascii="Palatino Linotype" w:hAnsi="Palatino Linotype" w:cs="Arial"/>
          <w:b/>
        </w:rPr>
        <w:t>,</w:t>
      </w:r>
      <w:r w:rsidR="00430158" w:rsidRPr="002E4E51">
        <w:rPr>
          <w:rFonts w:ascii="Palatino Linotype" w:hAnsi="Palatino Linotype" w:cs="Arial"/>
        </w:rPr>
        <w:t xml:space="preserve"> requiriéndole</w:t>
      </w:r>
      <w:r w:rsidR="00E10AF7" w:rsidRPr="002E4E51">
        <w:rPr>
          <w:rFonts w:ascii="Palatino Linotype" w:hAnsi="Palatino Linotype" w:cs="Arial"/>
        </w:rPr>
        <w:t xml:space="preserve"> lo siguiente:</w:t>
      </w:r>
    </w:p>
    <w:p w:rsidR="00E22B0D" w:rsidRPr="002E4E51" w:rsidRDefault="00E10AF7" w:rsidP="00CB57AA">
      <w:pPr>
        <w:pStyle w:val="Prrafodelista"/>
        <w:autoSpaceDE w:val="0"/>
        <w:autoSpaceDN w:val="0"/>
        <w:adjustRightInd w:val="0"/>
        <w:ind w:left="1080" w:right="49"/>
        <w:jc w:val="both"/>
        <w:rPr>
          <w:rFonts w:ascii="Palatino Linotype" w:hAnsi="Palatino Linotype"/>
          <w:i/>
          <w:sz w:val="24"/>
          <w:szCs w:val="24"/>
          <w:lang w:val="es-ES"/>
        </w:rPr>
      </w:pPr>
      <w:r w:rsidRPr="002E4E51">
        <w:rPr>
          <w:rFonts w:ascii="Palatino Linotype" w:hAnsi="Palatino Linotype" w:cs="Arial"/>
          <w:i/>
          <w:sz w:val="24"/>
          <w:szCs w:val="24"/>
        </w:rPr>
        <w:t>“</w:t>
      </w:r>
      <w:r w:rsidR="0030431B" w:rsidRPr="002E4E51">
        <w:rPr>
          <w:rFonts w:ascii="Palatino Linotype" w:hAnsi="Palatino Linotype"/>
          <w:i/>
          <w:sz w:val="24"/>
          <w:szCs w:val="24"/>
          <w:lang w:val="es-ES"/>
        </w:rPr>
        <w:t xml:space="preserve">Solicito de la secretaría de Movilidad del gobierno del Estado de México la siguiente información clara y precisa: Oficios de autorizaciones de derroteros de la empresa; Unión de transportistas de servicios colectivos y automóviles de alquiler de Coacalco y Estado de México S.A. de C. V. SCT/DGTT/98/2490 SCT/DGTT/98/2491 SCT/DGTT/98/2492 SCT/DGTT/98/2503 21102A000/98/2610 21102A000/98/2611 21102A000/98/2613 SCT/GEM/DGTT/98/2493 </w:t>
      </w:r>
      <w:r w:rsidR="000B3BD4" w:rsidRPr="002E4E51">
        <w:rPr>
          <w:rFonts w:ascii="Palatino Linotype" w:hAnsi="Palatino Linotype"/>
          <w:i/>
          <w:sz w:val="24"/>
          <w:szCs w:val="24"/>
          <w:lang w:val="es-ES"/>
        </w:rPr>
        <w:t>“</w:t>
      </w:r>
      <w:r w:rsidRPr="002E4E51">
        <w:rPr>
          <w:rFonts w:ascii="Palatino Linotype" w:hAnsi="Palatino Linotype" w:cs="Arial"/>
          <w:i/>
          <w:sz w:val="24"/>
          <w:szCs w:val="24"/>
        </w:rPr>
        <w:t>(</w:t>
      </w:r>
      <w:r w:rsidR="00D20831" w:rsidRPr="002E4E51">
        <w:rPr>
          <w:rFonts w:ascii="Palatino Linotype" w:hAnsi="Palatino Linotype" w:cs="Arial"/>
          <w:i/>
          <w:sz w:val="24"/>
          <w:szCs w:val="24"/>
        </w:rPr>
        <w:t>Sic</w:t>
      </w:r>
      <w:r w:rsidRPr="002E4E51">
        <w:rPr>
          <w:rFonts w:ascii="Palatino Linotype" w:hAnsi="Palatino Linotype" w:cs="Arial"/>
          <w:i/>
          <w:sz w:val="24"/>
          <w:szCs w:val="24"/>
        </w:rPr>
        <w:t>)</w:t>
      </w:r>
    </w:p>
    <w:p w:rsidR="00047322" w:rsidRPr="002E4E51" w:rsidRDefault="00D20831" w:rsidP="00CB57AA">
      <w:pPr>
        <w:spacing w:before="240" w:after="240" w:line="360" w:lineRule="auto"/>
        <w:jc w:val="both"/>
        <w:rPr>
          <w:rFonts w:ascii="Palatino Linotype" w:hAnsi="Palatino Linotype" w:cs="Arial"/>
        </w:rPr>
      </w:pPr>
      <w:r w:rsidRPr="002E4E51">
        <w:rPr>
          <w:rFonts w:ascii="Palatino Linotype" w:hAnsi="Palatino Linotype" w:cs="Arial"/>
          <w:b/>
        </w:rPr>
        <w:t>Modalidad elegida</w:t>
      </w:r>
      <w:r w:rsidR="00E10AF7" w:rsidRPr="002E4E51">
        <w:rPr>
          <w:rFonts w:ascii="Palatino Linotype" w:hAnsi="Palatino Linotype" w:cs="Arial"/>
          <w:b/>
        </w:rPr>
        <w:t xml:space="preserve"> para la entrega de la información: </w:t>
      </w:r>
      <w:r w:rsidR="00074BF0" w:rsidRPr="002E4E51">
        <w:rPr>
          <w:rFonts w:ascii="Palatino Linotype" w:hAnsi="Palatino Linotype" w:cs="Arial"/>
        </w:rPr>
        <w:t xml:space="preserve">a </w:t>
      </w:r>
      <w:r w:rsidR="000F381D" w:rsidRPr="002E4E51">
        <w:rPr>
          <w:rFonts w:ascii="Palatino Linotype" w:hAnsi="Palatino Linotype" w:cs="Arial"/>
        </w:rPr>
        <w:t>través del SAIMEX</w:t>
      </w:r>
    </w:p>
    <w:p w:rsidR="0030431B" w:rsidRPr="002E4E51" w:rsidRDefault="00D67DB5" w:rsidP="0030431B">
      <w:pPr>
        <w:spacing w:before="240" w:after="240" w:line="360" w:lineRule="auto"/>
        <w:jc w:val="both"/>
        <w:rPr>
          <w:rFonts w:ascii="Palatino Linotype" w:hAnsi="Palatino Linotype" w:cs="Arial"/>
          <w:b/>
        </w:rPr>
      </w:pPr>
      <w:r w:rsidRPr="002E4E51">
        <w:rPr>
          <w:rFonts w:ascii="Palatino Linotype" w:hAnsi="Palatino Linotype" w:cs="Arial"/>
          <w:b/>
        </w:rPr>
        <w:lastRenderedPageBreak/>
        <w:t>Segundo</w:t>
      </w:r>
      <w:r w:rsidR="00E10AF7" w:rsidRPr="002E4E51">
        <w:rPr>
          <w:rFonts w:ascii="Palatino Linotype" w:hAnsi="Palatino Linotype" w:cs="Arial"/>
          <w:b/>
        </w:rPr>
        <w:t xml:space="preserve">. </w:t>
      </w:r>
      <w:r w:rsidR="007022F6" w:rsidRPr="002E4E51">
        <w:rPr>
          <w:rFonts w:ascii="Palatino Linotype" w:hAnsi="Palatino Linotype" w:cs="Arial"/>
          <w:b/>
        </w:rPr>
        <w:t xml:space="preserve">Respuesta. </w:t>
      </w:r>
      <w:r w:rsidR="0030431B" w:rsidRPr="002E4E51">
        <w:rPr>
          <w:rFonts w:ascii="Palatino Linotype" w:hAnsi="Palatino Linotype"/>
          <w:lang w:val="es-MX"/>
        </w:rPr>
        <w:t xml:space="preserve">De las constancias que obran en </w:t>
      </w:r>
      <w:r w:rsidR="0030431B" w:rsidRPr="002E4E51">
        <w:rPr>
          <w:rFonts w:ascii="Palatino Linotype" w:hAnsi="Palatino Linotype"/>
          <w:b/>
          <w:lang w:val="es-MX"/>
        </w:rPr>
        <w:t>EL SAIMEX,</w:t>
      </w:r>
      <w:r w:rsidR="0030431B" w:rsidRPr="002E4E51">
        <w:rPr>
          <w:rFonts w:ascii="Palatino Linotype" w:hAnsi="Palatino Linotype"/>
          <w:lang w:val="es-MX"/>
        </w:rPr>
        <w:t xml:space="preserve"> se advierte que en fecha once de mayo de dos mil diecisiete, el Sujeto Obligado</w:t>
      </w:r>
      <w:r w:rsidR="0030431B" w:rsidRPr="002E4E51">
        <w:rPr>
          <w:rFonts w:ascii="Palatino Linotype" w:hAnsi="Palatino Linotype"/>
          <w:b/>
          <w:lang w:val="es-MX"/>
        </w:rPr>
        <w:t xml:space="preserve"> </w:t>
      </w:r>
      <w:r w:rsidR="0030431B" w:rsidRPr="002E4E51">
        <w:rPr>
          <w:rFonts w:ascii="Palatino Linotype" w:hAnsi="Palatino Linotype"/>
          <w:lang w:val="es-MX"/>
        </w:rPr>
        <w:t>notificó la siguiente respuesta:</w:t>
      </w:r>
    </w:p>
    <w:p w:rsidR="0030431B" w:rsidRPr="002E4E51" w:rsidRDefault="0030431B" w:rsidP="0030431B">
      <w:pPr>
        <w:shd w:val="clear" w:color="auto" w:fill="FFFFFF" w:themeFill="background1"/>
        <w:ind w:left="993" w:right="2175"/>
        <w:jc w:val="right"/>
        <w:rPr>
          <w:rFonts w:ascii="Palatino Linotype" w:hAnsi="Palatino Linotype" w:cs="Arial"/>
          <w:i/>
          <w:lang w:val="es-MX" w:eastAsia="es-MX"/>
        </w:rPr>
      </w:pPr>
    </w:p>
    <w:p w:rsidR="0030431B" w:rsidRPr="002E4E51" w:rsidRDefault="0030431B" w:rsidP="0030431B">
      <w:pPr>
        <w:shd w:val="clear" w:color="auto" w:fill="FFFFFF" w:themeFill="background1"/>
        <w:ind w:left="993" w:right="49"/>
        <w:jc w:val="both"/>
        <w:rPr>
          <w:rFonts w:ascii="Palatino Linotype" w:hAnsi="Palatino Linotype" w:cs="Arial"/>
          <w:i/>
          <w:lang w:val="es-MX" w:eastAsia="es-MX"/>
        </w:rPr>
      </w:pPr>
      <w:r w:rsidRPr="002E4E51">
        <w:rPr>
          <w:rFonts w:ascii="Palatino Linotype" w:hAnsi="Palatino Linotype" w:cs="Arial"/>
          <w:i/>
          <w:lang w:val="es-MX" w:eastAsia="es-MX"/>
        </w:rPr>
        <w:t xml:space="preserve">“En respuesta a su petición número 00140/SMOV/IP/2021, a través de la cual solicitó la siguiente información: “…Solicito de la secretaría de Movilidad del gobierno del Estado de México la siguiente información clara y precisa: Oficios de autorizaciones de derroteros de la empresa; Unión de transportistas de servicios colectivos y automóviles de alquiler de Coacalco y Estado de México S.A. de C. V. SCT/DGTT/98/2490 SCT/DGTT/98/2491 SCT/DGTT/98/2492 SCT/DGTT/98/2503 21102A000/98/2610 21102A000/98/2611 21102A000/98/2613 SCT/GEM/DGTT/98/2493…” (sic); de conformidad con lo dispuesto en los artículos 6 apartado A y 8 de la Constitución Política de los Estados Unidos Mexicanos; 5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El Director General de Movilidad Zona II y Servidor Público Habilitado, informó a la que suscribe que esta unidad administrativa, se encuentra imposibilitada para otorgar respuesta a la petición, toda vez que a través del ACTA DE LA TRIGÉSIMA QUINTA SESIÓN EXTRAORDINARIA DEL AÑO DOS MIL VEINTIUNO DEL COMITÉ DE TRANSPARENCIA DE LA SECRETARÍA DE MOVILIDAD DEL GOBIERNO DEL ESTADO DE MÉXICO, por la que el Pleno de Comité de esta Secretaría determina y autoriza la RESERVA de emisión de la información, manifestando el respectivo fundamento y “prueba de daño; la cual se adjunta al presente para pronta referencia. Lo anterior, de conformidad con los artículos 12 y 24 de la Ley de Transparencia, Acceso a la Información Pública del Estado de México y Municipios que a la letra dicen: “…Artículo 12. Quienes </w:t>
      </w:r>
      <w:r w:rsidRPr="002E4E51">
        <w:rPr>
          <w:rFonts w:ascii="Palatino Linotype" w:hAnsi="Palatino Linotype" w:cs="Arial"/>
          <w:i/>
          <w:lang w:val="es-MX" w:eastAsia="es-MX"/>
        </w:rPr>
        <w:lastRenderedPageBreak/>
        <w:t>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 “(Sic)</w:t>
      </w:r>
    </w:p>
    <w:p w:rsidR="0030431B" w:rsidRPr="002E4E51" w:rsidRDefault="0030431B" w:rsidP="0030431B">
      <w:pPr>
        <w:shd w:val="clear" w:color="auto" w:fill="FFFFFF" w:themeFill="background1"/>
        <w:ind w:right="2175"/>
        <w:jc w:val="both"/>
        <w:rPr>
          <w:rFonts w:ascii="Palatino Linotype" w:hAnsi="Palatino Linotype" w:cs="Arial"/>
          <w:i/>
          <w:lang w:val="es-MX" w:eastAsia="es-MX"/>
        </w:rPr>
      </w:pPr>
    </w:p>
    <w:p w:rsidR="0030431B" w:rsidRPr="002E4E51" w:rsidRDefault="0030431B" w:rsidP="0030431B">
      <w:pPr>
        <w:shd w:val="clear" w:color="auto" w:fill="FFFFFF" w:themeFill="background1"/>
        <w:spacing w:line="360" w:lineRule="auto"/>
        <w:ind w:right="49"/>
        <w:jc w:val="both"/>
        <w:rPr>
          <w:rFonts w:ascii="Palatino Linotype" w:hAnsi="Palatino Linotype" w:cs="Arial"/>
          <w:lang w:val="es-MX" w:eastAsia="es-MX"/>
        </w:rPr>
      </w:pPr>
      <w:r w:rsidRPr="002E4E51">
        <w:rPr>
          <w:rFonts w:ascii="Palatino Linotype" w:hAnsi="Palatino Linotype" w:cs="Arial"/>
          <w:b/>
          <w:lang w:val="es-MX" w:eastAsia="es-MX"/>
        </w:rPr>
        <w:t xml:space="preserve">Anexos: </w:t>
      </w:r>
      <w:r w:rsidRPr="002E4E51">
        <w:rPr>
          <w:rFonts w:ascii="Palatino Linotype" w:hAnsi="Palatino Linotype" w:cs="Arial"/>
          <w:lang w:val="es-MX" w:eastAsia="es-MX"/>
        </w:rPr>
        <w:t>el Sujeto Obligado adjuntó a su respuesta los archivos en formato electrónico denominados “</w:t>
      </w:r>
      <w:r w:rsidRPr="002E4E51">
        <w:rPr>
          <w:rFonts w:ascii="Palatino Linotype" w:hAnsi="Palatino Linotype" w:cs="Arial"/>
          <w:b/>
          <w:i/>
          <w:lang w:val="es-MX" w:eastAsia="es-MX"/>
        </w:rPr>
        <w:t>Trigésima Quinta Sesión Extraordinaria 2021.pdf”,</w:t>
      </w:r>
      <w:r w:rsidRPr="002E4E51">
        <w:rPr>
          <w:rFonts w:ascii="Palatino Linotype" w:hAnsi="Palatino Linotype" w:cs="Arial"/>
          <w:lang w:val="es-MX" w:eastAsia="es-MX"/>
        </w:rPr>
        <w:t xml:space="preserve"> archivos en los cuales el sujeto Obligado argumenta la clasificación de la información relacionada con la solicitud de información, bajo los argumentos siguientes: </w:t>
      </w:r>
    </w:p>
    <w:p w:rsidR="00310D92" w:rsidRPr="002E4E51" w:rsidRDefault="00310D92" w:rsidP="00963D3C">
      <w:pPr>
        <w:pStyle w:val="Prrafodelista"/>
        <w:numPr>
          <w:ilvl w:val="0"/>
          <w:numId w:val="4"/>
        </w:numPr>
        <w:shd w:val="clear" w:color="auto" w:fill="FFFFFF" w:themeFill="background1"/>
        <w:spacing w:line="360" w:lineRule="auto"/>
        <w:ind w:right="49"/>
        <w:jc w:val="both"/>
        <w:rPr>
          <w:rFonts w:ascii="Palatino Linotype" w:hAnsi="Palatino Linotype" w:cs="Arial"/>
          <w:lang w:eastAsia="es-MX"/>
        </w:rPr>
      </w:pPr>
      <w:r w:rsidRPr="002E4E51">
        <w:rPr>
          <w:rFonts w:ascii="Palatino Linotype" w:hAnsi="Palatino Linotype" w:cs="Arial"/>
          <w:lang w:eastAsia="es-MX"/>
        </w:rPr>
        <w:t xml:space="preserve">Que la causa de reserva se encuentra contemplada por el artículo 113 </w:t>
      </w:r>
      <w:proofErr w:type="spellStart"/>
      <w:r w:rsidRPr="002E4E51">
        <w:rPr>
          <w:rFonts w:ascii="Palatino Linotype" w:hAnsi="Palatino Linotype" w:cs="Arial"/>
          <w:lang w:eastAsia="es-MX"/>
        </w:rPr>
        <w:t>fraccion</w:t>
      </w:r>
      <w:proofErr w:type="spellEnd"/>
      <w:r w:rsidRPr="002E4E51">
        <w:rPr>
          <w:rFonts w:ascii="Palatino Linotype" w:hAnsi="Palatino Linotype" w:cs="Arial"/>
          <w:lang w:eastAsia="es-MX"/>
        </w:rPr>
        <w:t xml:space="preserve"> XIII de la Ley General de Transparencia y Acceso a la Información Pública y 140 fracción X de la Ley de Transparencia y Acceso a la Información Pública del Estado de México y Municipios</w:t>
      </w:r>
      <w:r w:rsidR="00036CB9" w:rsidRPr="002E4E51">
        <w:rPr>
          <w:rFonts w:ascii="Palatino Linotype" w:hAnsi="Palatino Linotype" w:cs="Arial"/>
          <w:lang w:eastAsia="es-MX"/>
        </w:rPr>
        <w:t>;</w:t>
      </w:r>
    </w:p>
    <w:p w:rsidR="00036CB9" w:rsidRPr="002E4E51" w:rsidRDefault="00036CB9" w:rsidP="00036CB9">
      <w:pPr>
        <w:pStyle w:val="Prrafodelista"/>
        <w:shd w:val="clear" w:color="auto" w:fill="FFFFFF" w:themeFill="background1"/>
        <w:spacing w:line="360" w:lineRule="auto"/>
        <w:ind w:left="1068" w:right="49"/>
        <w:jc w:val="both"/>
        <w:rPr>
          <w:rFonts w:ascii="Palatino Linotype" w:hAnsi="Palatino Linotype" w:cs="Arial"/>
          <w:lang w:eastAsia="es-MX"/>
        </w:rPr>
      </w:pPr>
    </w:p>
    <w:p w:rsidR="00036CB9" w:rsidRPr="002E4E51" w:rsidRDefault="00036CB9" w:rsidP="00963D3C">
      <w:pPr>
        <w:pStyle w:val="Prrafodelista"/>
        <w:numPr>
          <w:ilvl w:val="0"/>
          <w:numId w:val="4"/>
        </w:numPr>
        <w:shd w:val="clear" w:color="auto" w:fill="FFFFFF" w:themeFill="background1"/>
        <w:spacing w:line="360" w:lineRule="auto"/>
        <w:ind w:right="49"/>
        <w:jc w:val="both"/>
        <w:rPr>
          <w:rFonts w:ascii="Palatino Linotype" w:hAnsi="Palatino Linotype" w:cs="Arial"/>
          <w:sz w:val="24"/>
          <w:szCs w:val="24"/>
          <w:lang w:eastAsia="es-MX"/>
        </w:rPr>
      </w:pPr>
      <w:r w:rsidRPr="002E4E51">
        <w:rPr>
          <w:rFonts w:ascii="Palatino Linotype" w:hAnsi="Palatino Linotype" w:cs="Arial"/>
          <w:sz w:val="24"/>
          <w:szCs w:val="24"/>
          <w:lang w:eastAsia="es-MX"/>
        </w:rPr>
        <w:t xml:space="preserve">Que la  Secretaría inició el Programa Reordenamiento del Transporte Público, en el  Estado  de  México  considerando  la  circunscripción  territorial  de  la  Dirección General de  Movilidad Zona II   respecto  a  rutas alimentadoras  en beneficio de los usuarios y de todas las personas </w:t>
      </w:r>
      <w:r w:rsidRPr="002E4E51">
        <w:rPr>
          <w:rFonts w:ascii="Palatino Linotype" w:hAnsi="Palatino Linotype" w:cs="Arial"/>
          <w:sz w:val="24"/>
          <w:szCs w:val="24"/>
          <w:lang w:eastAsia="es-MX"/>
        </w:rPr>
        <w:lastRenderedPageBreak/>
        <w:t>que transitan por la zona sin importar su medio de transportación, cabe señalar que el mismo aún está en proceso  para su ejecución, toda vez  que es  necesario  los análisis y  estudios  correspondientes;</w:t>
      </w:r>
    </w:p>
    <w:p w:rsidR="00036CB9" w:rsidRPr="002E4E51" w:rsidRDefault="00036CB9" w:rsidP="00036CB9">
      <w:pPr>
        <w:pStyle w:val="Prrafodelista"/>
        <w:rPr>
          <w:rFonts w:ascii="Palatino Linotype" w:hAnsi="Palatino Linotype" w:cs="Arial"/>
          <w:sz w:val="24"/>
          <w:szCs w:val="24"/>
          <w:lang w:eastAsia="es-MX"/>
        </w:rPr>
      </w:pPr>
    </w:p>
    <w:p w:rsidR="00036CB9" w:rsidRPr="002E4E51" w:rsidRDefault="00036CB9" w:rsidP="00963D3C">
      <w:pPr>
        <w:pStyle w:val="Prrafodelista"/>
        <w:numPr>
          <w:ilvl w:val="0"/>
          <w:numId w:val="4"/>
        </w:numPr>
        <w:shd w:val="clear" w:color="auto" w:fill="FFFFFF" w:themeFill="background1"/>
        <w:spacing w:line="360" w:lineRule="auto"/>
        <w:ind w:right="49"/>
        <w:jc w:val="both"/>
        <w:rPr>
          <w:rFonts w:ascii="Palatino Linotype" w:hAnsi="Palatino Linotype" w:cs="Arial"/>
          <w:sz w:val="24"/>
          <w:szCs w:val="24"/>
          <w:lang w:eastAsia="es-MX"/>
        </w:rPr>
      </w:pPr>
      <w:r w:rsidRPr="002E4E51">
        <w:rPr>
          <w:rFonts w:ascii="Palatino Linotype" w:hAnsi="Palatino Linotype" w:cs="Arial"/>
          <w:sz w:val="24"/>
          <w:szCs w:val="24"/>
          <w:lang w:eastAsia="es-MX"/>
        </w:rPr>
        <w:t>Que con el único propósito que los proyectos y políticas públicas sean eficientes en materia de movilidad y se logre un ordenamiento adecuado y posteriormente la puesta en marcha de los proyectos, es indispensable analizar y en su caso modificar los derroteros, bases, sitios, alargamientos autorizados y que actualmente brindan el servicio de  transporte público en el territorio mexiquense, por lo que podrían sufrir afectaciones con el objetivo de mejorar la prestación del servicio y como resultado una movilidad adecuada para todas las personas que transitan por la entidad sin importar su medio de transportación;</w:t>
      </w:r>
    </w:p>
    <w:p w:rsidR="00036CB9" w:rsidRPr="002E4E51" w:rsidRDefault="00036CB9" w:rsidP="00036CB9">
      <w:pPr>
        <w:pStyle w:val="Prrafodelista"/>
        <w:rPr>
          <w:rFonts w:ascii="Palatino Linotype" w:hAnsi="Palatino Linotype" w:cs="Arial"/>
          <w:sz w:val="24"/>
          <w:szCs w:val="24"/>
          <w:lang w:eastAsia="es-MX"/>
        </w:rPr>
      </w:pPr>
    </w:p>
    <w:p w:rsidR="00036CB9" w:rsidRPr="002E4E51" w:rsidRDefault="00036CB9" w:rsidP="00963D3C">
      <w:pPr>
        <w:pStyle w:val="Prrafodelista"/>
        <w:numPr>
          <w:ilvl w:val="0"/>
          <w:numId w:val="4"/>
        </w:numPr>
        <w:shd w:val="clear" w:color="auto" w:fill="FFFFFF" w:themeFill="background1"/>
        <w:spacing w:line="360" w:lineRule="auto"/>
        <w:ind w:right="49"/>
        <w:jc w:val="both"/>
        <w:rPr>
          <w:rFonts w:ascii="Palatino Linotype" w:hAnsi="Palatino Linotype" w:cs="Arial"/>
          <w:sz w:val="24"/>
          <w:szCs w:val="24"/>
          <w:lang w:eastAsia="es-MX"/>
        </w:rPr>
      </w:pPr>
      <w:r w:rsidRPr="002E4E51">
        <w:rPr>
          <w:rFonts w:ascii="Palatino Linotype" w:hAnsi="Palatino Linotype" w:cs="Arial"/>
          <w:sz w:val="24"/>
          <w:szCs w:val="24"/>
          <w:lang w:eastAsia="es-MX"/>
        </w:rPr>
        <w:t>Que existen  algunas empresas morales que se encuentran realizando el cambio de régimen jurídico de Asociación Civil a Sociedad Anónima,  razón por la cual sus autorizaciones de derroteros o alargamientos,  bases, sitios y  lanzaderas, deben ser  modificadas  por lo  que están en proceso de acuerdo con lo señalado por la Ley de Movilidad del Estado de México y demás ordenamientos  aplicables en la  materia;</w:t>
      </w:r>
    </w:p>
    <w:p w:rsidR="00036CB9" w:rsidRPr="002E4E51" w:rsidRDefault="00036CB9" w:rsidP="00036CB9">
      <w:pPr>
        <w:pStyle w:val="Prrafodelista"/>
        <w:rPr>
          <w:rFonts w:ascii="Palatino Linotype" w:hAnsi="Palatino Linotype" w:cs="Arial"/>
          <w:sz w:val="24"/>
          <w:szCs w:val="24"/>
          <w:lang w:eastAsia="es-MX"/>
        </w:rPr>
      </w:pPr>
    </w:p>
    <w:p w:rsidR="0030431B" w:rsidRPr="002E4E51" w:rsidRDefault="00036CB9" w:rsidP="00F5647D">
      <w:pPr>
        <w:pStyle w:val="Prrafodelista"/>
        <w:numPr>
          <w:ilvl w:val="0"/>
          <w:numId w:val="4"/>
        </w:numPr>
        <w:shd w:val="clear" w:color="auto" w:fill="FFFFFF" w:themeFill="background1"/>
        <w:spacing w:line="360" w:lineRule="auto"/>
        <w:ind w:right="49"/>
        <w:jc w:val="both"/>
        <w:rPr>
          <w:rFonts w:ascii="Palatino Linotype" w:hAnsi="Palatino Linotype" w:cs="Arial"/>
          <w:sz w:val="24"/>
          <w:szCs w:val="24"/>
          <w:lang w:eastAsia="es-MX"/>
        </w:rPr>
      </w:pPr>
      <w:r w:rsidRPr="002E4E51">
        <w:rPr>
          <w:rFonts w:ascii="Palatino Linotype" w:hAnsi="Palatino Linotype" w:cs="Arial"/>
          <w:sz w:val="24"/>
          <w:szCs w:val="24"/>
          <w:lang w:eastAsia="es-MX"/>
        </w:rPr>
        <w:t xml:space="preserve">Que derivado de nuevos proyectos de movilidad la divulgación de la información solicitada,  podría aumentar o disminuir sus posibilidades de la realización de dichos proyectos; causando con ello, una afectación a </w:t>
      </w:r>
      <w:r w:rsidRPr="002E4E51">
        <w:rPr>
          <w:rFonts w:ascii="Palatino Linotype" w:hAnsi="Palatino Linotype" w:cs="Arial"/>
          <w:sz w:val="24"/>
          <w:szCs w:val="24"/>
          <w:lang w:eastAsia="es-MX"/>
        </w:rPr>
        <w:lastRenderedPageBreak/>
        <w:t>futuro en la implementación de los diferentes proyectos, ya que aún está sujeto a modificaciones y cambios hasta en tanto no sea adoptada la decisión definitiva, la cual debe ser documentada</w:t>
      </w:r>
    </w:p>
    <w:p w:rsidR="00E10AF7" w:rsidRPr="002E4E51" w:rsidRDefault="00161E1B" w:rsidP="00CB57AA">
      <w:pPr>
        <w:spacing w:before="240" w:after="240" w:line="360" w:lineRule="auto"/>
        <w:jc w:val="both"/>
        <w:rPr>
          <w:rFonts w:ascii="Palatino Linotype" w:hAnsi="Palatino Linotype" w:cs="Arial"/>
        </w:rPr>
      </w:pPr>
      <w:r w:rsidRPr="002E4E51">
        <w:rPr>
          <w:rFonts w:ascii="Palatino Linotype" w:hAnsi="Palatino Linotype" w:cs="Arial"/>
          <w:b/>
        </w:rPr>
        <w:t>Tercero</w:t>
      </w:r>
      <w:r w:rsidR="00E10AF7" w:rsidRPr="002E4E51">
        <w:rPr>
          <w:rFonts w:ascii="Palatino Linotype" w:hAnsi="Palatino Linotype" w:cs="Arial"/>
          <w:b/>
        </w:rPr>
        <w:t xml:space="preserve">. Interposición del recurso de revisión. </w:t>
      </w:r>
      <w:r w:rsidR="00E10AF7" w:rsidRPr="002E4E51">
        <w:rPr>
          <w:rFonts w:ascii="Palatino Linotype" w:hAnsi="Palatino Linotype" w:cs="Arial"/>
        </w:rPr>
        <w:t xml:space="preserve">Inconforme el solicitante con la respuesta del </w:t>
      </w:r>
      <w:r w:rsidR="007F49AF" w:rsidRPr="002E4E51">
        <w:rPr>
          <w:rFonts w:ascii="Palatino Linotype" w:hAnsi="Palatino Linotype" w:cs="Arial"/>
          <w:b/>
        </w:rPr>
        <w:t>Sujeto Obligado</w:t>
      </w:r>
      <w:r w:rsidR="00E10AF7" w:rsidRPr="002E4E51">
        <w:rPr>
          <w:rFonts w:ascii="Palatino Linotype" w:hAnsi="Palatino Linotype" w:cs="Arial"/>
        </w:rPr>
        <w:t xml:space="preserve"> interpuso recurso de revisión a través del SAIMEX en fecha </w:t>
      </w:r>
      <w:r w:rsidR="00036CB9" w:rsidRPr="002E4E51">
        <w:rPr>
          <w:rFonts w:ascii="Palatino Linotype" w:hAnsi="Palatino Linotype" w:cs="Arial"/>
        </w:rPr>
        <w:t>primero de junio</w:t>
      </w:r>
      <w:r w:rsidR="00E10AF7" w:rsidRPr="002E4E51">
        <w:rPr>
          <w:rFonts w:ascii="Palatino Linotype" w:hAnsi="Palatino Linotype" w:cs="Arial"/>
        </w:rPr>
        <w:t xml:space="preserve"> </w:t>
      </w:r>
      <w:r w:rsidR="000B3BD4" w:rsidRPr="002E4E51">
        <w:rPr>
          <w:rFonts w:ascii="Palatino Linotype" w:hAnsi="Palatino Linotype" w:cs="Arial"/>
        </w:rPr>
        <w:t>de dos mil veintiuno</w:t>
      </w:r>
      <w:r w:rsidR="00E10AF7" w:rsidRPr="002E4E51">
        <w:rPr>
          <w:rFonts w:ascii="Palatino Linotype" w:hAnsi="Palatino Linotype" w:cs="Arial"/>
        </w:rPr>
        <w:t>, expresando lo siguiente:</w:t>
      </w:r>
    </w:p>
    <w:p w:rsidR="00E10AF7" w:rsidRPr="002E4E51" w:rsidRDefault="00E10AF7" w:rsidP="00CB57AA">
      <w:pPr>
        <w:spacing w:line="360" w:lineRule="auto"/>
        <w:rPr>
          <w:rFonts w:ascii="Palatino Linotype" w:hAnsi="Palatino Linotype" w:cs="Arial"/>
          <w:b/>
        </w:rPr>
      </w:pPr>
      <w:r w:rsidRPr="002E4E51">
        <w:rPr>
          <w:rFonts w:ascii="Palatino Linotype" w:hAnsi="Palatino Linotype" w:cs="Arial"/>
          <w:b/>
        </w:rPr>
        <w:t>a) Acto impugnado.</w:t>
      </w:r>
    </w:p>
    <w:p w:rsidR="00E10AF7" w:rsidRPr="002E4E51" w:rsidRDefault="00E10AF7" w:rsidP="00CB57AA">
      <w:pPr>
        <w:pStyle w:val="Prrafodelista"/>
        <w:spacing w:before="240" w:after="240"/>
        <w:ind w:left="1080" w:right="1043"/>
        <w:jc w:val="both"/>
        <w:rPr>
          <w:rFonts w:ascii="Palatino Linotype" w:hAnsi="Palatino Linotype" w:cs="Arial"/>
          <w:i/>
          <w:sz w:val="24"/>
          <w:szCs w:val="24"/>
        </w:rPr>
      </w:pPr>
      <w:r w:rsidRPr="002E4E51">
        <w:rPr>
          <w:rFonts w:ascii="Palatino Linotype" w:hAnsi="Palatino Linotype"/>
          <w:i/>
          <w:sz w:val="24"/>
          <w:szCs w:val="24"/>
        </w:rPr>
        <w:t>“</w:t>
      </w:r>
      <w:r w:rsidR="00036CB9" w:rsidRPr="002E4E51">
        <w:rPr>
          <w:rFonts w:ascii="Palatino Linotype" w:hAnsi="Palatino Linotype"/>
          <w:i/>
          <w:sz w:val="24"/>
          <w:szCs w:val="24"/>
          <w:lang w:val="es-ES"/>
        </w:rPr>
        <w:t xml:space="preserve">Lo hago consistir en todo lo que comprende la respuesta emitida a la solicitud 00140/SMOV/IP/2021 </w:t>
      </w:r>
      <w:r w:rsidR="00112921" w:rsidRPr="002E4E51">
        <w:rPr>
          <w:rFonts w:ascii="Palatino Linotype" w:hAnsi="Palatino Linotype" w:cs="Arial"/>
          <w:i/>
          <w:sz w:val="24"/>
          <w:szCs w:val="24"/>
        </w:rPr>
        <w:t>(S</w:t>
      </w:r>
      <w:r w:rsidRPr="002E4E51">
        <w:rPr>
          <w:rFonts w:ascii="Palatino Linotype" w:hAnsi="Palatino Linotype" w:cs="Arial"/>
          <w:i/>
          <w:sz w:val="24"/>
          <w:szCs w:val="24"/>
        </w:rPr>
        <w:t>ic)</w:t>
      </w:r>
    </w:p>
    <w:p w:rsidR="00E10AF7" w:rsidRPr="002E4E51" w:rsidRDefault="00E10AF7" w:rsidP="00CB57AA">
      <w:pPr>
        <w:spacing w:line="360" w:lineRule="auto"/>
        <w:jc w:val="both"/>
        <w:rPr>
          <w:rFonts w:ascii="Palatino Linotype" w:hAnsi="Palatino Linotype" w:cs="Arial"/>
          <w:b/>
        </w:rPr>
      </w:pPr>
      <w:r w:rsidRPr="002E4E51">
        <w:rPr>
          <w:rFonts w:ascii="Palatino Linotype" w:hAnsi="Palatino Linotype" w:cs="Arial"/>
          <w:b/>
        </w:rPr>
        <w:t>b) Motivos de inconformidad.</w:t>
      </w:r>
    </w:p>
    <w:p w:rsidR="00FB5FCA" w:rsidRPr="002E4E51" w:rsidRDefault="00E10AF7" w:rsidP="00CB57AA">
      <w:pPr>
        <w:pStyle w:val="Prrafodelista"/>
        <w:spacing w:before="240" w:after="240"/>
        <w:ind w:left="1080" w:right="49"/>
        <w:jc w:val="both"/>
        <w:rPr>
          <w:rFonts w:ascii="Palatino Linotype" w:hAnsi="Palatino Linotype" w:cs="Arial"/>
          <w:b/>
          <w:i/>
          <w:sz w:val="24"/>
          <w:szCs w:val="24"/>
        </w:rPr>
      </w:pPr>
      <w:r w:rsidRPr="002E4E51">
        <w:rPr>
          <w:rFonts w:ascii="Palatino Linotype" w:hAnsi="Palatino Linotype" w:cs="Arial"/>
          <w:bCs/>
          <w:i/>
          <w:sz w:val="24"/>
          <w:szCs w:val="24"/>
        </w:rPr>
        <w:t xml:space="preserve"> “</w:t>
      </w:r>
      <w:r w:rsidR="00036CB9" w:rsidRPr="002E4E51">
        <w:rPr>
          <w:rFonts w:ascii="Palatino Linotype" w:hAnsi="Palatino Linotype"/>
          <w:i/>
          <w:sz w:val="24"/>
          <w:szCs w:val="24"/>
          <w:lang w:val="es-ES"/>
        </w:rPr>
        <w:t xml:space="preserve">La ilegalidad de todo lo que comprende la respuesta emitida a la solicitud 00140/SMOV/IP/2021, toda vez que la autoridad de transparencia al momento de emitir la respuesta a mi solicitud no me informó el derecho y plazo que la ley me concede para promover el recurso de revisión, de tal manera que con su actuar me causa un perjuicio de difícil reparación, por lo que solicito la suplencia de la queja a mi favor para que se me otorgue la protección que la Ley me otorga con la finalidad de hacer valer mi derecho de acceso a la información pública y se me imparta justicia. </w:t>
      </w:r>
      <w:r w:rsidR="006007B1" w:rsidRPr="002E4E51">
        <w:rPr>
          <w:rFonts w:ascii="Palatino Linotype" w:hAnsi="Palatino Linotype"/>
          <w:i/>
          <w:sz w:val="24"/>
          <w:szCs w:val="24"/>
          <w:lang w:val="es-ES"/>
        </w:rPr>
        <w:t>“</w:t>
      </w:r>
      <w:r w:rsidRPr="002E4E51">
        <w:rPr>
          <w:rFonts w:ascii="Palatino Linotype" w:hAnsi="Palatino Linotype" w:cs="Arial"/>
          <w:i/>
          <w:sz w:val="24"/>
          <w:szCs w:val="24"/>
        </w:rPr>
        <w:t>(</w:t>
      </w:r>
      <w:r w:rsidR="00D20831" w:rsidRPr="002E4E51">
        <w:rPr>
          <w:rFonts w:ascii="Palatino Linotype" w:hAnsi="Palatino Linotype" w:cs="Arial"/>
          <w:i/>
          <w:sz w:val="24"/>
          <w:szCs w:val="24"/>
        </w:rPr>
        <w:t>Sic</w:t>
      </w:r>
      <w:r w:rsidRPr="002E4E51">
        <w:rPr>
          <w:rFonts w:ascii="Palatino Linotype" w:hAnsi="Palatino Linotype" w:cs="Arial"/>
          <w:i/>
          <w:sz w:val="24"/>
          <w:szCs w:val="24"/>
        </w:rPr>
        <w:t>)</w:t>
      </w:r>
    </w:p>
    <w:p w:rsidR="00D0253A" w:rsidRPr="002E4E51" w:rsidRDefault="00D0253A" w:rsidP="00CB57AA">
      <w:pPr>
        <w:spacing w:before="240" w:after="240"/>
        <w:ind w:right="49"/>
        <w:jc w:val="both"/>
        <w:rPr>
          <w:rFonts w:ascii="Palatino Linotype" w:hAnsi="Palatino Linotype" w:cs="Arial"/>
          <w:b/>
          <w:i/>
        </w:rPr>
      </w:pPr>
    </w:p>
    <w:p w:rsidR="006A4DE2" w:rsidRPr="002E4E51" w:rsidRDefault="0043563D" w:rsidP="00CB57AA">
      <w:pPr>
        <w:spacing w:before="240" w:after="240" w:line="360" w:lineRule="auto"/>
        <w:jc w:val="both"/>
        <w:rPr>
          <w:rFonts w:ascii="Palatino Linotype" w:hAnsi="Palatino Linotype"/>
        </w:rPr>
      </w:pPr>
      <w:r w:rsidRPr="002E4E51">
        <w:rPr>
          <w:rFonts w:ascii="Palatino Linotype" w:hAnsi="Palatino Linotype" w:cs="Arial"/>
          <w:b/>
        </w:rPr>
        <w:t>Cuarto</w:t>
      </w:r>
      <w:r w:rsidR="00E10AF7" w:rsidRPr="002E4E51">
        <w:rPr>
          <w:rFonts w:ascii="Palatino Linotype" w:hAnsi="Palatino Linotype" w:cs="Arial"/>
          <w:b/>
        </w:rPr>
        <w:t xml:space="preserve">. </w:t>
      </w:r>
      <w:r w:rsidR="00E10AF7" w:rsidRPr="002E4E51">
        <w:rPr>
          <w:rFonts w:ascii="Palatino Linotype" w:hAnsi="Palatino Linotype"/>
          <w:b/>
        </w:rPr>
        <w:t xml:space="preserve">Turno. </w:t>
      </w:r>
      <w:r w:rsidR="00E10AF7" w:rsidRPr="002E4E51">
        <w:rPr>
          <w:rFonts w:ascii="Palatino Linotype" w:hAnsi="Palatino Linotype"/>
        </w:rPr>
        <w:t xml:space="preserve">De conformidad con el artículo 185 </w:t>
      </w:r>
      <w:proofErr w:type="gramStart"/>
      <w:r w:rsidR="00E10AF7" w:rsidRPr="002E4E51">
        <w:rPr>
          <w:rFonts w:ascii="Palatino Linotype" w:hAnsi="Palatino Linotype"/>
        </w:rPr>
        <w:t>fracción</w:t>
      </w:r>
      <w:proofErr w:type="gramEnd"/>
      <w:r w:rsidR="00E10AF7" w:rsidRPr="002E4E51">
        <w:rPr>
          <w:rFonts w:ascii="Palatino Linotype" w:hAnsi="Palatino Linotype"/>
        </w:rPr>
        <w:t xml:space="preserve"> I </w:t>
      </w:r>
      <w:r w:rsidR="00E10AF7" w:rsidRPr="002E4E51">
        <w:rPr>
          <w:rFonts w:ascii="Palatino Linotype" w:hAnsi="Palatino Linotype"/>
          <w:shd w:val="clear" w:color="auto" w:fill="FFFFFF"/>
        </w:rPr>
        <w:t>de la Ley Transparencia y Acceso a la Información Pública</w:t>
      </w:r>
      <w:r w:rsidR="00E10AF7" w:rsidRPr="002E4E51">
        <w:rPr>
          <w:rFonts w:ascii="Palatino Linotype" w:hAnsi="Palatino Linotype" w:cs="Arial"/>
        </w:rPr>
        <w:t xml:space="preserve">, el recurso de revisión </w:t>
      </w:r>
      <w:r w:rsidR="00C37255" w:rsidRPr="002E4E51">
        <w:rPr>
          <w:rFonts w:ascii="Palatino Linotype" w:hAnsi="Palatino Linotype" w:cs="Arial"/>
        </w:rPr>
        <w:t xml:space="preserve">número </w:t>
      </w:r>
      <w:r w:rsidR="00036CB9" w:rsidRPr="002E4E51">
        <w:rPr>
          <w:rFonts w:ascii="Palatino Linotype" w:hAnsi="Palatino Linotype"/>
          <w:b/>
          <w:lang w:val="es-ES_tradnl"/>
        </w:rPr>
        <w:t>03254</w:t>
      </w:r>
      <w:r w:rsidR="000B3BD4" w:rsidRPr="002E4E51">
        <w:rPr>
          <w:rFonts w:ascii="Palatino Linotype" w:hAnsi="Palatino Linotype"/>
          <w:b/>
          <w:lang w:val="es-ES_tradnl"/>
        </w:rPr>
        <w:t>/INFOEM/IP/RR/2021</w:t>
      </w:r>
      <w:r w:rsidR="00E10AF7" w:rsidRPr="002E4E51">
        <w:rPr>
          <w:rFonts w:ascii="Palatino Linotype" w:hAnsi="Palatino Linotype" w:cs="Arial"/>
          <w:b/>
          <w:bCs/>
        </w:rPr>
        <w:t xml:space="preserve">, </w:t>
      </w:r>
      <w:r w:rsidR="00E10AF7" w:rsidRPr="002E4E51">
        <w:rPr>
          <w:rFonts w:ascii="Palatino Linotype" w:hAnsi="Palatino Linotype" w:cs="Arial"/>
          <w:bCs/>
          <w:lang w:eastAsia="es-MX"/>
        </w:rPr>
        <w:t xml:space="preserve">fue </w:t>
      </w:r>
      <w:r w:rsidR="00E10AF7" w:rsidRPr="002E4E51">
        <w:rPr>
          <w:rFonts w:ascii="Palatino Linotype" w:hAnsi="Palatino Linotype"/>
        </w:rPr>
        <w:t>turnado al Comisionado Javier Martínez Cruz a efecto de que presentaran al Pleno el proyecto de resolución correspondiente.</w:t>
      </w:r>
    </w:p>
    <w:p w:rsidR="00E10AF7" w:rsidRPr="002E4E51" w:rsidRDefault="0043563D" w:rsidP="00CB57AA">
      <w:pPr>
        <w:spacing w:before="240" w:after="240" w:line="360" w:lineRule="auto"/>
        <w:jc w:val="both"/>
        <w:rPr>
          <w:rFonts w:ascii="Palatino Linotype" w:hAnsi="Palatino Linotype"/>
        </w:rPr>
      </w:pPr>
      <w:r w:rsidRPr="002E4E51">
        <w:rPr>
          <w:rFonts w:ascii="Palatino Linotype" w:hAnsi="Palatino Linotype"/>
          <w:b/>
        </w:rPr>
        <w:lastRenderedPageBreak/>
        <w:t>Quinto</w:t>
      </w:r>
      <w:r w:rsidR="00E10AF7" w:rsidRPr="002E4E51">
        <w:rPr>
          <w:rFonts w:ascii="Palatino Linotype" w:hAnsi="Palatino Linotype"/>
          <w:b/>
        </w:rPr>
        <w:t xml:space="preserve">. Admisión. </w:t>
      </w:r>
      <w:r w:rsidR="00F259EF" w:rsidRPr="002E4E51">
        <w:rPr>
          <w:rFonts w:ascii="Palatino Linotype" w:hAnsi="Palatino Linotype"/>
        </w:rPr>
        <w:t>En</w:t>
      </w:r>
      <w:r w:rsidR="009448C6" w:rsidRPr="002E4E51">
        <w:rPr>
          <w:rFonts w:ascii="Palatino Linotype" w:hAnsi="Palatino Linotype"/>
        </w:rPr>
        <w:t xml:space="preserve"> fecha</w:t>
      </w:r>
      <w:r w:rsidR="00036CB9" w:rsidRPr="002E4E51">
        <w:rPr>
          <w:rFonts w:ascii="Palatino Linotype" w:hAnsi="Palatino Linotype"/>
        </w:rPr>
        <w:t xml:space="preserve"> cuatro de junio</w:t>
      </w:r>
      <w:r w:rsidR="000B3BD4" w:rsidRPr="002E4E51">
        <w:rPr>
          <w:rFonts w:ascii="Palatino Linotype" w:hAnsi="Palatino Linotype"/>
        </w:rPr>
        <w:t xml:space="preserve"> de dos mil veintiuno</w:t>
      </w:r>
      <w:r w:rsidR="00E10AF7" w:rsidRPr="002E4E51">
        <w:rPr>
          <w:rFonts w:ascii="Palatino Linotype" w:hAnsi="Palatino Linotype"/>
        </w:rPr>
        <w:t>, en términos de lo dispuesto en el artículo 185 fracciones I, II y IV de la Ley de Transparencia y Acceso a la Información Pública del Estado de México y Municip</w:t>
      </w:r>
      <w:r w:rsidR="00F10D4E" w:rsidRPr="002E4E51">
        <w:rPr>
          <w:rFonts w:ascii="Palatino Linotype" w:hAnsi="Palatino Linotype"/>
        </w:rPr>
        <w:t>ios, se admitió</w:t>
      </w:r>
      <w:r w:rsidR="009574E9" w:rsidRPr="002E4E51">
        <w:rPr>
          <w:rFonts w:ascii="Palatino Linotype" w:hAnsi="Palatino Linotype"/>
        </w:rPr>
        <w:t xml:space="preserve"> a trámite el recurso</w:t>
      </w:r>
      <w:r w:rsidR="00E10AF7" w:rsidRPr="002E4E51">
        <w:rPr>
          <w:rFonts w:ascii="Palatino Linotype" w:hAnsi="Palatino Linotype"/>
        </w:rPr>
        <w:t xml:space="preserve"> de revisión.</w:t>
      </w:r>
    </w:p>
    <w:p w:rsidR="00036CB9" w:rsidRPr="002E4E51" w:rsidRDefault="00C95897" w:rsidP="00CB57AA">
      <w:pPr>
        <w:spacing w:before="240" w:after="240" w:line="360" w:lineRule="auto"/>
        <w:jc w:val="both"/>
        <w:rPr>
          <w:rFonts w:ascii="Palatino Linotype" w:hAnsi="Palatino Linotype" w:cs="Arial"/>
        </w:rPr>
      </w:pPr>
      <w:r w:rsidRPr="002E4E51">
        <w:rPr>
          <w:rFonts w:ascii="Palatino Linotype" w:hAnsi="Palatino Linotype"/>
          <w:b/>
        </w:rPr>
        <w:t>Sexto</w:t>
      </w:r>
      <w:r w:rsidR="00E10AF7" w:rsidRPr="002E4E51">
        <w:rPr>
          <w:rFonts w:ascii="Palatino Linotype" w:hAnsi="Palatino Linotype"/>
          <w:b/>
        </w:rPr>
        <w:t>.</w:t>
      </w:r>
      <w:r w:rsidR="00036CB9" w:rsidRPr="002E4E51">
        <w:rPr>
          <w:rFonts w:ascii="Palatino Linotype" w:hAnsi="Palatino Linotype" w:cs="Arial"/>
          <w:b/>
        </w:rPr>
        <w:t xml:space="preserve"> Informe Justificado</w:t>
      </w:r>
      <w:r w:rsidR="00E10AF7" w:rsidRPr="002E4E51">
        <w:rPr>
          <w:rFonts w:ascii="Palatino Linotype" w:hAnsi="Palatino Linotype" w:cs="Arial"/>
          <w:b/>
        </w:rPr>
        <w:t xml:space="preserve">. </w:t>
      </w:r>
      <w:r w:rsidR="00E10AF7" w:rsidRPr="002E4E51">
        <w:rPr>
          <w:rFonts w:ascii="Palatino Linotype" w:hAnsi="Palatino Linotype" w:cs="Arial"/>
        </w:rPr>
        <w:t>De las constancias que obran en el expediente electrónico</w:t>
      </w:r>
      <w:r w:rsidR="00352DDD" w:rsidRPr="002E4E51">
        <w:rPr>
          <w:rFonts w:ascii="Palatino Linotype" w:hAnsi="Palatino Linotype" w:cs="Arial"/>
        </w:rPr>
        <w:t xml:space="preserve"> del SAIMEX se desprende que </w:t>
      </w:r>
      <w:r w:rsidR="007A75C9" w:rsidRPr="002E4E51">
        <w:rPr>
          <w:rFonts w:ascii="Palatino Linotype" w:hAnsi="Palatino Linotype" w:cs="Arial"/>
        </w:rPr>
        <w:t>el</w:t>
      </w:r>
      <w:r w:rsidR="000B3BD4" w:rsidRPr="002E4E51">
        <w:rPr>
          <w:rFonts w:ascii="Palatino Linotype" w:hAnsi="Palatino Linotype" w:cs="Arial"/>
        </w:rPr>
        <w:t xml:space="preserve"> Sujeto Obligado en fecha </w:t>
      </w:r>
      <w:r w:rsidR="00036CB9" w:rsidRPr="002E4E51">
        <w:rPr>
          <w:rFonts w:ascii="Palatino Linotype" w:hAnsi="Palatino Linotype" w:cs="Arial"/>
        </w:rPr>
        <w:t>quince de junio</w:t>
      </w:r>
      <w:r w:rsidR="000B3BD4" w:rsidRPr="002E4E51">
        <w:rPr>
          <w:rFonts w:ascii="Palatino Linotype" w:hAnsi="Palatino Linotype" w:cs="Arial"/>
        </w:rPr>
        <w:t xml:space="preserve"> </w:t>
      </w:r>
      <w:r w:rsidRPr="002E4E51">
        <w:rPr>
          <w:rFonts w:ascii="Palatino Linotype" w:hAnsi="Palatino Linotype" w:cs="Arial"/>
        </w:rPr>
        <w:t xml:space="preserve"> </w:t>
      </w:r>
      <w:r w:rsidR="000B3BD4" w:rsidRPr="002E4E51">
        <w:rPr>
          <w:rFonts w:ascii="Palatino Linotype" w:hAnsi="Palatino Linotype" w:cs="Arial"/>
        </w:rPr>
        <w:t xml:space="preserve"> de la presente anualidad </w:t>
      </w:r>
      <w:r w:rsidR="007A75C9" w:rsidRPr="002E4E51">
        <w:rPr>
          <w:rFonts w:ascii="Palatino Linotype" w:hAnsi="Palatino Linotype" w:cs="Arial"/>
        </w:rPr>
        <w:t xml:space="preserve">adjunto a su informe de justificación </w:t>
      </w:r>
      <w:r w:rsidRPr="002E4E51">
        <w:rPr>
          <w:rFonts w:ascii="Palatino Linotype" w:hAnsi="Palatino Linotype" w:cs="Arial"/>
        </w:rPr>
        <w:t xml:space="preserve">la documental consistente en </w:t>
      </w:r>
      <w:r w:rsidR="00036CB9" w:rsidRPr="002E4E51">
        <w:rPr>
          <w:rFonts w:ascii="Palatino Linotype" w:hAnsi="Palatino Linotype" w:cs="Arial"/>
        </w:rPr>
        <w:t>:</w:t>
      </w:r>
    </w:p>
    <w:p w:rsidR="00C95897" w:rsidRPr="002E4E51" w:rsidRDefault="00036CB9" w:rsidP="00963D3C">
      <w:pPr>
        <w:pStyle w:val="Prrafodelista"/>
        <w:numPr>
          <w:ilvl w:val="0"/>
          <w:numId w:val="5"/>
        </w:numPr>
        <w:spacing w:before="240" w:after="240" w:line="360" w:lineRule="auto"/>
        <w:jc w:val="both"/>
        <w:rPr>
          <w:rFonts w:ascii="Palatino Linotype" w:hAnsi="Palatino Linotype" w:cs="Arial"/>
        </w:rPr>
      </w:pPr>
      <w:r w:rsidRPr="002E4E51">
        <w:rPr>
          <w:rFonts w:ascii="Palatino Linotype" w:hAnsi="Palatino Linotype" w:cs="Arial"/>
        </w:rPr>
        <w:t>OFICIO (PRUEBA DOCUMENTAL PUBLICA).</w:t>
      </w:r>
      <w:proofErr w:type="spellStart"/>
      <w:r w:rsidRPr="002E4E51">
        <w:rPr>
          <w:rFonts w:ascii="Palatino Linotype" w:hAnsi="Palatino Linotype" w:cs="Arial"/>
        </w:rPr>
        <w:t>pdf</w:t>
      </w:r>
      <w:proofErr w:type="spellEnd"/>
      <w:r w:rsidR="00836DE4" w:rsidRPr="002E4E51">
        <w:rPr>
          <w:rFonts w:ascii="Palatino Linotype" w:hAnsi="Palatino Linotype" w:cs="Arial"/>
        </w:rPr>
        <w:t xml:space="preserve">. documental en la que se contienen en dos hojas el oficio 22001002000000T/0343/2021 de fecha 11 de junio de la presente anualidad, a través del cual el Director General de Movilidad Zona II da contestación al derecho de petición promovido por el particular. </w:t>
      </w:r>
    </w:p>
    <w:p w:rsidR="00036CB9" w:rsidRPr="002E4E51" w:rsidRDefault="00036CB9" w:rsidP="00963D3C">
      <w:pPr>
        <w:pStyle w:val="Prrafodelista"/>
        <w:numPr>
          <w:ilvl w:val="0"/>
          <w:numId w:val="5"/>
        </w:numPr>
        <w:spacing w:before="240" w:after="240" w:line="360" w:lineRule="auto"/>
        <w:jc w:val="both"/>
        <w:rPr>
          <w:rFonts w:ascii="Palatino Linotype" w:hAnsi="Palatino Linotype" w:cs="Arial"/>
        </w:rPr>
      </w:pPr>
      <w:r w:rsidRPr="002E4E51">
        <w:rPr>
          <w:rFonts w:ascii="Palatino Linotype" w:hAnsi="Palatino Linotype" w:cs="Arial"/>
        </w:rPr>
        <w:t>RECURSO DE REVISIÓN.docx</w:t>
      </w:r>
      <w:r w:rsidR="00836DE4" w:rsidRPr="002E4E51">
        <w:rPr>
          <w:rFonts w:ascii="Palatino Linotype" w:hAnsi="Palatino Linotype" w:cs="Arial"/>
        </w:rPr>
        <w:t xml:space="preserve">: documental en formato de texto, en la que se incluyen los motivos de inconformidad con motivo de la respuesta promovida por el SUJETO OBLIGADO. </w:t>
      </w:r>
    </w:p>
    <w:p w:rsidR="00036CB9" w:rsidRPr="002E4E51" w:rsidRDefault="00036CB9" w:rsidP="00CB57AA">
      <w:pPr>
        <w:spacing w:before="240" w:after="240" w:line="360" w:lineRule="auto"/>
        <w:jc w:val="both"/>
        <w:rPr>
          <w:rFonts w:ascii="Palatino Linotype" w:hAnsi="Palatino Linotype" w:cs="Arial"/>
        </w:rPr>
      </w:pPr>
    </w:p>
    <w:p w:rsidR="00036CB9" w:rsidRPr="002E4E51" w:rsidRDefault="00036CB9" w:rsidP="00CB57AA">
      <w:pPr>
        <w:spacing w:before="240" w:after="240" w:line="360" w:lineRule="auto"/>
        <w:jc w:val="both"/>
        <w:rPr>
          <w:rFonts w:ascii="Palatino Linotype" w:hAnsi="Palatino Linotype" w:cs="Arial"/>
        </w:rPr>
      </w:pPr>
      <w:r w:rsidRPr="002E4E51">
        <w:rPr>
          <w:rFonts w:ascii="Palatino Linotype" w:hAnsi="Palatino Linotype"/>
          <w:b/>
        </w:rPr>
        <w:t>Séptimo.</w:t>
      </w:r>
      <w:r w:rsidRPr="002E4E51">
        <w:rPr>
          <w:rFonts w:ascii="Palatino Linotype" w:hAnsi="Palatino Linotype" w:cs="Arial"/>
          <w:b/>
        </w:rPr>
        <w:t xml:space="preserve"> Manifestaciones. </w:t>
      </w:r>
      <w:r w:rsidRPr="002E4E51">
        <w:rPr>
          <w:rFonts w:ascii="Palatino Linotype" w:hAnsi="Palatino Linotype" w:cs="Arial"/>
        </w:rPr>
        <w:t xml:space="preserve">De las constancias que obran en el expediente electrónico del SAIMEX se desprende que el Sujeto Obligado en fecha quince de junio   de la presente anualidad adjunto a su informe de justificación la documental consistente en  </w:t>
      </w:r>
      <w:r w:rsidRPr="002E4E51">
        <w:rPr>
          <w:rFonts w:ascii="Palatino Linotype" w:hAnsi="Palatino Linotype" w:cs="Arial"/>
          <w:i/>
        </w:rPr>
        <w:t>“INFORME JUSTIFICADO 03254.INFOEM.IP.RR.2021.pdf”</w:t>
      </w:r>
      <w:r w:rsidR="00836DE4" w:rsidRPr="002E4E51">
        <w:rPr>
          <w:rFonts w:ascii="Palatino Linotype" w:hAnsi="Palatino Linotype" w:cs="Arial"/>
          <w:i/>
        </w:rPr>
        <w:t xml:space="preserve"> </w:t>
      </w:r>
      <w:r w:rsidR="00836DE4" w:rsidRPr="002E4E51">
        <w:rPr>
          <w:rFonts w:ascii="Palatino Linotype" w:hAnsi="Palatino Linotype" w:cs="Arial"/>
        </w:rPr>
        <w:t xml:space="preserve">  a través </w:t>
      </w:r>
      <w:r w:rsidR="00836DE4" w:rsidRPr="002E4E51">
        <w:rPr>
          <w:rFonts w:ascii="Palatino Linotype" w:hAnsi="Palatino Linotype" w:cs="Arial"/>
        </w:rPr>
        <w:lastRenderedPageBreak/>
        <w:t xml:space="preserve">de la cual el SUJETO OBLIGADO reafirma lo que sostiene en su respuesta, es decir sigue manteniendo la reserva sobre la información peticionada por el particular. </w:t>
      </w:r>
    </w:p>
    <w:p w:rsidR="002634E6" w:rsidRPr="002E4E51" w:rsidRDefault="005135EA" w:rsidP="00CB57AA">
      <w:pPr>
        <w:spacing w:before="240" w:after="240" w:line="360" w:lineRule="auto"/>
        <w:jc w:val="both"/>
        <w:rPr>
          <w:rFonts w:ascii="Palatino Linotype" w:hAnsi="Palatino Linotype" w:cs="Arial"/>
        </w:rPr>
      </w:pPr>
      <w:r w:rsidRPr="002E4E51">
        <w:rPr>
          <w:rFonts w:ascii="Palatino Linotype" w:hAnsi="Palatino Linotype"/>
          <w:b/>
        </w:rPr>
        <w:t>Séptimo</w:t>
      </w:r>
      <w:r w:rsidRPr="002E4E51">
        <w:rPr>
          <w:rStyle w:val="il"/>
          <w:rFonts w:ascii="Palatino Linotype" w:hAnsi="Palatino Linotype"/>
          <w:b/>
          <w:bCs/>
          <w:color w:val="222222"/>
        </w:rPr>
        <w:t xml:space="preserve">. </w:t>
      </w:r>
      <w:proofErr w:type="spellStart"/>
      <w:r w:rsidRPr="002E4E51">
        <w:rPr>
          <w:rStyle w:val="il"/>
          <w:rFonts w:ascii="Palatino Linotype" w:hAnsi="Palatino Linotype"/>
          <w:b/>
          <w:bCs/>
          <w:color w:val="222222"/>
        </w:rPr>
        <w:t>Returno</w:t>
      </w:r>
      <w:proofErr w:type="spellEnd"/>
      <w:r w:rsidRPr="002E4E51">
        <w:rPr>
          <w:rFonts w:ascii="Palatino Linotype" w:hAnsi="Palatino Linotype"/>
          <w:b/>
          <w:bCs/>
          <w:color w:val="222222"/>
        </w:rPr>
        <w:t>. </w:t>
      </w:r>
      <w:r w:rsidRPr="002E4E51">
        <w:rPr>
          <w:rFonts w:ascii="Palatino Linotype" w:hAnsi="Palatino Linotype"/>
          <w:color w:val="222222"/>
          <w:lang w:val="es-ES_tradnl"/>
        </w:rPr>
        <w:t>El </w:t>
      </w:r>
      <w:r w:rsidRPr="002E4E51">
        <w:rPr>
          <w:rFonts w:ascii="Palatino Linotype" w:hAnsi="Palatino Linotype"/>
          <w:b/>
          <w:bCs/>
          <w:color w:val="222222"/>
          <w:lang w:val="es-ES_tradnl"/>
        </w:rPr>
        <w:t>veintitrés de agosto de dos mil veintiuno, en la Segunda Sesión Extraordinaria</w:t>
      </w:r>
      <w:r w:rsidRPr="002E4E51">
        <w:rPr>
          <w:rFonts w:ascii="Palatino Linotype" w:hAnsi="Palatino Linotype"/>
          <w:color w:val="222222"/>
          <w:lang w:val="es-ES_tradnl"/>
        </w:rPr>
        <w:t>, el Pleno del Instituto aprobó el </w:t>
      </w:r>
      <w:proofErr w:type="spellStart"/>
      <w:r w:rsidRPr="002E4E51">
        <w:rPr>
          <w:rStyle w:val="il"/>
          <w:rFonts w:ascii="Palatino Linotype" w:hAnsi="Palatino Linotype"/>
          <w:color w:val="222222"/>
          <w:lang w:val="es-ES_tradnl"/>
        </w:rPr>
        <w:t>returno</w:t>
      </w:r>
      <w:proofErr w:type="spellEnd"/>
      <w:r w:rsidRPr="002E4E51">
        <w:rPr>
          <w:rFonts w:ascii="Palatino Linotype" w:hAnsi="Palatino Linotype"/>
          <w:color w:val="222222"/>
          <w:lang w:val="es-ES_tradnl"/>
        </w:rPr>
        <w:t> del recurso de revisión indicado al rubro a la Ponencia de la </w:t>
      </w:r>
      <w:r w:rsidRPr="002E4E51">
        <w:rPr>
          <w:rFonts w:ascii="Palatino Linotype" w:hAnsi="Palatino Linotype"/>
          <w:b/>
          <w:bCs/>
          <w:color w:val="222222"/>
          <w:lang w:val="es-ES_tradnl"/>
        </w:rPr>
        <w:t>Comisionada Guadalupe Ramírez Peña</w:t>
      </w:r>
      <w:r w:rsidRPr="002E4E51">
        <w:rPr>
          <w:rFonts w:ascii="Palatino Linotype" w:hAnsi="Palatino Linotype"/>
          <w:color w:val="222222"/>
          <w:lang w:val="es-ES_tradnl"/>
        </w:rPr>
        <w:t xml:space="preserve"> para su estudio y </w:t>
      </w:r>
      <w:proofErr w:type="spellStart"/>
      <w:r w:rsidRPr="002E4E51">
        <w:rPr>
          <w:rFonts w:ascii="Palatino Linotype" w:hAnsi="Palatino Linotype"/>
          <w:color w:val="222222"/>
          <w:lang w:val="es-ES_tradnl"/>
        </w:rPr>
        <w:t>resolució</w:t>
      </w:r>
      <w:proofErr w:type="spellEnd"/>
    </w:p>
    <w:p w:rsidR="006179E1" w:rsidRPr="002E4E51" w:rsidRDefault="005135EA" w:rsidP="00CB57AA">
      <w:pPr>
        <w:spacing w:before="240" w:after="240" w:line="360" w:lineRule="auto"/>
        <w:jc w:val="both"/>
        <w:rPr>
          <w:rFonts w:ascii="Palatino Linotype" w:hAnsi="Palatino Linotype" w:cs="Arial"/>
        </w:rPr>
      </w:pPr>
      <w:r w:rsidRPr="002E4E51">
        <w:rPr>
          <w:rFonts w:ascii="Palatino Linotype" w:hAnsi="Palatino Linotype"/>
          <w:b/>
        </w:rPr>
        <w:t>Octavo</w:t>
      </w:r>
      <w:r w:rsidR="006179E1" w:rsidRPr="002E4E51">
        <w:rPr>
          <w:rFonts w:ascii="Palatino Linotype" w:hAnsi="Palatino Linotype"/>
          <w:b/>
        </w:rPr>
        <w:t xml:space="preserve">. Ampliación de plazo. </w:t>
      </w:r>
      <w:r w:rsidR="009625ED" w:rsidRPr="002E4E51">
        <w:rPr>
          <w:rFonts w:ascii="Palatino Linotype" w:hAnsi="Palatino Linotype"/>
        </w:rPr>
        <w:t xml:space="preserve">En fecha </w:t>
      </w:r>
      <w:r w:rsidR="000B3BD4" w:rsidRPr="002E4E51">
        <w:rPr>
          <w:rFonts w:ascii="Palatino Linotype" w:hAnsi="Palatino Linotype"/>
        </w:rPr>
        <w:t>catorce</w:t>
      </w:r>
      <w:r w:rsidR="00BB118B" w:rsidRPr="002E4E51">
        <w:rPr>
          <w:rFonts w:ascii="Palatino Linotype" w:hAnsi="Palatino Linotype"/>
        </w:rPr>
        <w:t xml:space="preserve"> </w:t>
      </w:r>
      <w:r w:rsidR="000B3BD4" w:rsidRPr="002E4E51">
        <w:rPr>
          <w:rFonts w:ascii="Palatino Linotype" w:hAnsi="Palatino Linotype"/>
        </w:rPr>
        <w:t>de septiembre</w:t>
      </w:r>
      <w:r w:rsidR="00D02E00" w:rsidRPr="002E4E51">
        <w:rPr>
          <w:rFonts w:ascii="Palatino Linotype" w:hAnsi="Palatino Linotype"/>
        </w:rPr>
        <w:t xml:space="preserve"> de este año</w:t>
      </w:r>
      <w:r w:rsidR="006179E1" w:rsidRPr="002E4E51">
        <w:rPr>
          <w:rFonts w:ascii="Palatino Linotype" w:hAnsi="Palatino Linotype"/>
        </w:rPr>
        <w:t xml:space="preserve"> con fundamento en el artículo 181, párrafo tercero de la Ley de Transparencia y Acceso a la Información Pública del Estado de México y Municipios, se acordó la aplicación del plazo para su resolución</w:t>
      </w:r>
    </w:p>
    <w:p w:rsidR="00E10AF7" w:rsidRPr="002E4E51" w:rsidRDefault="005135EA" w:rsidP="00CB57AA">
      <w:pPr>
        <w:spacing w:before="240" w:after="240" w:line="360" w:lineRule="auto"/>
        <w:jc w:val="both"/>
        <w:rPr>
          <w:rFonts w:ascii="Palatino Linotype" w:hAnsi="Palatino Linotype" w:cs="Arial"/>
        </w:rPr>
      </w:pPr>
      <w:r w:rsidRPr="002E4E51">
        <w:rPr>
          <w:rFonts w:ascii="Palatino Linotype" w:hAnsi="Palatino Linotype"/>
          <w:b/>
        </w:rPr>
        <w:t>Noveno</w:t>
      </w:r>
      <w:r w:rsidR="00E10AF7" w:rsidRPr="002E4E51">
        <w:rPr>
          <w:rFonts w:ascii="Palatino Linotype" w:hAnsi="Palatino Linotype"/>
          <w:b/>
        </w:rPr>
        <w:t xml:space="preserve">. Cierre de Instrucción. </w:t>
      </w:r>
      <w:r w:rsidR="00E10AF7" w:rsidRPr="002E4E51">
        <w:rPr>
          <w:rFonts w:ascii="Palatino Linotype" w:hAnsi="Palatino Linotype"/>
        </w:rPr>
        <w:t xml:space="preserve">En fecha </w:t>
      </w:r>
      <w:r w:rsidR="00CB57AA" w:rsidRPr="002E4E51">
        <w:rPr>
          <w:rFonts w:ascii="Palatino Linotype" w:hAnsi="Palatino Linotype"/>
        </w:rPr>
        <w:t>veintidós de octubre</w:t>
      </w:r>
      <w:r w:rsidR="005213EC" w:rsidRPr="002E4E51">
        <w:rPr>
          <w:rFonts w:ascii="Palatino Linotype" w:hAnsi="Palatino Linotype"/>
        </w:rPr>
        <w:t xml:space="preserve"> </w:t>
      </w:r>
      <w:r w:rsidR="00670213" w:rsidRPr="002E4E51">
        <w:rPr>
          <w:rFonts w:ascii="Palatino Linotype" w:hAnsi="Palatino Linotype"/>
        </w:rPr>
        <w:t xml:space="preserve">de dos mil </w:t>
      </w:r>
      <w:r w:rsidR="00CB57AA" w:rsidRPr="002E4E51">
        <w:rPr>
          <w:rFonts w:ascii="Palatino Linotype" w:hAnsi="Palatino Linotype"/>
        </w:rPr>
        <w:t>veintiuno</w:t>
      </w:r>
      <w:r w:rsidR="00E10AF7" w:rsidRPr="002E4E51">
        <w:rPr>
          <w:rFonts w:ascii="Palatino Linotype" w:hAnsi="Palatino Linotype"/>
        </w:rPr>
        <w:t xml:space="preserve">, con fundamento en lo establecido en los artículos 185, fracción VI de la </w:t>
      </w:r>
      <w:r w:rsidR="00E10AF7" w:rsidRPr="002E4E5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4F31B9" w:rsidRPr="002E4E51" w:rsidRDefault="004F31B9" w:rsidP="00CB57AA">
      <w:pPr>
        <w:spacing w:before="240" w:after="240" w:line="360" w:lineRule="auto"/>
        <w:jc w:val="both"/>
        <w:rPr>
          <w:rFonts w:ascii="Palatino Linotype" w:hAnsi="Palatino Linotype"/>
          <w:b/>
        </w:rPr>
      </w:pPr>
    </w:p>
    <w:p w:rsidR="00E10AF7" w:rsidRPr="002E4E51" w:rsidRDefault="00E10AF7" w:rsidP="00CB57AA">
      <w:pPr>
        <w:pStyle w:val="Prrafodelista"/>
        <w:numPr>
          <w:ilvl w:val="0"/>
          <w:numId w:val="1"/>
        </w:numPr>
        <w:spacing w:before="240" w:after="240" w:line="360" w:lineRule="auto"/>
        <w:jc w:val="center"/>
        <w:rPr>
          <w:rFonts w:ascii="Palatino Linotype" w:hAnsi="Palatino Linotype" w:cs="Arial"/>
          <w:b/>
          <w:sz w:val="24"/>
          <w:szCs w:val="24"/>
        </w:rPr>
      </w:pPr>
      <w:r w:rsidRPr="002E4E51">
        <w:rPr>
          <w:rFonts w:ascii="Palatino Linotype" w:hAnsi="Palatino Linotype" w:cs="Arial"/>
          <w:b/>
          <w:sz w:val="24"/>
          <w:szCs w:val="24"/>
        </w:rPr>
        <w:t>C O N S I D E R A N D O:</w:t>
      </w:r>
    </w:p>
    <w:p w:rsidR="0048516A" w:rsidRPr="002E4E51" w:rsidRDefault="00E10AF7" w:rsidP="00CB57AA">
      <w:pPr>
        <w:tabs>
          <w:tab w:val="left" w:pos="7088"/>
        </w:tabs>
        <w:spacing w:before="240" w:after="240" w:line="360" w:lineRule="auto"/>
        <w:jc w:val="both"/>
        <w:rPr>
          <w:rFonts w:ascii="Palatino Linotype" w:hAnsi="Palatino Linotype"/>
          <w:shd w:val="clear" w:color="auto" w:fill="FFFFFF"/>
        </w:rPr>
      </w:pPr>
      <w:r w:rsidRPr="002E4E51">
        <w:rPr>
          <w:rFonts w:ascii="Palatino Linotype" w:hAnsi="Palatino Linotype" w:cs="Arial"/>
          <w:b/>
        </w:rPr>
        <w:t xml:space="preserve">Primero. Competencia. </w:t>
      </w:r>
      <w:r w:rsidRPr="002E4E51">
        <w:rPr>
          <w:rFonts w:ascii="Palatino Linotype" w:hAnsi="Palatino Linotype"/>
          <w:shd w:val="clear" w:color="auto" w:fill="FFFFFF"/>
        </w:rPr>
        <w:t xml:space="preserve">El Instituto de Transparencia, Acceso a la Información Pública y Protección de Datos Personales del Estado de México y Municipios, es </w:t>
      </w:r>
      <w:r w:rsidRPr="002E4E51">
        <w:rPr>
          <w:rFonts w:ascii="Palatino Linotype" w:hAnsi="Palatino Linotype"/>
          <w:shd w:val="clear" w:color="auto" w:fill="FFFFFF"/>
        </w:rPr>
        <w:lastRenderedPageBreak/>
        <w:t xml:space="preserve">competente para conocer y resolver el presente recurso de revisión interpuesto por la parte </w:t>
      </w:r>
      <w:r w:rsidR="007F49AF" w:rsidRPr="002E4E51">
        <w:rPr>
          <w:rFonts w:ascii="Palatino Linotype" w:hAnsi="Palatino Linotype"/>
          <w:b/>
          <w:shd w:val="clear" w:color="auto" w:fill="FFFFFF"/>
        </w:rPr>
        <w:t>recurrente</w:t>
      </w:r>
      <w:r w:rsidRPr="002E4E51">
        <w:rPr>
          <w:rFonts w:ascii="Palatino Linotype" w:hAnsi="Palatino Linotype"/>
          <w:shd w:val="clear" w:color="auto" w:fill="FFFFFF"/>
        </w:rPr>
        <w:t xml:space="preserve">, conforme a lo dispuesto en los artículos 6, apartado A de la Constitución Política de los Estados Unidos Mexicanos; 5, párrafos </w:t>
      </w:r>
      <w:r w:rsidR="00A8145D" w:rsidRPr="002E4E51">
        <w:rPr>
          <w:rFonts w:ascii="Palatino Linotype" w:hAnsi="Palatino Linotype"/>
          <w:shd w:val="clear" w:color="auto" w:fill="FFFFFF"/>
        </w:rPr>
        <w:t xml:space="preserve">trigésimo, trigésimo primero y trigésimo segundo </w:t>
      </w:r>
      <w:r w:rsidRPr="002E4E51">
        <w:rPr>
          <w:rFonts w:ascii="Palatino Linotype" w:hAnsi="Palatino Linotype"/>
          <w:shd w:val="clear" w:color="auto" w:fill="FFFFFF"/>
        </w:rPr>
        <w:t>fracciones IV y V de la Constitución Política del Estado Libre y Soberano de México; 1, 2, fracción II; 13,  29, 36, fracciones I y II; 176, 178, 179, 181 párrafo 3 y 185 de la Ley Transparencia y Acceso a la Información Pública;</w:t>
      </w:r>
      <w:r w:rsidRPr="002E4E51">
        <w:rPr>
          <w:rStyle w:val="apple-converted-space"/>
          <w:rFonts w:ascii="Palatino Linotype" w:hAnsi="Palatino Linotype"/>
          <w:shd w:val="clear" w:color="auto" w:fill="FFFFFF"/>
        </w:rPr>
        <w:t xml:space="preserve"> 7, </w:t>
      </w:r>
      <w:r w:rsidRPr="002E4E51">
        <w:rPr>
          <w:rFonts w:ascii="Palatino Linotype" w:hAnsi="Palatino Linotype" w:cs="Arial"/>
        </w:rPr>
        <w:t xml:space="preserve">9, fracciones I y XXIV y 11 </w:t>
      </w:r>
      <w:r w:rsidRPr="002E4E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4F78F2" w:rsidRPr="002E4E51" w:rsidRDefault="000F6519" w:rsidP="004F78F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2E4E51">
        <w:rPr>
          <w:rFonts w:ascii="Palatino Linotype" w:hAnsi="Palatino Linotype" w:cs="Arial"/>
          <w:b/>
          <w:sz w:val="24"/>
          <w:szCs w:val="24"/>
        </w:rPr>
        <w:t xml:space="preserve">Segundo. Oportunidad. </w:t>
      </w:r>
      <w:r w:rsidR="004F78F2" w:rsidRPr="002E4E51">
        <w:rPr>
          <w:rFonts w:ascii="Palatino Linotype" w:hAnsi="Palatino Linotype" w:cs="Arial"/>
          <w:b/>
          <w:szCs w:val="28"/>
        </w:rPr>
        <w:t xml:space="preserve">Oportunidad y </w:t>
      </w:r>
      <w:proofErr w:type="spellStart"/>
      <w:r w:rsidR="004F78F2" w:rsidRPr="002E4E51">
        <w:rPr>
          <w:rFonts w:ascii="Palatino Linotype" w:hAnsi="Palatino Linotype" w:cs="Arial"/>
          <w:b/>
          <w:szCs w:val="28"/>
        </w:rPr>
        <w:t>Procedibilidad</w:t>
      </w:r>
      <w:proofErr w:type="spellEnd"/>
      <w:r w:rsidR="004F78F2" w:rsidRPr="002E4E51">
        <w:rPr>
          <w:rFonts w:ascii="Palatino Linotype" w:hAnsi="Palatino Linotype" w:cs="Arial"/>
          <w:b/>
          <w:szCs w:val="28"/>
        </w:rPr>
        <w:t xml:space="preserve"> del Recurso de Revisión.</w:t>
      </w:r>
      <w:r w:rsidR="004F78F2" w:rsidRPr="002E4E51">
        <w:rPr>
          <w:rFonts w:ascii="Palatino Linotype" w:hAnsi="Palatino Linotype" w:cs="Arial"/>
          <w:b/>
        </w:rPr>
        <w:t xml:space="preserve"> </w:t>
      </w:r>
      <w:r w:rsidR="004F78F2" w:rsidRPr="002E4E51">
        <w:rPr>
          <w:rFonts w:ascii="Palatino Linotype" w:hAnsi="Palatino Linotype" w:cs="Arial"/>
        </w:rPr>
        <w:t xml:space="preserve">Previo al estudio del fondo del asunto, se procede a analizar los requisitos de oportunidad y </w:t>
      </w:r>
      <w:proofErr w:type="spellStart"/>
      <w:r w:rsidR="004F78F2" w:rsidRPr="002E4E51">
        <w:rPr>
          <w:rFonts w:ascii="Palatino Linotype" w:hAnsi="Palatino Linotype" w:cs="Arial"/>
        </w:rPr>
        <w:t>procedibilidad</w:t>
      </w:r>
      <w:proofErr w:type="spellEnd"/>
      <w:r w:rsidR="004F78F2" w:rsidRPr="002E4E51">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r w:rsidR="004F78F2" w:rsidRPr="002E4E51">
        <w:rPr>
          <w:rFonts w:ascii="Palatino Linotype" w:hAnsi="Palatino Linotype" w:cs="Arial"/>
          <w:lang w:eastAsia="es-MX"/>
        </w:rPr>
        <w:t xml:space="preserve">. </w:t>
      </w:r>
    </w:p>
    <w:p w:rsidR="004F78F2" w:rsidRPr="002E4E51" w:rsidRDefault="004F78F2" w:rsidP="004F78F2">
      <w:pPr>
        <w:spacing w:before="240" w:after="240" w:line="360" w:lineRule="auto"/>
        <w:jc w:val="both"/>
        <w:rPr>
          <w:rFonts w:ascii="Palatino Linotype" w:hAnsi="Palatino Linotype"/>
          <w:lang w:val="es-MX"/>
        </w:rPr>
      </w:pPr>
      <w:r w:rsidRPr="002E4E51">
        <w:rPr>
          <w:rFonts w:ascii="Palatino Linotype" w:hAnsi="Palatino Linotype" w:cs="Arial"/>
          <w:lang w:val="es-MX" w:eastAsia="es-MX"/>
        </w:rPr>
        <w:t xml:space="preserve">En este sentido, </w:t>
      </w:r>
      <w:r w:rsidRPr="002E4E51">
        <w:rPr>
          <w:rFonts w:ascii="Palatino Linotype" w:hAnsi="Palatino Linotype"/>
          <w:lang w:val="es-MX"/>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4F78F2" w:rsidRPr="002E4E51" w:rsidRDefault="004F78F2" w:rsidP="004F78F2">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lang w:val="es-MX"/>
        </w:rPr>
      </w:pPr>
    </w:p>
    <w:p w:rsidR="004F78F2" w:rsidRPr="002E4E51" w:rsidRDefault="004F78F2" w:rsidP="004F78F2">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2E4E51">
        <w:rPr>
          <w:rFonts w:ascii="Palatino Linotype" w:eastAsia="Palatino Linotype" w:hAnsi="Palatino Linotype" w:cs="Palatino Linotype"/>
          <w:lang w:val="es-MX"/>
        </w:rPr>
        <w:t xml:space="preserve">Ahora bien, resulta procedente la interposición del recurso, según lo aducido por el recurrente en sus razones o </w:t>
      </w:r>
      <w:r w:rsidRPr="002E4E51">
        <w:rPr>
          <w:rFonts w:ascii="Palatino Linotype" w:eastAsia="Palatino Linotype" w:hAnsi="Palatino Linotype" w:cs="Palatino Linotype"/>
          <w:color w:val="000000"/>
          <w:lang w:val="es-MX"/>
        </w:rPr>
        <w:t xml:space="preserve">motivos de inconformidad, de acuerdo al artículo 179, </w:t>
      </w:r>
      <w:r w:rsidRPr="002E4E51">
        <w:rPr>
          <w:rFonts w:ascii="Palatino Linotype" w:eastAsia="Palatino Linotype" w:hAnsi="Palatino Linotype" w:cs="Palatino Linotype"/>
          <w:color w:val="000000"/>
          <w:lang w:val="es-MX"/>
        </w:rPr>
        <w:lastRenderedPageBreak/>
        <w:t>fracción II de la Ley de Transparencia y Acceso a la Información Pública del Estado de México y Municipios; que a la letra dice:</w:t>
      </w:r>
    </w:p>
    <w:p w:rsidR="004F78F2" w:rsidRPr="002E4E51" w:rsidRDefault="004F78F2" w:rsidP="004F78F2">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rsidR="004F78F2" w:rsidRPr="002E4E51" w:rsidRDefault="004F78F2" w:rsidP="004F78F2">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2E4E51">
        <w:rPr>
          <w:rStyle w:val="normaltextrun"/>
          <w:rFonts w:ascii="Palatino Linotype" w:hAnsi="Palatino Linotype" w:cs="Segoe UI"/>
          <w:b/>
          <w:bCs/>
          <w:i/>
          <w:iCs/>
          <w:sz w:val="22"/>
          <w:szCs w:val="22"/>
          <w:lang w:val="es-MX"/>
        </w:rPr>
        <w:t xml:space="preserve"> “</w:t>
      </w:r>
      <w:r w:rsidRPr="002E4E51">
        <w:rPr>
          <w:rStyle w:val="normaltextrun"/>
          <w:rFonts w:ascii="Palatino Linotype" w:hAnsi="Palatino Linotype" w:cs="Segoe UI"/>
          <w:b/>
          <w:bCs/>
          <w:i/>
          <w:sz w:val="22"/>
          <w:szCs w:val="22"/>
          <w:lang w:val="es-MX"/>
        </w:rPr>
        <w:t xml:space="preserve">Artículo 176. </w:t>
      </w:r>
      <w:r w:rsidRPr="002E4E51">
        <w:rPr>
          <w:rStyle w:val="normaltextrun"/>
          <w:rFonts w:ascii="Palatino Linotype" w:hAnsi="Palatino Linotype" w:cs="Segoe UI"/>
          <w:bCs/>
          <w:i/>
          <w:sz w:val="22"/>
          <w:szCs w:val="22"/>
          <w:lang w:val="es-MX"/>
        </w:rPr>
        <w:t>El recurso de revisión es la garantía secundaria mediante la cual se pretende reparar cualquier posible afectación al derecho de acceso a la información pública en términos del presente y siguiente Capítulo.</w:t>
      </w:r>
    </w:p>
    <w:p w:rsidR="004F78F2" w:rsidRPr="002E4E51" w:rsidRDefault="004F78F2" w:rsidP="004F78F2">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2E4E51">
        <w:rPr>
          <w:rStyle w:val="normaltextrun"/>
          <w:rFonts w:ascii="Palatino Linotype" w:hAnsi="Palatino Linotype" w:cs="Segoe UI"/>
          <w:b/>
          <w:bCs/>
          <w:i/>
          <w:sz w:val="22"/>
          <w:szCs w:val="22"/>
          <w:lang w:val="es-MX"/>
        </w:rPr>
        <w:t>Artículo 179</w:t>
      </w:r>
      <w:r w:rsidRPr="002E4E51">
        <w:rPr>
          <w:rStyle w:val="normaltextrun"/>
          <w:rFonts w:ascii="Palatino Linotype" w:hAnsi="Palatino Linotype" w:cs="Segoe UI"/>
          <w:b/>
          <w:bCs/>
          <w:sz w:val="22"/>
          <w:szCs w:val="22"/>
          <w:lang w:val="es-MX"/>
        </w:rPr>
        <w:t>.-</w:t>
      </w:r>
      <w:r w:rsidRPr="002E4E51">
        <w:rPr>
          <w:rFonts w:ascii="Palatino Linotype" w:eastAsiaTheme="minorEastAsia" w:hAnsi="Palatino Linotype" w:cs="Bookman Old Style"/>
          <w:sz w:val="22"/>
          <w:szCs w:val="22"/>
          <w:lang w:val="es-MX"/>
        </w:rPr>
        <w:t xml:space="preserve"> </w:t>
      </w:r>
      <w:r w:rsidRPr="002E4E51">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rsidR="004F78F2" w:rsidRPr="002E4E51" w:rsidRDefault="004F78F2" w:rsidP="004F78F2">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2E4E51">
        <w:rPr>
          <w:rFonts w:ascii="Palatino Linotype" w:eastAsiaTheme="minorEastAsia" w:hAnsi="Palatino Linotype" w:cs="Bookman Old Style"/>
          <w:sz w:val="22"/>
          <w:szCs w:val="22"/>
          <w:lang w:val="es-MX"/>
        </w:rPr>
        <w:t>…</w:t>
      </w:r>
    </w:p>
    <w:p w:rsidR="004F78F2" w:rsidRPr="002E4E51" w:rsidRDefault="004F78F2" w:rsidP="004F78F2">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rsidR="004F78F2" w:rsidRPr="002E4E51" w:rsidRDefault="004F78F2" w:rsidP="004F78F2">
      <w:pPr>
        <w:pStyle w:val="Prrafodelista"/>
        <w:autoSpaceDE w:val="0"/>
        <w:autoSpaceDN w:val="0"/>
        <w:adjustRightInd w:val="0"/>
        <w:spacing w:after="120"/>
        <w:ind w:left="993" w:right="902"/>
        <w:jc w:val="both"/>
        <w:rPr>
          <w:rFonts w:ascii="Palatino Linotype" w:eastAsiaTheme="minorEastAsia" w:hAnsi="Palatino Linotype" w:cs="Bookman Old Style"/>
          <w:b/>
          <w:i/>
        </w:rPr>
      </w:pPr>
      <w:r w:rsidRPr="002E4E51">
        <w:rPr>
          <w:rFonts w:ascii="Palatino Linotype" w:eastAsiaTheme="minorEastAsia" w:hAnsi="Palatino Linotype" w:cs="Bookman Old Style"/>
          <w:b/>
          <w:i/>
        </w:rPr>
        <w:t>II. La clasificación de la información</w:t>
      </w:r>
      <w:proofErr w:type="gramStart"/>
      <w:r w:rsidRPr="002E4E51">
        <w:rPr>
          <w:rFonts w:ascii="Palatino Linotype" w:eastAsiaTheme="minorEastAsia" w:hAnsi="Palatino Linotype" w:cs="Bookman Old Style"/>
          <w:b/>
          <w:i/>
        </w:rPr>
        <w:t>;;</w:t>
      </w:r>
      <w:proofErr w:type="gramEnd"/>
    </w:p>
    <w:p w:rsidR="004F78F2" w:rsidRPr="002E4E51" w:rsidRDefault="004F78F2" w:rsidP="004F78F2">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2E4E51">
        <w:rPr>
          <w:rFonts w:ascii="Palatino Linotype" w:eastAsiaTheme="minorEastAsia" w:hAnsi="Palatino Linotype" w:cs="Bookman Old Style"/>
          <w:i/>
          <w:sz w:val="22"/>
          <w:szCs w:val="22"/>
          <w:lang w:val="es-MX"/>
        </w:rPr>
        <w:t xml:space="preserve">        …” (Sic)</w:t>
      </w:r>
      <w:r w:rsidRPr="002E4E51">
        <w:rPr>
          <w:rFonts w:ascii="Palatino Linotype" w:eastAsiaTheme="minorEastAsia" w:hAnsi="Palatino Linotype" w:cs="Bookman Old Style,Bold"/>
          <w:b/>
          <w:bCs/>
          <w:i/>
          <w:sz w:val="22"/>
          <w:szCs w:val="22"/>
          <w:lang w:val="es-MX"/>
        </w:rPr>
        <w:t xml:space="preserve">              </w:t>
      </w:r>
    </w:p>
    <w:p w:rsidR="004F78F2" w:rsidRPr="002E4E51" w:rsidRDefault="004F78F2" w:rsidP="004F78F2">
      <w:pPr>
        <w:spacing w:before="240" w:after="240" w:line="360" w:lineRule="auto"/>
        <w:jc w:val="both"/>
        <w:rPr>
          <w:rFonts w:ascii="Palatino Linotype" w:hAnsi="Palatino Linotype" w:cs="Arial"/>
          <w:lang w:val="es-MX"/>
        </w:rPr>
      </w:pPr>
      <w:r w:rsidRPr="002E4E51">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4F78F2" w:rsidRPr="002E4E51" w:rsidRDefault="004F78F2" w:rsidP="004F78F2">
      <w:pPr>
        <w:spacing w:before="100" w:beforeAutospacing="1" w:after="100" w:afterAutospacing="1" w:line="360" w:lineRule="auto"/>
        <w:jc w:val="both"/>
        <w:rPr>
          <w:rFonts w:ascii="Palatino Linotype" w:hAnsi="Palatino Linotype" w:cs="Arial"/>
          <w:lang w:val="es-MX"/>
        </w:rPr>
      </w:pPr>
      <w:r w:rsidRPr="002E4E51">
        <w:rPr>
          <w:rFonts w:ascii="Palatino Linotype" w:hAnsi="Palatino Linotype" w:cs="Arial"/>
          <w:b/>
          <w:lang w:val="es-MX"/>
        </w:rPr>
        <w:t xml:space="preserve">Tercero. Materia de la revisión. </w:t>
      </w:r>
      <w:r w:rsidRPr="002E4E51">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2E4E51">
        <w:rPr>
          <w:rFonts w:ascii="Palatino Linotype" w:hAnsi="Palatino Linotype" w:cs="Arial"/>
          <w:b/>
          <w:lang w:val="es-MX"/>
        </w:rPr>
        <w:t xml:space="preserve">verificar si la respuesta, la clasificación,  otorgada por el Sujeto Obligado es adecuada y suficiente para satisfacer el derecho de acceso a la información pública </w:t>
      </w:r>
      <w:r w:rsidRPr="002E4E51">
        <w:rPr>
          <w:rFonts w:ascii="Palatino Linotype" w:hAnsi="Palatino Linotype" w:cs="Arial"/>
          <w:lang w:val="es-MX"/>
        </w:rPr>
        <w:t>de la parte Recurrente, o en su defecto, en caso de ser procedente, ordenar la entrega de información oportuna.</w:t>
      </w:r>
    </w:p>
    <w:p w:rsidR="002C6855" w:rsidRPr="002E4E51" w:rsidRDefault="004F78F2" w:rsidP="002C6855">
      <w:pPr>
        <w:spacing w:before="240" w:after="240" w:line="360" w:lineRule="auto"/>
        <w:jc w:val="both"/>
        <w:rPr>
          <w:rFonts w:ascii="Palatino Linotype" w:hAnsi="Palatino Linotype"/>
          <w:lang w:val="es-MX"/>
        </w:rPr>
      </w:pPr>
      <w:r w:rsidRPr="002E4E51">
        <w:rPr>
          <w:rFonts w:ascii="Palatino Linotype" w:hAnsi="Palatino Linotype" w:cs="Arial"/>
          <w:b/>
          <w:lang w:val="es-MX"/>
        </w:rPr>
        <w:lastRenderedPageBreak/>
        <w:t>Cuarto. Estudio del asunto.</w:t>
      </w:r>
      <w:r w:rsidRPr="002E4E51">
        <w:rPr>
          <w:rFonts w:ascii="Palatino Linotype" w:hAnsi="Palatino Linotype"/>
          <w:lang w:val="es-MX"/>
        </w:rPr>
        <w:t xml:space="preserve"> </w:t>
      </w:r>
      <w:r w:rsidR="002C6855" w:rsidRPr="002E4E51">
        <w:rPr>
          <w:rFonts w:ascii="Palatino Linotype" w:hAnsi="Palatino Linotype"/>
        </w:rPr>
        <w:t>Ahora bien, se procede al análisis del presente recurso en consideración del contenido íntegro de las actuaciones que obran dentro del expediente electrónico del SAIMEX</w:t>
      </w:r>
      <w:r w:rsidR="002C6855" w:rsidRPr="002E4E51">
        <w:rPr>
          <w:rFonts w:ascii="Palatino Linotype" w:hAnsi="Palatino Linotype" w:cs="Arial"/>
        </w:rPr>
        <w:t xml:space="preserve">, </w:t>
      </w:r>
      <w:r w:rsidR="002C6855" w:rsidRPr="002E4E51">
        <w:rPr>
          <w:rFonts w:ascii="Palatino Linotype" w:hAnsi="Palatino Linotype"/>
        </w:rPr>
        <w:t xml:space="preserve"> para así estar en posibilidad este Órgano Colegiado de dictar el fallo correspondiente conforme a derecho y apegándose en todo momento al principio de máxima publicidad consagrado en nuestra Constitución Federal</w:t>
      </w:r>
      <w:r w:rsidR="002C6855" w:rsidRPr="002E4E51">
        <w:rPr>
          <w:rFonts w:ascii="Palatino Linotype" w:hAnsi="Palatino Linotype" w:cs="Arial"/>
        </w:rPr>
        <w:t>, Local y demás leyes aplicables en la materia, así como en los tratados internacionales en los que el Estado Mexicano sea parte.</w:t>
      </w:r>
    </w:p>
    <w:p w:rsidR="002C6855" w:rsidRPr="002E4E51" w:rsidRDefault="002C6855" w:rsidP="004F78F2">
      <w:pPr>
        <w:spacing w:before="240" w:after="240" w:line="360" w:lineRule="auto"/>
        <w:jc w:val="both"/>
        <w:rPr>
          <w:rFonts w:ascii="Palatino Linotype" w:hAnsi="Palatino Linotype"/>
          <w:lang w:val="es-MX"/>
        </w:rPr>
      </w:pPr>
    </w:p>
    <w:p w:rsidR="002C6855" w:rsidRPr="002E4E51" w:rsidRDefault="002C6855" w:rsidP="002C6855">
      <w:pPr>
        <w:shd w:val="clear" w:color="auto" w:fill="FFFFFF" w:themeFill="background1"/>
        <w:spacing w:before="240" w:after="240" w:line="360" w:lineRule="auto"/>
        <w:jc w:val="both"/>
        <w:rPr>
          <w:rFonts w:ascii="Palatino Linotype" w:hAnsi="Palatino Linotype"/>
          <w:lang w:val="es-MX"/>
        </w:rPr>
      </w:pPr>
      <w:r w:rsidRPr="002E4E51">
        <w:rPr>
          <w:rFonts w:ascii="Palatino Linotype" w:hAnsi="Palatino Linotype" w:cs="Arial"/>
          <w:lang w:val="es-MX"/>
        </w:rPr>
        <w:t>Primeramente, se advierte que la parte</w:t>
      </w:r>
      <w:r w:rsidRPr="002E4E51">
        <w:rPr>
          <w:rFonts w:ascii="Palatino Linotype" w:hAnsi="Palatino Linotype"/>
          <w:lang w:val="es-MX"/>
        </w:rPr>
        <w:t xml:space="preserve"> recurrente solicitó de la </w:t>
      </w:r>
      <w:r w:rsidRPr="002E4E51">
        <w:rPr>
          <w:rFonts w:ascii="Palatino Linotype" w:hAnsi="Palatino Linotype"/>
          <w:b/>
          <w:lang w:val="es-ES_tradnl"/>
        </w:rPr>
        <w:t>Secretaría de Movilidad como Sujeto Obligado</w:t>
      </w:r>
      <w:r w:rsidRPr="002E4E51">
        <w:rPr>
          <w:rFonts w:ascii="Palatino Linotype" w:hAnsi="Palatino Linotype"/>
          <w:lang w:val="es-MX"/>
        </w:rPr>
        <w:t>:</w:t>
      </w:r>
    </w:p>
    <w:p w:rsidR="002C6855" w:rsidRPr="002E4E51" w:rsidRDefault="002C6855" w:rsidP="002C6855">
      <w:pPr>
        <w:pStyle w:val="Prrafodelista"/>
        <w:numPr>
          <w:ilvl w:val="0"/>
          <w:numId w:val="6"/>
        </w:numPr>
        <w:shd w:val="clear" w:color="auto" w:fill="FFFFFF" w:themeFill="background1"/>
        <w:spacing w:before="240" w:after="240" w:line="360" w:lineRule="auto"/>
        <w:jc w:val="both"/>
        <w:rPr>
          <w:rFonts w:ascii="Palatino Linotype" w:hAnsi="Palatino Linotype"/>
          <w:sz w:val="40"/>
        </w:rPr>
      </w:pPr>
      <w:r w:rsidRPr="002E4E51">
        <w:rPr>
          <w:rFonts w:ascii="Palatino Linotype" w:hAnsi="Palatino Linotype"/>
          <w:color w:val="000000"/>
          <w:szCs w:val="14"/>
        </w:rPr>
        <w:t>Oficios de autorizaciones de derroteros de la empresa; Unión de transportistas de servicios colec</w:t>
      </w:r>
      <w:bookmarkStart w:id="0" w:name="_GoBack"/>
      <w:bookmarkEnd w:id="0"/>
      <w:r w:rsidRPr="002E4E51">
        <w:rPr>
          <w:rFonts w:ascii="Palatino Linotype" w:hAnsi="Palatino Linotype"/>
          <w:color w:val="000000"/>
          <w:szCs w:val="14"/>
        </w:rPr>
        <w:t>tivos y automóviles de alquiler de Coacalco y Estado de México S.A. de C. V. SCT/DGTT/98/2490 SCT/DGTT/98/2491 SCT/DGTT/98/2492 SCT/DGTT/98/2503 21102A000/98/2610 21102A000/98/2611 21102A000/98/2613 SCT/GEM/DGTT/98/2493</w:t>
      </w:r>
    </w:p>
    <w:p w:rsidR="002C6855" w:rsidRPr="002E4E51" w:rsidRDefault="002C6855" w:rsidP="002C6855">
      <w:pPr>
        <w:shd w:val="clear" w:color="auto" w:fill="FFFFFF" w:themeFill="background1"/>
        <w:spacing w:before="240" w:after="240" w:line="360" w:lineRule="auto"/>
        <w:jc w:val="both"/>
        <w:rPr>
          <w:rFonts w:ascii="Palatino Linotype" w:hAnsi="Palatino Linotype"/>
          <w:lang w:val="es-MX"/>
        </w:rPr>
      </w:pPr>
      <w:r w:rsidRPr="002E4E51">
        <w:rPr>
          <w:rFonts w:ascii="Palatino Linotype" w:hAnsi="Palatino Linotype"/>
        </w:rPr>
        <w:t xml:space="preserve">Al respecto, el Sujeto Obligado al dar respuesta a la solicitud del entonces peticionario, remitió a través del Sistema de Acceso a la Información Mexiquense (SAIMEX) el acuerdo emitido por su Comité de Trasparencia en la Trigésima Quinta Sesión Extraordinaria 2021.pdf, por medio del cual </w:t>
      </w:r>
      <w:r w:rsidRPr="002E4E51">
        <w:rPr>
          <w:rFonts w:ascii="Palatino Linotype" w:hAnsi="Palatino Linotype"/>
          <w:b/>
        </w:rPr>
        <w:t xml:space="preserve"> clasifica como información reservada</w:t>
      </w:r>
      <w:r w:rsidRPr="002E4E51">
        <w:rPr>
          <w:rFonts w:ascii="Palatino Linotype" w:hAnsi="Palatino Linotype"/>
        </w:rPr>
        <w:t xml:space="preserve">, por termino de cinco años  </w:t>
      </w:r>
      <w:r w:rsidRPr="002E4E51">
        <w:rPr>
          <w:rFonts w:ascii="Palatino Linotype" w:hAnsi="Palatino Linotype"/>
          <w:lang w:val="es-MX"/>
        </w:rPr>
        <w:t>“</w:t>
      </w:r>
      <w:r w:rsidRPr="002E4E51">
        <w:rPr>
          <w:rFonts w:ascii="Palatino Linotype" w:hAnsi="Palatino Linotype"/>
          <w:i/>
          <w:color w:val="000000"/>
          <w:szCs w:val="14"/>
        </w:rPr>
        <w:t xml:space="preserve">Oficios de autorizaciones de derroteros de la empresa; Unión de transportistas de servicios colectivos y automóviles de alquiler de Coacalco y Estado de México S.A. de C. V. SCT/DGTT/98/2490 SCT/DGTT/98/2491 </w:t>
      </w:r>
      <w:r w:rsidRPr="002E4E51">
        <w:rPr>
          <w:rFonts w:ascii="Palatino Linotype" w:hAnsi="Palatino Linotype"/>
          <w:i/>
          <w:color w:val="000000"/>
          <w:szCs w:val="14"/>
        </w:rPr>
        <w:lastRenderedPageBreak/>
        <w:t>SCT/DGTT/98/2492 SCT/DGTT/98/2503 21102A000/98/2610 21102A000/98/2611 21102A000/98/2613 SCT/GEM/DGTT/98/2493</w:t>
      </w:r>
      <w:r w:rsidRPr="002E4E51">
        <w:rPr>
          <w:rFonts w:ascii="Palatino Linotype" w:hAnsi="Palatino Linotype"/>
          <w:color w:val="000000"/>
          <w:szCs w:val="14"/>
        </w:rPr>
        <w:t>”</w:t>
      </w:r>
    </w:p>
    <w:p w:rsidR="00963D3C" w:rsidRPr="002E4E51" w:rsidRDefault="002C6855" w:rsidP="00963D3C">
      <w:pPr>
        <w:spacing w:before="240" w:after="240" w:line="360" w:lineRule="auto"/>
        <w:jc w:val="both"/>
        <w:rPr>
          <w:rFonts w:ascii="Palatino Linotype" w:hAnsi="Palatino Linotype"/>
        </w:rPr>
      </w:pPr>
      <w:r w:rsidRPr="002E4E51">
        <w:rPr>
          <w:rFonts w:ascii="Palatino Linotype" w:hAnsi="Palatino Linotype"/>
        </w:rPr>
        <w:t>Lo anterior</w:t>
      </w:r>
      <w:r w:rsidR="00963D3C" w:rsidRPr="002E4E51">
        <w:rPr>
          <w:rFonts w:ascii="Palatino Linotype" w:hAnsi="Palatino Linotype"/>
        </w:rPr>
        <w:t>,  en razón  de que la causa de reserva se encuentra contemplada por el artículo 140 fracción X de la Ley de Transparencia y Acceso a la Información Pública del Estado de México y Municipios</w:t>
      </w:r>
      <w:r w:rsidR="00963D3C" w:rsidRPr="002E4E51">
        <w:rPr>
          <w:rStyle w:val="Refdenotaalpie"/>
          <w:rFonts w:ascii="Palatino Linotype" w:hAnsi="Palatino Linotype" w:cs="Arial"/>
        </w:rPr>
        <w:footnoteReference w:id="1"/>
      </w:r>
      <w:r w:rsidR="00963D3C" w:rsidRPr="002E4E51">
        <w:rPr>
          <w:rFonts w:ascii="Palatino Linotype" w:hAnsi="Palatino Linotype"/>
        </w:rPr>
        <w:t xml:space="preserve">, y en consideración a los siguientes argumentos: </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Que en el Estado de México, la movilidad es una prioridad en la agenda gubernamental, razón por la cual nos hemos dado a la tarea de realizar un diagnóstico integral del sector para tener una visión clara y objetiva de su situación y problemática;</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 xml:space="preserve">Que uno de los primeros retos para iniciar la implementación del nuevo enfoque de movilidad, implica la revisión del marco normativo que regula su actuación a efecto de valorar su eficacia, pertinencia y viabilidad, de ese ejercicio surge el proyecto de adecuar la Ley de Movilidad Sustentable del Estado de México, a fin de integrar una visión moderna y de largo plazo; </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Que la Secretaría inició el Programa Reordenamiento del Transporte Público, en el  Estado  de  México  considerando  la  circunscripción  territorial  de  la  Dirección General de  Movilidad Zona II;</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lastRenderedPageBreak/>
        <w:t>Que existen  algunas empresas morales que se encuentran realizando el cambio de régimen jurídico de Asociación Civil a Sociedad Anónima, razón por la cual sus autorizaciones de derroteros,  alargamientos,  bases, sitios y  lanzaderas  deben ser  modificadas  por lo  que están en proceso de acuerdo con lo señalado por la Ley de Movilidad del Estado de México y demás ordenamientos  aplicables en la  materia;</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Que derivado de la Auditoría de Desempeño al ejercicio fiscal 2015, realizada por el Órgano Superior de Fiscalización del Estado de México a la Secretaría de Movilidad del Gobierno del Estado de México, en específico del Programa denominado Modernización del Transporte Terrestre, a través de la Cédula AEEP/SEPE/AD03/CA06/2016, donde se recomendó lo siguiente</w:t>
      </w:r>
    </w:p>
    <w:p w:rsidR="00963D3C" w:rsidRPr="002E4E51" w:rsidRDefault="00963D3C" w:rsidP="00963D3C">
      <w:pPr>
        <w:shd w:val="clear" w:color="auto" w:fill="FFFFFF" w:themeFill="background1"/>
        <w:spacing w:before="240" w:after="240"/>
        <w:ind w:left="1416"/>
        <w:jc w:val="both"/>
        <w:rPr>
          <w:rFonts w:ascii="Palatino Linotype" w:hAnsi="Palatino Linotype"/>
        </w:rPr>
      </w:pPr>
      <w:r w:rsidRPr="002E4E51">
        <w:rPr>
          <w:rFonts w:ascii="Palatino Linotype" w:hAnsi="Palatino Linotype"/>
        </w:rPr>
        <w:t>Homologar el sistema empleado en las cuatro zonas para la generación y actualización del registro gráfico o mapeo, en el cual se identifiquen los tipos de mapas.</w:t>
      </w:r>
    </w:p>
    <w:p w:rsidR="00963D3C" w:rsidRPr="002E4E51" w:rsidRDefault="00963D3C" w:rsidP="00963D3C">
      <w:pPr>
        <w:shd w:val="clear" w:color="auto" w:fill="FFFFFF" w:themeFill="background1"/>
        <w:spacing w:before="240" w:after="240"/>
        <w:ind w:left="1416"/>
        <w:jc w:val="both"/>
        <w:rPr>
          <w:rFonts w:ascii="Palatino Linotype" w:hAnsi="Palatino Linotype"/>
        </w:rPr>
      </w:pPr>
      <w:r w:rsidRPr="002E4E51">
        <w:rPr>
          <w:rFonts w:ascii="Palatino Linotype" w:hAnsi="Palatino Linotype"/>
        </w:rPr>
        <w:t>Revisar y adecuar los trámites de autorizaciones de bases, sitios, derroteros y lanzaderas, en los que participan diversas áreas</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Que la dependencia a través de las unidades administrativas correspondientes está realizando una revisión, actualización y registro gráfico o mapeo, sin que hasta el momento se hayan concluido los trabajos, razón por la cual se emite el presente acuerdo;</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Que la divulgación de la información solicitada,  podría aumentar o disminuir sus posibilidades de la realización de dichos proyectos y la implementación de Políticas Públicas que se implementan en pro de la movilidad y de mejorar el transporte público en la entidad; causando con ello, una afectación.</w:t>
      </w:r>
    </w:p>
    <w:p w:rsidR="00963D3C" w:rsidRPr="002E4E51" w:rsidRDefault="00963D3C" w:rsidP="00963D3C">
      <w:pPr>
        <w:shd w:val="clear" w:color="auto" w:fill="FFFFFF" w:themeFill="background1"/>
        <w:spacing w:before="240" w:after="240"/>
        <w:ind w:left="708"/>
        <w:jc w:val="both"/>
        <w:rPr>
          <w:rFonts w:ascii="Palatino Linotype" w:hAnsi="Palatino Linotype"/>
        </w:rPr>
      </w:pPr>
      <w:r w:rsidRPr="002E4E51">
        <w:rPr>
          <w:rFonts w:ascii="Palatino Linotype" w:hAnsi="Palatino Linotype"/>
        </w:rPr>
        <w:t>Finalmente, que la reserva total de la información mencionada, mantiene a salvo el derecho de terceros en dicho procedimiento administrativo, preservando la secrecía de la información en tanto se concluya el procedimiento en comento</w:t>
      </w:r>
    </w:p>
    <w:p w:rsidR="00963D3C" w:rsidRPr="002E4E51" w:rsidRDefault="00963D3C" w:rsidP="00963D3C">
      <w:pPr>
        <w:shd w:val="clear" w:color="auto" w:fill="FFFFFF" w:themeFill="background1"/>
        <w:spacing w:before="240" w:after="240" w:line="360" w:lineRule="auto"/>
        <w:jc w:val="both"/>
        <w:rPr>
          <w:rFonts w:ascii="Palatino Linotype" w:hAnsi="Palatino Linotype" w:cs="Arial"/>
        </w:rPr>
      </w:pPr>
      <w:r w:rsidRPr="002E4E51">
        <w:rPr>
          <w:rFonts w:ascii="Palatino Linotype" w:hAnsi="Palatino Linotype" w:cs="Arial"/>
        </w:rPr>
        <w:lastRenderedPageBreak/>
        <w:t>Inconforme con la respuesta, el entonces solicitante, hoy recurrente, interpuso recurso de revisión, en el que expuso como razones o motivos de inconformidad medularmente que:</w:t>
      </w:r>
    </w:p>
    <w:p w:rsidR="00963D3C" w:rsidRPr="002E4E51" w:rsidRDefault="00963D3C" w:rsidP="00963D3C">
      <w:pPr>
        <w:pStyle w:val="Prrafodelista"/>
        <w:numPr>
          <w:ilvl w:val="0"/>
          <w:numId w:val="7"/>
        </w:numPr>
        <w:shd w:val="clear" w:color="auto" w:fill="FFFFFF" w:themeFill="background1"/>
        <w:spacing w:before="240" w:after="240" w:line="360" w:lineRule="auto"/>
        <w:ind w:left="1068"/>
        <w:contextualSpacing/>
        <w:jc w:val="both"/>
        <w:rPr>
          <w:rFonts w:ascii="Palatino Linotype" w:hAnsi="Palatino Linotype"/>
        </w:rPr>
      </w:pPr>
      <w:r w:rsidRPr="002E4E51">
        <w:rPr>
          <w:rFonts w:ascii="Palatino Linotype" w:hAnsi="Palatino Linotype"/>
          <w:sz w:val="24"/>
          <w:szCs w:val="24"/>
        </w:rPr>
        <w:t>La ilegalidad de todo lo que comprende la respuesta emitida a la solicit</w:t>
      </w:r>
      <w:r w:rsidRPr="002E4E51">
        <w:rPr>
          <w:rFonts w:ascii="Palatino Linotype" w:hAnsi="Palatino Linotype"/>
        </w:rPr>
        <w:t>ud 00140/SMOV/IP/2021;</w:t>
      </w:r>
    </w:p>
    <w:p w:rsidR="00963D3C" w:rsidRPr="002E4E51" w:rsidRDefault="00963D3C" w:rsidP="00963D3C">
      <w:pPr>
        <w:pStyle w:val="Prrafodelista"/>
        <w:numPr>
          <w:ilvl w:val="0"/>
          <w:numId w:val="7"/>
        </w:numPr>
        <w:shd w:val="clear" w:color="auto" w:fill="FFFFFF" w:themeFill="background1"/>
        <w:tabs>
          <w:tab w:val="left" w:pos="709"/>
        </w:tabs>
        <w:spacing w:before="240" w:after="240" w:line="360" w:lineRule="auto"/>
        <w:ind w:left="1068"/>
        <w:contextualSpacing/>
        <w:jc w:val="both"/>
        <w:rPr>
          <w:rFonts w:ascii="Palatino Linotype" w:hAnsi="Palatino Linotype" w:cs="Arial"/>
        </w:rPr>
      </w:pPr>
      <w:r w:rsidRPr="002E4E51">
        <w:rPr>
          <w:rFonts w:ascii="Palatino Linotype" w:hAnsi="Palatino Linotype"/>
        </w:rPr>
        <w:t>Q</w:t>
      </w:r>
      <w:r w:rsidRPr="002E4E51">
        <w:rPr>
          <w:rFonts w:ascii="Palatino Linotype" w:hAnsi="Palatino Linotype"/>
          <w:sz w:val="24"/>
          <w:szCs w:val="24"/>
        </w:rPr>
        <w:t>ue la autoridad de transparencia al momento de emitir la respuesta no me informó el derecho y plazo que la ley me concede para promover el recurso de revisión</w:t>
      </w:r>
      <w:r w:rsidR="0085767F" w:rsidRPr="002E4E51">
        <w:rPr>
          <w:rFonts w:ascii="Palatino Linotype" w:hAnsi="Palatino Linotype"/>
          <w:sz w:val="24"/>
          <w:szCs w:val="24"/>
        </w:rPr>
        <w:t xml:space="preserve">. </w:t>
      </w:r>
    </w:p>
    <w:p w:rsidR="00741998" w:rsidRPr="002E4E51" w:rsidRDefault="00963D3C" w:rsidP="00963D3C">
      <w:pPr>
        <w:shd w:val="clear" w:color="auto" w:fill="FFFFFF" w:themeFill="background1"/>
        <w:tabs>
          <w:tab w:val="left" w:pos="709"/>
        </w:tabs>
        <w:spacing w:before="240" w:after="240" w:line="360" w:lineRule="auto"/>
        <w:jc w:val="both"/>
        <w:rPr>
          <w:rFonts w:ascii="Palatino Linotype" w:hAnsi="Palatino Linotype" w:cs="Arial"/>
        </w:rPr>
      </w:pPr>
      <w:r w:rsidRPr="002E4E51">
        <w:rPr>
          <w:rFonts w:ascii="Palatino Linotype" w:hAnsi="Palatino Linotype" w:cs="Arial"/>
        </w:rPr>
        <w:t>Asimismo, respecto del informe justificado del sujeto obligado, éste establece una ratificación de la respuesta otorgada.</w:t>
      </w:r>
    </w:p>
    <w:p w:rsidR="00741998" w:rsidRPr="002E4E51" w:rsidRDefault="00741998" w:rsidP="00741998">
      <w:pPr>
        <w:shd w:val="clear" w:color="auto" w:fill="FFFFFF" w:themeFill="background1"/>
        <w:tabs>
          <w:tab w:val="left" w:pos="709"/>
        </w:tabs>
        <w:spacing w:before="240" w:after="240" w:line="360" w:lineRule="auto"/>
        <w:jc w:val="both"/>
        <w:rPr>
          <w:rFonts w:ascii="Palatino Linotype" w:hAnsi="Palatino Linotype" w:cs="Arial"/>
        </w:rPr>
      </w:pPr>
      <w:r w:rsidRPr="002E4E51">
        <w:rPr>
          <w:rFonts w:ascii="Palatino Linotype" w:hAnsi="Palatino Linotype" w:cs="Arial"/>
        </w:rPr>
        <w:t>Previo al análisis del presente asunto, se precisa dentro de los motivos de disenso el particular refiere “</w:t>
      </w:r>
      <w:r w:rsidRPr="002E4E51">
        <w:rPr>
          <w:rFonts w:ascii="Palatino Linotype" w:hAnsi="Palatino Linotype" w:cs="Arial"/>
          <w:i/>
        </w:rPr>
        <w:t>La ilegalidad de todo lo que comprende la respuesta emitida a la solicitud 00140/SMOV/IP/2021…” (Sic)</w:t>
      </w:r>
      <w:r w:rsidRPr="002E4E51">
        <w:rPr>
          <w:rFonts w:ascii="Palatino Linotype" w:hAnsi="Palatino Linotype" w:cs="Arial"/>
        </w:rPr>
        <w:t xml:space="preserve"> se estima conveniente subsanar la deficiencia de la queja en relación a la reserva y por consiguiente negativa de conocer el acceso al particular a la información solicitada. </w:t>
      </w:r>
    </w:p>
    <w:p w:rsidR="00741998" w:rsidRPr="002E4E51" w:rsidRDefault="00741998" w:rsidP="00741998">
      <w:pPr>
        <w:autoSpaceDE w:val="0"/>
        <w:autoSpaceDN w:val="0"/>
        <w:adjustRightInd w:val="0"/>
        <w:spacing w:before="240" w:after="240" w:line="360" w:lineRule="auto"/>
        <w:ind w:right="-91"/>
        <w:jc w:val="both"/>
        <w:rPr>
          <w:rFonts w:ascii="Palatino Linotype" w:hAnsi="Palatino Linotype" w:cs="Arial"/>
        </w:rPr>
      </w:pPr>
      <w:r w:rsidRPr="002E4E51">
        <w:rPr>
          <w:rFonts w:ascii="Palatino Linotype" w:hAnsi="Palatino Linotype" w:cs="Arial"/>
        </w:rPr>
        <w:t>Lo expuesto, ya que los motivos de agravio sustanciales del recurso en lo especifico, que el SUJETO OBLIGADO al reservar los documentos solicitados no le permitió el acceso limitando su derecho ejercido; es que se considera suficiente para que este Instituto supla la deficiencia en el recurso de revisión y s</w:t>
      </w:r>
      <w:r w:rsidR="0085767F" w:rsidRPr="002E4E51">
        <w:rPr>
          <w:rFonts w:ascii="Palatino Linotype" w:hAnsi="Palatino Linotype" w:cs="Arial"/>
        </w:rPr>
        <w:t>e analice la respuesta</w:t>
      </w:r>
      <w:r w:rsidRPr="002E4E51">
        <w:rPr>
          <w:rFonts w:ascii="Palatino Linotype" w:hAnsi="Palatino Linotype" w:cs="Arial"/>
        </w:rPr>
        <w:t xml:space="preserve"> del Sujeto Obligado en relación a la entrega de las copias certificadas solicitadas, ello con </w:t>
      </w:r>
      <w:r w:rsidRPr="002E4E51">
        <w:rPr>
          <w:rFonts w:ascii="Palatino Linotype" w:hAnsi="Palatino Linotype" w:cs="Arial"/>
        </w:rPr>
        <w:lastRenderedPageBreak/>
        <w:t xml:space="preserve">sustento en los artículos 13 y 181 tercer párrafo de la Ley de Transparencia y Acceso a la Información Pública del Estado de México y Municipios. </w:t>
      </w:r>
      <w:r w:rsidRPr="002E4E51">
        <w:rPr>
          <w:rStyle w:val="Refdenotaalpie"/>
          <w:rFonts w:ascii="Palatino Linotype" w:hAnsi="Palatino Linotype" w:cs="Arial"/>
        </w:rPr>
        <w:footnoteReference w:id="2"/>
      </w:r>
      <w:r w:rsidRPr="002E4E51">
        <w:rPr>
          <w:rFonts w:ascii="Palatino Linotype" w:hAnsi="Palatino Linotype" w:cs="Arial"/>
        </w:rPr>
        <w:t xml:space="preserve"> </w:t>
      </w:r>
    </w:p>
    <w:p w:rsidR="00741998" w:rsidRPr="002E4E51" w:rsidRDefault="00741998" w:rsidP="00963D3C">
      <w:pPr>
        <w:shd w:val="clear" w:color="auto" w:fill="FFFFFF" w:themeFill="background1"/>
        <w:tabs>
          <w:tab w:val="left" w:pos="709"/>
        </w:tabs>
        <w:spacing w:line="360" w:lineRule="auto"/>
        <w:jc w:val="both"/>
        <w:rPr>
          <w:rFonts w:ascii="Palatino Linotype" w:hAnsi="Palatino Linotype" w:cs="Arial"/>
          <w:color w:val="FF0000"/>
          <w:sz w:val="18"/>
        </w:rPr>
      </w:pPr>
    </w:p>
    <w:p w:rsidR="00963D3C" w:rsidRPr="002E4E51" w:rsidRDefault="00963D3C" w:rsidP="00963D3C">
      <w:pPr>
        <w:pStyle w:val="corte4fondo"/>
        <w:shd w:val="clear" w:color="auto" w:fill="FFFFFF" w:themeFill="background1"/>
        <w:ind w:firstLine="0"/>
        <w:rPr>
          <w:rFonts w:cs="Arial"/>
          <w:sz w:val="24"/>
          <w:szCs w:val="24"/>
          <w:lang w:val="es-MX"/>
        </w:rPr>
      </w:pPr>
      <w:r w:rsidRPr="002E4E51">
        <w:rPr>
          <w:rFonts w:ascii="Palatino Linotype" w:hAnsi="Palatino Linotype" w:cs="Arial"/>
          <w:sz w:val="24"/>
          <w:szCs w:val="24"/>
          <w:lang w:val="es-MX"/>
        </w:rPr>
        <w:t xml:space="preserve">En principio tenemos que,  el </w:t>
      </w:r>
      <w:r w:rsidRPr="002E4E51">
        <w:rPr>
          <w:rFonts w:ascii="Palatino Linotype" w:hAnsi="Palatino Linotype" w:cs="Arial"/>
          <w:sz w:val="24"/>
          <w:szCs w:val="24"/>
        </w:rPr>
        <w:t xml:space="preserve"> derecho de acceso a la información está regulado en el apartado A. del artículo 6° de la Constitución Política de los Estados Unidos Mexicanos; 13 de la Convención Americana sobre Derechos Humanos y 19 del Pacto Internacional de Derechos Civiles y Políticos</w:t>
      </w:r>
      <w:r w:rsidRPr="002E4E51">
        <w:rPr>
          <w:rStyle w:val="Refdenotaalpie"/>
          <w:rFonts w:ascii="Palatino Linotype" w:hAnsi="Palatino Linotype" w:cs="Arial"/>
          <w:sz w:val="24"/>
          <w:szCs w:val="24"/>
        </w:rPr>
        <w:footnoteReference w:id="3"/>
      </w:r>
      <w:r w:rsidRPr="002E4E51">
        <w:rPr>
          <w:rFonts w:ascii="Palatino Linotype" w:hAnsi="Palatino Linotype" w:cs="Arial"/>
          <w:sz w:val="24"/>
          <w:szCs w:val="24"/>
          <w:lang w:val="es-MX"/>
        </w:rPr>
        <w:t>.</w:t>
      </w:r>
    </w:p>
    <w:p w:rsidR="00963D3C" w:rsidRPr="002E4E51" w:rsidRDefault="00963D3C" w:rsidP="00963D3C">
      <w:pPr>
        <w:shd w:val="clear" w:color="auto" w:fill="FFFFFF" w:themeFill="background1"/>
        <w:tabs>
          <w:tab w:val="left" w:pos="709"/>
        </w:tabs>
        <w:spacing w:line="360" w:lineRule="auto"/>
        <w:jc w:val="both"/>
        <w:rPr>
          <w:rFonts w:ascii="Palatino Linotype" w:hAnsi="Palatino Linotype" w:cs="Arial"/>
        </w:rPr>
      </w:pPr>
      <w:r w:rsidRPr="002E4E51">
        <w:rPr>
          <w:rFonts w:ascii="Palatino Linotype" w:hAnsi="Palatino Linotype" w:cs="Arial"/>
        </w:rPr>
        <w:lastRenderedPageBreak/>
        <w:t xml:space="preserve">Dentro de este marco normativo,  el artículo 6º constitucional, en su fracción I, señala que toda la información en posesión de cualquier autoridad, entidad, órgano y organismo federal, estatal y municipal, es pública y sólo podrá ser reservada temporalmente por razones de interés público en los términos que fijen las leyes. Asimismo, la fracción tercera de dicho artículo, complementa el mandato constitucional al señalar que toda persona, sin acreditar interés alguno o justificar su utilización, tendrá acceso gratuito a la información pública, a sus datos personales o a la rectificación de éstos. Para la efectiva tutela de este derecho, la fracción IV precisa que se establecerán mecanismos de acceso a la información y procedimientos </w:t>
      </w:r>
      <w:r w:rsidRPr="002E4E51">
        <w:rPr>
          <w:rFonts w:ascii="Palatino Linotype" w:hAnsi="Palatino Linotype" w:cs="Arial"/>
        </w:rPr>
        <w:lastRenderedPageBreak/>
        <w:t>de revisión expeditos, los cuales se sustanciarán ante órganos u organismos especializados e imparciales y con autonomía operativa, de gestión y de decisión.</w:t>
      </w:r>
    </w:p>
    <w:p w:rsidR="00963D3C" w:rsidRPr="002E4E51" w:rsidRDefault="00963D3C" w:rsidP="00963D3C">
      <w:pPr>
        <w:shd w:val="clear" w:color="auto" w:fill="FFFFFF" w:themeFill="background1"/>
        <w:autoSpaceDE w:val="0"/>
        <w:autoSpaceDN w:val="0"/>
        <w:adjustRightInd w:val="0"/>
        <w:spacing w:before="240" w:after="240" w:line="360" w:lineRule="auto"/>
        <w:ind w:right="-91"/>
        <w:jc w:val="both"/>
        <w:rPr>
          <w:rFonts w:ascii="Palatino Linotype" w:hAnsi="Palatino Linotype"/>
        </w:rPr>
      </w:pPr>
      <w:r w:rsidRPr="002E4E51">
        <w:rPr>
          <w:rFonts w:ascii="Palatino Linotype" w:hAnsi="Palatino Linotype"/>
        </w:rPr>
        <w:t>Así, queda de manifiesto que se considera información pública al conjunto de datos de autoridades o particulares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963D3C" w:rsidRPr="002E4E51" w:rsidRDefault="00963D3C" w:rsidP="00963D3C">
      <w:pPr>
        <w:shd w:val="clear" w:color="auto" w:fill="FFFFFF" w:themeFill="background1"/>
        <w:autoSpaceDE w:val="0"/>
        <w:autoSpaceDN w:val="0"/>
        <w:adjustRightInd w:val="0"/>
        <w:spacing w:before="240" w:after="240"/>
        <w:ind w:left="993" w:right="191"/>
        <w:jc w:val="both"/>
        <w:rPr>
          <w:rFonts w:ascii="Palatino Linotype" w:hAnsi="Palatino Linotype"/>
          <w:i/>
          <w:lang w:val="es-MX"/>
        </w:rPr>
      </w:pPr>
      <w:r w:rsidRPr="002E4E51">
        <w:rPr>
          <w:rFonts w:ascii="Palatino Linotype" w:hAnsi="Palatino Linotype"/>
          <w:i/>
        </w:rPr>
        <w:t>“…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r w:rsidRPr="002E4E51">
        <w:rPr>
          <w:rFonts w:ascii="Palatino Linotype" w:hAnsi="Palatino Linotype"/>
          <w:i/>
          <w:lang w:val="es-MX"/>
        </w:rPr>
        <w:t>”(Sic)</w:t>
      </w:r>
    </w:p>
    <w:p w:rsidR="00963D3C" w:rsidRPr="002E4E51" w:rsidRDefault="00963D3C" w:rsidP="004F78F2">
      <w:pPr>
        <w:spacing w:before="240" w:after="240" w:line="360" w:lineRule="auto"/>
        <w:jc w:val="both"/>
        <w:rPr>
          <w:rFonts w:ascii="Palatino Linotype" w:hAnsi="Palatino Linotype"/>
          <w:lang w:val="es-MX"/>
        </w:rPr>
      </w:pPr>
      <w:r w:rsidRPr="002E4E51">
        <w:rPr>
          <w:rFonts w:ascii="Palatino Linotype" w:hAnsi="Palatino Linotype"/>
          <w:lang w:val="es-MX"/>
        </w:rPr>
        <w:lastRenderedPageBreak/>
        <w:t xml:space="preserve">Ahora bien, </w:t>
      </w:r>
      <w:r w:rsidRPr="002E4E51">
        <w:rPr>
          <w:rFonts w:ascii="Palatino Linotype" w:hAnsi="Palatino Linotype" w:cs="Arial"/>
          <w:b/>
          <w:lang w:val="es-MX"/>
        </w:rPr>
        <w:t xml:space="preserve">de acuerdo a lo establecido en </w:t>
      </w:r>
      <w:r w:rsidRPr="002E4E51">
        <w:rPr>
          <w:rFonts w:ascii="Palatino Linotype" w:hAnsi="Palatino Linotype" w:cs="Arial"/>
          <w:b/>
        </w:rPr>
        <w:t>las fracciones I y II del apartado A del</w:t>
      </w:r>
      <w:r w:rsidRPr="002E4E51">
        <w:rPr>
          <w:rFonts w:ascii="Palatino Linotype" w:hAnsi="Palatino Linotype" w:cs="Arial"/>
          <w:b/>
          <w:lang w:val="es-MX"/>
        </w:rPr>
        <w:t xml:space="preserve"> </w:t>
      </w:r>
      <w:r w:rsidRPr="002E4E51">
        <w:rPr>
          <w:rFonts w:ascii="Palatino Linotype" w:hAnsi="Palatino Linotype" w:cs="Arial"/>
          <w:b/>
          <w:i/>
          <w:lang w:val="es-MX"/>
        </w:rPr>
        <w:t>supra citado</w:t>
      </w:r>
      <w:r w:rsidRPr="002E4E51">
        <w:rPr>
          <w:rFonts w:ascii="Palatino Linotype" w:hAnsi="Palatino Linotype" w:cs="Arial"/>
          <w:b/>
        </w:rPr>
        <w:t xml:space="preserve"> artículo 6° constitucional, el derecho de acceso a la información puede limitarse por: </w:t>
      </w:r>
      <w:r w:rsidRPr="002E4E51">
        <w:rPr>
          <w:rFonts w:ascii="Palatino Linotype" w:hAnsi="Palatino Linotype" w:cs="Arial"/>
          <w:b/>
          <w:i/>
        </w:rPr>
        <w:t>a)</w:t>
      </w:r>
      <w:r w:rsidRPr="002E4E51">
        <w:rPr>
          <w:rFonts w:ascii="Palatino Linotype" w:hAnsi="Palatino Linotype" w:cs="Arial"/>
          <w:b/>
        </w:rPr>
        <w:t xml:space="preserve"> el interés público</w:t>
      </w:r>
      <w:r w:rsidRPr="002E4E51">
        <w:rPr>
          <w:rFonts w:ascii="Palatino Linotype" w:hAnsi="Palatino Linotype" w:cs="Arial"/>
          <w:b/>
          <w:lang w:val="es-MX"/>
        </w:rPr>
        <w:t xml:space="preserve"> y seguridad nacional</w:t>
      </w:r>
      <w:r w:rsidRPr="002E4E51">
        <w:rPr>
          <w:rFonts w:ascii="Palatino Linotype" w:hAnsi="Palatino Linotype" w:cs="Arial"/>
          <w:b/>
        </w:rPr>
        <w:t xml:space="preserve">; y </w:t>
      </w:r>
      <w:r w:rsidRPr="002E4E51">
        <w:rPr>
          <w:rFonts w:ascii="Palatino Linotype" w:hAnsi="Palatino Linotype" w:cs="Arial"/>
          <w:b/>
          <w:i/>
        </w:rPr>
        <w:t>b)</w:t>
      </w:r>
      <w:r w:rsidRPr="002E4E51">
        <w:rPr>
          <w:rFonts w:ascii="Palatino Linotype" w:hAnsi="Palatino Linotype" w:cs="Arial"/>
          <w:b/>
        </w:rPr>
        <w:t xml:space="preserve"> la vida privada y los datos personales</w:t>
      </w:r>
      <w:r w:rsidRPr="002E4E51">
        <w:rPr>
          <w:rFonts w:ascii="Palatino Linotype" w:hAnsi="Palatino Linotype" w:cs="Arial"/>
        </w:rPr>
        <w:t xml:space="preserve">. Como se desprende del análisis a dichas fracciones, en </w:t>
      </w:r>
      <w:r w:rsidRPr="002E4E51">
        <w:rPr>
          <w:rFonts w:ascii="Palatino Linotype" w:hAnsi="Palatino Linotype" w:cs="Arial"/>
          <w:lang w:val="es-MX"/>
        </w:rPr>
        <w:t>éstas</w:t>
      </w:r>
      <w:r w:rsidRPr="002E4E51">
        <w:rPr>
          <w:rFonts w:ascii="Palatino Linotype" w:hAnsi="Palatino Linotype" w:cs="Arial"/>
        </w:rPr>
        <w:t xml:space="preserve"> sólo enuncian los fines constitucionalmente válidos o legítimos para establecer limitaciones al derecho en comento, sin embargo, ambas remiten a la legislación secundaria.</w:t>
      </w:r>
    </w:p>
    <w:p w:rsidR="00963D3C" w:rsidRPr="002E4E51" w:rsidRDefault="00963D3C" w:rsidP="00963D3C">
      <w:pPr>
        <w:pStyle w:val="corte4fondo"/>
        <w:shd w:val="clear" w:color="auto" w:fill="FFFFFF" w:themeFill="background1"/>
        <w:ind w:firstLine="0"/>
        <w:rPr>
          <w:rFonts w:ascii="Palatino Linotype" w:hAnsi="Palatino Linotype" w:cs="Arial"/>
          <w:b/>
          <w:sz w:val="24"/>
          <w:szCs w:val="24"/>
        </w:rPr>
      </w:pPr>
      <w:r w:rsidRPr="002E4E51">
        <w:rPr>
          <w:rFonts w:ascii="Palatino Linotype" w:hAnsi="Palatino Linotype" w:cs="Arial"/>
          <w:sz w:val="24"/>
          <w:szCs w:val="24"/>
          <w:lang w:val="es-MX"/>
        </w:rPr>
        <w:t>Bajo este panorama</w:t>
      </w:r>
      <w:r w:rsidRPr="002E4E51">
        <w:rPr>
          <w:rFonts w:ascii="Palatino Linotype" w:hAnsi="Palatino Linotype" w:cs="Arial"/>
          <w:sz w:val="24"/>
          <w:szCs w:val="24"/>
        </w:rPr>
        <w:t>, la Ley de Transparencia y Acceso a la Información</w:t>
      </w:r>
      <w:r w:rsidRPr="002E4E51">
        <w:rPr>
          <w:rFonts w:ascii="Palatino Linotype" w:hAnsi="Palatino Linotype" w:cs="Arial"/>
          <w:sz w:val="24"/>
          <w:szCs w:val="24"/>
          <w:lang w:val="es-MX"/>
        </w:rPr>
        <w:t xml:space="preserve"> </w:t>
      </w:r>
      <w:r w:rsidRPr="002E4E51">
        <w:rPr>
          <w:rFonts w:ascii="Palatino Linotype" w:hAnsi="Palatino Linotype" w:cs="Arial"/>
          <w:sz w:val="24"/>
          <w:szCs w:val="24"/>
        </w:rPr>
        <w:t>Pública del Estado de México y Municipios, establece dos supuestos bajo los cuales la información podrá clasificarse y, con ello, limitar el acceso de los particulares a la misma: el de “</w:t>
      </w:r>
      <w:r w:rsidRPr="002E4E51">
        <w:rPr>
          <w:rFonts w:ascii="Palatino Linotype" w:hAnsi="Palatino Linotype" w:cs="Arial"/>
          <w:b/>
          <w:sz w:val="24"/>
          <w:szCs w:val="24"/>
        </w:rPr>
        <w:t>información confidencial”</w:t>
      </w:r>
      <w:r w:rsidRPr="002E4E51">
        <w:rPr>
          <w:rFonts w:ascii="Palatino Linotype" w:hAnsi="Palatino Linotype" w:cs="Arial"/>
          <w:sz w:val="24"/>
          <w:szCs w:val="24"/>
        </w:rPr>
        <w:t xml:space="preserve"> y el de “</w:t>
      </w:r>
      <w:r w:rsidRPr="002E4E51">
        <w:rPr>
          <w:rFonts w:ascii="Palatino Linotype" w:hAnsi="Palatino Linotype" w:cs="Arial"/>
          <w:b/>
          <w:sz w:val="24"/>
          <w:szCs w:val="24"/>
        </w:rPr>
        <w:t>información reservada</w:t>
      </w:r>
      <w:r w:rsidRPr="002E4E51">
        <w:rPr>
          <w:rFonts w:ascii="Palatino Linotype" w:hAnsi="Palatino Linotype" w:cs="Arial"/>
          <w:sz w:val="24"/>
          <w:szCs w:val="24"/>
        </w:rPr>
        <w:t>”.</w:t>
      </w:r>
    </w:p>
    <w:p w:rsidR="00963D3C" w:rsidRPr="002E4E51" w:rsidRDefault="00963D3C" w:rsidP="00963D3C">
      <w:pPr>
        <w:pStyle w:val="corte4fondo"/>
        <w:shd w:val="clear" w:color="auto" w:fill="FFFFFF" w:themeFill="background1"/>
        <w:ind w:firstLine="0"/>
        <w:rPr>
          <w:rFonts w:ascii="Palatino Linotype" w:hAnsi="Palatino Linotype" w:cs="Arial"/>
          <w:color w:val="FF0000"/>
          <w:sz w:val="24"/>
          <w:szCs w:val="24"/>
        </w:rPr>
      </w:pPr>
    </w:p>
    <w:p w:rsidR="00963D3C" w:rsidRPr="002E4E51" w:rsidRDefault="00963D3C" w:rsidP="00963D3C">
      <w:pPr>
        <w:pStyle w:val="corte4fondo"/>
        <w:shd w:val="clear" w:color="auto" w:fill="FFFFFF" w:themeFill="background1"/>
        <w:ind w:firstLine="0"/>
        <w:rPr>
          <w:rFonts w:ascii="Palatino Linotype" w:hAnsi="Palatino Linotype" w:cs="Arial"/>
          <w:sz w:val="24"/>
          <w:szCs w:val="24"/>
        </w:rPr>
      </w:pPr>
      <w:r w:rsidRPr="002E4E51">
        <w:rPr>
          <w:rFonts w:ascii="Palatino Linotype" w:hAnsi="Palatino Linotype" w:cs="Arial"/>
          <w:sz w:val="24"/>
          <w:szCs w:val="24"/>
        </w:rPr>
        <w:t xml:space="preserve">Para proteger la vida privada y los datos personales –considerados como uno de los límites constitucionalmente legítimos– el artículo 143 de la Ley </w:t>
      </w:r>
      <w:r w:rsidRPr="002E4E51">
        <w:rPr>
          <w:rFonts w:ascii="Palatino Linotype" w:hAnsi="Palatino Linotype" w:cs="Arial"/>
          <w:sz w:val="24"/>
          <w:szCs w:val="24"/>
          <w:lang w:val="es-MX"/>
        </w:rPr>
        <w:t xml:space="preserve"> en cita </w:t>
      </w:r>
      <w:r w:rsidRPr="002E4E51">
        <w:rPr>
          <w:rFonts w:ascii="Palatino Linotype" w:hAnsi="Palatino Linotype" w:cs="Arial"/>
          <w:sz w:val="24"/>
          <w:szCs w:val="24"/>
        </w:rPr>
        <w:t>estableció como criterio de clasificación el de “</w:t>
      </w:r>
      <w:r w:rsidRPr="002E4E51">
        <w:rPr>
          <w:rFonts w:ascii="Palatino Linotype" w:hAnsi="Palatino Linotype" w:cs="Arial"/>
          <w:b/>
          <w:sz w:val="24"/>
          <w:szCs w:val="24"/>
          <w:u w:val="single"/>
        </w:rPr>
        <w:t>información confidencial</w:t>
      </w:r>
      <w:r w:rsidRPr="002E4E51">
        <w:rPr>
          <w:rFonts w:ascii="Palatino Linotype" w:hAnsi="Palatino Linotype" w:cs="Arial"/>
          <w:sz w:val="24"/>
          <w:szCs w:val="24"/>
        </w:rPr>
        <w:t xml:space="preserve">”, el cual restringe el acceso a la información que contenga datos personales que requieran el consentimiento de los individuos para su difusión, distribución o comercialización. </w:t>
      </w:r>
    </w:p>
    <w:p w:rsidR="00963D3C" w:rsidRPr="002E4E51" w:rsidRDefault="00963D3C" w:rsidP="00963D3C">
      <w:pPr>
        <w:shd w:val="clear" w:color="auto" w:fill="FFFFFF" w:themeFill="background1"/>
        <w:tabs>
          <w:tab w:val="left" w:pos="709"/>
        </w:tabs>
        <w:spacing w:line="360" w:lineRule="auto"/>
        <w:jc w:val="both"/>
        <w:rPr>
          <w:rFonts w:ascii="Palatino Linotype" w:hAnsi="Palatino Linotype" w:cs="Arial"/>
          <w:color w:val="FF0000"/>
        </w:rPr>
      </w:pPr>
    </w:p>
    <w:p w:rsidR="00963D3C" w:rsidRPr="002E4E51" w:rsidRDefault="00963D3C" w:rsidP="00963D3C">
      <w:pPr>
        <w:shd w:val="clear" w:color="auto" w:fill="FFFFFF" w:themeFill="background1"/>
        <w:tabs>
          <w:tab w:val="left" w:pos="709"/>
        </w:tabs>
        <w:spacing w:line="360" w:lineRule="auto"/>
        <w:jc w:val="both"/>
        <w:rPr>
          <w:rFonts w:ascii="Palatino Linotype" w:hAnsi="Palatino Linotype" w:cs="Arial"/>
        </w:rPr>
      </w:pPr>
      <w:r w:rsidRPr="002E4E51">
        <w:rPr>
          <w:rFonts w:ascii="Palatino Linotype" w:hAnsi="Palatino Linotype" w:cs="Arial"/>
        </w:rPr>
        <w:t>Abona lo anterior, el contenido del segundo párrafo del artículo 16 constitucional</w:t>
      </w:r>
      <w:r w:rsidRPr="002E4E51">
        <w:rPr>
          <w:rStyle w:val="Refdenotaalpie"/>
          <w:rFonts w:ascii="Palatino Linotype" w:hAnsi="Palatino Linotype" w:cs="Arial"/>
        </w:rPr>
        <w:footnoteReference w:id="4"/>
      </w:r>
      <w:r w:rsidRPr="002E4E51">
        <w:rPr>
          <w:rFonts w:ascii="Palatino Linotype" w:hAnsi="Palatino Linotype" w:cs="Arial"/>
        </w:rPr>
        <w:t xml:space="preserve">, el cual reconoce que el derecho a la protección de datos personales –así como al </w:t>
      </w:r>
      <w:r w:rsidRPr="002E4E51">
        <w:rPr>
          <w:rFonts w:ascii="Palatino Linotype" w:hAnsi="Palatino Linotype" w:cs="Arial"/>
        </w:rPr>
        <w:lastRenderedPageBreak/>
        <w:t>acceso, rectificación y cancelación de los mismos– debe ser tutelado por regla general, salvo los casos excepcionales que se prevean en la legislación secundaria.</w:t>
      </w:r>
    </w:p>
    <w:p w:rsidR="00963D3C" w:rsidRPr="002E4E51" w:rsidRDefault="00963D3C" w:rsidP="00963D3C">
      <w:pPr>
        <w:shd w:val="clear" w:color="auto" w:fill="FFFFFF" w:themeFill="background1"/>
        <w:spacing w:before="240" w:after="240" w:line="360" w:lineRule="auto"/>
        <w:jc w:val="both"/>
        <w:rPr>
          <w:rFonts w:ascii="Palatino Linotype" w:hAnsi="Palatino Linotype" w:cs="Arial"/>
          <w:b/>
          <w:lang w:val="es-MX"/>
        </w:rPr>
      </w:pPr>
      <w:r w:rsidRPr="002E4E51">
        <w:rPr>
          <w:rFonts w:ascii="Palatino Linotype" w:hAnsi="Palatino Linotype" w:cs="Arial"/>
        </w:rPr>
        <w:t>Por otro lado, para proteger el interés público los artículos 140 y 141 de la Ley de la materia en la entidad establecieron como criterio de clasificación el de “</w:t>
      </w:r>
      <w:r w:rsidRPr="002E4E51">
        <w:rPr>
          <w:rFonts w:ascii="Palatino Linotype" w:hAnsi="Palatino Linotype" w:cs="Arial"/>
          <w:b/>
          <w:u w:val="single"/>
        </w:rPr>
        <w:t>información reservada.</w:t>
      </w:r>
    </w:p>
    <w:p w:rsidR="00963D3C" w:rsidRPr="002E4E51" w:rsidRDefault="00963D3C" w:rsidP="00963D3C">
      <w:pPr>
        <w:pStyle w:val="corte4fondo"/>
        <w:shd w:val="clear" w:color="auto" w:fill="FFFFFF" w:themeFill="background1"/>
        <w:ind w:firstLine="0"/>
        <w:rPr>
          <w:rFonts w:ascii="Palatino Linotype" w:hAnsi="Palatino Linotype" w:cs="Arial"/>
          <w:sz w:val="24"/>
          <w:szCs w:val="24"/>
        </w:rPr>
      </w:pPr>
      <w:r w:rsidRPr="002E4E51">
        <w:rPr>
          <w:rFonts w:ascii="Palatino Linotype" w:hAnsi="Palatino Linotype" w:cs="Arial"/>
          <w:sz w:val="24"/>
          <w:szCs w:val="24"/>
        </w:rPr>
        <w:t>El primero de los artículos citados establece un catálogo genérico de lineamientos bajo los cuales deberá reservarse la información, lo cual procederá cuando la difusión de la información pueda</w:t>
      </w:r>
      <w:r w:rsidRPr="002E4E51">
        <w:rPr>
          <w:rFonts w:ascii="Palatino Linotype" w:hAnsi="Palatino Linotype" w:cs="Arial"/>
          <w:sz w:val="24"/>
          <w:szCs w:val="24"/>
          <w:lang w:val="es-MX"/>
        </w:rPr>
        <w:t>, entre otras</w:t>
      </w:r>
      <w:r w:rsidRPr="002E4E51">
        <w:rPr>
          <w:rFonts w:ascii="Palatino Linotype" w:hAnsi="Palatino Linotype" w:cs="Arial"/>
          <w:sz w:val="24"/>
          <w:szCs w:val="24"/>
        </w:rPr>
        <w:t>:</w:t>
      </w:r>
    </w:p>
    <w:p w:rsidR="00963D3C" w:rsidRPr="002E4E51" w:rsidRDefault="00963D3C" w:rsidP="00963D3C">
      <w:pPr>
        <w:pStyle w:val="corte4fondo"/>
        <w:shd w:val="clear" w:color="auto" w:fill="FFFFFF" w:themeFill="background1"/>
        <w:ind w:firstLine="0"/>
        <w:rPr>
          <w:rFonts w:ascii="Palatino Linotype" w:hAnsi="Palatino Linotype" w:cs="Arial"/>
          <w:color w:val="FF0000"/>
          <w:sz w:val="24"/>
          <w:szCs w:val="24"/>
        </w:rPr>
      </w:pPr>
    </w:p>
    <w:p w:rsidR="00963D3C" w:rsidRPr="002E4E51" w:rsidRDefault="00963D3C" w:rsidP="00963D3C">
      <w:pPr>
        <w:pStyle w:val="corte4fondo"/>
        <w:numPr>
          <w:ilvl w:val="0"/>
          <w:numId w:val="8"/>
        </w:numPr>
        <w:shd w:val="clear" w:color="auto" w:fill="FFFFFF" w:themeFill="background1"/>
        <w:spacing w:line="240" w:lineRule="auto"/>
        <w:rPr>
          <w:rFonts w:ascii="Palatino Linotype" w:hAnsi="Palatino Linotype" w:cs="Arial"/>
          <w:sz w:val="24"/>
          <w:szCs w:val="24"/>
          <w:lang w:val="es-MX"/>
        </w:rPr>
      </w:pPr>
      <w:r w:rsidRPr="002E4E51">
        <w:rPr>
          <w:rFonts w:ascii="Palatino Linotype" w:hAnsi="Palatino Linotype"/>
          <w:sz w:val="24"/>
          <w:szCs w:val="24"/>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63D3C" w:rsidRPr="002E4E51" w:rsidRDefault="00963D3C" w:rsidP="00963D3C">
      <w:pPr>
        <w:pStyle w:val="Prrafodelista"/>
        <w:spacing w:before="240" w:after="240"/>
        <w:ind w:left="720"/>
        <w:jc w:val="both"/>
        <w:rPr>
          <w:rFonts w:ascii="Palatino Linotype" w:hAnsi="Palatino Linotype"/>
          <w:sz w:val="24"/>
          <w:szCs w:val="24"/>
        </w:rPr>
      </w:pPr>
      <w:r w:rsidRPr="002E4E51">
        <w:rPr>
          <w:rFonts w:ascii="Palatino Linotype" w:hAnsi="Palatino Linotype"/>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w:t>
      </w:r>
    </w:p>
    <w:p w:rsidR="00963D3C" w:rsidRPr="002E4E51" w:rsidRDefault="00963D3C" w:rsidP="00963D3C">
      <w:pPr>
        <w:pStyle w:val="corte4fondo"/>
        <w:shd w:val="clear" w:color="auto" w:fill="FFFFFF" w:themeFill="background1"/>
        <w:ind w:left="720" w:firstLine="0"/>
        <w:rPr>
          <w:rFonts w:ascii="Palatino Linotype" w:hAnsi="Palatino Linotype" w:cs="Arial"/>
          <w:color w:val="FF0000"/>
          <w:sz w:val="24"/>
          <w:szCs w:val="24"/>
          <w:lang w:val="es-MX"/>
        </w:rPr>
      </w:pPr>
    </w:p>
    <w:p w:rsidR="00FE3189" w:rsidRPr="002E4E51" w:rsidRDefault="00934228" w:rsidP="00FE3189">
      <w:pPr>
        <w:pStyle w:val="corte4fondo"/>
        <w:shd w:val="clear" w:color="auto" w:fill="FFFFFF" w:themeFill="background1"/>
        <w:ind w:firstLine="0"/>
        <w:rPr>
          <w:rFonts w:ascii="Palatino Linotype" w:hAnsi="Palatino Linotype" w:cs="Arial"/>
          <w:sz w:val="24"/>
          <w:szCs w:val="24"/>
          <w:lang w:val="es-MX"/>
        </w:rPr>
      </w:pPr>
      <w:r w:rsidRPr="002E4E51">
        <w:rPr>
          <w:rFonts w:ascii="Palatino Linotype" w:hAnsi="Palatino Linotype" w:cs="Arial"/>
          <w:sz w:val="24"/>
          <w:szCs w:val="24"/>
        </w:rPr>
        <w:t>Como ha sido  expuesto, lo esencial en el derecho</w:t>
      </w:r>
      <w:r w:rsidRPr="002E4E51">
        <w:rPr>
          <w:rFonts w:ascii="Palatino Linotype" w:hAnsi="Palatino Linotype" w:cs="Arial"/>
          <w:sz w:val="24"/>
          <w:szCs w:val="24"/>
          <w:lang w:val="es-MX"/>
        </w:rPr>
        <w:t xml:space="preserve"> de acceso </w:t>
      </w:r>
      <w:r w:rsidRPr="002E4E51">
        <w:rPr>
          <w:rFonts w:ascii="Palatino Linotype" w:hAnsi="Palatino Linotype" w:cs="Arial"/>
          <w:sz w:val="24"/>
          <w:szCs w:val="24"/>
        </w:rPr>
        <w:t xml:space="preserve"> a la información pública, </w:t>
      </w:r>
      <w:r w:rsidRPr="002E4E51">
        <w:rPr>
          <w:rFonts w:ascii="Palatino Linotype" w:hAnsi="Palatino Linotype" w:cs="Arial"/>
          <w:sz w:val="24"/>
          <w:szCs w:val="24"/>
          <w:lang w:val="es-MX"/>
        </w:rPr>
        <w:t>por</w:t>
      </w:r>
      <w:r w:rsidRPr="002E4E51">
        <w:rPr>
          <w:rFonts w:ascii="Palatino Linotype" w:hAnsi="Palatino Linotype" w:cs="Arial"/>
          <w:sz w:val="24"/>
          <w:szCs w:val="24"/>
        </w:rPr>
        <w:t xml:space="preserve"> regla general debe ser </w:t>
      </w:r>
      <w:r w:rsidRPr="002E4E51">
        <w:rPr>
          <w:rFonts w:ascii="Palatino Linotype" w:hAnsi="Palatino Linotype" w:cs="Arial"/>
          <w:b/>
          <w:sz w:val="24"/>
          <w:szCs w:val="24"/>
        </w:rPr>
        <w:t>el acceso y máxima publicidad de la información</w:t>
      </w:r>
      <w:r w:rsidRPr="002E4E51">
        <w:rPr>
          <w:rFonts w:ascii="Palatino Linotype" w:hAnsi="Palatino Linotype" w:cs="Arial"/>
          <w:sz w:val="24"/>
          <w:szCs w:val="24"/>
        </w:rPr>
        <w:t>; sin embargo, la regla general presenta algunas excepciones, las cuales, por mandato constitucional, deben estar previstas en leyes. Una de estas excepciones es el caso de</w:t>
      </w:r>
      <w:r w:rsidRPr="002E4E51">
        <w:rPr>
          <w:rFonts w:ascii="Palatino Linotype" w:hAnsi="Palatino Linotype" w:cs="Arial"/>
          <w:sz w:val="24"/>
          <w:szCs w:val="24"/>
          <w:lang w:val="es-MX"/>
        </w:rPr>
        <w:t xml:space="preserve"> </w:t>
      </w:r>
      <w:r w:rsidRPr="002E4E51">
        <w:rPr>
          <w:rFonts w:ascii="Palatino Linotype" w:hAnsi="Palatino Linotype" w:cs="Arial"/>
          <w:sz w:val="24"/>
          <w:szCs w:val="24"/>
          <w:lang w:val="es-MX"/>
        </w:rPr>
        <w:lastRenderedPageBreak/>
        <w:t xml:space="preserve">la </w:t>
      </w:r>
      <w:r w:rsidRPr="002E4E51">
        <w:rPr>
          <w:rFonts w:ascii="Palatino Linotype" w:hAnsi="Palatino Linotype"/>
          <w:sz w:val="24"/>
          <w:szCs w:val="24"/>
        </w:rPr>
        <w:t>información sobre estudios y proyectos cuya divulgación pueda causar daños al interés del Estado o suponga un riesgo para su realización, siempre que esté directamente relacionado con procesos o procedimientos administrativos o judiciales que no hayan quedado firmes</w:t>
      </w:r>
    </w:p>
    <w:p w:rsidR="00FE3189" w:rsidRPr="002E4E51" w:rsidRDefault="00FE3189" w:rsidP="00FE3189">
      <w:pPr>
        <w:spacing w:before="240" w:after="240" w:line="360" w:lineRule="auto"/>
        <w:jc w:val="both"/>
        <w:rPr>
          <w:rFonts w:ascii="Palatino Linotype" w:eastAsia="Palatino Linotype" w:hAnsi="Palatino Linotype" w:cs="Palatino Linotype"/>
          <w:lang w:eastAsia="es-MX"/>
        </w:rPr>
      </w:pPr>
      <w:r w:rsidRPr="002E4E51">
        <w:rPr>
          <w:rFonts w:ascii="Palatino Linotype" w:eastAsia="Palatino Linotype" w:hAnsi="Palatino Linotype" w:cs="Palatino Linotype"/>
          <w:lang w:eastAsia="es-MX"/>
        </w:rPr>
        <w:t>Lo anterior guarda conexión con lo establecido  en los Lineamientos Generales en Materia de Clasificación y Desclasificación de la Información, así como para la Elaboración de Versiones Públicas, que a la letra señalan lo siguiente:</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Décimo octavo.</w:t>
      </w:r>
      <w:r w:rsidRPr="002E4E51">
        <w:rPr>
          <w:rFonts w:ascii="Palatino Linotype" w:eastAsia="Palatino Linotype" w:hAnsi="Palatino Linotype" w:cs="Palatino Linotype"/>
          <w:i/>
          <w:sz w:val="22"/>
          <w:szCs w:val="22"/>
          <w:lang w:eastAsia="es-MX"/>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 xml:space="preserve">Vigésimo tercero. </w:t>
      </w:r>
      <w:r w:rsidRPr="002E4E51">
        <w:rPr>
          <w:rFonts w:ascii="Palatino Linotype" w:eastAsia="Palatino Linotype" w:hAnsi="Palatino Linotype" w:cs="Palatino Linotype"/>
          <w:i/>
          <w:sz w:val="22"/>
          <w:szCs w:val="22"/>
          <w:lang w:eastAsia="es-MX"/>
        </w:rPr>
        <w:t>Para clasificar la información como reservada, de conformidad con el artículo 113, fracción V de la Ley General, será necesario acreditar un vínculo, entre la persona física y la información que pueda poner en riesgo su vida, seguridad o salud.</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lastRenderedPageBreak/>
        <w:t>Vigésimo sexto.</w:t>
      </w:r>
      <w:r w:rsidRPr="002E4E51">
        <w:rPr>
          <w:rFonts w:ascii="Palatino Linotype" w:eastAsia="Palatino Linotype" w:hAnsi="Palatino Linotype" w:cs="Palatino Linotype"/>
          <w:i/>
          <w:sz w:val="22"/>
          <w:szCs w:val="22"/>
          <w:lang w:eastAsia="es-MX"/>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Para que se verifique el supuesto de reserva, cuando se cause un perjuicio a las actividades de persecución de los delitos, deben de actualizarse los siguientes elementos: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w:t>
      </w:r>
      <w:r w:rsidRPr="002E4E51">
        <w:rPr>
          <w:rFonts w:ascii="Palatino Linotype" w:eastAsia="Palatino Linotype" w:hAnsi="Palatino Linotype" w:cs="Palatino Linotype"/>
          <w:i/>
          <w:sz w:val="22"/>
          <w:szCs w:val="22"/>
          <w:lang w:eastAsia="es-MX"/>
        </w:rPr>
        <w:t xml:space="preserve"> La existencia de un proceso penal en sustanciación o una carpeta de investigación en trámite;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w:t>
      </w:r>
      <w:r w:rsidRPr="002E4E51">
        <w:rPr>
          <w:rFonts w:ascii="Palatino Linotype" w:eastAsia="Palatino Linotype" w:hAnsi="Palatino Linotype" w:cs="Palatino Linotype"/>
          <w:i/>
          <w:sz w:val="22"/>
          <w:szCs w:val="22"/>
          <w:lang w:eastAsia="es-MX"/>
        </w:rPr>
        <w:t xml:space="preserve"> Que se acredite el vínculo que existe entre la información solicitada y la carpeta de investigación, o el proceso penal, según sea el caso, y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III</w:t>
      </w:r>
      <w:r w:rsidRPr="002E4E51">
        <w:rPr>
          <w:rFonts w:ascii="Palatino Linotype" w:eastAsia="Palatino Linotype" w:hAnsi="Palatino Linotype" w:cs="Palatino Linotype"/>
          <w:i/>
          <w:sz w:val="22"/>
          <w:szCs w:val="22"/>
          <w:lang w:eastAsia="es-MX"/>
        </w:rPr>
        <w:t xml:space="preserve">. Que la difusión de la información pueda impedir u obstruir las funciones que ejerce el Ministerio Público o su equivalente durante la etapa de investigación o ante los tribunales judiciales con motivo del ejercicio de la acción penal.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w:t>
      </w:r>
      <w:r w:rsidRPr="002E4E51">
        <w:rPr>
          <w:rFonts w:ascii="Palatino Linotype" w:eastAsia="Palatino Linotype" w:hAnsi="Palatino Linotype" w:cs="Palatino Linotype"/>
          <w:i/>
          <w:sz w:val="22"/>
          <w:szCs w:val="22"/>
          <w:lang w:eastAsia="es-MX"/>
        </w:rPr>
        <w:t>…)</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Vigésimo octavo.</w:t>
      </w:r>
      <w:r w:rsidRPr="002E4E51">
        <w:rPr>
          <w:rFonts w:ascii="Palatino Linotype" w:eastAsia="Palatino Linotype" w:hAnsi="Palatino Linotype" w:cs="Palatino Linotype"/>
          <w:i/>
          <w:sz w:val="22"/>
          <w:szCs w:val="22"/>
          <w:lang w:eastAsia="es-MX"/>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w:t>
      </w:r>
      <w:r w:rsidRPr="002E4E51">
        <w:rPr>
          <w:rFonts w:ascii="Palatino Linotype" w:eastAsia="Palatino Linotype" w:hAnsi="Palatino Linotype" w:cs="Palatino Linotype"/>
          <w:i/>
          <w:sz w:val="22"/>
          <w:szCs w:val="22"/>
          <w:lang w:eastAsia="es-MX"/>
        </w:rPr>
        <w:t xml:space="preserve"> La existencia de un procedimiento de responsabilidad administrativa en trámite, y </w:t>
      </w:r>
      <w:r w:rsidRPr="002E4E51">
        <w:rPr>
          <w:rFonts w:ascii="Palatino Linotype" w:eastAsia="Palatino Linotype" w:hAnsi="Palatino Linotype" w:cs="Palatino Linotype"/>
          <w:b/>
          <w:i/>
          <w:sz w:val="22"/>
          <w:szCs w:val="22"/>
          <w:lang w:eastAsia="es-MX"/>
        </w:rPr>
        <w:t>II.</w:t>
      </w:r>
      <w:r w:rsidRPr="002E4E51">
        <w:rPr>
          <w:rFonts w:ascii="Palatino Linotype" w:eastAsia="Palatino Linotype" w:hAnsi="Palatino Linotype" w:cs="Palatino Linotype"/>
          <w:i/>
          <w:sz w:val="22"/>
          <w:szCs w:val="22"/>
          <w:lang w:eastAsia="es-MX"/>
        </w:rPr>
        <w:t xml:space="preserve"> Que la información se refiera a actuaciones, diligencias y constancias propias del procedimiento de responsabilidad.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Vigésimo noveno.</w:t>
      </w:r>
      <w:r w:rsidRPr="002E4E51">
        <w:rPr>
          <w:rFonts w:ascii="Palatino Linotype" w:eastAsia="Palatino Linotype" w:hAnsi="Palatino Linotype" w:cs="Palatino Linotype"/>
          <w:i/>
          <w:sz w:val="22"/>
          <w:szCs w:val="22"/>
          <w:lang w:eastAsia="es-MX"/>
        </w:rPr>
        <w:t xml:space="preserve"> De conformidad con el artículo 113, fracción X de la Ley General, podrá considerarse como información reservada, aquella que de divulgarse afecte el debido proceso al actualizarse los siguientes elementos: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w:t>
      </w:r>
      <w:r w:rsidRPr="002E4E51">
        <w:rPr>
          <w:rFonts w:ascii="Palatino Linotype" w:eastAsia="Palatino Linotype" w:hAnsi="Palatino Linotype" w:cs="Palatino Linotype"/>
          <w:i/>
          <w:sz w:val="22"/>
          <w:szCs w:val="22"/>
          <w:lang w:eastAsia="es-MX"/>
        </w:rPr>
        <w:t xml:space="preserve"> La existencia de un procedimiento judicial, administrativo o arbitral en trámite;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w:t>
      </w:r>
      <w:r w:rsidRPr="002E4E51">
        <w:rPr>
          <w:rFonts w:ascii="Palatino Linotype" w:eastAsia="Palatino Linotype" w:hAnsi="Palatino Linotype" w:cs="Palatino Linotype"/>
          <w:i/>
          <w:sz w:val="22"/>
          <w:szCs w:val="22"/>
          <w:lang w:eastAsia="es-MX"/>
        </w:rPr>
        <w:t xml:space="preserve"> Que el sujeto obligado sea parte en ese procedimiento;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lastRenderedPageBreak/>
        <w:t>III.</w:t>
      </w:r>
      <w:r w:rsidRPr="002E4E51">
        <w:rPr>
          <w:rFonts w:ascii="Palatino Linotype" w:eastAsia="Palatino Linotype" w:hAnsi="Palatino Linotype" w:cs="Palatino Linotype"/>
          <w:i/>
          <w:sz w:val="22"/>
          <w:szCs w:val="22"/>
          <w:lang w:eastAsia="es-MX"/>
        </w:rPr>
        <w:t xml:space="preserve"> Que la información no sea conocida por la contraparte antes de la presentación de la misma en el proceso, y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IV.</w:t>
      </w:r>
      <w:r w:rsidRPr="002E4E51">
        <w:rPr>
          <w:rFonts w:ascii="Palatino Linotype" w:eastAsia="Palatino Linotype" w:hAnsi="Palatino Linotype" w:cs="Palatino Linotype"/>
          <w:i/>
          <w:sz w:val="22"/>
          <w:szCs w:val="22"/>
          <w:lang w:eastAsia="es-MX"/>
        </w:rPr>
        <w:t xml:space="preserve"> Que con su divulgación se afecte la oportunidad de llevar a cabo </w:t>
      </w:r>
      <w:proofErr w:type="gramStart"/>
      <w:r w:rsidRPr="002E4E51">
        <w:rPr>
          <w:rFonts w:ascii="Palatino Linotype" w:eastAsia="Palatino Linotype" w:hAnsi="Palatino Linotype" w:cs="Palatino Linotype"/>
          <w:i/>
          <w:sz w:val="22"/>
          <w:szCs w:val="22"/>
          <w:lang w:eastAsia="es-MX"/>
        </w:rPr>
        <w:t>alguna</w:t>
      </w:r>
      <w:proofErr w:type="gramEnd"/>
      <w:r w:rsidRPr="002E4E51">
        <w:rPr>
          <w:rFonts w:ascii="Palatino Linotype" w:eastAsia="Palatino Linotype" w:hAnsi="Palatino Linotype" w:cs="Palatino Linotype"/>
          <w:i/>
          <w:sz w:val="22"/>
          <w:szCs w:val="22"/>
          <w:lang w:eastAsia="es-MX"/>
        </w:rPr>
        <w:t xml:space="preserve"> de las garantías del debido proceso.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Trigésimo.</w:t>
      </w:r>
      <w:r w:rsidRPr="002E4E51">
        <w:rPr>
          <w:rFonts w:ascii="Palatino Linotype" w:eastAsia="Palatino Linotype" w:hAnsi="Palatino Linotype" w:cs="Palatino Linotype"/>
          <w:i/>
          <w:sz w:val="22"/>
          <w:szCs w:val="22"/>
          <w:lang w:eastAsia="es-MX"/>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w:t>
      </w:r>
      <w:r w:rsidRPr="002E4E51">
        <w:rPr>
          <w:rFonts w:ascii="Palatino Linotype" w:eastAsia="Palatino Linotype" w:hAnsi="Palatino Linotype" w:cs="Palatino Linotype"/>
          <w:i/>
          <w:sz w:val="22"/>
          <w:szCs w:val="22"/>
          <w:lang w:eastAsia="es-MX"/>
        </w:rPr>
        <w:t xml:space="preserve"> La existencia de un juicio o procedimiento administrativo materialmente jurisdiccional, que se encuentre en trámite, y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w:t>
      </w:r>
      <w:r w:rsidRPr="002E4E51">
        <w:rPr>
          <w:rFonts w:ascii="Palatino Linotype" w:eastAsia="Palatino Linotype" w:hAnsi="Palatino Linotype" w:cs="Palatino Linotype"/>
          <w:i/>
          <w:sz w:val="22"/>
          <w:szCs w:val="22"/>
          <w:lang w:eastAsia="es-MX"/>
        </w:rPr>
        <w:t xml:space="preserve"> Que la información solicitada se refiera a actuaciones, diligencias o constancias propias del procedimiento.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Para los efectos del primer párrafo de este numeral, se considera procedimiento seguido en forma de juicio a aquel formalmente administrativo, pero materialmente jurisdiccional; esto es, en el que concurran los siguientes elementos: </w:t>
      </w:r>
    </w:p>
    <w:p w:rsidR="00FE3189" w:rsidRPr="002E4E51" w:rsidRDefault="00FE3189" w:rsidP="00FE3189">
      <w:pPr>
        <w:spacing w:before="240" w:after="240"/>
        <w:ind w:left="794" w:right="851" w:firstLine="622"/>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FE3189" w:rsidRPr="002E4E51" w:rsidRDefault="00FE3189" w:rsidP="00FE3189">
      <w:pPr>
        <w:spacing w:before="240" w:after="240"/>
        <w:ind w:left="794" w:right="851" w:firstLine="622"/>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2. Que se cumplan las formalidades esenciales del procedimiento.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rsidR="00FE3189" w:rsidRPr="002E4E51" w:rsidRDefault="00FE3189" w:rsidP="00FE3189">
      <w:pPr>
        <w:spacing w:before="240" w:after="240"/>
        <w:ind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i/>
          <w:sz w:val="22"/>
          <w:szCs w:val="22"/>
          <w:lang w:eastAsia="es-MX"/>
        </w:rPr>
        <w:tab/>
        <w:t xml:space="preserv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Trigésimo tercero.</w:t>
      </w:r>
      <w:r w:rsidRPr="002E4E51">
        <w:rPr>
          <w:rFonts w:ascii="Palatino Linotype" w:eastAsia="Palatino Linotype" w:hAnsi="Palatino Linotype" w:cs="Palatino Linotype"/>
          <w:i/>
          <w:sz w:val="22"/>
          <w:szCs w:val="22"/>
          <w:lang w:eastAsia="es-MX"/>
        </w:rPr>
        <w:t xml:space="preserve"> Para la aplicación de la prueba de daño a la que hace referencia el artículo 104 de la Ley General, los sujetos obligados atenderán lo siguiente: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w:t>
      </w:r>
      <w:r w:rsidRPr="002E4E51">
        <w:rPr>
          <w:rFonts w:ascii="Palatino Linotype" w:eastAsia="Palatino Linotype" w:hAnsi="Palatino Linotype" w:cs="Palatino Linotype"/>
          <w:i/>
          <w:sz w:val="22"/>
          <w:szCs w:val="22"/>
          <w:lang w:eastAsia="es-MX"/>
        </w:rPr>
        <w:t xml:space="preserve"> Se deberá citar la fracción y, en su caso, la causal aplicable del artículo 113 de la Ley General, vinculándola con el Lineamiento específico del presente ordenamiento </w:t>
      </w:r>
      <w:r w:rsidRPr="002E4E51">
        <w:rPr>
          <w:rFonts w:ascii="Palatino Linotype" w:eastAsia="Palatino Linotype" w:hAnsi="Palatino Linotype" w:cs="Palatino Linotype"/>
          <w:i/>
          <w:sz w:val="22"/>
          <w:szCs w:val="22"/>
          <w:lang w:eastAsia="es-MX"/>
        </w:rPr>
        <w:lastRenderedPageBreak/>
        <w:t xml:space="preserve">y, cuando corresponda, el supuesto normativo que expresamente le otorga el carácter de información reservada;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w:t>
      </w:r>
      <w:r w:rsidRPr="002E4E51">
        <w:rPr>
          <w:rFonts w:ascii="Palatino Linotype" w:eastAsia="Palatino Linotype" w:hAnsi="Palatino Linotype" w:cs="Palatino Linotype"/>
          <w:i/>
          <w:sz w:val="22"/>
          <w:szCs w:val="22"/>
          <w:lang w:eastAsia="es-MX"/>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III.</w:t>
      </w:r>
      <w:r w:rsidRPr="002E4E51">
        <w:rPr>
          <w:rFonts w:ascii="Palatino Linotype" w:eastAsia="Palatino Linotype" w:hAnsi="Palatino Linotype" w:cs="Palatino Linotype"/>
          <w:i/>
          <w:sz w:val="22"/>
          <w:szCs w:val="22"/>
          <w:lang w:eastAsia="es-MX"/>
        </w:rPr>
        <w:t xml:space="preserve"> Se debe de acreditar el vínculo entre la difusión de la información y la afectación del interés jurídico tutelado de que se trate;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IV.</w:t>
      </w:r>
      <w:r w:rsidRPr="002E4E51">
        <w:rPr>
          <w:rFonts w:ascii="Palatino Linotype" w:eastAsia="Palatino Linotype" w:hAnsi="Palatino Linotype" w:cs="Palatino Linotype"/>
          <w:i/>
          <w:sz w:val="22"/>
          <w:szCs w:val="22"/>
          <w:lang w:eastAsia="es-MX"/>
        </w:rPr>
        <w:t xml:space="preserve"> Precisar las razones objetivas por las que la apertura de la información generaría una afectación, a través de los elementos de un riesgo real, demostrable e identificable;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V.</w:t>
      </w:r>
      <w:r w:rsidRPr="002E4E51">
        <w:rPr>
          <w:rFonts w:ascii="Palatino Linotype" w:eastAsia="Palatino Linotype" w:hAnsi="Palatino Linotype" w:cs="Palatino Linotype"/>
          <w:i/>
          <w:sz w:val="22"/>
          <w:szCs w:val="22"/>
          <w:lang w:eastAsia="es-MX"/>
        </w:rPr>
        <w:t xml:space="preserve"> En la motivación de la clasificación, el sujeto obligado deberá acreditar las circunstancias de modo, tiempo y lugar del daño, y </w:t>
      </w:r>
    </w:p>
    <w:p w:rsidR="00FE3189" w:rsidRPr="002E4E51" w:rsidRDefault="00FE3189" w:rsidP="00FE3189">
      <w:pPr>
        <w:spacing w:before="240" w:after="240"/>
        <w:ind w:left="794" w:right="851"/>
        <w:jc w:val="both"/>
        <w:rPr>
          <w:rFonts w:ascii="Palatino Linotype" w:eastAsia="Palatino Linotype" w:hAnsi="Palatino Linotype" w:cs="Palatino Linotype"/>
          <w:i/>
          <w:sz w:val="22"/>
          <w:szCs w:val="22"/>
          <w:lang w:eastAsia="es-MX"/>
        </w:rPr>
      </w:pPr>
      <w:r w:rsidRPr="002E4E51">
        <w:rPr>
          <w:rFonts w:ascii="Palatino Linotype" w:eastAsia="Palatino Linotype" w:hAnsi="Palatino Linotype" w:cs="Palatino Linotype"/>
          <w:b/>
          <w:i/>
          <w:sz w:val="22"/>
          <w:szCs w:val="22"/>
          <w:lang w:eastAsia="es-MX"/>
        </w:rPr>
        <w:t>VI.</w:t>
      </w:r>
      <w:r w:rsidRPr="002E4E51">
        <w:rPr>
          <w:rFonts w:ascii="Palatino Linotype" w:eastAsia="Palatino Linotype" w:hAnsi="Palatino Linotype" w:cs="Palatino Linotype"/>
          <w:i/>
          <w:sz w:val="22"/>
          <w:szCs w:val="22"/>
          <w:lang w:eastAsia="es-MX"/>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FE3189" w:rsidRPr="002E4E51" w:rsidRDefault="00FE3189" w:rsidP="00D92F0C">
      <w:pPr>
        <w:pStyle w:val="corte4fondo"/>
        <w:shd w:val="clear" w:color="auto" w:fill="FFFFFF" w:themeFill="background1"/>
        <w:tabs>
          <w:tab w:val="left" w:pos="8647"/>
        </w:tabs>
        <w:ind w:right="49" w:firstLine="0"/>
        <w:rPr>
          <w:rFonts w:ascii="Palatino Linotype" w:hAnsi="Palatino Linotype"/>
          <w:sz w:val="24"/>
          <w:szCs w:val="24"/>
          <w:lang w:val="es-MX"/>
        </w:rPr>
      </w:pPr>
    </w:p>
    <w:p w:rsidR="00F04801" w:rsidRPr="002E4E51" w:rsidRDefault="00D92F0C" w:rsidP="00F04801">
      <w:pPr>
        <w:pStyle w:val="corte4fondo"/>
        <w:shd w:val="clear" w:color="auto" w:fill="FFFFFF" w:themeFill="background1"/>
        <w:ind w:firstLine="0"/>
        <w:rPr>
          <w:rFonts w:ascii="Palatino Linotype" w:hAnsi="Palatino Linotype"/>
          <w:sz w:val="24"/>
          <w:szCs w:val="24"/>
        </w:rPr>
      </w:pPr>
      <w:r w:rsidRPr="002E4E51">
        <w:rPr>
          <w:rFonts w:ascii="Palatino Linotype" w:hAnsi="Palatino Linotype" w:cs="Arial"/>
          <w:sz w:val="24"/>
          <w:szCs w:val="24"/>
          <w:lang w:val="es-MX"/>
        </w:rPr>
        <w:t>Una vez trazadas las consideraciones anteriores, en el caso en concreto</w:t>
      </w:r>
      <w:r w:rsidR="00F04801" w:rsidRPr="002E4E51">
        <w:rPr>
          <w:rFonts w:ascii="Palatino Linotype" w:eastAsia="Palatino Linotype" w:hAnsi="Palatino Linotype" w:cs="Palatino Linotype"/>
          <w:sz w:val="24"/>
          <w:szCs w:val="24"/>
        </w:rPr>
        <w:t xml:space="preserve">, resulta necesario, analizar dicho Acuerdo de Reserva de la información antes referido, entregado por el Sujeto Obligado, en su respuesta e informe justificado, a fin de establecer si el Comité de Transparencia no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w:t>
      </w:r>
      <w:r w:rsidR="00F04801" w:rsidRPr="002E4E51">
        <w:rPr>
          <w:rFonts w:ascii="Palatino Linotype" w:eastAsia="Palatino Linotype" w:hAnsi="Palatino Linotype" w:cs="Palatino Linotype"/>
          <w:sz w:val="24"/>
          <w:szCs w:val="24"/>
        </w:rPr>
        <w:lastRenderedPageBreak/>
        <w:t xml:space="preserve">fracción VIII y 141, de la Ley de Transparencia y Acceso a la Información Pública del Estado de México y Municipios: </w:t>
      </w:r>
    </w:p>
    <w:tbl>
      <w:tblPr>
        <w:tblStyle w:val="Tablaconcuadrcula"/>
        <w:tblW w:w="0" w:type="auto"/>
        <w:tblLook w:val="04A0" w:firstRow="1" w:lastRow="0" w:firstColumn="1" w:lastColumn="0" w:noHBand="0" w:noVBand="1"/>
      </w:tblPr>
      <w:tblGrid>
        <w:gridCol w:w="1157"/>
        <w:gridCol w:w="6483"/>
        <w:gridCol w:w="1188"/>
      </w:tblGrid>
      <w:tr w:rsidR="00F04801" w:rsidRPr="002E4E51" w:rsidTr="00DE7B66">
        <w:tc>
          <w:tcPr>
            <w:tcW w:w="1189" w:type="dxa"/>
            <w:shd w:val="clear" w:color="auto" w:fill="7B7B7B" w:themeFill="accent3" w:themeFillShade="BF"/>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FFFFFF" w:themeColor="background1"/>
                <w:sz w:val="18"/>
                <w:szCs w:val="20"/>
                <w:lang w:val="es-MX" w:eastAsia="en-US"/>
              </w:rPr>
              <w:t>Elementos del acuerdo de clasificación</w:t>
            </w:r>
          </w:p>
        </w:tc>
        <w:tc>
          <w:tcPr>
            <w:tcW w:w="6085" w:type="dxa"/>
            <w:shd w:val="clear" w:color="auto" w:fill="7B7B7B" w:themeFill="accent3" w:themeFillShade="BF"/>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FFFFFF" w:themeColor="background1"/>
                <w:sz w:val="22"/>
                <w:szCs w:val="20"/>
                <w:lang w:val="es-MX" w:eastAsia="en-US"/>
              </w:rPr>
              <w:t>Contenido</w:t>
            </w:r>
          </w:p>
        </w:tc>
        <w:tc>
          <w:tcPr>
            <w:tcW w:w="1221" w:type="dxa"/>
            <w:shd w:val="clear" w:color="auto" w:fill="7B7B7B" w:themeFill="accent3" w:themeFillShade="BF"/>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FFFFFF" w:themeColor="background1"/>
                <w:sz w:val="22"/>
                <w:szCs w:val="20"/>
                <w:lang w:val="es-MX" w:eastAsia="en-US"/>
              </w:rPr>
              <w:t>Cumple</w:t>
            </w:r>
          </w:p>
        </w:tc>
      </w:tr>
      <w:tr w:rsidR="00F04801" w:rsidRPr="002E4E51" w:rsidTr="00DE7B66">
        <w:tc>
          <w:tcPr>
            <w:tcW w:w="1189" w:type="dxa"/>
          </w:tcPr>
          <w:p w:rsidR="00F04801" w:rsidRPr="002E4E51" w:rsidRDefault="00F04801" w:rsidP="00DE7B66">
            <w:pPr>
              <w:spacing w:before="100" w:after="200" w:line="276" w:lineRule="auto"/>
              <w:jc w:val="center"/>
              <w:rPr>
                <w:rFonts w:ascii="Palatino Linotype" w:eastAsia="Calibri" w:hAnsi="Palatino Linotype"/>
                <w:sz w:val="18"/>
                <w:szCs w:val="18"/>
                <w:lang w:val="es-MX" w:eastAsia="en-US"/>
              </w:rPr>
            </w:pPr>
            <w:r w:rsidRPr="002E4E51">
              <w:rPr>
                <w:rFonts w:ascii="Palatino Linotype" w:eastAsia="Calibri" w:hAnsi="Palatino Linotype"/>
                <w:b/>
                <w:sz w:val="18"/>
                <w:szCs w:val="18"/>
                <w:lang w:eastAsia="en-US"/>
              </w:rPr>
              <w:t>Número de folio de la solicitud</w:t>
            </w:r>
          </w:p>
        </w:tc>
        <w:tc>
          <w:tcPr>
            <w:tcW w:w="6085" w:type="dxa"/>
          </w:tcPr>
          <w:p w:rsidR="00F04801" w:rsidRPr="002E4E51" w:rsidRDefault="00F04801" w:rsidP="00F04801">
            <w:pPr>
              <w:spacing w:before="100" w:after="200" w:line="276" w:lineRule="auto"/>
              <w:rPr>
                <w:rFonts w:ascii="Calibri" w:eastAsia="Calibri" w:hAnsi="Calibri"/>
                <w:sz w:val="20"/>
                <w:szCs w:val="20"/>
                <w:lang w:val="es-MX" w:eastAsia="en-US"/>
              </w:rPr>
            </w:pPr>
            <w:r w:rsidRPr="002E4E51">
              <w:rPr>
                <w:rFonts w:ascii="Calibri" w:eastAsia="Calibri" w:hAnsi="Calibri"/>
                <w:sz w:val="20"/>
                <w:szCs w:val="20"/>
                <w:lang w:val="es-MX" w:eastAsia="en-US"/>
              </w:rPr>
              <w:t>“….</w:t>
            </w:r>
            <w:r w:rsidRPr="002E4E51">
              <w:rPr>
                <w:rFonts w:ascii="Calibri" w:eastAsia="Calibri" w:hAnsi="Calibri"/>
                <w:i/>
                <w:sz w:val="20"/>
                <w:szCs w:val="20"/>
                <w:lang w:val="es-MX" w:eastAsia="en-US"/>
              </w:rPr>
              <w:t>solicitado a través  del Sistema  de Acceso  a  la Información  Mexiquense  (SAIMEX), en la solicitud 00140/SMOV/IP/2021</w:t>
            </w:r>
            <w:r w:rsidRPr="002E4E51">
              <w:rPr>
                <w:rFonts w:ascii="Calibri" w:eastAsia="Calibri" w:hAnsi="Calibri"/>
                <w:sz w:val="20"/>
                <w:szCs w:val="20"/>
                <w:lang w:val="es-MX" w:eastAsia="en-US"/>
              </w:rPr>
              <w:t>…”</w:t>
            </w:r>
          </w:p>
        </w:tc>
        <w:tc>
          <w:tcPr>
            <w:tcW w:w="1221" w:type="dxa"/>
          </w:tcPr>
          <w:p w:rsidR="00F04801" w:rsidRPr="002E4E51" w:rsidRDefault="00F04801" w:rsidP="00DE7B66">
            <w:pPr>
              <w:spacing w:before="100" w:after="200" w:line="276" w:lineRule="auto"/>
              <w:jc w:val="center"/>
              <w:rPr>
                <w:rFonts w:ascii="Palatino Linotype" w:eastAsia="Calibri" w:hAnsi="Palatino Linotype"/>
                <w:b/>
                <w:sz w:val="20"/>
                <w:szCs w:val="20"/>
                <w:lang w:val="es-MX" w:eastAsia="en-US"/>
              </w:rPr>
            </w:pPr>
            <w:r w:rsidRPr="002E4E51">
              <w:rPr>
                <w:rFonts w:ascii="Palatino Linotype" w:eastAsia="Calibri" w:hAnsi="Palatino Linotype"/>
                <w:b/>
                <w:szCs w:val="20"/>
                <w:lang w:val="es-MX" w:eastAsia="en-US"/>
              </w:rPr>
              <w:t>Si</w:t>
            </w:r>
          </w:p>
        </w:tc>
      </w:tr>
      <w:tr w:rsidR="00F04801" w:rsidRPr="002E4E51" w:rsidTr="00DE7B66">
        <w:tc>
          <w:tcPr>
            <w:tcW w:w="1189" w:type="dxa"/>
          </w:tcPr>
          <w:p w:rsidR="00F04801" w:rsidRPr="002E4E51" w:rsidRDefault="00F04801" w:rsidP="00DE7B66">
            <w:pPr>
              <w:spacing w:before="100" w:after="200" w:line="276" w:lineRule="auto"/>
              <w:jc w:val="center"/>
              <w:rPr>
                <w:rFonts w:ascii="Palatino Linotype" w:eastAsia="Calibri" w:hAnsi="Palatino Linotype"/>
                <w:sz w:val="18"/>
                <w:szCs w:val="18"/>
                <w:lang w:val="es-MX" w:eastAsia="en-US"/>
              </w:rPr>
            </w:pPr>
            <w:r w:rsidRPr="002E4E51">
              <w:rPr>
                <w:rFonts w:ascii="Palatino Linotype" w:eastAsia="Calibri" w:hAnsi="Palatino Linotype"/>
                <w:b/>
                <w:sz w:val="18"/>
                <w:szCs w:val="18"/>
                <w:lang w:eastAsia="en-US"/>
              </w:rPr>
              <w:t>Referencia de la información solicitada</w:t>
            </w:r>
          </w:p>
        </w:tc>
        <w:tc>
          <w:tcPr>
            <w:tcW w:w="6085" w:type="dxa"/>
          </w:tcPr>
          <w:p w:rsidR="00F04801" w:rsidRPr="002E4E51" w:rsidRDefault="00F04801" w:rsidP="00F04801">
            <w:pPr>
              <w:spacing w:before="100" w:after="200" w:line="276" w:lineRule="auto"/>
              <w:jc w:val="both"/>
              <w:rPr>
                <w:rFonts w:ascii="Palatino Linotype" w:eastAsia="Calibri" w:hAnsi="Palatino Linotype"/>
                <w:lang w:val="es-MX" w:eastAsia="en-US"/>
              </w:rPr>
            </w:pPr>
            <w:r w:rsidRPr="002E4E51">
              <w:rPr>
                <w:rFonts w:ascii="Palatino Linotype" w:eastAsia="Calibri" w:hAnsi="Palatino Linotype"/>
                <w:lang w:val="es-MX" w:eastAsia="en-US"/>
              </w:rPr>
              <w:t>“</w:t>
            </w:r>
            <w:r w:rsidRPr="002E4E51">
              <w:rPr>
                <w:rFonts w:ascii="Palatino Linotype" w:eastAsia="Calibri" w:hAnsi="Palatino Linotype"/>
                <w:i/>
                <w:sz w:val="18"/>
                <w:lang w:val="es-MX" w:eastAsia="en-US"/>
              </w:rPr>
              <w:t xml:space="preserve">Acto seguido y en uso de la voz, la C. Diana Laura </w:t>
            </w:r>
            <w:proofErr w:type="spellStart"/>
            <w:r w:rsidRPr="002E4E51">
              <w:rPr>
                <w:rFonts w:ascii="Palatino Linotype" w:eastAsia="Calibri" w:hAnsi="Palatino Linotype"/>
                <w:i/>
                <w:sz w:val="18"/>
                <w:lang w:val="es-MX" w:eastAsia="en-US"/>
              </w:rPr>
              <w:t>Ramfrez</w:t>
            </w:r>
            <w:proofErr w:type="spellEnd"/>
            <w:r w:rsidRPr="002E4E51">
              <w:rPr>
                <w:rFonts w:ascii="Palatino Linotype" w:eastAsia="Calibri" w:hAnsi="Palatino Linotype"/>
                <w:i/>
                <w:sz w:val="18"/>
                <w:lang w:val="es-MX" w:eastAsia="en-US"/>
              </w:rPr>
              <w:t xml:space="preserve"> </w:t>
            </w:r>
            <w:proofErr w:type="spellStart"/>
            <w:r w:rsidRPr="002E4E51">
              <w:rPr>
                <w:rFonts w:ascii="Palatino Linotype" w:eastAsia="Calibri" w:hAnsi="Palatino Linotype"/>
                <w:i/>
                <w:sz w:val="18"/>
                <w:lang w:val="es-MX" w:eastAsia="en-US"/>
              </w:rPr>
              <w:t>Alvarez</w:t>
            </w:r>
            <w:proofErr w:type="spellEnd"/>
            <w:r w:rsidRPr="002E4E51">
              <w:rPr>
                <w:rFonts w:ascii="Palatino Linotype" w:eastAsia="Calibri" w:hAnsi="Palatino Linotype"/>
                <w:i/>
                <w:sz w:val="18"/>
                <w:lang w:val="es-MX" w:eastAsia="en-US"/>
              </w:rPr>
              <w:t xml:space="preserve">,  informa de la solicitud realizada por el Encargado del Despacho de la Dirección General de Movilidad Zona  11.  a través del </w:t>
            </w:r>
            <w:proofErr w:type="spellStart"/>
            <w:r w:rsidRPr="002E4E51">
              <w:rPr>
                <w:rFonts w:ascii="Palatino Linotype" w:eastAsia="Calibri" w:hAnsi="Palatino Linotype"/>
                <w:i/>
                <w:sz w:val="18"/>
                <w:lang w:val="es-MX" w:eastAsia="en-US"/>
              </w:rPr>
              <w:t>ofic</w:t>
            </w:r>
            <w:proofErr w:type="spellEnd"/>
            <w:r w:rsidRPr="002E4E51">
              <w:rPr>
                <w:rFonts w:ascii="Palatino Linotype" w:eastAsia="Calibri" w:hAnsi="Palatino Linotype"/>
                <w:i/>
                <w:sz w:val="18"/>
                <w:lang w:val="es-MX" w:eastAsia="en-US"/>
              </w:rPr>
              <w:t xml:space="preserve"> </w:t>
            </w:r>
            <w:proofErr w:type="spellStart"/>
            <w:r w:rsidRPr="002E4E51">
              <w:rPr>
                <w:rFonts w:ascii="Palatino Linotype" w:eastAsia="Calibri" w:hAnsi="Palatino Linotype"/>
                <w:i/>
                <w:sz w:val="18"/>
                <w:lang w:val="es-MX" w:eastAsia="en-US"/>
              </w:rPr>
              <w:t>io</w:t>
            </w:r>
            <w:proofErr w:type="spellEnd"/>
            <w:r w:rsidRPr="002E4E51">
              <w:rPr>
                <w:rFonts w:ascii="Palatino Linotype" w:eastAsia="Calibri" w:hAnsi="Palatino Linotype"/>
                <w:i/>
                <w:sz w:val="18"/>
                <w:lang w:val="es-MX" w:eastAsia="en-US"/>
              </w:rPr>
              <w:t xml:space="preserve"> número 22001002000000/0245/2021,  mediante  el cual se somete  a consideración del Pleno del Comité, la aprobación  de la clasificación como reserva total de la información solicitada a través de la solicitud 00140/SMOV/IP/2021, en lo referente a "...</w:t>
            </w:r>
            <w:proofErr w:type="spellStart"/>
            <w:r w:rsidRPr="002E4E51">
              <w:rPr>
                <w:rFonts w:ascii="Palatino Linotype" w:eastAsia="Calibri" w:hAnsi="Palatino Linotype"/>
                <w:i/>
                <w:sz w:val="18"/>
                <w:lang w:val="es-MX" w:eastAsia="en-US"/>
              </w:rPr>
              <w:t>Ofic</w:t>
            </w:r>
            <w:proofErr w:type="spellEnd"/>
            <w:r w:rsidRPr="002E4E51">
              <w:rPr>
                <w:rFonts w:ascii="Palatino Linotype" w:eastAsia="Calibri" w:hAnsi="Palatino Linotype"/>
                <w:i/>
                <w:sz w:val="18"/>
                <w:lang w:val="es-MX" w:eastAsia="en-US"/>
              </w:rPr>
              <w:t xml:space="preserve"> </w:t>
            </w:r>
            <w:proofErr w:type="spellStart"/>
            <w:r w:rsidRPr="002E4E51">
              <w:rPr>
                <w:rFonts w:ascii="Palatino Linotype" w:eastAsia="Calibri" w:hAnsi="Palatino Linotype"/>
                <w:i/>
                <w:sz w:val="18"/>
                <w:lang w:val="es-MX" w:eastAsia="en-US"/>
              </w:rPr>
              <w:t>ios</w:t>
            </w:r>
            <w:proofErr w:type="spellEnd"/>
            <w:r w:rsidRPr="002E4E51">
              <w:rPr>
                <w:rFonts w:ascii="Palatino Linotype" w:eastAsia="Calibri" w:hAnsi="Palatino Linotype"/>
                <w:i/>
                <w:sz w:val="18"/>
                <w:lang w:val="es-MX" w:eastAsia="en-US"/>
              </w:rPr>
              <w:t xml:space="preserve"> de autorizaciones  de derroteros de la empresa; Unión de transportistas de servicios colectivos  y automóviles  de alquiler de Coacalco y Estado de  México  S.A.  </w:t>
            </w:r>
            <w:proofErr w:type="gramStart"/>
            <w:r w:rsidRPr="002E4E51">
              <w:rPr>
                <w:rFonts w:ascii="Palatino Linotype" w:eastAsia="Calibri" w:hAnsi="Palatino Linotype"/>
                <w:i/>
                <w:sz w:val="18"/>
                <w:lang w:val="en-US" w:eastAsia="en-US"/>
              </w:rPr>
              <w:t>de  C</w:t>
            </w:r>
            <w:proofErr w:type="gramEnd"/>
            <w:r w:rsidRPr="002E4E51">
              <w:rPr>
                <w:rFonts w:ascii="Palatino Linotype" w:eastAsia="Calibri" w:hAnsi="Palatino Linotype"/>
                <w:i/>
                <w:sz w:val="18"/>
                <w:lang w:val="en-US" w:eastAsia="en-US"/>
              </w:rPr>
              <w:t xml:space="preserve">.  V. SCT/DGTI/98/2490  SCT/DGTI/98/2491  SCT/DGTI/98/2492 SCT/DGTI/98/2503    21102A000/98/2610     21102A000/98/2611    21102A000/98/26 13 SCT/GEM/DGTI/98/2493 ..." </w:t>
            </w:r>
            <w:r w:rsidRPr="002E4E51">
              <w:rPr>
                <w:rFonts w:ascii="Palatino Linotype" w:eastAsia="Calibri" w:hAnsi="Palatino Linotype"/>
                <w:i/>
                <w:sz w:val="18"/>
                <w:lang w:val="es-MX" w:eastAsia="en-US"/>
              </w:rPr>
              <w:t>(sic)</w:t>
            </w:r>
          </w:p>
        </w:tc>
        <w:tc>
          <w:tcPr>
            <w:tcW w:w="1221" w:type="dxa"/>
          </w:tcPr>
          <w:p w:rsidR="00F04801" w:rsidRPr="002E4E51" w:rsidRDefault="00F04801" w:rsidP="00DE7B66">
            <w:pPr>
              <w:spacing w:before="100" w:after="200" w:line="276" w:lineRule="auto"/>
              <w:jc w:val="center"/>
              <w:rPr>
                <w:rFonts w:ascii="Palatino Linotype" w:eastAsia="Calibri" w:hAnsi="Palatino Linotype"/>
                <w:b/>
                <w:lang w:val="es-MX" w:eastAsia="en-US"/>
              </w:rPr>
            </w:pPr>
            <w:r w:rsidRPr="002E4E51">
              <w:rPr>
                <w:rFonts w:ascii="Palatino Linotype" w:eastAsia="Calibri" w:hAnsi="Palatino Linotype"/>
                <w:b/>
                <w:lang w:val="es-MX" w:eastAsia="en-US"/>
              </w:rPr>
              <w:t>Si</w:t>
            </w:r>
          </w:p>
        </w:tc>
      </w:tr>
      <w:tr w:rsidR="00F04801" w:rsidRPr="002E4E51" w:rsidTr="00DE7B66">
        <w:tc>
          <w:tcPr>
            <w:tcW w:w="1189" w:type="dxa"/>
          </w:tcPr>
          <w:p w:rsidR="00F04801" w:rsidRPr="002E4E51" w:rsidRDefault="00F04801" w:rsidP="00DE7B66">
            <w:pPr>
              <w:spacing w:before="100" w:after="200" w:line="276" w:lineRule="auto"/>
              <w:jc w:val="center"/>
              <w:rPr>
                <w:rFonts w:ascii="Palatino Linotype" w:eastAsia="Calibri" w:hAnsi="Palatino Linotype"/>
                <w:sz w:val="18"/>
                <w:szCs w:val="18"/>
                <w:lang w:val="es-MX" w:eastAsia="en-US"/>
              </w:rPr>
            </w:pPr>
            <w:r w:rsidRPr="002E4E51">
              <w:rPr>
                <w:rFonts w:ascii="Palatino Linotype" w:eastAsia="Palatino Linotype" w:hAnsi="Palatino Linotype" w:cs="Palatino Linotype"/>
                <w:b/>
                <w:sz w:val="18"/>
                <w:szCs w:val="18"/>
                <w:lang w:eastAsia="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6085" w:type="dxa"/>
          </w:tcPr>
          <w:p w:rsidR="00F04801" w:rsidRPr="002E4E51" w:rsidRDefault="00F04801" w:rsidP="00DE7B66">
            <w:pPr>
              <w:spacing w:before="100" w:after="200" w:line="276" w:lineRule="auto"/>
              <w:rPr>
                <w:rFonts w:ascii="Calibri" w:eastAsia="Calibri" w:hAnsi="Calibri"/>
                <w:sz w:val="20"/>
                <w:szCs w:val="20"/>
                <w:lang w:val="es-MX" w:eastAsia="en-US"/>
              </w:rPr>
            </w:pPr>
            <w:r w:rsidRPr="002E4E51">
              <w:object w:dxaOrig="9360" w:dyaOrig="7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44.5pt" o:ole="">
                  <v:imagedata r:id="rId8" o:title=""/>
                </v:shape>
                <o:OLEObject Type="Embed" ProgID="PBrush" ShapeID="_x0000_i1025" DrawAspect="Content" ObjectID="_1699960911" r:id="rId9"/>
              </w:object>
            </w:r>
          </w:p>
        </w:tc>
        <w:tc>
          <w:tcPr>
            <w:tcW w:w="1221" w:type="dxa"/>
          </w:tcPr>
          <w:p w:rsidR="00F04801" w:rsidRPr="002E4E51" w:rsidRDefault="00F04801" w:rsidP="00DE7B66">
            <w:pPr>
              <w:spacing w:before="100" w:after="200" w:line="276" w:lineRule="auto"/>
              <w:jc w:val="center"/>
              <w:rPr>
                <w:rFonts w:ascii="Palatino Linotype" w:eastAsia="Calibri" w:hAnsi="Palatino Linotype"/>
                <w:b/>
                <w:szCs w:val="20"/>
                <w:lang w:val="es-MX" w:eastAsia="en-US"/>
              </w:rPr>
            </w:pPr>
            <w:r w:rsidRPr="002E4E51">
              <w:rPr>
                <w:rFonts w:ascii="Palatino Linotype" w:eastAsia="Calibri" w:hAnsi="Palatino Linotype"/>
                <w:b/>
                <w:szCs w:val="20"/>
                <w:lang w:val="es-MX" w:eastAsia="en-US"/>
              </w:rPr>
              <w:t>Si</w:t>
            </w:r>
          </w:p>
          <w:p w:rsidR="00F04801" w:rsidRPr="002E4E51" w:rsidRDefault="00F04801" w:rsidP="00DE7B66">
            <w:pPr>
              <w:spacing w:before="100" w:after="200" w:line="276" w:lineRule="auto"/>
              <w:jc w:val="center"/>
              <w:rPr>
                <w:rFonts w:ascii="Palatino Linotype" w:eastAsia="Calibri" w:hAnsi="Palatino Linotype"/>
                <w:b/>
                <w:sz w:val="16"/>
                <w:szCs w:val="16"/>
                <w:lang w:val="es-MX" w:eastAsia="en-US"/>
              </w:rPr>
            </w:pPr>
            <w:r w:rsidRPr="002E4E51">
              <w:rPr>
                <w:rFonts w:ascii="Palatino Linotype" w:eastAsia="Calibri" w:hAnsi="Palatino Linotype"/>
                <w:b/>
                <w:sz w:val="16"/>
                <w:szCs w:val="16"/>
                <w:lang w:val="es-MX" w:eastAsia="en-US"/>
              </w:rPr>
              <w:t xml:space="preserve">(SE CITA PERO NO RESULTA APLICABLE) </w:t>
            </w:r>
          </w:p>
          <w:p w:rsidR="00F04801" w:rsidRPr="002E4E51" w:rsidRDefault="00F04801" w:rsidP="00DE7B66">
            <w:pPr>
              <w:spacing w:before="100" w:after="200" w:line="276" w:lineRule="auto"/>
              <w:jc w:val="center"/>
              <w:rPr>
                <w:rFonts w:ascii="Palatino Linotype" w:eastAsia="Calibri" w:hAnsi="Palatino Linotype"/>
                <w:b/>
                <w:sz w:val="20"/>
                <w:szCs w:val="20"/>
                <w:lang w:val="es-MX" w:eastAsia="en-US"/>
              </w:rPr>
            </w:pPr>
          </w:p>
        </w:tc>
      </w:tr>
      <w:tr w:rsidR="00F04801" w:rsidRPr="002E4E51" w:rsidTr="00DE7B66">
        <w:tc>
          <w:tcPr>
            <w:tcW w:w="1189" w:type="dxa"/>
          </w:tcPr>
          <w:p w:rsidR="00F04801" w:rsidRPr="002E4E51" w:rsidRDefault="00F04801" w:rsidP="00DE7B66">
            <w:pPr>
              <w:spacing w:before="100" w:after="200" w:line="276" w:lineRule="auto"/>
              <w:jc w:val="center"/>
              <w:rPr>
                <w:rFonts w:ascii="Palatino Linotype" w:eastAsia="Calibri" w:hAnsi="Palatino Linotype"/>
                <w:sz w:val="18"/>
                <w:szCs w:val="18"/>
                <w:lang w:val="es-MX" w:eastAsia="en-US"/>
              </w:rPr>
            </w:pPr>
            <w:r w:rsidRPr="002E4E51">
              <w:rPr>
                <w:rFonts w:ascii="Palatino Linotype" w:eastAsia="Palatino Linotype" w:hAnsi="Palatino Linotype" w:cs="Palatino Linotype"/>
                <w:b/>
                <w:sz w:val="18"/>
                <w:szCs w:val="18"/>
                <w:lang w:eastAsia="es-MX"/>
              </w:rPr>
              <w:lastRenderedPageBreak/>
              <w:t>Fundamento y Motivación Legal</w:t>
            </w:r>
          </w:p>
        </w:tc>
        <w:tc>
          <w:tcPr>
            <w:tcW w:w="6085" w:type="dxa"/>
          </w:tcPr>
          <w:p w:rsidR="00F04801" w:rsidRPr="002E4E51" w:rsidRDefault="00DE7B66" w:rsidP="00DE7B66">
            <w:pPr>
              <w:spacing w:before="100" w:after="200" w:line="276" w:lineRule="auto"/>
              <w:rPr>
                <w:rFonts w:ascii="Calibri" w:eastAsia="Calibri" w:hAnsi="Calibri"/>
                <w:sz w:val="20"/>
                <w:szCs w:val="20"/>
                <w:lang w:val="es-MX" w:eastAsia="en-US"/>
              </w:rPr>
            </w:pPr>
            <w:r w:rsidRPr="002E4E51">
              <w:object w:dxaOrig="7860" w:dyaOrig="11010">
                <v:shape id="_x0000_i1026" type="#_x0000_t75" style="width:291pt;height:407.25pt" o:ole="">
                  <v:imagedata r:id="rId10" o:title=""/>
                </v:shape>
                <o:OLEObject Type="Embed" ProgID="PBrush" ShapeID="_x0000_i1026" DrawAspect="Content" ObjectID="_1699960912" r:id="rId11"/>
              </w:object>
            </w:r>
          </w:p>
        </w:tc>
        <w:tc>
          <w:tcPr>
            <w:tcW w:w="1221" w:type="dxa"/>
          </w:tcPr>
          <w:p w:rsidR="00F04801" w:rsidRPr="002E4E51" w:rsidRDefault="00F04801" w:rsidP="00DE7B66">
            <w:pPr>
              <w:spacing w:before="100" w:after="200" w:line="276" w:lineRule="auto"/>
              <w:jc w:val="center"/>
              <w:rPr>
                <w:rFonts w:ascii="Palatino Linotype" w:eastAsia="Calibri" w:hAnsi="Palatino Linotype"/>
                <w:b/>
                <w:sz w:val="20"/>
                <w:szCs w:val="20"/>
                <w:lang w:val="es-MX" w:eastAsia="en-US"/>
              </w:rPr>
            </w:pPr>
            <w:r w:rsidRPr="002E4E51">
              <w:rPr>
                <w:rFonts w:ascii="Palatino Linotype" w:eastAsia="Calibri" w:hAnsi="Palatino Linotype"/>
                <w:b/>
                <w:sz w:val="20"/>
                <w:szCs w:val="20"/>
                <w:lang w:val="es-MX" w:eastAsia="en-US"/>
              </w:rPr>
              <w:t>Parcialmente</w:t>
            </w:r>
          </w:p>
        </w:tc>
      </w:tr>
      <w:tr w:rsidR="00F04801" w:rsidRPr="002E4E51" w:rsidTr="00DE7B66">
        <w:tc>
          <w:tcPr>
            <w:tcW w:w="1189" w:type="dxa"/>
          </w:tcPr>
          <w:p w:rsidR="00F04801" w:rsidRPr="002E4E51" w:rsidRDefault="00F04801" w:rsidP="00DE7B66">
            <w:pPr>
              <w:spacing w:before="100" w:after="200" w:line="276" w:lineRule="auto"/>
              <w:rPr>
                <w:rFonts w:ascii="Palatino Linotype" w:eastAsia="Palatino Linotype" w:hAnsi="Palatino Linotype" w:cs="Palatino Linotype"/>
                <w:b/>
                <w:sz w:val="16"/>
                <w:szCs w:val="16"/>
                <w:lang w:eastAsia="es-MX"/>
              </w:rPr>
            </w:pPr>
            <w:r w:rsidRPr="002E4E51">
              <w:rPr>
                <w:rFonts w:ascii="Palatino Linotype" w:eastAsia="Palatino Linotype" w:hAnsi="Palatino Linotype" w:cs="Palatino Linotype"/>
                <w:b/>
                <w:sz w:val="16"/>
                <w:szCs w:val="16"/>
                <w:lang w:eastAsia="es-MX"/>
              </w:rPr>
              <w:lastRenderedPageBreak/>
              <w:t>Conexión entre los fundamentos y motivos que dieron origen a la Reserva de la información</w:t>
            </w:r>
          </w:p>
        </w:tc>
        <w:tc>
          <w:tcPr>
            <w:tcW w:w="6085" w:type="dxa"/>
          </w:tcPr>
          <w:p w:rsidR="00F04801" w:rsidRPr="002E4E51" w:rsidRDefault="00DE7B66" w:rsidP="00DE7B66">
            <w:pPr>
              <w:spacing w:before="100" w:after="200" w:line="276" w:lineRule="auto"/>
              <w:rPr>
                <w:rFonts w:ascii="Calibri" w:eastAsia="Calibri" w:hAnsi="Calibri"/>
                <w:sz w:val="20"/>
                <w:szCs w:val="20"/>
                <w:lang w:val="es-MX" w:eastAsia="en-US"/>
              </w:rPr>
            </w:pPr>
            <w:r w:rsidRPr="002E4E51">
              <w:object w:dxaOrig="8280" w:dyaOrig="10650">
                <v:shape id="_x0000_i1027" type="#_x0000_t75" style="width:311.25pt;height:399.75pt" o:ole="">
                  <v:imagedata r:id="rId12" o:title=""/>
                </v:shape>
                <o:OLEObject Type="Embed" ProgID="PBrush" ShapeID="_x0000_i1027" DrawAspect="Content" ObjectID="_1699960913" r:id="rId13"/>
              </w:object>
            </w:r>
          </w:p>
        </w:tc>
        <w:tc>
          <w:tcPr>
            <w:tcW w:w="1221" w:type="dxa"/>
          </w:tcPr>
          <w:p w:rsidR="00F04801" w:rsidRPr="002E4E51" w:rsidRDefault="00F04801" w:rsidP="00DE7B66">
            <w:pPr>
              <w:spacing w:before="100" w:after="200" w:line="276" w:lineRule="auto"/>
              <w:jc w:val="center"/>
              <w:rPr>
                <w:rFonts w:ascii="Palatino Linotype" w:eastAsia="Calibri" w:hAnsi="Palatino Linotype"/>
                <w:b/>
                <w:sz w:val="20"/>
                <w:szCs w:val="20"/>
                <w:lang w:val="es-MX" w:eastAsia="en-US"/>
              </w:rPr>
            </w:pPr>
            <w:r w:rsidRPr="002E4E51">
              <w:rPr>
                <w:rFonts w:ascii="Palatino Linotype" w:eastAsia="Calibri" w:hAnsi="Palatino Linotype"/>
                <w:b/>
                <w:szCs w:val="20"/>
                <w:lang w:val="es-MX" w:eastAsia="en-US"/>
              </w:rPr>
              <w:t>No</w:t>
            </w:r>
          </w:p>
        </w:tc>
      </w:tr>
      <w:tr w:rsidR="00F04801" w:rsidRPr="002E4E51" w:rsidTr="00DE7B66">
        <w:tc>
          <w:tcPr>
            <w:tcW w:w="8495" w:type="dxa"/>
            <w:gridSpan w:val="3"/>
            <w:shd w:val="clear" w:color="auto" w:fill="7B7B7B" w:themeFill="accent3" w:themeFillShade="BF"/>
          </w:tcPr>
          <w:p w:rsidR="00F04801" w:rsidRPr="002E4E51" w:rsidRDefault="00F04801" w:rsidP="00DE7B66">
            <w:pPr>
              <w:spacing w:before="100" w:after="200" w:line="276" w:lineRule="auto"/>
              <w:jc w:val="center"/>
              <w:rPr>
                <w:rFonts w:ascii="Palatino Linotype" w:eastAsia="Calibri" w:hAnsi="Palatino Linotype"/>
                <w:b/>
                <w:szCs w:val="20"/>
                <w:lang w:val="es-MX" w:eastAsia="en-US"/>
              </w:rPr>
            </w:pPr>
            <w:r w:rsidRPr="002E4E51">
              <w:rPr>
                <w:rFonts w:ascii="Palatino Linotype" w:eastAsia="Calibri" w:hAnsi="Palatino Linotype"/>
                <w:b/>
                <w:color w:val="FFFFFF" w:themeColor="background1"/>
                <w:sz w:val="22"/>
                <w:szCs w:val="20"/>
                <w:lang w:val="es-MX" w:eastAsia="en-US"/>
              </w:rPr>
              <w:t>Elementos de la prueba de daño</w:t>
            </w:r>
          </w:p>
        </w:tc>
      </w:tr>
      <w:tr w:rsidR="00F04801" w:rsidRPr="002E4E51" w:rsidTr="00DE7B66">
        <w:tc>
          <w:tcPr>
            <w:tcW w:w="1189" w:type="dxa"/>
            <w:shd w:val="clear" w:color="auto" w:fill="auto"/>
          </w:tcPr>
          <w:p w:rsidR="00F04801" w:rsidRPr="002E4E51" w:rsidRDefault="00F04801" w:rsidP="00DE7B66">
            <w:pPr>
              <w:spacing w:after="120" w:line="259" w:lineRule="auto"/>
              <w:jc w:val="center"/>
              <w:rPr>
                <w:rFonts w:ascii="Palatino Linotype" w:eastAsia="Palatino Linotype" w:hAnsi="Palatino Linotype" w:cs="Palatino Linotype"/>
                <w:b/>
                <w:sz w:val="16"/>
                <w:szCs w:val="16"/>
                <w:lang w:eastAsia="es-MX"/>
              </w:rPr>
            </w:pPr>
            <w:r w:rsidRPr="002E4E51">
              <w:rPr>
                <w:rFonts w:ascii="Palatino Linotype" w:eastAsia="Palatino Linotype" w:hAnsi="Palatino Linotype" w:cs="Palatino Linotype"/>
                <w:b/>
                <w:sz w:val="16"/>
                <w:szCs w:val="16"/>
                <w:lang w:eastAsia="es-MX"/>
              </w:rPr>
              <w:lastRenderedPageBreak/>
              <w:t>Riesgo Real, Demostrable e Identificable</w:t>
            </w:r>
          </w:p>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Palatino Linotype" w:hAnsi="Palatino Linotype" w:cs="Palatino Linotype"/>
                <w:b/>
                <w:sz w:val="16"/>
                <w:szCs w:val="16"/>
                <w:lang w:eastAsia="es-MX"/>
              </w:rPr>
              <w:t>(Modo, Tiempo y Lugar)</w:t>
            </w:r>
          </w:p>
        </w:tc>
        <w:tc>
          <w:tcPr>
            <w:tcW w:w="6085"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object w:dxaOrig="9060" w:dyaOrig="11475">
                <v:shape id="_x0000_i1028" type="#_x0000_t75" style="width:316.5pt;height:400.5pt" o:ole="">
                  <v:imagedata r:id="rId14" o:title=""/>
                </v:shape>
                <o:OLEObject Type="Embed" ProgID="PBrush" ShapeID="_x0000_i1028" DrawAspect="Content" ObjectID="_1699960914" r:id="rId15"/>
              </w:object>
            </w:r>
          </w:p>
        </w:tc>
        <w:tc>
          <w:tcPr>
            <w:tcW w:w="1221"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000000" w:themeColor="text1"/>
                <w:sz w:val="22"/>
                <w:szCs w:val="20"/>
                <w:lang w:val="es-MX" w:eastAsia="en-US"/>
              </w:rPr>
              <w:t>No</w:t>
            </w:r>
          </w:p>
        </w:tc>
      </w:tr>
      <w:tr w:rsidR="00F04801" w:rsidRPr="002E4E51" w:rsidTr="00DE7B66">
        <w:tc>
          <w:tcPr>
            <w:tcW w:w="1189"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Palatino Linotype" w:hAnsi="Palatino Linotype" w:cs="Palatino Linotype"/>
                <w:b/>
                <w:sz w:val="16"/>
                <w:szCs w:val="16"/>
                <w:lang w:eastAsia="es-MX"/>
              </w:rPr>
              <w:t>Temporalidad de la Reserva de la información</w:t>
            </w:r>
          </w:p>
        </w:tc>
        <w:tc>
          <w:tcPr>
            <w:tcW w:w="6085"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object w:dxaOrig="7665" w:dyaOrig="1620">
                <v:shape id="_x0000_i1029" type="#_x0000_t75" style="width:383.25pt;height:81pt" o:ole="">
                  <v:imagedata r:id="rId16" o:title=""/>
                </v:shape>
                <o:OLEObject Type="Embed" ProgID="PBrush" ShapeID="_x0000_i1029" DrawAspect="Content" ObjectID="_1699960915" r:id="rId17"/>
              </w:object>
            </w:r>
          </w:p>
        </w:tc>
        <w:tc>
          <w:tcPr>
            <w:tcW w:w="1221"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000000" w:themeColor="text1"/>
                <w:szCs w:val="20"/>
                <w:lang w:val="es-MX" w:eastAsia="en-US"/>
              </w:rPr>
              <w:t>Si</w:t>
            </w:r>
          </w:p>
        </w:tc>
      </w:tr>
      <w:tr w:rsidR="00F04801" w:rsidRPr="002E4E51" w:rsidTr="00DE7B66">
        <w:tc>
          <w:tcPr>
            <w:tcW w:w="1189"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Palatino Linotype" w:hAnsi="Palatino Linotype" w:cs="Palatino Linotype"/>
                <w:b/>
                <w:sz w:val="16"/>
                <w:szCs w:val="16"/>
                <w:lang w:eastAsia="es-MX"/>
              </w:rPr>
              <w:lastRenderedPageBreak/>
              <w:t>Autoridades competentes.</w:t>
            </w:r>
          </w:p>
        </w:tc>
        <w:tc>
          <w:tcPr>
            <w:tcW w:w="6085" w:type="dxa"/>
            <w:shd w:val="clear" w:color="auto" w:fill="auto"/>
          </w:tcPr>
          <w:p w:rsidR="00F04801" w:rsidRPr="002E4E51" w:rsidRDefault="00F04801" w:rsidP="00DE7B66">
            <w:pPr>
              <w:spacing w:before="100" w:after="200" w:line="276" w:lineRule="auto"/>
              <w:jc w:val="center"/>
            </w:pPr>
          </w:p>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p>
        </w:tc>
        <w:tc>
          <w:tcPr>
            <w:tcW w:w="1221" w:type="dxa"/>
            <w:shd w:val="clear" w:color="auto" w:fill="auto"/>
          </w:tcPr>
          <w:p w:rsidR="00F04801" w:rsidRPr="002E4E51" w:rsidRDefault="00F04801" w:rsidP="00DE7B66">
            <w:pPr>
              <w:spacing w:before="100" w:after="200" w:line="276" w:lineRule="auto"/>
              <w:jc w:val="center"/>
              <w:rPr>
                <w:rFonts w:ascii="Palatino Linotype" w:eastAsia="Calibri" w:hAnsi="Palatino Linotype"/>
                <w:b/>
                <w:color w:val="FFFFFF" w:themeColor="background1"/>
                <w:sz w:val="22"/>
                <w:szCs w:val="20"/>
                <w:lang w:val="es-MX" w:eastAsia="en-US"/>
              </w:rPr>
            </w:pPr>
            <w:r w:rsidRPr="002E4E51">
              <w:rPr>
                <w:rFonts w:ascii="Palatino Linotype" w:eastAsia="Calibri" w:hAnsi="Palatino Linotype"/>
                <w:b/>
                <w:color w:val="000000" w:themeColor="text1"/>
                <w:sz w:val="22"/>
                <w:szCs w:val="20"/>
                <w:lang w:val="es-MX" w:eastAsia="en-US"/>
              </w:rPr>
              <w:t>Si</w:t>
            </w:r>
          </w:p>
        </w:tc>
      </w:tr>
    </w:tbl>
    <w:p w:rsidR="00F04801" w:rsidRPr="002E4E51" w:rsidRDefault="00F04801" w:rsidP="00F04801">
      <w:pPr>
        <w:spacing w:before="100" w:after="200" w:line="276" w:lineRule="auto"/>
        <w:rPr>
          <w:rFonts w:ascii="Calibri" w:eastAsia="Calibri" w:hAnsi="Calibri"/>
          <w:sz w:val="20"/>
          <w:szCs w:val="20"/>
          <w:lang w:val="es-MX" w:eastAsia="en-US"/>
        </w:rPr>
      </w:pPr>
    </w:p>
    <w:p w:rsidR="00963D3C" w:rsidRPr="002E4E51" w:rsidRDefault="00963D3C" w:rsidP="004F78F2">
      <w:pPr>
        <w:spacing w:before="240" w:after="240" w:line="360" w:lineRule="auto"/>
        <w:jc w:val="both"/>
        <w:rPr>
          <w:rFonts w:ascii="Palatino Linotype" w:hAnsi="Palatino Linotype"/>
        </w:rPr>
      </w:pPr>
    </w:p>
    <w:p w:rsidR="00DE7B66" w:rsidRPr="002E4E51" w:rsidRDefault="00F04801" w:rsidP="00DE7B66">
      <w:pPr>
        <w:spacing w:before="240" w:after="240" w:line="360" w:lineRule="auto"/>
        <w:jc w:val="both"/>
        <w:rPr>
          <w:rFonts w:ascii="Palatino Linotype" w:hAnsi="Palatino Linotype"/>
        </w:rPr>
      </w:pPr>
      <w:r w:rsidRPr="002E4E51">
        <w:rPr>
          <w:rFonts w:ascii="Palatino Linotype" w:eastAsia="Palatino Linotype" w:hAnsi="Palatino Linotype" w:cs="Palatino Linotype"/>
          <w:lang w:eastAsia="es-MX"/>
        </w:rPr>
        <w:t xml:space="preserve">Como se vislumbró en páginas previas, el Sujeto Obligado, realizó la prueba de daño y precisó las razones por las cuales la apertura de la información generaría una afectación,  sin embargo, </w:t>
      </w:r>
      <w:r w:rsidRPr="002E4E51">
        <w:rPr>
          <w:rFonts w:ascii="Palatino Linotype" w:eastAsia="Palatino Linotype" w:hAnsi="Palatino Linotype" w:cs="Palatino Linotype"/>
          <w:b/>
          <w:u w:val="single"/>
          <w:lang w:eastAsia="es-MX"/>
        </w:rPr>
        <w:t>no refirió que su divulgación representa un riesgo real, demostrable e identificable,</w:t>
      </w:r>
      <w:r w:rsidRPr="002E4E51">
        <w:rPr>
          <w:rFonts w:ascii="Palatino Linotype" w:eastAsia="Palatino Linotype" w:hAnsi="Palatino Linotype" w:cs="Palatino Linotype"/>
          <w:lang w:eastAsia="es-MX"/>
        </w:rPr>
        <w:t xml:space="preserve"> ni se estableció que el perjuicio supera de momento el interés público general que pudiera existir sobre la información requerida, aunado a lo anterior debe mencionarse que este no está debidamente fundado, esto es, no encuadro correctamente la fracción de los artículos de la Ley General de Transparencia y la Ley de Transparencia Local, ya que como se puede apreciar pretende clasificar con la fracción XIII del artículo 113 de la Ley General de Transparencia y la fracción X del artículo 140 de la Ley Local de Transparencia</w:t>
      </w:r>
    </w:p>
    <w:p w:rsidR="00963D3C" w:rsidRPr="002E4E51" w:rsidRDefault="00F04801" w:rsidP="00DE7B66">
      <w:pPr>
        <w:spacing w:line="360" w:lineRule="auto"/>
        <w:jc w:val="both"/>
        <w:rPr>
          <w:rFonts w:ascii="Palatino Linotype" w:hAnsi="Palatino Linotype" w:cs="Arial"/>
          <w:b/>
          <w:bCs/>
          <w:i/>
          <w:lang w:val="es-MX" w:eastAsia="es-MX"/>
        </w:rPr>
      </w:pPr>
      <w:r w:rsidRPr="002E4E51">
        <w:rPr>
          <w:rFonts w:ascii="Palatino Linotype" w:hAnsi="Palatino Linotype"/>
        </w:rPr>
        <w:t xml:space="preserve">Asimismo debe precisarse que mediante </w:t>
      </w:r>
      <w:r w:rsidRPr="002E4E51">
        <w:rPr>
          <w:rFonts w:ascii="Palatino Linotype" w:hAnsi="Palatino Linotype" w:cs="Arial"/>
          <w:bCs/>
          <w:lang w:val="es-MX" w:eastAsia="es-MX"/>
        </w:rPr>
        <w:t>el</w:t>
      </w:r>
      <w:r w:rsidR="00DE7B66" w:rsidRPr="002E4E51">
        <w:rPr>
          <w:rFonts w:ascii="Palatino Linotype" w:hAnsi="Palatino Linotype" w:cs="Arial"/>
          <w:bCs/>
          <w:lang w:val="es-MX" w:eastAsia="es-MX"/>
        </w:rPr>
        <w:t xml:space="preserve"> acuerdo CT/SM/A/01/2021 contenido en el </w:t>
      </w:r>
      <w:r w:rsidRPr="002E4E51">
        <w:rPr>
          <w:rFonts w:ascii="Palatino Linotype" w:hAnsi="Palatino Linotype" w:cs="Arial"/>
          <w:bCs/>
          <w:lang w:val="es-MX" w:eastAsia="es-MX"/>
        </w:rPr>
        <w:t xml:space="preserve"> Acta del Comité de Transparencia de la Secretaría de Movilidad del Estado de México</w:t>
      </w:r>
      <w:r w:rsidR="00DE7B66" w:rsidRPr="002E4E51">
        <w:rPr>
          <w:rFonts w:ascii="Palatino Linotype" w:hAnsi="Palatino Linotype" w:cs="Arial"/>
          <w:b/>
          <w:bCs/>
          <w:i/>
          <w:lang w:val="es-MX" w:eastAsia="es-MX"/>
        </w:rPr>
        <w:t xml:space="preserve">, </w:t>
      </w:r>
      <w:r w:rsidR="00DE7B66" w:rsidRPr="002E4E51">
        <w:rPr>
          <w:rFonts w:ascii="Palatino Linotype" w:hAnsi="Palatino Linotype" w:cs="Arial"/>
          <w:b/>
          <w:bCs/>
          <w:lang w:val="es-MX" w:eastAsia="es-MX"/>
        </w:rPr>
        <w:t>suponiendo sin conceder que fueran clasificadas l</w:t>
      </w:r>
      <w:r w:rsidR="00DE7B66" w:rsidRPr="002E4E51">
        <w:rPr>
          <w:rFonts w:ascii="Palatino Linotype" w:hAnsi="Palatino Linotype"/>
          <w:b/>
        </w:rPr>
        <w:t>as</w:t>
      </w:r>
      <w:r w:rsidR="00DE7B66" w:rsidRPr="002E4E51">
        <w:rPr>
          <w:rFonts w:ascii="Palatino Linotype" w:hAnsi="Palatino Linotype"/>
        </w:rPr>
        <w:t xml:space="preserve"> documentales relacionadas con las actualizaciones que el Sujeto Obligado se encuentra llevando a cabo con motivo de la regularización y mejora del servicio de transporte público</w:t>
      </w:r>
      <w:r w:rsidRPr="002E4E51">
        <w:rPr>
          <w:rFonts w:ascii="Palatino Linotype" w:hAnsi="Palatino Linotype"/>
        </w:rPr>
        <w:t xml:space="preserve">, no así, </w:t>
      </w:r>
      <w:r w:rsidR="00DE7B66" w:rsidRPr="002E4E51">
        <w:rPr>
          <w:rFonts w:ascii="Palatino Linotype" w:hAnsi="Palatino Linotype"/>
        </w:rPr>
        <w:t xml:space="preserve">los oficios que dan cuenta </w:t>
      </w:r>
      <w:r w:rsidR="00DE7B66" w:rsidRPr="002E4E51">
        <w:rPr>
          <w:rFonts w:ascii="Palatino Linotype" w:eastAsia="Calibri" w:hAnsi="Palatino Linotype"/>
          <w:lang w:val="es-MX" w:eastAsia="en-US"/>
        </w:rPr>
        <w:t xml:space="preserve">de autorizaciones  de derroteros de la empresa; Unión de transportistas de servicios colectivos  y automóviles  de alquiler de Coacalco y Estado de  México  S.A.  </w:t>
      </w:r>
      <w:proofErr w:type="gramStart"/>
      <w:r w:rsidR="00DE7B66" w:rsidRPr="002E4E51">
        <w:rPr>
          <w:rFonts w:ascii="Palatino Linotype" w:eastAsia="Calibri" w:hAnsi="Palatino Linotype"/>
          <w:lang w:val="es-MX" w:eastAsia="en-US"/>
        </w:rPr>
        <w:t>de</w:t>
      </w:r>
      <w:proofErr w:type="gramEnd"/>
      <w:r w:rsidR="00DE7B66" w:rsidRPr="002E4E51">
        <w:rPr>
          <w:rFonts w:ascii="Palatino Linotype" w:eastAsia="Calibri" w:hAnsi="Palatino Linotype"/>
          <w:lang w:val="es-MX" w:eastAsia="en-US"/>
        </w:rPr>
        <w:t xml:space="preserve">  C.V máxime que </w:t>
      </w:r>
      <w:r w:rsidR="00DE7B66" w:rsidRPr="002E4E51">
        <w:rPr>
          <w:rFonts w:ascii="Palatino Linotype" w:eastAsia="Calibri" w:hAnsi="Palatino Linotype"/>
          <w:b/>
          <w:lang w:val="es-MX" w:eastAsia="en-US"/>
        </w:rPr>
        <w:t xml:space="preserve">el SUJETO OBLIGADO no acredita </w:t>
      </w:r>
      <w:r w:rsidR="00DE7B66" w:rsidRPr="002E4E51">
        <w:rPr>
          <w:rFonts w:ascii="Palatino Linotype" w:eastAsia="Calibri" w:hAnsi="Palatino Linotype"/>
          <w:b/>
          <w:lang w:val="es-MX" w:eastAsia="en-US"/>
        </w:rPr>
        <w:lastRenderedPageBreak/>
        <w:t>algún procedimientos administrativo en el que se vea involucrada la persona moral o empresa con motivo de los citados oficios que otorgan las autorizaciones</w:t>
      </w:r>
      <w:r w:rsidR="00DE7B66" w:rsidRPr="002E4E51">
        <w:rPr>
          <w:rFonts w:ascii="Palatino Linotype" w:eastAsia="Calibri" w:hAnsi="Palatino Linotype"/>
          <w:lang w:val="es-MX" w:eastAsia="en-US"/>
        </w:rPr>
        <w:t xml:space="preserve">. </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b/>
        </w:rPr>
      </w:pPr>
      <w:r w:rsidRPr="002E4E51">
        <w:rPr>
          <w:rFonts w:ascii="Palatino Linotype" w:hAnsi="Palatino Linotype"/>
          <w:b/>
          <w:u w:val="single"/>
        </w:rPr>
        <w:t>Además, no se estima como razón suficiente que se argumente que hay irregularidades en el transporte público dado a que es obligación por parte del Sujeto Obligado que las concesiones otorgadas se encuentren vigentes para la prestación del servicio público, aunado a que si hay prestación de dicho servicio de manera irregular, la publicidad del documento pretendido ayudaría a transparentar los derroteros y rutas autorizadas a efecto de otorgar certeza a la población en general de los actos de autoridad ejercidos por el ente ahora recurrido</w:t>
      </w:r>
      <w:r w:rsidRPr="002E4E51">
        <w:rPr>
          <w:rFonts w:ascii="Palatino Linotype" w:hAnsi="Palatino Linotype"/>
          <w:b/>
        </w:rPr>
        <w:t xml:space="preserve">. </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b/>
          <w:u w:val="single"/>
        </w:rPr>
      </w:pPr>
      <w:r w:rsidRPr="002E4E51">
        <w:rPr>
          <w:rFonts w:ascii="Palatino Linotype" w:hAnsi="Palatino Linotype"/>
          <w:b/>
          <w:u w:val="single"/>
        </w:rPr>
        <w:t>De ahí que no se considere que de acuerdo con el Programa del Ordenamiento del Transporte Público, la revelación del documento que se requiere afectaría gravemente la vialidad social, puesto que se reitera se trata de autorizaciones las cuales la secretaria de movilidad no acredito que estuvieran sujeta a algún procedimiento administrativo llevado en forma de juicio, por lo que contrario a lo manifestado, el hacer publica dicha información, ayudaría a verificación del cumplimiento efectivo de dichas rutas por parte de los concesionarios del transporte público.</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t xml:space="preserve">En ese contexto, dado el argumento referente a que algunas empresas morales se encuentran realizando el cambio de régimen jurídico de Asociación Civil a Sociedad </w:t>
      </w:r>
      <w:r w:rsidRPr="002E4E51">
        <w:rPr>
          <w:rFonts w:ascii="Palatino Linotype" w:hAnsi="Palatino Linotype"/>
        </w:rPr>
        <w:lastRenderedPageBreak/>
        <w:t>Anónima, es necesario indicar que no se requiere información respecto a los documentos de las empresas con los cuales se está realizando dichos cambios, sino la información que se requiere es únicamente los oficios a través de los cuales autorizaron a  la empresa citada en la solicitud de información, por lo que dicho argumento resulta improcedente.</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t>Ahora bien, por cuanto hace a que derivado de la Auditoría de Desempeño al ejercicio fiscal 2015, realizada por el Órgano Superior de Fiscalización del Estado de México a la Secretaría de Movilidad del Gobierno del Estado de México, en específico del Programa denominado Modernización del Transporte Terrestre, a través de la Cédula AEEP/SEPE/AD03/CA06/2016, donde se recomendó lo siguiente</w:t>
      </w:r>
    </w:p>
    <w:p w:rsidR="00DE7B66" w:rsidRPr="002E4E51" w:rsidRDefault="00DE7B66" w:rsidP="00DE7B66">
      <w:pPr>
        <w:shd w:val="clear" w:color="auto" w:fill="FFFFFF" w:themeFill="background1"/>
        <w:spacing w:before="240" w:after="240"/>
        <w:ind w:left="1416"/>
        <w:jc w:val="both"/>
        <w:rPr>
          <w:rFonts w:ascii="Palatino Linotype" w:hAnsi="Palatino Linotype"/>
        </w:rPr>
      </w:pPr>
      <w:r w:rsidRPr="002E4E51">
        <w:rPr>
          <w:rFonts w:ascii="Palatino Linotype" w:hAnsi="Palatino Linotype"/>
        </w:rPr>
        <w:t>Homologar el sistema empleado en las cuatro zonas para la generación y actualización del registro gráfico o mapeo, en el cual se identifiquen los tipos de mapas.</w:t>
      </w:r>
    </w:p>
    <w:p w:rsidR="00DE7B66" w:rsidRPr="002E4E51" w:rsidRDefault="00DE7B66" w:rsidP="00DE7B66">
      <w:pPr>
        <w:shd w:val="clear" w:color="auto" w:fill="FFFFFF" w:themeFill="background1"/>
        <w:spacing w:before="240" w:after="240"/>
        <w:ind w:left="1416"/>
        <w:jc w:val="both"/>
        <w:rPr>
          <w:rFonts w:ascii="Palatino Linotype" w:hAnsi="Palatino Linotype"/>
        </w:rPr>
      </w:pPr>
      <w:r w:rsidRPr="002E4E51">
        <w:rPr>
          <w:rFonts w:ascii="Palatino Linotype" w:hAnsi="Palatino Linotype"/>
        </w:rPr>
        <w:t xml:space="preserve">Revisar y adecuar los trámites de autorizaciones de bases, sitios, derroteros y lanzaderas, en los que participan diversas áreas. </w:t>
      </w:r>
    </w:p>
    <w:p w:rsidR="00DE7B66" w:rsidRPr="002E4E51" w:rsidRDefault="00DE7B66" w:rsidP="00DE7B66">
      <w:pPr>
        <w:spacing w:line="360" w:lineRule="auto"/>
        <w:jc w:val="both"/>
        <w:rPr>
          <w:rFonts w:ascii="Palatino Linotype" w:hAnsi="Palatino Linotype"/>
        </w:rPr>
      </w:pPr>
    </w:p>
    <w:p w:rsidR="00C729CE" w:rsidRPr="002E4E51" w:rsidRDefault="00DE7B66" w:rsidP="00DE7B66">
      <w:pPr>
        <w:spacing w:line="360" w:lineRule="auto"/>
        <w:jc w:val="both"/>
        <w:rPr>
          <w:rFonts w:ascii="Palatino Linotype" w:hAnsi="Palatino Linotype"/>
          <w:b/>
        </w:rPr>
      </w:pPr>
      <w:r w:rsidRPr="002E4E51">
        <w:rPr>
          <w:rFonts w:ascii="Palatino Linotype" w:hAnsi="Palatino Linotype"/>
          <w:b/>
        </w:rPr>
        <w:t xml:space="preserve">Se trata de observaciones </w:t>
      </w:r>
      <w:r w:rsidR="00C729CE" w:rsidRPr="002E4E51">
        <w:rPr>
          <w:rFonts w:ascii="Palatino Linotype" w:hAnsi="Palatino Linotype"/>
          <w:b/>
        </w:rPr>
        <w:t xml:space="preserve"> tendientes a mejorar el desempeño funcional de los procesos internos  administrativos,  no así a verificar la procedencia o improcedencia de las autorizaciones de derroteros  que ya fueron entregadas a la empresa </w:t>
      </w:r>
      <w:r w:rsidR="00C729CE" w:rsidRPr="002E4E51">
        <w:rPr>
          <w:rFonts w:ascii="Palatino Linotype" w:hAnsi="Palatino Linotype"/>
          <w:b/>
          <w:i/>
        </w:rPr>
        <w:t>Unión de transportistas de servicios colectivos y automóviles de alquiler de Coacalco y Estado de México S.A. de C. V.</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lastRenderedPageBreak/>
        <w:t xml:space="preserve">Importante también es mencionar que, a pesar de que el Sujeto Obligado indique como causales de clasificación como reservada que se desarrollan procedimientos administrativos, se insiste que no se requiere de algún número de identificación de estos o estatus, así como elementos que permitan ratificar o confirmar dicha clasificación, por encontrarse en tramitación. </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t xml:space="preserve">Es por lo anterior que, no </w:t>
      </w:r>
      <w:r w:rsidR="00C729CE" w:rsidRPr="002E4E51">
        <w:rPr>
          <w:rFonts w:ascii="Palatino Linotype" w:hAnsi="Palatino Linotype"/>
        </w:rPr>
        <w:t>resulta</w:t>
      </w:r>
      <w:r w:rsidRPr="002E4E51">
        <w:rPr>
          <w:rFonts w:ascii="Palatino Linotype" w:hAnsi="Palatino Linotype"/>
        </w:rPr>
        <w:t xml:space="preserve"> procedente la clasificación de la información </w:t>
      </w:r>
      <w:r w:rsidR="00C729CE" w:rsidRPr="002E4E51">
        <w:rPr>
          <w:rFonts w:ascii="Palatino Linotype" w:hAnsi="Palatino Linotype"/>
        </w:rPr>
        <w:t xml:space="preserve"> relacionada con los oficios con motivo de derroteros en favor de la empresa Unión de transportistas de servicios colectivos y automóviles de alquiler de Coacalco y Estado de México S.A. de C. V</w:t>
      </w:r>
      <w:r w:rsidRPr="002E4E51">
        <w:rPr>
          <w:rFonts w:ascii="Palatino Linotype" w:hAnsi="Palatino Linotype"/>
        </w:rPr>
        <w:t xml:space="preserve">, primando el interés colectivo de trasparentar el quehacer gubernamental y sus decisiones de tomas de decisión respecto de concesiones otorgadas para lo prestación del servicio de transporte público, siendo más relevante el dar a conocer el cómo se desarrollan dichas estrategias en la actualidad, sin que impida mejoras futuras por parte del ente gubernamental. </w:t>
      </w:r>
    </w:p>
    <w:p w:rsidR="005E20E3" w:rsidRPr="002E4E51" w:rsidRDefault="005E20E3" w:rsidP="00DE7B66">
      <w:pPr>
        <w:spacing w:line="360" w:lineRule="auto"/>
        <w:jc w:val="both"/>
        <w:rPr>
          <w:rFonts w:ascii="Palatino Linotype" w:hAnsi="Palatino Linotype"/>
        </w:rPr>
      </w:pPr>
    </w:p>
    <w:p w:rsidR="005E20E3" w:rsidRPr="002E4E51" w:rsidRDefault="005E20E3" w:rsidP="00DE7B66">
      <w:pPr>
        <w:spacing w:line="360" w:lineRule="auto"/>
        <w:jc w:val="both"/>
        <w:rPr>
          <w:rFonts w:ascii="Palatino Linotype" w:hAnsi="Palatino Linotype"/>
          <w:i/>
        </w:rPr>
      </w:pPr>
      <w:r w:rsidRPr="002E4E51">
        <w:rPr>
          <w:rFonts w:ascii="Palatino Linotype" w:hAnsi="Palatino Linotype"/>
        </w:rPr>
        <w:t xml:space="preserve">Finalmente, el particular se duele de </w:t>
      </w:r>
      <w:r w:rsidRPr="002E4E51">
        <w:rPr>
          <w:rFonts w:ascii="Palatino Linotype" w:hAnsi="Palatino Linotype"/>
          <w:i/>
        </w:rPr>
        <w:t>“…toda vez que la autoridad de transparencia al momento de emitir la respuesta a mi solicitud no me informó el derecho y plazo que la ley me concede para promover el recurso de revisión…”</w:t>
      </w:r>
    </w:p>
    <w:p w:rsidR="005E20E3" w:rsidRPr="002E4E51" w:rsidRDefault="005E20E3" w:rsidP="00DE7B66">
      <w:pPr>
        <w:spacing w:line="360" w:lineRule="auto"/>
        <w:jc w:val="both"/>
      </w:pPr>
    </w:p>
    <w:p w:rsidR="005E20E3" w:rsidRPr="002E4E51" w:rsidRDefault="005E20E3" w:rsidP="00DE7B66">
      <w:pPr>
        <w:spacing w:line="360" w:lineRule="auto"/>
        <w:jc w:val="both"/>
        <w:rPr>
          <w:rFonts w:ascii="Palatino Linotype" w:hAnsi="Palatino Linotype"/>
        </w:rPr>
      </w:pPr>
      <w:r w:rsidRPr="002E4E51">
        <w:rPr>
          <w:rFonts w:ascii="Palatino Linotype" w:hAnsi="Palatino Linotype"/>
        </w:rPr>
        <w:t>Al respecto, el artículo 177 de la Ley local en la materia refiere que, en las respuestas a las solicitudes de acceso a la información pública, las unidades de transparencia deberán informar a los interesados el derecho y plazo que tienen para promover recurso de revisión.</w:t>
      </w:r>
    </w:p>
    <w:p w:rsidR="005E20E3" w:rsidRPr="002E4E51" w:rsidRDefault="005E20E3" w:rsidP="00DE7B66">
      <w:pPr>
        <w:spacing w:line="360" w:lineRule="auto"/>
        <w:jc w:val="both"/>
        <w:rPr>
          <w:rFonts w:ascii="Palatino Linotype" w:hAnsi="Palatino Linotype"/>
        </w:rPr>
      </w:pPr>
    </w:p>
    <w:p w:rsidR="005E20E3" w:rsidRPr="002E4E51" w:rsidRDefault="005E20E3" w:rsidP="00DE7B66">
      <w:pPr>
        <w:spacing w:line="360" w:lineRule="auto"/>
        <w:jc w:val="both"/>
        <w:rPr>
          <w:rFonts w:ascii="Palatino Linotype" w:hAnsi="Palatino Linotype"/>
        </w:rPr>
      </w:pPr>
      <w:r w:rsidRPr="002E4E51">
        <w:rPr>
          <w:rFonts w:ascii="Palatino Linotype" w:hAnsi="Palatino Linotype"/>
        </w:rPr>
        <w:t>Así, del artículo transcrito se precisan dos cosas, por un lado la obligación de los SUJETO OBLIGADOS a  informar a los particulares el término que posee para efectos de recurrir una respuesta cuando consideran que la misma les causa algún agravio, y en segundo lugar, el derecho que tienen los particulares a ser informados sobre la posibilidad de acudir a través de un medio de impugnación ante la autoridad de revisión.</w:t>
      </w:r>
    </w:p>
    <w:p w:rsidR="005E20E3" w:rsidRPr="002E4E51" w:rsidRDefault="005E20E3" w:rsidP="00DE7B66">
      <w:pPr>
        <w:spacing w:line="360" w:lineRule="auto"/>
        <w:jc w:val="both"/>
        <w:rPr>
          <w:rFonts w:ascii="Palatino Linotype" w:hAnsi="Palatino Linotype"/>
        </w:rPr>
      </w:pPr>
      <w:r w:rsidRPr="002E4E51">
        <w:rPr>
          <w:rFonts w:ascii="Palatino Linotype" w:hAnsi="Palatino Linotype"/>
        </w:rPr>
        <w:t>Por lo anterior, si bien del análisis a los autos que obran en el expediente electrónico con motivo de la resp</w:t>
      </w:r>
      <w:r w:rsidR="0085767F" w:rsidRPr="002E4E51">
        <w:rPr>
          <w:rFonts w:ascii="Palatino Linotype" w:hAnsi="Palatino Linotype"/>
        </w:rPr>
        <w:t>uesta efectuada por la Secretarí</w:t>
      </w:r>
      <w:r w:rsidRPr="002E4E51">
        <w:rPr>
          <w:rFonts w:ascii="Palatino Linotype" w:hAnsi="Palatino Linotype"/>
        </w:rPr>
        <w:t xml:space="preserve">a de Movilidad, tal y como lo lamenta el particular, el SUJETO OBLIGADO no le informó sobre los plazos para recurrir la respuesta,  sin embargo dichas manifestaciones resultan intrascendentes pues no cambian el sentido de la resolución máxime que el recuso fue admitido y esta autoridad concedió el acceso a la información que es del interés del particular. </w:t>
      </w:r>
    </w:p>
    <w:p w:rsidR="005E20E3" w:rsidRPr="002E4E51" w:rsidRDefault="005E20E3" w:rsidP="00DE7B66">
      <w:pPr>
        <w:spacing w:line="360" w:lineRule="auto"/>
        <w:jc w:val="both"/>
        <w:rPr>
          <w:rFonts w:ascii="Palatino Linotype" w:hAnsi="Palatino Linotype"/>
        </w:rPr>
      </w:pPr>
    </w:p>
    <w:p w:rsidR="005E20E3" w:rsidRPr="002E4E51" w:rsidRDefault="005E20E3" w:rsidP="00DE7B66">
      <w:pPr>
        <w:spacing w:line="360" w:lineRule="auto"/>
        <w:jc w:val="both"/>
        <w:rPr>
          <w:rFonts w:ascii="Palatino Linotype" w:hAnsi="Palatino Linotype"/>
        </w:rPr>
      </w:pPr>
      <w:r w:rsidRPr="002E4E51">
        <w:rPr>
          <w:rFonts w:ascii="Palatino Linotype" w:hAnsi="Palatino Linotype"/>
        </w:rPr>
        <w:t>Sin menoscabo de</w:t>
      </w:r>
      <w:r w:rsidR="0085767F" w:rsidRPr="002E4E51">
        <w:rPr>
          <w:rFonts w:ascii="Palatino Linotype" w:hAnsi="Palatino Linotype"/>
        </w:rPr>
        <w:t xml:space="preserve"> lo anterior, se invita a la SU</w:t>
      </w:r>
      <w:r w:rsidRPr="002E4E51">
        <w:rPr>
          <w:rFonts w:ascii="Palatino Linotype" w:hAnsi="Palatino Linotype"/>
        </w:rPr>
        <w:t xml:space="preserve">JETO OBLIGADO observe el contenido y alcance del articulo 177 de la ley en la materia cuando den respuestas a las solicitudes de información a fin de garantizar el derecho de acceso a la información de la ciudadanía.  </w:t>
      </w:r>
    </w:p>
    <w:p w:rsidR="00DE7B66" w:rsidRPr="002E4E51" w:rsidRDefault="00DE7B66" w:rsidP="00DE7B66">
      <w:pPr>
        <w:spacing w:line="360" w:lineRule="auto"/>
        <w:jc w:val="both"/>
        <w:rPr>
          <w:rFonts w:ascii="Palatino Linotype" w:hAnsi="Palatino Linotype"/>
          <w:color w:val="FF0000"/>
        </w:rPr>
      </w:pP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t xml:space="preserve">Así, por lo expuesto con antelación se concluye que el </w:t>
      </w:r>
      <w:r w:rsidR="0085767F" w:rsidRPr="002E4E51">
        <w:rPr>
          <w:rFonts w:ascii="Palatino Linotype" w:hAnsi="Palatino Linotype"/>
        </w:rPr>
        <w:t xml:space="preserve">SUJETO OBLIGADO </w:t>
      </w:r>
      <w:r w:rsidR="00C729CE" w:rsidRPr="002E4E51">
        <w:rPr>
          <w:rFonts w:ascii="Palatino Linotype" w:hAnsi="Palatino Linotype"/>
        </w:rPr>
        <w:t xml:space="preserve">no </w:t>
      </w:r>
      <w:r w:rsidRPr="002E4E51">
        <w:rPr>
          <w:rFonts w:ascii="Palatino Linotype" w:hAnsi="Palatino Linotype"/>
        </w:rPr>
        <w:t xml:space="preserve">satisfizo el derecho de acceso a la información del </w:t>
      </w:r>
      <w:r w:rsidRPr="002E4E51">
        <w:rPr>
          <w:rFonts w:ascii="Palatino Linotype" w:hAnsi="Palatino Linotype"/>
          <w:b/>
        </w:rPr>
        <w:t>Recurrente</w:t>
      </w:r>
      <w:r w:rsidRPr="002E4E51">
        <w:rPr>
          <w:rFonts w:ascii="Palatino Linotype" w:hAnsi="Palatino Linotype"/>
        </w:rPr>
        <w:t xml:space="preserve">, por lo que, para este Pleno resulta dable </w:t>
      </w:r>
      <w:r w:rsidR="00C729CE" w:rsidRPr="002E4E51">
        <w:rPr>
          <w:rFonts w:ascii="Palatino Linotype" w:hAnsi="Palatino Linotype"/>
          <w:b/>
        </w:rPr>
        <w:t>REVOCAR</w:t>
      </w:r>
      <w:r w:rsidRPr="002E4E51">
        <w:rPr>
          <w:rFonts w:ascii="Palatino Linotype" w:hAnsi="Palatino Linotype"/>
        </w:rPr>
        <w:t xml:space="preserve"> la respuesta otorgada por el Sujeto Obligado a la solicitud de información </w:t>
      </w:r>
      <w:r w:rsidR="00C729CE" w:rsidRPr="002E4E51">
        <w:rPr>
          <w:rFonts w:ascii="Palatino Linotype" w:hAnsi="Palatino Linotype"/>
          <w:b/>
          <w:bCs/>
        </w:rPr>
        <w:t>00140/SMOV/IP/2021</w:t>
      </w:r>
      <w:r w:rsidRPr="002E4E51">
        <w:rPr>
          <w:rFonts w:ascii="Palatino Linotype" w:hAnsi="Palatino Linotype"/>
          <w:b/>
          <w:bCs/>
        </w:rPr>
        <w:t xml:space="preserve">, </w:t>
      </w:r>
      <w:r w:rsidRPr="002E4E51">
        <w:rPr>
          <w:rFonts w:ascii="Palatino Linotype" w:hAnsi="Palatino Linotype"/>
        </w:rPr>
        <w:t xml:space="preserve">materia del presente asunto, al </w:t>
      </w:r>
      <w:r w:rsidRPr="002E4E51">
        <w:rPr>
          <w:rFonts w:ascii="Palatino Linotype" w:hAnsi="Palatino Linotype"/>
        </w:rPr>
        <w:lastRenderedPageBreak/>
        <w:t>resultar fundadas las razones o motivos de inconformidad aducidos por la parte que recurre.</w:t>
      </w:r>
    </w:p>
    <w:p w:rsidR="00DE7B66" w:rsidRPr="002E4E51" w:rsidRDefault="00DE7B66" w:rsidP="00DE7B66">
      <w:pPr>
        <w:spacing w:line="360" w:lineRule="auto"/>
        <w:jc w:val="both"/>
        <w:rPr>
          <w:rFonts w:ascii="Palatino Linotype" w:hAnsi="Palatino Linotype"/>
        </w:rPr>
      </w:pPr>
      <w:r w:rsidRPr="002E4E51">
        <w:rPr>
          <w:rFonts w:ascii="Palatino Linotype" w:hAnsi="Palatino Linotype"/>
        </w:rPr>
        <w:t xml:space="preserve">Debe apuntarse que para este Instituto, el derecho de acceso a la información solamente puede tenerse por satisfecho en el momento en que el particular tenga en su poder los soportes documentales con la información solicitada, por ello se </w:t>
      </w:r>
      <w:r w:rsidRPr="002E4E51">
        <w:rPr>
          <w:rFonts w:ascii="Palatino Linotype" w:hAnsi="Palatino Linotype" w:cs="Arial"/>
          <w:lang w:val="es-MX"/>
        </w:rPr>
        <w:t xml:space="preserve">determina ordenar al </w:t>
      </w:r>
      <w:r w:rsidRPr="002E4E51">
        <w:rPr>
          <w:rFonts w:ascii="Palatino Linotype" w:hAnsi="Palatino Linotype" w:cs="Arial"/>
          <w:b/>
          <w:lang w:val="es-MX"/>
        </w:rPr>
        <w:t xml:space="preserve">Sujeto Obligado, </w:t>
      </w:r>
      <w:r w:rsidRPr="002E4E51">
        <w:rPr>
          <w:rFonts w:ascii="Palatino Linotype" w:hAnsi="Palatino Linotype" w:cs="Arial"/>
          <w:bCs/>
          <w:lang w:val="es-MX"/>
        </w:rPr>
        <w:t xml:space="preserve">la </w:t>
      </w:r>
      <w:r w:rsidRPr="002E4E51">
        <w:rPr>
          <w:rFonts w:ascii="Palatino Linotype" w:hAnsi="Palatino Linotype" w:cs="Arial"/>
          <w:lang w:val="es-MX"/>
        </w:rPr>
        <w:t>entrega de</w:t>
      </w:r>
      <w:r w:rsidR="00C729CE" w:rsidRPr="002E4E51">
        <w:rPr>
          <w:rFonts w:ascii="Palatino Linotype" w:hAnsi="Palatino Linotype" w:cs="Arial"/>
          <w:lang w:val="es-MX"/>
        </w:rPr>
        <w:t xml:space="preserve"> los oficios  de autorizaciones de derroteros de la empresa; Unión de transportistas de servicios colectivos y automóviles de alquiler de Coacalco y Estado de México S.A. de C. V. SCT/DGTT/98/2490 SCT/DGTT/98/2491 SCT/DGTT/98/2492 SCT/DGTT/98/2503 21102A000/98/2610 21102A000/98/2611 21102A000/98/2613 SCT/GEM/DGTT/98/2493, de ser procedente en versión publica en términos del considerando siguiente:</w:t>
      </w:r>
    </w:p>
    <w:p w:rsidR="00D647F6" w:rsidRPr="002E4E51" w:rsidRDefault="00D647F6" w:rsidP="00D647F6">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2E4E51">
        <w:rPr>
          <w:rFonts w:ascii="Palatino Linotype" w:eastAsiaTheme="minorEastAsia" w:hAnsi="Palatino Linotype" w:cs="Bookman Old Style"/>
          <w:b/>
          <w:szCs w:val="28"/>
          <w:lang w:val="es-MX"/>
        </w:rPr>
        <w:t xml:space="preserve">Quinto. Versión Pública. </w:t>
      </w:r>
      <w:r w:rsidRPr="002E4E51">
        <w:rPr>
          <w:rFonts w:ascii="Palatino Linotype" w:hAnsi="Palatino Linotype" w:cs="Arial"/>
          <w:lang w:val="es-MX"/>
        </w:rPr>
        <w:t>Para efectos de la elaboración de la versión pública se deberá observar lo dispuesto por los artículos 3 fracciones IX, XX, XXI y XLV, 91, 132 fracciones II y III, y 143 fracciones, I de la Ley de Transparencia y Acceso a la Información Pública del Estado de México y Municipios que establecen:</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“Artículo 3. Para los efectos de la presente Ley se entenderá por:</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 xml:space="preserve">IX. Datos personales: La información concerniente a una persona, identificada o identificable según lo dispuesto por la Ley de Protección de Datos Personales del Estado de México; </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XX. Información clasificada: Aquella considerada por la presente Ley como reservada o confidencial;</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XLV. Versión pública: Documento en el que se elimine, suprime o borra la información clasificada como reservada o confidencial para permitir su acceso.</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Artículo 91. El acceso a la información pública será restringido excepcionalmente, cuando ésta sea clasificada como reservada o confidencial.</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Artículo 132. La clasificación de la información se llevará a cabo en el momento en que:</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 Se reciba una solicitud de acceso a la información;</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II. Se determine mediante resolución de autoridad competente; o</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III. Se generen versiones públicas para dar cumplimiento a las obligaciones de transparencia previstas en esta Ley.</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Artículo 143. Para los efectos de esta Ley se considera información confidencial, la clasificada como tal, de manera permanente, por su naturaleza, cuando:</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 xml:space="preserve">I. Se refiera a la información privada y los datos personales concernientes a una persona física o </w:t>
      </w:r>
      <w:proofErr w:type="gramStart"/>
      <w:r w:rsidRPr="002E4E51">
        <w:rPr>
          <w:rFonts w:ascii="Palatino Linotype" w:hAnsi="Palatino Linotype" w:cs="Arial"/>
          <w:i/>
          <w:sz w:val="22"/>
          <w:szCs w:val="22"/>
          <w:lang w:val="es-MX"/>
        </w:rPr>
        <w:t>jurídico</w:t>
      </w:r>
      <w:proofErr w:type="gramEnd"/>
      <w:r w:rsidRPr="002E4E51">
        <w:rPr>
          <w:rFonts w:ascii="Palatino Linotype" w:hAnsi="Palatino Linotype" w:cs="Arial"/>
          <w:i/>
          <w:sz w:val="22"/>
          <w:szCs w:val="22"/>
          <w:lang w:val="es-MX"/>
        </w:rPr>
        <w:t xml:space="preserve"> colectiva identificada o identificable;</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II. Los secretos bancario, fiduciario, industrial, comercial, fiscal, bursátil y postal, cuya titularidad corresponda a particulares, sujetos de derecho internacional o a sujetos obligados cuando no involucren el ejercicio de recursos públicos; y</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III. La que presenten los particulares a los sujetos obligados, de conformidad con lo dispuesto por las leyes o los tratados internacionales.</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La información confidencial no estará sujeta a temporalidad alguna y sólo podrán tener acceso a ella los titulares de la misma, sus representantes y los servidores públicos facultados para ello.</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No se considerará confidencial la información que se encuentre en los registros públicos o en fuentes de acceso público, ni tampoco la que sea considerada por la presente ley como información pública.” (Sic)</w:t>
      </w:r>
    </w:p>
    <w:p w:rsidR="00D647F6" w:rsidRPr="002E4E51" w:rsidRDefault="00D647F6" w:rsidP="00D647F6">
      <w:pPr>
        <w:spacing w:before="240" w:after="240" w:line="360" w:lineRule="auto"/>
        <w:jc w:val="both"/>
        <w:rPr>
          <w:rFonts w:ascii="Palatino Linotype" w:hAnsi="Palatino Linotype" w:cs="Arial"/>
          <w:lang w:val="es-MX"/>
        </w:rPr>
      </w:pPr>
      <w:r w:rsidRPr="002E4E51">
        <w:rPr>
          <w:rFonts w:ascii="Palatino Linotype" w:hAnsi="Palatino Linotype" w:cs="Arial"/>
          <w:lang w:val="es-MX"/>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647F6" w:rsidRPr="002E4E51" w:rsidRDefault="00D647F6" w:rsidP="00D647F6">
      <w:pPr>
        <w:spacing w:before="240" w:after="240" w:line="360" w:lineRule="auto"/>
        <w:jc w:val="both"/>
        <w:rPr>
          <w:rFonts w:ascii="Palatino Linotype" w:hAnsi="Palatino Linotype" w:cs="Arial"/>
          <w:lang w:val="es-MX"/>
        </w:rPr>
      </w:pPr>
      <w:r w:rsidRPr="002E4E51">
        <w:rPr>
          <w:rFonts w:ascii="Palatino Linotype" w:hAnsi="Palatino Linotype" w:cs="Arial"/>
          <w:lang w:val="es-MX"/>
        </w:rPr>
        <w:t>Entorno a lo que aquí nos interesa, los Lineamientos Quincuagésimo sexto, Quincuagésimo séptimo y Quincuagésimo octavo, establecen lo siguiente:</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0"/>
          <w:szCs w:val="20"/>
          <w:lang w:val="es-MX"/>
        </w:rPr>
        <w:t>“</w:t>
      </w:r>
      <w:r w:rsidRPr="002E4E51">
        <w:rPr>
          <w:rFonts w:ascii="Palatino Linotype" w:hAnsi="Palatino Linotype" w:cs="Arial"/>
          <w:i/>
          <w:sz w:val="22"/>
          <w:szCs w:val="22"/>
          <w:lang w:val="es-MX"/>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 xml:space="preserve">Quincuagésimo séptimo. Se considera, en principio, como información pública y no podrá omitirse de las versiones públicas la siguiente: </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 xml:space="preserve">I. La relativa a las Obligaciones de Transparencia que contempla el Título V de la Ley General y las demás disposiciones legales aplicables; </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 xml:space="preserve">II. El nombre de los servidores públicos en los documentos, y sus firmas autógrafas, cuando sean utilizados en el ejercicio de las facultades conferidas para el desempeño del servicio público, y </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III. La información que documente decisiones y los actos de autoridad concluidos de los sujetos obligados, así como el ejercicio de las facultades o actividades de los servidores públicos, de manera que se pueda valorar el desempeño de los mismos.</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lastRenderedPageBreak/>
        <w:t xml:space="preserve">Lo anterior, siempre y cuando no se acredite alguna causal de clasificación, prevista en las leyes o en los tratados internaciones suscritos por el Estado mexicano. </w:t>
      </w:r>
    </w:p>
    <w:p w:rsidR="00D647F6" w:rsidRPr="002E4E51" w:rsidRDefault="00D647F6" w:rsidP="00D647F6">
      <w:pPr>
        <w:spacing w:before="120" w:after="120"/>
        <w:ind w:left="851" w:right="902"/>
        <w:jc w:val="both"/>
        <w:rPr>
          <w:rFonts w:ascii="Palatino Linotype" w:hAnsi="Palatino Linotype" w:cs="Arial"/>
          <w:i/>
          <w:sz w:val="22"/>
          <w:szCs w:val="22"/>
          <w:lang w:val="es-MX"/>
        </w:rPr>
      </w:pPr>
      <w:r w:rsidRPr="002E4E51">
        <w:rPr>
          <w:rFonts w:ascii="Palatino Linotype" w:hAnsi="Palatino Linotype" w:cs="Arial"/>
          <w:i/>
          <w:sz w:val="22"/>
          <w:szCs w:val="22"/>
          <w:lang w:val="es-MX"/>
        </w:rPr>
        <w:t>Quincuagésimo octavo. Los sujetos obligados garantizarán que los sistemas o medios empleados para eliminar la información en las versiones públicas no permitan la recuperación o visualización de la misma.”(Sic)</w:t>
      </w:r>
    </w:p>
    <w:p w:rsidR="00D647F6" w:rsidRPr="002E4E51" w:rsidRDefault="00D647F6" w:rsidP="00D647F6">
      <w:pPr>
        <w:spacing w:before="240" w:after="240" w:line="360" w:lineRule="auto"/>
        <w:jc w:val="both"/>
        <w:rPr>
          <w:rFonts w:ascii="Palatino Linotype" w:hAnsi="Palatino Linotype" w:cs="Arial"/>
          <w:lang w:val="es-MX"/>
        </w:rPr>
      </w:pPr>
      <w:r w:rsidRPr="002E4E51">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729CE" w:rsidRPr="002E4E51" w:rsidRDefault="00D647F6" w:rsidP="004F78F2">
      <w:pPr>
        <w:spacing w:before="240" w:after="240" w:line="360" w:lineRule="auto"/>
        <w:jc w:val="both"/>
        <w:rPr>
          <w:rFonts w:ascii="Palatino Linotype" w:hAnsi="Palatino Linotype"/>
          <w:lang w:val="es-MX"/>
        </w:rPr>
      </w:pPr>
      <w:r w:rsidRPr="002E4E51">
        <w:rPr>
          <w:rFonts w:ascii="Palatino Linotype" w:hAnsi="Palatino Linotype" w:cs="Arial"/>
          <w:lang w:val="es-MX"/>
        </w:rPr>
        <w:t>En relación directa con ello, los Lineamientos en estudio</w:t>
      </w:r>
      <w:r w:rsidRPr="002E4E51">
        <w:rPr>
          <w:rFonts w:ascii="Palatino Linotype" w:hAnsi="Palatino Linotype"/>
          <w:lang w:val="es-MX"/>
        </w:rPr>
        <w:t xml:space="preserve"> establecen los formatos para la clasificación parcial y total de los documentos, que atienden a lo siguiente:</w:t>
      </w:r>
    </w:p>
    <w:p w:rsidR="00EC0FF0" w:rsidRPr="002E4E51" w:rsidRDefault="00DC63ED" w:rsidP="00CB57AA">
      <w:pPr>
        <w:spacing w:before="240" w:after="240" w:line="360" w:lineRule="auto"/>
        <w:jc w:val="both"/>
        <w:rPr>
          <w:rFonts w:ascii="Palatino Linotype" w:hAnsi="Palatino Linotype" w:cs="Arial"/>
        </w:rPr>
      </w:pPr>
      <w:r w:rsidRPr="002E4E51">
        <w:rPr>
          <w:rFonts w:ascii="Palatino Linotype" w:hAnsi="Palatino Linotype" w:cs="Arial"/>
        </w:rPr>
        <w:t xml:space="preserve">Así, con fundamento en lo prescrito en los artículos 5 párrafos </w:t>
      </w:r>
      <w:r w:rsidR="00C729CE" w:rsidRPr="002E4E51">
        <w:rPr>
          <w:rFonts w:ascii="Palatino Linotype" w:hAnsi="Palatino Linotype" w:cs="Arial"/>
        </w:rPr>
        <w:t xml:space="preserve">trigésimo, trigésimo primero y trigésimo segundo </w:t>
      </w:r>
      <w:r w:rsidRPr="002E4E51">
        <w:rPr>
          <w:rFonts w:ascii="Palatino Linotype" w:hAnsi="Palatino Linotype" w:cs="Arial"/>
        </w:rPr>
        <w:t xml:space="preserve">de la Constitución Política del Estado Libre y Soberano de México; 2, fracción II; 29, 36 fracciones I y II; 176, 178, 179, 181 y 185 de la Ley de Transparencia y Acceso a la Información Pública del Estado de </w:t>
      </w:r>
      <w:r w:rsidR="002A2921" w:rsidRPr="002E4E51">
        <w:rPr>
          <w:rFonts w:ascii="Palatino Linotype" w:hAnsi="Palatino Linotype" w:cs="Arial"/>
        </w:rPr>
        <w:t>México y Municipios, este Pleno.</w:t>
      </w:r>
    </w:p>
    <w:p w:rsidR="007767CB" w:rsidRPr="002E4E51" w:rsidRDefault="0002240E" w:rsidP="007767CB">
      <w:pPr>
        <w:pStyle w:val="Prrafodelista"/>
        <w:numPr>
          <w:ilvl w:val="0"/>
          <w:numId w:val="2"/>
        </w:numPr>
        <w:spacing w:before="240" w:after="240" w:line="360" w:lineRule="auto"/>
        <w:contextualSpacing/>
        <w:jc w:val="center"/>
        <w:rPr>
          <w:rFonts w:ascii="Palatino Linotype" w:hAnsi="Palatino Linotype" w:cs="Arial"/>
          <w:b/>
          <w:sz w:val="24"/>
          <w:szCs w:val="24"/>
        </w:rPr>
      </w:pPr>
      <w:r w:rsidRPr="002E4E51">
        <w:rPr>
          <w:rFonts w:ascii="Palatino Linotype" w:hAnsi="Palatino Linotype" w:cs="Arial"/>
          <w:b/>
          <w:sz w:val="24"/>
          <w:szCs w:val="24"/>
        </w:rPr>
        <w:lastRenderedPageBreak/>
        <w:t>R E S U E L V E:</w:t>
      </w:r>
    </w:p>
    <w:p w:rsidR="007767CB" w:rsidRPr="002E4E51" w:rsidRDefault="007767CB" w:rsidP="007767CB">
      <w:pPr>
        <w:autoSpaceDE w:val="0"/>
        <w:autoSpaceDN w:val="0"/>
        <w:adjustRightInd w:val="0"/>
        <w:spacing w:before="240" w:after="240" w:line="360" w:lineRule="auto"/>
        <w:jc w:val="both"/>
        <w:rPr>
          <w:rFonts w:ascii="Palatino Linotype" w:hAnsi="Palatino Linotype" w:cs="Arial"/>
        </w:rPr>
      </w:pPr>
      <w:r w:rsidRPr="002E4E51">
        <w:rPr>
          <w:rFonts w:ascii="Palatino Linotype" w:hAnsi="Palatino Linotype" w:cs="Arial"/>
          <w:b/>
        </w:rPr>
        <w:t>PRIMERO</w:t>
      </w:r>
      <w:r w:rsidRPr="002E4E51">
        <w:rPr>
          <w:rFonts w:ascii="Palatino Linotype" w:hAnsi="Palatino Linotype" w:cs="Arial"/>
        </w:rPr>
        <w:t>. Result</w:t>
      </w:r>
      <w:r w:rsidR="00545546" w:rsidRPr="002E4E51">
        <w:rPr>
          <w:rFonts w:ascii="Palatino Linotype" w:hAnsi="Palatino Linotype" w:cs="Arial"/>
        </w:rPr>
        <w:t xml:space="preserve">an </w:t>
      </w:r>
      <w:r w:rsidRPr="002E4E51">
        <w:rPr>
          <w:rFonts w:ascii="Palatino Linotype" w:hAnsi="Palatino Linotype" w:cs="Arial"/>
          <w:b/>
        </w:rPr>
        <w:t>fundado</w:t>
      </w:r>
      <w:r w:rsidR="00545546" w:rsidRPr="002E4E51">
        <w:rPr>
          <w:rFonts w:ascii="Palatino Linotype" w:hAnsi="Palatino Linotype" w:cs="Arial"/>
          <w:b/>
        </w:rPr>
        <w:t>s</w:t>
      </w:r>
      <w:r w:rsidR="00545546" w:rsidRPr="002E4E51">
        <w:rPr>
          <w:rFonts w:ascii="Palatino Linotype" w:hAnsi="Palatino Linotype" w:cs="Arial"/>
        </w:rPr>
        <w:t xml:space="preserve"> los</w:t>
      </w:r>
      <w:r w:rsidRPr="002E4E51">
        <w:rPr>
          <w:rFonts w:ascii="Palatino Linotype" w:hAnsi="Palatino Linotype" w:cs="Arial"/>
        </w:rPr>
        <w:t xml:space="preserve"> motivo</w:t>
      </w:r>
      <w:r w:rsidR="00545546" w:rsidRPr="002E4E51">
        <w:rPr>
          <w:rFonts w:ascii="Palatino Linotype" w:hAnsi="Palatino Linotype" w:cs="Arial"/>
        </w:rPr>
        <w:t>s</w:t>
      </w:r>
      <w:r w:rsidRPr="002E4E51">
        <w:rPr>
          <w:rFonts w:ascii="Palatino Linotype" w:hAnsi="Palatino Linotype" w:cs="Arial"/>
        </w:rPr>
        <w:t xml:space="preserve"> de inconformidad planteado por el recurrente</w:t>
      </w:r>
      <w:r w:rsidRPr="002E4E51">
        <w:rPr>
          <w:rFonts w:ascii="Palatino Linotype" w:hAnsi="Palatino Linotype" w:cs="Arial"/>
          <w:b/>
          <w:i/>
        </w:rPr>
        <w:t xml:space="preserve"> </w:t>
      </w:r>
      <w:r w:rsidRPr="002E4E51">
        <w:rPr>
          <w:rFonts w:ascii="Palatino Linotype" w:eastAsia="Palatino Linotype" w:hAnsi="Palatino Linotype" w:cs="Palatino Linotype"/>
        </w:rPr>
        <w:t xml:space="preserve">en el recurso de revisión </w:t>
      </w:r>
      <w:r w:rsidR="00545546" w:rsidRPr="002E4E51">
        <w:rPr>
          <w:rFonts w:ascii="Palatino Linotype" w:eastAsiaTheme="minorEastAsia" w:hAnsi="Palatino Linotype" w:cs="Arial"/>
          <w:b/>
          <w:bCs/>
          <w:sz w:val="22"/>
          <w:szCs w:val="22"/>
        </w:rPr>
        <w:t>03254/INFOEM/IP/RR/2021</w:t>
      </w:r>
      <w:r w:rsidRPr="002E4E51">
        <w:rPr>
          <w:rFonts w:ascii="Palatino Linotype" w:eastAsia="Palatino Linotype" w:hAnsi="Palatino Linotype" w:cs="Palatino Linotype"/>
        </w:rPr>
        <w:t xml:space="preserve">, por lo que, </w:t>
      </w:r>
      <w:r w:rsidRPr="002E4E51">
        <w:rPr>
          <w:rFonts w:ascii="Palatino Linotype" w:hAnsi="Palatino Linotype" w:cs="Arial"/>
        </w:rPr>
        <w:t xml:space="preserve">en términos del </w:t>
      </w:r>
      <w:r w:rsidRPr="002E4E51">
        <w:rPr>
          <w:rFonts w:ascii="Palatino Linotype" w:hAnsi="Palatino Linotype" w:cs="Arial"/>
          <w:b/>
        </w:rPr>
        <w:t>Considerando Cuarto</w:t>
      </w:r>
      <w:r w:rsidRPr="002E4E51">
        <w:rPr>
          <w:rFonts w:ascii="Palatino Linotype" w:hAnsi="Palatino Linotype" w:cs="Arial"/>
        </w:rPr>
        <w:t xml:space="preserve"> de la presente resolución, se </w:t>
      </w:r>
      <w:r w:rsidR="00545546" w:rsidRPr="002E4E51">
        <w:rPr>
          <w:rFonts w:ascii="Palatino Linotype" w:hAnsi="Palatino Linotype" w:cs="Arial"/>
          <w:b/>
        </w:rPr>
        <w:t>REVOCA</w:t>
      </w:r>
      <w:r w:rsidRPr="002E4E51">
        <w:rPr>
          <w:rFonts w:ascii="Palatino Linotype" w:hAnsi="Palatino Linotype" w:cs="Arial"/>
        </w:rPr>
        <w:t xml:space="preserve"> la respuesta emitida por la </w:t>
      </w:r>
      <w:r w:rsidR="00545546" w:rsidRPr="002E4E51">
        <w:rPr>
          <w:rFonts w:ascii="Palatino Linotype" w:hAnsi="Palatino Linotype"/>
          <w:b/>
          <w:sz w:val="21"/>
          <w:szCs w:val="21"/>
          <w:lang w:val="es-ES_tradnl"/>
        </w:rPr>
        <w:t xml:space="preserve">Secretaría de Movilidad. </w:t>
      </w:r>
    </w:p>
    <w:p w:rsidR="007767CB" w:rsidRPr="002E4E51" w:rsidRDefault="007767CB" w:rsidP="007767CB">
      <w:pPr>
        <w:spacing w:before="240" w:after="240" w:line="360" w:lineRule="auto"/>
        <w:ind w:right="49"/>
        <w:jc w:val="both"/>
        <w:rPr>
          <w:rFonts w:ascii="Palatino Linotype" w:eastAsia="Palatino Linotype" w:hAnsi="Palatino Linotype" w:cs="Palatino Linotype"/>
        </w:rPr>
      </w:pPr>
      <w:r w:rsidRPr="002E4E51">
        <w:rPr>
          <w:rFonts w:ascii="Palatino Linotype" w:hAnsi="Palatino Linotype" w:cs="Arial"/>
          <w:b/>
        </w:rPr>
        <w:t>SEGUNDO.</w:t>
      </w:r>
      <w:r w:rsidRPr="002E4E51">
        <w:rPr>
          <w:rFonts w:ascii="Palatino Linotype" w:hAnsi="Palatino Linotype" w:cs="Arial"/>
          <w:b/>
          <w:sz w:val="28"/>
        </w:rPr>
        <w:t xml:space="preserve"> </w:t>
      </w:r>
      <w:r w:rsidRPr="002E4E51">
        <w:rPr>
          <w:rFonts w:ascii="Palatino Linotype" w:hAnsi="Palatino Linotype" w:cs="Arial"/>
        </w:rPr>
        <w:t>Se</w:t>
      </w:r>
      <w:r w:rsidRPr="002E4E51">
        <w:rPr>
          <w:rFonts w:ascii="Palatino Linotype" w:hAnsi="Palatino Linotype" w:cs="Arial"/>
          <w:b/>
        </w:rPr>
        <w:t xml:space="preserve"> ORDENA </w:t>
      </w:r>
      <w:r w:rsidRPr="002E4E51">
        <w:rPr>
          <w:rFonts w:ascii="Palatino Linotype" w:hAnsi="Palatino Linotype" w:cs="Arial"/>
        </w:rPr>
        <w:t xml:space="preserve">al Sujeto Obligado que en términos del </w:t>
      </w:r>
      <w:r w:rsidRPr="002E4E51">
        <w:rPr>
          <w:rFonts w:ascii="Palatino Linotype" w:hAnsi="Palatino Linotype" w:cs="Arial"/>
          <w:b/>
        </w:rPr>
        <w:t>Considerando Cuarto y Quinto</w:t>
      </w:r>
      <w:r w:rsidRPr="002E4E51">
        <w:rPr>
          <w:rFonts w:ascii="Palatino Linotype" w:hAnsi="Palatino Linotype" w:cs="Arial"/>
        </w:rPr>
        <w:t xml:space="preserve"> de esta resolución</w:t>
      </w:r>
      <w:r w:rsidRPr="002E4E51">
        <w:rPr>
          <w:rFonts w:ascii="Palatino Linotype" w:hAnsi="Palatino Linotype"/>
          <w:bCs/>
        </w:rPr>
        <w:t xml:space="preserve"> </w:t>
      </w:r>
      <w:r w:rsidRPr="002E4E51">
        <w:rPr>
          <w:rFonts w:ascii="Palatino Linotype" w:eastAsia="Palatino Linotype" w:hAnsi="Palatino Linotype" w:cs="Palatino Linotype"/>
        </w:rPr>
        <w:t xml:space="preserve">haga entrega al recurrente </w:t>
      </w:r>
      <w:r w:rsidRPr="002E4E51">
        <w:rPr>
          <w:rFonts w:ascii="Palatino Linotype" w:hAnsi="Palatino Linotype"/>
        </w:rPr>
        <w:t xml:space="preserve">a través del </w:t>
      </w:r>
      <w:r w:rsidRPr="002E4E51">
        <w:rPr>
          <w:rFonts w:ascii="Palatino Linotype" w:hAnsi="Palatino Linotype"/>
          <w:b/>
        </w:rPr>
        <w:t>SAIMEX</w:t>
      </w:r>
      <w:r w:rsidRPr="002E4E51">
        <w:rPr>
          <w:rFonts w:ascii="Palatino Linotype" w:hAnsi="Palatino Linotype" w:cs="Arial"/>
        </w:rPr>
        <w:t xml:space="preserve">, </w:t>
      </w:r>
      <w:r w:rsidRPr="002E4E51">
        <w:rPr>
          <w:rFonts w:ascii="Palatino Linotype" w:eastAsia="Palatino Linotype" w:hAnsi="Palatino Linotype" w:cs="Palatino Linotype"/>
        </w:rPr>
        <w:t>en versión pública de ser procedente, lo siguiente:</w:t>
      </w:r>
    </w:p>
    <w:p w:rsidR="007767CB" w:rsidRPr="002E4E51" w:rsidRDefault="007767CB" w:rsidP="007767CB">
      <w:pPr>
        <w:pStyle w:val="Prrafodelista"/>
        <w:ind w:left="720"/>
        <w:contextualSpacing/>
        <w:jc w:val="both"/>
        <w:rPr>
          <w:rFonts w:ascii="Palatino Linotype" w:hAnsi="Palatino Linotype"/>
          <w:i/>
          <w:sz w:val="24"/>
          <w:szCs w:val="24"/>
        </w:rPr>
      </w:pPr>
    </w:p>
    <w:p w:rsidR="001969F1" w:rsidRPr="002E4E51" w:rsidRDefault="007767CB" w:rsidP="007767CB">
      <w:pPr>
        <w:pStyle w:val="Prrafodelista"/>
        <w:ind w:left="720"/>
        <w:contextualSpacing/>
        <w:jc w:val="both"/>
        <w:rPr>
          <w:rFonts w:ascii="Palatino Linotype" w:hAnsi="Palatino Linotype"/>
          <w:i/>
          <w:sz w:val="24"/>
          <w:szCs w:val="24"/>
          <w:lang w:val="es-ES"/>
        </w:rPr>
      </w:pPr>
      <w:r w:rsidRPr="002E4E51">
        <w:rPr>
          <w:rFonts w:ascii="Palatino Linotype" w:hAnsi="Palatino Linotype"/>
          <w:i/>
          <w:sz w:val="24"/>
          <w:szCs w:val="24"/>
        </w:rPr>
        <w:t>i)</w:t>
      </w:r>
      <w:r w:rsidRPr="002E4E51">
        <w:rPr>
          <w:rFonts w:ascii="Palatino Linotype" w:hAnsi="Palatino Linotype" w:cs="Tahoma"/>
          <w:sz w:val="24"/>
          <w:szCs w:val="24"/>
        </w:rPr>
        <w:t xml:space="preserve"> </w:t>
      </w:r>
      <w:r w:rsidRPr="002E4E51">
        <w:rPr>
          <w:rFonts w:ascii="Palatino Linotype" w:hAnsi="Palatino Linotype"/>
          <w:i/>
          <w:sz w:val="24"/>
          <w:szCs w:val="24"/>
          <w:lang w:val="es-ES"/>
        </w:rPr>
        <w:t>Oficios de autorizaciones de derroteros de la empresa; Unión de transportistas de servicios colectivos y automóviles de alquiler de Coacalco y Estado de México S.A. de C. V. SCT/DGTT/98/2490 SCT/DGTT/98/2491 SCT/DGTT/98/2492 SCT/DGTT/98/2503 21102A000/98/2610 21102A000/98/2611 21102A000/98/2613 SCT/GEM/DGTT/98/2493</w:t>
      </w:r>
    </w:p>
    <w:p w:rsidR="007767CB" w:rsidRPr="002E4E51" w:rsidRDefault="007767CB" w:rsidP="007767CB">
      <w:pPr>
        <w:contextualSpacing/>
        <w:jc w:val="both"/>
        <w:rPr>
          <w:rFonts w:ascii="Palatino Linotype" w:hAnsi="Palatino Linotype"/>
          <w:i/>
        </w:rPr>
      </w:pPr>
    </w:p>
    <w:p w:rsidR="007767CB" w:rsidRPr="002E4E51" w:rsidRDefault="007767CB" w:rsidP="007767CB">
      <w:pPr>
        <w:tabs>
          <w:tab w:val="left" w:pos="7513"/>
        </w:tabs>
        <w:spacing w:before="240" w:after="240"/>
        <w:ind w:left="567" w:right="49"/>
        <w:jc w:val="both"/>
        <w:rPr>
          <w:rFonts w:ascii="Palatino Linotype" w:hAnsi="Palatino Linotype"/>
          <w:i/>
          <w:sz w:val="22"/>
          <w:lang w:val="es-MX"/>
        </w:rPr>
      </w:pPr>
      <w:r w:rsidRPr="002E4E51">
        <w:rPr>
          <w:rFonts w:ascii="Palatino Linotype" w:hAnsi="Palatino Linotype"/>
          <w:i/>
          <w:sz w:val="22"/>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CB57AA" w:rsidRPr="002E4E51" w:rsidRDefault="00CB57AA" w:rsidP="00CB57AA">
      <w:pPr>
        <w:spacing w:line="360" w:lineRule="auto"/>
        <w:contextualSpacing/>
        <w:jc w:val="both"/>
        <w:rPr>
          <w:rFonts w:ascii="Palatino Linotype" w:hAnsi="Palatino Linotype" w:cs="Tahoma"/>
          <w:lang w:eastAsia="es-MX"/>
        </w:rPr>
      </w:pPr>
    </w:p>
    <w:p w:rsidR="00545546" w:rsidRPr="002E4E51" w:rsidRDefault="00545546" w:rsidP="00545546">
      <w:pPr>
        <w:autoSpaceDE w:val="0"/>
        <w:autoSpaceDN w:val="0"/>
        <w:adjustRightInd w:val="0"/>
        <w:spacing w:before="240" w:after="240" w:line="360" w:lineRule="auto"/>
        <w:jc w:val="both"/>
        <w:rPr>
          <w:rFonts w:ascii="Palatino Linotype" w:hAnsi="Palatino Linotype" w:cs="Arial"/>
          <w:lang w:val="es-MX" w:eastAsia="es-MX"/>
        </w:rPr>
      </w:pPr>
      <w:r w:rsidRPr="002E4E51">
        <w:rPr>
          <w:rFonts w:ascii="Palatino Linotype" w:hAnsi="Palatino Linotype" w:cs="Arial"/>
          <w:b/>
          <w:szCs w:val="28"/>
          <w:lang w:val="es-MX" w:eastAsia="es-MX"/>
        </w:rPr>
        <w:t>TERCERO.</w:t>
      </w:r>
      <w:r w:rsidRPr="002E4E51">
        <w:rPr>
          <w:rFonts w:ascii="Palatino Linotype" w:hAnsi="Palatino Linotype" w:cs="Arial"/>
          <w:b/>
          <w:sz w:val="28"/>
          <w:szCs w:val="28"/>
          <w:lang w:val="es-MX" w:eastAsia="es-MX"/>
        </w:rPr>
        <w:t xml:space="preserve">  </w:t>
      </w:r>
      <w:r w:rsidRPr="002E4E51">
        <w:rPr>
          <w:rFonts w:ascii="Palatino Linotype" w:hAnsi="Palatino Linotype" w:cs="Arial"/>
          <w:b/>
          <w:lang w:val="es-MX" w:eastAsia="es-MX"/>
        </w:rPr>
        <w:t>Notifíquese,</w:t>
      </w:r>
      <w:r w:rsidRPr="002E4E51">
        <w:rPr>
          <w:rFonts w:ascii="Palatino Linotype" w:hAnsi="Palatino Linotype" w:cs="Arial"/>
          <w:b/>
          <w:sz w:val="28"/>
          <w:szCs w:val="28"/>
          <w:lang w:val="es-MX" w:eastAsia="es-MX"/>
        </w:rPr>
        <w:t xml:space="preserve"> </w:t>
      </w:r>
      <w:r w:rsidRPr="002E4E51">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w:t>
      </w:r>
      <w:r w:rsidRPr="002E4E51">
        <w:rPr>
          <w:rFonts w:ascii="Palatino Linotype" w:hAnsi="Palatino Linotype" w:cs="Arial"/>
          <w:lang w:val="es-MX" w:eastAsia="es-MX"/>
        </w:rPr>
        <w:lastRenderedPageBreak/>
        <w:t>días hábiles, debiendo informar a este Instituto en un plazo de tres días hábiles siguientes sobre el cumplimiento dado a la presente resolución.</w:t>
      </w:r>
    </w:p>
    <w:p w:rsidR="00545546" w:rsidRPr="002E4E51" w:rsidRDefault="00545546" w:rsidP="00545546">
      <w:pPr>
        <w:spacing w:line="360" w:lineRule="auto"/>
        <w:jc w:val="both"/>
        <w:rPr>
          <w:rFonts w:ascii="Palatino Linotype" w:hAnsi="Palatino Linotype" w:cs="Arial"/>
          <w:lang w:val="es-MX" w:eastAsia="es-MX"/>
        </w:rPr>
      </w:pPr>
      <w:r w:rsidRPr="002E4E51">
        <w:rPr>
          <w:rFonts w:ascii="Palatino Linotype" w:hAnsi="Palatino Linotype" w:cs="Arial"/>
          <w:b/>
          <w:szCs w:val="28"/>
          <w:lang w:val="es-MX" w:eastAsia="es-MX"/>
        </w:rPr>
        <w:t>CUARTO.</w:t>
      </w:r>
      <w:r w:rsidRPr="002E4E51">
        <w:rPr>
          <w:rFonts w:ascii="Palatino Linotype" w:hAnsi="Palatino Linotype" w:cs="Arial"/>
          <w:b/>
          <w:sz w:val="28"/>
          <w:szCs w:val="28"/>
          <w:lang w:val="es-MX" w:eastAsia="es-MX"/>
        </w:rPr>
        <w:t xml:space="preserve"> </w:t>
      </w:r>
      <w:r w:rsidRPr="002E4E51">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969F1" w:rsidRPr="002E4E51" w:rsidRDefault="00545546" w:rsidP="00F5647D">
      <w:pPr>
        <w:autoSpaceDE w:val="0"/>
        <w:autoSpaceDN w:val="0"/>
        <w:adjustRightInd w:val="0"/>
        <w:spacing w:before="240" w:after="240" w:line="360" w:lineRule="auto"/>
        <w:jc w:val="both"/>
        <w:rPr>
          <w:rFonts w:ascii="Palatino Linotype" w:hAnsi="Palatino Linotype" w:cs="Arial"/>
          <w:lang w:val="es-MX" w:eastAsia="es-MX"/>
        </w:rPr>
      </w:pPr>
      <w:r w:rsidRPr="002E4E51">
        <w:rPr>
          <w:rFonts w:ascii="Palatino Linotype" w:hAnsi="Palatino Linotype" w:cs="Arial"/>
          <w:b/>
          <w:szCs w:val="28"/>
          <w:lang w:val="es-MX" w:eastAsia="es-MX"/>
        </w:rPr>
        <w:t xml:space="preserve">QUINTO. </w:t>
      </w:r>
      <w:r w:rsidRPr="002E4E51">
        <w:rPr>
          <w:rFonts w:ascii="Palatino Linotype" w:hAnsi="Palatino Linotype" w:cs="Arial"/>
          <w:b/>
          <w:lang w:val="es-MX" w:eastAsia="es-MX"/>
        </w:rPr>
        <w:t xml:space="preserve">Notifíquese, </w:t>
      </w:r>
      <w:r w:rsidRPr="002E4E51">
        <w:rPr>
          <w:rFonts w:ascii="Palatino Linotype" w:hAnsi="Palatino Linotype" w:cs="Arial"/>
          <w:lang w:val="es-MX" w:eastAsia="es-MX"/>
        </w:rPr>
        <w:t>al recurrente la</w:t>
      </w:r>
      <w:r w:rsidR="000B5E7B">
        <w:rPr>
          <w:rFonts w:ascii="Palatino Linotype" w:hAnsi="Palatino Linotype" w:cs="Arial"/>
          <w:lang w:val="es-MX" w:eastAsia="es-MX"/>
        </w:rPr>
        <w:t xml:space="preserve"> presente resolución vía SAIMEX</w:t>
      </w:r>
      <w:r w:rsidRPr="002E4E51">
        <w:rPr>
          <w:rFonts w:ascii="Palatino Linotype" w:hAnsi="Palatino Linotype" w:cs="Arial"/>
          <w:lang w:val="es-MX" w:eastAsia="es-MX"/>
        </w:rPr>
        <w:t xml:space="preserve">, así como que podrá impugnarla vía </w:t>
      </w:r>
      <w:r w:rsidRPr="002E4E51">
        <w:rPr>
          <w:rFonts w:ascii="Palatino Linotype" w:hAnsi="Palatino Linotype" w:cs="Arial"/>
          <w:b/>
          <w:lang w:val="es-MX" w:eastAsia="es-MX"/>
        </w:rPr>
        <w:t>Juicio de Amparo</w:t>
      </w:r>
      <w:r w:rsidRPr="002E4E51">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rsidR="001969F1" w:rsidRDefault="001969F1" w:rsidP="00CB57AA">
      <w:pPr>
        <w:spacing w:line="360" w:lineRule="auto"/>
        <w:contextualSpacing/>
        <w:jc w:val="both"/>
        <w:rPr>
          <w:rFonts w:ascii="Palatino Linotype" w:hAnsi="Palatino Linotype" w:cs="Tahoma"/>
          <w:lang w:eastAsia="es-MX"/>
        </w:rPr>
      </w:pPr>
      <w:r w:rsidRPr="002E4E51">
        <w:rPr>
          <w:rFonts w:ascii="Palatino Linotype" w:hAnsi="Palatino Linotype" w:cs="Tahoma"/>
          <w:lang w:eastAsia="es-MX"/>
        </w:rPr>
        <w:t xml:space="preserve">ASÍ LO RESUELVE, POR </w:t>
      </w:r>
      <w:r w:rsidR="00D67F3D">
        <w:rPr>
          <w:rFonts w:ascii="Palatino Linotype" w:hAnsi="Palatino Linotype" w:cs="Tahoma"/>
          <w:b/>
          <w:lang w:eastAsia="es-MX"/>
        </w:rPr>
        <w:t>UNANIMIDAD</w:t>
      </w:r>
      <w:r w:rsidRPr="002E4E51">
        <w:rPr>
          <w:rFonts w:ascii="Palatino Linotype" w:hAnsi="Palatino Linotype" w:cs="Tahoma"/>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CB57AA" w:rsidRPr="002E4E51">
        <w:rPr>
          <w:rFonts w:ascii="Palatino Linotype" w:hAnsi="Palatino Linotype" w:cs="Tahoma"/>
          <w:lang w:eastAsia="es-MX"/>
        </w:rPr>
        <w:t>ÍR</w:t>
      </w:r>
      <w:r w:rsidR="00F5647D" w:rsidRPr="002E4E51">
        <w:rPr>
          <w:rFonts w:ascii="Palatino Linotype" w:hAnsi="Palatino Linotype" w:cs="Tahoma"/>
          <w:lang w:eastAsia="es-MX"/>
        </w:rPr>
        <w:t xml:space="preserve">EZ PEÑA, EN LA CUADRAGÉSIMA  </w:t>
      </w:r>
      <w:r w:rsidRPr="002E4E51">
        <w:rPr>
          <w:rFonts w:ascii="Palatino Linotype" w:hAnsi="Palatino Linotype" w:cs="Tahoma"/>
          <w:lang w:eastAsia="es-MX"/>
        </w:rPr>
        <w:t>SESI</w:t>
      </w:r>
      <w:r w:rsidR="00CB57AA" w:rsidRPr="002E4E51">
        <w:rPr>
          <w:rFonts w:ascii="Palatino Linotype" w:hAnsi="Palatino Linotype" w:cs="Tahoma"/>
          <w:lang w:eastAsia="es-MX"/>
        </w:rPr>
        <w:t>Ó</w:t>
      </w:r>
      <w:r w:rsidR="00F5647D" w:rsidRPr="002E4E51">
        <w:rPr>
          <w:rFonts w:ascii="Palatino Linotype" w:hAnsi="Palatino Linotype" w:cs="Tahoma"/>
          <w:lang w:eastAsia="es-MX"/>
        </w:rPr>
        <w:t>N ORDINARIA, CELEBRADA EL DIEZ DE NOVIEMBRE</w:t>
      </w:r>
      <w:r w:rsidR="00CB57AA" w:rsidRPr="002E4E51">
        <w:rPr>
          <w:rFonts w:ascii="Palatino Linotype" w:hAnsi="Palatino Linotype" w:cs="Tahoma"/>
          <w:lang w:eastAsia="es-MX"/>
        </w:rPr>
        <w:t xml:space="preserve"> </w:t>
      </w:r>
      <w:r w:rsidRPr="002E4E51">
        <w:rPr>
          <w:rFonts w:ascii="Palatino Linotype" w:hAnsi="Palatino Linotype" w:cs="Tahoma"/>
          <w:lang w:eastAsia="es-MX"/>
        </w:rPr>
        <w:t>DE DOS MIL VEINTIUNO, ANTE EL SECRETARIO TÉCNICO DEL PLENO, ALEXIS TAPIA RAMÍREZ.</w:t>
      </w:r>
    </w:p>
    <w:p w:rsidR="00D67F3D" w:rsidRDefault="00D67F3D" w:rsidP="00CB57AA">
      <w:pPr>
        <w:spacing w:line="360" w:lineRule="auto"/>
        <w:contextualSpacing/>
        <w:jc w:val="both"/>
        <w:rPr>
          <w:rFonts w:ascii="Palatino Linotype" w:hAnsi="Palatino Linotype" w:cs="Tahoma"/>
          <w:lang w:eastAsia="es-MX"/>
        </w:rPr>
      </w:pPr>
    </w:p>
    <w:p w:rsidR="00D67F3D" w:rsidRDefault="00D67F3D" w:rsidP="00CB57AA">
      <w:pPr>
        <w:spacing w:line="360" w:lineRule="auto"/>
        <w:contextualSpacing/>
        <w:jc w:val="both"/>
        <w:rPr>
          <w:rFonts w:ascii="Palatino Linotype" w:hAnsi="Palatino Linotype" w:cs="Tahoma"/>
          <w:lang w:eastAsia="es-MX"/>
        </w:rPr>
      </w:pPr>
    </w:p>
    <w:p w:rsidR="00D67F3D" w:rsidRDefault="00D67F3D" w:rsidP="00CB57AA">
      <w:pPr>
        <w:spacing w:line="360" w:lineRule="auto"/>
        <w:contextualSpacing/>
        <w:jc w:val="both"/>
        <w:rPr>
          <w:rFonts w:ascii="Palatino Linotype" w:hAnsi="Palatino Linotype" w:cs="Tahoma"/>
          <w:lang w:eastAsia="es-MX"/>
        </w:rPr>
      </w:pPr>
    </w:p>
    <w:p w:rsidR="00D67F3D" w:rsidRDefault="00D67F3D" w:rsidP="00CB57AA">
      <w:pPr>
        <w:spacing w:line="360" w:lineRule="auto"/>
        <w:contextualSpacing/>
        <w:jc w:val="both"/>
        <w:rPr>
          <w:rFonts w:ascii="Palatino Linotype" w:hAnsi="Palatino Linotype" w:cs="Tahoma"/>
          <w:lang w:eastAsia="es-MX"/>
        </w:rPr>
      </w:pPr>
    </w:p>
    <w:p w:rsidR="00D67F3D" w:rsidRDefault="00D67F3D" w:rsidP="00CB57AA">
      <w:pPr>
        <w:spacing w:line="360" w:lineRule="auto"/>
        <w:contextualSpacing/>
        <w:jc w:val="both"/>
        <w:rPr>
          <w:rFonts w:ascii="Palatino Linotype" w:hAnsi="Palatino Linotype" w:cs="Tahoma"/>
          <w:lang w:eastAsia="es-MX"/>
        </w:rPr>
      </w:pPr>
    </w:p>
    <w:p w:rsidR="00D67F3D" w:rsidRDefault="00D67F3D" w:rsidP="00CB57AA">
      <w:pPr>
        <w:spacing w:line="360" w:lineRule="auto"/>
        <w:contextualSpacing/>
        <w:jc w:val="both"/>
        <w:rPr>
          <w:rFonts w:ascii="Palatino Linotype" w:hAnsi="Palatino Linotype" w:cs="Tahoma"/>
          <w:lang w:eastAsia="es-MX"/>
        </w:rPr>
      </w:pPr>
    </w:p>
    <w:p w:rsidR="00CB57AA" w:rsidRDefault="00CB57AA" w:rsidP="00CB57AA">
      <w:pPr>
        <w:spacing w:line="360" w:lineRule="auto"/>
        <w:contextualSpacing/>
        <w:jc w:val="both"/>
        <w:rPr>
          <w:rFonts w:ascii="Palatino Linotype" w:hAnsi="Palatino Linotype" w:cs="Tahoma"/>
          <w:lang w:eastAsia="es-MX"/>
        </w:rPr>
      </w:pPr>
    </w:p>
    <w:p w:rsidR="00CB57AA" w:rsidRPr="00FA3097" w:rsidRDefault="00CB57AA" w:rsidP="00CB57AA">
      <w:pPr>
        <w:spacing w:line="360" w:lineRule="auto"/>
        <w:contextualSpacing/>
        <w:jc w:val="both"/>
        <w:rPr>
          <w:rFonts w:ascii="Palatino Linotype" w:hAnsi="Palatino Linotype" w:cs="Tahoma"/>
        </w:rPr>
      </w:pPr>
    </w:p>
    <w:sectPr w:rsidR="00CB57AA" w:rsidRPr="00FA3097" w:rsidSect="00D32B60">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B66" w:rsidRDefault="00DE7B66">
      <w:r>
        <w:separator/>
      </w:r>
    </w:p>
  </w:endnote>
  <w:endnote w:type="continuationSeparator" w:id="0">
    <w:p w:rsidR="00DE7B66" w:rsidRDefault="00DE7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B66" w:rsidRDefault="00DE7B66" w:rsidP="00D32B6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B59CF">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B59CF">
      <w:rPr>
        <w:rFonts w:ascii="Arial" w:hAnsi="Arial" w:cs="Arial"/>
        <w:b/>
        <w:bCs/>
        <w:noProof/>
        <w:sz w:val="20"/>
        <w:szCs w:val="20"/>
      </w:rPr>
      <w:t>39</w:t>
    </w:r>
    <w:r>
      <w:rPr>
        <w:rFonts w:ascii="Arial" w:hAnsi="Arial" w:cs="Arial"/>
        <w:b/>
        <w:bCs/>
        <w:sz w:val="20"/>
        <w:szCs w:val="20"/>
      </w:rPr>
      <w:fldChar w:fldCharType="end"/>
    </w:r>
  </w:p>
  <w:p w:rsidR="00DE7B66" w:rsidRDefault="00DE7B66" w:rsidP="00D32B60">
    <w:pPr>
      <w:pStyle w:val="Piedepgina"/>
      <w:rPr>
        <w:rFonts w:ascii="Times New Roman" w:hAnsi="Times New Roman" w:cs="Times New Roman"/>
      </w:rPr>
    </w:pPr>
  </w:p>
  <w:p w:rsidR="00DE7B66" w:rsidRDefault="00DE7B66" w:rsidP="00D32B60">
    <w:pPr>
      <w:pStyle w:val="Piedepgina"/>
      <w:ind w:firstLine="708"/>
    </w:pPr>
  </w:p>
  <w:p w:rsidR="00DE7B66" w:rsidRDefault="00DE7B66"/>
  <w:p w:rsidR="00DE7B66" w:rsidRDefault="00DE7B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B66" w:rsidRDefault="00DE7B66" w:rsidP="00D32B6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B59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B59CF">
      <w:rPr>
        <w:rFonts w:ascii="Arial" w:hAnsi="Arial" w:cs="Arial"/>
        <w:b/>
        <w:bCs/>
        <w:noProof/>
        <w:sz w:val="20"/>
        <w:szCs w:val="20"/>
      </w:rPr>
      <w:t>39</w:t>
    </w:r>
    <w:r>
      <w:rPr>
        <w:rFonts w:ascii="Arial" w:hAnsi="Arial" w:cs="Arial"/>
        <w:b/>
        <w:bCs/>
        <w:sz w:val="20"/>
        <w:szCs w:val="20"/>
      </w:rPr>
      <w:fldChar w:fldCharType="end"/>
    </w:r>
  </w:p>
  <w:p w:rsidR="00DE7B66" w:rsidRDefault="00DE7B66">
    <w:pPr>
      <w:pStyle w:val="Piedepgina"/>
    </w:pPr>
  </w:p>
  <w:p w:rsidR="00DE7B66" w:rsidRDefault="00DE7B66"/>
  <w:p w:rsidR="00DE7B66" w:rsidRDefault="00DE7B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B66" w:rsidRDefault="00DE7B66">
      <w:r>
        <w:separator/>
      </w:r>
    </w:p>
  </w:footnote>
  <w:footnote w:type="continuationSeparator" w:id="0">
    <w:p w:rsidR="00DE7B66" w:rsidRDefault="00DE7B66">
      <w:r>
        <w:continuationSeparator/>
      </w:r>
    </w:p>
  </w:footnote>
  <w:footnote w:id="1">
    <w:p w:rsidR="00DE7B66" w:rsidRDefault="00DE7B66" w:rsidP="00963D3C">
      <w:pPr>
        <w:pStyle w:val="Textonotapie"/>
        <w:spacing w:line="240" w:lineRule="auto"/>
      </w:pPr>
      <w:r>
        <w:rPr>
          <w:rStyle w:val="Refdenotaalpie"/>
        </w:rPr>
        <w:footnoteRef/>
      </w:r>
      <w:r>
        <w:t xml:space="preserve"> Artículo 140. El acceso a la información pública será restringido excepcionalmente, cuando por razones de interés público, ésta sea clasificada como reservada, conforme a los criterios siguientes:</w:t>
      </w:r>
      <w:r>
        <w:cr/>
      </w:r>
    </w:p>
    <w:p w:rsidR="00DE7B66" w:rsidRDefault="00DE7B66" w:rsidP="00963D3C">
      <w:pPr>
        <w:pStyle w:val="Textonotapie"/>
        <w:spacing w:line="240" w:lineRule="auto"/>
      </w:pPr>
      <w:r>
        <w:t>[...]</w:t>
      </w:r>
    </w:p>
    <w:p w:rsidR="00DE7B66" w:rsidRDefault="00DE7B66" w:rsidP="00963D3C">
      <w:pPr>
        <w:pStyle w:val="Textonotapie"/>
        <w:spacing w:line="240" w:lineRule="auto"/>
      </w:pPr>
      <w: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cr/>
      </w:r>
    </w:p>
    <w:p w:rsidR="00DE7B66" w:rsidRDefault="00DE7B66" w:rsidP="00963D3C">
      <w:pPr>
        <w:pStyle w:val="Textonotapie"/>
        <w:spacing w:line="240" w:lineRule="auto"/>
      </w:pPr>
      <w: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DE7B66" w:rsidRDefault="00DE7B66" w:rsidP="00963D3C">
      <w:pPr>
        <w:pStyle w:val="Textonotapie"/>
      </w:pPr>
      <w:r>
        <w:t>[…]</w:t>
      </w:r>
    </w:p>
  </w:footnote>
  <w:footnote w:id="2">
    <w:p w:rsidR="00741998" w:rsidRDefault="00741998" w:rsidP="00741998">
      <w:pPr>
        <w:pStyle w:val="Textonotapie"/>
        <w:spacing w:line="240" w:lineRule="auto"/>
      </w:pPr>
      <w:r>
        <w:rPr>
          <w:rStyle w:val="Refdenotaalpie"/>
        </w:rPr>
        <w:footnoteRef/>
      </w:r>
      <w:r>
        <w:t xml:space="preserve"> Artículo 13. El Instituto, en el ámbito de sus atribuciones, deberá suplir cualquier deficiencia para garantizar el ejercicio del derecho de acceso a la información.”</w:t>
      </w:r>
    </w:p>
    <w:p w:rsidR="00741998" w:rsidRDefault="00741998" w:rsidP="00741998">
      <w:pPr>
        <w:pStyle w:val="Textonotapie"/>
        <w:spacing w:line="240" w:lineRule="auto"/>
      </w:pPr>
      <w:r>
        <w:t>“Artículo 181. (…)</w:t>
      </w:r>
    </w:p>
    <w:p w:rsidR="00741998" w:rsidRDefault="00741998" w:rsidP="00741998">
      <w:pPr>
        <w:pStyle w:val="Textonotapie"/>
        <w:spacing w:line="240" w:lineRule="auto"/>
      </w:pPr>
      <w: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DE7B66" w:rsidRDefault="00DE7B66" w:rsidP="00963D3C">
      <w:pPr>
        <w:pStyle w:val="Textonotapie"/>
      </w:pPr>
      <w:r>
        <w:rPr>
          <w:rStyle w:val="Refdenotaalpie"/>
        </w:rPr>
        <w:footnoteRef/>
      </w:r>
      <w:r>
        <w:t xml:space="preserve"> </w:t>
      </w:r>
      <w:r w:rsidRPr="00FF29F0">
        <w:rPr>
          <w:b/>
        </w:rPr>
        <w:t>Constitución Política de los Estados Unidos Mexicanos. Artículo 6º.</w:t>
      </w:r>
      <w:r>
        <w:t xml:space="preserve"> </w:t>
      </w:r>
    </w:p>
    <w:p w:rsidR="00DE7B66" w:rsidRDefault="00DE7B66" w:rsidP="00963D3C">
      <w:pPr>
        <w:pStyle w:val="Textonotapie"/>
        <w:spacing w:line="240" w:lineRule="auto"/>
      </w:pPr>
      <w:r>
        <w:t>…</w:t>
      </w:r>
    </w:p>
    <w:p w:rsidR="00DE7B66" w:rsidRDefault="00DE7B66" w:rsidP="00963D3C">
      <w:pPr>
        <w:pStyle w:val="Textonotapie"/>
        <w:spacing w:line="240" w:lineRule="auto"/>
      </w:pPr>
      <w:r>
        <w:t>Para el ejercicio del derecho de acceso a la información, la Federación y las entidades federativas, en el ámbito de sus respectivas competencias, se regirán por los siguientes principios y bases:</w:t>
      </w:r>
    </w:p>
    <w:p w:rsidR="00DE7B66" w:rsidRDefault="00DE7B66" w:rsidP="00963D3C">
      <w:pPr>
        <w:pStyle w:val="Textonotapie"/>
        <w:spacing w:line="240" w:lineRule="auto"/>
      </w:pPr>
    </w:p>
    <w:p w:rsidR="00DE7B66" w:rsidRPr="003F7092" w:rsidRDefault="00DE7B66" w:rsidP="00963D3C">
      <w:pPr>
        <w:pStyle w:val="Textonotapie"/>
        <w:spacing w:line="240" w:lineRule="auto"/>
        <w:rPr>
          <w:b/>
          <w:u w:val="single"/>
        </w:rPr>
      </w:pPr>
      <w:r>
        <w:t>I</w:t>
      </w:r>
      <w:r w:rsidRPr="00FF29F0">
        <w:rPr>
          <w:b/>
        </w:rPr>
        <w:t xml:space="preserve">. </w:t>
      </w:r>
      <w:r w:rsidRPr="0038607F">
        <w:rPr>
          <w:b/>
        </w:rPr>
        <w:t>Toda la información en posesión de cualquier autoridad, entidad, órgano y organismo de los</w:t>
      </w:r>
      <w:r>
        <w:rPr>
          <w:b/>
        </w:rPr>
        <w:t xml:space="preserve"> </w:t>
      </w:r>
      <w:r w:rsidRPr="0038607F">
        <w:rPr>
          <w:b/>
        </w:rPr>
        <w:t>Poderes Ejecutivo, Legislativo y Judicial, órganos autónomos, partidos políticos, fideicomisos y</w:t>
      </w:r>
      <w:r>
        <w:rPr>
          <w:b/>
        </w:rPr>
        <w:t xml:space="preserve"> </w:t>
      </w:r>
      <w:r w:rsidRPr="0038607F">
        <w:rPr>
          <w:b/>
        </w:rPr>
        <w:t>fondos públicos, así como de cualquier persona física, moral o sindicato que reciba y ejerza</w:t>
      </w:r>
      <w:r>
        <w:rPr>
          <w:b/>
        </w:rPr>
        <w:t xml:space="preserve"> </w:t>
      </w:r>
      <w:r w:rsidRPr="0038607F">
        <w:rPr>
          <w:b/>
        </w:rPr>
        <w:t>recursos públicos o realice actos de autoridad en el ámbito federal, estatal y municipal, es pública</w:t>
      </w:r>
      <w:r>
        <w:rPr>
          <w:b/>
        </w:rPr>
        <w:t xml:space="preserve"> </w:t>
      </w:r>
      <w:r w:rsidRPr="003F7092">
        <w:rPr>
          <w:b/>
          <w:u w:val="single"/>
        </w:rPr>
        <w:t>y sólo podrá ser reservada temporalmente por razones de interés público y seguridad nacional, en los términos que fijen las leyes.</w:t>
      </w:r>
    </w:p>
    <w:p w:rsidR="00DE7B66" w:rsidRDefault="00DE7B66" w:rsidP="00963D3C">
      <w:pPr>
        <w:pStyle w:val="Textonotapie"/>
        <w:spacing w:line="240" w:lineRule="auto"/>
      </w:pPr>
    </w:p>
    <w:p w:rsidR="00DE7B66" w:rsidRDefault="00DE7B66" w:rsidP="00963D3C">
      <w:pPr>
        <w:pStyle w:val="Textonotapie"/>
        <w:spacing w:line="240" w:lineRule="auto"/>
      </w:pPr>
      <w:r>
        <w:t>II. La información que se refiere a la vida privada y los datos personales será protegida en los términos y con las excepciones que fijen las leyes.</w:t>
      </w:r>
    </w:p>
    <w:p w:rsidR="00DE7B66" w:rsidRDefault="00DE7B66" w:rsidP="00963D3C">
      <w:pPr>
        <w:pStyle w:val="Textonotapie"/>
        <w:spacing w:line="240" w:lineRule="auto"/>
      </w:pPr>
    </w:p>
    <w:p w:rsidR="00DE7B66" w:rsidRDefault="00DE7B66" w:rsidP="00963D3C">
      <w:pPr>
        <w:pStyle w:val="Textonotapie"/>
        <w:spacing w:line="240" w:lineRule="auto"/>
      </w:pPr>
      <w:r w:rsidRPr="00FF29F0">
        <w:rPr>
          <w:b/>
        </w:rPr>
        <w:t>III. Toda persona, sin necesidad de acreditar interés alguno o justificar su utilización, tendrá acceso gratuito a la información pública, a sus datos personales o a la rectificación de éstos</w:t>
      </w:r>
      <w:r>
        <w:t>.</w:t>
      </w:r>
    </w:p>
    <w:p w:rsidR="00DE7B66" w:rsidRDefault="00DE7B66" w:rsidP="00963D3C">
      <w:pPr>
        <w:pStyle w:val="Textonotapie"/>
        <w:spacing w:line="240" w:lineRule="auto"/>
      </w:pPr>
    </w:p>
    <w:p w:rsidR="00DE7B66" w:rsidRPr="0038607F" w:rsidRDefault="00DE7B66" w:rsidP="00963D3C">
      <w:pPr>
        <w:pStyle w:val="Textonotapie"/>
        <w:spacing w:line="240" w:lineRule="auto"/>
        <w:rPr>
          <w:b/>
        </w:rPr>
      </w:pPr>
      <w:r w:rsidRPr="00FF29F0">
        <w:rPr>
          <w:b/>
        </w:rPr>
        <w:t xml:space="preserve">IV. </w:t>
      </w:r>
      <w:r w:rsidRPr="0038607F">
        <w:rPr>
          <w:b/>
        </w:rPr>
        <w:t>Se establecerán mecanismos de acceso a la información y proce</w:t>
      </w:r>
      <w:r>
        <w:rPr>
          <w:b/>
        </w:rPr>
        <w:t xml:space="preserve">dimientos de revisión expeditos </w:t>
      </w:r>
      <w:r w:rsidRPr="0038607F">
        <w:t>que se sustanciarán ante los organismos autónomos especializados e imparciales que establece esta Constitución.</w:t>
      </w:r>
    </w:p>
    <w:p w:rsidR="00DE7B66" w:rsidRDefault="00DE7B66" w:rsidP="00963D3C">
      <w:pPr>
        <w:pStyle w:val="Textonotapie"/>
        <w:spacing w:line="240" w:lineRule="auto"/>
      </w:pPr>
      <w:r>
        <w:t>...</w:t>
      </w:r>
    </w:p>
    <w:p w:rsidR="00DE7B66" w:rsidRDefault="00DE7B66" w:rsidP="00963D3C">
      <w:pPr>
        <w:pStyle w:val="Textonotapie"/>
        <w:spacing w:line="240" w:lineRule="auto"/>
      </w:pPr>
      <w:r>
        <w:t>VI. Las leyes determinarán la manera en que los sujetos obligados deberán hacer pública la información relativa a los recursos públicos que entreguen a personas físicas o morales.</w:t>
      </w:r>
    </w:p>
    <w:p w:rsidR="00DE7B66" w:rsidRDefault="00DE7B66" w:rsidP="00963D3C">
      <w:pPr>
        <w:pStyle w:val="Textonotapie"/>
      </w:pPr>
    </w:p>
    <w:p w:rsidR="00DE7B66" w:rsidRDefault="00DE7B66" w:rsidP="00963D3C">
      <w:pPr>
        <w:pStyle w:val="Textonotapie"/>
        <w:spacing w:line="240" w:lineRule="auto"/>
      </w:pPr>
      <w:r>
        <w:t xml:space="preserve">  </w:t>
      </w:r>
      <w:r w:rsidRPr="00FF29F0">
        <w:rPr>
          <w:b/>
        </w:rPr>
        <w:t>Convención Americana sobre Derechos Humanos</w:t>
      </w:r>
      <w:r>
        <w:t xml:space="preserve"> (Ratificada por el Estado mexicano el 3 de febrero de 1981 y promulgada por Decreto publicado en el Diario Oficial de la Federación el 7 de mayo de 1981). </w:t>
      </w:r>
      <w:r w:rsidRPr="00FF29F0">
        <w:rPr>
          <w:b/>
        </w:rPr>
        <w:t>Artículo 13</w:t>
      </w:r>
      <w:r>
        <w:t>. Libertad de Pensamiento y de Expresión:</w:t>
      </w:r>
    </w:p>
    <w:p w:rsidR="00DE7B66" w:rsidRDefault="00DE7B66" w:rsidP="00963D3C">
      <w:pPr>
        <w:pStyle w:val="Textonotapie"/>
        <w:spacing w:line="240" w:lineRule="auto"/>
      </w:pPr>
      <w:r w:rsidRPr="00FF29F0">
        <w:rPr>
          <w:b/>
        </w:rPr>
        <w:t>1. Toda persona tiene derecho a la libertad de pensamiento y de expresión</w:t>
      </w:r>
      <w:r>
        <w:t>. Este derecho comprende la libertad de buscar, recibir y difundir informaciones e ideas de toda índole, sin consideración de fronteras, ya sea oralmente, por escrito o en forma impresa o artística, o por cualquier otro procedimiento de su elección.</w:t>
      </w:r>
    </w:p>
    <w:p w:rsidR="00DE7B66" w:rsidRDefault="00DE7B66" w:rsidP="00963D3C">
      <w:pPr>
        <w:pStyle w:val="Textonotapie"/>
        <w:spacing w:line="240" w:lineRule="auto"/>
      </w:pPr>
      <w:r>
        <w:t xml:space="preserve">2. El ejercicio del derecho previsto en el inciso precedente no puede estar sujeto a previa censura sino a responsabilidades ulteriores, las que deben estar expresamente fijadas por la ley y ser necesarias para asegurar: </w:t>
      </w:r>
    </w:p>
    <w:p w:rsidR="00DE7B66" w:rsidRDefault="00DE7B66" w:rsidP="00963D3C">
      <w:pPr>
        <w:pStyle w:val="Textonotapie"/>
        <w:spacing w:line="240" w:lineRule="auto"/>
      </w:pPr>
      <w:r>
        <w:t xml:space="preserve">a) el respeto a los derechos o a la reputación de los demás, o </w:t>
      </w:r>
    </w:p>
    <w:p w:rsidR="00DE7B66" w:rsidRDefault="00DE7B66" w:rsidP="00963D3C">
      <w:pPr>
        <w:pStyle w:val="Textonotapie"/>
        <w:spacing w:line="240" w:lineRule="auto"/>
      </w:pPr>
      <w:r>
        <w:t>b) la protección de la seguridad nacional, el orden público o la salud o la moral públicas.</w:t>
      </w:r>
    </w:p>
    <w:p w:rsidR="00DE7B66" w:rsidRDefault="00DE7B66" w:rsidP="00963D3C">
      <w:pPr>
        <w:pStyle w:val="Textonotapie"/>
        <w:spacing w:line="240" w:lineRule="auto"/>
      </w:pPr>
      <w:r>
        <w:t>[…].</w:t>
      </w:r>
    </w:p>
    <w:p w:rsidR="00DE7B66" w:rsidRPr="00FF29F0" w:rsidRDefault="00DE7B66" w:rsidP="00963D3C">
      <w:pPr>
        <w:pStyle w:val="Textonotapie"/>
        <w:spacing w:line="240" w:lineRule="auto"/>
        <w:rPr>
          <w:b/>
        </w:rPr>
      </w:pPr>
      <w:r>
        <w:t xml:space="preserve">  </w:t>
      </w:r>
      <w:r w:rsidRPr="00FF29F0">
        <w:rPr>
          <w:b/>
        </w:rPr>
        <w:t>Pacto Internacional de los Derechos Civiles y Políticos</w:t>
      </w:r>
      <w:r>
        <w:t xml:space="preserve"> (Ratificado por el Estado mexicano el 24 de marzo de 1981 y promulgado por Decreto publicado en el Diario Oficial de la Federación el 20 de mayo de 1981</w:t>
      </w:r>
      <w:r w:rsidRPr="00FF29F0">
        <w:rPr>
          <w:b/>
        </w:rPr>
        <w:t>). Artículo 19:</w:t>
      </w:r>
    </w:p>
    <w:p w:rsidR="00DE7B66" w:rsidRDefault="00DE7B66" w:rsidP="00963D3C">
      <w:pPr>
        <w:pStyle w:val="Textonotapie"/>
        <w:spacing w:line="240" w:lineRule="auto"/>
      </w:pPr>
      <w:r>
        <w:t xml:space="preserve"> …</w:t>
      </w:r>
    </w:p>
    <w:p w:rsidR="00DE7B66" w:rsidRDefault="00DE7B66" w:rsidP="00963D3C">
      <w:pPr>
        <w:pStyle w:val="Textonotapie"/>
        <w:spacing w:line="240" w:lineRule="auto"/>
      </w:pPr>
      <w:r>
        <w:t>2</w:t>
      </w:r>
      <w:r w:rsidRPr="00FF29F0">
        <w:rPr>
          <w:b/>
        </w:rPr>
        <w:t>. Toda persona tiene derecho a la libertad de expresión; este derecho comprende la libertad de buscar, recibir y difundir informaciones e ideas de toda índole</w:t>
      </w:r>
      <w:r>
        <w:t xml:space="preserve">, sin consideración de fronteras, ya sea oralmente, por escrito o en forma impresa o artística, o por cualquier otro procedimiento de su elección. </w:t>
      </w:r>
    </w:p>
    <w:p w:rsidR="00DE7B66" w:rsidRDefault="00DE7B66" w:rsidP="00963D3C">
      <w:pPr>
        <w:pStyle w:val="Textonotapie"/>
        <w:spacing w:line="240" w:lineRule="auto"/>
      </w:pPr>
      <w:r>
        <w:t xml:space="preserve">3. El ejercicio del derecho previsto en el párrafo 2 de este artículo entraña deberes y responsabilidades especiales. Por consiguiente, puede estar sujeto a ciertas restricciones, que deberán, sin embargo, estar expresamente fijadas por la ley y ser necesarias para: </w:t>
      </w:r>
    </w:p>
    <w:p w:rsidR="00DE7B66" w:rsidRDefault="00DE7B66" w:rsidP="00963D3C">
      <w:pPr>
        <w:pStyle w:val="Textonotapie"/>
        <w:spacing w:line="240" w:lineRule="auto"/>
      </w:pPr>
      <w:r>
        <w:t xml:space="preserve">a) Asegurar el respeto a los derechos o a la reputación de los demás; </w:t>
      </w:r>
    </w:p>
    <w:p w:rsidR="00DE7B66" w:rsidRDefault="00DE7B66" w:rsidP="00963D3C">
      <w:pPr>
        <w:pStyle w:val="Textonotapie"/>
        <w:spacing w:line="240" w:lineRule="auto"/>
      </w:pPr>
      <w:r>
        <w:t>b) La protección de la seguridad nacional, el orden público o la salud o la moral públicas.</w:t>
      </w:r>
    </w:p>
  </w:footnote>
  <w:footnote w:id="4">
    <w:p w:rsidR="00DE7B66" w:rsidRDefault="00DE7B66" w:rsidP="00963D3C">
      <w:pPr>
        <w:pStyle w:val="Textonotapie"/>
        <w:spacing w:line="240" w:lineRule="auto"/>
      </w:pPr>
      <w:r>
        <w:rPr>
          <w:rStyle w:val="Refdenotaalpie"/>
        </w:rPr>
        <w:footnoteRef/>
      </w:r>
      <w:r>
        <w:t xml:space="preserve"> </w:t>
      </w:r>
      <w:r w:rsidRPr="00BE35F3">
        <w:rPr>
          <w:b/>
        </w:rPr>
        <w:t xml:space="preserve">Constitución Política de los Estados Unidos Mexicanos. Artículo </w:t>
      </w:r>
      <w:r>
        <w:rPr>
          <w:b/>
        </w:rPr>
        <w:t>1</w:t>
      </w:r>
      <w:r w:rsidRPr="00BE35F3">
        <w:rPr>
          <w:b/>
        </w:rPr>
        <w:t>6º.</w:t>
      </w:r>
    </w:p>
    <w:p w:rsidR="00DE7B66" w:rsidRDefault="00DE7B66" w:rsidP="00963D3C">
      <w:pPr>
        <w:pStyle w:val="Textonotapie"/>
        <w:spacing w:line="240" w:lineRule="auto"/>
      </w:pPr>
      <w:r>
        <w:t xml:space="preserve">… </w:t>
      </w:r>
    </w:p>
    <w:p w:rsidR="00DE7B66" w:rsidRDefault="00DE7B66" w:rsidP="00963D3C">
      <w:pPr>
        <w:pStyle w:val="Textonotapie"/>
        <w:spacing w:line="240" w:lineRule="auto"/>
      </w:pPr>
      <w: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E7B66" w:rsidRPr="00FC65CB" w:rsidTr="00D32B60">
      <w:tc>
        <w:tcPr>
          <w:tcW w:w="2552" w:type="dxa"/>
          <w:vAlign w:val="center"/>
          <w:hideMark/>
        </w:tcPr>
        <w:p w:rsidR="00DE7B66" w:rsidRPr="00FC65CB" w:rsidRDefault="00DE7B66" w:rsidP="00D32B60">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DE7B66" w:rsidRPr="00FC65CB" w:rsidRDefault="00DE7B66" w:rsidP="00D32B60">
          <w:pPr>
            <w:jc w:val="both"/>
            <w:rPr>
              <w:rFonts w:ascii="Palatino Linotype" w:hAnsi="Palatino Linotype"/>
              <w:b/>
              <w:sz w:val="21"/>
              <w:szCs w:val="21"/>
              <w:lang w:val="es-ES_tradnl"/>
            </w:rPr>
          </w:pPr>
          <w:r>
            <w:rPr>
              <w:rFonts w:ascii="Palatino Linotype" w:hAnsi="Palatino Linotype"/>
              <w:b/>
              <w:sz w:val="21"/>
              <w:szCs w:val="21"/>
              <w:lang w:val="es-ES_tradnl"/>
            </w:rPr>
            <w:t>03254/INFOEM/IP/RR/2021</w:t>
          </w:r>
        </w:p>
      </w:tc>
    </w:tr>
    <w:tr w:rsidR="00DE7B66" w:rsidRPr="00FC65CB" w:rsidTr="00D32B60">
      <w:trPr>
        <w:trHeight w:val="228"/>
      </w:trPr>
      <w:tc>
        <w:tcPr>
          <w:tcW w:w="2552" w:type="dxa"/>
          <w:vAlign w:val="center"/>
          <w:hideMark/>
        </w:tcPr>
        <w:p w:rsidR="00DE7B66" w:rsidRPr="00FC65CB" w:rsidRDefault="00DE7B66" w:rsidP="00D32B60">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DE7B66" w:rsidRPr="00FC65CB" w:rsidRDefault="00DE7B66" w:rsidP="00D32B60">
          <w:pPr>
            <w:jc w:val="both"/>
            <w:rPr>
              <w:rFonts w:ascii="Palatino Linotype" w:hAnsi="Palatino Linotype"/>
              <w:b/>
              <w:sz w:val="21"/>
              <w:szCs w:val="21"/>
              <w:lang w:val="es-ES_tradnl"/>
            </w:rPr>
          </w:pPr>
          <w:r w:rsidRPr="005273F9">
            <w:rPr>
              <w:rFonts w:ascii="Palatino Linotype" w:hAnsi="Palatino Linotype"/>
              <w:b/>
              <w:sz w:val="21"/>
              <w:szCs w:val="21"/>
              <w:lang w:val="es-ES_tradnl"/>
            </w:rPr>
            <w:t>Secretaría de Movilidad</w:t>
          </w:r>
        </w:p>
      </w:tc>
    </w:tr>
    <w:tr w:rsidR="00DE7B66" w:rsidRPr="00FC65CB" w:rsidTr="00D32B60">
      <w:tc>
        <w:tcPr>
          <w:tcW w:w="2552" w:type="dxa"/>
          <w:vAlign w:val="center"/>
          <w:hideMark/>
        </w:tcPr>
        <w:p w:rsidR="00DE7B66" w:rsidRPr="00FC65CB" w:rsidRDefault="00DE7B66" w:rsidP="00D32B60">
          <w:pPr>
            <w:rPr>
              <w:rFonts w:ascii="Palatino Linotype" w:hAnsi="Palatino Linotype"/>
              <w:b/>
              <w:sz w:val="21"/>
              <w:szCs w:val="21"/>
              <w:lang w:val="es-ES_tradnl"/>
            </w:rPr>
          </w:pPr>
          <w:r>
            <w:rPr>
              <w:rFonts w:ascii="Palatino Linotype" w:hAnsi="Palatino Linotype"/>
              <w:b/>
              <w:sz w:val="21"/>
              <w:szCs w:val="21"/>
              <w:lang w:val="es-ES_tradnl"/>
            </w:rPr>
            <w:t>Comisionada</w:t>
          </w:r>
          <w:r w:rsidRPr="00FC65CB">
            <w:rPr>
              <w:rFonts w:ascii="Palatino Linotype" w:hAnsi="Palatino Linotype"/>
              <w:b/>
              <w:sz w:val="21"/>
              <w:szCs w:val="21"/>
              <w:lang w:val="es-ES_tradnl"/>
            </w:rPr>
            <w:t xml:space="preserve"> ponente:</w:t>
          </w:r>
        </w:p>
      </w:tc>
      <w:tc>
        <w:tcPr>
          <w:tcW w:w="2976" w:type="dxa"/>
          <w:vAlign w:val="center"/>
          <w:hideMark/>
        </w:tcPr>
        <w:p w:rsidR="00DE7B66" w:rsidRPr="00FC65CB" w:rsidRDefault="00DE7B66" w:rsidP="00D32B60">
          <w:pPr>
            <w:ind w:right="-533"/>
            <w:jc w:val="both"/>
            <w:rPr>
              <w:rFonts w:ascii="Palatino Linotype" w:hAnsi="Palatino Linotype"/>
              <w:b/>
              <w:sz w:val="21"/>
              <w:szCs w:val="21"/>
              <w:lang w:val="es-ES_tradnl"/>
            </w:rPr>
          </w:pPr>
          <w:r w:rsidRPr="000B3BD4">
            <w:rPr>
              <w:rFonts w:ascii="Palatino Linotype" w:hAnsi="Palatino Linotype"/>
              <w:b/>
              <w:sz w:val="21"/>
              <w:szCs w:val="21"/>
              <w:lang w:val="es-ES_tradnl"/>
            </w:rPr>
            <w:t>Guadalupe Ramírez Peña</w:t>
          </w:r>
        </w:p>
      </w:tc>
    </w:tr>
  </w:tbl>
  <w:p w:rsidR="00DE7B66" w:rsidRDefault="00DE7B66" w:rsidP="00D32B60">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1B42A7AD" wp14:editId="672758F5">
          <wp:simplePos x="0" y="0"/>
          <wp:positionH relativeFrom="page">
            <wp:posOffset>548640</wp:posOffset>
          </wp:positionH>
          <wp:positionV relativeFrom="paragraph">
            <wp:posOffset>-1019810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rsidR="00DE7B66" w:rsidRDefault="00DE7B66"/>
  <w:p w:rsidR="00DE7B66" w:rsidRDefault="00DE7B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B66" w:rsidRDefault="00DE7B66" w:rsidP="00D32B60">
    <w:pPr>
      <w:pStyle w:val="Encabezado"/>
      <w:jc w:val="both"/>
    </w:pPr>
    <w:r>
      <w:rPr>
        <w:noProof/>
        <w:lang w:val="es-MX" w:eastAsia="es-MX"/>
      </w:rPr>
      <w:drawing>
        <wp:anchor distT="0" distB="0" distL="114300" distR="114300" simplePos="0" relativeHeight="251659264" behindDoc="1" locked="0" layoutInCell="1" allowOverlap="1" wp14:anchorId="4B71FD8C" wp14:editId="6F18D419">
          <wp:simplePos x="0" y="0"/>
          <wp:positionH relativeFrom="page">
            <wp:posOffset>308610</wp:posOffset>
          </wp:positionH>
          <wp:positionV relativeFrom="paragraph">
            <wp:posOffset>-172085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DE7B66" w:rsidRPr="00294C56" w:rsidTr="00D32B60">
      <w:tc>
        <w:tcPr>
          <w:tcW w:w="2551" w:type="dxa"/>
          <w:vAlign w:val="center"/>
          <w:hideMark/>
        </w:tcPr>
        <w:p w:rsidR="00DE7B66" w:rsidRPr="00294C56" w:rsidRDefault="00DE7B66" w:rsidP="00D32B60">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DE7B66" w:rsidRPr="00294C56" w:rsidRDefault="00DE7B66" w:rsidP="00D32B60">
          <w:pPr>
            <w:jc w:val="both"/>
            <w:rPr>
              <w:rFonts w:ascii="Palatino Linotype" w:hAnsi="Palatino Linotype"/>
              <w:b/>
              <w:sz w:val="21"/>
              <w:szCs w:val="21"/>
              <w:lang w:val="es-ES_tradnl"/>
            </w:rPr>
          </w:pPr>
          <w:r>
            <w:rPr>
              <w:rFonts w:ascii="Palatino Linotype" w:hAnsi="Palatino Linotype"/>
              <w:b/>
              <w:sz w:val="21"/>
              <w:szCs w:val="21"/>
              <w:lang w:val="es-ES_tradnl"/>
            </w:rPr>
            <w:t>03254/INFOEM/IP/RR/2021</w:t>
          </w:r>
        </w:p>
      </w:tc>
    </w:tr>
    <w:tr w:rsidR="00DE7B66" w:rsidRPr="00294C56" w:rsidTr="00D32B60">
      <w:tc>
        <w:tcPr>
          <w:tcW w:w="2551" w:type="dxa"/>
          <w:vAlign w:val="center"/>
          <w:hideMark/>
        </w:tcPr>
        <w:p w:rsidR="00DE7B66" w:rsidRPr="00294C56" w:rsidRDefault="00DE7B66" w:rsidP="00D32B60">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DE7B66" w:rsidRPr="00294C56" w:rsidRDefault="00BB59CF" w:rsidP="005273F9">
          <w:pPr>
            <w:jc w:val="both"/>
            <w:rPr>
              <w:rFonts w:ascii="Palatino Linotype" w:hAnsi="Palatino Linotype"/>
              <w:b/>
              <w:sz w:val="21"/>
              <w:szCs w:val="21"/>
              <w:lang w:val="es-ES_tradnl"/>
            </w:rPr>
          </w:pPr>
          <w:r>
            <w:rPr>
              <w:rFonts w:ascii="Palatino Linotype" w:hAnsi="Palatino Linotype"/>
              <w:b/>
              <w:sz w:val="21"/>
              <w:szCs w:val="21"/>
              <w:lang w:val="es-ES_tradnl"/>
            </w:rPr>
            <w:t>XXXXXXXXXXXXXXXXXXXXX</w:t>
          </w:r>
        </w:p>
      </w:tc>
    </w:tr>
    <w:tr w:rsidR="00DE7B66" w:rsidRPr="00294C56" w:rsidTr="00D32B60">
      <w:trPr>
        <w:trHeight w:val="228"/>
      </w:trPr>
      <w:tc>
        <w:tcPr>
          <w:tcW w:w="2551" w:type="dxa"/>
          <w:vAlign w:val="center"/>
          <w:hideMark/>
        </w:tcPr>
        <w:p w:rsidR="00DE7B66" w:rsidRPr="00294C56" w:rsidRDefault="00DE7B66" w:rsidP="00D32B60">
          <w:pPr>
            <w:rPr>
              <w:rFonts w:ascii="Palatino Linotype" w:hAnsi="Palatino Linotype"/>
              <w:b/>
              <w:sz w:val="21"/>
              <w:szCs w:val="21"/>
              <w:lang w:val="es-ES_tradnl"/>
            </w:rPr>
          </w:pPr>
          <w:r>
            <w:rPr>
              <w:rFonts w:ascii="Palatino Linotype" w:hAnsi="Palatino Linotype"/>
              <w:b/>
              <w:sz w:val="21"/>
              <w:szCs w:val="21"/>
              <w:lang w:val="es-ES_tradnl"/>
            </w:rPr>
            <w:t>Sujeto O</w:t>
          </w:r>
          <w:r w:rsidRPr="00294C56">
            <w:rPr>
              <w:rFonts w:ascii="Palatino Linotype" w:hAnsi="Palatino Linotype"/>
              <w:b/>
              <w:sz w:val="21"/>
              <w:szCs w:val="21"/>
              <w:lang w:val="es-ES_tradnl"/>
            </w:rPr>
            <w:t>bligado:</w:t>
          </w:r>
        </w:p>
      </w:tc>
      <w:tc>
        <w:tcPr>
          <w:tcW w:w="3687" w:type="dxa"/>
          <w:vAlign w:val="center"/>
          <w:hideMark/>
        </w:tcPr>
        <w:p w:rsidR="00DE7B66" w:rsidRPr="000B3BD4" w:rsidRDefault="00DE7B66" w:rsidP="000B3BD4">
          <w:pPr>
            <w:jc w:val="both"/>
            <w:rPr>
              <w:rFonts w:ascii="Palatino Linotype" w:hAnsi="Palatino Linotype"/>
              <w:b/>
              <w:sz w:val="8"/>
              <w:szCs w:val="21"/>
              <w:lang w:val="es-ES_tradnl"/>
            </w:rPr>
          </w:pPr>
        </w:p>
        <w:p w:rsidR="00DE7B66" w:rsidRPr="00294C56" w:rsidRDefault="00DE7B66" w:rsidP="000B3BD4">
          <w:pPr>
            <w:jc w:val="both"/>
            <w:rPr>
              <w:rFonts w:ascii="Palatino Linotype" w:hAnsi="Palatino Linotype"/>
              <w:b/>
              <w:sz w:val="21"/>
              <w:szCs w:val="21"/>
              <w:lang w:val="es-ES_tradnl"/>
            </w:rPr>
          </w:pPr>
          <w:r w:rsidRPr="005273F9">
            <w:rPr>
              <w:rFonts w:ascii="Palatino Linotype" w:hAnsi="Palatino Linotype"/>
              <w:b/>
              <w:sz w:val="21"/>
              <w:szCs w:val="21"/>
              <w:lang w:val="es-ES_tradnl"/>
            </w:rPr>
            <w:t>Secretaría de Movilidad</w:t>
          </w:r>
        </w:p>
      </w:tc>
    </w:tr>
    <w:tr w:rsidR="00DE7B66" w:rsidRPr="00294C56" w:rsidTr="00D32B60">
      <w:tc>
        <w:tcPr>
          <w:tcW w:w="2551" w:type="dxa"/>
          <w:vAlign w:val="center"/>
          <w:hideMark/>
        </w:tcPr>
        <w:p w:rsidR="00DE7B66" w:rsidRPr="00294C56" w:rsidRDefault="00DE7B66" w:rsidP="00D32B60">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rsidR="00DE7B66" w:rsidRPr="00294C56" w:rsidRDefault="00DE7B66" w:rsidP="00D32B60">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rsidR="00DE7B66" w:rsidRDefault="00DE7B66" w:rsidP="00D32B60">
    <w:pPr>
      <w:pStyle w:val="Encabezado"/>
    </w:pPr>
  </w:p>
  <w:p w:rsidR="00DE7B66" w:rsidRDefault="00DE7B66"/>
  <w:p w:rsidR="00DE7B66" w:rsidRDefault="00DE7B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8354A"/>
    <w:multiLevelType w:val="hybridMultilevel"/>
    <w:tmpl w:val="52446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532720F"/>
    <w:multiLevelType w:val="hybridMultilevel"/>
    <w:tmpl w:val="3D3C9A74"/>
    <w:lvl w:ilvl="0" w:tplc="2AA44D34">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C746D22"/>
    <w:multiLevelType w:val="hybridMultilevel"/>
    <w:tmpl w:val="A43AD07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4C191180"/>
    <w:multiLevelType w:val="hybridMultilevel"/>
    <w:tmpl w:val="022215BA"/>
    <w:lvl w:ilvl="0" w:tplc="F372F4A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9CB344C"/>
    <w:multiLevelType w:val="hybridMultilevel"/>
    <w:tmpl w:val="041C18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7D557C02"/>
    <w:multiLevelType w:val="hybridMultilevel"/>
    <w:tmpl w:val="7A360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CA7BF2"/>
    <w:multiLevelType w:val="hybridMultilevel"/>
    <w:tmpl w:val="6C822F24"/>
    <w:lvl w:ilvl="0" w:tplc="66589A06">
      <w:start w:val="1"/>
      <w:numFmt w:val="lowerRoman"/>
      <w:lvlText w:val="%1)"/>
      <w:lvlJc w:val="left"/>
      <w:pPr>
        <w:ind w:left="1080" w:hanging="72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2"/>
  </w:num>
  <w:num w:numId="5">
    <w:abstractNumId w:val="5"/>
  </w:num>
  <w:num w:numId="6">
    <w:abstractNumId w:val="7"/>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F7"/>
    <w:rsid w:val="000000BA"/>
    <w:rsid w:val="00002C8D"/>
    <w:rsid w:val="00003457"/>
    <w:rsid w:val="000041CE"/>
    <w:rsid w:val="00011828"/>
    <w:rsid w:val="0001377A"/>
    <w:rsid w:val="00016304"/>
    <w:rsid w:val="00017356"/>
    <w:rsid w:val="0002240E"/>
    <w:rsid w:val="000238D7"/>
    <w:rsid w:val="00027918"/>
    <w:rsid w:val="00031035"/>
    <w:rsid w:val="00031105"/>
    <w:rsid w:val="0003379F"/>
    <w:rsid w:val="000357B5"/>
    <w:rsid w:val="00036CB9"/>
    <w:rsid w:val="00040A8B"/>
    <w:rsid w:val="00042A3E"/>
    <w:rsid w:val="00047322"/>
    <w:rsid w:val="00047CC4"/>
    <w:rsid w:val="00051D87"/>
    <w:rsid w:val="00054B5A"/>
    <w:rsid w:val="000572EE"/>
    <w:rsid w:val="00057D53"/>
    <w:rsid w:val="00065B6B"/>
    <w:rsid w:val="000700CE"/>
    <w:rsid w:val="0007019C"/>
    <w:rsid w:val="00074B57"/>
    <w:rsid w:val="00074BF0"/>
    <w:rsid w:val="00075FA3"/>
    <w:rsid w:val="000767F6"/>
    <w:rsid w:val="00081E88"/>
    <w:rsid w:val="00083EBA"/>
    <w:rsid w:val="00084F50"/>
    <w:rsid w:val="00084F5A"/>
    <w:rsid w:val="00085301"/>
    <w:rsid w:val="00093921"/>
    <w:rsid w:val="00096B94"/>
    <w:rsid w:val="00096CA9"/>
    <w:rsid w:val="000A1B71"/>
    <w:rsid w:val="000A2CB6"/>
    <w:rsid w:val="000A542B"/>
    <w:rsid w:val="000B0EEA"/>
    <w:rsid w:val="000B1786"/>
    <w:rsid w:val="000B2370"/>
    <w:rsid w:val="000B3AF2"/>
    <w:rsid w:val="000B3BD4"/>
    <w:rsid w:val="000B40DB"/>
    <w:rsid w:val="000B4577"/>
    <w:rsid w:val="000B5997"/>
    <w:rsid w:val="000B5E7B"/>
    <w:rsid w:val="000B6E01"/>
    <w:rsid w:val="000C3556"/>
    <w:rsid w:val="000C48E3"/>
    <w:rsid w:val="000C6C88"/>
    <w:rsid w:val="000D5270"/>
    <w:rsid w:val="000E0EA1"/>
    <w:rsid w:val="000E2967"/>
    <w:rsid w:val="000E525A"/>
    <w:rsid w:val="000E5BF9"/>
    <w:rsid w:val="000E5C61"/>
    <w:rsid w:val="000E65FC"/>
    <w:rsid w:val="000F2556"/>
    <w:rsid w:val="000F27E6"/>
    <w:rsid w:val="000F381D"/>
    <w:rsid w:val="000F44FF"/>
    <w:rsid w:val="000F5195"/>
    <w:rsid w:val="000F6519"/>
    <w:rsid w:val="000F67AF"/>
    <w:rsid w:val="00101672"/>
    <w:rsid w:val="0010503B"/>
    <w:rsid w:val="001054BF"/>
    <w:rsid w:val="00106638"/>
    <w:rsid w:val="00111E94"/>
    <w:rsid w:val="00112921"/>
    <w:rsid w:val="0011407F"/>
    <w:rsid w:val="001154EA"/>
    <w:rsid w:val="00116132"/>
    <w:rsid w:val="001169D9"/>
    <w:rsid w:val="0012355B"/>
    <w:rsid w:val="001248EA"/>
    <w:rsid w:val="00126D0B"/>
    <w:rsid w:val="00131DC5"/>
    <w:rsid w:val="001334EE"/>
    <w:rsid w:val="00135E8F"/>
    <w:rsid w:val="0014199B"/>
    <w:rsid w:val="00144B6C"/>
    <w:rsid w:val="00146671"/>
    <w:rsid w:val="001514C4"/>
    <w:rsid w:val="00152320"/>
    <w:rsid w:val="00161E1B"/>
    <w:rsid w:val="00161E61"/>
    <w:rsid w:val="00165A06"/>
    <w:rsid w:val="001666E2"/>
    <w:rsid w:val="00166B3A"/>
    <w:rsid w:val="001672BF"/>
    <w:rsid w:val="00170F3F"/>
    <w:rsid w:val="00175F81"/>
    <w:rsid w:val="00176BCC"/>
    <w:rsid w:val="00180489"/>
    <w:rsid w:val="00181560"/>
    <w:rsid w:val="00181DF8"/>
    <w:rsid w:val="00182CE1"/>
    <w:rsid w:val="00185BC9"/>
    <w:rsid w:val="00187BDA"/>
    <w:rsid w:val="00191AED"/>
    <w:rsid w:val="00192E82"/>
    <w:rsid w:val="001943FD"/>
    <w:rsid w:val="00194AE5"/>
    <w:rsid w:val="001956E2"/>
    <w:rsid w:val="00195C06"/>
    <w:rsid w:val="001969F1"/>
    <w:rsid w:val="001A0BA1"/>
    <w:rsid w:val="001A502E"/>
    <w:rsid w:val="001A5951"/>
    <w:rsid w:val="001A6923"/>
    <w:rsid w:val="001A6CF7"/>
    <w:rsid w:val="001B2356"/>
    <w:rsid w:val="001B35C7"/>
    <w:rsid w:val="001C050D"/>
    <w:rsid w:val="001C10D9"/>
    <w:rsid w:val="001D0E8A"/>
    <w:rsid w:val="001D1FA8"/>
    <w:rsid w:val="001D452B"/>
    <w:rsid w:val="001D5567"/>
    <w:rsid w:val="001D5977"/>
    <w:rsid w:val="001D6A04"/>
    <w:rsid w:val="001D705B"/>
    <w:rsid w:val="001E0CDC"/>
    <w:rsid w:val="001E341C"/>
    <w:rsid w:val="001E36C5"/>
    <w:rsid w:val="001E4226"/>
    <w:rsid w:val="001E574D"/>
    <w:rsid w:val="001E5790"/>
    <w:rsid w:val="001E5A18"/>
    <w:rsid w:val="001F5E3F"/>
    <w:rsid w:val="001F636C"/>
    <w:rsid w:val="001F70E6"/>
    <w:rsid w:val="001F74B1"/>
    <w:rsid w:val="001F7572"/>
    <w:rsid w:val="00200E3B"/>
    <w:rsid w:val="00201A50"/>
    <w:rsid w:val="00201DF3"/>
    <w:rsid w:val="0020688C"/>
    <w:rsid w:val="00206C49"/>
    <w:rsid w:val="0021086E"/>
    <w:rsid w:val="00210892"/>
    <w:rsid w:val="002138E4"/>
    <w:rsid w:val="00216446"/>
    <w:rsid w:val="00217E8D"/>
    <w:rsid w:val="002249DC"/>
    <w:rsid w:val="002267B4"/>
    <w:rsid w:val="00226942"/>
    <w:rsid w:val="00227274"/>
    <w:rsid w:val="0022762A"/>
    <w:rsid w:val="00231F55"/>
    <w:rsid w:val="00232733"/>
    <w:rsid w:val="00237BD2"/>
    <w:rsid w:val="002426E6"/>
    <w:rsid w:val="00244C0C"/>
    <w:rsid w:val="002518DB"/>
    <w:rsid w:val="00251F63"/>
    <w:rsid w:val="002542D3"/>
    <w:rsid w:val="00261598"/>
    <w:rsid w:val="002634E6"/>
    <w:rsid w:val="00265AE9"/>
    <w:rsid w:val="00273A35"/>
    <w:rsid w:val="00275D84"/>
    <w:rsid w:val="0027665F"/>
    <w:rsid w:val="002821A0"/>
    <w:rsid w:val="002827CA"/>
    <w:rsid w:val="00282918"/>
    <w:rsid w:val="00286F7B"/>
    <w:rsid w:val="002870AF"/>
    <w:rsid w:val="002904A6"/>
    <w:rsid w:val="00291343"/>
    <w:rsid w:val="00291DEA"/>
    <w:rsid w:val="00292008"/>
    <w:rsid w:val="00294D08"/>
    <w:rsid w:val="00297704"/>
    <w:rsid w:val="00297A1B"/>
    <w:rsid w:val="002A2007"/>
    <w:rsid w:val="002A2921"/>
    <w:rsid w:val="002A2F85"/>
    <w:rsid w:val="002A4AD7"/>
    <w:rsid w:val="002A5A71"/>
    <w:rsid w:val="002A74D2"/>
    <w:rsid w:val="002B6143"/>
    <w:rsid w:val="002C03E2"/>
    <w:rsid w:val="002C642E"/>
    <w:rsid w:val="002C6855"/>
    <w:rsid w:val="002C6926"/>
    <w:rsid w:val="002D10F9"/>
    <w:rsid w:val="002D5C0C"/>
    <w:rsid w:val="002E4E51"/>
    <w:rsid w:val="002E6863"/>
    <w:rsid w:val="002F0926"/>
    <w:rsid w:val="002F24B2"/>
    <w:rsid w:val="002F30F9"/>
    <w:rsid w:val="00302BB1"/>
    <w:rsid w:val="0030431B"/>
    <w:rsid w:val="00310D92"/>
    <w:rsid w:val="003160AB"/>
    <w:rsid w:val="003163F7"/>
    <w:rsid w:val="00321951"/>
    <w:rsid w:val="003229D6"/>
    <w:rsid w:val="003230F1"/>
    <w:rsid w:val="003248B2"/>
    <w:rsid w:val="003254C9"/>
    <w:rsid w:val="003279D0"/>
    <w:rsid w:val="00327C7A"/>
    <w:rsid w:val="00331535"/>
    <w:rsid w:val="00332407"/>
    <w:rsid w:val="00342A48"/>
    <w:rsid w:val="00345C38"/>
    <w:rsid w:val="00351637"/>
    <w:rsid w:val="00352DDD"/>
    <w:rsid w:val="00357481"/>
    <w:rsid w:val="00365B29"/>
    <w:rsid w:val="003704B4"/>
    <w:rsid w:val="00372B8F"/>
    <w:rsid w:val="003815F2"/>
    <w:rsid w:val="00386EA9"/>
    <w:rsid w:val="00390057"/>
    <w:rsid w:val="0039028C"/>
    <w:rsid w:val="0039146D"/>
    <w:rsid w:val="00394E71"/>
    <w:rsid w:val="00395167"/>
    <w:rsid w:val="003979A9"/>
    <w:rsid w:val="003A07AE"/>
    <w:rsid w:val="003A6566"/>
    <w:rsid w:val="003A6944"/>
    <w:rsid w:val="003B09B4"/>
    <w:rsid w:val="003B1A1A"/>
    <w:rsid w:val="003B2497"/>
    <w:rsid w:val="003B45F9"/>
    <w:rsid w:val="003B537A"/>
    <w:rsid w:val="003B721F"/>
    <w:rsid w:val="003C0969"/>
    <w:rsid w:val="003C0EFE"/>
    <w:rsid w:val="003C2011"/>
    <w:rsid w:val="003C2643"/>
    <w:rsid w:val="003C4BA5"/>
    <w:rsid w:val="003D27FA"/>
    <w:rsid w:val="003D2C22"/>
    <w:rsid w:val="003D4800"/>
    <w:rsid w:val="003D49BB"/>
    <w:rsid w:val="003D73D3"/>
    <w:rsid w:val="003E161C"/>
    <w:rsid w:val="003E3AE6"/>
    <w:rsid w:val="003F0037"/>
    <w:rsid w:val="003F49CA"/>
    <w:rsid w:val="003F5FD8"/>
    <w:rsid w:val="003F6809"/>
    <w:rsid w:val="003F6D0A"/>
    <w:rsid w:val="003F76D3"/>
    <w:rsid w:val="0040192D"/>
    <w:rsid w:val="00411BAF"/>
    <w:rsid w:val="00412258"/>
    <w:rsid w:val="00413C9D"/>
    <w:rsid w:val="00415BED"/>
    <w:rsid w:val="0041694B"/>
    <w:rsid w:val="004177E4"/>
    <w:rsid w:val="004217D0"/>
    <w:rsid w:val="00421E65"/>
    <w:rsid w:val="0042204E"/>
    <w:rsid w:val="00422D18"/>
    <w:rsid w:val="00423059"/>
    <w:rsid w:val="004233F8"/>
    <w:rsid w:val="00426725"/>
    <w:rsid w:val="00427D86"/>
    <w:rsid w:val="00430158"/>
    <w:rsid w:val="00430516"/>
    <w:rsid w:val="00430DE6"/>
    <w:rsid w:val="0043309D"/>
    <w:rsid w:val="00434C42"/>
    <w:rsid w:val="0043563D"/>
    <w:rsid w:val="0043580C"/>
    <w:rsid w:val="00435875"/>
    <w:rsid w:val="00442BA7"/>
    <w:rsid w:val="00447BC1"/>
    <w:rsid w:val="00450234"/>
    <w:rsid w:val="00453A7C"/>
    <w:rsid w:val="00456289"/>
    <w:rsid w:val="00460928"/>
    <w:rsid w:val="00463771"/>
    <w:rsid w:val="00463990"/>
    <w:rsid w:val="00467EFC"/>
    <w:rsid w:val="00471FC7"/>
    <w:rsid w:val="00473128"/>
    <w:rsid w:val="0048094A"/>
    <w:rsid w:val="004826BE"/>
    <w:rsid w:val="00482ADB"/>
    <w:rsid w:val="0048516A"/>
    <w:rsid w:val="00486675"/>
    <w:rsid w:val="004905F4"/>
    <w:rsid w:val="004918AE"/>
    <w:rsid w:val="00491F95"/>
    <w:rsid w:val="0049384E"/>
    <w:rsid w:val="004A0DCC"/>
    <w:rsid w:val="004A6761"/>
    <w:rsid w:val="004B226F"/>
    <w:rsid w:val="004B27A6"/>
    <w:rsid w:val="004C16CD"/>
    <w:rsid w:val="004C178C"/>
    <w:rsid w:val="004C4735"/>
    <w:rsid w:val="004D0F5B"/>
    <w:rsid w:val="004D20A8"/>
    <w:rsid w:val="004D3D68"/>
    <w:rsid w:val="004D46CC"/>
    <w:rsid w:val="004D47E4"/>
    <w:rsid w:val="004D5415"/>
    <w:rsid w:val="004D576E"/>
    <w:rsid w:val="004E0ED0"/>
    <w:rsid w:val="004E123D"/>
    <w:rsid w:val="004F31B9"/>
    <w:rsid w:val="004F64D7"/>
    <w:rsid w:val="004F678B"/>
    <w:rsid w:val="004F78F2"/>
    <w:rsid w:val="00501D65"/>
    <w:rsid w:val="005039F3"/>
    <w:rsid w:val="00503C5F"/>
    <w:rsid w:val="00503D20"/>
    <w:rsid w:val="0050573B"/>
    <w:rsid w:val="0050691A"/>
    <w:rsid w:val="00506D21"/>
    <w:rsid w:val="005077D6"/>
    <w:rsid w:val="00510197"/>
    <w:rsid w:val="0051020F"/>
    <w:rsid w:val="00512034"/>
    <w:rsid w:val="005135EA"/>
    <w:rsid w:val="00514BBB"/>
    <w:rsid w:val="005213EC"/>
    <w:rsid w:val="00522C88"/>
    <w:rsid w:val="00524C59"/>
    <w:rsid w:val="005273F9"/>
    <w:rsid w:val="00527483"/>
    <w:rsid w:val="0052756F"/>
    <w:rsid w:val="0053194C"/>
    <w:rsid w:val="00537A7E"/>
    <w:rsid w:val="00540F5D"/>
    <w:rsid w:val="00542706"/>
    <w:rsid w:val="00542BAB"/>
    <w:rsid w:val="005430A6"/>
    <w:rsid w:val="00543A6F"/>
    <w:rsid w:val="00545546"/>
    <w:rsid w:val="005462B3"/>
    <w:rsid w:val="005469FA"/>
    <w:rsid w:val="005543BE"/>
    <w:rsid w:val="00554659"/>
    <w:rsid w:val="005603B7"/>
    <w:rsid w:val="0056248F"/>
    <w:rsid w:val="00563952"/>
    <w:rsid w:val="005647BB"/>
    <w:rsid w:val="0057139D"/>
    <w:rsid w:val="00572E5B"/>
    <w:rsid w:val="00573789"/>
    <w:rsid w:val="005760E9"/>
    <w:rsid w:val="00577992"/>
    <w:rsid w:val="00583835"/>
    <w:rsid w:val="00585183"/>
    <w:rsid w:val="00587000"/>
    <w:rsid w:val="00591EE5"/>
    <w:rsid w:val="00594B1F"/>
    <w:rsid w:val="005972C1"/>
    <w:rsid w:val="00597347"/>
    <w:rsid w:val="00597711"/>
    <w:rsid w:val="005A0D29"/>
    <w:rsid w:val="005A1EC4"/>
    <w:rsid w:val="005A227E"/>
    <w:rsid w:val="005B02E6"/>
    <w:rsid w:val="005B1C3E"/>
    <w:rsid w:val="005B6335"/>
    <w:rsid w:val="005B714B"/>
    <w:rsid w:val="005B7848"/>
    <w:rsid w:val="005C0A86"/>
    <w:rsid w:val="005C1754"/>
    <w:rsid w:val="005C2B94"/>
    <w:rsid w:val="005C3A4C"/>
    <w:rsid w:val="005C50E9"/>
    <w:rsid w:val="005C5C7E"/>
    <w:rsid w:val="005D0DB9"/>
    <w:rsid w:val="005D7852"/>
    <w:rsid w:val="005D7B39"/>
    <w:rsid w:val="005E11D8"/>
    <w:rsid w:val="005E167A"/>
    <w:rsid w:val="005E1F16"/>
    <w:rsid w:val="005E20E3"/>
    <w:rsid w:val="005E7F1F"/>
    <w:rsid w:val="005F03C5"/>
    <w:rsid w:val="005F0954"/>
    <w:rsid w:val="005F1BE2"/>
    <w:rsid w:val="005F2713"/>
    <w:rsid w:val="005F3D11"/>
    <w:rsid w:val="005F48AE"/>
    <w:rsid w:val="005F5FEC"/>
    <w:rsid w:val="006007B1"/>
    <w:rsid w:val="00601090"/>
    <w:rsid w:val="006016F7"/>
    <w:rsid w:val="00610756"/>
    <w:rsid w:val="0061155B"/>
    <w:rsid w:val="00613AB7"/>
    <w:rsid w:val="006143EA"/>
    <w:rsid w:val="00617308"/>
    <w:rsid w:val="006179E1"/>
    <w:rsid w:val="00620099"/>
    <w:rsid w:val="00622415"/>
    <w:rsid w:val="00623813"/>
    <w:rsid w:val="00623CE6"/>
    <w:rsid w:val="00624C3A"/>
    <w:rsid w:val="006272A7"/>
    <w:rsid w:val="006327E5"/>
    <w:rsid w:val="00634B26"/>
    <w:rsid w:val="006400E6"/>
    <w:rsid w:val="00643795"/>
    <w:rsid w:val="006453E5"/>
    <w:rsid w:val="00645666"/>
    <w:rsid w:val="00645AEC"/>
    <w:rsid w:val="0065263E"/>
    <w:rsid w:val="00652BC8"/>
    <w:rsid w:val="006530EA"/>
    <w:rsid w:val="00653F79"/>
    <w:rsid w:val="006562D1"/>
    <w:rsid w:val="00661A49"/>
    <w:rsid w:val="00664CD7"/>
    <w:rsid w:val="00665F4F"/>
    <w:rsid w:val="00670213"/>
    <w:rsid w:val="00670624"/>
    <w:rsid w:val="00675F02"/>
    <w:rsid w:val="0067601D"/>
    <w:rsid w:val="0067729C"/>
    <w:rsid w:val="00681CD5"/>
    <w:rsid w:val="00682DC7"/>
    <w:rsid w:val="00685FC2"/>
    <w:rsid w:val="006865C2"/>
    <w:rsid w:val="00687B9A"/>
    <w:rsid w:val="006923DB"/>
    <w:rsid w:val="00693178"/>
    <w:rsid w:val="00693A40"/>
    <w:rsid w:val="00693BF9"/>
    <w:rsid w:val="00695364"/>
    <w:rsid w:val="006A3D8B"/>
    <w:rsid w:val="006A4DE2"/>
    <w:rsid w:val="006A6D99"/>
    <w:rsid w:val="006B0124"/>
    <w:rsid w:val="006B2B50"/>
    <w:rsid w:val="006B4896"/>
    <w:rsid w:val="006B6A21"/>
    <w:rsid w:val="006B79EF"/>
    <w:rsid w:val="006C08CB"/>
    <w:rsid w:val="006C0FDD"/>
    <w:rsid w:val="006C7B15"/>
    <w:rsid w:val="006D5DF6"/>
    <w:rsid w:val="006E0665"/>
    <w:rsid w:val="006E1A61"/>
    <w:rsid w:val="006E361B"/>
    <w:rsid w:val="006E4689"/>
    <w:rsid w:val="006E5496"/>
    <w:rsid w:val="006E5D67"/>
    <w:rsid w:val="006E5D9C"/>
    <w:rsid w:val="006E61D8"/>
    <w:rsid w:val="006E759F"/>
    <w:rsid w:val="006F1755"/>
    <w:rsid w:val="006F37F1"/>
    <w:rsid w:val="007022F6"/>
    <w:rsid w:val="007029FB"/>
    <w:rsid w:val="00702E42"/>
    <w:rsid w:val="00703972"/>
    <w:rsid w:val="00704D95"/>
    <w:rsid w:val="00706A22"/>
    <w:rsid w:val="007077A0"/>
    <w:rsid w:val="007112B3"/>
    <w:rsid w:val="0071182C"/>
    <w:rsid w:val="007119AB"/>
    <w:rsid w:val="00713D97"/>
    <w:rsid w:val="007144F8"/>
    <w:rsid w:val="007153FE"/>
    <w:rsid w:val="007156D9"/>
    <w:rsid w:val="007176D7"/>
    <w:rsid w:val="00720268"/>
    <w:rsid w:val="00720E09"/>
    <w:rsid w:val="007210B7"/>
    <w:rsid w:val="0072144F"/>
    <w:rsid w:val="00722E27"/>
    <w:rsid w:val="007240C1"/>
    <w:rsid w:val="00725C94"/>
    <w:rsid w:val="007306DE"/>
    <w:rsid w:val="007332C1"/>
    <w:rsid w:val="007335A9"/>
    <w:rsid w:val="00733EC5"/>
    <w:rsid w:val="007341C6"/>
    <w:rsid w:val="0073661D"/>
    <w:rsid w:val="0074163A"/>
    <w:rsid w:val="00741998"/>
    <w:rsid w:val="00744995"/>
    <w:rsid w:val="00746A4A"/>
    <w:rsid w:val="00750FB6"/>
    <w:rsid w:val="0075262F"/>
    <w:rsid w:val="00755559"/>
    <w:rsid w:val="007568EE"/>
    <w:rsid w:val="0076014D"/>
    <w:rsid w:val="00765C39"/>
    <w:rsid w:val="00775B2F"/>
    <w:rsid w:val="007767CB"/>
    <w:rsid w:val="007800B7"/>
    <w:rsid w:val="00783344"/>
    <w:rsid w:val="007844A0"/>
    <w:rsid w:val="0078658F"/>
    <w:rsid w:val="0078772E"/>
    <w:rsid w:val="00790568"/>
    <w:rsid w:val="00790FB3"/>
    <w:rsid w:val="00791686"/>
    <w:rsid w:val="007919EF"/>
    <w:rsid w:val="00793626"/>
    <w:rsid w:val="00797388"/>
    <w:rsid w:val="007A14F4"/>
    <w:rsid w:val="007A4344"/>
    <w:rsid w:val="007A43DF"/>
    <w:rsid w:val="007A43ED"/>
    <w:rsid w:val="007A706D"/>
    <w:rsid w:val="007A713B"/>
    <w:rsid w:val="007A75C9"/>
    <w:rsid w:val="007A7666"/>
    <w:rsid w:val="007B0282"/>
    <w:rsid w:val="007B3FF1"/>
    <w:rsid w:val="007B72F8"/>
    <w:rsid w:val="007C2198"/>
    <w:rsid w:val="007C21D6"/>
    <w:rsid w:val="007C2903"/>
    <w:rsid w:val="007C3701"/>
    <w:rsid w:val="007C4597"/>
    <w:rsid w:val="007C7A6A"/>
    <w:rsid w:val="007D062E"/>
    <w:rsid w:val="007D2234"/>
    <w:rsid w:val="007D2AA0"/>
    <w:rsid w:val="007D5A11"/>
    <w:rsid w:val="007D73E2"/>
    <w:rsid w:val="007E1309"/>
    <w:rsid w:val="007E5CDB"/>
    <w:rsid w:val="007E66D5"/>
    <w:rsid w:val="007F37CC"/>
    <w:rsid w:val="007F49AF"/>
    <w:rsid w:val="007F661A"/>
    <w:rsid w:val="00803C1D"/>
    <w:rsid w:val="00803D9B"/>
    <w:rsid w:val="00811FC1"/>
    <w:rsid w:val="00813E4F"/>
    <w:rsid w:val="00815F5A"/>
    <w:rsid w:val="0082476F"/>
    <w:rsid w:val="008251D7"/>
    <w:rsid w:val="0082670B"/>
    <w:rsid w:val="008269BD"/>
    <w:rsid w:val="00830AC7"/>
    <w:rsid w:val="00832996"/>
    <w:rsid w:val="00833A4A"/>
    <w:rsid w:val="00836A2A"/>
    <w:rsid w:val="00836DE4"/>
    <w:rsid w:val="00841A27"/>
    <w:rsid w:val="00843358"/>
    <w:rsid w:val="00847143"/>
    <w:rsid w:val="00847E2C"/>
    <w:rsid w:val="00852FAE"/>
    <w:rsid w:val="00856775"/>
    <w:rsid w:val="0085767F"/>
    <w:rsid w:val="00863385"/>
    <w:rsid w:val="00863506"/>
    <w:rsid w:val="0086401E"/>
    <w:rsid w:val="00864FE6"/>
    <w:rsid w:val="008678E5"/>
    <w:rsid w:val="0087058C"/>
    <w:rsid w:val="008762BC"/>
    <w:rsid w:val="008825F1"/>
    <w:rsid w:val="008866D2"/>
    <w:rsid w:val="0088671E"/>
    <w:rsid w:val="008946E1"/>
    <w:rsid w:val="008A1870"/>
    <w:rsid w:val="008A1B75"/>
    <w:rsid w:val="008A729A"/>
    <w:rsid w:val="008B263F"/>
    <w:rsid w:val="008B4400"/>
    <w:rsid w:val="008B4583"/>
    <w:rsid w:val="008B5373"/>
    <w:rsid w:val="008B53A5"/>
    <w:rsid w:val="008C195F"/>
    <w:rsid w:val="008C1F3D"/>
    <w:rsid w:val="008C25B7"/>
    <w:rsid w:val="008C2928"/>
    <w:rsid w:val="008C3026"/>
    <w:rsid w:val="008C383F"/>
    <w:rsid w:val="008C3AC7"/>
    <w:rsid w:val="008C7D16"/>
    <w:rsid w:val="008D1B13"/>
    <w:rsid w:val="008D4240"/>
    <w:rsid w:val="008D54D8"/>
    <w:rsid w:val="008D5BB0"/>
    <w:rsid w:val="008D72D9"/>
    <w:rsid w:val="008D750F"/>
    <w:rsid w:val="008E0663"/>
    <w:rsid w:val="008E0AFB"/>
    <w:rsid w:val="008E1749"/>
    <w:rsid w:val="008E796A"/>
    <w:rsid w:val="008F0178"/>
    <w:rsid w:val="00902E9C"/>
    <w:rsid w:val="00902F47"/>
    <w:rsid w:val="0090375A"/>
    <w:rsid w:val="00906080"/>
    <w:rsid w:val="00907CC6"/>
    <w:rsid w:val="009110BA"/>
    <w:rsid w:val="009155B2"/>
    <w:rsid w:val="00915740"/>
    <w:rsid w:val="00916E53"/>
    <w:rsid w:val="009220BE"/>
    <w:rsid w:val="00922134"/>
    <w:rsid w:val="009238AE"/>
    <w:rsid w:val="00926CAE"/>
    <w:rsid w:val="00926DB1"/>
    <w:rsid w:val="00930A0B"/>
    <w:rsid w:val="00930F16"/>
    <w:rsid w:val="00932A4B"/>
    <w:rsid w:val="009332F6"/>
    <w:rsid w:val="0093387F"/>
    <w:rsid w:val="00934228"/>
    <w:rsid w:val="0093587B"/>
    <w:rsid w:val="00936B3D"/>
    <w:rsid w:val="00936D47"/>
    <w:rsid w:val="00941214"/>
    <w:rsid w:val="0094174E"/>
    <w:rsid w:val="00942EE7"/>
    <w:rsid w:val="00943214"/>
    <w:rsid w:val="009448C6"/>
    <w:rsid w:val="00945DC3"/>
    <w:rsid w:val="00950ABE"/>
    <w:rsid w:val="0095145C"/>
    <w:rsid w:val="0095235F"/>
    <w:rsid w:val="009533E6"/>
    <w:rsid w:val="00954921"/>
    <w:rsid w:val="00956A21"/>
    <w:rsid w:val="009574E9"/>
    <w:rsid w:val="00957D1E"/>
    <w:rsid w:val="009620C0"/>
    <w:rsid w:val="009625ED"/>
    <w:rsid w:val="00963D3C"/>
    <w:rsid w:val="00975EDE"/>
    <w:rsid w:val="009810F5"/>
    <w:rsid w:val="00984A00"/>
    <w:rsid w:val="00984F2C"/>
    <w:rsid w:val="00984F4E"/>
    <w:rsid w:val="009851D8"/>
    <w:rsid w:val="009A4500"/>
    <w:rsid w:val="009A588A"/>
    <w:rsid w:val="009A62F3"/>
    <w:rsid w:val="009B2323"/>
    <w:rsid w:val="009B3B21"/>
    <w:rsid w:val="009B46BC"/>
    <w:rsid w:val="009B55E7"/>
    <w:rsid w:val="009B68EC"/>
    <w:rsid w:val="009C2AD3"/>
    <w:rsid w:val="009C3107"/>
    <w:rsid w:val="009C5873"/>
    <w:rsid w:val="009D2288"/>
    <w:rsid w:val="009D7479"/>
    <w:rsid w:val="009E22AB"/>
    <w:rsid w:val="009E27F2"/>
    <w:rsid w:val="009E3458"/>
    <w:rsid w:val="009E518C"/>
    <w:rsid w:val="009E63A9"/>
    <w:rsid w:val="009E67CB"/>
    <w:rsid w:val="009E685B"/>
    <w:rsid w:val="009F046C"/>
    <w:rsid w:val="009F051B"/>
    <w:rsid w:val="009F58A4"/>
    <w:rsid w:val="009F7B35"/>
    <w:rsid w:val="00A03E66"/>
    <w:rsid w:val="00A05C75"/>
    <w:rsid w:val="00A06115"/>
    <w:rsid w:val="00A11866"/>
    <w:rsid w:val="00A14E62"/>
    <w:rsid w:val="00A3567D"/>
    <w:rsid w:val="00A405F0"/>
    <w:rsid w:val="00A419C7"/>
    <w:rsid w:val="00A52A4F"/>
    <w:rsid w:val="00A54608"/>
    <w:rsid w:val="00A6061D"/>
    <w:rsid w:val="00A62682"/>
    <w:rsid w:val="00A657F7"/>
    <w:rsid w:val="00A661D5"/>
    <w:rsid w:val="00A71F5F"/>
    <w:rsid w:val="00A76081"/>
    <w:rsid w:val="00A80248"/>
    <w:rsid w:val="00A805FE"/>
    <w:rsid w:val="00A80E77"/>
    <w:rsid w:val="00A80FA4"/>
    <w:rsid w:val="00A81117"/>
    <w:rsid w:val="00A8145D"/>
    <w:rsid w:val="00A82E40"/>
    <w:rsid w:val="00A83D24"/>
    <w:rsid w:val="00A87194"/>
    <w:rsid w:val="00A906F1"/>
    <w:rsid w:val="00A91880"/>
    <w:rsid w:val="00A919AE"/>
    <w:rsid w:val="00A93415"/>
    <w:rsid w:val="00AA157D"/>
    <w:rsid w:val="00AA4925"/>
    <w:rsid w:val="00AA5AE7"/>
    <w:rsid w:val="00AA6D18"/>
    <w:rsid w:val="00AA7141"/>
    <w:rsid w:val="00AB2F6C"/>
    <w:rsid w:val="00AB30AF"/>
    <w:rsid w:val="00AB7078"/>
    <w:rsid w:val="00AB78B1"/>
    <w:rsid w:val="00AC0806"/>
    <w:rsid w:val="00AC11C3"/>
    <w:rsid w:val="00AC153E"/>
    <w:rsid w:val="00AC1C82"/>
    <w:rsid w:val="00AC1E6E"/>
    <w:rsid w:val="00AD0735"/>
    <w:rsid w:val="00AD2244"/>
    <w:rsid w:val="00AD352D"/>
    <w:rsid w:val="00AD4743"/>
    <w:rsid w:val="00AE281B"/>
    <w:rsid w:val="00AE6148"/>
    <w:rsid w:val="00AF3D14"/>
    <w:rsid w:val="00AF582C"/>
    <w:rsid w:val="00AF6610"/>
    <w:rsid w:val="00AF6F33"/>
    <w:rsid w:val="00AF7B13"/>
    <w:rsid w:val="00AF7D01"/>
    <w:rsid w:val="00B017FC"/>
    <w:rsid w:val="00B028A1"/>
    <w:rsid w:val="00B05F14"/>
    <w:rsid w:val="00B074F7"/>
    <w:rsid w:val="00B16EE6"/>
    <w:rsid w:val="00B2314D"/>
    <w:rsid w:val="00B23C99"/>
    <w:rsid w:val="00B2415F"/>
    <w:rsid w:val="00B2486A"/>
    <w:rsid w:val="00B24A32"/>
    <w:rsid w:val="00B26695"/>
    <w:rsid w:val="00B278D8"/>
    <w:rsid w:val="00B30571"/>
    <w:rsid w:val="00B30DBA"/>
    <w:rsid w:val="00B30F63"/>
    <w:rsid w:val="00B3106F"/>
    <w:rsid w:val="00B3206D"/>
    <w:rsid w:val="00B3470A"/>
    <w:rsid w:val="00B3553B"/>
    <w:rsid w:val="00B36C66"/>
    <w:rsid w:val="00B404C6"/>
    <w:rsid w:val="00B4330D"/>
    <w:rsid w:val="00B43CFB"/>
    <w:rsid w:val="00B43F2C"/>
    <w:rsid w:val="00B45DDF"/>
    <w:rsid w:val="00B46AD8"/>
    <w:rsid w:val="00B509EC"/>
    <w:rsid w:val="00B52130"/>
    <w:rsid w:val="00B53CCE"/>
    <w:rsid w:val="00B53D75"/>
    <w:rsid w:val="00B54F24"/>
    <w:rsid w:val="00B64721"/>
    <w:rsid w:val="00B67632"/>
    <w:rsid w:val="00B7006E"/>
    <w:rsid w:val="00B713C8"/>
    <w:rsid w:val="00B76F6E"/>
    <w:rsid w:val="00B82740"/>
    <w:rsid w:val="00B82835"/>
    <w:rsid w:val="00B8370C"/>
    <w:rsid w:val="00B8466D"/>
    <w:rsid w:val="00B86DEA"/>
    <w:rsid w:val="00B87BB8"/>
    <w:rsid w:val="00B911AD"/>
    <w:rsid w:val="00B93808"/>
    <w:rsid w:val="00B93855"/>
    <w:rsid w:val="00B95CB6"/>
    <w:rsid w:val="00BA155A"/>
    <w:rsid w:val="00BA2DF3"/>
    <w:rsid w:val="00BA30EE"/>
    <w:rsid w:val="00BA3322"/>
    <w:rsid w:val="00BA4C1E"/>
    <w:rsid w:val="00BA5970"/>
    <w:rsid w:val="00BA60C1"/>
    <w:rsid w:val="00BB074F"/>
    <w:rsid w:val="00BB118B"/>
    <w:rsid w:val="00BB2130"/>
    <w:rsid w:val="00BB345F"/>
    <w:rsid w:val="00BB5811"/>
    <w:rsid w:val="00BB59CF"/>
    <w:rsid w:val="00BB7963"/>
    <w:rsid w:val="00BB7ACC"/>
    <w:rsid w:val="00BD1D42"/>
    <w:rsid w:val="00BD2E67"/>
    <w:rsid w:val="00BE3E0A"/>
    <w:rsid w:val="00BE4A21"/>
    <w:rsid w:val="00BF4853"/>
    <w:rsid w:val="00BF571F"/>
    <w:rsid w:val="00BF5F8E"/>
    <w:rsid w:val="00C0652F"/>
    <w:rsid w:val="00C1190A"/>
    <w:rsid w:val="00C11E2B"/>
    <w:rsid w:val="00C13E7E"/>
    <w:rsid w:val="00C16F4F"/>
    <w:rsid w:val="00C21B39"/>
    <w:rsid w:val="00C261CF"/>
    <w:rsid w:val="00C26B5D"/>
    <w:rsid w:val="00C301AA"/>
    <w:rsid w:val="00C34786"/>
    <w:rsid w:val="00C35170"/>
    <w:rsid w:val="00C37255"/>
    <w:rsid w:val="00C41A5C"/>
    <w:rsid w:val="00C42C91"/>
    <w:rsid w:val="00C439BB"/>
    <w:rsid w:val="00C45644"/>
    <w:rsid w:val="00C462C9"/>
    <w:rsid w:val="00C47855"/>
    <w:rsid w:val="00C53467"/>
    <w:rsid w:val="00C550B7"/>
    <w:rsid w:val="00C57DAC"/>
    <w:rsid w:val="00C60374"/>
    <w:rsid w:val="00C63BE4"/>
    <w:rsid w:val="00C729CE"/>
    <w:rsid w:val="00C80AFB"/>
    <w:rsid w:val="00C84649"/>
    <w:rsid w:val="00C86CC0"/>
    <w:rsid w:val="00C90BDE"/>
    <w:rsid w:val="00C936FD"/>
    <w:rsid w:val="00C94FC9"/>
    <w:rsid w:val="00C95897"/>
    <w:rsid w:val="00C96785"/>
    <w:rsid w:val="00C96CC0"/>
    <w:rsid w:val="00CA50FC"/>
    <w:rsid w:val="00CA62F2"/>
    <w:rsid w:val="00CA7D15"/>
    <w:rsid w:val="00CB1A4E"/>
    <w:rsid w:val="00CB28CE"/>
    <w:rsid w:val="00CB36EE"/>
    <w:rsid w:val="00CB49CB"/>
    <w:rsid w:val="00CB57AA"/>
    <w:rsid w:val="00CB66C3"/>
    <w:rsid w:val="00CB752D"/>
    <w:rsid w:val="00CC008C"/>
    <w:rsid w:val="00CC047A"/>
    <w:rsid w:val="00CC0602"/>
    <w:rsid w:val="00CC24F9"/>
    <w:rsid w:val="00CC35AF"/>
    <w:rsid w:val="00CC3836"/>
    <w:rsid w:val="00CC6962"/>
    <w:rsid w:val="00CD1077"/>
    <w:rsid w:val="00CD2D59"/>
    <w:rsid w:val="00CD38FB"/>
    <w:rsid w:val="00CD4136"/>
    <w:rsid w:val="00CD73A5"/>
    <w:rsid w:val="00CE6F6A"/>
    <w:rsid w:val="00CF508A"/>
    <w:rsid w:val="00CF5478"/>
    <w:rsid w:val="00D0253A"/>
    <w:rsid w:val="00D02B6F"/>
    <w:rsid w:val="00D02E00"/>
    <w:rsid w:val="00D03E7F"/>
    <w:rsid w:val="00D12DF3"/>
    <w:rsid w:val="00D12EE3"/>
    <w:rsid w:val="00D135CF"/>
    <w:rsid w:val="00D1361B"/>
    <w:rsid w:val="00D13E64"/>
    <w:rsid w:val="00D148BE"/>
    <w:rsid w:val="00D17CE6"/>
    <w:rsid w:val="00D20831"/>
    <w:rsid w:val="00D21AEF"/>
    <w:rsid w:val="00D32B60"/>
    <w:rsid w:val="00D3661F"/>
    <w:rsid w:val="00D3708A"/>
    <w:rsid w:val="00D4055E"/>
    <w:rsid w:val="00D42C0D"/>
    <w:rsid w:val="00D458E3"/>
    <w:rsid w:val="00D45DB7"/>
    <w:rsid w:val="00D47980"/>
    <w:rsid w:val="00D5168F"/>
    <w:rsid w:val="00D533FD"/>
    <w:rsid w:val="00D542B8"/>
    <w:rsid w:val="00D63960"/>
    <w:rsid w:val="00D647A6"/>
    <w:rsid w:val="00D647F6"/>
    <w:rsid w:val="00D67DB5"/>
    <w:rsid w:val="00D67F3D"/>
    <w:rsid w:val="00D75737"/>
    <w:rsid w:val="00D80AFC"/>
    <w:rsid w:val="00D8336F"/>
    <w:rsid w:val="00D8405C"/>
    <w:rsid w:val="00D8460C"/>
    <w:rsid w:val="00D85E7B"/>
    <w:rsid w:val="00D92259"/>
    <w:rsid w:val="00D92F0C"/>
    <w:rsid w:val="00D966AA"/>
    <w:rsid w:val="00DA2340"/>
    <w:rsid w:val="00DB05A2"/>
    <w:rsid w:val="00DB0ECD"/>
    <w:rsid w:val="00DB15B0"/>
    <w:rsid w:val="00DB1E4B"/>
    <w:rsid w:val="00DB294D"/>
    <w:rsid w:val="00DB689D"/>
    <w:rsid w:val="00DC057D"/>
    <w:rsid w:val="00DC10EE"/>
    <w:rsid w:val="00DC173D"/>
    <w:rsid w:val="00DC24A1"/>
    <w:rsid w:val="00DC38FB"/>
    <w:rsid w:val="00DC63ED"/>
    <w:rsid w:val="00DC7AC3"/>
    <w:rsid w:val="00DD1B66"/>
    <w:rsid w:val="00DD26C1"/>
    <w:rsid w:val="00DD4437"/>
    <w:rsid w:val="00DD54E7"/>
    <w:rsid w:val="00DD627C"/>
    <w:rsid w:val="00DD6AE2"/>
    <w:rsid w:val="00DE0526"/>
    <w:rsid w:val="00DE0A1A"/>
    <w:rsid w:val="00DE2085"/>
    <w:rsid w:val="00DE542A"/>
    <w:rsid w:val="00DE6AF4"/>
    <w:rsid w:val="00DE7B66"/>
    <w:rsid w:val="00DF1486"/>
    <w:rsid w:val="00DF6ECA"/>
    <w:rsid w:val="00DF7624"/>
    <w:rsid w:val="00E01FE1"/>
    <w:rsid w:val="00E02B46"/>
    <w:rsid w:val="00E0305A"/>
    <w:rsid w:val="00E100FA"/>
    <w:rsid w:val="00E10AF7"/>
    <w:rsid w:val="00E114C4"/>
    <w:rsid w:val="00E203DC"/>
    <w:rsid w:val="00E22B0D"/>
    <w:rsid w:val="00E238F5"/>
    <w:rsid w:val="00E24247"/>
    <w:rsid w:val="00E26FB5"/>
    <w:rsid w:val="00E3095C"/>
    <w:rsid w:val="00E31DE4"/>
    <w:rsid w:val="00E34D06"/>
    <w:rsid w:val="00E368C3"/>
    <w:rsid w:val="00E406CE"/>
    <w:rsid w:val="00E41976"/>
    <w:rsid w:val="00E446BB"/>
    <w:rsid w:val="00E45A74"/>
    <w:rsid w:val="00E46ABC"/>
    <w:rsid w:val="00E479E4"/>
    <w:rsid w:val="00E50381"/>
    <w:rsid w:val="00E5191D"/>
    <w:rsid w:val="00E526BA"/>
    <w:rsid w:val="00E534CA"/>
    <w:rsid w:val="00E53C1F"/>
    <w:rsid w:val="00E571EE"/>
    <w:rsid w:val="00E62A07"/>
    <w:rsid w:val="00E649A1"/>
    <w:rsid w:val="00E6725E"/>
    <w:rsid w:val="00E7114F"/>
    <w:rsid w:val="00E719B6"/>
    <w:rsid w:val="00E71EBC"/>
    <w:rsid w:val="00E72106"/>
    <w:rsid w:val="00E726A0"/>
    <w:rsid w:val="00E7490D"/>
    <w:rsid w:val="00E80D4B"/>
    <w:rsid w:val="00E822E6"/>
    <w:rsid w:val="00E82A5A"/>
    <w:rsid w:val="00E839DB"/>
    <w:rsid w:val="00E84E60"/>
    <w:rsid w:val="00E857A5"/>
    <w:rsid w:val="00E87C2D"/>
    <w:rsid w:val="00E94472"/>
    <w:rsid w:val="00EA25FD"/>
    <w:rsid w:val="00EA26DC"/>
    <w:rsid w:val="00EA37ED"/>
    <w:rsid w:val="00EA62BA"/>
    <w:rsid w:val="00EB1B67"/>
    <w:rsid w:val="00EB2ED7"/>
    <w:rsid w:val="00EB4385"/>
    <w:rsid w:val="00EB4AA2"/>
    <w:rsid w:val="00EB4C2A"/>
    <w:rsid w:val="00EB551A"/>
    <w:rsid w:val="00EB5CF3"/>
    <w:rsid w:val="00EB75D2"/>
    <w:rsid w:val="00EC0B17"/>
    <w:rsid w:val="00EC0FF0"/>
    <w:rsid w:val="00EC1CB8"/>
    <w:rsid w:val="00EC3A93"/>
    <w:rsid w:val="00EC3DAB"/>
    <w:rsid w:val="00EC5AC0"/>
    <w:rsid w:val="00EC7B53"/>
    <w:rsid w:val="00ED0A11"/>
    <w:rsid w:val="00ED51CF"/>
    <w:rsid w:val="00ED5B5A"/>
    <w:rsid w:val="00EE52AE"/>
    <w:rsid w:val="00EE6CDA"/>
    <w:rsid w:val="00EE6F5B"/>
    <w:rsid w:val="00EF40A0"/>
    <w:rsid w:val="00EF4FE3"/>
    <w:rsid w:val="00EF5E87"/>
    <w:rsid w:val="00EF790B"/>
    <w:rsid w:val="00F018C5"/>
    <w:rsid w:val="00F01BE2"/>
    <w:rsid w:val="00F029EA"/>
    <w:rsid w:val="00F0301E"/>
    <w:rsid w:val="00F043C7"/>
    <w:rsid w:val="00F04801"/>
    <w:rsid w:val="00F07747"/>
    <w:rsid w:val="00F07E5F"/>
    <w:rsid w:val="00F10D4E"/>
    <w:rsid w:val="00F139DE"/>
    <w:rsid w:val="00F16445"/>
    <w:rsid w:val="00F16BC9"/>
    <w:rsid w:val="00F16EA3"/>
    <w:rsid w:val="00F22F8C"/>
    <w:rsid w:val="00F23179"/>
    <w:rsid w:val="00F23987"/>
    <w:rsid w:val="00F24080"/>
    <w:rsid w:val="00F24F3A"/>
    <w:rsid w:val="00F259EF"/>
    <w:rsid w:val="00F2726C"/>
    <w:rsid w:val="00F323D3"/>
    <w:rsid w:val="00F32690"/>
    <w:rsid w:val="00F40B9E"/>
    <w:rsid w:val="00F41EF1"/>
    <w:rsid w:val="00F42967"/>
    <w:rsid w:val="00F4522C"/>
    <w:rsid w:val="00F526C2"/>
    <w:rsid w:val="00F52CB1"/>
    <w:rsid w:val="00F53F29"/>
    <w:rsid w:val="00F5647D"/>
    <w:rsid w:val="00F63763"/>
    <w:rsid w:val="00F63906"/>
    <w:rsid w:val="00F663EB"/>
    <w:rsid w:val="00F678FE"/>
    <w:rsid w:val="00F726D9"/>
    <w:rsid w:val="00F7310D"/>
    <w:rsid w:val="00F73243"/>
    <w:rsid w:val="00F732ED"/>
    <w:rsid w:val="00F76858"/>
    <w:rsid w:val="00F76AEE"/>
    <w:rsid w:val="00F77071"/>
    <w:rsid w:val="00F8215B"/>
    <w:rsid w:val="00F842F8"/>
    <w:rsid w:val="00F84D1B"/>
    <w:rsid w:val="00F90847"/>
    <w:rsid w:val="00F946CC"/>
    <w:rsid w:val="00F94F57"/>
    <w:rsid w:val="00F96172"/>
    <w:rsid w:val="00F979E9"/>
    <w:rsid w:val="00FA2C34"/>
    <w:rsid w:val="00FA3097"/>
    <w:rsid w:val="00FA4B9A"/>
    <w:rsid w:val="00FA4D42"/>
    <w:rsid w:val="00FA65AA"/>
    <w:rsid w:val="00FB0927"/>
    <w:rsid w:val="00FB112C"/>
    <w:rsid w:val="00FB42A8"/>
    <w:rsid w:val="00FB5FCA"/>
    <w:rsid w:val="00FB6600"/>
    <w:rsid w:val="00FB686D"/>
    <w:rsid w:val="00FB69EE"/>
    <w:rsid w:val="00FB76B4"/>
    <w:rsid w:val="00FC3ACF"/>
    <w:rsid w:val="00FC5879"/>
    <w:rsid w:val="00FC5F35"/>
    <w:rsid w:val="00FC6981"/>
    <w:rsid w:val="00FD07F2"/>
    <w:rsid w:val="00FD2C87"/>
    <w:rsid w:val="00FD32AB"/>
    <w:rsid w:val="00FD4556"/>
    <w:rsid w:val="00FD576C"/>
    <w:rsid w:val="00FD65C2"/>
    <w:rsid w:val="00FD7175"/>
    <w:rsid w:val="00FE3189"/>
    <w:rsid w:val="00FE44DA"/>
    <w:rsid w:val="00FE4E43"/>
    <w:rsid w:val="00FF654C"/>
    <w:rsid w:val="00FF79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9D9732B-B7FB-4B2A-9372-337E04AF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76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52748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7">
    <w:name w:val="heading 7"/>
    <w:basedOn w:val="Normal"/>
    <w:link w:val="Ttulo7Car"/>
    <w:uiPriority w:val="1"/>
    <w:qFormat/>
    <w:rsid w:val="000F27E6"/>
    <w:pPr>
      <w:widowControl w:val="0"/>
      <w:ind w:left="20"/>
      <w:outlineLvl w:val="6"/>
    </w:pPr>
    <w:rPr>
      <w:rFonts w:cstheme="minorBidi"/>
      <w:sz w:val="25"/>
      <w:szCs w:val="25"/>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0AF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10AF7"/>
    <w:rPr>
      <w:rFonts w:eastAsiaTheme="minorEastAsia"/>
      <w:sz w:val="24"/>
      <w:szCs w:val="24"/>
      <w:lang w:val="es-ES_tradnl" w:eastAsia="es-ES"/>
    </w:rPr>
  </w:style>
  <w:style w:type="paragraph" w:styleId="Piedepgina">
    <w:name w:val="footer"/>
    <w:basedOn w:val="Normal"/>
    <w:link w:val="PiedepginaCar"/>
    <w:uiPriority w:val="99"/>
    <w:unhideWhenUsed/>
    <w:rsid w:val="00E10AF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10AF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0AF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0AF7"/>
    <w:pPr>
      <w:ind w:left="708"/>
    </w:pPr>
    <w:rPr>
      <w:sz w:val="22"/>
      <w:szCs w:val="22"/>
      <w:lang w:val="es-MX" w:eastAsia="en-US"/>
    </w:rPr>
  </w:style>
  <w:style w:type="table" w:styleId="Tablaconcuadrcula">
    <w:name w:val="Table Grid"/>
    <w:basedOn w:val="Tablanormal"/>
    <w:uiPriority w:val="59"/>
    <w:rsid w:val="00E10AF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E10AF7"/>
  </w:style>
  <w:style w:type="character" w:customStyle="1" w:styleId="apple-converted-space">
    <w:name w:val="apple-converted-space"/>
    <w:basedOn w:val="Fuentedeprrafopredeter"/>
    <w:rsid w:val="00E10AF7"/>
  </w:style>
  <w:style w:type="paragraph" w:styleId="NormalWeb">
    <w:name w:val="Normal (Web)"/>
    <w:basedOn w:val="Normal"/>
    <w:uiPriority w:val="99"/>
    <w:unhideWhenUsed/>
    <w:rsid w:val="00E10AF7"/>
    <w:pPr>
      <w:spacing w:before="100" w:beforeAutospacing="1" w:after="100" w:afterAutospacing="1"/>
    </w:pPr>
    <w:rPr>
      <w:lang w:val="es-MX" w:eastAsia="es-MX"/>
    </w:rPr>
  </w:style>
  <w:style w:type="character" w:styleId="Hipervnculo">
    <w:name w:val="Hyperlink"/>
    <w:basedOn w:val="Fuentedeprrafopredeter"/>
    <w:uiPriority w:val="99"/>
    <w:unhideWhenUsed/>
    <w:rsid w:val="00E10AF7"/>
    <w:rPr>
      <w:color w:val="0000FF"/>
      <w:u w:val="single"/>
    </w:rPr>
  </w:style>
  <w:style w:type="paragraph" w:styleId="Sinespaciado">
    <w:name w:val="No Spacing"/>
    <w:aliases w:val="Francesa"/>
    <w:link w:val="SinespaciadoCar"/>
    <w:uiPriority w:val="1"/>
    <w:qFormat/>
    <w:rsid w:val="00E10AF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0AF7"/>
    <w:rPr>
      <w:b/>
      <w:bCs/>
    </w:rPr>
  </w:style>
  <w:style w:type="character" w:customStyle="1" w:styleId="SinespaciadoCar">
    <w:name w:val="Sin espaciado Car"/>
    <w:aliases w:val="Francesa Car"/>
    <w:link w:val="Sinespaciado"/>
    <w:uiPriority w:val="1"/>
    <w:locked/>
    <w:rsid w:val="00E10AF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83EB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3EBA"/>
    <w:rPr>
      <w:rFonts w:ascii="Segoe UI" w:eastAsia="Times New Roman"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866D2"/>
    <w:pPr>
      <w:spacing w:line="360" w:lineRule="auto"/>
      <w:jc w:val="both"/>
    </w:pPr>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866D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8866D2"/>
    <w:rPr>
      <w:vertAlign w:val="superscript"/>
    </w:rPr>
  </w:style>
  <w:style w:type="paragraph" w:customStyle="1" w:styleId="Default">
    <w:name w:val="Default"/>
    <w:rsid w:val="00D45DB7"/>
    <w:pPr>
      <w:autoSpaceDE w:val="0"/>
      <w:autoSpaceDN w:val="0"/>
      <w:adjustRightInd w:val="0"/>
      <w:spacing w:after="0" w:line="240" w:lineRule="auto"/>
    </w:pPr>
    <w:rPr>
      <w:rFonts w:ascii="Arial" w:hAnsi="Arial" w:cs="Arial"/>
      <w:color w:val="000000"/>
      <w:sz w:val="24"/>
      <w:szCs w:val="24"/>
    </w:rPr>
  </w:style>
  <w:style w:type="character" w:customStyle="1" w:styleId="eop">
    <w:name w:val="eop"/>
    <w:basedOn w:val="Fuentedeprrafopredeter"/>
    <w:rsid w:val="00DC63ED"/>
  </w:style>
  <w:style w:type="character" w:customStyle="1" w:styleId="A0">
    <w:name w:val="A0"/>
    <w:uiPriority w:val="99"/>
    <w:rsid w:val="00DC63ED"/>
    <w:rPr>
      <w:rFonts w:cs="AvenirNext LT Pro Regular"/>
      <w:color w:val="000000"/>
      <w:sz w:val="18"/>
      <w:szCs w:val="18"/>
    </w:rPr>
  </w:style>
  <w:style w:type="paragraph" w:styleId="Textoindependiente">
    <w:name w:val="Body Text"/>
    <w:basedOn w:val="Normal"/>
    <w:link w:val="TextoindependienteCar"/>
    <w:uiPriority w:val="1"/>
    <w:qFormat/>
    <w:rsid w:val="002D10F9"/>
    <w:pPr>
      <w:widowControl w:val="0"/>
      <w:ind w:left="100"/>
    </w:pPr>
    <w:rPr>
      <w:rFonts w:cstheme="minorBidi"/>
      <w:sz w:val="22"/>
      <w:szCs w:val="22"/>
      <w:lang w:val="en-US" w:eastAsia="en-US"/>
    </w:rPr>
  </w:style>
  <w:style w:type="character" w:customStyle="1" w:styleId="TextoindependienteCar">
    <w:name w:val="Texto independiente Car"/>
    <w:basedOn w:val="Fuentedeprrafopredeter"/>
    <w:link w:val="Textoindependiente"/>
    <w:uiPriority w:val="1"/>
    <w:rsid w:val="002D10F9"/>
    <w:rPr>
      <w:rFonts w:ascii="Times New Roman" w:eastAsia="Times New Roman" w:hAnsi="Times New Roman"/>
      <w:lang w:val="en-US"/>
    </w:rPr>
  </w:style>
  <w:style w:type="paragraph" w:customStyle="1" w:styleId="corte4fondo">
    <w:name w:val="corte4 fondo"/>
    <w:basedOn w:val="Normal"/>
    <w:link w:val="corte4fondoCar2"/>
    <w:qFormat/>
    <w:rsid w:val="007B3FF1"/>
    <w:pPr>
      <w:spacing w:line="360" w:lineRule="auto"/>
      <w:ind w:firstLine="709"/>
      <w:jc w:val="both"/>
    </w:pPr>
    <w:rPr>
      <w:rFonts w:ascii="Arial" w:hAnsi="Arial"/>
      <w:sz w:val="30"/>
      <w:szCs w:val="20"/>
      <w:lang w:val="x-none" w:eastAsia="es-MX"/>
    </w:rPr>
  </w:style>
  <w:style w:type="character" w:customStyle="1" w:styleId="corte4fondoCar2">
    <w:name w:val="corte4 fondo Car2"/>
    <w:link w:val="corte4fondo"/>
    <w:rsid w:val="007B3FF1"/>
    <w:rPr>
      <w:rFonts w:ascii="Arial" w:eastAsia="Times New Roman" w:hAnsi="Arial" w:cs="Times New Roman"/>
      <w:sz w:val="30"/>
      <w:szCs w:val="20"/>
      <w:lang w:val="x-none" w:eastAsia="es-MX"/>
    </w:rPr>
  </w:style>
  <w:style w:type="character" w:customStyle="1" w:styleId="Ninguno">
    <w:name w:val="Ninguno"/>
    <w:rsid w:val="00DF6ECA"/>
    <w:rPr>
      <w:lang w:val="es-ES_tradnl"/>
    </w:rPr>
  </w:style>
  <w:style w:type="character" w:styleId="Refdecomentario">
    <w:name w:val="annotation reference"/>
    <w:basedOn w:val="Fuentedeprrafopredeter"/>
    <w:uiPriority w:val="99"/>
    <w:semiHidden/>
    <w:unhideWhenUsed/>
    <w:rsid w:val="0061155B"/>
    <w:rPr>
      <w:sz w:val="16"/>
      <w:szCs w:val="16"/>
    </w:rPr>
  </w:style>
  <w:style w:type="paragraph" w:styleId="Textocomentario">
    <w:name w:val="annotation text"/>
    <w:basedOn w:val="Normal"/>
    <w:link w:val="TextocomentarioCar"/>
    <w:uiPriority w:val="99"/>
    <w:semiHidden/>
    <w:unhideWhenUsed/>
    <w:rsid w:val="0061155B"/>
    <w:rPr>
      <w:sz w:val="20"/>
      <w:szCs w:val="20"/>
    </w:rPr>
  </w:style>
  <w:style w:type="character" w:customStyle="1" w:styleId="TextocomentarioCar">
    <w:name w:val="Texto comentario Car"/>
    <w:basedOn w:val="Fuentedeprrafopredeter"/>
    <w:link w:val="Textocomentario"/>
    <w:uiPriority w:val="99"/>
    <w:semiHidden/>
    <w:rsid w:val="0061155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1155B"/>
    <w:rPr>
      <w:b/>
      <w:bCs/>
    </w:rPr>
  </w:style>
  <w:style w:type="character" w:customStyle="1" w:styleId="AsuntodelcomentarioCar">
    <w:name w:val="Asunto del comentario Car"/>
    <w:basedOn w:val="TextocomentarioCar"/>
    <w:link w:val="Asuntodelcomentario"/>
    <w:uiPriority w:val="99"/>
    <w:semiHidden/>
    <w:rsid w:val="0061155B"/>
    <w:rPr>
      <w:rFonts w:ascii="Times New Roman" w:eastAsia="Times New Roman" w:hAnsi="Times New Roman" w:cs="Times New Roman"/>
      <w:b/>
      <w:bCs/>
      <w:sz w:val="20"/>
      <w:szCs w:val="20"/>
      <w:lang w:val="es-ES" w:eastAsia="es-ES"/>
    </w:rPr>
  </w:style>
  <w:style w:type="character" w:customStyle="1" w:styleId="Ttulo7Car">
    <w:name w:val="Título 7 Car"/>
    <w:basedOn w:val="Fuentedeprrafopredeter"/>
    <w:link w:val="Ttulo7"/>
    <w:uiPriority w:val="1"/>
    <w:rsid w:val="000F27E6"/>
    <w:rPr>
      <w:rFonts w:ascii="Times New Roman" w:eastAsia="Times New Roman" w:hAnsi="Times New Roman"/>
      <w:sz w:val="25"/>
      <w:szCs w:val="25"/>
      <w:lang w:val="en-US"/>
    </w:rPr>
  </w:style>
  <w:style w:type="character" w:customStyle="1" w:styleId="Ttulo1Car">
    <w:name w:val="Título 1 Car"/>
    <w:basedOn w:val="Fuentedeprrafopredeter"/>
    <w:link w:val="Ttulo1"/>
    <w:uiPriority w:val="9"/>
    <w:rsid w:val="00527483"/>
    <w:rPr>
      <w:rFonts w:asciiTheme="majorHAnsi" w:eastAsiaTheme="majorEastAsia" w:hAnsiTheme="majorHAnsi" w:cstheme="majorBidi"/>
      <w:color w:val="2E74B5" w:themeColor="accent1" w:themeShade="BF"/>
      <w:sz w:val="32"/>
      <w:szCs w:val="32"/>
      <w:lang w:val="es-ES" w:eastAsia="es-ES"/>
    </w:rPr>
  </w:style>
  <w:style w:type="character" w:customStyle="1" w:styleId="TextonotapieCar1">
    <w:name w:val="Texto nota pie Car1"/>
    <w:uiPriority w:val="99"/>
    <w:rsid w:val="004D3D68"/>
    <w:rPr>
      <w:rFonts w:ascii="Times New Roman" w:eastAsia="Times New Roman" w:hAnsi="Times New Roman"/>
      <w:lang w:val="es-ES" w:eastAsia="es-ES"/>
    </w:rPr>
  </w:style>
  <w:style w:type="paragraph" w:styleId="Textosinformato">
    <w:name w:val="Plain Text"/>
    <w:basedOn w:val="Normal"/>
    <w:link w:val="TextosinformatoCar"/>
    <w:rsid w:val="00075FA3"/>
    <w:rPr>
      <w:rFonts w:ascii="Courier New" w:hAnsi="Courier New"/>
      <w:sz w:val="20"/>
      <w:szCs w:val="20"/>
    </w:rPr>
  </w:style>
  <w:style w:type="character" w:customStyle="1" w:styleId="TextosinformatoCar">
    <w:name w:val="Texto sin formato Car"/>
    <w:basedOn w:val="Fuentedeprrafopredeter"/>
    <w:link w:val="Textosinformato"/>
    <w:rsid w:val="00075FA3"/>
    <w:rPr>
      <w:rFonts w:ascii="Courier New" w:eastAsia="Times New Roman" w:hAnsi="Courier New" w:cs="Times New Roman"/>
      <w:sz w:val="20"/>
      <w:szCs w:val="20"/>
      <w:lang w:val="es-ES" w:eastAsia="es-ES"/>
    </w:rPr>
  </w:style>
  <w:style w:type="paragraph" w:customStyle="1" w:styleId="Texto">
    <w:name w:val="Texto"/>
    <w:basedOn w:val="Normal"/>
    <w:rsid w:val="00075FA3"/>
    <w:pPr>
      <w:spacing w:after="101" w:line="216" w:lineRule="exact"/>
      <w:ind w:firstLine="288"/>
      <w:jc w:val="both"/>
    </w:pPr>
    <w:rPr>
      <w:rFonts w:ascii="Arial" w:hAnsi="Arial" w:cs="Arial"/>
      <w:sz w:val="18"/>
      <w:szCs w:val="18"/>
      <w:lang w:val="es-MX"/>
    </w:rPr>
  </w:style>
  <w:style w:type="character" w:customStyle="1" w:styleId="corte4fondoCar3">
    <w:name w:val="corte4 fondo Car3"/>
    <w:locked/>
    <w:rsid w:val="006F1755"/>
    <w:rPr>
      <w:rFonts w:ascii="Arial" w:eastAsia="Times New Roman" w:hAnsi="Arial" w:cs="Times New Roman"/>
      <w:sz w:val="30"/>
      <w:szCs w:val="20"/>
      <w:lang w:val="es-MX" w:eastAsia="es-MX"/>
    </w:rPr>
  </w:style>
  <w:style w:type="paragraph" w:customStyle="1" w:styleId="m5127500252372250437gmail-paragraph">
    <w:name w:val="m_5127500252372250437gmail-paragraph"/>
    <w:basedOn w:val="Normal"/>
    <w:rsid w:val="00945DC3"/>
    <w:pPr>
      <w:spacing w:before="100" w:beforeAutospacing="1" w:after="100" w:afterAutospacing="1"/>
    </w:pPr>
    <w:rPr>
      <w:lang w:val="es-MX" w:eastAsia="es-MX"/>
    </w:rPr>
  </w:style>
  <w:style w:type="character" w:customStyle="1" w:styleId="il">
    <w:name w:val="il"/>
    <w:basedOn w:val="Fuentedeprrafopredeter"/>
    <w:rsid w:val="00513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50098">
      <w:bodyDiv w:val="1"/>
      <w:marLeft w:val="0"/>
      <w:marRight w:val="0"/>
      <w:marTop w:val="0"/>
      <w:marBottom w:val="0"/>
      <w:divBdr>
        <w:top w:val="none" w:sz="0" w:space="0" w:color="auto"/>
        <w:left w:val="none" w:sz="0" w:space="0" w:color="auto"/>
        <w:bottom w:val="none" w:sz="0" w:space="0" w:color="auto"/>
        <w:right w:val="none" w:sz="0" w:space="0" w:color="auto"/>
      </w:divBdr>
    </w:div>
    <w:div w:id="703166667">
      <w:bodyDiv w:val="1"/>
      <w:marLeft w:val="0"/>
      <w:marRight w:val="0"/>
      <w:marTop w:val="0"/>
      <w:marBottom w:val="0"/>
      <w:divBdr>
        <w:top w:val="none" w:sz="0" w:space="0" w:color="auto"/>
        <w:left w:val="none" w:sz="0" w:space="0" w:color="auto"/>
        <w:bottom w:val="none" w:sz="0" w:space="0" w:color="auto"/>
        <w:right w:val="none" w:sz="0" w:space="0" w:color="auto"/>
      </w:divBdr>
    </w:div>
    <w:div w:id="1103843948">
      <w:bodyDiv w:val="1"/>
      <w:marLeft w:val="0"/>
      <w:marRight w:val="0"/>
      <w:marTop w:val="0"/>
      <w:marBottom w:val="0"/>
      <w:divBdr>
        <w:top w:val="none" w:sz="0" w:space="0" w:color="auto"/>
        <w:left w:val="none" w:sz="0" w:space="0" w:color="auto"/>
        <w:bottom w:val="none" w:sz="0" w:space="0" w:color="auto"/>
        <w:right w:val="none" w:sz="0" w:space="0" w:color="auto"/>
      </w:divBdr>
    </w:div>
    <w:div w:id="115352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75959-A606-49CC-8BE4-697EF70BB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8125</Words>
  <Characters>44688</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2021-10-14T14:34:00Z</cp:lastPrinted>
  <dcterms:created xsi:type="dcterms:W3CDTF">2021-11-11T15:26:00Z</dcterms:created>
  <dcterms:modified xsi:type="dcterms:W3CDTF">2021-12-02T20:35:00Z</dcterms:modified>
</cp:coreProperties>
</file>