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DB2015" w:rsidRPr="00D53BFC">
        <w:rPr>
          <w:rFonts w:ascii="Palatino Linotype" w:hAnsi="Palatino Linotype"/>
        </w:rPr>
        <w:t xml:space="preserve"> </w:t>
      </w:r>
      <w:r w:rsidR="003D0E8D">
        <w:rPr>
          <w:rFonts w:ascii="Palatino Linotype" w:hAnsi="Palatino Linotype"/>
        </w:rPr>
        <w:t>trece</w:t>
      </w:r>
      <w:r w:rsidR="009A7D6C">
        <w:rPr>
          <w:rFonts w:ascii="Palatino Linotype" w:hAnsi="Palatino Linotype"/>
        </w:rPr>
        <w:t xml:space="preserve"> </w:t>
      </w:r>
      <w:r w:rsidR="00353132">
        <w:rPr>
          <w:rFonts w:ascii="Palatino Linotype" w:hAnsi="Palatino Linotype"/>
        </w:rPr>
        <w:t xml:space="preserve">de </w:t>
      </w:r>
      <w:r w:rsidR="003D0E8D">
        <w:rPr>
          <w:rFonts w:ascii="Palatino Linotype" w:hAnsi="Palatino Linotype"/>
        </w:rPr>
        <w:t>octubre</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AB3ACF">
        <w:rPr>
          <w:rFonts w:ascii="Palatino Linotype" w:hAnsi="Palatino Linotype"/>
        </w:rPr>
        <w:t>veintiuno</w:t>
      </w:r>
      <w:r w:rsidR="00B0091E">
        <w:rPr>
          <w:rFonts w:ascii="Palatino Linotype" w:hAnsi="Palatino Linotype"/>
        </w:rPr>
        <w:t>.</w:t>
      </w:r>
    </w:p>
    <w:p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w:t>
      </w:r>
      <w:bookmarkStart w:id="0" w:name="_GoBack"/>
      <w:bookmarkEnd w:id="0"/>
      <w:r w:rsidR="00787441" w:rsidRPr="00DE10D7">
        <w:rPr>
          <w:rFonts w:ascii="Palatino Linotype" w:hAnsi="Palatino Linotype" w:cs="Arial"/>
        </w:rPr>
        <w:t>recurso de revi</w:t>
      </w:r>
      <w:r w:rsidR="00787441" w:rsidRPr="0070728F">
        <w:rPr>
          <w:rFonts w:ascii="Palatino Linotype" w:hAnsi="Palatino Linotype" w:cs="Arial"/>
        </w:rPr>
        <w:t xml:space="preserve">sión </w:t>
      </w:r>
      <w:r w:rsidR="00BF7AD8">
        <w:rPr>
          <w:rFonts w:ascii="Palatino Linotype" w:hAnsi="Palatino Linotype" w:cs="Arial"/>
          <w:b/>
        </w:rPr>
        <w:t>0</w:t>
      </w:r>
      <w:r w:rsidR="00C316EA">
        <w:rPr>
          <w:rFonts w:ascii="Palatino Linotype" w:hAnsi="Palatino Linotype" w:cs="Arial"/>
          <w:b/>
        </w:rPr>
        <w:t>3919</w:t>
      </w:r>
      <w:r w:rsidR="00AB3ACF">
        <w:rPr>
          <w:rFonts w:ascii="Palatino Linotype" w:hAnsi="Palatino Linotype" w:cs="Arial"/>
          <w:b/>
        </w:rPr>
        <w:t>/INFOEM/IP/RR/2021</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C316EA">
        <w:rPr>
          <w:rFonts w:ascii="Palatino Linotype" w:hAnsi="Palatino Linotype"/>
          <w:b/>
        </w:rPr>
        <w:t xml:space="preserve"> </w:t>
      </w:r>
      <w:r w:rsidR="00FA4438">
        <w:rPr>
          <w:rFonts w:ascii="Palatino Linotype" w:hAnsi="Palatino Linotype"/>
          <w:b/>
        </w:rPr>
        <w:t>XXXXX XXXXX XXXXX XXX</w:t>
      </w:r>
      <w:r w:rsidR="0041729E">
        <w:rPr>
          <w:rFonts w:ascii="Palatino Linotype" w:hAnsi="Palatino Linotype"/>
          <w:b/>
        </w:rPr>
        <w:t xml:space="preserve">, </w:t>
      </w:r>
      <w:r w:rsidR="00787441" w:rsidRPr="006662AD">
        <w:rPr>
          <w:rFonts w:ascii="Palatino Linotype" w:hAnsi="Palatino Linotype" w:cs="Arial"/>
        </w:rPr>
        <w:t>en</w:t>
      </w:r>
      <w:r w:rsidR="00787441" w:rsidRPr="00DE10D7">
        <w:rPr>
          <w:rFonts w:ascii="Palatino Linotype" w:hAnsi="Palatino Linotype" w:cs="Arial"/>
        </w:rPr>
        <w:t xml:space="preserve"> lo sucesivo</w:t>
      </w:r>
      <w:r w:rsidR="00B90F21">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w:t>
      </w:r>
      <w:r w:rsidR="00386070" w:rsidRPr="00386070">
        <w:rPr>
          <w:rFonts w:ascii="Palatino Linotype" w:hAnsi="Palatino Linotype" w:cs="Arial"/>
          <w:b/>
        </w:rPr>
        <w:t>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C316EA">
        <w:rPr>
          <w:rFonts w:ascii="Palatino Linotype" w:hAnsi="Palatino Linotype" w:cs="Arial"/>
          <w:b/>
        </w:rPr>
        <w:t>Naucalpan de Juárez</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C316EA">
        <w:rPr>
          <w:rFonts w:ascii="Palatino Linotype" w:hAnsi="Palatino Linotype" w:cs="Arial"/>
          <w:b/>
        </w:rPr>
        <w:t>cinco</w:t>
      </w:r>
      <w:r w:rsidR="0041729E">
        <w:rPr>
          <w:rFonts w:ascii="Palatino Linotype" w:hAnsi="Palatino Linotype" w:cs="Arial"/>
        </w:rPr>
        <w:t xml:space="preserve"> </w:t>
      </w:r>
      <w:r w:rsidR="00386070">
        <w:rPr>
          <w:rFonts w:ascii="Palatino Linotype" w:hAnsi="Palatino Linotype" w:cs="Arial"/>
          <w:b/>
        </w:rPr>
        <w:t xml:space="preserve">de </w:t>
      </w:r>
      <w:r w:rsidR="00A244AE">
        <w:rPr>
          <w:rFonts w:ascii="Palatino Linotype" w:hAnsi="Palatino Linotype" w:cs="Arial"/>
          <w:b/>
        </w:rPr>
        <w:t>abril</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AB3ACF">
        <w:rPr>
          <w:rFonts w:ascii="Palatino Linotype" w:hAnsi="Palatino Linotype" w:cs="Arial"/>
          <w:b/>
        </w:rPr>
        <w:t>mil veintiuno</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C316EA" w:rsidRPr="00C316EA">
        <w:rPr>
          <w:rFonts w:ascii="Palatino Linotype" w:hAnsi="Palatino Linotype" w:cs="Arial"/>
          <w:b/>
        </w:rPr>
        <w:t>00196/NAUCALPA/IP/2021</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acceder a la</w:t>
      </w:r>
      <w:r w:rsidR="00654340">
        <w:rPr>
          <w:rFonts w:ascii="Palatino Linotype" w:hAnsi="Palatino Linotype" w:cs="Arial"/>
        </w:rPr>
        <w:t xml:space="preserve"> </w:t>
      </w:r>
      <w:r w:rsidR="00787441" w:rsidRPr="00DE10D7">
        <w:rPr>
          <w:rFonts w:ascii="Palatino Linotype" w:hAnsi="Palatino Linotype" w:cs="Arial"/>
        </w:rPr>
        <w:t xml:space="preserve">información </w:t>
      </w:r>
      <w:r w:rsidR="00A6566F">
        <w:rPr>
          <w:rFonts w:ascii="Palatino Linotype" w:hAnsi="Palatino Linotype" w:cs="Arial"/>
        </w:rPr>
        <w:t>siguiente:</w:t>
      </w:r>
    </w:p>
    <w:p w:rsidR="008E76CD" w:rsidRPr="00C316EA" w:rsidRDefault="00787441" w:rsidP="00A6566F">
      <w:pPr>
        <w:spacing w:before="240" w:after="240"/>
        <w:ind w:left="992" w:right="1043"/>
        <w:contextualSpacing/>
        <w:jc w:val="both"/>
        <w:rPr>
          <w:rFonts w:ascii="Palatino Linotype" w:hAnsi="Palatino Linotype"/>
          <w:i/>
          <w:sz w:val="22"/>
          <w:szCs w:val="22"/>
          <w:lang w:val="es-ES_tradnl"/>
        </w:rPr>
      </w:pPr>
      <w:r w:rsidRPr="00C316EA">
        <w:rPr>
          <w:rFonts w:ascii="Palatino Linotype" w:hAnsi="Palatino Linotype"/>
          <w:i/>
          <w:sz w:val="22"/>
          <w:szCs w:val="22"/>
          <w:lang w:val="es-ES_tradnl"/>
        </w:rPr>
        <w:t>“</w:t>
      </w:r>
      <w:r w:rsidR="00C316EA" w:rsidRPr="00C316EA">
        <w:rPr>
          <w:rFonts w:ascii="Palatino Linotype" w:hAnsi="Palatino Linotype"/>
          <w:i/>
          <w:color w:val="000000"/>
          <w:sz w:val="22"/>
          <w:szCs w:val="22"/>
        </w:rPr>
        <w:t>Deseo se me informe lo siguiente: 1. número de personas contratadas en lista de raya. 2. Monto mensual al que asciende el pago por concepto de lista de raya</w:t>
      </w:r>
      <w:r w:rsidR="00B0091E" w:rsidRPr="00C316EA">
        <w:rPr>
          <w:rFonts w:ascii="Palatino Linotype" w:hAnsi="Palatino Linotype"/>
          <w:i/>
          <w:sz w:val="22"/>
          <w:szCs w:val="22"/>
          <w:lang w:val="es-ES_tradnl"/>
        </w:rPr>
        <w:t xml:space="preserve">” </w:t>
      </w:r>
      <w:r w:rsidRPr="00C316EA">
        <w:rPr>
          <w:rFonts w:ascii="Palatino Linotype" w:hAnsi="Palatino Linotype"/>
          <w:i/>
          <w:sz w:val="22"/>
          <w:szCs w:val="22"/>
          <w:lang w:val="es-ES_tradnl"/>
        </w:rPr>
        <w:t>(</w:t>
      </w:r>
      <w:r w:rsidR="00B0091E" w:rsidRPr="00C316EA">
        <w:rPr>
          <w:rFonts w:ascii="Palatino Linotype" w:hAnsi="Palatino Linotype"/>
          <w:i/>
          <w:sz w:val="22"/>
          <w:szCs w:val="22"/>
          <w:lang w:val="es-ES_tradnl"/>
        </w:rPr>
        <w:t>S</w:t>
      </w:r>
      <w:r w:rsidRPr="00C316EA">
        <w:rPr>
          <w:rFonts w:ascii="Palatino Linotype" w:hAnsi="Palatino Linotype"/>
          <w:i/>
          <w:sz w:val="22"/>
          <w:szCs w:val="22"/>
          <w:lang w:val="es-ES_tradnl"/>
        </w:rPr>
        <w:t>ic)</w:t>
      </w:r>
    </w:p>
    <w:p w:rsidR="00FC7C49" w:rsidRPr="00AB3ACF" w:rsidRDefault="00FC7C49" w:rsidP="00AB3ACF">
      <w:pPr>
        <w:spacing w:before="240" w:after="240"/>
        <w:ind w:left="992" w:right="1043"/>
        <w:contextualSpacing/>
        <w:jc w:val="both"/>
        <w:rPr>
          <w:rFonts w:ascii="Palatino Linotype" w:hAnsi="Palatino Linotype"/>
          <w:i/>
          <w:sz w:val="22"/>
          <w:szCs w:val="22"/>
          <w:lang w:val="es-ES_tradnl"/>
        </w:rPr>
      </w:pPr>
    </w:p>
    <w:p w:rsidR="00432514" w:rsidRDefault="001F6AC5" w:rsidP="00DA5F6E">
      <w:pPr>
        <w:spacing w:before="240" w:after="240" w:line="360" w:lineRule="auto"/>
        <w:ind w:right="51"/>
        <w:contextualSpacing/>
        <w:jc w:val="both"/>
        <w:rPr>
          <w:rFonts w:ascii="Palatino Linotype" w:eastAsia="Calibri" w:hAnsi="Palatino Linotype" w:cs="Arial"/>
          <w:szCs w:val="22"/>
          <w:lang w:val="es-MX" w:eastAsia="en-US"/>
        </w:rPr>
      </w:pPr>
      <w:r>
        <w:rPr>
          <w:rFonts w:ascii="Palatino Linotype" w:hAnsi="Palatino Linotype" w:cs="Arial"/>
          <w:lang w:val="es-ES_tradnl"/>
        </w:rPr>
        <w:t>Señaló como modalidad de entrega</w:t>
      </w:r>
      <w:r w:rsidR="00C316EA">
        <w:rPr>
          <w:rFonts w:ascii="Palatino Linotype" w:hAnsi="Palatino Linotype" w:cs="Arial"/>
          <w:lang w:val="es-ES_tradnl"/>
        </w:rPr>
        <w:t xml:space="preserve"> a través del SAIMEX.</w:t>
      </w:r>
    </w:p>
    <w:p w:rsidR="00785613" w:rsidRPr="00C316EA" w:rsidRDefault="00785613" w:rsidP="00C3458F">
      <w:pPr>
        <w:spacing w:before="240" w:after="240" w:line="360" w:lineRule="auto"/>
        <w:contextualSpacing/>
        <w:jc w:val="both"/>
        <w:rPr>
          <w:rFonts w:ascii="Palatino Linotype" w:hAnsi="Palatino Linotype" w:cs="Arial"/>
          <w:b/>
          <w:lang w:val="es-MX"/>
        </w:rPr>
      </w:pPr>
    </w:p>
    <w:p w:rsidR="00C3458F" w:rsidRPr="00C3458F" w:rsidRDefault="00D733CB" w:rsidP="00C3458F">
      <w:pPr>
        <w:spacing w:before="240" w:after="240" w:line="360" w:lineRule="auto"/>
        <w:contextualSpacing/>
        <w:jc w:val="both"/>
        <w:rPr>
          <w:rFonts w:ascii="Palatino Linotype" w:hAnsi="Palatino Linotype" w:cs="Arial"/>
          <w:lang w:val="es-ES_tradnl"/>
        </w:rPr>
      </w:pPr>
      <w:r w:rsidRPr="00DA5F6E">
        <w:rPr>
          <w:rFonts w:ascii="Palatino Linotype" w:hAnsi="Palatino Linotype" w:cs="Arial"/>
          <w:b/>
        </w:rPr>
        <w:t xml:space="preserve">2. </w:t>
      </w:r>
      <w:r w:rsidR="00024C73" w:rsidRPr="00DA5F6E">
        <w:rPr>
          <w:rFonts w:ascii="Palatino Linotype" w:hAnsi="Palatino Linotype" w:cs="Arial"/>
          <w:b/>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De</w:t>
      </w:r>
      <w:r w:rsidR="006102BE">
        <w:rPr>
          <w:rFonts w:ascii="Palatino Linotype" w:hAnsi="Palatino Linotype" w:cs="Arial"/>
          <w:lang w:val="es-ES_tradnl"/>
        </w:rPr>
        <w:t>l</w:t>
      </w:r>
      <w:r w:rsidR="00C3458F" w:rsidRPr="00C3458F">
        <w:rPr>
          <w:rFonts w:ascii="Palatino Linotype" w:hAnsi="Palatino Linotype" w:cs="Arial"/>
          <w:lang w:val="es-ES_tradnl"/>
        </w:rPr>
        <w:t xml:space="preserve">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w:t>
      </w:r>
      <w:r w:rsidR="00B0091E">
        <w:rPr>
          <w:rFonts w:ascii="Palatino Linotype" w:hAnsi="Palatino Linotype" w:cs="Arial"/>
          <w:lang w:val="es-ES_tradnl"/>
        </w:rPr>
        <w:t>a la solicitud</w:t>
      </w:r>
      <w:r w:rsidR="00C3458F" w:rsidRPr="00C3458F">
        <w:rPr>
          <w:rFonts w:ascii="Palatino Linotype" w:hAnsi="Palatino Linotype" w:cs="Arial"/>
          <w:lang w:val="es-ES_tradnl"/>
        </w:rPr>
        <w:t xml:space="preserve"> de </w:t>
      </w:r>
      <w:r w:rsidR="00B0091E">
        <w:rPr>
          <w:rFonts w:ascii="Palatino Linotype" w:hAnsi="Palatino Linotype" w:cs="Arial"/>
          <w:lang w:val="es-ES_tradnl"/>
        </w:rPr>
        <w:t xml:space="preserve">acceso a la </w:t>
      </w:r>
      <w:r w:rsidR="00C3458F" w:rsidRPr="00C3458F">
        <w:rPr>
          <w:rFonts w:ascii="Palatino Linotype" w:hAnsi="Palatino Linotype" w:cs="Arial"/>
          <w:lang w:val="es-ES_tradnl"/>
        </w:rPr>
        <w:t>información pública</w:t>
      </w:r>
      <w:r w:rsidR="004548F0">
        <w:rPr>
          <w:rFonts w:ascii="Palatino Linotype" w:hAnsi="Palatino Linotype" w:cs="Arial"/>
          <w:lang w:val="es-ES_tradnl"/>
        </w:rPr>
        <w:t>,</w:t>
      </w:r>
      <w:r w:rsidR="00C3458F" w:rsidRPr="00C3458F">
        <w:rPr>
          <w:rFonts w:ascii="Palatino Linotype" w:hAnsi="Palatino Linotype" w:cs="Arial"/>
          <w:lang w:val="es-ES_tradnl"/>
        </w:rPr>
        <w:t xml:space="preserve"> dentro del plazo de quince días otorgado por el artículo 163 de la Ley de Transparencia y Acceso a la Inf</w:t>
      </w:r>
      <w:r w:rsidR="007B383B">
        <w:rPr>
          <w:rFonts w:ascii="Palatino Linotype" w:hAnsi="Palatino Linotype" w:cs="Arial"/>
          <w:lang w:val="es-ES_tradnl"/>
        </w:rPr>
        <w:t>ormación Pública de la entidad.</w:t>
      </w:r>
    </w:p>
    <w:p w:rsidR="00024C73" w:rsidRDefault="00BE781D" w:rsidP="00780A2F">
      <w:pPr>
        <w:spacing w:before="240" w:after="240" w:line="360" w:lineRule="auto"/>
        <w:contextualSpacing/>
        <w:jc w:val="both"/>
        <w:rPr>
          <w:rFonts w:ascii="Palatino Linotype" w:hAnsi="Palatino Linotype" w:cs="Arial"/>
        </w:rPr>
      </w:pPr>
      <w:r w:rsidRPr="00DA5F6E">
        <w:rPr>
          <w:rFonts w:ascii="Palatino Linotype" w:hAnsi="Palatino Linotype" w:cs="Arial"/>
          <w:b/>
        </w:rPr>
        <w:lastRenderedPageBreak/>
        <w:t xml:space="preserve">3. </w:t>
      </w:r>
      <w:r w:rsidR="00A25A7C" w:rsidRPr="00DA5F6E">
        <w:rPr>
          <w:rFonts w:ascii="Palatino Linotype" w:hAnsi="Palatino Linotype" w:cs="Arial"/>
          <w:b/>
        </w:rPr>
        <w:t>Interposición del Recurso de Revisión</w:t>
      </w:r>
      <w:r w:rsidR="00024C73" w:rsidRPr="00DA5F6E">
        <w:rPr>
          <w:rFonts w:ascii="Palatino Linotype" w:hAnsi="Palatino Linotype" w:cs="Arial"/>
          <w:b/>
        </w:rPr>
        <w:t>.</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respuesta, el</w:t>
      </w:r>
      <w:r w:rsidR="000B283E">
        <w:rPr>
          <w:rFonts w:ascii="Palatino Linotype" w:hAnsi="Palatino Linotype" w:cs="Arial"/>
        </w:rPr>
        <w:t xml:space="preserve"> día</w:t>
      </w:r>
      <w:r w:rsidR="00024C73" w:rsidRPr="007F1CA3">
        <w:rPr>
          <w:rFonts w:ascii="Palatino Linotype" w:hAnsi="Palatino Linotype" w:cs="Arial"/>
        </w:rPr>
        <w:t xml:space="preserve"> </w:t>
      </w:r>
      <w:r w:rsidR="00C316EA">
        <w:rPr>
          <w:rFonts w:ascii="Palatino Linotype" w:hAnsi="Palatino Linotype" w:cs="Arial"/>
          <w:b/>
        </w:rPr>
        <w:t>cuatro de agosto</w:t>
      </w:r>
      <w:r w:rsidR="005264E3">
        <w:rPr>
          <w:rFonts w:ascii="Palatino Linotype" w:hAnsi="Palatino Linotype" w:cs="Arial"/>
          <w:b/>
        </w:rPr>
        <w:t xml:space="preserve"> </w:t>
      </w:r>
      <w:r w:rsidR="00B90F21">
        <w:rPr>
          <w:rFonts w:ascii="Palatino Linotype" w:hAnsi="Palatino Linotype" w:cs="Arial"/>
          <w:b/>
        </w:rPr>
        <w:t>d</w:t>
      </w:r>
      <w:r w:rsidR="00A65D22">
        <w:rPr>
          <w:rFonts w:ascii="Palatino Linotype" w:hAnsi="Palatino Linotype" w:cs="Arial"/>
          <w:b/>
        </w:rPr>
        <w:t>e</w:t>
      </w:r>
      <w:r w:rsidR="00BB6051">
        <w:rPr>
          <w:rFonts w:ascii="Palatino Linotype" w:hAnsi="Palatino Linotype" w:cs="Arial"/>
          <w:b/>
        </w:rPr>
        <w:t>l</w:t>
      </w:r>
      <w:r w:rsidR="00A65D22">
        <w:rPr>
          <w:rFonts w:ascii="Palatino Linotype" w:hAnsi="Palatino Linotype" w:cs="Arial"/>
          <w:b/>
        </w:rPr>
        <w:t xml:space="preserve"> </w:t>
      </w:r>
      <w:r w:rsidR="006102BE">
        <w:rPr>
          <w:rFonts w:ascii="Palatino Linotype" w:hAnsi="Palatino Linotype" w:cs="Arial"/>
          <w:b/>
        </w:rPr>
        <w:t>dos mil veintiuno</w:t>
      </w:r>
      <w:r w:rsidR="00DC5881">
        <w:rPr>
          <w:rFonts w:ascii="Palatino Linotype" w:hAnsi="Palatino Linotype" w:cs="Arial"/>
        </w:rPr>
        <w:t xml:space="preserve">, </w:t>
      </w:r>
      <w:r w:rsidR="0041729E">
        <w:rPr>
          <w:rFonts w:ascii="Palatino Linotype" w:hAnsi="Palatino Linotype" w:cs="Arial"/>
        </w:rPr>
        <w:t xml:space="preserve">el </w:t>
      </w:r>
      <w:r w:rsidR="0041729E" w:rsidRPr="005264E3">
        <w:rPr>
          <w:rFonts w:ascii="Palatino Linotype" w:hAnsi="Palatino Linotype" w:cs="Arial"/>
          <w:b/>
        </w:rPr>
        <w:t>RECURRENTE</w:t>
      </w:r>
      <w:r w:rsidR="005264E3">
        <w:rPr>
          <w:rFonts w:ascii="Palatino Linotype" w:hAnsi="Palatino Linotype" w:cs="Arial"/>
        </w:rPr>
        <w:t xml:space="preserve"> </w:t>
      </w:r>
      <w:r w:rsidR="00024C73" w:rsidRPr="007F1CA3">
        <w:rPr>
          <w:rFonts w:ascii="Palatino Linotype" w:hAnsi="Palatino Linotype" w:cs="Arial"/>
        </w:rPr>
        <w:t xml:space="preserve">interpuso </w:t>
      </w:r>
      <w:r w:rsidR="00A25A7C">
        <w:rPr>
          <w:rFonts w:ascii="Palatino Linotype" w:hAnsi="Palatino Linotype" w:cs="Arial"/>
        </w:rPr>
        <w:t>el recurso de revisión materia del presente estudio, en el que señaló como:</w:t>
      </w:r>
    </w:p>
    <w:p w:rsidR="00B15AB4" w:rsidRPr="007F1CA3" w:rsidRDefault="00B15AB4" w:rsidP="00780A2F">
      <w:pPr>
        <w:spacing w:before="240" w:after="240" w:line="360" w:lineRule="auto"/>
        <w:contextualSpacing/>
        <w:jc w:val="both"/>
        <w:rPr>
          <w:rFonts w:ascii="Palatino Linotype" w:eastAsia="Calibri" w:hAnsi="Palatino Linotype" w:cs="Arial"/>
          <w:b/>
          <w:sz w:val="28"/>
          <w:szCs w:val="28"/>
          <w:lang w:val="es-MX" w:eastAsia="en-US"/>
        </w:rPr>
      </w:pPr>
    </w:p>
    <w:p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rsidR="00024C73" w:rsidRPr="00BB6051"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024C73">
        <w:rPr>
          <w:rFonts w:ascii="Palatino Linotype" w:hAnsi="Palatino Linotype"/>
          <w:i/>
          <w:sz w:val="22"/>
          <w:szCs w:val="22"/>
          <w:lang w:val="es-ES_tradnl"/>
        </w:rPr>
        <w:t>“</w:t>
      </w:r>
      <w:r w:rsidR="00C316EA" w:rsidRPr="00C316EA">
        <w:rPr>
          <w:rFonts w:ascii="Palatino Linotype" w:hAnsi="Palatino Linotype"/>
          <w:i/>
          <w:sz w:val="22"/>
          <w:szCs w:val="22"/>
          <w:lang w:val="es-ES_tradnl"/>
        </w:rPr>
        <w:t>El contenido el la solicitud de información 00196/NAUCALPAN/IP/2021</w:t>
      </w:r>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rsidR="00024C73" w:rsidRPr="00DA5F6E"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C316EA" w:rsidRPr="00C316EA">
        <w:rPr>
          <w:rFonts w:ascii="Palatino Linotype" w:hAnsi="Palatino Linotype"/>
          <w:i/>
          <w:sz w:val="22"/>
          <w:szCs w:val="22"/>
          <w:lang w:val="es-ES_tradnl"/>
        </w:rPr>
        <w:t>A la fecha no me he recibido respuesta a la solicitud de información pública 00196/NAUCALPAN/IP/2021 CONSISTENTE EN: 1. Numero de personas en lista de raya. 2. Monto mensual al que asciende el pago por concepto de lista de raya</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00A25A7C">
        <w:rPr>
          <w:rFonts w:ascii="Palatino Linotype" w:hAnsi="Palatino Linotype"/>
          <w:i/>
          <w:sz w:val="22"/>
          <w:szCs w:val="22"/>
          <w:lang w:val="es-ES_tradnl"/>
        </w:rPr>
        <w:t>(S</w:t>
      </w:r>
      <w:r w:rsidRPr="00F022F8">
        <w:rPr>
          <w:rFonts w:ascii="Palatino Linotype" w:hAnsi="Palatino Linotype"/>
          <w:i/>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C316EA">
        <w:rPr>
          <w:rFonts w:ascii="Palatino Linotype" w:eastAsia="Calibri" w:hAnsi="Palatino Linotype" w:cs="Arial"/>
        </w:rPr>
        <w:t xml:space="preserve">te, el recurso de revisión </w:t>
      </w:r>
      <w:r w:rsidR="00C316EA" w:rsidRPr="00C316EA">
        <w:rPr>
          <w:rFonts w:ascii="Palatino Linotype" w:eastAsia="Calibri" w:hAnsi="Palatino Linotype" w:cs="Arial"/>
          <w:b/>
        </w:rPr>
        <w:t>03919</w:t>
      </w:r>
      <w:r w:rsidR="00BB6051" w:rsidRPr="00C316EA">
        <w:rPr>
          <w:rFonts w:ascii="Palatino Linotype" w:eastAsia="Calibri" w:hAnsi="Palatino Linotype" w:cs="Arial"/>
          <w:b/>
        </w:rPr>
        <w:t>/INFOEM/IP/RR/2021</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sidRPr="00C316EA">
        <w:rPr>
          <w:rFonts w:ascii="Palatino Linotype" w:eastAsia="Calibri" w:hAnsi="Palatino Linotype" w:cs="Arial"/>
          <w:b/>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C316EA">
        <w:rPr>
          <w:rFonts w:ascii="Palatino Linotype" w:hAnsi="Palatino Linotype" w:cs="Arial"/>
          <w:b/>
        </w:rPr>
        <w:t xml:space="preserve"> nueve de agosrto</w:t>
      </w:r>
      <w:r w:rsidR="00A25A7C" w:rsidRPr="00553FFC">
        <w:rPr>
          <w:rFonts w:ascii="Palatino Linotype" w:hAnsi="Palatino Linotype" w:cs="Arial"/>
          <w:b/>
        </w:rPr>
        <w:t xml:space="preserve"> de</w:t>
      </w:r>
      <w:r w:rsidR="00BB6051">
        <w:rPr>
          <w:rFonts w:ascii="Palatino Linotype" w:hAnsi="Palatino Linotype" w:cs="Arial"/>
          <w:b/>
        </w:rPr>
        <w:t>l dos mil veintiuno</w:t>
      </w:r>
      <w:r w:rsidR="00A25A7C" w:rsidRPr="00553FFC">
        <w:rPr>
          <w:rFonts w:ascii="Palatino Linotype" w:hAnsi="Palatino Linotype" w:cs="Arial"/>
          <w:b/>
        </w:rPr>
        <w:t xml:space="preserve">, </w:t>
      </w:r>
      <w:r w:rsidR="00A25A7C" w:rsidRPr="00553FFC">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7A45" w:rsidRDefault="00247436" w:rsidP="00BB6051">
      <w:pPr>
        <w:spacing w:after="240" w:line="360" w:lineRule="auto"/>
        <w:contextualSpacing/>
        <w:jc w:val="both"/>
        <w:rPr>
          <w:rFonts w:ascii="Palatino Linotype" w:hAnsi="Palatino Linotype" w:cs="Arial"/>
        </w:rPr>
      </w:pPr>
      <w:r w:rsidRPr="00DA5F6E">
        <w:rPr>
          <w:rFonts w:ascii="Palatino Linotype" w:hAnsi="Palatino Linotype" w:cs="Arial"/>
          <w:b/>
        </w:rPr>
        <w:lastRenderedPageBreak/>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 xml:space="preserve">. De las constancias que integran el expediente en </w:t>
      </w:r>
      <w:r w:rsidR="005A7A45">
        <w:rPr>
          <w:rFonts w:ascii="Palatino Linotype" w:hAnsi="Palatino Linotype" w:cs="Arial"/>
        </w:rPr>
        <w:t xml:space="preserve">que se actúa se advierte que la parte recurrente </w:t>
      </w:r>
      <w:r w:rsidR="00A244AE">
        <w:rPr>
          <w:rFonts w:ascii="Palatino Linotype" w:hAnsi="Palatino Linotype" w:cs="Arial"/>
        </w:rPr>
        <w:t>fue omisa en presentar alegatos o manifestación alguna.</w:t>
      </w:r>
    </w:p>
    <w:p w:rsidR="00BB6051" w:rsidRDefault="00BB6051" w:rsidP="00B11BDA">
      <w:pPr>
        <w:spacing w:after="240" w:line="360" w:lineRule="auto"/>
        <w:contextualSpacing/>
        <w:jc w:val="both"/>
        <w:rPr>
          <w:rFonts w:ascii="Palatino Linotype" w:hAnsi="Palatino Linotype" w:cs="Arial"/>
        </w:rPr>
      </w:pPr>
    </w:p>
    <w:p w:rsidR="00BB6051" w:rsidRPr="00A659D6" w:rsidRDefault="005A7A45" w:rsidP="00A659D6">
      <w:pPr>
        <w:spacing w:after="240" w:line="360" w:lineRule="auto"/>
        <w:contextualSpacing/>
        <w:jc w:val="both"/>
        <w:rPr>
          <w:rFonts w:ascii="Palatino Linotype" w:hAnsi="Palatino Linotype" w:cs="Arial"/>
        </w:rPr>
      </w:pPr>
      <w:r w:rsidRPr="00A659D6">
        <w:rPr>
          <w:rFonts w:ascii="Palatino Linotype" w:hAnsi="Palatino Linotype" w:cs="Arial"/>
        </w:rPr>
        <w:t>Por su par</w:t>
      </w:r>
      <w:r w:rsidR="00684120" w:rsidRPr="00A659D6">
        <w:rPr>
          <w:rFonts w:ascii="Palatino Linotype" w:hAnsi="Palatino Linotype" w:cs="Arial"/>
        </w:rPr>
        <w:t>te el Su</w:t>
      </w:r>
      <w:r w:rsidR="00BB6051" w:rsidRPr="00A659D6">
        <w:rPr>
          <w:rFonts w:ascii="Palatino Linotype" w:hAnsi="Palatino Linotype" w:cs="Arial"/>
        </w:rPr>
        <w:t>jeto Obligado en fecha</w:t>
      </w:r>
      <w:r w:rsidR="00C316EA" w:rsidRPr="00A659D6">
        <w:rPr>
          <w:rFonts w:ascii="Palatino Linotype" w:hAnsi="Palatino Linotype" w:cs="Arial"/>
        </w:rPr>
        <w:t xml:space="preserve">s once y dieciocho de agosto, y veintitrés </w:t>
      </w:r>
      <w:r w:rsidR="00BB6051" w:rsidRPr="00A659D6">
        <w:rPr>
          <w:rFonts w:ascii="Palatino Linotype" w:hAnsi="Palatino Linotype" w:cs="Arial"/>
        </w:rPr>
        <w:t xml:space="preserve"> </w:t>
      </w:r>
      <w:r w:rsidR="00C316EA" w:rsidRPr="00A659D6">
        <w:rPr>
          <w:rFonts w:ascii="Palatino Linotype" w:hAnsi="Palatino Linotype" w:cs="Arial"/>
        </w:rPr>
        <w:t>de septiembre, todas las fechas</w:t>
      </w:r>
      <w:r w:rsidR="00684120" w:rsidRPr="00A659D6">
        <w:rPr>
          <w:rFonts w:ascii="Palatino Linotype" w:hAnsi="Palatino Linotype" w:cs="Arial"/>
        </w:rPr>
        <w:t xml:space="preserve"> del año </w:t>
      </w:r>
      <w:r w:rsidR="00BB6051" w:rsidRPr="00A659D6">
        <w:rPr>
          <w:rFonts w:ascii="Palatino Linotype" w:hAnsi="Palatino Linotype" w:cs="Arial"/>
        </w:rPr>
        <w:t>dos mil veintiuno,</w:t>
      </w:r>
      <w:r w:rsidR="00684120" w:rsidRPr="00A659D6">
        <w:rPr>
          <w:rFonts w:ascii="Palatino Linotype" w:hAnsi="Palatino Linotype" w:cs="Arial"/>
        </w:rPr>
        <w:t xml:space="preserve"> remitió los archivos electrónicos siguientes:</w:t>
      </w:r>
      <w:r w:rsidR="00C316EA" w:rsidRPr="00A659D6">
        <w:rPr>
          <w:rFonts w:ascii="Palatino Linotype" w:hAnsi="Palatino Linotype" w:cs="Arial"/>
        </w:rPr>
        <w:t xml:space="preserve"> “</w:t>
      </w:r>
      <w:hyperlink r:id="rId8" w:history="1">
        <w:r w:rsidR="00C316EA" w:rsidRPr="00A659D6">
          <w:rPr>
            <w:rFonts w:ascii="Palatino Linotype" w:hAnsi="Palatino Linotype"/>
          </w:rPr>
          <w:t>UTAIP-0340-2021_202108110713.pdf</w:t>
        </w:r>
      </w:hyperlink>
      <w:r w:rsidR="00C316EA" w:rsidRPr="00A659D6">
        <w:rPr>
          <w:rFonts w:ascii="Palatino Linotype" w:hAnsi="Palatino Linotype" w:cs="Arial"/>
        </w:rPr>
        <w:t>”, “</w:t>
      </w:r>
      <w:hyperlink r:id="rId9" w:history="1">
        <w:r w:rsidR="00C316EA" w:rsidRPr="00A659D6">
          <w:rPr>
            <w:rFonts w:ascii="Palatino Linotype" w:hAnsi="Palatino Linotype" w:cs="Arial"/>
          </w:rPr>
          <w:br/>
        </w:r>
        <w:r w:rsidR="00C316EA" w:rsidRPr="00A659D6">
          <w:rPr>
            <w:rFonts w:ascii="Palatino Linotype" w:hAnsi="Palatino Linotype"/>
          </w:rPr>
          <w:t>EMYA-214-2021_202108181201.pdf</w:t>
        </w:r>
      </w:hyperlink>
      <w:r w:rsidR="00C316EA" w:rsidRPr="00A659D6">
        <w:rPr>
          <w:rFonts w:ascii="Palatino Linotype" w:hAnsi="Palatino Linotype" w:cs="Arial"/>
        </w:rPr>
        <w:t>” y “</w:t>
      </w:r>
      <w:hyperlink r:id="rId10" w:history="1">
        <w:r w:rsidR="00C316EA" w:rsidRPr="00A659D6">
          <w:rPr>
            <w:rFonts w:ascii="Palatino Linotype" w:hAnsi="Palatino Linotype"/>
          </w:rPr>
          <w:t>DCS-099-2021_202109231011.pdf</w:t>
        </w:r>
      </w:hyperlink>
      <w:r w:rsidR="00A659D6" w:rsidRPr="00A659D6">
        <w:rPr>
          <w:rFonts w:ascii="Palatino Linotype" w:hAnsi="Palatino Linotype" w:cs="Arial"/>
        </w:rPr>
        <w:t>”</w:t>
      </w:r>
      <w:r w:rsidR="00D514E6" w:rsidRPr="00A659D6">
        <w:rPr>
          <w:rFonts w:ascii="Palatino Linotype" w:hAnsi="Palatino Linotype" w:cs="Arial"/>
        </w:rPr>
        <w:t xml:space="preserve">, </w:t>
      </w:r>
      <w:r w:rsidR="00BB6051" w:rsidRPr="00A659D6">
        <w:rPr>
          <w:rFonts w:ascii="Palatino Linotype" w:hAnsi="Palatino Linotype" w:cs="Arial"/>
        </w:rPr>
        <w:t>archivos</w:t>
      </w:r>
      <w:r w:rsidR="00BB6051">
        <w:rPr>
          <w:rFonts w:ascii="Palatino Linotype" w:hAnsi="Palatino Linotype" w:cs="Arial"/>
        </w:rPr>
        <w:t xml:space="preserve"> electró</w:t>
      </w:r>
      <w:r w:rsidR="00A659D6">
        <w:rPr>
          <w:rFonts w:ascii="Palatino Linotype" w:hAnsi="Palatino Linotype" w:cs="Arial"/>
        </w:rPr>
        <w:t>nicos que en fecha veintitrés</w:t>
      </w:r>
      <w:r w:rsidR="00A244AE">
        <w:rPr>
          <w:rFonts w:ascii="Palatino Linotype" w:hAnsi="Palatino Linotype" w:cs="Arial"/>
        </w:rPr>
        <w:t xml:space="preserve"> de septiembre</w:t>
      </w:r>
      <w:r w:rsidR="009B0FED">
        <w:rPr>
          <w:rFonts w:ascii="Palatino Linotype" w:hAnsi="Palatino Linotype" w:cs="Arial"/>
        </w:rPr>
        <w:t xml:space="preserve"> del dos mil veintiuno, se pusieron</w:t>
      </w:r>
      <w:r w:rsidR="00BB6051">
        <w:rPr>
          <w:rFonts w:ascii="Palatino Linotype" w:hAnsi="Palatino Linotype" w:cs="Arial"/>
        </w:rPr>
        <w:t xml:space="preserve"> a la vista del recurrente, </w:t>
      </w:r>
      <w:r w:rsidR="00BB6051" w:rsidRPr="00A659D6">
        <w:rPr>
          <w:rFonts w:ascii="Palatino Linotype" w:hAnsi="Palatino Linotype" w:cs="Arial"/>
        </w:rPr>
        <w:t>en términos de la fracción III del artículo 185 de la Ley de Transparencia y Acceso a la Información Pública del Estado de México y Municipios</w:t>
      </w:r>
      <w:r w:rsidR="00BB6051">
        <w:rPr>
          <w:rFonts w:ascii="Palatino Linotype" w:hAnsi="Palatino Linotype" w:cs="Arial"/>
        </w:rPr>
        <w:t>; para que en el término de tres días manifestara lo que a su derecho convenga respecto de la modificación a la falta de respuesta; sin que el recurrente hiciera manifestación alguna.</w:t>
      </w:r>
    </w:p>
    <w:p w:rsidR="009B0FED" w:rsidRDefault="009B0FED" w:rsidP="00BB6051">
      <w:pPr>
        <w:spacing w:line="360" w:lineRule="auto"/>
        <w:jc w:val="both"/>
        <w:rPr>
          <w:rFonts w:ascii="Palatino Linotype" w:hAnsi="Palatino Linotype" w:cs="Arial"/>
        </w:rPr>
      </w:pPr>
    </w:p>
    <w:p w:rsidR="00BF6E92" w:rsidRDefault="00A659D6" w:rsidP="00BF6E92">
      <w:pPr>
        <w:spacing w:before="240" w:after="240" w:line="360" w:lineRule="auto"/>
        <w:contextualSpacing/>
        <w:jc w:val="both"/>
        <w:rPr>
          <w:rFonts w:ascii="Palatino Linotype" w:hAnsi="Palatino Linotype"/>
        </w:rPr>
      </w:pPr>
      <w:r>
        <w:rPr>
          <w:rFonts w:ascii="Palatino Linotype" w:hAnsi="Palatino Linotype" w:cs="Arial"/>
          <w:b/>
        </w:rPr>
        <w:t>7</w:t>
      </w:r>
      <w:r w:rsidR="009C2DFF" w:rsidRPr="00DA5F6E">
        <w:rPr>
          <w:rFonts w:ascii="Palatino Linotype" w:hAnsi="Palatino Linotype" w:cs="Arial"/>
          <w:b/>
        </w:rPr>
        <w:t>.</w:t>
      </w:r>
      <w:r w:rsidR="00CE2C0A" w:rsidRPr="00DA5F6E">
        <w:rPr>
          <w:rFonts w:ascii="Palatino Linotype" w:hAnsi="Palatino Linotype" w:cs="Arial"/>
          <w:b/>
        </w:rPr>
        <w:t xml:space="preserve">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Pr>
          <w:rFonts w:ascii="Palatino Linotype" w:hAnsi="Palatino Linotype" w:cs="Arial"/>
          <w:b/>
        </w:rPr>
        <w:t>cinco</w:t>
      </w:r>
      <w:r w:rsidR="00652EC3" w:rsidRPr="003C3E95">
        <w:rPr>
          <w:rFonts w:ascii="Palatino Linotype" w:hAnsi="Palatino Linotype" w:cs="Arial"/>
          <w:b/>
        </w:rPr>
        <w:t xml:space="preserve"> </w:t>
      </w:r>
      <w:r w:rsidR="009C2DFF" w:rsidRPr="003C3E95">
        <w:rPr>
          <w:rFonts w:ascii="Palatino Linotype" w:hAnsi="Palatino Linotype" w:cs="Arial"/>
          <w:b/>
        </w:rPr>
        <w:t xml:space="preserve">de </w:t>
      </w:r>
      <w:r>
        <w:rPr>
          <w:rFonts w:ascii="Palatino Linotype" w:hAnsi="Palatino Linotype" w:cs="Arial"/>
          <w:b/>
        </w:rPr>
        <w:t>octubre</w:t>
      </w:r>
      <w:r w:rsidR="00612C03" w:rsidRPr="003C3E95">
        <w:rPr>
          <w:rFonts w:ascii="Palatino Linotype" w:hAnsi="Palatino Linotype" w:cs="Arial"/>
          <w:b/>
        </w:rPr>
        <w:t xml:space="preserve"> </w:t>
      </w:r>
      <w:r w:rsidR="002A0404" w:rsidRPr="003C3E95">
        <w:rPr>
          <w:rFonts w:ascii="Palatino Linotype" w:hAnsi="Palatino Linotype" w:cs="Arial"/>
          <w:b/>
        </w:rPr>
        <w:t>de</w:t>
      </w:r>
      <w:r w:rsidR="004F365E">
        <w:rPr>
          <w:rFonts w:ascii="Palatino Linotype" w:hAnsi="Palatino Linotype" w:cs="Arial"/>
          <w:b/>
        </w:rPr>
        <w:t>l</w:t>
      </w:r>
      <w:r w:rsidR="002A0404" w:rsidRPr="003C3E95">
        <w:rPr>
          <w:rFonts w:ascii="Palatino Linotype" w:hAnsi="Palatino Linotype" w:cs="Arial"/>
          <w:b/>
        </w:rPr>
        <w:t xml:space="preserve"> </w:t>
      </w:r>
      <w:r w:rsidR="004F365E">
        <w:rPr>
          <w:rFonts w:ascii="Palatino Linotype" w:hAnsi="Palatino Linotype" w:cs="Arial"/>
          <w:b/>
        </w:rPr>
        <w:t>dos mil veintiuno</w:t>
      </w:r>
      <w:r w:rsidR="00BF6E92">
        <w:rPr>
          <w:rFonts w:ascii="Palatino Linotype" w:hAnsi="Palatino Linotype" w:cs="Arial"/>
          <w:b/>
        </w:rPr>
        <w:t>,</w:t>
      </w:r>
      <w:r w:rsidR="00E80302" w:rsidRPr="003C3E95">
        <w:rPr>
          <w:rFonts w:ascii="Palatino Linotype" w:hAnsi="Palatino Linotype" w:cs="Arial"/>
        </w:rPr>
        <w:t xml:space="preserve"> </w:t>
      </w:r>
      <w:r>
        <w:rPr>
          <w:rFonts w:ascii="Palatino Linotype" w:hAnsi="Palatino Linotype"/>
        </w:rPr>
        <w:t>la</w:t>
      </w:r>
      <w:r w:rsidR="00BF6E92" w:rsidRPr="007F1F39">
        <w:rPr>
          <w:rFonts w:ascii="Palatino Linotype" w:hAnsi="Palatino Linotype"/>
        </w:rPr>
        <w:t xml:space="preserve"> </w:t>
      </w:r>
      <w:r>
        <w:rPr>
          <w:rFonts w:ascii="Palatino Linotype" w:hAnsi="Palatino Linotype"/>
        </w:rPr>
        <w:t>Comisionada</w:t>
      </w:r>
      <w:r w:rsidR="00BF6E92">
        <w:rPr>
          <w:rFonts w:ascii="Palatino Linotype" w:hAnsi="Palatino Linotype"/>
        </w:rPr>
        <w:t xml:space="preserve">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artículo 185 de la Ley de Transparencia y Acceso a la información Pública del Estado de México y Municipios.</w:t>
      </w:r>
    </w:p>
    <w:p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w:t>
      </w:r>
      <w:r w:rsidR="00A659D6">
        <w:rPr>
          <w:rFonts w:ascii="Palatino Linotype" w:hAnsi="Palatino Linotype"/>
          <w:color w:val="222222"/>
          <w:shd w:val="clear" w:color="auto" w:fill="FFFFFF"/>
        </w:rPr>
        <w:t xml:space="preserve">trigésimo, </w:t>
      </w:r>
      <w:r w:rsidR="009B0FED">
        <w:rPr>
          <w:rFonts w:ascii="Palatino Linotype" w:hAnsi="Palatino Linotype"/>
          <w:color w:val="222222"/>
          <w:shd w:val="clear" w:color="auto" w:fill="FFFFFF"/>
        </w:rPr>
        <w:t>trigésimos primero</w:t>
      </w:r>
      <w:r w:rsidR="00A659D6">
        <w:rPr>
          <w:rFonts w:ascii="Palatino Linotype" w:hAnsi="Palatino Linotype"/>
          <w:color w:val="222222"/>
          <w:shd w:val="clear" w:color="auto" w:fill="FFFFFF"/>
        </w:rPr>
        <w:t xml:space="preserve"> y trigésimo </w:t>
      </w:r>
      <w:r w:rsidR="00A659D6">
        <w:rPr>
          <w:rFonts w:ascii="Palatino Linotype" w:hAnsi="Palatino Linotype"/>
          <w:color w:val="222222"/>
          <w:shd w:val="clear" w:color="auto" w:fill="FFFFFF"/>
        </w:rPr>
        <w:lastRenderedPageBreak/>
        <w:t>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B66773" w:rsidP="008A328B">
      <w:pPr>
        <w:spacing w:before="240" w:after="240" w:line="360" w:lineRule="auto"/>
        <w:jc w:val="both"/>
        <w:rPr>
          <w:rFonts w:ascii="Palatino Linotype" w:eastAsia="Calibri" w:hAnsi="Palatino Linotype" w:cs="Arial"/>
          <w:lang w:val="es-MX" w:eastAsia="en-US"/>
        </w:rPr>
      </w:pPr>
      <w:r w:rsidRPr="00FA5154">
        <w:rPr>
          <w:rFonts w:ascii="Palatino Linotype" w:hAnsi="Palatino Linotype" w:cs="Arial"/>
          <w:b/>
        </w:rPr>
        <w:t>Segundo</w:t>
      </w:r>
      <w:r w:rsidR="00300932" w:rsidRPr="00FA5154">
        <w:rPr>
          <w:rFonts w:ascii="Palatino Linotype" w:hAnsi="Palatino Linotype" w:cs="Arial"/>
          <w:b/>
        </w:rPr>
        <w:t>. Oportunidad y Procedibilidad del Recurso de Revisión</w:t>
      </w:r>
      <w:r w:rsidR="00300932" w:rsidRPr="00415B05">
        <w:rPr>
          <w:rFonts w:ascii="Palatino Linotype" w:hAnsi="Palatino Linotype" w:cs="Arial"/>
          <w:b/>
          <w:sz w:val="28"/>
          <w:szCs w:val="28"/>
        </w:rPr>
        <w:t>.</w:t>
      </w:r>
      <w:r w:rsidR="00300932" w:rsidRPr="00415B05">
        <w:rPr>
          <w:rFonts w:ascii="Palatino Linotype" w:hAnsi="Palatino Linotype" w:cs="Arial"/>
          <w:b/>
        </w:rPr>
        <w:t xml:space="preserve"> </w:t>
      </w:r>
      <w:r w:rsidR="008A328B" w:rsidRPr="008A328B">
        <w:rPr>
          <w:rFonts w:ascii="Palatino Linotype" w:hAnsi="Palatino Linotype" w:cs="Arial"/>
        </w:rPr>
        <w:t>Por</w:t>
      </w:r>
      <w:r w:rsidR="00F235C0">
        <w:rPr>
          <w:rFonts w:ascii="Palatino Linotype" w:hAnsi="Palatino Linotype" w:cs="Arial"/>
        </w:rPr>
        <w:t xml:space="preserve"> cuanto hace a la oportunidad del</w:t>
      </w:r>
      <w:r w:rsidR="00707A6E">
        <w:rPr>
          <w:rFonts w:ascii="Palatino Linotype" w:hAnsi="Palatino Linotype" w:cs="Arial"/>
        </w:rPr>
        <w:t xml:space="preserve"> </w:t>
      </w:r>
      <w:r w:rsidR="008A328B" w:rsidRPr="008A328B">
        <w:rPr>
          <w:rFonts w:ascii="Palatino Linotype" w:hAnsi="Palatino Linotype" w:cs="Arial"/>
        </w:rPr>
        <w:t>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w:t>
      </w:r>
      <w:r w:rsidR="00F235C0">
        <w:rPr>
          <w:rFonts w:ascii="Palatino Linotype" w:eastAsia="Calibri" w:hAnsi="Palatino Linotype" w:cs="Arial"/>
          <w:lang w:val="es-MX" w:eastAsia="en-US"/>
        </w:rPr>
        <w:t>revisión en cualquier momento.</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w:t>
      </w:r>
      <w:r w:rsidR="00F235C0">
        <w:rPr>
          <w:rFonts w:ascii="Palatino Linotype" w:eastAsia="Calibri" w:hAnsi="Palatino Linotype" w:cs="Arial"/>
          <w:lang w:val="es-MX" w:eastAsia="en-US"/>
        </w:rPr>
        <w:t>el</w:t>
      </w:r>
      <w:r w:rsidR="00B9383D">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612C03">
        <w:rPr>
          <w:rFonts w:ascii="Palatino Linotype" w:eastAsia="Calibri" w:hAnsi="Palatino Linotype" w:cs="Arial"/>
          <w:lang w:val="es-MX" w:eastAsia="en-US"/>
        </w:rPr>
        <w:t xml:space="preserve">l </w:t>
      </w:r>
      <w:r w:rsidR="0041729E" w:rsidRPr="00612C03">
        <w:rPr>
          <w:rFonts w:ascii="Palatino Linotype" w:eastAsia="Calibri" w:hAnsi="Palatino Linotype" w:cs="Arial"/>
          <w:b/>
          <w:lang w:val="es-MX" w:eastAsia="en-US"/>
        </w:rPr>
        <w:t>RECURRENTE</w:t>
      </w:r>
      <w:r w:rsidR="00612C03">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en tiempo y forma en el plazo legal previsto para ello, en este sentido la falta de respuesta implica </w:t>
      </w:r>
      <w:r w:rsidRPr="008A328B">
        <w:rPr>
          <w:rFonts w:ascii="Palatino Linotype" w:eastAsia="Calibri" w:hAnsi="Palatino Linotype" w:cs="Arial"/>
          <w:lang w:val="es-MX" w:eastAsia="en-US"/>
        </w:rPr>
        <w:lastRenderedPageBreak/>
        <w:t>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Si a ello se le suma lo previsto en el párrafo segundo del artículo 178, párrafo segundo</w:t>
      </w:r>
      <w:r w:rsidR="00FA5154">
        <w:rPr>
          <w:rStyle w:val="Refdenotaalpie"/>
          <w:rFonts w:ascii="Palatino Linotype" w:eastAsia="Calibri" w:hAnsi="Palatino Linotype" w:cs="Arial"/>
          <w:lang w:val="es-MX" w:eastAsia="en-US"/>
        </w:rPr>
        <w:footnoteReference w:id="1"/>
      </w:r>
      <w:r w:rsidRPr="008A328B">
        <w:rPr>
          <w:rFonts w:ascii="Palatino Linotype" w:eastAsia="Calibri" w:hAnsi="Palatino Linotype" w:cs="Arial"/>
          <w:lang w:val="es-MX" w:eastAsia="en-US"/>
        </w:rPr>
        <w:t xml:space="preserve">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8A328B">
        <w:rPr>
          <w:rFonts w:ascii="Palatino Linotype" w:eastAsia="Calibri" w:hAnsi="Palatino Linotype"/>
          <w:i/>
          <w:sz w:val="22"/>
          <w:szCs w:val="22"/>
          <w:lang w:val="es-MX"/>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659D6" w:rsidRDefault="00BD4811" w:rsidP="00A659D6">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 xml:space="preserve">Además, </w:t>
      </w:r>
      <w:r w:rsidR="00A659D6" w:rsidRPr="00FD07CE">
        <w:rPr>
          <w:rFonts w:ascii="Palatino Linotype" w:hAnsi="Palatino Linotype" w:cs="Arial"/>
        </w:rPr>
        <w:t xml:space="preserve">por </w:t>
      </w:r>
      <w:r w:rsidR="00A659D6" w:rsidRPr="00080788">
        <w:rPr>
          <w:rFonts w:ascii="Palatino Linotype" w:hAnsi="Palatino Linotype" w:cs="Arial"/>
        </w:rPr>
        <w:t>cuanto hace a la procedibilidad del recurso de revisión una vez realizado el análisis del formato de interposición</w:t>
      </w:r>
      <w:r w:rsidR="00A659D6" w:rsidRPr="00080788">
        <w:rPr>
          <w:rStyle w:val="normaltextrun"/>
          <w:rFonts w:ascii="Palatino Linotype" w:hAnsi="Palatino Linotype" w:cs="Segoe UI"/>
        </w:rPr>
        <w:t xml:space="preserve"> del recurso, se acreditan plenamente de todos y cada uno de los elementos formales exigidos por el artículo 180 de la</w:t>
      </w:r>
      <w:r w:rsidR="00A659D6" w:rsidRPr="00080788">
        <w:rPr>
          <w:rStyle w:val="apple-converted-space"/>
          <w:rFonts w:ascii="Palatino Linotype" w:hAnsi="Palatino Linotype" w:cs="Segoe UI"/>
        </w:rPr>
        <w:t xml:space="preserve"> </w:t>
      </w:r>
      <w:r w:rsidR="00A659D6"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A659D6" w:rsidRPr="00080788">
        <w:rPr>
          <w:rStyle w:val="apple-converted-space"/>
          <w:rFonts w:ascii="Palatino Linotype" w:hAnsi="Palatino Linotype" w:cs="Segoe UI"/>
        </w:rPr>
        <w:t xml:space="preserve"> </w:t>
      </w:r>
      <w:r w:rsidR="00A659D6" w:rsidRPr="00080788">
        <w:rPr>
          <w:rStyle w:val="normaltextrun"/>
          <w:rFonts w:ascii="Palatino Linotype" w:hAnsi="Palatino Linotype" w:cs="Segoe UI"/>
          <w:b/>
          <w:bCs/>
        </w:rPr>
        <w:t>EL</w:t>
      </w:r>
      <w:r w:rsidR="00A659D6" w:rsidRPr="00080788">
        <w:rPr>
          <w:rStyle w:val="apple-converted-space"/>
          <w:rFonts w:ascii="Palatino Linotype" w:hAnsi="Palatino Linotype" w:cs="Segoe UI"/>
        </w:rPr>
        <w:t xml:space="preserve"> </w:t>
      </w:r>
      <w:r w:rsidR="00A659D6" w:rsidRPr="00080788">
        <w:rPr>
          <w:rStyle w:val="normaltextrun"/>
          <w:rFonts w:ascii="Palatino Linotype" w:hAnsi="Palatino Linotype" w:cs="Segoe UI"/>
          <w:b/>
          <w:bCs/>
        </w:rPr>
        <w:t>SAIMEX</w:t>
      </w:r>
      <w:r w:rsidR="00A659D6" w:rsidRPr="00080788">
        <w:rPr>
          <w:rStyle w:val="normaltextrun"/>
          <w:rFonts w:ascii="Palatino Linotype" w:hAnsi="Palatino Linotype" w:cs="Segoe UI"/>
        </w:rPr>
        <w:t>.</w:t>
      </w:r>
    </w:p>
    <w:p w:rsidR="00BD4811" w:rsidRDefault="00BD4811" w:rsidP="00A659D6">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 los recursos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rsidR="008A328B" w:rsidRPr="008A328B"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sidR="00FA5154">
        <w:rPr>
          <w:rFonts w:ascii="Palatino Linotype" w:eastAsia="MS Gothic" w:hAnsi="Palatino Linotype" w:cs="Segoe UI"/>
          <w:i/>
          <w:sz w:val="22"/>
          <w:szCs w:val="22"/>
          <w:lang w:val="es-MX" w:eastAsia="es-MX"/>
        </w:rPr>
        <w:t>itud de acceso a la información…(Sic)</w:t>
      </w:r>
    </w:p>
    <w:p w:rsidR="00FA5154" w:rsidRPr="008A328B" w:rsidRDefault="00FA5154" w:rsidP="00FA5154">
      <w:pPr>
        <w:spacing w:before="240" w:after="240"/>
        <w:ind w:right="1041"/>
        <w:jc w:val="both"/>
        <w:textAlignment w:val="baseline"/>
        <w:rPr>
          <w:rFonts w:ascii="Palatino Linotype" w:eastAsia="MS Gothic" w:hAnsi="Palatino Linotype" w:cs="Segoe UI"/>
          <w:i/>
          <w:sz w:val="22"/>
          <w:szCs w:val="22"/>
          <w:lang w:val="es-MX" w:eastAsia="es-MX"/>
        </w:rPr>
      </w:pPr>
    </w:p>
    <w:p w:rsidR="00FA5154" w:rsidRPr="002579FA" w:rsidRDefault="00B66773" w:rsidP="008A328B">
      <w:pPr>
        <w:spacing w:before="240" w:after="240" w:line="360" w:lineRule="auto"/>
        <w:jc w:val="both"/>
        <w:rPr>
          <w:rFonts w:ascii="Palatino Linotype" w:hAnsi="Palatino Linotype"/>
        </w:rPr>
      </w:pPr>
      <w:r w:rsidRPr="00FA5154">
        <w:rPr>
          <w:rFonts w:ascii="Palatino Linotype" w:hAnsi="Palatino Linotype"/>
          <w:b/>
        </w:rPr>
        <w:t>Tercero</w:t>
      </w:r>
      <w:r w:rsidR="008A328B" w:rsidRPr="00FA5154">
        <w:rPr>
          <w:rFonts w:ascii="Palatino Linotype" w:hAnsi="Palatino Linotype"/>
          <w:b/>
        </w:rPr>
        <w:t xml:space="preserve">. </w:t>
      </w:r>
      <w:r w:rsidR="00AE71CA" w:rsidRPr="00452FB2">
        <w:rPr>
          <w:rFonts w:ascii="Palatino Linotype" w:hAnsi="Palatino Linotype" w:cs="Arial"/>
          <w:b/>
        </w:rPr>
        <w:t>Análisis de las causales de sobreseimiento.</w:t>
      </w:r>
      <w:r w:rsidR="008A328B" w:rsidRPr="00FA5CFA">
        <w:rPr>
          <w:rFonts w:ascii="Palatino Linotype" w:hAnsi="Palatino Linotype"/>
          <w:b/>
        </w:rPr>
        <w:t xml:space="preserve"> </w:t>
      </w:r>
      <w:r w:rsidR="00AE71CA">
        <w:rPr>
          <w:rFonts w:ascii="Palatino Linotype" w:hAnsi="Palatino Linotype"/>
        </w:rPr>
        <w:t>Derivado del</w:t>
      </w:r>
      <w:r w:rsidR="002A5E7B" w:rsidRPr="002579FA">
        <w:rPr>
          <w:rFonts w:ascii="Palatino Linotype" w:hAnsi="Palatino Linotype"/>
        </w:rPr>
        <w:t xml:space="preserve"> análisis de</w:t>
      </w:r>
      <w:r w:rsidR="00FA5154" w:rsidRPr="002579FA">
        <w:rPr>
          <w:rFonts w:ascii="Palatino Linotype" w:hAnsi="Palatino Linotype"/>
        </w:rPr>
        <w:t>l</w:t>
      </w:r>
      <w:r w:rsidR="00AB690A" w:rsidRPr="002579FA">
        <w:rPr>
          <w:rFonts w:ascii="Palatino Linotype" w:hAnsi="Palatino Linotype"/>
        </w:rPr>
        <w:t xml:space="preserve"> </w:t>
      </w:r>
      <w:r w:rsidR="002A5E7B" w:rsidRPr="002579FA">
        <w:rPr>
          <w:rFonts w:ascii="Palatino Linotype" w:hAnsi="Palatino Linotype"/>
        </w:rPr>
        <w:t>recurso de revisión materia del presente estudio,</w:t>
      </w:r>
      <w:r w:rsidR="00FA5154" w:rsidRPr="002579FA">
        <w:rPr>
          <w:rFonts w:ascii="Palatino Linotype" w:hAnsi="Palatino Linotype"/>
        </w:rPr>
        <w:t xml:space="preserve"> es pertinente recordar</w:t>
      </w:r>
      <w:r w:rsidR="00DC5881" w:rsidRPr="002579FA">
        <w:rPr>
          <w:rFonts w:ascii="Palatino Linotype" w:hAnsi="Palatino Linotype"/>
        </w:rPr>
        <w:t xml:space="preserve"> que </w:t>
      </w:r>
      <w:r w:rsidR="0041729E" w:rsidRPr="002579FA">
        <w:rPr>
          <w:rFonts w:ascii="Palatino Linotype" w:hAnsi="Palatino Linotype"/>
        </w:rPr>
        <w:t xml:space="preserve">el </w:t>
      </w:r>
      <w:r w:rsidR="0041729E" w:rsidRPr="002579FA">
        <w:rPr>
          <w:rFonts w:ascii="Palatino Linotype" w:hAnsi="Palatino Linotype"/>
          <w:b/>
        </w:rPr>
        <w:t>RECURRENTE</w:t>
      </w:r>
      <w:r w:rsidR="009B0453" w:rsidRPr="002579FA">
        <w:rPr>
          <w:rFonts w:ascii="Palatino Linotype" w:hAnsi="Palatino Linotype"/>
        </w:rPr>
        <w:t xml:space="preserve"> </w:t>
      </w:r>
      <w:r w:rsidR="00FA5CFA" w:rsidRPr="002579FA">
        <w:rPr>
          <w:rFonts w:ascii="Palatino Linotype" w:hAnsi="Palatino Linotype"/>
        </w:rPr>
        <w:t xml:space="preserve">solicitó </w:t>
      </w:r>
      <w:r w:rsidR="00FA5154" w:rsidRPr="002579FA">
        <w:rPr>
          <w:rFonts w:ascii="Palatino Linotype" w:hAnsi="Palatino Linotype"/>
        </w:rPr>
        <w:t xml:space="preserve">al Ayuntamiento de </w:t>
      </w:r>
      <w:r w:rsidR="00A659D6">
        <w:rPr>
          <w:rFonts w:ascii="Palatino Linotype" w:hAnsi="Palatino Linotype"/>
        </w:rPr>
        <w:t>Naucalpan de Juárez</w:t>
      </w:r>
      <w:r w:rsidR="00FA5154" w:rsidRPr="002579FA">
        <w:rPr>
          <w:rFonts w:ascii="Palatino Linotype" w:hAnsi="Palatino Linotype"/>
        </w:rPr>
        <w:t>, lo siguiente:</w:t>
      </w:r>
    </w:p>
    <w:p w:rsidR="00A659D6" w:rsidRDefault="00A659D6" w:rsidP="00A659D6">
      <w:pPr>
        <w:pStyle w:val="Prrafodelista"/>
        <w:numPr>
          <w:ilvl w:val="0"/>
          <w:numId w:val="23"/>
        </w:numPr>
        <w:spacing w:before="240" w:after="240" w:line="360" w:lineRule="auto"/>
        <w:jc w:val="both"/>
        <w:rPr>
          <w:rFonts w:ascii="Palatino Linotype" w:hAnsi="Palatino Linotype"/>
        </w:rPr>
      </w:pPr>
      <w:r w:rsidRPr="00A659D6">
        <w:rPr>
          <w:rFonts w:ascii="Palatino Linotype" w:hAnsi="Palatino Linotype"/>
        </w:rPr>
        <w:t xml:space="preserve">Número de personas contratadas en lista de raya. </w:t>
      </w:r>
    </w:p>
    <w:p w:rsidR="00A659D6" w:rsidRPr="00A659D6" w:rsidRDefault="00A659D6" w:rsidP="00A659D6">
      <w:pPr>
        <w:pStyle w:val="Prrafodelista"/>
        <w:numPr>
          <w:ilvl w:val="0"/>
          <w:numId w:val="23"/>
        </w:numPr>
        <w:spacing w:before="240" w:after="240" w:line="360" w:lineRule="auto"/>
        <w:jc w:val="both"/>
        <w:rPr>
          <w:rFonts w:ascii="Palatino Linotype" w:hAnsi="Palatino Linotype"/>
        </w:rPr>
      </w:pPr>
      <w:r w:rsidRPr="00A659D6">
        <w:rPr>
          <w:rFonts w:ascii="Palatino Linotype" w:hAnsi="Palatino Linotype"/>
        </w:rPr>
        <w:t>Monto mensual al que asciende el pago por concepto de lista de raya.</w:t>
      </w:r>
    </w:p>
    <w:p w:rsidR="00B85C31" w:rsidRPr="00B85C31" w:rsidRDefault="00D42BE3" w:rsidP="00B85C31">
      <w:pPr>
        <w:widowControl w:val="0"/>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w:t>
      </w:r>
      <w:r w:rsidR="00103049">
        <w:rPr>
          <w:rFonts w:ascii="Palatino Linotype" w:hAnsi="Palatino Linotype"/>
        </w:rPr>
        <w:t>l</w:t>
      </w:r>
      <w:r w:rsidR="00EB1142">
        <w:rPr>
          <w:rFonts w:ascii="Palatino Linotype" w:hAnsi="Palatino Linotype"/>
        </w:rPr>
        <w:t xml:space="preserve"> </w:t>
      </w:r>
      <w:r w:rsidR="00B85C31" w:rsidRPr="00B85C31">
        <w:rPr>
          <w:rFonts w:ascii="Palatino Linotype" w:hAnsi="Palatino Linotype"/>
        </w:rPr>
        <w:t>requerimiento</w:t>
      </w:r>
      <w:r w:rsidR="00103049">
        <w:rPr>
          <w:rFonts w:ascii="Palatino Linotype" w:hAnsi="Palatino Linotype"/>
        </w:rPr>
        <w:t xml:space="preserve"> del particular.</w:t>
      </w:r>
    </w:p>
    <w:p w:rsidR="00AA2C12" w:rsidRDefault="00B85C31" w:rsidP="00BC7FF0">
      <w:pPr>
        <w:spacing w:before="240" w:after="240" w:line="360" w:lineRule="auto"/>
        <w:jc w:val="both"/>
        <w:rPr>
          <w:rFonts w:ascii="Palatino Linotype" w:hAnsi="Palatino Linotype"/>
        </w:rPr>
      </w:pPr>
      <w:r w:rsidRPr="00B85C31">
        <w:rPr>
          <w:rFonts w:ascii="Palatino Linotype" w:hAnsi="Palatino Linotype"/>
        </w:rPr>
        <w:t>Inconforme por la falta de</w:t>
      </w:r>
      <w:r>
        <w:rPr>
          <w:rFonts w:ascii="Palatino Linotype" w:hAnsi="Palatino Linotype"/>
        </w:rPr>
        <w:t xml:space="preserve"> respuesta, </w:t>
      </w:r>
      <w:r w:rsidR="00EB1142">
        <w:rPr>
          <w:rFonts w:ascii="Palatino Linotype" w:hAnsi="Palatino Linotype"/>
        </w:rPr>
        <w:t xml:space="preserve">el </w:t>
      </w:r>
      <w:r w:rsidRPr="00B85C31">
        <w:rPr>
          <w:rFonts w:ascii="Palatino Linotype" w:hAnsi="Palatino Linotype"/>
        </w:rPr>
        <w:t xml:space="preserve">hoy </w:t>
      </w:r>
      <w:r w:rsidRPr="00B85C31">
        <w:rPr>
          <w:rFonts w:ascii="Palatino Linotype" w:hAnsi="Palatino Linotype"/>
          <w:b/>
        </w:rPr>
        <w:t>RECURRENTE</w:t>
      </w:r>
      <w:r w:rsidRPr="00B85C31">
        <w:rPr>
          <w:rFonts w:ascii="Palatino Linotype" w:hAnsi="Palatino Linotype"/>
        </w:rPr>
        <w:t xml:space="preserve"> interpuso </w:t>
      </w:r>
      <w:r w:rsidR="00103049">
        <w:rPr>
          <w:rFonts w:ascii="Palatino Linotype" w:hAnsi="Palatino Linotype"/>
        </w:rPr>
        <w:t>el</w:t>
      </w:r>
      <w:r w:rsidR="00EB1142">
        <w:rPr>
          <w:rFonts w:ascii="Palatino Linotype" w:hAnsi="Palatino Linotype"/>
        </w:rPr>
        <w:t xml:space="preserve"> </w:t>
      </w:r>
      <w:r w:rsidRPr="00B85C31">
        <w:rPr>
          <w:rFonts w:ascii="Palatino Linotype" w:hAnsi="Palatino Linotype"/>
        </w:rPr>
        <w:t xml:space="preserve">presente recurso de </w:t>
      </w:r>
      <w:r>
        <w:rPr>
          <w:rFonts w:ascii="Palatino Linotype" w:hAnsi="Palatino Linotype"/>
        </w:rPr>
        <w:t xml:space="preserve">revisión en el que señaló </w:t>
      </w:r>
      <w:r w:rsidR="00A659D6">
        <w:rPr>
          <w:rFonts w:ascii="Palatino Linotype" w:hAnsi="Palatino Linotype"/>
        </w:rPr>
        <w:t xml:space="preserve">medularmente la falta de respuesta. </w:t>
      </w:r>
    </w:p>
    <w:p w:rsidR="00AE0F3A" w:rsidRDefault="00103049" w:rsidP="000D0897">
      <w:pPr>
        <w:spacing w:before="240" w:after="240" w:line="360" w:lineRule="auto"/>
        <w:jc w:val="both"/>
        <w:rPr>
          <w:rFonts w:ascii="Palatino Linotype" w:hAnsi="Palatino Linotype"/>
        </w:rPr>
      </w:pPr>
      <w:r>
        <w:rPr>
          <w:rFonts w:ascii="Palatino Linotype" w:hAnsi="Palatino Linotype"/>
        </w:rPr>
        <w:t>Una vez notificado el recurso de revisión a</w:t>
      </w:r>
      <w:r w:rsidR="00BC7FF0" w:rsidRPr="00B0231C">
        <w:rPr>
          <w:rFonts w:ascii="Palatino Linotype" w:hAnsi="Palatino Linotype"/>
        </w:rPr>
        <w:t xml:space="preserve">l </w:t>
      </w:r>
      <w:r w:rsidR="00BC7FF0" w:rsidRPr="00B0231C">
        <w:rPr>
          <w:rFonts w:ascii="Palatino Linotype" w:hAnsi="Palatino Linotype"/>
          <w:b/>
        </w:rPr>
        <w:t>SUJETO OBLIGADO</w:t>
      </w:r>
      <w:r>
        <w:rPr>
          <w:rFonts w:ascii="Palatino Linotype" w:hAnsi="Palatino Linotype"/>
        </w:rPr>
        <w:t xml:space="preserve">, éste </w:t>
      </w:r>
      <w:r w:rsidR="00AE0F3A">
        <w:rPr>
          <w:rFonts w:ascii="Palatino Linotype" w:hAnsi="Palatino Linotype"/>
        </w:rPr>
        <w:t xml:space="preserve">a través del apartado de manifestaciones del Sistema del Acceso a la Información Mexiquense remitió los siguientes archivos electrónicos: </w:t>
      </w:r>
    </w:p>
    <w:p w:rsidR="00A659D6" w:rsidRDefault="00A659D6" w:rsidP="000D0897">
      <w:pPr>
        <w:spacing w:before="240" w:after="240" w:line="360" w:lineRule="auto"/>
        <w:contextualSpacing/>
        <w:jc w:val="both"/>
        <w:rPr>
          <w:rFonts w:ascii="Palatino Linotype" w:hAnsi="Palatino Linotype" w:cs="Arial"/>
        </w:rPr>
      </w:pPr>
      <w:r w:rsidRPr="00A659D6">
        <w:rPr>
          <w:rFonts w:ascii="Palatino Linotype" w:hAnsi="Palatino Linotype" w:cs="Arial"/>
        </w:rPr>
        <w:t>“</w:t>
      </w:r>
      <w:hyperlink r:id="rId11" w:history="1">
        <w:r w:rsidRPr="00A659D6">
          <w:rPr>
            <w:rFonts w:ascii="Palatino Linotype" w:hAnsi="Palatino Linotype"/>
          </w:rPr>
          <w:t>UTAIP-0340-2021_202108110713.pdf</w:t>
        </w:r>
      </w:hyperlink>
      <w:r w:rsidRPr="00A659D6">
        <w:rPr>
          <w:rFonts w:ascii="Palatino Linotype" w:hAnsi="Palatino Linotype" w:cs="Arial"/>
        </w:rPr>
        <w:t>”,</w:t>
      </w:r>
      <w:r>
        <w:rPr>
          <w:rFonts w:ascii="Palatino Linotype" w:hAnsi="Palatino Linotype" w:cs="Arial"/>
        </w:rPr>
        <w:t xml:space="preserve"> por medio del cual el Titular de la Unidad de Transparencia, les requirió al Tesorero Municipal y Secretario de Administración; todos del Sujeto Obligado, realizaran una búsqueda exhaustiva dentro de los archivos a su digno cargo, para que en el término de tres día en vía de informe justificado manifestaran lo conducente. </w:t>
      </w:r>
    </w:p>
    <w:p w:rsidR="00614D15" w:rsidRDefault="00614D15" w:rsidP="000D0897">
      <w:pPr>
        <w:spacing w:before="240" w:after="240" w:line="360" w:lineRule="auto"/>
        <w:contextualSpacing/>
        <w:jc w:val="both"/>
        <w:rPr>
          <w:rFonts w:ascii="Palatino Linotype" w:hAnsi="Palatino Linotype" w:cs="Arial"/>
        </w:rPr>
      </w:pPr>
    </w:p>
    <w:p w:rsidR="00A659D6" w:rsidRDefault="00A659D6" w:rsidP="000D0897">
      <w:pPr>
        <w:spacing w:before="240" w:after="240" w:line="360" w:lineRule="auto"/>
        <w:contextualSpacing/>
        <w:jc w:val="both"/>
        <w:rPr>
          <w:rFonts w:ascii="Palatino Linotype" w:hAnsi="Palatino Linotype" w:cs="Arial"/>
        </w:rPr>
      </w:pPr>
      <w:r w:rsidRPr="00A659D6">
        <w:rPr>
          <w:rFonts w:ascii="Palatino Linotype" w:hAnsi="Palatino Linotype" w:cs="Arial"/>
        </w:rPr>
        <w:t>“</w:t>
      </w:r>
      <w:hyperlink r:id="rId12" w:history="1">
        <w:r w:rsidRPr="00A659D6">
          <w:rPr>
            <w:rFonts w:ascii="Palatino Linotype" w:hAnsi="Palatino Linotype"/>
          </w:rPr>
          <w:t>EMYA-214-2021_202108181201.pdf</w:t>
        </w:r>
      </w:hyperlink>
      <w:r w:rsidRPr="00A659D6">
        <w:rPr>
          <w:rFonts w:ascii="Palatino Linotype" w:hAnsi="Palatino Linotype" w:cs="Arial"/>
        </w:rPr>
        <w:t>”</w:t>
      </w:r>
      <w:r>
        <w:rPr>
          <w:rFonts w:ascii="Palatino Linotype" w:hAnsi="Palatino Linotype" w:cs="Arial"/>
        </w:rPr>
        <w:t>, el cual contiene la respuesta de la Tesorería Municipal del Ayuntamiento de Naucalpan de Juárez, por medio del cual manifestó que la información solicitada</w:t>
      </w:r>
      <w:r w:rsidR="00614D15">
        <w:rPr>
          <w:rFonts w:ascii="Palatino Linotype" w:hAnsi="Palatino Linotype" w:cs="Arial"/>
        </w:rPr>
        <w:t xml:space="preserve"> no es competencia de esta área, de acuerdo a su fundamento legal que señala. </w:t>
      </w:r>
    </w:p>
    <w:p w:rsidR="00614D15" w:rsidRDefault="00614D15" w:rsidP="000D0897">
      <w:pPr>
        <w:spacing w:before="240" w:after="240" w:line="360" w:lineRule="auto"/>
        <w:contextualSpacing/>
        <w:jc w:val="both"/>
        <w:rPr>
          <w:rFonts w:ascii="Palatino Linotype" w:hAnsi="Palatino Linotype" w:cs="Arial"/>
        </w:rPr>
      </w:pPr>
    </w:p>
    <w:p w:rsidR="00F20ECE" w:rsidRDefault="00A659D6" w:rsidP="000D0897">
      <w:pPr>
        <w:spacing w:before="240" w:after="240" w:line="360" w:lineRule="auto"/>
        <w:contextualSpacing/>
        <w:jc w:val="both"/>
        <w:rPr>
          <w:rFonts w:ascii="Palatino Linotype" w:hAnsi="Palatino Linotype" w:cs="Arial"/>
        </w:rPr>
      </w:pPr>
      <w:r w:rsidRPr="00A659D6">
        <w:rPr>
          <w:rFonts w:ascii="Palatino Linotype" w:hAnsi="Palatino Linotype" w:cs="Arial"/>
        </w:rPr>
        <w:t>“</w:t>
      </w:r>
      <w:hyperlink r:id="rId13" w:history="1">
        <w:r w:rsidRPr="00A659D6">
          <w:rPr>
            <w:rFonts w:ascii="Palatino Linotype" w:hAnsi="Palatino Linotype"/>
          </w:rPr>
          <w:t>DCS-099-2021_202109231011.pdf</w:t>
        </w:r>
      </w:hyperlink>
      <w:r w:rsidRPr="00A659D6">
        <w:rPr>
          <w:rFonts w:ascii="Palatino Linotype" w:hAnsi="Palatino Linotype" w:cs="Arial"/>
        </w:rPr>
        <w:t>”,</w:t>
      </w:r>
      <w:r w:rsidR="00614D15">
        <w:rPr>
          <w:rFonts w:ascii="Palatino Linotype" w:hAnsi="Palatino Linotype" w:cs="Arial"/>
        </w:rPr>
        <w:t xml:space="preserve"> el cual contiene la respuesta de la dirección de Administración del Ayuntamiento de Naucalpan de Juárez, por medio del cual entregó con base a la información proporcionada por la Jefa de Departamento de Nominas, una </w:t>
      </w:r>
      <w:r w:rsidR="00614D15">
        <w:rPr>
          <w:rFonts w:ascii="Palatino Linotype" w:hAnsi="Palatino Linotype" w:cs="Arial"/>
        </w:rPr>
        <w:lastRenderedPageBreak/>
        <w:t xml:space="preserve">tabla en donde se detalla el tipo de contrato, número de empleados, percepciones brutas mensuales, deducción mensual y neto mensual. </w:t>
      </w:r>
    </w:p>
    <w:p w:rsidR="00614D15" w:rsidRDefault="00614D15" w:rsidP="000D0897">
      <w:pPr>
        <w:spacing w:before="240" w:after="240" w:line="360" w:lineRule="auto"/>
        <w:contextualSpacing/>
        <w:jc w:val="both"/>
        <w:rPr>
          <w:rFonts w:ascii="Palatino Linotype" w:hAnsi="Palatino Linotype" w:cs="Arial"/>
        </w:rPr>
      </w:pPr>
    </w:p>
    <w:p w:rsidR="00614D15" w:rsidRDefault="00614D15" w:rsidP="000D0897">
      <w:pPr>
        <w:spacing w:before="240" w:after="240" w:line="360" w:lineRule="auto"/>
        <w:contextualSpacing/>
        <w:jc w:val="both"/>
        <w:rPr>
          <w:rFonts w:ascii="Palatino Linotype" w:hAnsi="Palatino Linotype" w:cs="Arial"/>
        </w:rPr>
      </w:pPr>
      <w:r>
        <w:rPr>
          <w:rFonts w:ascii="Palatino Linotype" w:hAnsi="Palatino Linotype" w:cs="Arial"/>
        </w:rPr>
        <w:t xml:space="preserve">En dicha tabla se observa que se tratan de 796 empleados de lista de raya. </w:t>
      </w:r>
    </w:p>
    <w:p w:rsidR="00614D15" w:rsidRDefault="00614D15" w:rsidP="000D0897">
      <w:pPr>
        <w:spacing w:before="240" w:after="240" w:line="360" w:lineRule="auto"/>
        <w:contextualSpacing/>
        <w:jc w:val="both"/>
        <w:rPr>
          <w:rFonts w:ascii="Palatino Linotype" w:hAnsi="Palatino Linotype"/>
        </w:rPr>
      </w:pPr>
    </w:p>
    <w:p w:rsidR="000D0897" w:rsidRDefault="00103049" w:rsidP="000D0897">
      <w:pPr>
        <w:spacing w:before="240" w:after="240" w:line="360" w:lineRule="auto"/>
        <w:contextualSpacing/>
        <w:jc w:val="both"/>
        <w:rPr>
          <w:rFonts w:ascii="Palatino Linotype" w:hAnsi="Palatino Linotype" w:cs="Arial"/>
        </w:rPr>
      </w:pPr>
      <w:r w:rsidRPr="00AE71CA">
        <w:rPr>
          <w:rFonts w:ascii="Palatino Linotype" w:hAnsi="Palatino Linotype" w:cs="Arial"/>
        </w:rPr>
        <w:t>En esa tesitura, c</w:t>
      </w:r>
      <w:r w:rsidR="000D0897" w:rsidRPr="00AE71CA">
        <w:rPr>
          <w:rFonts w:ascii="Palatino Linotype" w:hAnsi="Palatino Linotype" w:cs="Arial"/>
        </w:rPr>
        <w:t>omo se pued</w:t>
      </w:r>
      <w:r w:rsidR="00AD4094" w:rsidRPr="00AE71CA">
        <w:rPr>
          <w:rFonts w:ascii="Palatino Linotype" w:hAnsi="Palatino Linotype" w:cs="Arial"/>
        </w:rPr>
        <w:t>e</w:t>
      </w:r>
      <w:r w:rsidR="000D0897" w:rsidRPr="00AE71CA">
        <w:rPr>
          <w:rFonts w:ascii="Palatino Linotype" w:hAnsi="Palatino Linotype" w:cs="Arial"/>
        </w:rPr>
        <w:t xml:space="preserve"> observar en los antecedentes de la presente resolución</w:t>
      </w:r>
      <w:r w:rsidR="00AD4094" w:rsidRPr="00AE71CA">
        <w:rPr>
          <w:rFonts w:ascii="Palatino Linotype" w:hAnsi="Palatino Linotype" w:cs="Arial"/>
        </w:rPr>
        <w:t>,</w:t>
      </w:r>
      <w:r w:rsidR="000D0897" w:rsidRPr="00AE71CA">
        <w:rPr>
          <w:rFonts w:ascii="Palatino Linotype" w:hAnsi="Palatino Linotype" w:cs="Arial"/>
        </w:rPr>
        <w:t xml:space="preserve"> el </w:t>
      </w:r>
      <w:r w:rsidR="00AD4094" w:rsidRPr="00AE71CA">
        <w:rPr>
          <w:rFonts w:ascii="Palatino Linotype" w:hAnsi="Palatino Linotype" w:cs="Arial"/>
          <w:b/>
        </w:rPr>
        <w:t>SUJETO OBLIGADO</w:t>
      </w:r>
      <w:r w:rsidR="00AD4094" w:rsidRPr="00AE71CA">
        <w:rPr>
          <w:rFonts w:ascii="Palatino Linotype" w:hAnsi="Palatino Linotype" w:cs="Arial"/>
        </w:rPr>
        <w:t xml:space="preserve"> </w:t>
      </w:r>
      <w:r w:rsidR="000D0897" w:rsidRPr="00AE71CA">
        <w:rPr>
          <w:rFonts w:ascii="Palatino Linotype" w:hAnsi="Palatino Linotype" w:cs="Arial"/>
        </w:rPr>
        <w:t xml:space="preserve">fue </w:t>
      </w:r>
      <w:r w:rsidR="000D0897" w:rsidRPr="00CD3065">
        <w:rPr>
          <w:rFonts w:ascii="Palatino Linotype" w:hAnsi="Palatino Linotype" w:cs="Arial"/>
        </w:rPr>
        <w:t>omiso en emitir respuesta a la solicitud</w:t>
      </w:r>
      <w:r w:rsidR="00605ED5" w:rsidRPr="00CD3065">
        <w:rPr>
          <w:rFonts w:ascii="Palatino Linotype" w:hAnsi="Palatino Linotype" w:cs="Arial"/>
        </w:rPr>
        <w:t xml:space="preserve"> de inf</w:t>
      </w:r>
      <w:r w:rsidR="00680FAC" w:rsidRPr="00CD3065">
        <w:rPr>
          <w:rFonts w:ascii="Palatino Linotype" w:hAnsi="Palatino Linotype" w:cs="Arial"/>
        </w:rPr>
        <w:t>o</w:t>
      </w:r>
      <w:r w:rsidR="00605ED5" w:rsidRPr="00CD3065">
        <w:rPr>
          <w:rFonts w:ascii="Palatino Linotype" w:hAnsi="Palatino Linotype" w:cs="Arial"/>
        </w:rPr>
        <w:t>rmación</w:t>
      </w:r>
      <w:r w:rsidR="000D0897" w:rsidRPr="00CD3065">
        <w:rPr>
          <w:rFonts w:ascii="Palatino Linotype" w:hAnsi="Palatino Linotype" w:cs="Arial"/>
        </w:rPr>
        <w:t xml:space="preserve">, por lo que se advierte que </w:t>
      </w:r>
      <w:r w:rsidR="00680FAC" w:rsidRPr="00CD3065">
        <w:rPr>
          <w:rFonts w:ascii="Palatino Linotype" w:hAnsi="Palatino Linotype" w:cs="Arial"/>
        </w:rPr>
        <w:t xml:space="preserve">los </w:t>
      </w:r>
      <w:r w:rsidR="000D0897" w:rsidRPr="00CD3065">
        <w:rPr>
          <w:rFonts w:ascii="Palatino Linotype" w:hAnsi="Palatino Linotype" w:cs="Arial"/>
        </w:rPr>
        <w:t>motivo</w:t>
      </w:r>
      <w:r w:rsidR="00680FAC" w:rsidRPr="00CD3065">
        <w:rPr>
          <w:rFonts w:ascii="Palatino Linotype" w:hAnsi="Palatino Linotype" w:cs="Arial"/>
        </w:rPr>
        <w:t>s</w:t>
      </w:r>
      <w:r w:rsidR="00F067F0" w:rsidRPr="00CD3065">
        <w:rPr>
          <w:rFonts w:ascii="Palatino Linotype" w:hAnsi="Palatino Linotype" w:cs="Arial"/>
        </w:rPr>
        <w:t xml:space="preserve"> de inconformidad </w:t>
      </w:r>
      <w:r w:rsidR="000D0897" w:rsidRPr="00CD3065">
        <w:rPr>
          <w:rFonts w:ascii="Palatino Linotype" w:hAnsi="Palatino Linotype" w:cs="Arial"/>
        </w:rPr>
        <w:t>aducido</w:t>
      </w:r>
      <w:r w:rsidR="00680FAC" w:rsidRPr="00CD3065">
        <w:rPr>
          <w:rFonts w:ascii="Palatino Linotype" w:hAnsi="Palatino Linotype" w:cs="Arial"/>
        </w:rPr>
        <w:t>s</w:t>
      </w:r>
      <w:r w:rsidR="000D0897" w:rsidRPr="00CD3065">
        <w:rPr>
          <w:rFonts w:ascii="Palatino Linotype" w:hAnsi="Palatino Linotype" w:cs="Arial"/>
        </w:rPr>
        <w:t xml:space="preserve"> por </w:t>
      </w:r>
      <w:r w:rsidR="0041729E" w:rsidRPr="00CD3065">
        <w:rPr>
          <w:rFonts w:ascii="Palatino Linotype" w:hAnsi="Palatino Linotype" w:cs="Arial"/>
        </w:rPr>
        <w:t xml:space="preserve">el </w:t>
      </w:r>
      <w:r w:rsidR="0041729E" w:rsidRPr="00CD3065">
        <w:rPr>
          <w:rFonts w:ascii="Palatino Linotype" w:hAnsi="Palatino Linotype" w:cs="Arial"/>
          <w:b/>
        </w:rPr>
        <w:t>RECURRENTE</w:t>
      </w:r>
      <w:r w:rsidR="00F067F0" w:rsidRPr="00CD3065">
        <w:rPr>
          <w:rFonts w:ascii="Palatino Linotype" w:hAnsi="Palatino Linotype" w:cs="Arial"/>
        </w:rPr>
        <w:t xml:space="preserve"> </w:t>
      </w:r>
      <w:r w:rsidR="000D0897" w:rsidRPr="00CD3065">
        <w:rPr>
          <w:rFonts w:ascii="Palatino Linotype" w:hAnsi="Palatino Linotype" w:cs="Arial"/>
        </w:rPr>
        <w:t>resulta</w:t>
      </w:r>
      <w:r w:rsidR="00680FAC" w:rsidRPr="00CD3065">
        <w:rPr>
          <w:rFonts w:ascii="Palatino Linotype" w:hAnsi="Palatino Linotype" w:cs="Arial"/>
        </w:rPr>
        <w:t>n</w:t>
      </w:r>
      <w:r w:rsidR="000D0897" w:rsidRPr="00CD3065">
        <w:rPr>
          <w:rFonts w:ascii="Palatino Linotype" w:hAnsi="Palatino Linotype" w:cs="Arial"/>
        </w:rPr>
        <w:t xml:space="preserve"> fundado</w:t>
      </w:r>
      <w:r w:rsidR="00680FAC" w:rsidRPr="00CD3065">
        <w:rPr>
          <w:rFonts w:ascii="Palatino Linotype" w:hAnsi="Palatino Linotype" w:cs="Arial"/>
        </w:rPr>
        <w:t>s</w:t>
      </w:r>
      <w:r w:rsidR="00AD4094" w:rsidRPr="00CD3065">
        <w:rPr>
          <w:rFonts w:ascii="Palatino Linotype" w:hAnsi="Palatino Linotype" w:cs="Arial"/>
        </w:rPr>
        <w:t>,</w:t>
      </w:r>
      <w:r w:rsidR="000D0897" w:rsidRPr="00CD3065">
        <w:rPr>
          <w:rFonts w:ascii="Palatino Linotype" w:hAnsi="Palatino Linotype" w:cs="Arial"/>
        </w:rPr>
        <w:t xml:space="preserve"> pues efectivamente transcurrió el plazo </w:t>
      </w:r>
      <w:r w:rsidR="000D0897" w:rsidRPr="00815CEB">
        <w:rPr>
          <w:rFonts w:ascii="Palatino Linotype" w:hAnsi="Palatino Linotype" w:cs="Arial"/>
        </w:rPr>
        <w:t xml:space="preserve">para dar respuesta determinado por la Ley de la Materia, sin que el </w:t>
      </w:r>
      <w:r w:rsidR="00AD4094" w:rsidRPr="00815CEB">
        <w:rPr>
          <w:rFonts w:ascii="Palatino Linotype" w:hAnsi="Palatino Linotype" w:cs="Arial"/>
          <w:b/>
        </w:rPr>
        <w:t>SUJETO OBLIGADO</w:t>
      </w:r>
      <w:r w:rsidR="000D0897" w:rsidRPr="00815CEB">
        <w:rPr>
          <w:rFonts w:ascii="Palatino Linotype" w:hAnsi="Palatino Linotype" w:cs="Arial"/>
        </w:rPr>
        <w:t xml:space="preserve"> atendiera la solicitud de información; por lo tanto, es evidente que se vulneró su derecho constitucional de acceso a la información pública </w:t>
      </w:r>
      <w:r w:rsidR="000D0897" w:rsidRPr="00815CEB">
        <w:rPr>
          <w:rFonts w:ascii="Palatino Linotype" w:hAnsi="Palatino Linotype"/>
        </w:rPr>
        <w:t xml:space="preserve">previsto en el artículo 6 de la </w:t>
      </w:r>
      <w:r w:rsidR="000D0897" w:rsidRPr="000D0897">
        <w:rPr>
          <w:rFonts w:ascii="Palatino Linotype" w:hAnsi="Palatino Linotype"/>
          <w:color w:val="000000"/>
        </w:rPr>
        <w:t>Constitución Política de los Estados Unidos Mexicanos y el artículo 5 de la Constitución Política del Estado Libre y Soberano de México</w:t>
      </w:r>
      <w:r w:rsidR="000D0897" w:rsidRPr="000D0897">
        <w:rPr>
          <w:rFonts w:ascii="Palatino Linotype" w:hAnsi="Palatino Linotype" w:cs="Arial"/>
        </w:rPr>
        <w:t>.</w:t>
      </w:r>
    </w:p>
    <w:p w:rsidR="00482C6E" w:rsidRPr="000D0897" w:rsidRDefault="00482C6E" w:rsidP="000D0897">
      <w:pPr>
        <w:spacing w:before="240" w:after="240" w:line="360" w:lineRule="auto"/>
        <w:contextualSpacing/>
        <w:jc w:val="both"/>
        <w:rPr>
          <w:rFonts w:ascii="Palatino Linotype" w:hAnsi="Palatino Linotype" w:cs="Arial"/>
        </w:rPr>
      </w:pPr>
    </w:p>
    <w:p w:rsidR="00103049" w:rsidRDefault="00103049" w:rsidP="00103049">
      <w:pPr>
        <w:spacing w:before="240" w:after="240" w:line="360" w:lineRule="auto"/>
        <w:jc w:val="both"/>
        <w:rPr>
          <w:rFonts w:ascii="Palatino Linotype" w:hAnsi="Palatino Linotype" w:cs="Arial"/>
        </w:rPr>
      </w:pPr>
      <w:r>
        <w:rPr>
          <w:rFonts w:ascii="Palatino Linotype" w:hAnsi="Palatino Linotype" w:cs="Arial"/>
        </w:rPr>
        <w:t xml:space="preserve">Esto es,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w:t>
      </w:r>
      <w:r>
        <w:rPr>
          <w:rFonts w:ascii="Palatino Linotype" w:hAnsi="Palatino Linotype" w:cs="Arial"/>
        </w:rPr>
        <w:t>,</w:t>
      </w:r>
      <w:r w:rsidRPr="004B2697">
        <w:rPr>
          <w:rFonts w:ascii="Palatino Linotype" w:hAnsi="Palatino Linotype" w:cs="Arial"/>
        </w:rPr>
        <w:t xml:space="preserve"> es pública y accesible</w:t>
      </w:r>
      <w:r>
        <w:rPr>
          <w:rFonts w:ascii="Palatino Linotype" w:hAnsi="Palatino Linotype" w:cs="Arial"/>
        </w:rPr>
        <w:t>,</w:t>
      </w:r>
      <w:r w:rsidRPr="004B2697">
        <w:rPr>
          <w:rFonts w:ascii="Palatino Linotype" w:hAnsi="Palatino Linotype" w:cs="Arial"/>
        </w:rPr>
        <w:t xml:space="preserv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103049" w:rsidRDefault="00103049" w:rsidP="0010304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03049" w:rsidRPr="00903A6F" w:rsidRDefault="00103049" w:rsidP="00103049">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03049" w:rsidRDefault="00103049" w:rsidP="00103049">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103049" w:rsidRDefault="00103049" w:rsidP="00103049">
      <w:pPr>
        <w:spacing w:before="240" w:after="240" w:line="360" w:lineRule="auto"/>
        <w:jc w:val="both"/>
        <w:rPr>
          <w:rFonts w:ascii="Palatino Linotype" w:hAnsi="Palatino Linotype" w:cs="Arial"/>
          <w:i/>
          <w:sz w:val="22"/>
          <w:szCs w:val="22"/>
        </w:rPr>
      </w:pPr>
    </w:p>
    <w:p w:rsidR="00103049" w:rsidRDefault="00103049" w:rsidP="00103049">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103049" w:rsidRDefault="00103049" w:rsidP="00103049">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103049" w:rsidRDefault="00103049" w:rsidP="00103049">
      <w:pPr>
        <w:spacing w:before="240" w:after="240"/>
        <w:ind w:left="567" w:right="758"/>
        <w:contextualSpacing/>
        <w:jc w:val="both"/>
        <w:rPr>
          <w:rFonts w:ascii="Palatino Linotype" w:hAnsi="Palatino Linotype" w:cs="Arial"/>
          <w:i/>
          <w:sz w:val="22"/>
          <w:szCs w:val="22"/>
        </w:rPr>
      </w:pPr>
    </w:p>
    <w:p w:rsidR="00103049" w:rsidRPr="00B11B43" w:rsidRDefault="00103049" w:rsidP="00103049">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103049" w:rsidRDefault="00103049" w:rsidP="00103049">
      <w:pPr>
        <w:spacing w:line="360" w:lineRule="auto"/>
        <w:jc w:val="both"/>
        <w:rPr>
          <w:rFonts w:ascii="Palatino Linotype" w:hAnsi="Palatino Linotype" w:cs="Arial"/>
        </w:rPr>
      </w:pPr>
    </w:p>
    <w:p w:rsidR="00103049" w:rsidRPr="00A8729B" w:rsidRDefault="00103049" w:rsidP="00103049">
      <w:pPr>
        <w:spacing w:line="360" w:lineRule="auto"/>
        <w:jc w:val="both"/>
        <w:rPr>
          <w:rFonts w:ascii="Palatino Linotype" w:hAnsi="Palatino Linotype" w:cs="Arial"/>
          <w:color w:val="000000"/>
        </w:rPr>
      </w:pPr>
      <w:r>
        <w:rPr>
          <w:rFonts w:ascii="Palatino Linotype" w:hAnsi="Palatino Linotype" w:cs="Arial"/>
          <w:color w:val="000000"/>
        </w:rPr>
        <w:lastRenderedPageBreak/>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toda vez que, los 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lo establece </w:t>
      </w:r>
      <w:r w:rsidRPr="00DB74D3">
        <w:rPr>
          <w:rFonts w:ascii="Palatino Linotype" w:hAnsi="Palatino Linotype" w:cs="Arial"/>
        </w:rPr>
        <w:t>los criterios 09/10 y 03/17 emitidos por el Instituto Nacional de Transparencia, Acceso a la Información Pública y Protección de Datos</w:t>
      </w:r>
      <w:r>
        <w:rPr>
          <w:rFonts w:ascii="Palatino Linotype" w:hAnsi="Palatino Linotype" w:cs="Arial"/>
        </w:rPr>
        <w:t xml:space="preserve"> Personales, los cuales señalan lo siguiente</w:t>
      </w:r>
      <w:r w:rsidRPr="00DB74D3">
        <w:rPr>
          <w:rFonts w:ascii="Palatino Linotype" w:hAnsi="Palatino Linotype" w:cs="Arial"/>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09/10</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"LAS DEPENDENCIAS Y ENTIDADES NO ESTÁN OBLIGADAS A GENERAR DOCUMENTOS AD HOC PARA RESPONDER UNA SOLICITUD DE ACC ESO A LA INFORMACIÓN.</w:t>
      </w:r>
    </w:p>
    <w:p w:rsidR="00103049"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03/17</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“NO EXISTE OBLIGACIÓN DE ELABORAR DOCUM ENTOS AD HOC PARA ATENDER LAS SOLICITUDES DE ACCESO A LA INFORM ACIÓN.</w:t>
      </w:r>
    </w:p>
    <w:p w:rsidR="00103049" w:rsidRPr="00003BBD"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rsidR="00103049" w:rsidRDefault="00103049" w:rsidP="00103049">
      <w:pPr>
        <w:spacing w:line="360" w:lineRule="auto"/>
        <w:jc w:val="both"/>
        <w:rPr>
          <w:rFonts w:ascii="Palatino Linotype" w:hAnsi="Palatino Linotype" w:cs="Arial"/>
          <w:color w:val="000000" w:themeColor="text1"/>
        </w:rPr>
      </w:pPr>
      <w:r w:rsidRPr="004975CB">
        <w:rPr>
          <w:rFonts w:ascii="Palatino Linotype" w:hAnsi="Palatino Linotype" w:cs="Arial"/>
        </w:rPr>
        <w:lastRenderedPageBreak/>
        <w:t xml:space="preserve">Por otra </w:t>
      </w:r>
      <w:r w:rsidR="00CD3065" w:rsidRPr="004975CB">
        <w:rPr>
          <w:rFonts w:ascii="Palatino Linotype" w:hAnsi="Palatino Linotype" w:cs="Arial"/>
        </w:rPr>
        <w:t>parte,</w:t>
      </w:r>
      <w:r w:rsidRPr="004975CB">
        <w:rPr>
          <w:rFonts w:ascii="Palatino Linotype" w:hAnsi="Palatino Linotype" w:cs="Arial"/>
        </w:rPr>
        <w:t xml:space="preserve"> y aunado a lo antepuesto</w:t>
      </w:r>
      <w:r>
        <w:rPr>
          <w:rFonts w:ascii="Palatino Linotype" w:hAnsi="Palatino Linotype" w:cs="Arial"/>
        </w:rPr>
        <w:t>,</w:t>
      </w:r>
      <w:r w:rsidRPr="004975CB">
        <w:rPr>
          <w:rFonts w:ascii="Palatino Linotype" w:hAnsi="Palatino Linotype" w:cs="Arial"/>
        </w:rPr>
        <w:t xml:space="preserve"> el </w:t>
      </w:r>
      <w:r w:rsidR="00815CEB">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103049" w:rsidRDefault="00103049" w:rsidP="00103049">
      <w:pPr>
        <w:spacing w:line="360" w:lineRule="auto"/>
        <w:jc w:val="both"/>
        <w:rPr>
          <w:rFonts w:ascii="Palatino Linotype" w:hAnsi="Palatino Linotype" w:cs="Arial"/>
          <w:color w:val="000000" w:themeColor="text1"/>
        </w:rPr>
      </w:pPr>
    </w:p>
    <w:p w:rsidR="00103049" w:rsidRDefault="00103049" w:rsidP="0010304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103049" w:rsidRPr="009E12B6" w:rsidRDefault="00103049" w:rsidP="00103049">
      <w:pPr>
        <w:jc w:val="both"/>
        <w:rPr>
          <w:rFonts w:ascii="Palatino Linotype" w:hAnsi="Palatino Linotype" w:cs="Arial"/>
          <w:color w:val="000000" w:themeColor="text1"/>
        </w:rPr>
      </w:pPr>
    </w:p>
    <w:p w:rsidR="00103049" w:rsidRPr="004975CB" w:rsidRDefault="00103049" w:rsidP="0010304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03049" w:rsidRPr="004975CB" w:rsidRDefault="00103049" w:rsidP="00D97A57">
      <w:pPr>
        <w:ind w:left="1134" w:right="899"/>
        <w:jc w:val="both"/>
        <w:rPr>
          <w:rFonts w:ascii="Palatino Linotype" w:hAnsi="Palatino Linotype" w:cs="Arial"/>
          <w:i/>
          <w:sz w:val="22"/>
          <w:szCs w:val="22"/>
        </w:rPr>
      </w:pP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lastRenderedPageBreak/>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103049" w:rsidRDefault="00103049" w:rsidP="00D97A57">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sidR="00920C32">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9D61C6" w:rsidRPr="009E12B6" w:rsidRDefault="009D61C6" w:rsidP="00103049">
      <w:pPr>
        <w:ind w:left="851" w:right="899"/>
        <w:jc w:val="both"/>
        <w:rPr>
          <w:rFonts w:ascii="Palatino Linotype" w:hAnsi="Palatino Linotype" w:cs="Arial"/>
          <w:i/>
          <w:color w:val="000000"/>
          <w:sz w:val="22"/>
          <w:szCs w:val="22"/>
        </w:rPr>
      </w:pPr>
    </w:p>
    <w:p w:rsidR="00103049" w:rsidRPr="009E12B6" w:rsidRDefault="00103049" w:rsidP="0010304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103049" w:rsidRPr="009E12B6" w:rsidRDefault="00103049" w:rsidP="00103049">
      <w:pPr>
        <w:ind w:left="851" w:right="899"/>
        <w:jc w:val="both"/>
        <w:rPr>
          <w:rFonts w:ascii="Palatino Linotype" w:hAnsi="Palatino Linotype" w:cs="Arial"/>
        </w:rPr>
      </w:pPr>
    </w:p>
    <w:p w:rsidR="00103049" w:rsidRPr="004B675A"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103049" w:rsidRPr="009E12B6" w:rsidRDefault="00103049" w:rsidP="00D97A57">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103049" w:rsidRPr="009E12B6"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w:t>
      </w:r>
      <w:r w:rsidR="00A2107E">
        <w:rPr>
          <w:rFonts w:ascii="Palatino Linotype" w:hAnsi="Palatino Linotype" w:cs="Arial"/>
          <w:i/>
          <w:sz w:val="22"/>
          <w:szCs w:val="22"/>
          <w:lang w:eastAsia="es-MX"/>
        </w:rPr>
        <w:t>sión de los Sujetos Obligados.”(Sic)</w:t>
      </w:r>
    </w:p>
    <w:p w:rsidR="00763DF1" w:rsidRPr="00C51126" w:rsidRDefault="00763DF1" w:rsidP="00D97A57">
      <w:pPr>
        <w:ind w:left="1134" w:right="1041"/>
        <w:jc w:val="both"/>
        <w:rPr>
          <w:rFonts w:ascii="Palatino Linotype" w:hAnsi="Palatino Linotype"/>
          <w:sz w:val="22"/>
          <w:szCs w:val="22"/>
        </w:rPr>
      </w:pPr>
    </w:p>
    <w:p w:rsidR="000D0897" w:rsidRDefault="000D0897" w:rsidP="000D0897">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t>De ahí que</w:t>
      </w:r>
      <w:r w:rsidRPr="000D0897">
        <w:rPr>
          <w:rFonts w:ascii="Palatino Linotype" w:hAnsi="Palatino Linotype" w:cs="Arial"/>
          <w:lang w:val="es-MX" w:eastAsia="es-MX"/>
        </w:rPr>
        <w:t xml:space="preserve"> el </w:t>
      </w:r>
      <w:r w:rsidR="002F03D3" w:rsidRPr="002F03D3">
        <w:rPr>
          <w:rFonts w:ascii="Palatino Linotype" w:hAnsi="Palatino Linotype" w:cs="Arial"/>
          <w:b/>
          <w:lang w:val="es-MX" w:eastAsia="es-MX"/>
        </w:rPr>
        <w:t>SUJETO OBLIGADO</w:t>
      </w:r>
      <w:r w:rsidR="002F03D3" w:rsidRPr="002F03D3">
        <w:rPr>
          <w:rFonts w:ascii="Palatino Linotype" w:hAnsi="Palatino Linotype" w:cs="Arial"/>
          <w:lang w:val="es-MX" w:eastAsia="es-MX"/>
        </w:rPr>
        <w:t xml:space="preserve"> </w:t>
      </w:r>
      <w:r w:rsidRPr="000D0897">
        <w:rPr>
          <w:rFonts w:ascii="Palatino Linotype" w:hAnsi="Palatino Linotype" w:cs="Arial"/>
          <w:lang w:val="es-MX" w:eastAsia="es-MX"/>
        </w:rPr>
        <w:t>cuenta con el deber de satisfacer las solicitudes de acceso a la inf</w:t>
      </w:r>
      <w:r w:rsidR="002F03D3"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relaciona con aquella que se genere de acuerdo con sus facultades, atribuciones señaladas por la Ley en </w:t>
      </w:r>
      <w:r w:rsidR="002F03D3"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2"/>
      </w:r>
      <w:r w:rsidRPr="000D0897">
        <w:rPr>
          <w:rFonts w:ascii="Palatino Linotype" w:hAnsi="Palatino Linotype" w:cs="Arial"/>
          <w:lang w:val="es-MX" w:eastAsia="es-MX"/>
        </w:rPr>
        <w:t>, así como de interés público, es decir, aquella que resulta relevante o beneficiosa para la sociedad y no si</w:t>
      </w:r>
      <w:r w:rsidR="00920C32">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sidR="000035FF">
        <w:rPr>
          <w:rFonts w:ascii="Palatino Linotype" w:hAnsi="Palatino Linotype" w:cs="Arial"/>
          <w:lang w:val="es-MX" w:eastAsia="es-MX"/>
        </w:rPr>
        <w:t xml:space="preserve"> </w:t>
      </w:r>
      <w:r w:rsidRPr="000D0897">
        <w:rPr>
          <w:rFonts w:ascii="Palatino Linotype" w:hAnsi="Palatino Linotype" w:cs="Arial"/>
          <w:lang w:val="es-MX" w:eastAsia="es-MX"/>
        </w:rPr>
        <w:t>comprenda las actividades que llevan a cabo los Sujetos Obligados</w:t>
      </w:r>
      <w:r w:rsidRPr="00AD359A">
        <w:rPr>
          <w:rFonts w:ascii="Palatino Linotype" w:hAnsi="Palatino Linotype" w:cs="Arial"/>
          <w:vertAlign w:val="superscript"/>
          <w:lang w:val="es-MX" w:eastAsia="es-MX"/>
        </w:rPr>
        <w:footnoteReference w:id="3"/>
      </w:r>
      <w:r w:rsidR="002F03D3" w:rsidRPr="00AD359A">
        <w:rPr>
          <w:rFonts w:ascii="Palatino Linotype" w:hAnsi="Palatino Linotype" w:cs="Arial"/>
          <w:lang w:val="es-MX" w:eastAsia="es-MX"/>
        </w:rPr>
        <w:t>,</w:t>
      </w:r>
      <w:r w:rsidRPr="00AD359A">
        <w:rPr>
          <w:rFonts w:ascii="Palatino Linotype" w:hAnsi="Palatino Linotype" w:cs="Arial"/>
          <w:lang w:val="es-MX" w:eastAsia="es-MX"/>
        </w:rPr>
        <w:t xml:space="preserve"> como pudiera tratarse de aquella relacionada con </w:t>
      </w:r>
      <w:r w:rsidR="00CD3065">
        <w:rPr>
          <w:rFonts w:ascii="Palatino Linotype" w:hAnsi="Palatino Linotype" w:cs="Arial"/>
          <w:lang w:val="es-MX" w:eastAsia="es-MX"/>
        </w:rPr>
        <w:t>las obras públicas requerida</w:t>
      </w:r>
      <w:r w:rsidR="00815CEB">
        <w:rPr>
          <w:rFonts w:ascii="Palatino Linotype" w:hAnsi="Palatino Linotype" w:cs="Arial"/>
          <w:lang w:val="es-MX" w:eastAsia="es-MX"/>
        </w:rPr>
        <w:t>s</w:t>
      </w:r>
      <w:r w:rsidR="00920C32">
        <w:rPr>
          <w:rFonts w:ascii="Palatino Linotype" w:hAnsi="Palatino Linotype" w:cs="Arial"/>
          <w:lang w:val="es-MX" w:eastAsia="es-MX"/>
        </w:rPr>
        <w:t>.</w:t>
      </w:r>
    </w:p>
    <w:p w:rsidR="00AE71CA" w:rsidRDefault="00AE71CA" w:rsidP="000D0897">
      <w:pPr>
        <w:spacing w:before="100" w:beforeAutospacing="1" w:after="100" w:afterAutospacing="1" w:line="360" w:lineRule="auto"/>
        <w:jc w:val="both"/>
        <w:rPr>
          <w:rFonts w:ascii="Palatino Linotype" w:hAnsi="Palatino Linotype" w:cs="Arial"/>
          <w:lang w:val="es-MX" w:eastAsia="es-MX"/>
        </w:rPr>
      </w:pPr>
      <w:r>
        <w:rPr>
          <w:rFonts w:ascii="Palatino Linotype" w:hAnsi="Palatino Linotype" w:cs="Arial"/>
          <w:lang w:val="es-MX" w:eastAsia="es-MX"/>
        </w:rPr>
        <w:t>Sin embargo, en el apartado de manifestaciones, el Sujeto Obligado a través de la Jefa del Departamento de Nomina, remitió la siguiente información:</w:t>
      </w:r>
    </w:p>
    <w:p w:rsidR="00AE71CA" w:rsidRDefault="00AE71CA" w:rsidP="000D0897">
      <w:pPr>
        <w:spacing w:before="100" w:beforeAutospacing="1" w:after="100" w:afterAutospacing="1" w:line="360" w:lineRule="auto"/>
        <w:jc w:val="both"/>
        <w:rPr>
          <w:rFonts w:ascii="Palatino Linotype" w:hAnsi="Palatino Linotype" w:cs="Arial"/>
          <w:lang w:val="es-MX" w:eastAsia="es-MX"/>
        </w:rPr>
      </w:pPr>
      <w:r>
        <w:rPr>
          <w:noProof/>
          <w:lang w:val="es-MX" w:eastAsia="es-MX"/>
        </w:rPr>
        <w:drawing>
          <wp:inline distT="0" distB="0" distL="0" distR="0" wp14:anchorId="69E4D2B1" wp14:editId="62232B67">
            <wp:extent cx="5949950" cy="115323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1833" t="48579" r="18732" b="35557"/>
                    <a:stretch/>
                  </pic:blipFill>
                  <pic:spPr bwMode="auto">
                    <a:xfrm>
                      <a:off x="0" y="0"/>
                      <a:ext cx="5970785" cy="1157273"/>
                    </a:xfrm>
                    <a:prstGeom prst="rect">
                      <a:avLst/>
                    </a:prstGeom>
                    <a:ln>
                      <a:noFill/>
                    </a:ln>
                    <a:extLst>
                      <a:ext uri="{53640926-AAD7-44D8-BBD7-CCE9431645EC}">
                        <a14:shadowObscured xmlns:a14="http://schemas.microsoft.com/office/drawing/2010/main"/>
                      </a:ext>
                    </a:extLst>
                  </pic:spPr>
                </pic:pic>
              </a:graphicData>
            </a:graphic>
          </wp:inline>
        </w:drawing>
      </w:r>
    </w:p>
    <w:p w:rsidR="00AE71CA" w:rsidRDefault="00AE71CA" w:rsidP="00A2107E">
      <w:pPr>
        <w:spacing w:before="100" w:beforeAutospacing="1" w:after="100" w:afterAutospacing="1" w:line="360" w:lineRule="auto"/>
        <w:jc w:val="both"/>
        <w:rPr>
          <w:rFonts w:ascii="Palatino Linotype" w:hAnsi="Palatino Linotype" w:cs="Arial"/>
          <w:lang w:val="es-MX" w:eastAsia="es-MX"/>
        </w:rPr>
      </w:pPr>
      <w:r>
        <w:rPr>
          <w:rFonts w:ascii="Palatino Linotype" w:hAnsi="Palatino Linotype" w:cs="Arial"/>
          <w:lang w:val="es-MX" w:eastAsia="es-MX"/>
        </w:rPr>
        <w:lastRenderedPageBreak/>
        <w:t xml:space="preserve">En donde se advierte el número de personas contratadas por concepto de lista de raya </w:t>
      </w:r>
      <w:r w:rsidR="00A2107E">
        <w:rPr>
          <w:rFonts w:ascii="Palatino Linotype" w:hAnsi="Palatino Linotype" w:cs="Arial"/>
          <w:lang w:val="es-MX" w:eastAsia="es-MX"/>
        </w:rPr>
        <w:t>y el monto mensual bruto, neto y deducciones por concepto de lista de raya, colmando con ello el derecho de acceso a la información pública del recurrente; máxime que el área que proporciono la información es la competente para generar la información en términos del artículo 6.9 del Reglamento Orgánico de l</w:t>
      </w:r>
      <w:r w:rsidR="00A2107E" w:rsidRPr="00A2107E">
        <w:rPr>
          <w:rFonts w:ascii="Palatino Linotype" w:hAnsi="Palatino Linotype" w:cs="Arial"/>
          <w:lang w:val="es-MX" w:eastAsia="es-MX"/>
        </w:rPr>
        <w:t>a Ad</w:t>
      </w:r>
      <w:r w:rsidR="00A2107E">
        <w:rPr>
          <w:rFonts w:ascii="Palatino Linotype" w:hAnsi="Palatino Linotype" w:cs="Arial"/>
          <w:lang w:val="es-MX" w:eastAsia="es-MX"/>
        </w:rPr>
        <w:t>ministración Pública Municipal de Naucalpan d</w:t>
      </w:r>
      <w:r w:rsidR="00A2107E" w:rsidRPr="00A2107E">
        <w:rPr>
          <w:rFonts w:ascii="Palatino Linotype" w:hAnsi="Palatino Linotype" w:cs="Arial"/>
          <w:lang w:val="es-MX" w:eastAsia="es-MX"/>
        </w:rPr>
        <w:t xml:space="preserve">e Juárez, México 2019 </w:t>
      </w:r>
      <w:r w:rsidR="00A2107E">
        <w:rPr>
          <w:rFonts w:ascii="Palatino Linotype" w:hAnsi="Palatino Linotype" w:cs="Arial"/>
          <w:lang w:val="es-MX" w:eastAsia="es-MX"/>
        </w:rPr>
        <w:t>–</w:t>
      </w:r>
      <w:r w:rsidR="00A2107E" w:rsidRPr="00A2107E">
        <w:rPr>
          <w:rFonts w:ascii="Palatino Linotype" w:hAnsi="Palatino Linotype" w:cs="Arial"/>
          <w:lang w:val="es-MX" w:eastAsia="es-MX"/>
        </w:rPr>
        <w:t xml:space="preserve"> 2021</w:t>
      </w:r>
      <w:r w:rsidR="00A2107E">
        <w:rPr>
          <w:rFonts w:ascii="Palatino Linotype" w:hAnsi="Palatino Linotype" w:cs="Arial"/>
          <w:lang w:val="es-MX" w:eastAsia="es-MX"/>
        </w:rPr>
        <w:t>, que señala lo siguiente:</w:t>
      </w:r>
    </w:p>
    <w:p w:rsidR="00A2107E" w:rsidRDefault="00A2107E" w:rsidP="00A2107E">
      <w:pPr>
        <w:ind w:left="1134"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A2107E">
        <w:rPr>
          <w:rFonts w:ascii="Palatino Linotype" w:hAnsi="Palatino Linotype" w:cs="Arial"/>
          <w:i/>
          <w:sz w:val="22"/>
          <w:szCs w:val="22"/>
          <w:lang w:eastAsia="es-MX"/>
        </w:rPr>
        <w:t xml:space="preserve">Artículo 6.9.- Corresponde al Titular del Departamento de Nóminas, el despacho de los siguientes asuntos: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I. Administrar los recursos materiales, financieros, tecnológicos y humanos a su cargo;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II. Acordar con el Titular de la Dirección de Recursos Humanos los asuntos de su competencia que así lo requieran;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III. Aplicar los lineamientos establecidos en materia laboral y fiscal, así como las políticas que el Ayuntamiento proponga en materia de Servicios Personales; </w:t>
      </w:r>
    </w:p>
    <w:p w:rsidR="00A2107E" w:rsidRPr="00A2107E" w:rsidRDefault="00A2107E" w:rsidP="00A2107E">
      <w:pPr>
        <w:ind w:left="1134" w:right="899"/>
        <w:jc w:val="both"/>
        <w:rPr>
          <w:rFonts w:ascii="Palatino Linotype" w:hAnsi="Palatino Linotype" w:cs="Arial"/>
          <w:b/>
          <w:i/>
          <w:sz w:val="22"/>
          <w:szCs w:val="22"/>
          <w:lang w:eastAsia="es-MX"/>
        </w:rPr>
      </w:pPr>
      <w:r w:rsidRPr="00A2107E">
        <w:rPr>
          <w:rFonts w:ascii="Palatino Linotype" w:hAnsi="Palatino Linotype" w:cs="Arial"/>
          <w:b/>
          <w:i/>
          <w:sz w:val="22"/>
          <w:szCs w:val="22"/>
          <w:lang w:eastAsia="es-MX"/>
        </w:rPr>
        <w:t xml:space="preserve">IV. Elaborar, calcular y emitir cada una de las nóminas para la solicitud de los recursos financieros para su pago;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V. Consultar permanentemente los medios oficiales, con el fin de tener conocimiento de cualquier modificación en material laboral y fiscal que pueda repercutir en la administración de los sueldos y salarios de la Administración Pública;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b/>
          <w:i/>
          <w:sz w:val="22"/>
          <w:szCs w:val="22"/>
          <w:lang w:eastAsia="es-MX"/>
        </w:rPr>
        <w:t xml:space="preserve">VI. Coordinar y ejecutar los movimientos de altas, bajas y cambios de los servidores públicos en el sistema integral de nóminas de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VII. Revisar periódicamente el Tabulador Salarial y hacer las modificaciones pertinentes;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VIII. Llevar un control de las vacantes existentes en cada Dependencia; </w:t>
      </w:r>
    </w:p>
    <w:p w:rsidR="00A2107E" w:rsidRPr="00A2107E" w:rsidRDefault="00A2107E" w:rsidP="00A2107E">
      <w:pPr>
        <w:ind w:left="1134" w:right="899"/>
        <w:jc w:val="both"/>
        <w:rPr>
          <w:rFonts w:ascii="Palatino Linotype" w:hAnsi="Palatino Linotype" w:cs="Arial"/>
          <w:b/>
          <w:i/>
          <w:sz w:val="22"/>
          <w:szCs w:val="22"/>
          <w:lang w:eastAsia="es-MX"/>
        </w:rPr>
      </w:pPr>
      <w:r w:rsidRPr="00A2107E">
        <w:rPr>
          <w:rFonts w:ascii="Palatino Linotype" w:hAnsi="Palatino Linotype" w:cs="Arial"/>
          <w:i/>
          <w:sz w:val="22"/>
          <w:szCs w:val="22"/>
          <w:lang w:eastAsia="es-MX"/>
        </w:rPr>
        <w:t xml:space="preserve">IX. Coordinar y supervisar el desempeño de las actividades del personal a su cargo; </w:t>
      </w:r>
      <w:r w:rsidRPr="00A2107E">
        <w:rPr>
          <w:rFonts w:ascii="Palatino Linotype" w:hAnsi="Palatino Linotype" w:cs="Arial"/>
          <w:b/>
          <w:i/>
          <w:sz w:val="22"/>
          <w:szCs w:val="22"/>
          <w:lang w:eastAsia="es-MX"/>
        </w:rPr>
        <w:t xml:space="preserve">X. Realizar el timbrado digital de los recibos de Nómina de todos los empleados del Ayuntamiento;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b/>
          <w:i/>
          <w:sz w:val="22"/>
          <w:szCs w:val="22"/>
          <w:lang w:eastAsia="es-MX"/>
        </w:rPr>
        <w:t>XI. Elaborar el calendario de pago de las distintas nóminas</w:t>
      </w:r>
      <w:r w:rsidRPr="00A2107E">
        <w:rPr>
          <w:rFonts w:ascii="Palatino Linotype" w:hAnsi="Palatino Linotype" w:cs="Arial"/>
          <w:i/>
          <w:sz w:val="22"/>
          <w:szCs w:val="22"/>
          <w:lang w:eastAsia="es-MX"/>
        </w:rPr>
        <w:t xml:space="preserve">;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XII. Elaborar la solicitud de recursos para la dispersión y pago de nóminas, a efecto de que pueda ser firmada por el Secretario o en su caso por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XIII. Obtener las firmas de nóminas de los servidores públicos a efecto de elaborar los archivos de dispersión y pago;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lastRenderedPageBreak/>
        <w:t xml:space="preserve">XIV. Planear conjuntamente con caja general, los servicios de traslado de valores, los días, formas y lugares de pago;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XV. Distribuir las nóminas a cada una de las dependencias a través de los Coordinadores Administrativos de las mismas;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XVI. Realizar el pago en ventanilla de la lista de raya semanal; XVII. Confirmar la dispersión de la nómina en caja;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XVIII. Entregar las nóminas debidamente firmadas por los servidores públicos al departamento de Contabilidad General;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XIX. Apertura y asignación de cuentas individuales bancarias donde sean depositadas las percepciones; </w:t>
      </w:r>
    </w:p>
    <w:p w:rsidR="00A2107E" w:rsidRPr="00A2107E" w:rsidRDefault="00A2107E" w:rsidP="00A2107E">
      <w:pPr>
        <w:ind w:left="1134" w:right="899"/>
        <w:jc w:val="both"/>
        <w:rPr>
          <w:rFonts w:ascii="Palatino Linotype" w:hAnsi="Palatino Linotype" w:cs="Arial"/>
          <w:b/>
          <w:i/>
          <w:sz w:val="22"/>
          <w:szCs w:val="22"/>
          <w:lang w:eastAsia="es-MX"/>
        </w:rPr>
      </w:pPr>
      <w:r w:rsidRPr="00A2107E">
        <w:rPr>
          <w:rFonts w:ascii="Palatino Linotype" w:hAnsi="Palatino Linotype" w:cs="Arial"/>
          <w:b/>
          <w:i/>
          <w:sz w:val="22"/>
          <w:szCs w:val="22"/>
          <w:lang w:eastAsia="es-MX"/>
        </w:rPr>
        <w:t xml:space="preserve">XX. Integrar, resguardar y actualizar el expediente laboral de los funcionarios públicos;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XXI. Administrar el inventario de material y equipo de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XXII. Integrar, resguardar y actualizar los expedientes de los servidores públicos a excepción de los funcionarios públicos municipales;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XXIII. Elaborar el presupuesto anual de bienes muebles y prestación de servicios de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XXIV. Administrar y resguardar los recursos financieros asignados al Fondo Fijo de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XXV. Controlar el archivo de la documentación que ingresa y se genera en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XXVI. Controlar el registro de asistencia, puntualidad y todas las prestaciones con respecto a días de descanso de los servidores públicos en servicio;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XXVII. Formular las circulares y oficios, de su competencia y someterlas a consideración del Titular de la Dirección de Recursos Humanos;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XXVIII. Gestionar el pago de las despensas del personal Sindicalizado, Seguridad Pública y Protección Civil;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XXIX. Gestionar la adquisición y entrega de uniformes y equipo de trabajo para los servidores públicos de base, de acuerdo con los convenios sindicales vigentes;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XXX. Elaborar un escalafón progresivo de antigüedades del personal de base y mantenerlo actualizado; </w:t>
      </w:r>
    </w:p>
    <w:p w:rsid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 xml:space="preserve">XXXI. Gestionar la expedición de credenciales y demás identificaciones oficiales para los servidores públicos de la Administración Pública Municipal en funciones; XXXII. Gestionar la expedición de constancias de prestación, terminación de servicios y nombramientos para los servidores públicos que así lo soliciten; y </w:t>
      </w:r>
    </w:p>
    <w:p w:rsidR="00A2107E" w:rsidRPr="00A2107E" w:rsidRDefault="00A2107E" w:rsidP="00A2107E">
      <w:pPr>
        <w:ind w:left="1134" w:right="899"/>
        <w:jc w:val="both"/>
        <w:rPr>
          <w:rFonts w:ascii="Palatino Linotype" w:hAnsi="Palatino Linotype" w:cs="Arial"/>
          <w:i/>
          <w:sz w:val="22"/>
          <w:szCs w:val="22"/>
          <w:lang w:eastAsia="es-MX"/>
        </w:rPr>
      </w:pPr>
      <w:r w:rsidRPr="00A2107E">
        <w:rPr>
          <w:rFonts w:ascii="Palatino Linotype" w:hAnsi="Palatino Linotype" w:cs="Arial"/>
          <w:i/>
          <w:sz w:val="22"/>
          <w:szCs w:val="22"/>
          <w:lang w:eastAsia="es-MX"/>
        </w:rPr>
        <w:t>XXXIII. Las demás que le sean solicitadas por el Director de Recursos Humanos.</w:t>
      </w:r>
      <w:r w:rsidR="004C7732">
        <w:rPr>
          <w:rFonts w:ascii="Palatino Linotype" w:hAnsi="Palatino Linotype" w:cs="Arial"/>
          <w:i/>
          <w:sz w:val="22"/>
          <w:szCs w:val="22"/>
          <w:lang w:eastAsia="es-MX"/>
        </w:rPr>
        <w:t>”(Sic)</w:t>
      </w:r>
    </w:p>
    <w:p w:rsidR="004C7732" w:rsidRDefault="004C7732" w:rsidP="004C7732">
      <w:pPr>
        <w:pStyle w:val="Sinespaciado"/>
        <w:spacing w:before="120" w:after="120" w:line="360" w:lineRule="auto"/>
        <w:contextualSpacing/>
        <w:jc w:val="both"/>
        <w:rPr>
          <w:rFonts w:ascii="Palatino Linotype" w:hAnsi="Palatino Linotype"/>
          <w:lang w:eastAsia="es-MX"/>
        </w:rPr>
      </w:pPr>
      <w:r>
        <w:rPr>
          <w:rFonts w:ascii="Palatino Linotype" w:hAnsi="Palatino Linotype"/>
          <w:lang w:eastAsia="es-MX"/>
        </w:rPr>
        <w:lastRenderedPageBreak/>
        <w:t>Luego entonces,</w:t>
      </w:r>
      <w:r w:rsidRPr="00A80726">
        <w:rPr>
          <w:rFonts w:ascii="Palatino Linotype" w:hAnsi="Palatino Linotype"/>
          <w:lang w:eastAsia="es-MX"/>
        </w:rPr>
        <w:t xml:space="preserve"> </w:t>
      </w:r>
      <w:r w:rsidRPr="00C62A48">
        <w:rPr>
          <w:rFonts w:ascii="Palatino Linotype" w:hAnsi="Palatino Linotype"/>
          <w:lang w:eastAsia="es-MX"/>
        </w:rPr>
        <w:t xml:space="preserve">al haber un pronunciamiento por parte del </w:t>
      </w:r>
      <w:r w:rsidRPr="00C62A48">
        <w:rPr>
          <w:rFonts w:ascii="Palatino Linotype" w:hAnsi="Palatino Linotype"/>
          <w:b/>
          <w:lang w:eastAsia="es-MX"/>
        </w:rPr>
        <w:t>Sujeto Obligado</w:t>
      </w:r>
      <w:r w:rsidRPr="00C62A48">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w:t>
      </w:r>
      <w:r w:rsidRPr="008F5FA7">
        <w:rPr>
          <w:rFonts w:ascii="Palatino Linotype" w:hAnsi="Palatino Linotype"/>
          <w:lang w:eastAsia="es-MX"/>
        </w:rPr>
        <w:t xml:space="preserve"> emitido por el entonces Instituto Federal de Accesos a la Información y Protección de Datos, que a la letra establece lo siguiente:</w:t>
      </w:r>
    </w:p>
    <w:p w:rsidR="004C7732" w:rsidRPr="008F5FA7" w:rsidRDefault="004C7732" w:rsidP="004C7732">
      <w:pPr>
        <w:spacing w:before="120" w:after="120"/>
        <w:ind w:left="851" w:right="851"/>
        <w:jc w:val="both"/>
        <w:rPr>
          <w:rFonts w:ascii="Palatino Linotype" w:hAnsi="Palatino Linotype"/>
          <w:i/>
          <w:sz w:val="22"/>
          <w:szCs w:val="22"/>
        </w:rPr>
      </w:pPr>
      <w:r w:rsidRPr="008F5FA7">
        <w:rPr>
          <w:rFonts w:ascii="Palatino Linotype" w:hAnsi="Palatino Linotype"/>
          <w:i/>
          <w:sz w:val="22"/>
          <w:szCs w:val="22"/>
        </w:rPr>
        <w:t>“</w:t>
      </w:r>
      <w:r w:rsidRPr="008F5FA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F5FA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C7732" w:rsidRDefault="004C7732" w:rsidP="004C7732">
      <w:pPr>
        <w:pStyle w:val="Prrafodelista"/>
        <w:autoSpaceDE w:val="0"/>
        <w:autoSpaceDN w:val="0"/>
        <w:adjustRightInd w:val="0"/>
        <w:spacing w:line="360" w:lineRule="auto"/>
        <w:ind w:left="0"/>
        <w:jc w:val="both"/>
        <w:rPr>
          <w:rFonts w:ascii="Palatino Linotype" w:hAnsi="Palatino Linotype" w:cs="Arial"/>
        </w:rPr>
      </w:pPr>
    </w:p>
    <w:p w:rsidR="004C7732" w:rsidRDefault="004C7732" w:rsidP="004C7732">
      <w:pPr>
        <w:pStyle w:val="Prrafodelista"/>
        <w:autoSpaceDE w:val="0"/>
        <w:autoSpaceDN w:val="0"/>
        <w:adjustRightInd w:val="0"/>
        <w:spacing w:line="360" w:lineRule="auto"/>
        <w:ind w:left="0"/>
        <w:jc w:val="both"/>
        <w:rPr>
          <w:rFonts w:ascii="Palatino Linotype" w:hAnsi="Palatino Linotype" w:cs="Arial"/>
        </w:rPr>
      </w:pPr>
      <w:r w:rsidRPr="007302F7">
        <w:rPr>
          <w:rFonts w:ascii="Palatino Linotype" w:hAnsi="Palatino Linotype" w:cs="Arial"/>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4C7732" w:rsidRDefault="004C7732" w:rsidP="004C7732">
      <w:pPr>
        <w:pStyle w:val="Textoindependiente"/>
        <w:kinsoku w:val="0"/>
        <w:overflowPunct w:val="0"/>
        <w:spacing w:line="360" w:lineRule="auto"/>
        <w:ind w:right="96"/>
        <w:contextualSpacing/>
        <w:jc w:val="both"/>
        <w:rPr>
          <w:rFonts w:ascii="Palatino Linotype" w:hAnsi="Palatino Linotype" w:cs="Arial"/>
        </w:rPr>
      </w:pPr>
    </w:p>
    <w:p w:rsidR="0008075C" w:rsidRPr="00D26C76" w:rsidRDefault="004C7732" w:rsidP="0008075C">
      <w:pPr>
        <w:autoSpaceDE w:val="0"/>
        <w:autoSpaceDN w:val="0"/>
        <w:adjustRightInd w:val="0"/>
        <w:spacing w:before="240" w:after="240" w:line="360" w:lineRule="auto"/>
        <w:jc w:val="both"/>
        <w:rPr>
          <w:rFonts w:ascii="Palatino Linotype" w:eastAsia="Calibri" w:hAnsi="Palatino Linotype"/>
        </w:rPr>
      </w:pPr>
      <w:r>
        <w:rPr>
          <w:rFonts w:ascii="Palatino Linotype" w:hAnsi="Palatino Linotype" w:cs="Arial"/>
        </w:rPr>
        <w:lastRenderedPageBreak/>
        <w:t xml:space="preserve">En virtud de los argumentos expuestos con </w:t>
      </w:r>
      <w:r w:rsidR="0008075C">
        <w:rPr>
          <w:rFonts w:ascii="Palatino Linotype" w:hAnsi="Palatino Linotype" w:cs="Arial"/>
        </w:rPr>
        <w:t>anterioridad,</w:t>
      </w:r>
      <w:r>
        <w:rPr>
          <w:rFonts w:ascii="Palatino Linotype" w:hAnsi="Palatino Linotype" w:cs="Arial"/>
        </w:rPr>
        <w:t xml:space="preserve"> así como del análisis realizado a las constancias que obran en el expediente electrónico del SAIMEX, identificado con folio </w:t>
      </w:r>
      <w:r w:rsidRPr="008D301B">
        <w:rPr>
          <w:rFonts w:ascii="Palatino Linotype" w:hAnsi="Palatino Linotype" w:cs="Arial"/>
        </w:rPr>
        <w:t>00196/NAUCALPA/IP/2021</w:t>
      </w:r>
      <w:r>
        <w:rPr>
          <w:rFonts w:ascii="Palatino Linotype" w:hAnsi="Palatino Linotype" w:cs="Arial"/>
        </w:rPr>
        <w:t xml:space="preserve">, se determina sobreseer el presente recurso de revisión </w:t>
      </w:r>
      <w:r w:rsidR="0008075C" w:rsidRPr="00513B76">
        <w:rPr>
          <w:rFonts w:ascii="Palatino Linotype" w:eastAsia="Calibri" w:hAnsi="Palatino Linotype"/>
        </w:rPr>
        <w:t>se actualiza la causal de sobrese</w:t>
      </w:r>
      <w:r w:rsidR="0008075C">
        <w:rPr>
          <w:rFonts w:ascii="Palatino Linotype" w:eastAsia="Calibri" w:hAnsi="Palatino Linotype"/>
        </w:rPr>
        <w:t>imiento prevista en la fracción III</w:t>
      </w:r>
      <w:r w:rsidR="0008075C" w:rsidRPr="00513B76">
        <w:rPr>
          <w:rFonts w:ascii="Palatino Linotype" w:eastAsia="Calibri" w:hAnsi="Palatino Linotype"/>
        </w:rPr>
        <w:t xml:space="preserve"> </w:t>
      </w:r>
      <w:r w:rsidR="0008075C">
        <w:rPr>
          <w:rFonts w:ascii="Palatino Linotype" w:eastAsia="Calibri" w:hAnsi="Palatino Linotype"/>
        </w:rPr>
        <w:t xml:space="preserve">del artículo 192 de la </w:t>
      </w:r>
      <w:r w:rsidR="0008075C">
        <w:rPr>
          <w:rFonts w:ascii="Palatino Linotype" w:eastAsia="Calibri" w:hAnsi="Palatino Linotype" w:cs="Arial"/>
        </w:rPr>
        <w:t>Ley de Transparencia y Acceso a la Información Pública del Estado de México y Municipios</w:t>
      </w:r>
      <w:r w:rsidR="0008075C">
        <w:rPr>
          <w:rFonts w:ascii="Palatino Linotype" w:eastAsia="Calibri" w:hAnsi="Palatino Linotype"/>
        </w:rPr>
        <w:t>, que dispone lo siguiente:</w:t>
      </w:r>
    </w:p>
    <w:p w:rsidR="0008075C" w:rsidRDefault="0008075C" w:rsidP="0008075C">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B33B44">
        <w:rPr>
          <w:rFonts w:ascii="Palatino Linotype" w:hAnsi="Palatino Linotype" w:cs="Bookman Old Style"/>
          <w:b/>
          <w:bCs/>
          <w:i/>
          <w:sz w:val="22"/>
          <w:szCs w:val="22"/>
        </w:rPr>
        <w:t xml:space="preserve">“Artículo 192. </w:t>
      </w:r>
      <w:r w:rsidRPr="00B33B44">
        <w:rPr>
          <w:rFonts w:ascii="Palatino Linotype" w:hAnsi="Palatino Linotype" w:cs="Bookman Old Style"/>
          <w:i/>
          <w:sz w:val="22"/>
          <w:szCs w:val="22"/>
        </w:rPr>
        <w:t>El recurso será sobreseído en todo o en parte cuando una vez admitido, se actualicen alguno de los siguientes supuestos:</w:t>
      </w:r>
    </w:p>
    <w:p w:rsidR="0008075C" w:rsidRPr="00B33B44" w:rsidRDefault="0008075C" w:rsidP="0008075C">
      <w:pPr>
        <w:autoSpaceDE w:val="0"/>
        <w:autoSpaceDN w:val="0"/>
        <w:adjustRightInd w:val="0"/>
        <w:spacing w:before="240" w:after="240"/>
        <w:ind w:left="992" w:right="1043"/>
        <w:contextualSpacing/>
        <w:jc w:val="both"/>
        <w:rPr>
          <w:rFonts w:ascii="Palatino Linotype" w:hAnsi="Palatino Linotype" w:cs="Bookman Old Style"/>
          <w:i/>
          <w:sz w:val="22"/>
          <w:szCs w:val="22"/>
        </w:rPr>
      </w:pPr>
      <w:r>
        <w:rPr>
          <w:rFonts w:ascii="Palatino Linotype" w:hAnsi="Palatino Linotype" w:cs="Bookman Old Style"/>
          <w:b/>
          <w:bCs/>
          <w:i/>
          <w:sz w:val="22"/>
          <w:szCs w:val="22"/>
        </w:rPr>
        <w:t>…</w:t>
      </w:r>
    </w:p>
    <w:p w:rsidR="0008075C" w:rsidRPr="00B33B44" w:rsidRDefault="0008075C" w:rsidP="0008075C">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D912A5">
        <w:rPr>
          <w:rFonts w:ascii="Palatino Linotype" w:hAnsi="Palatino Linotype" w:cs="Bookman Old Style"/>
          <w:b/>
          <w:bCs/>
          <w:i/>
          <w:sz w:val="22"/>
          <w:szCs w:val="22"/>
        </w:rPr>
        <w:t>III.</w:t>
      </w:r>
      <w:r w:rsidRPr="00D912A5">
        <w:rPr>
          <w:rFonts w:ascii="Palatino Linotype" w:hAnsi="Palatino Linotype" w:cs="Bookman Old Style"/>
          <w:b/>
          <w:i/>
          <w:sz w:val="22"/>
          <w:szCs w:val="22"/>
        </w:rPr>
        <w:t xml:space="preserve"> El sujeto obligado responsable del acto lo modifique o revoque de tal manera que el recurso de revisión quede sin materia</w:t>
      </w:r>
      <w:r>
        <w:rPr>
          <w:rFonts w:ascii="Palatino Linotype" w:hAnsi="Palatino Linotype" w:cs="Bookman Old Style"/>
          <w:b/>
          <w:i/>
          <w:sz w:val="22"/>
          <w:szCs w:val="22"/>
        </w:rPr>
        <w:t>…</w:t>
      </w:r>
      <w:r w:rsidRPr="00B33B44">
        <w:rPr>
          <w:rFonts w:ascii="Palatino Linotype" w:hAnsi="Palatino Linotype" w:cs="Bookman Old Style"/>
          <w:b/>
          <w:i/>
          <w:sz w:val="22"/>
          <w:szCs w:val="22"/>
        </w:rPr>
        <w:t>”. (Sic)</w:t>
      </w:r>
    </w:p>
    <w:p w:rsidR="0008075C" w:rsidRDefault="0008075C" w:rsidP="0008075C">
      <w:pPr>
        <w:spacing w:before="240" w:after="240" w:line="360" w:lineRule="auto"/>
        <w:contextualSpacing/>
        <w:jc w:val="both"/>
        <w:rPr>
          <w:rFonts w:ascii="Palatino Linotype" w:hAnsi="Palatino Linotype" w:cs="Bookman Old Style"/>
          <w:b/>
          <w:i/>
        </w:rPr>
      </w:pPr>
    </w:p>
    <w:p w:rsidR="0008075C" w:rsidRDefault="0008075C" w:rsidP="0008075C">
      <w:pPr>
        <w:spacing w:before="240" w:after="240" w:line="360" w:lineRule="auto"/>
        <w:jc w:val="both"/>
        <w:rPr>
          <w:rFonts w:ascii="Palatino Linotype" w:hAnsi="Palatino Linotype"/>
        </w:rPr>
      </w:pPr>
      <w:r>
        <w:rPr>
          <w:rFonts w:ascii="Palatino Linotype" w:hAnsi="Palatino Linotype"/>
        </w:rPr>
        <w:t>De lo establecido en el precepto legal citado se advierte que el sobreseimiento del recurso de revisión procede en los siguientes casos:</w:t>
      </w:r>
    </w:p>
    <w:p w:rsidR="0008075C" w:rsidRDefault="0008075C" w:rsidP="0008075C">
      <w:pPr>
        <w:spacing w:before="240" w:after="240" w:line="360" w:lineRule="auto"/>
        <w:jc w:val="both"/>
        <w:rPr>
          <w:rFonts w:ascii="Palatino Linotype" w:hAnsi="Palatino Linotype"/>
        </w:rPr>
      </w:pPr>
      <w:r>
        <w:rPr>
          <w:rFonts w:ascii="Palatino Linotype" w:hAnsi="Palatino Linotype"/>
        </w:rPr>
        <w:t>a) Cuando el sujeto obligado modifique el acto impugnado.</w:t>
      </w:r>
    </w:p>
    <w:p w:rsidR="0008075C" w:rsidRDefault="0008075C" w:rsidP="0008075C">
      <w:pPr>
        <w:spacing w:before="240" w:after="240" w:line="360" w:lineRule="auto"/>
        <w:jc w:val="both"/>
        <w:rPr>
          <w:rFonts w:ascii="Palatino Linotype" w:hAnsi="Palatino Linotype"/>
        </w:rPr>
      </w:pPr>
      <w:r>
        <w:rPr>
          <w:rFonts w:ascii="Palatino Linotype" w:hAnsi="Palatino Linotype"/>
        </w:rPr>
        <w:t>b) Cuando el sujeto obligado revoque el acto impugnado.</w:t>
      </w:r>
    </w:p>
    <w:p w:rsidR="0008075C" w:rsidRDefault="0008075C" w:rsidP="0008075C">
      <w:pPr>
        <w:spacing w:before="240" w:after="240" w:line="360" w:lineRule="auto"/>
        <w:jc w:val="both"/>
        <w:rPr>
          <w:rFonts w:ascii="Palatino Linotype" w:hAnsi="Palatino Linotype" w:cs="Arial"/>
        </w:rPr>
      </w:pPr>
      <w:r>
        <w:rPr>
          <w:rFonts w:ascii="Palatino Linotype" w:hAnsi="Palatino Linotype"/>
        </w:rPr>
        <w:t>Quedando en ambos casos el acto combatido sin materia o sin efectos.</w:t>
      </w:r>
    </w:p>
    <w:p w:rsidR="0008075C" w:rsidRDefault="0008075C" w:rsidP="0008075C">
      <w:pPr>
        <w:spacing w:before="240" w:after="240" w:line="360" w:lineRule="auto"/>
        <w:jc w:val="both"/>
        <w:rPr>
          <w:rFonts w:ascii="Palatino Linotype" w:hAnsi="Palatino Linotype"/>
        </w:rPr>
      </w:pPr>
      <w:r>
        <w:rPr>
          <w:rFonts w:ascii="Palatino Linotype" w:hAnsi="Palatino Linotype"/>
        </w:rPr>
        <w:t>Como se observa de lo anterior, un acto impugnado es modificado en aquellos casos en los que el Sujeto Obligado después de haber otorgado una respuesta, emite una diversa de manera posterior y en ésta subsana las deficiencias que hubiera tenido, quedando satisfecho el derecho subjetivo accionado por la parte recurrente.</w:t>
      </w:r>
    </w:p>
    <w:p w:rsidR="0008075C" w:rsidRDefault="0008075C" w:rsidP="0008075C">
      <w:pPr>
        <w:spacing w:before="240" w:after="240" w:line="360" w:lineRule="auto"/>
        <w:jc w:val="both"/>
        <w:rPr>
          <w:rFonts w:ascii="Palatino Linotype" w:hAnsi="Palatino Linotype"/>
        </w:rPr>
      </w:pPr>
      <w:r>
        <w:rPr>
          <w:rFonts w:ascii="Palatino Linotype" w:hAnsi="Palatino Linotype"/>
        </w:rPr>
        <w:lastRenderedPageBreak/>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rsidR="004C7732" w:rsidRDefault="004C7732" w:rsidP="0008075C">
      <w:pPr>
        <w:pStyle w:val="Textoindependiente"/>
        <w:kinsoku w:val="0"/>
        <w:overflowPunct w:val="0"/>
        <w:spacing w:line="360" w:lineRule="auto"/>
        <w:ind w:right="96"/>
        <w:contextualSpacing/>
        <w:jc w:val="both"/>
        <w:rPr>
          <w:rFonts w:ascii="Palatino Linotype" w:hAnsi="Palatino Linotype"/>
        </w:rPr>
      </w:pPr>
      <w:r>
        <w:rPr>
          <w:rFonts w:ascii="Palatino Linotype" w:hAnsi="Palatino Linotype"/>
        </w:rPr>
        <w:t>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Sujeto Obligado otorgó respuesta a los requerimientos formulados por el particular con la información enviada en Informe Justificado; colmando con ello el derecho de acceso a la información del particular.</w:t>
      </w:r>
    </w:p>
    <w:p w:rsidR="004C7732" w:rsidRDefault="004C7732" w:rsidP="004C7732">
      <w:pPr>
        <w:spacing w:before="240" w:after="240" w:line="360" w:lineRule="auto"/>
        <w:jc w:val="both"/>
        <w:rPr>
          <w:rFonts w:ascii="Palatino Linotype" w:hAnsi="Palatino Linotype"/>
        </w:rPr>
      </w:pPr>
      <w:r>
        <w:rPr>
          <w:rFonts w:ascii="Palatino Linotype" w:hAnsi="Palatino Linotype"/>
        </w:rPr>
        <w:t>En ese tenor, un acto impugnado queda sin efectos, cuando aun existiendo jurídicamente (esto es, que no se ha modificado, ni revocado) ya no genera ninguna consecuencia legal.</w:t>
      </w:r>
    </w:p>
    <w:p w:rsidR="004C7732" w:rsidRDefault="004C7732" w:rsidP="004C7732">
      <w:pPr>
        <w:spacing w:before="240" w:after="240" w:line="360" w:lineRule="auto"/>
        <w:jc w:val="both"/>
        <w:rPr>
          <w:rFonts w:ascii="Palatino Linotype" w:hAnsi="Palatino Linotype"/>
        </w:rPr>
      </w:pPr>
      <w:r>
        <w:rPr>
          <w:rFonts w:ascii="Palatino Linotype" w:hAnsi="Palatino Linotype"/>
        </w:rPr>
        <w:t>En tanto que, un acto impugnado queda sin materia, cuando ha sido satisfecha la pretensión del recurrente de manera que el Sujeto Obligado entrega una respuesta en los términos previstos en la ley, ya que a través de su informe justificado concede la totalidad de la información solicitada.</w:t>
      </w:r>
    </w:p>
    <w:p w:rsidR="004C7732" w:rsidRDefault="004C7732" w:rsidP="004C7732">
      <w:pPr>
        <w:spacing w:before="240" w:after="240" w:line="360" w:lineRule="auto"/>
        <w:jc w:val="both"/>
        <w:rPr>
          <w:rFonts w:ascii="Palatino Linotype" w:hAnsi="Palatino Linotype"/>
        </w:rPr>
      </w:pPr>
      <w:r>
        <w:rPr>
          <w:rFonts w:ascii="Palatino Linotype" w:hAnsi="Palatino Linotype"/>
        </w:rPr>
        <w:t>En tal sentido, con lo entregado en el plazo establecido para rendir su respuesta para hacer manifestaciones, el Sujeto Obligado cumplió con atender a lo dispuesto por los artículos, 3, fracción XI, 4, segundo párrafo y 12, segundo párrafo de la Ley de Transparencia y Acceso a la Información Pública del Estado de México y Municipios, del tenor literal siguiente:</w:t>
      </w:r>
    </w:p>
    <w:p w:rsidR="004C7732" w:rsidRDefault="004C7732" w:rsidP="004C7732">
      <w:pPr>
        <w:spacing w:before="240" w:after="240"/>
        <w:ind w:left="851" w:right="902"/>
        <w:contextualSpacing/>
        <w:jc w:val="both"/>
        <w:rPr>
          <w:rFonts w:ascii="Palatino Linotype" w:hAnsi="Palatino Linotype"/>
          <w:b/>
          <w:i/>
          <w:sz w:val="22"/>
          <w:szCs w:val="22"/>
        </w:rPr>
      </w:pPr>
      <w:r>
        <w:rPr>
          <w:rFonts w:ascii="Palatino Linotype" w:hAnsi="Palatino Linotype"/>
          <w:i/>
          <w:sz w:val="22"/>
          <w:szCs w:val="22"/>
        </w:rPr>
        <w:t>“</w:t>
      </w:r>
      <w:r>
        <w:rPr>
          <w:rFonts w:ascii="Palatino Linotype" w:hAnsi="Palatino Linotype"/>
          <w:b/>
          <w:i/>
          <w:sz w:val="22"/>
          <w:szCs w:val="22"/>
        </w:rPr>
        <w:t>Artículo 3. Para los efectos de la presente Ley se entenderá por:</w:t>
      </w:r>
    </w:p>
    <w:p w:rsidR="004C7732" w:rsidRDefault="004C7732" w:rsidP="004C7732">
      <w:pPr>
        <w:spacing w:before="240" w:after="240"/>
        <w:ind w:left="851" w:right="902"/>
        <w:contextualSpacing/>
        <w:jc w:val="both"/>
        <w:rPr>
          <w:rFonts w:ascii="Palatino Linotype" w:hAnsi="Palatino Linotype"/>
          <w:b/>
          <w:i/>
          <w:sz w:val="22"/>
          <w:szCs w:val="22"/>
        </w:rPr>
      </w:pPr>
      <w:r>
        <w:rPr>
          <w:rFonts w:ascii="Palatino Linotype" w:hAnsi="Palatino Linotype"/>
          <w:i/>
          <w:sz w:val="22"/>
          <w:szCs w:val="22"/>
        </w:rPr>
        <w:t>…</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b/>
          <w:i/>
          <w:sz w:val="22"/>
          <w:szCs w:val="22"/>
        </w:rPr>
        <w:lastRenderedPageBreak/>
        <w:t>XI. Documento</w:t>
      </w:r>
      <w:r>
        <w:rPr>
          <w:rFonts w:ascii="Palatino Linotype" w:hAnsi="Palatino Linotype"/>
          <w:i/>
          <w:sz w:val="22"/>
          <w:szCs w:val="22"/>
        </w:rPr>
        <w:t xml:space="preserve">: Los </w:t>
      </w:r>
      <w:r>
        <w:rPr>
          <w:rFonts w:ascii="Palatino Linotype" w:hAnsi="Palatino Linotype"/>
          <w:b/>
          <w:i/>
          <w:sz w:val="22"/>
          <w:szCs w:val="22"/>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Pr>
          <w:rFonts w:ascii="Palatino Linotype" w:hAnsi="Palatino Linotype"/>
          <w:i/>
          <w:sz w:val="22"/>
          <w:szCs w:val="22"/>
        </w:rPr>
        <w:t xml:space="preserve"> sus servidores públicos e integrantes, sin importar su fuente o fecha de elaboración. Los documentos podrán estar en cualquier medio, sea escrito, impreso, sonoro, visual, electrónico, informático u holográfico;…”</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4</w:t>
      </w:r>
      <w:r>
        <w:rPr>
          <w:rFonts w:ascii="Palatino Linotype" w:hAnsi="Palatino Linotype"/>
          <w:i/>
          <w:sz w:val="22"/>
          <w:szCs w:val="22"/>
        </w:rPr>
        <w:t xml:space="preserve">. </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i/>
          <w:sz w:val="22"/>
          <w:szCs w:val="22"/>
        </w:rPr>
        <w:t>…</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12</w:t>
      </w:r>
      <w:r>
        <w:rPr>
          <w:rFonts w:ascii="Palatino Linotype" w:hAnsi="Palatino Linotype"/>
          <w:i/>
          <w:sz w:val="22"/>
          <w:szCs w:val="22"/>
        </w:rPr>
        <w:t>. …</w:t>
      </w:r>
    </w:p>
    <w:p w:rsidR="004C7732" w:rsidRDefault="004C7732" w:rsidP="004C7732">
      <w:pPr>
        <w:spacing w:before="240" w:after="240"/>
        <w:ind w:left="851" w:right="902"/>
        <w:contextualSpacing/>
        <w:jc w:val="both"/>
        <w:rPr>
          <w:rFonts w:ascii="Palatino Linotype" w:hAnsi="Palatino Linotype"/>
          <w:i/>
          <w:sz w:val="22"/>
          <w:szCs w:val="22"/>
        </w:rPr>
      </w:pPr>
      <w:r>
        <w:rPr>
          <w:rFonts w:ascii="Palatino Linotype" w:hAnsi="Palatino Linotype"/>
          <w:b/>
          <w:i/>
          <w:sz w:val="22"/>
          <w:szCs w:val="22"/>
        </w:rPr>
        <w:t>Los sujetos obligados sólo proporcionarán la información pública que se les requiera y que obre en sus archivos y en el estado en que ésta se encuentre</w:t>
      </w:r>
      <w:r>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investigaciones.”(Sic)</w:t>
      </w:r>
    </w:p>
    <w:p w:rsidR="004C7732" w:rsidRDefault="004C7732" w:rsidP="004C7732">
      <w:pPr>
        <w:spacing w:before="240" w:after="240"/>
        <w:ind w:left="851" w:right="902"/>
        <w:contextualSpacing/>
        <w:jc w:val="both"/>
        <w:rPr>
          <w:rFonts w:ascii="Palatino Linotype" w:hAnsi="Palatino Linotype"/>
          <w:i/>
          <w:sz w:val="22"/>
          <w:szCs w:val="22"/>
        </w:rPr>
      </w:pPr>
    </w:p>
    <w:p w:rsidR="004C7732" w:rsidRPr="00F52682" w:rsidRDefault="004C7732" w:rsidP="004C7732">
      <w:pPr>
        <w:spacing w:before="240" w:after="240" w:line="360" w:lineRule="auto"/>
        <w:jc w:val="both"/>
        <w:rPr>
          <w:rFonts w:ascii="Palatino Linotype" w:hAnsi="Palatino Linotype"/>
        </w:rPr>
      </w:pPr>
      <w:r>
        <w:rPr>
          <w:rFonts w:ascii="Palatino Linotype" w:hAnsi="Palatino Linotype"/>
        </w:rPr>
        <w:t xml:space="preserve">De tal manera, es evidente que con ello queda satisfecha la pretensión del solicitante y por ende sin materia el presente recurso de revisión, ya que la inconformidad sobre la falta de respuesta, </w:t>
      </w:r>
      <w:r w:rsidRPr="00F52682">
        <w:rPr>
          <w:rFonts w:ascii="Palatino Linotype" w:hAnsi="Palatino Linotype"/>
        </w:rPr>
        <w:t>con la información entregada en el apartado de manifestaciones del SAIMEX, que fue puesta a la vista del recurrente, ya no cobraría sentido; y si respecto de la misma no formuló alegato alguno dentro del plazo concedido para tal efecto se entiende que se encuentra satisfecho.</w:t>
      </w:r>
    </w:p>
    <w:p w:rsidR="004C7732" w:rsidRDefault="004C7732" w:rsidP="004C7732">
      <w:pPr>
        <w:spacing w:before="240" w:after="240" w:line="360" w:lineRule="auto"/>
        <w:jc w:val="both"/>
        <w:rPr>
          <w:rFonts w:ascii="Palatino Linotype" w:hAnsi="Palatino Linotype"/>
        </w:rPr>
      </w:pPr>
      <w:r>
        <w:rPr>
          <w:rFonts w:ascii="Palatino Linotype" w:hAnsi="Palatino Linotype"/>
        </w:rPr>
        <w:t xml:space="preserve">Lo que cumple a su vez, con lo que señala el artículo 166 de la Ley de Transparencia vigente en la Entidad, el cual expresamente señala que la obligación de acceso a la </w:t>
      </w:r>
      <w:r>
        <w:rPr>
          <w:rFonts w:ascii="Palatino Linotype" w:hAnsi="Palatino Linotype"/>
        </w:rPr>
        <w:lastRenderedPageBreak/>
        <w:t xml:space="preserve">información pública se tendrá por cumplida cuando el solicitante </w:t>
      </w:r>
      <w:r>
        <w:rPr>
          <w:rFonts w:ascii="Palatino Linotype" w:hAnsi="Palatino Linotype"/>
          <w:i/>
        </w:rPr>
        <w:t>tenga a su disposición la información requerida</w:t>
      </w:r>
      <w:r>
        <w:rPr>
          <w:rFonts w:ascii="Palatino Linotype" w:hAnsi="Palatino Linotype"/>
        </w:rPr>
        <w:t xml:space="preserve"> o cuando realice la consulta de la misma en el lugar en que se localice; siendo el primero de los supuestos que señala dicho elemento normativo el que se actualiza en la especie</w:t>
      </w:r>
      <w:r>
        <w:rPr>
          <w:rStyle w:val="Refdenotaalpie"/>
          <w:rFonts w:ascii="Palatino Linotype" w:hAnsi="Palatino Linotype"/>
        </w:rPr>
        <w:footnoteReference w:id="4"/>
      </w:r>
      <w:r>
        <w:rPr>
          <w:rFonts w:ascii="Palatino Linotype" w:hAnsi="Palatino Linotype"/>
        </w:rPr>
        <w:t>, puesto que fue a través de la vista otorgada a la recurrente en fecha veintitrés de septiembre del dos mil veintiuno, por medio del Sistema de Acceso a la Información Mexiquense (SAIMEX), respecto de los archivos que fueron previamente enviados por el Sujeto Obligado en el apartado de manifestaciones del SAIMEX, que el recurrente tuvo a su disposición la información materia de su inconformidad.</w:t>
      </w:r>
    </w:p>
    <w:p w:rsidR="004C7732" w:rsidRDefault="004C7732" w:rsidP="004C7732">
      <w:pPr>
        <w:spacing w:before="240" w:after="240" w:line="360" w:lineRule="auto"/>
        <w:jc w:val="both"/>
        <w:rPr>
          <w:rFonts w:ascii="Palatino Linotype" w:hAnsi="Palatino Linotype"/>
        </w:rPr>
      </w:pPr>
      <w:r>
        <w:rPr>
          <w:rFonts w:ascii="Palatino Linotype" w:hAnsi="Palatino Linotype"/>
        </w:rPr>
        <w:t xml:space="preserve">En resumen, el Sujeto Obligado otorgó satisfacción a la solicitud de acceso a la información pública de la ahora recurrente; de manera total o completa; dejando con ello sin materia el presente recurso de revisión, actualizándose entonces la </w:t>
      </w:r>
      <w:r w:rsidR="0008075C">
        <w:rPr>
          <w:rFonts w:ascii="Palatino Linotype" w:hAnsi="Palatino Linotype"/>
        </w:rPr>
        <w:t>causal prevista en la fracción III</w:t>
      </w:r>
      <w:r>
        <w:rPr>
          <w:rFonts w:ascii="Palatino Linotype" w:hAnsi="Palatino Linotype"/>
        </w:rPr>
        <w:t xml:space="preserve"> del artículo 192 de la Ley de la Materia vigente en la Entidad, antes transcrita.</w:t>
      </w:r>
    </w:p>
    <w:p w:rsidR="004C7732" w:rsidRDefault="004C7732" w:rsidP="004C7732">
      <w:pPr>
        <w:spacing w:before="240" w:after="240" w:line="360" w:lineRule="auto"/>
        <w:jc w:val="both"/>
        <w:rPr>
          <w:rFonts w:ascii="Palatino Linotype" w:hAnsi="Palatino Linotype"/>
        </w:rPr>
      </w:pPr>
      <w:r>
        <w:rPr>
          <w:rFonts w:ascii="Palatino Linotype" w:hAnsi="Palatino Linotype"/>
        </w:rPr>
        <w:t xml:space="preserve">Siendo el </w:t>
      </w:r>
      <w:r>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los efectos del sobreseimiento son los dar por concluido el recurso administrativo sin entrar al estudio de fondo del asunto de que se trate; lo anterior con apoyo en el criterio del Poder Judicial de la Federación con rubro:</w:t>
      </w:r>
    </w:p>
    <w:p w:rsidR="004C7732" w:rsidRDefault="004C7732" w:rsidP="004C7732">
      <w:pPr>
        <w:spacing w:before="240" w:after="240" w:line="360" w:lineRule="auto"/>
        <w:jc w:val="both"/>
        <w:rPr>
          <w:rFonts w:ascii="Palatino Linotype" w:hAnsi="Palatino Linotype"/>
        </w:rPr>
      </w:pPr>
      <w:r>
        <w:rPr>
          <w:rFonts w:ascii="Palatino Linotype" w:hAnsi="Palatino Linotype"/>
          <w:sz w:val="22"/>
          <w:szCs w:val="22"/>
        </w:rPr>
        <w:lastRenderedPageBreak/>
        <w:t>“</w:t>
      </w:r>
      <w:r>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5"/>
      </w:r>
      <w:r>
        <w:rPr>
          <w:rFonts w:ascii="Palatino Linotype" w:hAnsi="Palatino Linotype"/>
          <w:b/>
        </w:rPr>
        <w:t>.</w:t>
      </w:r>
    </w:p>
    <w:p w:rsidR="004C2440" w:rsidRDefault="004C7732" w:rsidP="004C2440">
      <w:pPr>
        <w:spacing w:before="240" w:after="240" w:line="360" w:lineRule="auto"/>
        <w:jc w:val="both"/>
        <w:rPr>
          <w:rFonts w:ascii="Palatino Linotype" w:hAnsi="Palatino Linotype" w:cs="Arial"/>
        </w:rPr>
      </w:pPr>
      <w:r>
        <w:rPr>
          <w:rFonts w:ascii="Palatino Linotype" w:hAnsi="Palatino Linotype" w:cs="Arial"/>
        </w:rPr>
        <w:t>Cabe d</w:t>
      </w:r>
      <w:r w:rsidRPr="002F68E2">
        <w:rPr>
          <w:rFonts w:ascii="Palatino Linotype" w:hAnsi="Palatino Linotype" w:cs="Arial"/>
        </w:rPr>
        <w:t>estaca</w:t>
      </w:r>
      <w:r>
        <w:rPr>
          <w:rFonts w:ascii="Palatino Linotype" w:hAnsi="Palatino Linotype" w:cs="Arial"/>
        </w:rPr>
        <w:t xml:space="preserve">r que la decisión de este órgano colegiado de sobreseer el recurso de revisión no implica una limitación o negación a la justicia, según lo ha establecido el Poder Judicial Federal, en el criterio con rubro </w:t>
      </w:r>
      <w:r>
        <w:rPr>
          <w:rFonts w:ascii="Palatino Linotype" w:hAnsi="Palatino Linotype" w:cs="Arial"/>
          <w:sz w:val="22"/>
          <w:szCs w:val="22"/>
        </w:rPr>
        <w:t>“</w:t>
      </w:r>
      <w:r>
        <w:rPr>
          <w:rFonts w:ascii="Palatino Linotype" w:hAnsi="Palatino Linotype"/>
          <w:b/>
          <w:sz w:val="22"/>
          <w:szCs w:val="22"/>
        </w:rPr>
        <w:t>DESECHAMIENTO O 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6"/>
      </w:r>
      <w:r>
        <w:rPr>
          <w:rFonts w:ascii="Palatino Linotype" w:hAnsi="Palatino Linotype" w:cs="Arial"/>
        </w:rPr>
        <w:t xml:space="preserve"> que es aplicable por analogía.</w:t>
      </w:r>
    </w:p>
    <w:p w:rsidR="004C2440" w:rsidRDefault="004C2440" w:rsidP="004C2440">
      <w:pPr>
        <w:spacing w:before="240" w:after="240" w:line="360" w:lineRule="auto"/>
        <w:jc w:val="both"/>
        <w:rPr>
          <w:rFonts w:ascii="Palatino Linotype" w:hAnsi="Palatino Linotype" w:cs="Arial"/>
        </w:rPr>
      </w:pPr>
      <w:r>
        <w:rPr>
          <w:rFonts w:ascii="Palatino Linotype" w:hAnsi="Palatino Linotype" w:cs="Arial"/>
        </w:rPr>
        <w:t xml:space="preserve">Finalmente </w:t>
      </w:r>
      <w:r w:rsidRPr="002608B8">
        <w:rPr>
          <w:rFonts w:ascii="Palatino Linotype" w:hAnsi="Palatino Linotype"/>
          <w:lang w:eastAsia="es-MX"/>
        </w:rPr>
        <w:t>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xml:space="preserve">, para que resuelva lo conducente y determine en su caso el grado de responsabilidad en el incumplimiento de las obligaciones establecidas en la misma, en </w:t>
      </w:r>
      <w:r w:rsidRPr="002608B8">
        <w:rPr>
          <w:rFonts w:ascii="Palatino Linotype" w:hAnsi="Palatino Linotype" w:cs="Arial"/>
        </w:rPr>
        <w:lastRenderedPageBreak/>
        <w:t>términos del artículo 190 de la Ley de Transparencia y Acceso a la Información Pública del Estado de México y Municipios.</w:t>
      </w:r>
    </w:p>
    <w:p w:rsidR="004C2440" w:rsidRPr="008656C9" w:rsidRDefault="004C2440" w:rsidP="004C2440">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4C7732" w:rsidRDefault="004C7732" w:rsidP="004C7732">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rsidR="0008075C" w:rsidRDefault="0008075C" w:rsidP="004C7732">
      <w:pPr>
        <w:spacing w:before="240" w:after="240" w:line="360" w:lineRule="auto"/>
        <w:ind w:left="360"/>
        <w:contextualSpacing/>
        <w:jc w:val="center"/>
        <w:rPr>
          <w:rFonts w:ascii="Palatino Linotype" w:hAnsi="Palatino Linotype" w:cs="Arial"/>
          <w:b/>
        </w:rPr>
      </w:pPr>
    </w:p>
    <w:p w:rsidR="0008075C" w:rsidRDefault="004C7732" w:rsidP="0008075C">
      <w:pPr>
        <w:spacing w:before="240" w:after="240" w:line="360" w:lineRule="auto"/>
        <w:contextualSpacing/>
        <w:jc w:val="both"/>
        <w:rPr>
          <w:rFonts w:ascii="Palatino Linotype" w:hAnsi="Palatino Linotype"/>
        </w:rPr>
      </w:pPr>
      <w:r>
        <w:rPr>
          <w:rFonts w:ascii="Palatino Linotype" w:hAnsi="Palatino Linotype" w:cs="Arial"/>
          <w:b/>
        </w:rPr>
        <w:t xml:space="preserve">Primero. </w:t>
      </w:r>
      <w:r>
        <w:rPr>
          <w:rFonts w:ascii="Palatino Linotype" w:hAnsi="Palatino Linotype"/>
        </w:rPr>
        <w:t xml:space="preserve">Se </w:t>
      </w:r>
      <w:r>
        <w:rPr>
          <w:rFonts w:ascii="Palatino Linotype" w:hAnsi="Palatino Linotype"/>
          <w:b/>
        </w:rPr>
        <w:t xml:space="preserve">SOBRESEE </w:t>
      </w:r>
      <w:r>
        <w:rPr>
          <w:rFonts w:ascii="Palatino Linotype" w:hAnsi="Palatino Linotype"/>
        </w:rPr>
        <w:t xml:space="preserve">el recurso de revisión </w:t>
      </w:r>
      <w:r>
        <w:rPr>
          <w:rFonts w:ascii="Palatino Linotype" w:hAnsi="Palatino Linotype"/>
          <w:b/>
          <w:lang w:val="es-ES_tradnl"/>
        </w:rPr>
        <w:t>03919/INFOEM/IP/RR/2021</w:t>
      </w:r>
      <w:r>
        <w:rPr>
          <w:rFonts w:ascii="Palatino Linotype" w:hAnsi="Palatino Linotype" w:cs="Arial"/>
          <w:b/>
        </w:rPr>
        <w:t>,</w:t>
      </w:r>
      <w:r>
        <w:rPr>
          <w:rFonts w:ascii="Palatino Linotype" w:hAnsi="Palatino Linotype"/>
        </w:rPr>
        <w:t xml:space="preserve"> </w:t>
      </w:r>
      <w:r w:rsidR="0008075C">
        <w:rPr>
          <w:rFonts w:ascii="Palatino Linotype" w:hAnsi="Palatino Linotype"/>
        </w:rPr>
        <w:t>porque al modificar la falta de respuesta el recurso de revisión quedó sin materia en términos del Considerando Tercero de la presente resolución.</w:t>
      </w:r>
    </w:p>
    <w:p w:rsidR="004C7732" w:rsidRDefault="004C7732" w:rsidP="004C7732">
      <w:pPr>
        <w:spacing w:before="240" w:after="240" w:line="360" w:lineRule="auto"/>
        <w:contextualSpacing/>
        <w:jc w:val="both"/>
        <w:rPr>
          <w:rFonts w:ascii="Palatino Linotype" w:hAnsi="Palatino Linotype" w:cs="Arial"/>
          <w:bCs/>
          <w:shd w:val="clear" w:color="auto" w:fill="FFFFFF"/>
        </w:rPr>
      </w:pPr>
    </w:p>
    <w:p w:rsidR="004C7732" w:rsidRDefault="004C7732" w:rsidP="004C7732">
      <w:pPr>
        <w:spacing w:before="240" w:after="240" w:line="360" w:lineRule="auto"/>
        <w:jc w:val="both"/>
        <w:rPr>
          <w:rFonts w:ascii="Palatino Linotype" w:hAnsi="Palatino Linotype"/>
          <w:shd w:val="clear" w:color="auto" w:fill="FFFFFF"/>
        </w:rPr>
      </w:pPr>
      <w:r>
        <w:rPr>
          <w:rFonts w:ascii="Palatino Linotype" w:hAnsi="Palatino Linotype" w:cs="Arial"/>
          <w:b/>
          <w:bCs/>
          <w:shd w:val="clear" w:color="auto" w:fill="FFFFFF"/>
        </w:rPr>
        <w:t>Segundo. Notifíquese</w:t>
      </w:r>
      <w:r>
        <w:rPr>
          <w:rStyle w:val="apple-converted-space"/>
          <w:rFonts w:ascii="Palatino Linotype" w:hAnsi="Palatino Linotype" w:cs="Arial"/>
          <w:b/>
          <w:bCs/>
          <w:i/>
          <w:iCs/>
          <w:shd w:val="clear" w:color="auto" w:fill="FFFFFF"/>
        </w:rPr>
        <w:t xml:space="preserve">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Pr>
          <w:rFonts w:ascii="Palatino Linotype" w:hAnsi="Palatino Linotype"/>
          <w:bCs/>
          <w:shd w:val="clear" w:color="auto" w:fill="FFFFFF"/>
        </w:rPr>
        <w:t>Sujeto Obligado la presente resolución, para su conocimiento</w:t>
      </w:r>
      <w:r>
        <w:rPr>
          <w:rFonts w:ascii="Palatino Linotype" w:hAnsi="Palatino Linotype"/>
          <w:shd w:val="clear" w:color="auto" w:fill="FFFFFF"/>
        </w:rPr>
        <w:t xml:space="preserve">, lo anterior en términos del artículo 189 de la </w:t>
      </w:r>
      <w:r>
        <w:rPr>
          <w:rFonts w:ascii="Palatino Linotype" w:hAnsi="Palatino Linotype" w:cs="Arial"/>
        </w:rPr>
        <w:t>Ley de Transparencia y Acceso a la Información Pública del Estado de México y Municipios.</w:t>
      </w:r>
    </w:p>
    <w:p w:rsidR="004C7732" w:rsidRDefault="004C7732" w:rsidP="004C7732">
      <w:pPr>
        <w:spacing w:before="240" w:after="240" w:line="360" w:lineRule="auto"/>
        <w:jc w:val="both"/>
        <w:rPr>
          <w:rFonts w:ascii="Palatino Linotype" w:eastAsia="Palatino Linotype" w:hAnsi="Palatino Linotype" w:cs="Palatino Linotype"/>
        </w:rPr>
      </w:pPr>
      <w:r>
        <w:rPr>
          <w:rFonts w:ascii="Palatino Linotype" w:hAnsi="Palatino Linotype" w:cs="Arial"/>
          <w:b/>
        </w:rPr>
        <w:t>Tercero. Hágase del conocimiento</w:t>
      </w:r>
      <w:r>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en la vía</w:t>
      </w:r>
      <w:r>
        <w:rPr>
          <w:rFonts w:ascii="Palatino Linotype" w:eastAsia="Palatino Linotype" w:hAnsi="Palatino Linotype" w:cs="Palatino Linotype"/>
        </w:rPr>
        <w:t xml:space="preserve"> Juicio de Amparo en los términos de las leyes aplicables.</w:t>
      </w:r>
    </w:p>
    <w:p w:rsidR="004C2440" w:rsidRPr="00D269C9" w:rsidRDefault="004C2440" w:rsidP="004C2440">
      <w:pPr>
        <w:spacing w:before="240" w:after="240" w:line="360" w:lineRule="auto"/>
        <w:ind w:right="49"/>
        <w:jc w:val="both"/>
        <w:rPr>
          <w:rFonts w:ascii="Palatino Linotype" w:eastAsia="MS Mincho" w:hAnsi="Palatino Linotype"/>
          <w:shd w:val="clear" w:color="auto" w:fill="FFFFFF"/>
        </w:rPr>
      </w:pPr>
      <w:r w:rsidRPr="004C2440">
        <w:rPr>
          <w:rFonts w:ascii="Palatino Linotype" w:eastAsia="Palatino Linotype" w:hAnsi="Palatino Linotype" w:cs="Palatino Linotype"/>
          <w:b/>
        </w:rPr>
        <w:lastRenderedPageBreak/>
        <w:t>Cuarto</w:t>
      </w:r>
      <w:r>
        <w:rPr>
          <w:rFonts w:ascii="Palatino Linotype" w:eastAsia="Palatino Linotype" w:hAnsi="Palatino Linotype" w:cs="Palatino Linotype"/>
        </w:rPr>
        <w:t xml:space="preserve">. </w:t>
      </w:r>
      <w:r w:rsidRPr="00D269C9">
        <w:rPr>
          <w:rFonts w:ascii="Palatino Linotype" w:eastAsia="MS Mincho" w:hAnsi="Palatino Linotype" w:cs="Arial"/>
          <w:b/>
          <w:bCs/>
          <w:shd w:val="clear" w:color="auto" w:fill="FFFFFF"/>
        </w:rPr>
        <w:t>Gírese</w:t>
      </w:r>
      <w:r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Pr>
          <w:rFonts w:ascii="Palatino Linotype" w:eastAsia="MS Mincho" w:hAnsi="Palatino Linotype" w:cs="Arial"/>
          <w:bCs/>
          <w:shd w:val="clear" w:color="auto" w:fill="FFFFFF"/>
        </w:rPr>
        <w:t xml:space="preserve">Cuarto </w:t>
      </w:r>
      <w:r w:rsidRPr="00D269C9">
        <w:rPr>
          <w:rFonts w:ascii="Palatino Linotype" w:eastAsia="MS Mincho" w:hAnsi="Palatino Linotype" w:cs="Arial"/>
          <w:bCs/>
          <w:shd w:val="clear" w:color="auto" w:fill="FFFFFF"/>
        </w:rPr>
        <w:t>de la presente resolución.</w:t>
      </w:r>
    </w:p>
    <w:p w:rsidR="00E2679B" w:rsidRDefault="00E2679B" w:rsidP="00E2679B">
      <w:pPr>
        <w:spacing w:line="360" w:lineRule="auto"/>
        <w:ind w:right="49"/>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E679C7">
        <w:rPr>
          <w:rFonts w:ascii="Palatino Linotype" w:hAnsi="Palatino Linotype"/>
        </w:rPr>
        <w:t>EÑA; EN LA TRIGÉSIMA SEXTA</w:t>
      </w:r>
      <w:r>
        <w:rPr>
          <w:rFonts w:ascii="Palatino Linotype" w:hAnsi="Palatino Linotype"/>
        </w:rPr>
        <w:t xml:space="preserve"> SESIÓN </w:t>
      </w:r>
      <w:r w:rsidR="004C7732">
        <w:rPr>
          <w:rFonts w:ascii="Palatino Linotype" w:hAnsi="Palatino Linotype"/>
        </w:rPr>
        <w:t xml:space="preserve">ORDINARIA CELEBRADA EL TRECE DE OCTUBRE DE </w:t>
      </w:r>
      <w:r>
        <w:rPr>
          <w:rFonts w:ascii="Palatino Linotype" w:hAnsi="Palatino Linotype"/>
        </w:rPr>
        <w:t>DOS MIL VEINTIUNO, ANTE EL SECRETARIO TÉCNICO DEL PLENO ALEXIS TAPIA RAMÍREZ.</w:t>
      </w:r>
    </w:p>
    <w:p w:rsidR="00E2679B" w:rsidRDefault="00E679C7" w:rsidP="00785613">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34441</wp:posOffset>
                </wp:positionH>
                <wp:positionV relativeFrom="paragraph">
                  <wp:posOffset>1714</wp:posOffset>
                </wp:positionV>
                <wp:extent cx="5841241" cy="4196687"/>
                <wp:effectExtent l="0" t="0" r="26670" b="33020"/>
                <wp:wrapNone/>
                <wp:docPr id="2" name="Conector recto 2"/>
                <wp:cNvGraphicFramePr/>
                <a:graphic xmlns:a="http://schemas.openxmlformats.org/drawingml/2006/main">
                  <a:graphicData uri="http://schemas.microsoft.com/office/word/2010/wordprocessingShape">
                    <wps:wsp>
                      <wps:cNvCnPr/>
                      <wps:spPr>
                        <a:xfrm>
                          <a:off x="0" y="0"/>
                          <a:ext cx="5841241" cy="41966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F3F6C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5pt" to="462.65pt,3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" strokecolor="black [3200]" strokeweight=".5pt">
                <v:stroke joinstyle="miter"/>
              </v:line>
            </w:pict>
          </mc:Fallback>
        </mc:AlternateContent>
      </w:r>
    </w:p>
    <w:p w:rsidR="00E679C7" w:rsidRDefault="00E679C7" w:rsidP="00785613">
      <w:pPr>
        <w:spacing w:before="240" w:after="240" w:line="360" w:lineRule="auto"/>
        <w:jc w:val="both"/>
        <w:rPr>
          <w:rFonts w:ascii="Palatino Linotype" w:hAnsi="Palatino Linotype" w:cs="Arial"/>
        </w:rPr>
        <w:sectPr w:rsidR="00E679C7" w:rsidSect="00B111A8">
          <w:headerReference w:type="default" r:id="rId15"/>
          <w:footerReference w:type="default" r:id="rId16"/>
          <w:headerReference w:type="first" r:id="rId17"/>
          <w:footerReference w:type="first" r:id="rId18"/>
          <w:pgSz w:w="12240" w:h="15840"/>
          <w:pgMar w:top="1701" w:right="1418" w:bottom="1843" w:left="1418" w:header="709" w:footer="709" w:gutter="0"/>
          <w:cols w:space="708"/>
          <w:titlePg/>
          <w:docGrid w:linePitch="360"/>
        </w:sectPr>
      </w:pPr>
    </w:p>
    <w:p w:rsidR="00A44DE5" w:rsidRDefault="00A44DE5"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Pr="009D61C6" w:rsidRDefault="00E2679B" w:rsidP="00785613">
      <w:pPr>
        <w:spacing w:before="240" w:after="240" w:line="360" w:lineRule="auto"/>
        <w:jc w:val="both"/>
        <w:rPr>
          <w:rFonts w:ascii="Palatino Linotype" w:hAnsi="Palatino Linotype" w:cs="Arial"/>
        </w:rPr>
      </w:pPr>
    </w:p>
    <w:p w:rsidR="008F01F6" w:rsidRPr="003A0E9F" w:rsidRDefault="008F01F6" w:rsidP="008F01F6">
      <w:pPr>
        <w:jc w:val="both"/>
        <w:rPr>
          <w:rFonts w:ascii="Palatino Linotype" w:hAnsi="Palatino Linotype" w:cs="Arial"/>
          <w:sz w:val="20"/>
          <w:szCs w:val="20"/>
        </w:rPr>
      </w:pPr>
    </w:p>
    <w:sectPr w:rsidR="008F01F6" w:rsidRPr="003A0E9F" w:rsidSect="00B111A8">
      <w:headerReference w:type="first" r:id="rId19"/>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D08" w:rsidRDefault="00C26D08" w:rsidP="00C80F8C">
      <w:r>
        <w:separator/>
      </w:r>
    </w:p>
  </w:endnote>
  <w:endnote w:type="continuationSeparator" w:id="0">
    <w:p w:rsidR="00C26D08" w:rsidRDefault="00C26D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D6" w:rsidRPr="00986599" w:rsidRDefault="00A659D6"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443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4438">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D6" w:rsidRPr="00986599" w:rsidRDefault="00A659D6"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A443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A4438">
      <w:rPr>
        <w:rFonts w:ascii="Arial" w:hAnsi="Arial" w:cs="Arial"/>
        <w:b/>
        <w:bCs/>
        <w:noProof/>
        <w:sz w:val="20"/>
        <w:szCs w:val="20"/>
      </w:rPr>
      <w:t>24</w:t>
    </w:r>
    <w:r w:rsidRPr="00986599">
      <w:rPr>
        <w:rFonts w:ascii="Arial" w:hAnsi="Arial" w:cs="Arial"/>
        <w:b/>
        <w:bCs/>
        <w:sz w:val="20"/>
        <w:szCs w:val="20"/>
      </w:rPr>
      <w:fldChar w:fldCharType="end"/>
    </w:r>
  </w:p>
  <w:p w:rsidR="00A659D6" w:rsidRDefault="00A659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D08" w:rsidRDefault="00C26D08" w:rsidP="00C80F8C">
      <w:r>
        <w:separator/>
      </w:r>
    </w:p>
  </w:footnote>
  <w:footnote w:type="continuationSeparator" w:id="0">
    <w:p w:rsidR="00C26D08" w:rsidRDefault="00C26D08" w:rsidP="00C80F8C">
      <w:r>
        <w:continuationSeparator/>
      </w:r>
    </w:p>
  </w:footnote>
  <w:footnote w:id="1">
    <w:p w:rsidR="00A659D6" w:rsidRDefault="00A659D6"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rsidR="00A659D6" w:rsidRDefault="00A659D6"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A659D6" w:rsidRPr="00FA5154" w:rsidRDefault="00A659D6"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rsidR="00A659D6" w:rsidRDefault="00A659D6" w:rsidP="000D089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A659D6" w:rsidRPr="00815CEB" w:rsidRDefault="00A659D6" w:rsidP="000E7CC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4C7732" w:rsidRPr="003F37E0" w:rsidRDefault="004C7732" w:rsidP="004C7732">
      <w:pPr>
        <w:pStyle w:val="Textonotapie"/>
        <w:jc w:val="both"/>
        <w:rPr>
          <w:sz w:val="16"/>
          <w:szCs w:val="16"/>
        </w:rPr>
      </w:pPr>
      <w:r>
        <w:rPr>
          <w:rStyle w:val="Refdenotaalpie"/>
        </w:rPr>
        <w:footnoteRef/>
      </w:r>
      <w:r>
        <w:t xml:space="preserve"> </w:t>
      </w:r>
      <w:r w:rsidRPr="003F37E0">
        <w:rPr>
          <w:rFonts w:ascii="Palatino Linotype" w:hAnsi="Palatino Linotype"/>
          <w:sz w:val="16"/>
          <w:szCs w:val="16"/>
        </w:rPr>
        <w:t>“Artículo 166. La obligación de acceso a la información pública se tendrá por cumplida cuando el solicitante tenga a su disposición la información requerida, o cuando realice la consulta de la misma en el lugar en el que ésta se localice…”</w:t>
      </w:r>
      <w:r>
        <w:rPr>
          <w:rFonts w:ascii="Palatino Linotype" w:hAnsi="Palatino Linotype"/>
          <w:sz w:val="16"/>
          <w:szCs w:val="16"/>
        </w:rPr>
        <w:t>(Sic)</w:t>
      </w:r>
    </w:p>
  </w:footnote>
  <w:footnote w:id="5">
    <w:p w:rsidR="004C7732" w:rsidRDefault="004C7732" w:rsidP="004C7732">
      <w:pPr>
        <w:pStyle w:val="Textonotapie"/>
        <w:spacing w:before="120" w:after="120"/>
        <w:jc w:val="both"/>
        <w:rPr>
          <w:rFonts w:ascii="Palatino Linotype" w:hAnsi="Palatino Linotype"/>
          <w:color w:val="000000"/>
          <w:sz w:val="18"/>
          <w:szCs w:val="18"/>
          <w:shd w:val="clear" w:color="auto" w:fill="FFFFFF"/>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sz w:val="18"/>
          <w:szCs w:val="18"/>
        </w:rPr>
        <w:t>Localización</w:t>
      </w:r>
      <w:r>
        <w:rPr>
          <w:rFonts w:ascii="Palatino Linotype" w:hAnsi="Palatino Linotype"/>
          <w:sz w:val="18"/>
          <w:szCs w:val="18"/>
        </w:rPr>
        <w:t>: 2</w:t>
      </w:r>
      <w:r>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rsidR="004C7732" w:rsidRDefault="004C7732" w:rsidP="004C7732">
      <w:pPr>
        <w:pStyle w:val="Textonotapie"/>
        <w:spacing w:before="120" w:after="120"/>
        <w:jc w:val="both"/>
        <w:rPr>
          <w:rFonts w:ascii="Palatino Linotype" w:hAnsi="Palatino Linotype"/>
          <w:sz w:val="19"/>
          <w:szCs w:val="19"/>
        </w:rPr>
      </w:pPr>
      <w:r>
        <w:rPr>
          <w:rFonts w:ascii="Palatino Linotype" w:hAnsi="Palatino Linotype"/>
          <w:b/>
          <w:sz w:val="18"/>
          <w:szCs w:val="18"/>
        </w:rPr>
        <w:t>Cuerpo de tesis:</w:t>
      </w:r>
      <w:r>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6">
    <w:p w:rsidR="004C7732" w:rsidRDefault="004C7732" w:rsidP="004C7732">
      <w:pPr>
        <w:pStyle w:val="Textonotapie"/>
        <w:jc w:val="both"/>
        <w:rPr>
          <w:rFonts w:ascii="Palatino Linotype" w:hAnsi="Palatino Linotype"/>
          <w:sz w:val="19"/>
          <w:szCs w:val="19"/>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sz w:val="19"/>
          <w:szCs w:val="19"/>
        </w:rPr>
        <w:t>Cuerpo de la tesis</w:t>
      </w:r>
      <w:r>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D6" w:rsidRDefault="00A659D6"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6A576E" wp14:editId="79A8F4C5">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A659D6" w:rsidRPr="00032B01" w:rsidTr="00BB223B">
      <w:tc>
        <w:tcPr>
          <w:tcW w:w="2551" w:type="dxa"/>
          <w:shd w:val="clear" w:color="auto" w:fill="auto"/>
        </w:tcPr>
        <w:p w:rsidR="00A659D6" w:rsidRPr="00032B01" w:rsidRDefault="00A659D6"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A659D6" w:rsidRPr="00032B01" w:rsidRDefault="00A659D6" w:rsidP="00815CEB">
          <w:pPr>
            <w:rPr>
              <w:rFonts w:ascii="Palatino Linotype" w:hAnsi="Palatino Linotype"/>
              <w:b/>
              <w:sz w:val="22"/>
              <w:szCs w:val="22"/>
            </w:rPr>
          </w:pPr>
          <w:r>
            <w:rPr>
              <w:rFonts w:ascii="Palatino Linotype" w:hAnsi="Palatino Linotype"/>
              <w:b/>
              <w:sz w:val="22"/>
              <w:szCs w:val="22"/>
            </w:rPr>
            <w:t>03919/INFOEM/IP/RR/2021.</w:t>
          </w:r>
        </w:p>
      </w:tc>
    </w:tr>
    <w:tr w:rsidR="00A659D6" w:rsidRPr="00032B01" w:rsidTr="00BB223B">
      <w:trPr>
        <w:gridAfter w:val="1"/>
        <w:wAfter w:w="749" w:type="dxa"/>
      </w:trPr>
      <w:tc>
        <w:tcPr>
          <w:tcW w:w="2551" w:type="dxa"/>
          <w:shd w:val="clear" w:color="auto" w:fill="auto"/>
        </w:tcPr>
        <w:p w:rsidR="00A659D6" w:rsidRPr="00032B01" w:rsidRDefault="00A659D6"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A659D6" w:rsidRPr="00032B01" w:rsidRDefault="00A659D6" w:rsidP="00A659D6">
          <w:pPr>
            <w:tabs>
              <w:tab w:val="left" w:pos="3606"/>
            </w:tabs>
            <w:ind w:right="996"/>
            <w:rPr>
              <w:rFonts w:ascii="Palatino Linotype" w:hAnsi="Palatino Linotype"/>
              <w:b/>
              <w:sz w:val="22"/>
              <w:szCs w:val="22"/>
            </w:rPr>
          </w:pPr>
          <w:r>
            <w:rPr>
              <w:rFonts w:ascii="Palatino Linotype" w:hAnsi="Palatino Linotype"/>
              <w:b/>
              <w:sz w:val="22"/>
              <w:szCs w:val="22"/>
            </w:rPr>
            <w:t>Ayuntamiento de Naucalpan de Juárez.</w:t>
          </w:r>
        </w:p>
      </w:tc>
    </w:tr>
    <w:tr w:rsidR="00A659D6" w:rsidRPr="00032B01" w:rsidTr="00BB223B">
      <w:trPr>
        <w:trHeight w:val="228"/>
      </w:trPr>
      <w:tc>
        <w:tcPr>
          <w:tcW w:w="2551" w:type="dxa"/>
          <w:shd w:val="clear" w:color="auto" w:fill="auto"/>
        </w:tcPr>
        <w:p w:rsidR="00A659D6" w:rsidRPr="00032B01" w:rsidRDefault="00A659D6"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rsidR="00A659D6" w:rsidRPr="00032B01" w:rsidRDefault="00A659D6"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rsidR="00A659D6" w:rsidRPr="00032B01" w:rsidRDefault="00A659D6"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A659D6" w:rsidRPr="000341AF" w:rsidTr="00032B01">
      <w:tc>
        <w:tcPr>
          <w:tcW w:w="2551" w:type="dxa"/>
          <w:shd w:val="clear" w:color="auto" w:fill="auto"/>
        </w:tcPr>
        <w:p w:rsidR="00A659D6" w:rsidRPr="00032B01" w:rsidRDefault="00A659D6"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A659D6" w:rsidRPr="00032B01" w:rsidRDefault="00A659D6" w:rsidP="00B0091E">
          <w:pPr>
            <w:ind w:left="-74"/>
            <w:rPr>
              <w:rFonts w:ascii="Palatino Linotype" w:hAnsi="Palatino Linotype"/>
              <w:b/>
              <w:sz w:val="22"/>
              <w:szCs w:val="22"/>
            </w:rPr>
          </w:pPr>
          <w:r>
            <w:rPr>
              <w:rFonts w:ascii="Palatino Linotype" w:hAnsi="Palatino Linotype"/>
              <w:b/>
              <w:sz w:val="22"/>
              <w:szCs w:val="22"/>
            </w:rPr>
            <w:t>03919/INFOEM/IP/RR/2021.</w:t>
          </w:r>
        </w:p>
      </w:tc>
    </w:tr>
    <w:tr w:rsidR="00A659D6" w:rsidRPr="00032B01" w:rsidTr="00032B01">
      <w:trPr>
        <w:gridAfter w:val="1"/>
        <w:wAfter w:w="749" w:type="dxa"/>
      </w:trPr>
      <w:tc>
        <w:tcPr>
          <w:tcW w:w="2551" w:type="dxa"/>
          <w:shd w:val="clear" w:color="auto" w:fill="auto"/>
        </w:tcPr>
        <w:p w:rsidR="00A659D6" w:rsidRPr="00032B01" w:rsidRDefault="00A659D6"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A659D6" w:rsidRPr="00032B01" w:rsidRDefault="00FA4438" w:rsidP="0065115E">
          <w:pPr>
            <w:ind w:left="-74"/>
            <w:rPr>
              <w:rFonts w:ascii="Palatino Linotype" w:hAnsi="Palatino Linotype"/>
              <w:b/>
              <w:sz w:val="22"/>
              <w:szCs w:val="22"/>
            </w:rPr>
          </w:pPr>
          <w:r>
            <w:rPr>
              <w:rFonts w:ascii="Palatino Linotype" w:hAnsi="Palatino Linotype"/>
              <w:b/>
              <w:sz w:val="22"/>
              <w:szCs w:val="22"/>
            </w:rPr>
            <w:t xml:space="preserve">XXXXX XXXXX XXXXX </w:t>
          </w:r>
          <w:r w:rsidR="00A659D6">
            <w:rPr>
              <w:rFonts w:ascii="Palatino Linotype" w:hAnsi="Palatino Linotype"/>
              <w:b/>
              <w:sz w:val="22"/>
              <w:szCs w:val="22"/>
            </w:rPr>
            <w:t xml:space="preserve"> </w:t>
          </w:r>
        </w:p>
      </w:tc>
    </w:tr>
    <w:tr w:rsidR="00A659D6" w:rsidRPr="000341AF" w:rsidTr="00032B01">
      <w:trPr>
        <w:trHeight w:val="228"/>
      </w:trPr>
      <w:tc>
        <w:tcPr>
          <w:tcW w:w="2551" w:type="dxa"/>
          <w:shd w:val="clear" w:color="auto" w:fill="auto"/>
        </w:tcPr>
        <w:p w:rsidR="00A659D6" w:rsidRPr="00032B01" w:rsidRDefault="00A659D6"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A659D6" w:rsidRPr="00032B01" w:rsidRDefault="00A659D6" w:rsidP="00C316EA">
          <w:pPr>
            <w:ind w:left="-74" w:right="1173" w:hanging="34"/>
            <w:rPr>
              <w:rFonts w:ascii="Palatino Linotype" w:hAnsi="Palatino Linotype"/>
              <w:b/>
              <w:sz w:val="22"/>
              <w:szCs w:val="22"/>
            </w:rPr>
          </w:pPr>
          <w:r>
            <w:rPr>
              <w:rFonts w:ascii="Palatino Linotype" w:hAnsi="Palatino Linotype"/>
              <w:b/>
              <w:sz w:val="22"/>
              <w:szCs w:val="22"/>
            </w:rPr>
            <w:t>Ayuntamiento de Naucalpan de Juárez.</w:t>
          </w:r>
        </w:p>
      </w:tc>
    </w:tr>
    <w:tr w:rsidR="00A659D6" w:rsidRPr="000341AF" w:rsidTr="00032B01">
      <w:tc>
        <w:tcPr>
          <w:tcW w:w="2551" w:type="dxa"/>
          <w:shd w:val="clear" w:color="auto" w:fill="auto"/>
        </w:tcPr>
        <w:p w:rsidR="00A659D6" w:rsidRPr="00032B01" w:rsidRDefault="00A659D6"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rsidR="00A659D6" w:rsidRPr="00032B01" w:rsidRDefault="00A659D6"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rsidR="00A659D6" w:rsidRDefault="00A659D6">
    <w:pPr>
      <w:pStyle w:val="Encabezado"/>
    </w:pPr>
    <w:r>
      <w:rPr>
        <w:noProof/>
        <w:lang w:val="es-MX" w:eastAsia="es-MX"/>
      </w:rPr>
      <w:drawing>
        <wp:anchor distT="0" distB="0" distL="114300" distR="114300" simplePos="0" relativeHeight="251659264" behindDoc="1" locked="0" layoutInCell="1" allowOverlap="1" wp14:anchorId="614E37D4" wp14:editId="10C09D01">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D6" w:rsidRDefault="00A659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7"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19"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3"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7"/>
  </w:num>
  <w:num w:numId="5">
    <w:abstractNumId w:val="9"/>
  </w:num>
  <w:num w:numId="6">
    <w:abstractNumId w:val="17"/>
  </w:num>
  <w:num w:numId="7">
    <w:abstractNumId w:val="1"/>
  </w:num>
  <w:num w:numId="8">
    <w:abstractNumId w:val="2"/>
  </w:num>
  <w:num w:numId="9">
    <w:abstractNumId w:val="8"/>
  </w:num>
  <w:num w:numId="10">
    <w:abstractNumId w:val="13"/>
  </w:num>
  <w:num w:numId="11">
    <w:abstractNumId w:val="6"/>
  </w:num>
  <w:num w:numId="12">
    <w:abstractNumId w:val="4"/>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3"/>
  </w:num>
  <w:num w:numId="22">
    <w:abstractNumId w:val="20"/>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90D"/>
    <w:rsid w:val="00035CB0"/>
    <w:rsid w:val="000363AC"/>
    <w:rsid w:val="000365EE"/>
    <w:rsid w:val="000378BF"/>
    <w:rsid w:val="0004000C"/>
    <w:rsid w:val="00040375"/>
    <w:rsid w:val="00040B69"/>
    <w:rsid w:val="00040C30"/>
    <w:rsid w:val="000413DF"/>
    <w:rsid w:val="00042374"/>
    <w:rsid w:val="00044028"/>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71A8E"/>
    <w:rsid w:val="00073399"/>
    <w:rsid w:val="000738AA"/>
    <w:rsid w:val="000755C7"/>
    <w:rsid w:val="00076304"/>
    <w:rsid w:val="000772E0"/>
    <w:rsid w:val="000777F4"/>
    <w:rsid w:val="00080295"/>
    <w:rsid w:val="0008075C"/>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134F"/>
    <w:rsid w:val="000918BD"/>
    <w:rsid w:val="00091D3F"/>
    <w:rsid w:val="00091F54"/>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712D"/>
    <w:rsid w:val="00120885"/>
    <w:rsid w:val="00120C1E"/>
    <w:rsid w:val="001222A7"/>
    <w:rsid w:val="001228C1"/>
    <w:rsid w:val="001242A7"/>
    <w:rsid w:val="00126059"/>
    <w:rsid w:val="00126071"/>
    <w:rsid w:val="0012609F"/>
    <w:rsid w:val="0012677E"/>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76B1"/>
    <w:rsid w:val="00177B8B"/>
    <w:rsid w:val="00181174"/>
    <w:rsid w:val="001815C0"/>
    <w:rsid w:val="00181EA8"/>
    <w:rsid w:val="00181FB8"/>
    <w:rsid w:val="0018248F"/>
    <w:rsid w:val="00182605"/>
    <w:rsid w:val="00182C57"/>
    <w:rsid w:val="00182F78"/>
    <w:rsid w:val="001843AD"/>
    <w:rsid w:val="00184442"/>
    <w:rsid w:val="00184A5D"/>
    <w:rsid w:val="001857CD"/>
    <w:rsid w:val="0018674B"/>
    <w:rsid w:val="00186F3F"/>
    <w:rsid w:val="00187CBD"/>
    <w:rsid w:val="00190250"/>
    <w:rsid w:val="00191B8B"/>
    <w:rsid w:val="001920CA"/>
    <w:rsid w:val="001922F5"/>
    <w:rsid w:val="001923A9"/>
    <w:rsid w:val="00193461"/>
    <w:rsid w:val="0019370F"/>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EF4"/>
    <w:rsid w:val="001E0040"/>
    <w:rsid w:val="001E0044"/>
    <w:rsid w:val="001E024D"/>
    <w:rsid w:val="001E0DC4"/>
    <w:rsid w:val="001E14A9"/>
    <w:rsid w:val="001E2415"/>
    <w:rsid w:val="001E2EED"/>
    <w:rsid w:val="001E2F0D"/>
    <w:rsid w:val="001E5626"/>
    <w:rsid w:val="001E6339"/>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7172"/>
    <w:rsid w:val="002579FA"/>
    <w:rsid w:val="00260762"/>
    <w:rsid w:val="002618A9"/>
    <w:rsid w:val="00262251"/>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45B6"/>
    <w:rsid w:val="002846C3"/>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766"/>
    <w:rsid w:val="0030527F"/>
    <w:rsid w:val="0030660B"/>
    <w:rsid w:val="003067BD"/>
    <w:rsid w:val="0030700B"/>
    <w:rsid w:val="00310E76"/>
    <w:rsid w:val="00314310"/>
    <w:rsid w:val="00316729"/>
    <w:rsid w:val="0031689E"/>
    <w:rsid w:val="00320591"/>
    <w:rsid w:val="00320625"/>
    <w:rsid w:val="00320DBE"/>
    <w:rsid w:val="003222BF"/>
    <w:rsid w:val="00322848"/>
    <w:rsid w:val="0032322B"/>
    <w:rsid w:val="00323673"/>
    <w:rsid w:val="00323F54"/>
    <w:rsid w:val="00325CBA"/>
    <w:rsid w:val="00325FCE"/>
    <w:rsid w:val="003274DB"/>
    <w:rsid w:val="003277EF"/>
    <w:rsid w:val="0033043E"/>
    <w:rsid w:val="0033174E"/>
    <w:rsid w:val="00333196"/>
    <w:rsid w:val="003331C4"/>
    <w:rsid w:val="003332E4"/>
    <w:rsid w:val="00333DC5"/>
    <w:rsid w:val="003345E2"/>
    <w:rsid w:val="00335AB4"/>
    <w:rsid w:val="003360B8"/>
    <w:rsid w:val="003367E9"/>
    <w:rsid w:val="00337275"/>
    <w:rsid w:val="00337E49"/>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0E8D"/>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DCC"/>
    <w:rsid w:val="003E1380"/>
    <w:rsid w:val="003E30C7"/>
    <w:rsid w:val="003E31F6"/>
    <w:rsid w:val="003E3220"/>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BCF"/>
    <w:rsid w:val="00427BD3"/>
    <w:rsid w:val="00430C46"/>
    <w:rsid w:val="00431364"/>
    <w:rsid w:val="00431782"/>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736B"/>
    <w:rsid w:val="00447445"/>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39A6"/>
    <w:rsid w:val="004770A2"/>
    <w:rsid w:val="004771D8"/>
    <w:rsid w:val="004801E3"/>
    <w:rsid w:val="00480380"/>
    <w:rsid w:val="004807B5"/>
    <w:rsid w:val="00482939"/>
    <w:rsid w:val="00482B39"/>
    <w:rsid w:val="00482C6E"/>
    <w:rsid w:val="00482DED"/>
    <w:rsid w:val="004839E3"/>
    <w:rsid w:val="00484759"/>
    <w:rsid w:val="004848AE"/>
    <w:rsid w:val="00484BF2"/>
    <w:rsid w:val="00484E0E"/>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4AAD"/>
    <w:rsid w:val="005153FA"/>
    <w:rsid w:val="00516DB8"/>
    <w:rsid w:val="0052159B"/>
    <w:rsid w:val="0052168B"/>
    <w:rsid w:val="00521EBB"/>
    <w:rsid w:val="0052219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54A3"/>
    <w:rsid w:val="00556A21"/>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1A6F"/>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B08"/>
    <w:rsid w:val="005C65E1"/>
    <w:rsid w:val="005D1BE2"/>
    <w:rsid w:val="005D2CAC"/>
    <w:rsid w:val="005D2E36"/>
    <w:rsid w:val="005D2F96"/>
    <w:rsid w:val="005D4518"/>
    <w:rsid w:val="005D53A9"/>
    <w:rsid w:val="005D6BFB"/>
    <w:rsid w:val="005D708B"/>
    <w:rsid w:val="005E1B0D"/>
    <w:rsid w:val="005E1C9B"/>
    <w:rsid w:val="005E33A2"/>
    <w:rsid w:val="005E3EF5"/>
    <w:rsid w:val="005E7830"/>
    <w:rsid w:val="005E7CBD"/>
    <w:rsid w:val="005F02F6"/>
    <w:rsid w:val="005F1108"/>
    <w:rsid w:val="005F16F6"/>
    <w:rsid w:val="005F1A6E"/>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4D15"/>
    <w:rsid w:val="00615785"/>
    <w:rsid w:val="00615BCE"/>
    <w:rsid w:val="00615E25"/>
    <w:rsid w:val="00616215"/>
    <w:rsid w:val="00616963"/>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B39"/>
    <w:rsid w:val="00631D8C"/>
    <w:rsid w:val="00632081"/>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54BF"/>
    <w:rsid w:val="006A6D49"/>
    <w:rsid w:val="006A7136"/>
    <w:rsid w:val="006A7C49"/>
    <w:rsid w:val="006A7F07"/>
    <w:rsid w:val="006B1696"/>
    <w:rsid w:val="006B1CE3"/>
    <w:rsid w:val="006B2144"/>
    <w:rsid w:val="006B3D71"/>
    <w:rsid w:val="006B47D2"/>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D0B51"/>
    <w:rsid w:val="006D0DC5"/>
    <w:rsid w:val="006D0F3E"/>
    <w:rsid w:val="006D3C64"/>
    <w:rsid w:val="006D3E97"/>
    <w:rsid w:val="006D4586"/>
    <w:rsid w:val="006D4AD9"/>
    <w:rsid w:val="006D5458"/>
    <w:rsid w:val="006D6522"/>
    <w:rsid w:val="006D669A"/>
    <w:rsid w:val="006D7596"/>
    <w:rsid w:val="006E06EE"/>
    <w:rsid w:val="006E13A2"/>
    <w:rsid w:val="006E15F5"/>
    <w:rsid w:val="006E2CB8"/>
    <w:rsid w:val="006E2CD3"/>
    <w:rsid w:val="006E2D3C"/>
    <w:rsid w:val="006E32CE"/>
    <w:rsid w:val="006E3E2D"/>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A54"/>
    <w:rsid w:val="00705029"/>
    <w:rsid w:val="0070631A"/>
    <w:rsid w:val="00706520"/>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27CA"/>
    <w:rsid w:val="00743726"/>
    <w:rsid w:val="00743957"/>
    <w:rsid w:val="00744098"/>
    <w:rsid w:val="00744D71"/>
    <w:rsid w:val="00745EE7"/>
    <w:rsid w:val="00745F28"/>
    <w:rsid w:val="00746DC9"/>
    <w:rsid w:val="0075086B"/>
    <w:rsid w:val="00750B21"/>
    <w:rsid w:val="00751565"/>
    <w:rsid w:val="00753ED5"/>
    <w:rsid w:val="00754D31"/>
    <w:rsid w:val="00755ED1"/>
    <w:rsid w:val="00756266"/>
    <w:rsid w:val="00757763"/>
    <w:rsid w:val="00761368"/>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C3"/>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B73"/>
    <w:rsid w:val="007C4E99"/>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3CBC"/>
    <w:rsid w:val="007F49C9"/>
    <w:rsid w:val="007F4C85"/>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8C5"/>
    <w:rsid w:val="00827C78"/>
    <w:rsid w:val="00827D92"/>
    <w:rsid w:val="00830172"/>
    <w:rsid w:val="008302E7"/>
    <w:rsid w:val="00830846"/>
    <w:rsid w:val="00830A20"/>
    <w:rsid w:val="00830A45"/>
    <w:rsid w:val="008321CD"/>
    <w:rsid w:val="00832D87"/>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3499"/>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6E52"/>
    <w:rsid w:val="00877891"/>
    <w:rsid w:val="008778AC"/>
    <w:rsid w:val="00882EA1"/>
    <w:rsid w:val="00883364"/>
    <w:rsid w:val="008841D6"/>
    <w:rsid w:val="00884A95"/>
    <w:rsid w:val="00884B20"/>
    <w:rsid w:val="00886342"/>
    <w:rsid w:val="00886671"/>
    <w:rsid w:val="00887452"/>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C7C"/>
    <w:rsid w:val="008D1526"/>
    <w:rsid w:val="008D2B3E"/>
    <w:rsid w:val="008D3238"/>
    <w:rsid w:val="008D37FF"/>
    <w:rsid w:val="008D3BD5"/>
    <w:rsid w:val="008D4360"/>
    <w:rsid w:val="008D52C6"/>
    <w:rsid w:val="008D5428"/>
    <w:rsid w:val="008D569C"/>
    <w:rsid w:val="008D6105"/>
    <w:rsid w:val="008E0F42"/>
    <w:rsid w:val="008E1252"/>
    <w:rsid w:val="008E1468"/>
    <w:rsid w:val="008E218C"/>
    <w:rsid w:val="008E3269"/>
    <w:rsid w:val="008E3B14"/>
    <w:rsid w:val="008E48A8"/>
    <w:rsid w:val="008E52DC"/>
    <w:rsid w:val="008E5575"/>
    <w:rsid w:val="008E5914"/>
    <w:rsid w:val="008E6ED6"/>
    <w:rsid w:val="008E76CD"/>
    <w:rsid w:val="008E7A9A"/>
    <w:rsid w:val="008F01F6"/>
    <w:rsid w:val="008F0892"/>
    <w:rsid w:val="008F17AE"/>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B08"/>
    <w:rsid w:val="00906CDC"/>
    <w:rsid w:val="009119AB"/>
    <w:rsid w:val="00912677"/>
    <w:rsid w:val="00912D62"/>
    <w:rsid w:val="009150FF"/>
    <w:rsid w:val="00916816"/>
    <w:rsid w:val="00916E93"/>
    <w:rsid w:val="009172AD"/>
    <w:rsid w:val="00920AA5"/>
    <w:rsid w:val="00920C32"/>
    <w:rsid w:val="00920EB1"/>
    <w:rsid w:val="00920EC4"/>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AF5"/>
    <w:rsid w:val="009365D8"/>
    <w:rsid w:val="00936A13"/>
    <w:rsid w:val="009373A1"/>
    <w:rsid w:val="0093799B"/>
    <w:rsid w:val="00937D95"/>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6649"/>
    <w:rsid w:val="009F77F4"/>
    <w:rsid w:val="009F78D7"/>
    <w:rsid w:val="009F7D9F"/>
    <w:rsid w:val="00A0067D"/>
    <w:rsid w:val="00A00CFC"/>
    <w:rsid w:val="00A00E82"/>
    <w:rsid w:val="00A0258A"/>
    <w:rsid w:val="00A0284D"/>
    <w:rsid w:val="00A02AAB"/>
    <w:rsid w:val="00A02B67"/>
    <w:rsid w:val="00A0537D"/>
    <w:rsid w:val="00A05801"/>
    <w:rsid w:val="00A064F1"/>
    <w:rsid w:val="00A06D85"/>
    <w:rsid w:val="00A07942"/>
    <w:rsid w:val="00A10968"/>
    <w:rsid w:val="00A117A2"/>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29B"/>
    <w:rsid w:val="00A55E3D"/>
    <w:rsid w:val="00A561E7"/>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661"/>
    <w:rsid w:val="00A718A4"/>
    <w:rsid w:val="00A72705"/>
    <w:rsid w:val="00A72AA5"/>
    <w:rsid w:val="00A7426E"/>
    <w:rsid w:val="00A75C00"/>
    <w:rsid w:val="00A75D30"/>
    <w:rsid w:val="00A7603C"/>
    <w:rsid w:val="00A762D5"/>
    <w:rsid w:val="00A76C19"/>
    <w:rsid w:val="00A771E7"/>
    <w:rsid w:val="00A77E53"/>
    <w:rsid w:val="00A802DE"/>
    <w:rsid w:val="00A80765"/>
    <w:rsid w:val="00A81140"/>
    <w:rsid w:val="00A82AE3"/>
    <w:rsid w:val="00A83810"/>
    <w:rsid w:val="00A83935"/>
    <w:rsid w:val="00A83E44"/>
    <w:rsid w:val="00A924FE"/>
    <w:rsid w:val="00A92B29"/>
    <w:rsid w:val="00A92F22"/>
    <w:rsid w:val="00A94FD1"/>
    <w:rsid w:val="00A96027"/>
    <w:rsid w:val="00A97143"/>
    <w:rsid w:val="00A976AA"/>
    <w:rsid w:val="00AA0188"/>
    <w:rsid w:val="00AA1E8F"/>
    <w:rsid w:val="00AA255C"/>
    <w:rsid w:val="00AA27A7"/>
    <w:rsid w:val="00AA2C12"/>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A16"/>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3DA4"/>
    <w:rsid w:val="00BF3E01"/>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1FDD"/>
    <w:rsid w:val="00C22F88"/>
    <w:rsid w:val="00C2371A"/>
    <w:rsid w:val="00C23989"/>
    <w:rsid w:val="00C25413"/>
    <w:rsid w:val="00C261D1"/>
    <w:rsid w:val="00C2655E"/>
    <w:rsid w:val="00C26D08"/>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3F85"/>
    <w:rsid w:val="00C85E13"/>
    <w:rsid w:val="00C86DE0"/>
    <w:rsid w:val="00C91845"/>
    <w:rsid w:val="00C91E18"/>
    <w:rsid w:val="00C928DF"/>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D2E"/>
    <w:rsid w:val="00CB719D"/>
    <w:rsid w:val="00CB7419"/>
    <w:rsid w:val="00CC166A"/>
    <w:rsid w:val="00CC2718"/>
    <w:rsid w:val="00CC34ED"/>
    <w:rsid w:val="00CC375C"/>
    <w:rsid w:val="00CC3C1A"/>
    <w:rsid w:val="00CC3E00"/>
    <w:rsid w:val="00CC3E0B"/>
    <w:rsid w:val="00CC51DD"/>
    <w:rsid w:val="00CC55A4"/>
    <w:rsid w:val="00CC6F66"/>
    <w:rsid w:val="00CC7DE2"/>
    <w:rsid w:val="00CD07BA"/>
    <w:rsid w:val="00CD0976"/>
    <w:rsid w:val="00CD0C3B"/>
    <w:rsid w:val="00CD0DD4"/>
    <w:rsid w:val="00CD14CD"/>
    <w:rsid w:val="00CD2409"/>
    <w:rsid w:val="00CD3065"/>
    <w:rsid w:val="00CD5928"/>
    <w:rsid w:val="00CD692F"/>
    <w:rsid w:val="00CD7661"/>
    <w:rsid w:val="00CE118C"/>
    <w:rsid w:val="00CE14A8"/>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4524"/>
    <w:rsid w:val="00D04B98"/>
    <w:rsid w:val="00D056A8"/>
    <w:rsid w:val="00D05BCB"/>
    <w:rsid w:val="00D05DE7"/>
    <w:rsid w:val="00D061EB"/>
    <w:rsid w:val="00D06CF2"/>
    <w:rsid w:val="00D103C2"/>
    <w:rsid w:val="00D11EA9"/>
    <w:rsid w:val="00D12377"/>
    <w:rsid w:val="00D123F9"/>
    <w:rsid w:val="00D13117"/>
    <w:rsid w:val="00D13C82"/>
    <w:rsid w:val="00D14207"/>
    <w:rsid w:val="00D142A4"/>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2A0E"/>
    <w:rsid w:val="00D62FD6"/>
    <w:rsid w:val="00D63E0D"/>
    <w:rsid w:val="00D66A40"/>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45D7"/>
    <w:rsid w:val="00E35B99"/>
    <w:rsid w:val="00E35D7C"/>
    <w:rsid w:val="00E36567"/>
    <w:rsid w:val="00E36D30"/>
    <w:rsid w:val="00E3738D"/>
    <w:rsid w:val="00E378E0"/>
    <w:rsid w:val="00E37E16"/>
    <w:rsid w:val="00E41565"/>
    <w:rsid w:val="00E422D0"/>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DEB"/>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679C7"/>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35FD"/>
    <w:rsid w:val="00EC4D25"/>
    <w:rsid w:val="00EC51EA"/>
    <w:rsid w:val="00EC5372"/>
    <w:rsid w:val="00EC5B08"/>
    <w:rsid w:val="00ED21D2"/>
    <w:rsid w:val="00ED2443"/>
    <w:rsid w:val="00ED24ED"/>
    <w:rsid w:val="00ED33DC"/>
    <w:rsid w:val="00ED39DF"/>
    <w:rsid w:val="00ED4716"/>
    <w:rsid w:val="00ED50CC"/>
    <w:rsid w:val="00ED5642"/>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BA2"/>
    <w:rsid w:val="00EF177A"/>
    <w:rsid w:val="00EF1E90"/>
    <w:rsid w:val="00EF25FC"/>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DC"/>
    <w:rsid w:val="00FA01C6"/>
    <w:rsid w:val="00FA0887"/>
    <w:rsid w:val="00FA1E45"/>
    <w:rsid w:val="00FA2805"/>
    <w:rsid w:val="00FA3F21"/>
    <w:rsid w:val="00FA4438"/>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6AA5"/>
    <w:rsid w:val="00FD76CD"/>
    <w:rsid w:val="00FE0787"/>
    <w:rsid w:val="00FE1162"/>
    <w:rsid w:val="00FE1854"/>
    <w:rsid w:val="00FE26A2"/>
    <w:rsid w:val="00FE4BFD"/>
    <w:rsid w:val="00FE5C9B"/>
    <w:rsid w:val="00FE6BDE"/>
    <w:rsid w:val="00FE7B3B"/>
    <w:rsid w:val="00FF0DEF"/>
    <w:rsid w:val="00FF12A5"/>
    <w:rsid w:val="00FF1380"/>
    <w:rsid w:val="00FF161E"/>
    <w:rsid w:val="00FF1FE2"/>
    <w:rsid w:val="00FF272D"/>
    <w:rsid w:val="00FF3705"/>
    <w:rsid w:val="00FF4B91"/>
    <w:rsid w:val="00FF4E75"/>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07D1A8C-03E8-4F00-B494-B8D9B3EC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nhideWhenUsed/>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1"/>
    <w:unhideWhenUsed/>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9115.page" TargetMode="External"/><Relationship Id="rId13" Type="http://schemas.openxmlformats.org/officeDocument/2006/relationships/hyperlink" Target="https://www.saimex.org.mx/saimex/solicitud/downloadAttach/1221578.pa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119515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89115.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221578.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195150.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B3D6-A7E5-4682-95AD-A3B65878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5979</Words>
  <Characters>32885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cp:lastPrinted>2019-05-10T14:39:00Z</cp:lastPrinted>
  <dcterms:created xsi:type="dcterms:W3CDTF">2021-10-05T14:44:00Z</dcterms:created>
  <dcterms:modified xsi:type="dcterms:W3CDTF">2021-11-03T16:51:00Z</dcterms:modified>
</cp:coreProperties>
</file>