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714A" w14:textId="4902853A"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9726D">
        <w:rPr>
          <w:rFonts w:ascii="Palatino Linotype" w:hAnsi="Palatino Linotype"/>
        </w:rPr>
        <w:t>dieciocho</w:t>
      </w:r>
      <w:r w:rsidRPr="008A449C">
        <w:rPr>
          <w:rFonts w:ascii="Palatino Linotype" w:hAnsi="Palatino Linotype"/>
        </w:rPr>
        <w:t xml:space="preserve"> (</w:t>
      </w:r>
      <w:r w:rsidR="00434EF7">
        <w:rPr>
          <w:rFonts w:ascii="Palatino Linotype" w:hAnsi="Palatino Linotype"/>
        </w:rPr>
        <w:t>1</w:t>
      </w:r>
      <w:r w:rsidR="006E0AE1">
        <w:rPr>
          <w:rFonts w:ascii="Palatino Linotype" w:hAnsi="Palatino Linotype"/>
        </w:rPr>
        <w:t>8</w:t>
      </w:r>
      <w:r w:rsidRPr="008A449C">
        <w:rPr>
          <w:rFonts w:ascii="Palatino Linotype" w:hAnsi="Palatino Linotype"/>
        </w:rPr>
        <w:t>)</w:t>
      </w:r>
      <w:r w:rsidRPr="00D27215">
        <w:rPr>
          <w:rFonts w:ascii="Palatino Linotype" w:hAnsi="Palatino Linotype"/>
        </w:rPr>
        <w:t xml:space="preserve"> de </w:t>
      </w:r>
      <w:r w:rsidR="00C96E1C">
        <w:rPr>
          <w:rFonts w:ascii="Palatino Linotype" w:hAnsi="Palatino Linotype"/>
        </w:rPr>
        <w:t>noviem</w:t>
      </w:r>
      <w:r w:rsidR="00F8739B">
        <w:rPr>
          <w:rFonts w:ascii="Palatino Linotype" w:hAnsi="Palatino Linotype"/>
        </w:rPr>
        <w:t>bre</w:t>
      </w:r>
      <w:r w:rsidRPr="00D27215">
        <w:rPr>
          <w:rFonts w:ascii="Palatino Linotype" w:hAnsi="Palatino Linotype"/>
        </w:rPr>
        <w:t xml:space="preserve"> de dos mil veintiuno.</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769F600C" w:rsidR="009417CA" w:rsidRPr="008A269D" w:rsidRDefault="009417CA" w:rsidP="008A269D">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774514">
        <w:rPr>
          <w:rFonts w:ascii="Palatino Linotype" w:hAnsi="Palatino Linotype"/>
          <w:b/>
        </w:rPr>
        <w:t>03993/INFOEM/IP/RR/2021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r w:rsidR="00774514">
        <w:rPr>
          <w:rFonts w:ascii="Palatino Linotype" w:hAnsi="Palatino Linotype"/>
          <w:b/>
        </w:rPr>
        <w:t>una persona que no dejó registro de nombre o seudónimo para poder ser reconocido,</w:t>
      </w:r>
      <w:r w:rsidR="008B13E3">
        <w:rPr>
          <w:rFonts w:ascii="Palatino Linotype" w:hAnsi="Palatino Linotype"/>
        </w:rPr>
        <w:t xml:space="preserve"> a través de</w:t>
      </w:r>
      <w:r w:rsidR="00EF4C63">
        <w:rPr>
          <w:rFonts w:ascii="Palatino Linotype" w:hAnsi="Palatino Linotype"/>
        </w:rPr>
        <w:t>l</w:t>
      </w:r>
      <w:r w:rsidR="00C9726D">
        <w:rPr>
          <w:rFonts w:ascii="Palatino Linotype" w:hAnsi="Palatino Linotype"/>
        </w:rPr>
        <w:t xml:space="preserve"> Sistema de Acceso a la Información Mexiquense</w:t>
      </w:r>
      <w:r w:rsidR="00EF4C63">
        <w:rPr>
          <w:rFonts w:ascii="Palatino Linotype" w:hAnsi="Palatino Linotype"/>
        </w:rPr>
        <w:t xml:space="preserve"> </w:t>
      </w:r>
      <w:r w:rsidRPr="00D27215">
        <w:rPr>
          <w:rFonts w:ascii="Palatino Linotype" w:hAnsi="Palatino Linotype"/>
          <w:b/>
        </w:rPr>
        <w:t>(</w:t>
      </w:r>
      <w:r w:rsidR="00C9726D">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150024">
        <w:rPr>
          <w:rFonts w:ascii="Palatino Linotype" w:hAnsi="Palatino Linotype"/>
        </w:rPr>
        <w:t xml:space="preserve">a quien </w:t>
      </w:r>
      <w:r w:rsidR="00A5272E">
        <w:rPr>
          <w:rFonts w:ascii="Palatino Linotype" w:hAnsi="Palatino Linotype"/>
        </w:rPr>
        <w:t>en lo sucesivo</w:t>
      </w:r>
      <w:r w:rsidRPr="00D27215">
        <w:rPr>
          <w:rFonts w:ascii="Palatino Linotype" w:hAnsi="Palatino Linotype"/>
        </w:rPr>
        <w:t xml:space="preserve"> se le identificará como </w:t>
      </w:r>
      <w:r w:rsidR="00A5272E" w:rsidRPr="00A5272E">
        <w:rPr>
          <w:rFonts w:ascii="Palatino Linotype" w:hAnsi="Palatino Linotype"/>
          <w:b/>
        </w:rPr>
        <w:t>EL</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en contra de la respuesta de</w:t>
      </w:r>
      <w:r w:rsidR="00C9726D" w:rsidRPr="00D27215">
        <w:rPr>
          <w:rFonts w:ascii="Palatino Linotype" w:hAnsi="Palatino Linotype" w:cs="Arial"/>
        </w:rPr>
        <w:t>l</w:t>
      </w:r>
      <w:r w:rsidRPr="00D27215">
        <w:rPr>
          <w:rFonts w:ascii="Palatino Linotype" w:hAnsi="Palatino Linotype" w:cs="Arial"/>
        </w:rPr>
        <w:t xml:space="preserve"> </w:t>
      </w:r>
      <w:r w:rsidR="00774514">
        <w:rPr>
          <w:rFonts w:ascii="Palatino Linotype" w:hAnsi="Palatino Linotype" w:cs="Arial"/>
          <w:b/>
        </w:rPr>
        <w:t>Ayuntamiento de Teoloyucan</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w:t>
      </w:r>
      <w:r w:rsidRPr="008A269D">
        <w:rPr>
          <w:rFonts w:ascii="Palatino Linotype" w:hAnsi="Palatino Linotype"/>
        </w:rPr>
        <w:t>dictar la presente resolución, con base en los siguientes:</w:t>
      </w:r>
    </w:p>
    <w:p w14:paraId="410DB856" w14:textId="77777777" w:rsidR="008A269D" w:rsidRPr="008A269D" w:rsidRDefault="008A269D" w:rsidP="008A269D">
      <w:pPr>
        <w:spacing w:line="360" w:lineRule="auto"/>
        <w:jc w:val="both"/>
        <w:rPr>
          <w:rFonts w:ascii="Palatino Linotype" w:hAnsi="Palatino Linotype"/>
        </w:rPr>
      </w:pPr>
    </w:p>
    <w:p w14:paraId="6D4F2D4C" w14:textId="7847DB03" w:rsidR="009417CA"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8A269D">
        <w:rPr>
          <w:rFonts w:ascii="Palatino Linotype" w:hAnsi="Palatino Linotype"/>
          <w:b/>
          <w:color w:val="000000" w:themeColor="text1"/>
          <w:sz w:val="24"/>
          <w:szCs w:val="24"/>
          <w:lang w:val="es-ES"/>
        </w:rPr>
        <w:t>A N T E C E D E N T E S</w:t>
      </w:r>
      <w:bookmarkEnd w:id="0"/>
    </w:p>
    <w:p w14:paraId="07B8C422" w14:textId="77777777" w:rsidR="008A269D" w:rsidRPr="008A269D" w:rsidRDefault="008A269D" w:rsidP="008A269D">
      <w:pPr>
        <w:rPr>
          <w:lang w:val="es-ES" w:eastAsia="es-ES"/>
        </w:rPr>
      </w:pPr>
    </w:p>
    <w:p w14:paraId="6C73856D" w14:textId="04742DB1" w:rsidR="009417CA"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8A269D">
        <w:rPr>
          <w:rFonts w:ascii="Palatino Linotype" w:eastAsia="Calibri" w:hAnsi="Palatino Linotype" w:cs="Arial"/>
        </w:rPr>
        <w:t xml:space="preserve">El día </w:t>
      </w:r>
      <w:r w:rsidR="00774514">
        <w:rPr>
          <w:rFonts w:ascii="Palatino Linotype" w:eastAsia="Calibri" w:hAnsi="Palatino Linotype" w:cs="Arial"/>
        </w:rPr>
        <w:t>dos</w:t>
      </w:r>
      <w:r w:rsidRPr="008A269D">
        <w:rPr>
          <w:rFonts w:ascii="Palatino Linotype" w:eastAsia="Calibri" w:hAnsi="Palatino Linotype" w:cs="Arial"/>
        </w:rPr>
        <w:t xml:space="preserve"> (</w:t>
      </w:r>
      <w:r w:rsidR="00774514">
        <w:rPr>
          <w:rFonts w:ascii="Palatino Linotype" w:eastAsia="Calibri" w:hAnsi="Palatino Linotype" w:cs="Arial"/>
        </w:rPr>
        <w:t>02</w:t>
      </w:r>
      <w:r w:rsidRPr="008A269D">
        <w:rPr>
          <w:rFonts w:ascii="Palatino Linotype" w:eastAsia="Calibri" w:hAnsi="Palatino Linotype" w:cs="Arial"/>
        </w:rPr>
        <w:t xml:space="preserve">) de </w:t>
      </w:r>
      <w:r w:rsidR="00774514">
        <w:rPr>
          <w:rFonts w:ascii="Palatino Linotype" w:eastAsia="Calibri" w:hAnsi="Palatino Linotype" w:cs="Arial"/>
        </w:rPr>
        <w:t>agost</w:t>
      </w:r>
      <w:r w:rsidRPr="008A269D">
        <w:rPr>
          <w:rFonts w:ascii="Palatino Linotype" w:eastAsia="Calibri" w:hAnsi="Palatino Linotype" w:cs="Arial"/>
        </w:rPr>
        <w:t>o de dos</w:t>
      </w:r>
      <w:r>
        <w:rPr>
          <w:rFonts w:ascii="Palatino Linotype" w:eastAsia="Calibri" w:hAnsi="Palatino Linotype" w:cs="Arial"/>
        </w:rPr>
        <w:t xml:space="preserve">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w:t>
      </w:r>
      <w:r w:rsidRPr="00E63491">
        <w:rPr>
          <w:rFonts w:ascii="Palatino Linotype" w:eastAsia="Calibri" w:hAnsi="Palatino Linotype" w:cs="Arial"/>
          <w:b/>
        </w:rPr>
        <w:t xml:space="preserve"> </w:t>
      </w:r>
      <w:r w:rsidR="00E63491">
        <w:rPr>
          <w:rFonts w:ascii="Palatino Linotype" w:eastAsia="Calibri" w:hAnsi="Palatino Linotype" w:cs="Arial"/>
        </w:rPr>
        <w:t xml:space="preserve">Sistema de Acceso a la Información Mexiquense </w:t>
      </w:r>
      <w:r w:rsidR="00E63491" w:rsidRPr="00E63491">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774514">
        <w:rPr>
          <w:rFonts w:ascii="Palatino Linotype" w:hAnsi="Palatino Linotype"/>
          <w:b/>
          <w:bCs/>
          <w:color w:val="000000" w:themeColor="text1"/>
        </w:rPr>
        <w:t>00339/TEOLOYU/IP/2021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54912EC1" w14:textId="77777777" w:rsidR="00150024" w:rsidRPr="00D27215" w:rsidRDefault="00150024" w:rsidP="00150024">
      <w:pPr>
        <w:pStyle w:val="Prrafodelista"/>
        <w:spacing w:line="360" w:lineRule="auto"/>
        <w:ind w:left="0"/>
        <w:jc w:val="both"/>
        <w:rPr>
          <w:rFonts w:ascii="Palatino Linotype" w:eastAsia="Calibri" w:hAnsi="Palatino Linotype" w:cs="Arial"/>
        </w:rPr>
      </w:pPr>
    </w:p>
    <w:p w14:paraId="7A083BA2" w14:textId="22D9C4FD" w:rsidR="009417CA" w:rsidRPr="006D545D" w:rsidRDefault="009417CA" w:rsidP="00BE1923">
      <w:pPr>
        <w:pStyle w:val="Prrafodelista"/>
        <w:spacing w:line="360" w:lineRule="auto"/>
        <w:ind w:left="426" w:right="474"/>
        <w:jc w:val="both"/>
        <w:rPr>
          <w:rFonts w:ascii="Palatino Linotype" w:eastAsia="Calibri" w:hAnsi="Palatino Linotype" w:cs="Arial"/>
        </w:rPr>
      </w:pPr>
      <w:r w:rsidRPr="00D27215">
        <w:rPr>
          <w:rFonts w:ascii="Palatino Linotype" w:eastAsia="Calibri" w:hAnsi="Palatino Linotype" w:cs="Arial"/>
          <w:i/>
        </w:rPr>
        <w:t>“</w:t>
      </w:r>
      <w:r w:rsidR="00774514" w:rsidRPr="00774514">
        <w:rPr>
          <w:rFonts w:ascii="Palatino Linotype" w:eastAsia="Calibri" w:hAnsi="Palatino Linotype" w:cs="Arial"/>
          <w:i/>
        </w:rPr>
        <w:t xml:space="preserve">solicito los </w:t>
      </w:r>
      <w:proofErr w:type="spellStart"/>
      <w:r w:rsidR="00774514" w:rsidRPr="00774514">
        <w:rPr>
          <w:rFonts w:ascii="Palatino Linotype" w:eastAsia="Calibri" w:hAnsi="Palatino Linotype" w:cs="Arial"/>
          <w:i/>
        </w:rPr>
        <w:t>contartos</w:t>
      </w:r>
      <w:proofErr w:type="spellEnd"/>
      <w:r w:rsidR="00774514" w:rsidRPr="00774514">
        <w:rPr>
          <w:rFonts w:ascii="Palatino Linotype" w:eastAsia="Calibri" w:hAnsi="Palatino Linotype" w:cs="Arial"/>
          <w:i/>
        </w:rPr>
        <w:t xml:space="preserve"> de obra </w:t>
      </w:r>
      <w:proofErr w:type="spellStart"/>
      <w:r w:rsidR="00774514" w:rsidRPr="00774514">
        <w:rPr>
          <w:rFonts w:ascii="Palatino Linotype" w:eastAsia="Calibri" w:hAnsi="Palatino Linotype" w:cs="Arial"/>
          <w:i/>
        </w:rPr>
        <w:t>publica</w:t>
      </w:r>
      <w:proofErr w:type="spellEnd"/>
      <w:r w:rsidR="00774514" w:rsidRPr="00774514">
        <w:rPr>
          <w:rFonts w:ascii="Palatino Linotype" w:eastAsia="Calibri" w:hAnsi="Palatino Linotype" w:cs="Arial"/>
          <w:i/>
        </w:rPr>
        <w:t xml:space="preserve"> </w:t>
      </w:r>
      <w:proofErr w:type="spellStart"/>
      <w:r w:rsidR="00774514" w:rsidRPr="00774514">
        <w:rPr>
          <w:rFonts w:ascii="Palatino Linotype" w:eastAsia="Calibri" w:hAnsi="Palatino Linotype" w:cs="Arial"/>
          <w:i/>
        </w:rPr>
        <w:t>asi</w:t>
      </w:r>
      <w:proofErr w:type="spellEnd"/>
      <w:r w:rsidR="00774514" w:rsidRPr="00774514">
        <w:rPr>
          <w:rFonts w:ascii="Palatino Linotype" w:eastAsia="Calibri" w:hAnsi="Palatino Linotype" w:cs="Arial"/>
          <w:i/>
        </w:rPr>
        <w:t xml:space="preserve"> como su proceso de </w:t>
      </w:r>
      <w:proofErr w:type="spellStart"/>
      <w:r w:rsidR="00774514" w:rsidRPr="00774514">
        <w:rPr>
          <w:rFonts w:ascii="Palatino Linotype" w:eastAsia="Calibri" w:hAnsi="Palatino Linotype" w:cs="Arial"/>
          <w:i/>
        </w:rPr>
        <w:t>licitacion</w:t>
      </w:r>
      <w:proofErr w:type="spellEnd"/>
      <w:r w:rsidR="00774514" w:rsidRPr="00774514">
        <w:rPr>
          <w:rFonts w:ascii="Palatino Linotype" w:eastAsia="Calibri" w:hAnsi="Palatino Linotype" w:cs="Arial"/>
          <w:i/>
        </w:rPr>
        <w:t xml:space="preserve"> del año 2019 desglosa</w:t>
      </w:r>
      <w:r w:rsidR="00774514">
        <w:rPr>
          <w:rFonts w:ascii="Palatino Linotype" w:eastAsia="Calibri" w:hAnsi="Palatino Linotype" w:cs="Arial"/>
          <w:i/>
        </w:rPr>
        <w:t>do</w:t>
      </w:r>
      <w:r>
        <w:rPr>
          <w:rFonts w:ascii="Palatino Linotype" w:eastAsia="Calibri" w:hAnsi="Palatino Linotype" w:cs="Arial"/>
          <w:i/>
        </w:rPr>
        <w:t>”</w:t>
      </w:r>
      <w:r w:rsidR="006D545D">
        <w:rPr>
          <w:rFonts w:ascii="Palatino Linotype" w:eastAsia="Calibri" w:hAnsi="Palatino Linotype" w:cs="Arial"/>
          <w:i/>
        </w:rPr>
        <w:t xml:space="preserve"> </w:t>
      </w:r>
      <w:r w:rsidR="006D545D">
        <w:rPr>
          <w:rFonts w:ascii="Palatino Linotype" w:eastAsia="Calibri" w:hAnsi="Palatino Linotype" w:cs="Arial"/>
        </w:rPr>
        <w:t>(Sic)</w:t>
      </w:r>
    </w:p>
    <w:p w14:paraId="07A16A16" w14:textId="77777777" w:rsidR="00C42E34" w:rsidRDefault="00C42E34" w:rsidP="00BE1923">
      <w:pPr>
        <w:pStyle w:val="Prrafodelista"/>
        <w:spacing w:line="360" w:lineRule="auto"/>
        <w:ind w:left="426" w:right="474"/>
        <w:jc w:val="both"/>
        <w:rPr>
          <w:rFonts w:ascii="Palatino Linotype" w:eastAsia="Calibri" w:hAnsi="Palatino Linotype" w:cs="Arial"/>
          <w:i/>
        </w:rPr>
      </w:pPr>
    </w:p>
    <w:p w14:paraId="21F94BB8" w14:textId="4D671F1F" w:rsidR="00074F84" w:rsidRPr="00074F84"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w:t>
      </w:r>
      <w:r w:rsidR="00434EF7">
        <w:rPr>
          <w:rFonts w:ascii="Palatino Linotype" w:eastAsia="Calibri" w:hAnsi="Palatino Linotype" w:cs="Arial"/>
        </w:rPr>
        <w:t xml:space="preserve"> SAIMEX</w:t>
      </w:r>
      <w:r w:rsidR="00150024">
        <w:rPr>
          <w:rFonts w:ascii="Palatino Linotype" w:eastAsia="Calibri" w:hAnsi="Palatino Linotype" w:cs="Arial"/>
        </w:rPr>
        <w:t>.</w:t>
      </w:r>
    </w:p>
    <w:p w14:paraId="06385E67" w14:textId="02C35B42" w:rsidR="00434EF7" w:rsidRDefault="00774514" w:rsidP="00434EF7">
      <w:pPr>
        <w:pStyle w:val="Prrafodelista"/>
        <w:numPr>
          <w:ilvl w:val="0"/>
          <w:numId w:val="7"/>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lastRenderedPageBreak/>
        <w:t>El día once</w:t>
      </w:r>
      <w:r w:rsidR="00C96E1C">
        <w:rPr>
          <w:rFonts w:ascii="Palatino Linotype" w:hAnsi="Palatino Linotype" w:cs="Arial"/>
          <w:color w:val="000000" w:themeColor="text1"/>
        </w:rPr>
        <w:t xml:space="preserve"> (</w:t>
      </w:r>
      <w:r>
        <w:rPr>
          <w:rFonts w:ascii="Palatino Linotype" w:hAnsi="Palatino Linotype" w:cs="Arial"/>
          <w:color w:val="000000" w:themeColor="text1"/>
        </w:rPr>
        <w:t>11</w:t>
      </w:r>
      <w:r w:rsidR="00C96E1C">
        <w:rPr>
          <w:rFonts w:ascii="Palatino Linotype" w:hAnsi="Palatino Linotype" w:cs="Arial"/>
          <w:color w:val="000000" w:themeColor="text1"/>
        </w:rPr>
        <w:t xml:space="preserve">) de </w:t>
      </w:r>
      <w:r w:rsidR="00C9726D">
        <w:rPr>
          <w:rFonts w:ascii="Palatino Linotype" w:hAnsi="Palatino Linotype" w:cs="Arial"/>
          <w:color w:val="000000" w:themeColor="text1"/>
        </w:rPr>
        <w:t>agost</w:t>
      </w:r>
      <w:r w:rsidR="00C96E1C">
        <w:rPr>
          <w:rFonts w:ascii="Palatino Linotype" w:hAnsi="Palatino Linotype" w:cs="Arial"/>
          <w:color w:val="000000" w:themeColor="text1"/>
        </w:rPr>
        <w:t xml:space="preserve">o de dos mil veintiuno, el </w:t>
      </w:r>
      <w:r w:rsidR="00C96E1C">
        <w:rPr>
          <w:rFonts w:ascii="Palatino Linotype" w:hAnsi="Palatino Linotype" w:cs="Arial"/>
          <w:b/>
          <w:color w:val="000000" w:themeColor="text1"/>
        </w:rPr>
        <w:t>SUJETO OBLIGADO</w:t>
      </w:r>
      <w:r w:rsidR="00C96E1C">
        <w:rPr>
          <w:rFonts w:ascii="Palatino Linotype" w:hAnsi="Palatino Linotype" w:cs="Arial"/>
          <w:color w:val="000000" w:themeColor="text1"/>
        </w:rPr>
        <w:t xml:space="preserve"> </w:t>
      </w:r>
      <w:r w:rsidR="00C9726D">
        <w:rPr>
          <w:rFonts w:ascii="Palatino Linotype" w:hAnsi="Palatino Linotype" w:cs="Arial"/>
          <w:color w:val="000000" w:themeColor="text1"/>
        </w:rPr>
        <w:t>emitió su respuesta en los</w:t>
      </w:r>
      <w:r w:rsidR="00C96E1C">
        <w:rPr>
          <w:rFonts w:ascii="Palatino Linotype" w:hAnsi="Palatino Linotype" w:cs="Arial"/>
          <w:color w:val="000000" w:themeColor="text1"/>
        </w:rPr>
        <w:t xml:space="preserve"> siguientes términos:</w:t>
      </w:r>
    </w:p>
    <w:p w14:paraId="6750FE74" w14:textId="77777777" w:rsidR="00774514" w:rsidRDefault="00774514" w:rsidP="00774514">
      <w:pPr>
        <w:pStyle w:val="Prrafodelista"/>
        <w:spacing w:line="360" w:lineRule="auto"/>
        <w:ind w:left="0"/>
        <w:jc w:val="both"/>
        <w:rPr>
          <w:rFonts w:ascii="Palatino Linotype" w:hAnsi="Palatino Linotype" w:cs="Arial"/>
          <w:color w:val="000000" w:themeColor="text1"/>
        </w:rPr>
      </w:pPr>
    </w:p>
    <w:p w14:paraId="1B90A9C0" w14:textId="41094301" w:rsidR="00774514" w:rsidRPr="00774514" w:rsidRDefault="00774514" w:rsidP="00774514">
      <w:pPr>
        <w:pStyle w:val="Prrafodelista"/>
        <w:spacing w:line="360" w:lineRule="auto"/>
        <w:ind w:left="0"/>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0623FFA2" wp14:editId="63FFCC64">
            <wp:extent cx="5508839" cy="2271944"/>
            <wp:effectExtent l="19050" t="19050" r="15875"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1507" cy="2273044"/>
                    </a:xfrm>
                    <a:prstGeom prst="rect">
                      <a:avLst/>
                    </a:prstGeom>
                    <a:noFill/>
                    <a:ln>
                      <a:solidFill>
                        <a:schemeClr val="tx1"/>
                      </a:solidFill>
                    </a:ln>
                  </pic:spPr>
                </pic:pic>
              </a:graphicData>
            </a:graphic>
          </wp:inline>
        </w:drawing>
      </w:r>
    </w:p>
    <w:p w14:paraId="1BCA37F4" w14:textId="161AC7D6" w:rsidR="00C96E1C" w:rsidRDefault="00FE6B70" w:rsidP="00C96E1C">
      <w:pPr>
        <w:pStyle w:val="Prrafodelista"/>
        <w:spacing w:line="360" w:lineRule="auto"/>
        <w:ind w:left="0"/>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74624" behindDoc="0" locked="0" layoutInCell="1" allowOverlap="1" wp14:anchorId="501D9577" wp14:editId="0F1D5FE7">
                <wp:simplePos x="0" y="0"/>
                <wp:positionH relativeFrom="column">
                  <wp:posOffset>168634</wp:posOffset>
                </wp:positionH>
                <wp:positionV relativeFrom="paragraph">
                  <wp:posOffset>5676491</wp:posOffset>
                </wp:positionV>
                <wp:extent cx="5445457" cy="1337481"/>
                <wp:effectExtent l="38100" t="38100" r="60325" b="91440"/>
                <wp:wrapNone/>
                <wp:docPr id="37" name="Conector recto 37"/>
                <wp:cNvGraphicFramePr/>
                <a:graphic xmlns:a="http://schemas.openxmlformats.org/drawingml/2006/main">
                  <a:graphicData uri="http://schemas.microsoft.com/office/word/2010/wordprocessingShape">
                    <wps:wsp>
                      <wps:cNvCnPr/>
                      <wps:spPr>
                        <a:xfrm>
                          <a:off x="0" y="0"/>
                          <a:ext cx="5445457" cy="13374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FC62A2" id="Conector recto 3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3.3pt,446.95pt" to="442.1pt,5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" strokecolor="black [3200]" strokeweight="2pt">
                <v:shadow on="t" color="black" opacity="24903f" origin=",.5" offset="0,.55556mm"/>
              </v:line>
            </w:pict>
          </mc:Fallback>
        </mc:AlternateContent>
      </w:r>
    </w:p>
    <w:p w14:paraId="7EEC3E58" w14:textId="445619A4" w:rsidR="009417CA" w:rsidRPr="00434EF7" w:rsidRDefault="00774514" w:rsidP="00434EF7">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hAnsi="Palatino Linotype" w:cs="Arial"/>
          <w:color w:val="000000" w:themeColor="text1"/>
        </w:rPr>
        <w:t>En misma fecha</w:t>
      </w:r>
      <w:r w:rsidR="00074F84" w:rsidRPr="00434EF7">
        <w:rPr>
          <w:rFonts w:ascii="Palatino Linotype" w:hAnsi="Palatino Linotype" w:cs="Arial"/>
          <w:color w:val="000000" w:themeColor="text1"/>
        </w:rPr>
        <w:t xml:space="preserve">, el particular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434EF7">
        <w:rPr>
          <w:rFonts w:ascii="Palatino Linotype" w:hAnsi="Palatino Linotype" w:cs="Arial"/>
          <w:color w:val="000000" w:themeColor="text1"/>
        </w:rPr>
        <w:t xml:space="preserve">interpuso </w:t>
      </w:r>
      <w:r w:rsidR="009417CA" w:rsidRPr="00434EF7">
        <w:rPr>
          <w:rFonts w:ascii="Palatino Linotype" w:hAnsi="Palatino Linotype" w:cs="Arial"/>
          <w:color w:val="000000" w:themeColor="text1"/>
        </w:rPr>
        <w:t>recurso de revisión, señalando como:</w:t>
      </w:r>
    </w:p>
    <w:p w14:paraId="21935EB1" w14:textId="77777777" w:rsidR="00B00B6B" w:rsidRPr="00BF7D41" w:rsidRDefault="00B00B6B" w:rsidP="00B00B6B">
      <w:pPr>
        <w:pStyle w:val="Prrafodelista"/>
        <w:spacing w:line="360" w:lineRule="auto"/>
        <w:ind w:left="0"/>
        <w:jc w:val="both"/>
        <w:rPr>
          <w:rFonts w:ascii="Palatino Linotype" w:hAnsi="Palatino Linotype" w:cs="Arial"/>
          <w:i/>
          <w:color w:val="000000" w:themeColor="text1"/>
        </w:rPr>
      </w:pPr>
    </w:p>
    <w:p w14:paraId="277E4464" w14:textId="69097FBE" w:rsidR="009417CA" w:rsidRPr="007408FA" w:rsidRDefault="009417CA" w:rsidP="00774514">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roofErr w:type="spellStart"/>
      <w:r w:rsidR="00774514" w:rsidRPr="00774514">
        <w:rPr>
          <w:rStyle w:val="Ttulo2Car"/>
          <w:rFonts w:ascii="Palatino Linotype" w:hAnsi="Palatino Linotype"/>
          <w:i/>
          <w:color w:val="000000" w:themeColor="text1"/>
          <w:sz w:val="24"/>
          <w:szCs w:val="24"/>
        </w:rPr>
        <w:t>contestacion</w:t>
      </w:r>
      <w:proofErr w:type="spellEnd"/>
      <w:r w:rsidR="00774514" w:rsidRPr="00774514">
        <w:rPr>
          <w:rStyle w:val="Ttulo2Car"/>
          <w:rFonts w:ascii="Palatino Linotype" w:hAnsi="Palatino Linotype"/>
          <w:i/>
          <w:color w:val="000000" w:themeColor="text1"/>
          <w:sz w:val="24"/>
          <w:szCs w:val="24"/>
        </w:rPr>
        <w:t xml:space="preserve"> incompleta, solicito a la </w:t>
      </w:r>
      <w:proofErr w:type="spellStart"/>
      <w:r w:rsidR="00774514" w:rsidRPr="00774514">
        <w:rPr>
          <w:rStyle w:val="Ttulo2Car"/>
          <w:rFonts w:ascii="Palatino Linotype" w:hAnsi="Palatino Linotype"/>
          <w:i/>
          <w:color w:val="000000" w:themeColor="text1"/>
          <w:sz w:val="24"/>
          <w:szCs w:val="24"/>
        </w:rPr>
        <w:t>autortidad</w:t>
      </w:r>
      <w:proofErr w:type="spellEnd"/>
      <w:r w:rsidR="00774514" w:rsidRPr="00774514">
        <w:rPr>
          <w:rStyle w:val="Ttulo2Car"/>
          <w:rFonts w:ascii="Palatino Linotype" w:hAnsi="Palatino Linotype"/>
          <w:i/>
          <w:color w:val="000000" w:themeColor="text1"/>
          <w:sz w:val="24"/>
          <w:szCs w:val="24"/>
        </w:rPr>
        <w:t xml:space="preserve"> competente verifique el portal de </w:t>
      </w:r>
      <w:proofErr w:type="spellStart"/>
      <w:r w:rsidR="00774514" w:rsidRPr="00774514">
        <w:rPr>
          <w:rStyle w:val="Ttulo2Car"/>
          <w:rFonts w:ascii="Palatino Linotype" w:hAnsi="Palatino Linotype"/>
          <w:i/>
          <w:color w:val="000000" w:themeColor="text1"/>
          <w:sz w:val="24"/>
          <w:szCs w:val="24"/>
        </w:rPr>
        <w:t>ipomex</w:t>
      </w:r>
      <w:proofErr w:type="spellEnd"/>
      <w:r w:rsidR="00774514" w:rsidRPr="00774514">
        <w:rPr>
          <w:rStyle w:val="Ttulo2Car"/>
          <w:rFonts w:ascii="Palatino Linotype" w:hAnsi="Palatino Linotype"/>
          <w:i/>
          <w:color w:val="000000" w:themeColor="text1"/>
          <w:sz w:val="24"/>
          <w:szCs w:val="24"/>
        </w:rPr>
        <w:t xml:space="preserve"> del municipio de </w:t>
      </w:r>
      <w:proofErr w:type="spellStart"/>
      <w:r w:rsidR="00774514" w:rsidRPr="00774514">
        <w:rPr>
          <w:rStyle w:val="Ttulo2Car"/>
          <w:rFonts w:ascii="Palatino Linotype" w:hAnsi="Palatino Linotype"/>
          <w:i/>
          <w:color w:val="000000" w:themeColor="text1"/>
          <w:sz w:val="24"/>
          <w:szCs w:val="24"/>
        </w:rPr>
        <w:t>teoloyucan</w:t>
      </w:r>
      <w:proofErr w:type="spellEnd"/>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08FA">
        <w:rPr>
          <w:rFonts w:ascii="Palatino Linotype" w:hAnsi="Palatino Linotype"/>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Pr>
          <w:rFonts w:ascii="Palatino Linotype" w:hAnsi="Palatino Linotype"/>
          <w:color w:val="000000" w:themeColor="text1"/>
        </w:rPr>
        <w:t>(Sic)</w:t>
      </w:r>
    </w:p>
    <w:p w14:paraId="32126754" w14:textId="77777777" w:rsidR="009417CA" w:rsidRPr="007408FA"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0CC89197" w:rsidR="009417CA" w:rsidRPr="007408FA" w:rsidRDefault="009417CA" w:rsidP="00774514">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7408FA">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774514" w:rsidRPr="00774514">
        <w:rPr>
          <w:rFonts w:ascii="Palatino Linotype" w:hAnsi="Palatino Linotype"/>
          <w:i/>
          <w:color w:val="000000" w:themeColor="text1"/>
        </w:rPr>
        <w:t xml:space="preserve">el servidor </w:t>
      </w:r>
      <w:proofErr w:type="spellStart"/>
      <w:r w:rsidR="00774514" w:rsidRPr="00774514">
        <w:rPr>
          <w:rFonts w:ascii="Palatino Linotype" w:hAnsi="Palatino Linotype"/>
          <w:i/>
          <w:color w:val="000000" w:themeColor="text1"/>
        </w:rPr>
        <w:t>publico</w:t>
      </w:r>
      <w:proofErr w:type="spellEnd"/>
      <w:r w:rsidR="00774514" w:rsidRPr="00774514">
        <w:rPr>
          <w:rFonts w:ascii="Palatino Linotype" w:hAnsi="Palatino Linotype"/>
          <w:i/>
          <w:color w:val="000000" w:themeColor="text1"/>
        </w:rPr>
        <w:t xml:space="preserve"> que da </w:t>
      </w:r>
      <w:proofErr w:type="spellStart"/>
      <w:r w:rsidR="00774514" w:rsidRPr="00774514">
        <w:rPr>
          <w:rFonts w:ascii="Palatino Linotype" w:hAnsi="Palatino Linotype"/>
          <w:i/>
          <w:color w:val="000000" w:themeColor="text1"/>
        </w:rPr>
        <w:t>contestacion</w:t>
      </w:r>
      <w:proofErr w:type="spellEnd"/>
      <w:r w:rsidR="00774514" w:rsidRPr="00774514">
        <w:rPr>
          <w:rFonts w:ascii="Palatino Linotype" w:hAnsi="Palatino Linotype"/>
          <w:i/>
          <w:color w:val="000000" w:themeColor="text1"/>
        </w:rPr>
        <w:t xml:space="preserve"> lo hace con dolo, ya que me remite una liga que me dirige al portal de </w:t>
      </w:r>
      <w:proofErr w:type="spellStart"/>
      <w:r w:rsidR="00774514" w:rsidRPr="00774514">
        <w:rPr>
          <w:rFonts w:ascii="Palatino Linotype" w:hAnsi="Palatino Linotype"/>
          <w:i/>
          <w:color w:val="000000" w:themeColor="text1"/>
        </w:rPr>
        <w:t>ipomex</w:t>
      </w:r>
      <w:proofErr w:type="spellEnd"/>
      <w:r w:rsidR="00774514" w:rsidRPr="00774514">
        <w:rPr>
          <w:rFonts w:ascii="Palatino Linotype" w:hAnsi="Palatino Linotype"/>
          <w:i/>
          <w:color w:val="000000" w:themeColor="text1"/>
        </w:rPr>
        <w:t xml:space="preserve">, donde supuestamente esta la respuesta a mi </w:t>
      </w:r>
      <w:proofErr w:type="spellStart"/>
      <w:r w:rsidR="00774514" w:rsidRPr="00774514">
        <w:rPr>
          <w:rFonts w:ascii="Palatino Linotype" w:hAnsi="Palatino Linotype"/>
          <w:i/>
          <w:color w:val="000000" w:themeColor="text1"/>
        </w:rPr>
        <w:t>solicityud</w:t>
      </w:r>
      <w:proofErr w:type="spellEnd"/>
      <w:r w:rsidR="00774514" w:rsidRPr="00774514">
        <w:rPr>
          <w:rFonts w:ascii="Palatino Linotype" w:hAnsi="Palatino Linotype"/>
          <w:i/>
          <w:color w:val="000000" w:themeColor="text1"/>
        </w:rPr>
        <w:t xml:space="preserve">, </w:t>
      </w:r>
      <w:proofErr w:type="spellStart"/>
      <w:r w:rsidR="00774514" w:rsidRPr="00774514">
        <w:rPr>
          <w:rFonts w:ascii="Palatino Linotype" w:hAnsi="Palatino Linotype"/>
          <w:i/>
          <w:color w:val="000000" w:themeColor="text1"/>
        </w:rPr>
        <w:t>efectivamenet</w:t>
      </w:r>
      <w:proofErr w:type="spellEnd"/>
      <w:r w:rsidR="00774514" w:rsidRPr="00774514">
        <w:rPr>
          <w:rFonts w:ascii="Palatino Linotype" w:hAnsi="Palatino Linotype"/>
          <w:i/>
          <w:color w:val="000000" w:themeColor="text1"/>
        </w:rPr>
        <w:t xml:space="preserve"> hay parte de la respuesta, sin embargo la </w:t>
      </w:r>
      <w:proofErr w:type="spellStart"/>
      <w:r w:rsidR="00774514" w:rsidRPr="00774514">
        <w:rPr>
          <w:rFonts w:ascii="Palatino Linotype" w:hAnsi="Palatino Linotype"/>
          <w:i/>
          <w:color w:val="000000" w:themeColor="text1"/>
        </w:rPr>
        <w:t>informacion</w:t>
      </w:r>
      <w:proofErr w:type="spellEnd"/>
      <w:r w:rsidR="00774514" w:rsidRPr="00774514">
        <w:rPr>
          <w:rFonts w:ascii="Palatino Linotype" w:hAnsi="Palatino Linotype"/>
          <w:i/>
          <w:color w:val="000000" w:themeColor="text1"/>
        </w:rPr>
        <w:t xml:space="preserve"> no </w:t>
      </w:r>
      <w:proofErr w:type="spellStart"/>
      <w:r w:rsidR="00774514" w:rsidRPr="00774514">
        <w:rPr>
          <w:rFonts w:ascii="Palatino Linotype" w:hAnsi="Palatino Linotype"/>
          <w:i/>
          <w:color w:val="000000" w:themeColor="text1"/>
        </w:rPr>
        <w:t>esta</w:t>
      </w:r>
      <w:proofErr w:type="spellEnd"/>
      <w:r w:rsidR="00774514" w:rsidRPr="00774514">
        <w:rPr>
          <w:rFonts w:ascii="Palatino Linotype" w:hAnsi="Palatino Linotype"/>
          <w:i/>
          <w:color w:val="000000" w:themeColor="text1"/>
        </w:rPr>
        <w:t xml:space="preserve"> completa</w:t>
      </w:r>
      <w:r w:rsidRPr="007408FA">
        <w:rPr>
          <w:rFonts w:ascii="Palatino Linotype" w:hAnsi="Palatino Linotype"/>
          <w:i/>
          <w:color w:val="000000" w:themeColor="text1"/>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774514" w:rsidRPr="00774514">
        <w:rPr>
          <w:rFonts w:ascii="Palatino Linotype" w:hAnsi="Palatino Linotype"/>
          <w:color w:val="000000" w:themeColor="text1"/>
        </w:rPr>
        <w:t xml:space="preserve"> </w:t>
      </w:r>
      <w:r w:rsidR="00774514">
        <w:rPr>
          <w:rFonts w:ascii="Palatino Linotype" w:hAnsi="Palatino Linotype"/>
          <w:color w:val="000000" w:themeColor="text1"/>
        </w:rPr>
        <w:t>(Sic)</w:t>
      </w:r>
    </w:p>
    <w:p w14:paraId="59C4E098" w14:textId="77777777" w:rsidR="007B4CF4" w:rsidRDefault="007B4CF4" w:rsidP="00BE1923">
      <w:pPr>
        <w:pStyle w:val="Prrafodelista"/>
        <w:spacing w:line="360" w:lineRule="auto"/>
        <w:rPr>
          <w:rFonts w:ascii="Palatino Linotype" w:hAnsi="Palatino Linotype" w:cs="Arial"/>
          <w:i/>
          <w:color w:val="000000" w:themeColor="text1"/>
        </w:rPr>
      </w:pPr>
    </w:p>
    <w:p w14:paraId="6CDBF89C" w14:textId="77777777" w:rsidR="00C9726D" w:rsidRPr="007B4CF4" w:rsidRDefault="00C9726D" w:rsidP="00BE1923">
      <w:pPr>
        <w:pStyle w:val="Prrafodelista"/>
        <w:spacing w:line="360" w:lineRule="auto"/>
        <w:rPr>
          <w:rFonts w:ascii="Palatino Linotype" w:hAnsi="Palatino Linotype" w:cs="Arial"/>
          <w:i/>
          <w:color w:val="000000" w:themeColor="text1"/>
        </w:rPr>
      </w:pPr>
    </w:p>
    <w:p w14:paraId="18403F73" w14:textId="2FA5BAB6"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lastRenderedPageBreak/>
        <w:t xml:space="preserve">Se </w:t>
      </w:r>
      <w:r w:rsidRPr="003F2795">
        <w:rPr>
          <w:rFonts w:ascii="Palatino Linotype" w:hAnsi="Palatino Linotype" w:cs="Arial"/>
          <w:color w:val="000000" w:themeColor="text1"/>
        </w:rPr>
        <w:t>registró</w:t>
      </w:r>
      <w:r w:rsidR="00EB2DE6">
        <w:rPr>
          <w:rFonts w:ascii="Palatino Linotype" w:eastAsia="Calibri" w:hAnsi="Palatino Linotype" w:cs="Arial"/>
        </w:rPr>
        <w:t xml:space="preserve"> el R</w:t>
      </w:r>
      <w:r w:rsidRPr="000016E9">
        <w:rPr>
          <w:rFonts w:ascii="Palatino Linotype" w:eastAsia="Calibri" w:hAnsi="Palatino Linotype" w:cs="Arial"/>
        </w:rPr>
        <w:t xml:space="preserve">ecurso de </w:t>
      </w:r>
      <w:r w:rsidR="00EB2DE6">
        <w:rPr>
          <w:rFonts w:ascii="Palatino Linotype" w:eastAsia="Calibri" w:hAnsi="Palatino Linotype" w:cs="Arial"/>
        </w:rPr>
        <w:t>R</w:t>
      </w:r>
      <w:r w:rsidRPr="000016E9">
        <w:rPr>
          <w:rFonts w:ascii="Palatino Linotype" w:eastAsia="Calibri" w:hAnsi="Palatino Linotype" w:cs="Arial"/>
        </w:rPr>
        <w:t>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al</w:t>
      </w:r>
      <w:r w:rsidR="00EB2DE6">
        <w:rPr>
          <w:rFonts w:ascii="Palatino Linotype" w:eastAsia="Calibri" w:hAnsi="Palatino Linotype" w:cs="Arial"/>
        </w:rPr>
        <w:t xml:space="preserve"> entonces</w:t>
      </w:r>
      <w:r w:rsidR="000B08A0">
        <w:rPr>
          <w:rFonts w:ascii="Palatino Linotype" w:eastAsia="Calibri" w:hAnsi="Palatino Linotype" w:cs="Arial"/>
        </w:rPr>
        <w:t xml:space="preserve"> </w:t>
      </w:r>
      <w:r w:rsidRPr="00EB4D5A">
        <w:rPr>
          <w:rFonts w:ascii="Palatino Linotype" w:eastAsia="Calibri" w:hAnsi="Palatino Linotype" w:cs="Arial"/>
          <w:b/>
        </w:rPr>
        <w:t>Comisionad</w:t>
      </w:r>
      <w:r w:rsidR="00774514">
        <w:rPr>
          <w:rFonts w:ascii="Palatino Linotype" w:eastAsia="Calibri" w:hAnsi="Palatino Linotype" w:cs="Arial"/>
          <w:b/>
        </w:rPr>
        <w:t>o</w:t>
      </w:r>
      <w:r w:rsidRPr="00EB4D5A">
        <w:rPr>
          <w:rFonts w:ascii="Palatino Linotype" w:eastAsia="Calibri" w:hAnsi="Palatino Linotype" w:cs="Arial"/>
          <w:b/>
        </w:rPr>
        <w:t xml:space="preserve"> </w:t>
      </w:r>
      <w:r w:rsidR="00774514">
        <w:rPr>
          <w:rFonts w:ascii="Palatino Linotype" w:eastAsia="Calibri" w:hAnsi="Palatino Linotype" w:cs="Arial"/>
          <w:b/>
        </w:rPr>
        <w:t>Javier Martínez Cruz</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3803A233" w14:textId="77777777" w:rsidR="00BE1923" w:rsidRDefault="00BE1923" w:rsidP="00BE1923">
      <w:pPr>
        <w:pStyle w:val="Prrafodelista"/>
        <w:spacing w:line="360" w:lineRule="auto"/>
        <w:ind w:left="0"/>
        <w:jc w:val="both"/>
        <w:rPr>
          <w:rFonts w:ascii="Palatino Linotype" w:eastAsia="Calibri" w:hAnsi="Palatino Linotype" w:cs="Arial"/>
        </w:rPr>
      </w:pPr>
    </w:p>
    <w:p w14:paraId="75061726" w14:textId="25803298" w:rsidR="005123A8" w:rsidRDefault="00774514" w:rsidP="00B00B6B">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El</w:t>
      </w:r>
      <w:r w:rsidR="009417CA" w:rsidRPr="000016E9">
        <w:rPr>
          <w:rFonts w:ascii="Palatino Linotype" w:hAnsi="Palatino Linotype"/>
          <w:color w:val="000000"/>
        </w:rPr>
        <w:t xml:space="preserve"> Comisionad</w:t>
      </w:r>
      <w:r>
        <w:rPr>
          <w:rFonts w:ascii="Palatino Linotype" w:hAnsi="Palatino Linotype"/>
          <w:color w:val="000000"/>
        </w:rPr>
        <w:t>o</w:t>
      </w:r>
      <w:r w:rsidR="009417CA" w:rsidRPr="000016E9">
        <w:rPr>
          <w:rFonts w:ascii="Palatino Linotype" w:hAnsi="Palatino Linotype"/>
          <w:color w:val="000000"/>
        </w:rPr>
        <w:t xml:space="preserve"> Ponente</w:t>
      </w:r>
      <w:r w:rsidR="00EB2DE6">
        <w:rPr>
          <w:rFonts w:ascii="Palatino Linotype" w:hAnsi="Palatino Linotype"/>
          <w:color w:val="000000"/>
        </w:rPr>
        <w:t xml:space="preserve"> de origen</w:t>
      </w:r>
      <w:r w:rsidR="009417CA" w:rsidRPr="000016E9">
        <w:rPr>
          <w:rFonts w:ascii="Palatino Linotype" w:hAnsi="Palatino Linotype"/>
          <w:color w:val="000000"/>
        </w:rPr>
        <w:t xml:space="preserve"> </w:t>
      </w:r>
      <w:r w:rsidR="009417CA" w:rsidRPr="00B00B6B">
        <w:rPr>
          <w:rFonts w:ascii="Palatino Linotype" w:hAnsi="Palatino Linotype"/>
          <w:color w:val="000000"/>
        </w:rPr>
        <w:t xml:space="preserve">con fundamento en lo dispuesto por el artículo 185 </w:t>
      </w:r>
      <w:r w:rsidR="009417CA" w:rsidRPr="00B00B6B">
        <w:rPr>
          <w:rFonts w:ascii="Palatino Linotype" w:eastAsia="Calibri" w:hAnsi="Palatino Linotype" w:cs="Arial"/>
        </w:rPr>
        <w:t>fracción</w:t>
      </w:r>
      <w:r w:rsidR="009417CA" w:rsidRPr="00B00B6B">
        <w:rPr>
          <w:rFonts w:ascii="Palatino Linotype" w:hAnsi="Palatino Linotype"/>
          <w:color w:val="000000"/>
        </w:rPr>
        <w:t xml:space="preserve"> II de la ley de la materia, a través del </w:t>
      </w:r>
      <w:r w:rsidR="009417CA" w:rsidRPr="007A69F1">
        <w:rPr>
          <w:rFonts w:ascii="Palatino Linotype" w:hAnsi="Palatino Linotype"/>
          <w:b/>
          <w:color w:val="000000"/>
        </w:rPr>
        <w:t xml:space="preserve">acuerdo de admisión </w:t>
      </w:r>
      <w:r w:rsidR="009417CA" w:rsidRPr="00B00B6B">
        <w:rPr>
          <w:rFonts w:ascii="Palatino Linotype" w:hAnsi="Palatino Linotype"/>
          <w:color w:val="000000"/>
        </w:rPr>
        <w:t xml:space="preserve">de fecha </w:t>
      </w:r>
      <w:r w:rsidR="00C9726D">
        <w:rPr>
          <w:rFonts w:ascii="Palatino Linotype" w:hAnsi="Palatino Linotype"/>
          <w:color w:val="000000"/>
        </w:rPr>
        <w:t xml:space="preserve"> </w:t>
      </w:r>
      <w:r w:rsidR="00AB33EC">
        <w:rPr>
          <w:rFonts w:ascii="Palatino Linotype" w:hAnsi="Palatino Linotype"/>
          <w:color w:val="000000"/>
        </w:rPr>
        <w:t>dieciséis</w:t>
      </w:r>
      <w:r w:rsidR="009417CA" w:rsidRPr="00B00B6B">
        <w:rPr>
          <w:rFonts w:ascii="Palatino Linotype" w:hAnsi="Palatino Linotype"/>
          <w:color w:val="000000"/>
        </w:rPr>
        <w:t xml:space="preserve"> (</w:t>
      </w:r>
      <w:r w:rsidR="00AB33EC">
        <w:rPr>
          <w:rFonts w:ascii="Palatino Linotype" w:hAnsi="Palatino Linotype"/>
          <w:color w:val="000000"/>
        </w:rPr>
        <w:t>16</w:t>
      </w:r>
      <w:r w:rsidR="009417CA" w:rsidRPr="00B00B6B">
        <w:rPr>
          <w:rFonts w:ascii="Palatino Linotype" w:hAnsi="Palatino Linotype"/>
          <w:color w:val="000000"/>
        </w:rPr>
        <w:t xml:space="preserve">) de </w:t>
      </w:r>
      <w:r w:rsidR="00C9726D">
        <w:rPr>
          <w:rFonts w:ascii="Palatino Linotype" w:hAnsi="Palatino Linotype"/>
          <w:color w:val="000000"/>
        </w:rPr>
        <w:t>agost</w:t>
      </w:r>
      <w:r w:rsidR="006C12BD">
        <w:rPr>
          <w:rFonts w:ascii="Palatino Linotype" w:hAnsi="Palatino Linotype"/>
          <w:color w:val="000000"/>
        </w:rPr>
        <w:t>o</w:t>
      </w:r>
      <w:r w:rsidR="009417CA" w:rsidRPr="00B00B6B">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000B08A0" w:rsidRPr="00B00B6B">
        <w:rPr>
          <w:rFonts w:ascii="Palatino Linotype" w:hAnsi="Palatino Linotype"/>
          <w:color w:val="000000"/>
        </w:rPr>
        <w:t xml:space="preserve">su </w:t>
      </w:r>
      <w:r w:rsidR="009417CA" w:rsidRPr="00B00B6B">
        <w:rPr>
          <w:rFonts w:ascii="Palatino Linotype" w:hAnsi="Palatino Linotype"/>
          <w:color w:val="000000"/>
        </w:rPr>
        <w:t xml:space="preserve">derecho conviniera, ofrecieran pruebas y alegatos según corresponda al caso concreto, de esta forma para que el </w:t>
      </w:r>
      <w:r w:rsidR="009417CA" w:rsidRPr="00B00B6B">
        <w:rPr>
          <w:rFonts w:ascii="Palatino Linotype" w:hAnsi="Palatino Linotype"/>
          <w:b/>
          <w:color w:val="000000"/>
        </w:rPr>
        <w:t xml:space="preserve">SUJETO OBLIGADO </w:t>
      </w:r>
      <w:r w:rsidR="009417CA" w:rsidRPr="00B00B6B">
        <w:rPr>
          <w:rFonts w:ascii="Palatino Linotype" w:hAnsi="Palatino Linotype"/>
          <w:color w:val="000000"/>
        </w:rPr>
        <w:t>presentara el Informe Justificado procedente.</w:t>
      </w:r>
    </w:p>
    <w:p w14:paraId="11DF70B4" w14:textId="77777777" w:rsidR="004F1024" w:rsidRPr="004F1024" w:rsidRDefault="004F1024" w:rsidP="004F1024">
      <w:pPr>
        <w:pStyle w:val="Prrafodelista"/>
        <w:rPr>
          <w:rFonts w:ascii="Palatino Linotype" w:hAnsi="Palatino Linotype"/>
          <w:color w:val="000000"/>
        </w:rPr>
      </w:pPr>
    </w:p>
    <w:p w14:paraId="26EC5D4D" w14:textId="0831285A" w:rsidR="00FD71C1" w:rsidRDefault="00F00198"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00AB33EC" w:rsidRPr="00AB33EC">
        <w:rPr>
          <w:rFonts w:ascii="Palatino Linotype" w:hAnsi="Palatino Linotype"/>
          <w:b/>
        </w:rPr>
        <w:t>SUJETO OBLIGADO</w:t>
      </w:r>
      <w:r w:rsidR="00AB33EC">
        <w:rPr>
          <w:rFonts w:ascii="Palatino Linotype" w:hAnsi="Palatino Linotype"/>
          <w:b/>
        </w:rPr>
        <w:t xml:space="preserve">, </w:t>
      </w:r>
      <w:r w:rsidR="00AB33EC">
        <w:rPr>
          <w:rFonts w:ascii="Palatino Linotype" w:hAnsi="Palatino Linotype"/>
        </w:rPr>
        <w:t>fue omiso en rendir el informe justificado correspondiente</w:t>
      </w:r>
      <w:r>
        <w:rPr>
          <w:rFonts w:ascii="Palatino Linotype" w:hAnsi="Palatino Linotype"/>
        </w:rPr>
        <w:t xml:space="preserve">. Por su parte </w:t>
      </w:r>
      <w:r w:rsidR="009417CA" w:rsidRPr="00F00198">
        <w:rPr>
          <w:rFonts w:ascii="Palatino Linotype" w:hAnsi="Palatino Linotype"/>
          <w:b/>
        </w:rPr>
        <w:t>El</w:t>
      </w:r>
      <w:r w:rsidR="009417CA">
        <w:rPr>
          <w:rFonts w:ascii="Palatino Linotype" w:hAnsi="Palatino Linotype"/>
        </w:rPr>
        <w:t xml:space="preserve"> </w:t>
      </w:r>
      <w:r w:rsidR="00AB33EC">
        <w:rPr>
          <w:rFonts w:ascii="Palatino Linotype" w:hAnsi="Palatino Linotype"/>
          <w:b/>
          <w:color w:val="000000"/>
        </w:rPr>
        <w:t>RECURRENTE</w:t>
      </w:r>
      <w:r w:rsidR="00AB33EC">
        <w:rPr>
          <w:rFonts w:ascii="Palatino Linotype" w:hAnsi="Palatino Linotype"/>
          <w:color w:val="000000"/>
        </w:rPr>
        <w:t>, dejo de realizar manifestaciones que a su derecho convinieran y asistieran.</w:t>
      </w:r>
    </w:p>
    <w:p w14:paraId="7668BE5D" w14:textId="77777777" w:rsidR="00BE1923" w:rsidRPr="00BE1923" w:rsidRDefault="00BE1923" w:rsidP="00BE1923">
      <w:pPr>
        <w:pStyle w:val="Prrafodelista"/>
        <w:rPr>
          <w:rFonts w:ascii="Palatino Linotype" w:hAnsi="Palatino Linotype"/>
        </w:rPr>
      </w:pPr>
    </w:p>
    <w:p w14:paraId="37E1F234" w14:textId="77777777" w:rsidR="00F00198" w:rsidRPr="003C26A0" w:rsidRDefault="00F00198" w:rsidP="00F00198">
      <w:pPr>
        <w:pStyle w:val="Prrafodelista"/>
        <w:numPr>
          <w:ilvl w:val="0"/>
          <w:numId w:val="7"/>
        </w:numPr>
        <w:spacing w:line="360" w:lineRule="auto"/>
        <w:ind w:left="0" w:firstLine="0"/>
        <w:jc w:val="both"/>
        <w:rPr>
          <w:rFonts w:ascii="Palatino Linotype" w:hAnsi="Palatino Linotype"/>
          <w:b/>
          <w:color w:val="000000" w:themeColor="text1"/>
          <w:sz w:val="28"/>
        </w:rPr>
      </w:pPr>
      <w:r w:rsidRPr="003E7EB6">
        <w:rPr>
          <w:rFonts w:ascii="Palatino Linotype" w:hAnsi="Palatino Linotype" w:cs="Arial"/>
        </w:rPr>
        <w:t xml:space="preserve">El </w:t>
      </w:r>
      <w:r w:rsidRPr="00EB2DE6">
        <w:rPr>
          <w:rFonts w:ascii="Palatino Linotype" w:hAnsi="Palatino Linotype"/>
        </w:rPr>
        <w:t>Pleno</w:t>
      </w:r>
      <w:r w:rsidRPr="003E7EB6">
        <w:rPr>
          <w:rFonts w:ascii="Palatino Linotype" w:hAnsi="Palatino Linotype" w:cs="Arial"/>
        </w:rPr>
        <w:t xml:space="preserve"> de este Órgano Autónomo, en la </w:t>
      </w:r>
      <w:r w:rsidRPr="003E7EB6">
        <w:rPr>
          <w:rFonts w:ascii="Palatino Linotype" w:hAnsi="Palatino Linotype"/>
        </w:rPr>
        <w:t xml:space="preserve">Segunda Sesión Extraordinaria, de fecha veintitrés (23) de agosto de dos mil veintiuno, ordenó el </w:t>
      </w:r>
      <w:proofErr w:type="spellStart"/>
      <w:r w:rsidRPr="003E7EB6">
        <w:rPr>
          <w:rFonts w:ascii="Palatino Linotype" w:hAnsi="Palatino Linotype"/>
        </w:rPr>
        <w:t>returno</w:t>
      </w:r>
      <w:proofErr w:type="spellEnd"/>
      <w:r w:rsidRPr="003E7EB6">
        <w:rPr>
          <w:rFonts w:ascii="Palatino Linotype" w:hAnsi="Palatino Linotype"/>
        </w:rPr>
        <w:t xml:space="preserve"> del Recurso de Revisión a la </w:t>
      </w:r>
      <w:r w:rsidRPr="003E7EB6">
        <w:rPr>
          <w:rFonts w:ascii="Palatino Linotype" w:hAnsi="Palatino Linotype"/>
          <w:b/>
        </w:rPr>
        <w:t>Comisionada María del Rosario Mejía Ayala</w:t>
      </w:r>
      <w:r w:rsidRPr="003E7EB6">
        <w:rPr>
          <w:rFonts w:ascii="Palatino Linotype" w:hAnsi="Palatino Linotype"/>
        </w:rPr>
        <w:t xml:space="preserve">, a fin de que </w:t>
      </w:r>
      <w:r w:rsidRPr="003C26A0">
        <w:rPr>
          <w:rFonts w:ascii="Palatino Linotype" w:hAnsi="Palatino Linotype"/>
        </w:rPr>
        <w:t>presentara el proyecto de resolución correspondiente.</w:t>
      </w:r>
    </w:p>
    <w:p w14:paraId="42CBB311" w14:textId="77777777" w:rsidR="00F00198" w:rsidRPr="00F00198" w:rsidRDefault="00F00198" w:rsidP="00F00198">
      <w:pPr>
        <w:pStyle w:val="Prrafodelista"/>
        <w:rPr>
          <w:rFonts w:ascii="Palatino Linotype" w:hAnsi="Palatino Linotype"/>
        </w:rPr>
      </w:pPr>
    </w:p>
    <w:p w14:paraId="5B29B248" w14:textId="3BA55541" w:rsidR="001769CF" w:rsidRPr="008709C6"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Pr>
          <w:rFonts w:ascii="Palatino Linotype" w:hAnsi="Palatino Linotype"/>
        </w:rPr>
        <w:t>La</w:t>
      </w:r>
      <w:r w:rsidRPr="0034367F">
        <w:rPr>
          <w:rFonts w:ascii="Palatino Linotype" w:hAnsi="Palatino Linotype"/>
        </w:rPr>
        <w:t xml:space="preserve"> Comisionad</w:t>
      </w:r>
      <w:r>
        <w:rPr>
          <w:rFonts w:ascii="Palatino Linotype" w:hAnsi="Palatino Linotype"/>
        </w:rPr>
        <w:t>a</w:t>
      </w:r>
      <w:r w:rsidRPr="0034367F">
        <w:rPr>
          <w:rFonts w:ascii="Palatino Linotype" w:hAnsi="Palatino Linotype"/>
        </w:rPr>
        <w:t xml:space="preserve"> Ponente mediante acuerdo</w:t>
      </w:r>
      <w:r w:rsidR="00AB33EC">
        <w:rPr>
          <w:rFonts w:ascii="Palatino Linotype" w:hAnsi="Palatino Linotype"/>
        </w:rPr>
        <w:t xml:space="preserve"> de fecha veintisiete</w:t>
      </w:r>
      <w:r>
        <w:rPr>
          <w:rFonts w:ascii="Palatino Linotype" w:hAnsi="Palatino Linotype"/>
        </w:rPr>
        <w:t xml:space="preserve"> (</w:t>
      </w:r>
      <w:r w:rsidR="00AB33EC">
        <w:rPr>
          <w:rFonts w:ascii="Palatino Linotype" w:hAnsi="Palatino Linotype"/>
        </w:rPr>
        <w:t>27</w:t>
      </w:r>
      <w:r>
        <w:rPr>
          <w:rFonts w:ascii="Palatino Linotype" w:hAnsi="Palatino Linotype"/>
        </w:rPr>
        <w:t xml:space="preserve">) de </w:t>
      </w:r>
      <w:r w:rsidR="00AB33EC">
        <w:rPr>
          <w:rFonts w:ascii="Palatino Linotype" w:hAnsi="Palatino Linotype"/>
        </w:rPr>
        <w:t>agosto</w:t>
      </w:r>
      <w:r w:rsidRPr="0034367F">
        <w:rPr>
          <w:rFonts w:ascii="Palatino Linotype" w:hAnsi="Palatino Linotype"/>
        </w:rPr>
        <w:t xml:space="preserve"> </w:t>
      </w:r>
      <w:r>
        <w:rPr>
          <w:rFonts w:ascii="Palatino Linotype" w:hAnsi="Palatino Linotype"/>
        </w:rPr>
        <w:t>de dos mil veintiuno</w:t>
      </w:r>
      <w:r w:rsidR="00F00198">
        <w:rPr>
          <w:rFonts w:ascii="Palatino Linotype" w:hAnsi="Palatino Linotype"/>
        </w:rPr>
        <w:t xml:space="preserve">, </w:t>
      </w:r>
      <w:r w:rsidR="00AB33EC">
        <w:rPr>
          <w:rFonts w:ascii="Palatino Linotype" w:hAnsi="Palatino Linotype"/>
        </w:rPr>
        <w:t xml:space="preserve">decretó el cierre de instrucción, posteriormente </w:t>
      </w:r>
      <w:r w:rsidR="00F00198">
        <w:rPr>
          <w:rFonts w:ascii="Palatino Linotype" w:hAnsi="Palatino Linotype"/>
        </w:rPr>
        <w:t xml:space="preserve">amplió el </w:t>
      </w:r>
      <w:r w:rsidR="00F00198">
        <w:rPr>
          <w:rFonts w:ascii="Palatino Linotype" w:hAnsi="Palatino Linotype"/>
        </w:rPr>
        <w:lastRenderedPageBreak/>
        <w:t xml:space="preserve">termino para resolver </w:t>
      </w:r>
      <w:r w:rsidR="00AB33EC">
        <w:rPr>
          <w:rFonts w:ascii="Palatino Linotype" w:hAnsi="Palatino Linotype"/>
        </w:rPr>
        <w:t>mediante Acuerdo de fecha ocho (8) de noviembre del año en curso</w:t>
      </w:r>
      <w:r w:rsidR="007B4CF4" w:rsidRPr="008709C6">
        <w:rPr>
          <w:rFonts w:ascii="Palatino Linotype" w:hAnsi="Palatino Linotype" w:cs="Arial"/>
        </w:rPr>
        <w:t xml:space="preserve">, </w:t>
      </w:r>
      <w:r w:rsidR="009417CA" w:rsidRPr="008709C6">
        <w:rPr>
          <w:rFonts w:ascii="Palatino Linotype" w:hAnsi="Palatino Linotype" w:cs="Arial"/>
        </w:rPr>
        <w:t>por lo que no habiendo más que hacer constar, y --------------</w:t>
      </w:r>
      <w:bookmarkStart w:id="209" w:name="_Toc491791302"/>
      <w:bookmarkStart w:id="210" w:name="_Toc74778592"/>
      <w:r w:rsidR="008709C6">
        <w:rPr>
          <w:rFonts w:ascii="Palatino Linotype" w:hAnsi="Palatino Linotype" w:cs="Arial"/>
        </w:rPr>
        <w:t>---------------</w:t>
      </w:r>
      <w:r w:rsidR="00AB33EC">
        <w:rPr>
          <w:rFonts w:ascii="Palatino Linotype" w:hAnsi="Palatino Linotype" w:cs="Arial"/>
        </w:rPr>
        <w:t>--------</w:t>
      </w:r>
    </w:p>
    <w:p w14:paraId="4199DCB5" w14:textId="77777777" w:rsidR="00BE1923" w:rsidRPr="000B08A0" w:rsidRDefault="00BE1923" w:rsidP="00BE1923">
      <w:pPr>
        <w:pStyle w:val="Prrafodelista"/>
        <w:spacing w:line="360" w:lineRule="auto"/>
        <w:ind w:left="0"/>
        <w:jc w:val="both"/>
        <w:rPr>
          <w:rFonts w:ascii="Palatino Linotype" w:hAnsi="Palatino Linotype"/>
        </w:rPr>
      </w:pPr>
    </w:p>
    <w:p w14:paraId="425AF908" w14:textId="69A958DC" w:rsidR="009417CA" w:rsidRPr="007C7F08"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7C7F08">
        <w:rPr>
          <w:rFonts w:ascii="Palatino Linotype" w:hAnsi="Palatino Linotype"/>
          <w:b/>
          <w:color w:val="000000" w:themeColor="text1"/>
          <w:sz w:val="28"/>
        </w:rPr>
        <w:t>CONSIDERANDO</w:t>
      </w:r>
      <w:bookmarkEnd w:id="209"/>
      <w:bookmarkEnd w:id="210"/>
      <w:bookmarkEnd w:id="211"/>
    </w:p>
    <w:p w14:paraId="6B045C1B" w14:textId="77777777" w:rsidR="00BE1923"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D27215" w:rsidRDefault="009417CA" w:rsidP="00BE1923">
      <w:pPr>
        <w:pStyle w:val="Ttulo2"/>
        <w:spacing w:before="0" w:line="360" w:lineRule="auto"/>
        <w:rPr>
          <w:rFonts w:ascii="Palatino Linotype" w:hAnsi="Palatino Linotype"/>
          <w:b/>
          <w:color w:val="auto"/>
          <w:sz w:val="24"/>
          <w:szCs w:val="24"/>
        </w:rPr>
      </w:pPr>
      <w:bookmarkStart w:id="214" w:name="_Toc87274187"/>
      <w:r w:rsidRPr="00D27215">
        <w:rPr>
          <w:rFonts w:ascii="Palatino Linotype" w:hAnsi="Palatino Linotype"/>
          <w:b/>
          <w:color w:val="auto"/>
          <w:sz w:val="24"/>
          <w:szCs w:val="24"/>
        </w:rPr>
        <w:t>PRIMERO. De la competencia</w:t>
      </w:r>
      <w:bookmarkEnd w:id="212"/>
      <w:bookmarkEnd w:id="213"/>
      <w:bookmarkEnd w:id="214"/>
    </w:p>
    <w:p w14:paraId="482E8AC6" w14:textId="77777777" w:rsidR="009417CA" w:rsidRPr="00D27215" w:rsidRDefault="009417CA" w:rsidP="00BE1923">
      <w:pPr>
        <w:spacing w:line="360" w:lineRule="auto"/>
        <w:rPr>
          <w:rFonts w:ascii="Palatino Linotype" w:hAnsi="Palatino Linotype"/>
          <w:lang w:eastAsia="en-US"/>
        </w:rPr>
      </w:pPr>
    </w:p>
    <w:p w14:paraId="3C8EB508" w14:textId="1478EE7C" w:rsidR="009417CA" w:rsidRPr="00520792"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EA7E3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Pr>
          <w:rFonts w:ascii="Palatino Linotype" w:hAnsi="Palatino Linotype"/>
          <w:b/>
          <w:bCs/>
          <w:color w:val="000000" w:themeColor="text1"/>
        </w:rPr>
        <w:t>SEGUNDO.</w:t>
      </w:r>
      <w:bookmarkStart w:id="218" w:name="_Toc491791304"/>
      <w:bookmarkStart w:id="219" w:name="_Toc74778594"/>
      <w:bookmarkEnd w:id="215"/>
      <w:bookmarkEnd w:id="216"/>
      <w:r w:rsidR="009417CA" w:rsidRPr="00EA7E3D">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D27215" w:rsidRDefault="009417CA" w:rsidP="00BE1923">
      <w:pPr>
        <w:spacing w:line="360" w:lineRule="auto"/>
        <w:rPr>
          <w:rFonts w:ascii="Palatino Linotype" w:hAnsi="Palatino Linotype"/>
          <w:lang w:eastAsia="en-US"/>
        </w:rPr>
      </w:pPr>
    </w:p>
    <w:p w14:paraId="30820BC9" w14:textId="0FDB4B15" w:rsidR="00F17E65" w:rsidRPr="00C93C30"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F26AA5">
        <w:rPr>
          <w:rFonts w:ascii="Palatino Linotype" w:eastAsia="Calibri" w:hAnsi="Palatino Linotype" w:cs="Arial"/>
        </w:rPr>
        <w:lastRenderedPageBreak/>
        <w:t xml:space="preserve">El medio de impugnación fue presentado a través del </w:t>
      </w:r>
      <w:r w:rsidR="007A69F1">
        <w:rPr>
          <w:rFonts w:ascii="Palatino Linotype" w:eastAsia="Calibri" w:hAnsi="Palatino Linotype" w:cs="Arial"/>
          <w:b/>
        </w:rPr>
        <w:t>SAIMEX</w:t>
      </w:r>
      <w:r w:rsidRPr="00F26AA5">
        <w:rPr>
          <w:rFonts w:ascii="Palatino Linotype" w:eastAsia="Calibri" w:hAnsi="Palatino Linotype" w:cs="Arial"/>
          <w:b/>
        </w:rPr>
        <w:t>,</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00BF45DC">
        <w:rPr>
          <w:rFonts w:ascii="Palatino Linotype" w:eastAsia="Calibri" w:hAnsi="Palatino Linotype" w:cs="Arial"/>
        </w:rPr>
        <w:t xml:space="preserve"> entregó</w:t>
      </w:r>
      <w:r w:rsidRPr="00F26AA5">
        <w:rPr>
          <w:rFonts w:ascii="Palatino Linotype" w:eastAsia="Calibri" w:hAnsi="Palatino Linotype" w:cs="Arial"/>
        </w:rPr>
        <w:t xml:space="preserve"> su respuesta el día </w:t>
      </w:r>
      <w:r w:rsidR="004104BF">
        <w:rPr>
          <w:rFonts w:ascii="Palatino Linotype" w:eastAsia="Calibri" w:hAnsi="Palatino Linotype" w:cs="Arial"/>
        </w:rPr>
        <w:t>once</w:t>
      </w:r>
      <w:r>
        <w:rPr>
          <w:rFonts w:ascii="Palatino Linotype" w:eastAsia="Calibri" w:hAnsi="Palatino Linotype" w:cs="Arial"/>
        </w:rPr>
        <w:t xml:space="preserve"> </w:t>
      </w:r>
      <w:r w:rsidRPr="00F26AA5">
        <w:rPr>
          <w:rFonts w:ascii="Palatino Linotype" w:eastAsia="Calibri" w:hAnsi="Palatino Linotype" w:cs="Arial"/>
        </w:rPr>
        <w:t>(</w:t>
      </w:r>
      <w:r w:rsidR="004104BF">
        <w:rPr>
          <w:rFonts w:ascii="Palatino Linotype" w:eastAsia="Calibri" w:hAnsi="Palatino Linotype" w:cs="Arial"/>
        </w:rPr>
        <w:t>11</w:t>
      </w:r>
      <w:r w:rsidRPr="00F26AA5">
        <w:rPr>
          <w:rFonts w:ascii="Palatino Linotype" w:eastAsia="Calibri" w:hAnsi="Palatino Linotype" w:cs="Arial"/>
        </w:rPr>
        <w:t xml:space="preserve">) de </w:t>
      </w:r>
      <w:r w:rsidR="008709C6">
        <w:rPr>
          <w:rFonts w:ascii="Palatino Linotype" w:eastAsia="Calibri" w:hAnsi="Palatino Linotype" w:cs="Arial"/>
        </w:rPr>
        <w:t>agosto</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4104BF">
        <w:rPr>
          <w:rFonts w:ascii="Palatino Linotype" w:hAnsi="Palatino Linotype" w:cs="Arial"/>
        </w:rPr>
        <w:t>doce</w:t>
      </w:r>
      <w:r w:rsidRPr="00F26AA5">
        <w:rPr>
          <w:rFonts w:ascii="Palatino Linotype" w:hAnsi="Palatino Linotype" w:cs="Arial"/>
        </w:rPr>
        <w:t xml:space="preserve"> (</w:t>
      </w:r>
      <w:r w:rsidR="004104BF">
        <w:rPr>
          <w:rFonts w:ascii="Palatino Linotype" w:hAnsi="Palatino Linotype" w:cs="Arial"/>
        </w:rPr>
        <w:t>12</w:t>
      </w:r>
      <w:r w:rsidRPr="00F26AA5">
        <w:rPr>
          <w:rFonts w:ascii="Palatino Linotype" w:hAnsi="Palatino Linotype" w:cs="Arial"/>
        </w:rPr>
        <w:t xml:space="preserve">) </w:t>
      </w:r>
      <w:r w:rsidR="004104BF">
        <w:rPr>
          <w:rFonts w:ascii="Palatino Linotype" w:hAnsi="Palatino Linotype" w:cs="Arial"/>
        </w:rPr>
        <w:t xml:space="preserve">de agosto </w:t>
      </w:r>
      <w:r w:rsidRPr="00F26AA5">
        <w:rPr>
          <w:rFonts w:ascii="Palatino Linotype" w:hAnsi="Palatino Linotype" w:cs="Arial"/>
        </w:rPr>
        <w:t xml:space="preserve">al </w:t>
      </w:r>
      <w:r w:rsidR="004104BF">
        <w:rPr>
          <w:rFonts w:ascii="Palatino Linotype" w:hAnsi="Palatino Linotype" w:cs="Arial"/>
        </w:rPr>
        <w:t>uno</w:t>
      </w:r>
      <w:r w:rsidRPr="00F26AA5">
        <w:rPr>
          <w:rFonts w:ascii="Palatino Linotype" w:hAnsi="Palatino Linotype" w:cs="Arial"/>
        </w:rPr>
        <w:t xml:space="preserve"> (</w:t>
      </w:r>
      <w:r w:rsidR="004104BF">
        <w:rPr>
          <w:rFonts w:ascii="Palatino Linotype" w:hAnsi="Palatino Linotype" w:cs="Arial"/>
        </w:rPr>
        <w:t>01</w:t>
      </w:r>
      <w:r w:rsidRPr="00F26AA5">
        <w:rPr>
          <w:rFonts w:ascii="Palatino Linotype" w:hAnsi="Palatino Linotype" w:cs="Arial"/>
        </w:rPr>
        <w:t xml:space="preserve">) de </w:t>
      </w:r>
      <w:r w:rsidR="004104BF">
        <w:rPr>
          <w:rFonts w:ascii="Palatino Linotype" w:hAnsi="Palatino Linotype" w:cs="Arial"/>
        </w:rPr>
        <w:t>septiembre</w:t>
      </w:r>
      <w:r w:rsidRPr="00F26AA5">
        <w:rPr>
          <w:rFonts w:ascii="Palatino Linotype" w:hAnsi="Palatino Linotype" w:cs="Arial"/>
        </w:rPr>
        <w:t xml:space="preserve"> de dos mil veintiuno; en consecuencia, el ahora recurrente presentó su inconformidad el día </w:t>
      </w:r>
      <w:r w:rsidR="004104BF">
        <w:rPr>
          <w:rFonts w:ascii="Palatino Linotype" w:hAnsi="Palatino Linotype" w:cs="Arial"/>
        </w:rPr>
        <w:t>once</w:t>
      </w:r>
      <w:r w:rsidR="00002D71">
        <w:rPr>
          <w:rFonts w:ascii="Palatino Linotype" w:hAnsi="Palatino Linotype" w:cs="Arial"/>
        </w:rPr>
        <w:t xml:space="preserve"> </w:t>
      </w:r>
      <w:r w:rsidRPr="00F26AA5">
        <w:rPr>
          <w:rFonts w:ascii="Palatino Linotype" w:hAnsi="Palatino Linotype" w:cs="Arial"/>
        </w:rPr>
        <w:t>(</w:t>
      </w:r>
      <w:r w:rsidR="004104BF">
        <w:rPr>
          <w:rFonts w:ascii="Palatino Linotype" w:hAnsi="Palatino Linotype" w:cs="Arial"/>
        </w:rPr>
        <w:t>11</w:t>
      </w:r>
      <w:r w:rsidRPr="00F26AA5">
        <w:rPr>
          <w:rFonts w:ascii="Palatino Linotype" w:hAnsi="Palatino Linotype" w:cs="Arial"/>
        </w:rPr>
        <w:t>) de</w:t>
      </w:r>
      <w:r w:rsidR="00DB5531">
        <w:rPr>
          <w:rFonts w:ascii="Palatino Linotype" w:hAnsi="Palatino Linotype" w:cs="Arial"/>
        </w:rPr>
        <w:t xml:space="preserve"> </w:t>
      </w:r>
      <w:r w:rsidR="008709C6">
        <w:rPr>
          <w:rFonts w:ascii="Palatino Linotype" w:hAnsi="Palatino Linotype" w:cs="Arial"/>
        </w:rPr>
        <w:t>agosto</w:t>
      </w:r>
      <w:r w:rsidRPr="00F26AA5">
        <w:rPr>
          <w:rFonts w:ascii="Palatino Linotype" w:hAnsi="Palatino Linotype" w:cs="Arial"/>
        </w:rPr>
        <w:t xml:space="preserve"> de dos mil veintiuno; es decir </w:t>
      </w:r>
      <w:r w:rsidR="004104BF">
        <w:rPr>
          <w:rFonts w:ascii="Palatino Linotype" w:hAnsi="Palatino Linotype" w:cs="Arial"/>
        </w:rPr>
        <w:t>antes</w:t>
      </w:r>
      <w:r w:rsidR="0034421A">
        <w:rPr>
          <w:rFonts w:ascii="Palatino Linotype" w:hAnsi="Palatino Linotype" w:cs="Arial"/>
        </w:rPr>
        <w:t xml:space="preserve"> del lapso temporal legalmente establecido para tal efecto</w:t>
      </w:r>
      <w:r w:rsidR="00F17E65" w:rsidRPr="00B167A0">
        <w:rPr>
          <w:rFonts w:ascii="Palatino Linotype" w:hAnsi="Palatino Linotype"/>
          <w:lang w:val="es-MX"/>
        </w:rPr>
        <w:t>.</w:t>
      </w:r>
    </w:p>
    <w:p w14:paraId="141FB370" w14:textId="77777777" w:rsidR="00D55A35" w:rsidRDefault="00D55A35" w:rsidP="00C93C30">
      <w:pPr>
        <w:pStyle w:val="Prrafodelista"/>
        <w:spacing w:line="360" w:lineRule="auto"/>
        <w:ind w:left="0"/>
        <w:jc w:val="both"/>
        <w:rPr>
          <w:rFonts w:ascii="Palatino Linotype" w:hAnsi="Palatino Linotype" w:cs="Arial"/>
          <w:i/>
          <w:sz w:val="22"/>
          <w:szCs w:val="20"/>
        </w:rPr>
      </w:pPr>
    </w:p>
    <w:p w14:paraId="035A862C" w14:textId="77777777" w:rsidR="00D55A35" w:rsidRPr="007C69AC" w:rsidRDefault="00D55A35" w:rsidP="00D55A35">
      <w:pPr>
        <w:pStyle w:val="Prrafodelista"/>
        <w:numPr>
          <w:ilvl w:val="0"/>
          <w:numId w:val="7"/>
        </w:numPr>
        <w:spacing w:line="360" w:lineRule="auto"/>
        <w:ind w:left="0" w:firstLine="0"/>
        <w:jc w:val="both"/>
        <w:rPr>
          <w:rFonts w:ascii="Palatino Linotype" w:hAnsi="Palatino Linotype" w:cs="Arial"/>
          <w:bCs/>
          <w:color w:val="555555"/>
          <w:lang w:eastAsia="es-MX"/>
        </w:rPr>
      </w:pPr>
      <w:r w:rsidRPr="007C69AC">
        <w:rPr>
          <w:rFonts w:ascii="Palatino Linotype" w:hAnsi="Palatino Linotype" w:cs="Arial"/>
        </w:rPr>
        <w:t xml:space="preserve">Al respecto </w:t>
      </w:r>
      <w:r w:rsidRPr="007C69AC">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42D9F2F1" w14:textId="77777777" w:rsidR="00D55A35" w:rsidRPr="007C69AC" w:rsidRDefault="00D55A35" w:rsidP="00D55A35">
      <w:pPr>
        <w:pStyle w:val="Prrafodelista"/>
        <w:ind w:left="360" w:hanging="360"/>
        <w:rPr>
          <w:rFonts w:ascii="Palatino Linotype" w:hAnsi="Palatino Linotype" w:cs="Arial"/>
        </w:rPr>
      </w:pPr>
    </w:p>
    <w:p w14:paraId="3E49E0CA" w14:textId="77777777" w:rsidR="00D55A35" w:rsidRPr="002F37BD" w:rsidRDefault="00D55A35" w:rsidP="00D55A35">
      <w:pPr>
        <w:pStyle w:val="Prrafodelista"/>
        <w:numPr>
          <w:ilvl w:val="0"/>
          <w:numId w:val="7"/>
        </w:numPr>
        <w:spacing w:line="360" w:lineRule="auto"/>
        <w:ind w:left="0" w:firstLine="0"/>
        <w:jc w:val="both"/>
        <w:rPr>
          <w:rFonts w:ascii="Palatino Linotype" w:hAnsi="Palatino Linotype" w:cs="Arial"/>
          <w:bCs/>
          <w:color w:val="555555"/>
          <w:lang w:eastAsia="es-MX"/>
        </w:rPr>
      </w:pPr>
      <w:r w:rsidRPr="007C69AC">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3418C09" w14:textId="77777777" w:rsidR="00D55A35" w:rsidRDefault="00D55A35" w:rsidP="00D55A35">
      <w:pPr>
        <w:pStyle w:val="Prrafodelista"/>
        <w:ind w:left="360" w:hanging="360"/>
        <w:rPr>
          <w:rFonts w:ascii="Palatino Linotype" w:hAnsi="Palatino Linotype" w:cs="Arial"/>
          <w:bCs/>
          <w:color w:val="555555"/>
          <w:lang w:eastAsia="es-MX"/>
        </w:rPr>
      </w:pPr>
    </w:p>
    <w:p w14:paraId="74A60943"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b/>
          <w:i/>
        </w:rPr>
        <w:lastRenderedPageBreak/>
        <w:t>RECURSO DE RECLAMACIÓN. SU INTERPOSICIÓN NO ES EXTEMPORÁNEA SI SE REALIZA ANTES DE QUE INICIE EL PLAZO PARA HACERLO</w:t>
      </w:r>
      <w:r w:rsidRPr="007C69AC">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0BE40EF"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 1a./J. 41/2015 (10a.) </w:t>
      </w:r>
    </w:p>
    <w:p w14:paraId="3DCDD263"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1C0CF755"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p>
    <w:p w14:paraId="387949C7"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20101F3A"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p>
    <w:p w14:paraId="258AB5EF"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895/2014. 18 de febrero de 2015. Cinco votos de los Ministros Arturo Zaldívar Lelo de Larrea, José Ramón Cossío Díaz, Jorge Mario </w:t>
      </w:r>
      <w:r w:rsidRPr="007C69AC">
        <w:rPr>
          <w:rFonts w:ascii="Palatino Linotype" w:hAnsi="Palatino Linotype" w:cs="Arial"/>
          <w:i/>
        </w:rPr>
        <w:lastRenderedPageBreak/>
        <w:t xml:space="preserve">Pardo Rebolledo, Olga Sánchez Cordero de García Villegas y Alfredo Gutiérrez Ortiz Mena. Ponente: José Ramón Cossío Díaz. Secretario: Rodrigo Montes de Oca </w:t>
      </w:r>
      <w:proofErr w:type="spellStart"/>
      <w:r w:rsidRPr="007C69AC">
        <w:rPr>
          <w:rFonts w:ascii="Palatino Linotype" w:hAnsi="Palatino Linotype" w:cs="Arial"/>
          <w:i/>
        </w:rPr>
        <w:t>Arboleya</w:t>
      </w:r>
      <w:proofErr w:type="spellEnd"/>
      <w:r w:rsidRPr="007C69AC">
        <w:rPr>
          <w:rFonts w:ascii="Palatino Linotype" w:hAnsi="Palatino Linotype" w:cs="Arial"/>
          <w:i/>
        </w:rPr>
        <w:t xml:space="preserve">. </w:t>
      </w:r>
    </w:p>
    <w:p w14:paraId="55725EB3"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p>
    <w:p w14:paraId="1FA7E0CE"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7C69AC">
        <w:rPr>
          <w:rFonts w:ascii="Palatino Linotype" w:hAnsi="Palatino Linotype" w:cs="Arial"/>
          <w:i/>
        </w:rPr>
        <w:t>Goslinga</w:t>
      </w:r>
      <w:proofErr w:type="spellEnd"/>
      <w:r w:rsidRPr="007C69AC">
        <w:rPr>
          <w:rFonts w:ascii="Palatino Linotype" w:hAnsi="Palatino Linotype" w:cs="Arial"/>
          <w:i/>
        </w:rPr>
        <w:t xml:space="preserve"> </w:t>
      </w:r>
      <w:proofErr w:type="spellStart"/>
      <w:r w:rsidRPr="007C69AC">
        <w:rPr>
          <w:rFonts w:ascii="Palatino Linotype" w:hAnsi="Palatino Linotype" w:cs="Arial"/>
          <w:i/>
        </w:rPr>
        <w:t>Remírez</w:t>
      </w:r>
      <w:proofErr w:type="spellEnd"/>
      <w:r w:rsidRPr="007C69AC">
        <w:rPr>
          <w:rFonts w:ascii="Palatino Linotype" w:hAnsi="Palatino Linotype" w:cs="Arial"/>
          <w:i/>
        </w:rPr>
        <w:t xml:space="preserve">. </w:t>
      </w:r>
    </w:p>
    <w:p w14:paraId="06680845"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p>
    <w:p w14:paraId="6011F2D7"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2B9E0FA7" w14:textId="77777777" w:rsidR="00D55A35" w:rsidRPr="007C69AC" w:rsidRDefault="00D55A35" w:rsidP="00D55A35">
      <w:pPr>
        <w:spacing w:before="240" w:after="240" w:line="360" w:lineRule="auto"/>
        <w:ind w:left="426" w:right="616"/>
        <w:contextualSpacing/>
        <w:jc w:val="both"/>
        <w:rPr>
          <w:rFonts w:ascii="Palatino Linotype" w:hAnsi="Palatino Linotype" w:cs="Arial"/>
          <w:i/>
        </w:rPr>
      </w:pPr>
      <w:r w:rsidRPr="007C69AC">
        <w:rPr>
          <w:rFonts w:ascii="Palatino Linotype" w:hAnsi="Palatino Linotype" w:cs="Arial"/>
          <w:i/>
        </w:rPr>
        <w:t>Tesis de jurisprudencia 41/2015 (10a.). Aprobada por la Primera Sala de este Alto Tribunal, en sesión privada de veintisiete de mayo de dos mil quince.</w:t>
      </w:r>
    </w:p>
    <w:p w14:paraId="69CB4292" w14:textId="77777777" w:rsidR="00D55A35" w:rsidRPr="007C69AC" w:rsidRDefault="00D55A35" w:rsidP="00D55A35">
      <w:pPr>
        <w:pStyle w:val="Prrafodelista"/>
        <w:numPr>
          <w:ilvl w:val="0"/>
          <w:numId w:val="7"/>
        </w:numPr>
        <w:spacing w:line="360" w:lineRule="auto"/>
        <w:ind w:left="0" w:firstLine="0"/>
        <w:jc w:val="both"/>
        <w:rPr>
          <w:rFonts w:ascii="Palatino Linotype" w:eastAsiaTheme="minorEastAsia" w:hAnsi="Palatino Linotype" w:cs="Arial"/>
          <w:i/>
        </w:rPr>
      </w:pPr>
      <w:r w:rsidRPr="007C69AC">
        <w:rPr>
          <w:rFonts w:ascii="Palatino Linotype" w:hAnsi="Palatino Linotype" w:cs="Arial"/>
        </w:rPr>
        <w:t>Esto</w:t>
      </w:r>
      <w:r w:rsidRPr="007C69AC">
        <w:rPr>
          <w:rFonts w:ascii="Palatino Linotype" w:hAnsi="Palatino Linotype"/>
        </w:rPr>
        <w:t xml:space="preserve"> es así porque en primer lugar es necesario que el recurrente conozca el acto que le provoca agravio y a partir de ahí formular su recurso de revisión </w:t>
      </w:r>
      <w:r w:rsidRPr="00D55A35">
        <w:rPr>
          <w:rFonts w:ascii="Palatino Linotype" w:hAnsi="Palatino Linotype" w:cs="Arial"/>
        </w:rPr>
        <w:t>señalando</w:t>
      </w:r>
      <w:r w:rsidRPr="007C69AC">
        <w:rPr>
          <w:rFonts w:ascii="Palatino Linotype" w:hAnsi="Palatino Linotype"/>
        </w:rPr>
        <w:t xml:space="preserve"> tanto el acto impugnado como el motivo de inconformidad. Y si bien la ley señala que el plazo corre un día después de haber sido notificada la respuesta, en nada se afecta al proceso que el mismo día de notificada el recurrente actúe, ya </w:t>
      </w:r>
      <w:r w:rsidRPr="007C69AC">
        <w:rPr>
          <w:rFonts w:ascii="Palatino Linotype" w:hAnsi="Palatino Linotype"/>
        </w:rPr>
        <w:lastRenderedPageBreak/>
        <w:t>que al contrario lo que demuestra es el interés del mismo para ejercer su derecho bajo el principio constitucional de justicia expedita.</w:t>
      </w:r>
    </w:p>
    <w:p w14:paraId="35C5D121" w14:textId="77777777" w:rsidR="00D55A35" w:rsidRPr="00BE5A7F" w:rsidRDefault="00D55A35" w:rsidP="00D55A35">
      <w:pPr>
        <w:pStyle w:val="Prrafodelista"/>
        <w:tabs>
          <w:tab w:val="left" w:pos="0"/>
        </w:tabs>
        <w:spacing w:line="360" w:lineRule="auto"/>
        <w:ind w:left="360" w:right="49" w:hanging="360"/>
        <w:jc w:val="both"/>
        <w:rPr>
          <w:rFonts w:ascii="Palatino Linotype" w:eastAsiaTheme="minorEastAsia" w:hAnsi="Palatino Linotype" w:cs="Arial"/>
          <w:i/>
        </w:rPr>
      </w:pPr>
    </w:p>
    <w:p w14:paraId="00F49CA9" w14:textId="77777777" w:rsidR="00D55A35" w:rsidRPr="007C69AC" w:rsidRDefault="00D55A35" w:rsidP="00D55A35">
      <w:pPr>
        <w:pStyle w:val="Prrafodelista"/>
        <w:numPr>
          <w:ilvl w:val="0"/>
          <w:numId w:val="7"/>
        </w:numPr>
        <w:spacing w:line="360" w:lineRule="auto"/>
        <w:ind w:left="0" w:firstLine="0"/>
        <w:jc w:val="both"/>
        <w:rPr>
          <w:rFonts w:ascii="Palatino Linotype" w:eastAsiaTheme="minorEastAsia" w:hAnsi="Palatino Linotype" w:cs="Arial"/>
          <w:i/>
        </w:rPr>
      </w:pPr>
      <w:r w:rsidRPr="007C69AC">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32A9F50" w14:textId="77777777" w:rsidR="00D55A35" w:rsidRPr="007C69AC" w:rsidRDefault="00D55A35" w:rsidP="00D55A35">
      <w:pPr>
        <w:pStyle w:val="Prrafodelista"/>
        <w:ind w:left="360" w:hanging="360"/>
        <w:rPr>
          <w:rFonts w:ascii="Palatino Linotype" w:hAnsi="Palatino Linotype"/>
        </w:rPr>
      </w:pPr>
    </w:p>
    <w:p w14:paraId="552EA870" w14:textId="77777777" w:rsidR="00D55A35" w:rsidRPr="00097652" w:rsidRDefault="00D55A35" w:rsidP="00D55A35">
      <w:pPr>
        <w:pStyle w:val="Prrafodelista"/>
        <w:numPr>
          <w:ilvl w:val="0"/>
          <w:numId w:val="7"/>
        </w:numPr>
        <w:spacing w:line="360" w:lineRule="auto"/>
        <w:ind w:left="0" w:firstLine="0"/>
        <w:jc w:val="both"/>
        <w:rPr>
          <w:rFonts w:ascii="Palatino Linotype" w:eastAsiaTheme="minorEastAsia" w:hAnsi="Palatino Linotype" w:cs="Arial"/>
          <w:i/>
        </w:rPr>
      </w:pPr>
      <w:r w:rsidRPr="007C69AC">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7C69AC">
        <w:rPr>
          <w:rFonts w:ascii="Palatino Linotype" w:hAnsi="Palatino Linotype"/>
          <w:b/>
        </w:rPr>
        <w:t>SUJETO OBLIGADO.</w:t>
      </w:r>
    </w:p>
    <w:p w14:paraId="7A00B6F6" w14:textId="77777777" w:rsidR="00D55A35" w:rsidRDefault="00D55A35" w:rsidP="00D55A35">
      <w:pPr>
        <w:pStyle w:val="Prrafodelista"/>
        <w:rPr>
          <w:rFonts w:ascii="Palatino Linotype" w:hAnsi="Palatino Linotype" w:cs="Arial"/>
        </w:rPr>
      </w:pPr>
    </w:p>
    <w:p w14:paraId="78271CC9" w14:textId="505E3592" w:rsidR="00D55A35" w:rsidRDefault="00D55A35" w:rsidP="00D55A35">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Asimismo,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F884934" w14:textId="77777777" w:rsidR="00D55A35" w:rsidRDefault="00D55A35" w:rsidP="00D55A35">
      <w:pPr>
        <w:pStyle w:val="Prrafodelista"/>
        <w:spacing w:line="360" w:lineRule="auto"/>
        <w:ind w:left="0"/>
        <w:jc w:val="both"/>
        <w:rPr>
          <w:rFonts w:ascii="Palatino Linotype" w:hAnsi="Palatino Linotype"/>
        </w:rPr>
      </w:pPr>
    </w:p>
    <w:p w14:paraId="7A6CFEDE" w14:textId="77777777" w:rsidR="00D55A35" w:rsidRDefault="00D55A35" w:rsidP="00D55A3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Esto es así, ya que de conformidad con los artículos 6, Apartado A, fracciones III y IV de la Constitución Política de los Estados Unidos Mexicanos y 5 párrafos </w:t>
      </w:r>
      <w:r w:rsidRPr="009B7FA3">
        <w:rPr>
          <w:rFonts w:ascii="Palatino Linotype" w:hAnsi="Palatino Linotype"/>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27A8694" w14:textId="77777777" w:rsidR="00D55A35" w:rsidRPr="00BE1923" w:rsidRDefault="00D55A35" w:rsidP="00D55A35">
      <w:pPr>
        <w:pStyle w:val="Prrafodelista"/>
        <w:rPr>
          <w:rFonts w:ascii="Palatino Linotype" w:hAnsi="Palatino Linotype"/>
        </w:rPr>
      </w:pPr>
    </w:p>
    <w:p w14:paraId="7189C663" w14:textId="77777777" w:rsidR="00D55A35" w:rsidRDefault="00D55A35" w:rsidP="00D55A3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8CB003" w14:textId="77777777" w:rsidR="00D55A35" w:rsidRPr="00BE1923" w:rsidRDefault="00D55A35" w:rsidP="00D55A35">
      <w:pPr>
        <w:pStyle w:val="Prrafodelista"/>
        <w:rPr>
          <w:rFonts w:ascii="Palatino Linotype" w:hAnsi="Palatino Linotype"/>
        </w:rPr>
      </w:pPr>
    </w:p>
    <w:p w14:paraId="29493A3C" w14:textId="77777777" w:rsidR="00D55A35" w:rsidRDefault="00D55A35" w:rsidP="00D55A3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4BCCC9" w14:textId="77777777" w:rsidR="00D55A35" w:rsidRPr="00BE1923" w:rsidRDefault="00D55A35" w:rsidP="00D55A35">
      <w:pPr>
        <w:pStyle w:val="Prrafodelista"/>
        <w:rPr>
          <w:rFonts w:ascii="Palatino Linotype" w:hAnsi="Palatino Linotype"/>
        </w:rPr>
      </w:pPr>
    </w:p>
    <w:p w14:paraId="6BFC35AD" w14:textId="77777777" w:rsidR="00D55A35" w:rsidRDefault="00D55A35" w:rsidP="00D55A35">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que el nombre del solicitando y recurrente no puede ser considerado un requisito indispensable de procedibilidad del recurso de revisión que nos ocupa, ya que el acceso a la información no está condicionado a acreditar algún interés ya </w:t>
      </w:r>
      <w:r w:rsidRPr="009B7FA3">
        <w:rPr>
          <w:rFonts w:ascii="Palatino Linotype" w:hAnsi="Palatino Linotype"/>
        </w:rPr>
        <w:lastRenderedPageBreak/>
        <w:t>sea jurídico o legítimo, máxime que es un elemento subsanable por este Órgano Resolutor.</w:t>
      </w:r>
    </w:p>
    <w:p w14:paraId="6531F24E" w14:textId="77777777" w:rsidR="00D55A35" w:rsidRPr="00D55A35" w:rsidRDefault="00D55A35" w:rsidP="00D55A35">
      <w:pPr>
        <w:pStyle w:val="Prrafodelista"/>
        <w:rPr>
          <w:rFonts w:ascii="Palatino Linotype" w:hAnsi="Palatino Linotype"/>
          <w:lang w:val="es-MX"/>
        </w:rPr>
      </w:pPr>
    </w:p>
    <w:p w14:paraId="269A32B1" w14:textId="77777777" w:rsidR="00F17E65" w:rsidRPr="00484252" w:rsidRDefault="00F17E65" w:rsidP="00BE1923">
      <w:pPr>
        <w:pStyle w:val="Prrafodelista"/>
        <w:numPr>
          <w:ilvl w:val="0"/>
          <w:numId w:val="7"/>
        </w:numPr>
        <w:spacing w:line="360" w:lineRule="auto"/>
        <w:ind w:left="0" w:firstLine="0"/>
        <w:jc w:val="both"/>
        <w:rPr>
          <w:rFonts w:ascii="Palatino Linotype" w:hAnsi="Palatino Linotype"/>
        </w:rPr>
      </w:pPr>
      <w:r w:rsidRPr="00F17E65">
        <w:rPr>
          <w:rFonts w:ascii="Palatino Linotype" w:hAnsi="Palatino Linotype"/>
          <w:lang w:val="es-MX"/>
        </w:rPr>
        <w:t>Por</w:t>
      </w:r>
      <w:r w:rsidRPr="00863ACE">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73721A" w14:textId="77777777" w:rsidR="00484252" w:rsidRPr="00484252" w:rsidRDefault="00484252" w:rsidP="00484252">
      <w:pPr>
        <w:pStyle w:val="Prrafodelista"/>
        <w:rPr>
          <w:rFonts w:ascii="Palatino Linotype" w:hAnsi="Palatino Linotype"/>
        </w:rPr>
      </w:pPr>
    </w:p>
    <w:p w14:paraId="6E205F1F" w14:textId="3FB7F74E" w:rsidR="009417CA" w:rsidRPr="00EA7E3D" w:rsidRDefault="00C76CBA" w:rsidP="00BE1923">
      <w:pPr>
        <w:pStyle w:val="Ttulo1"/>
        <w:spacing w:before="0" w:line="360" w:lineRule="auto"/>
        <w:rPr>
          <w:rFonts w:ascii="Palatino Linotype" w:hAnsi="Palatino Linotype"/>
          <w:b/>
          <w:color w:val="000000" w:themeColor="text1"/>
          <w:sz w:val="24"/>
        </w:rPr>
      </w:pPr>
      <w:bookmarkStart w:id="222" w:name="_Toc87274189"/>
      <w:r w:rsidRPr="003B3476">
        <w:rPr>
          <w:rFonts w:ascii="Palatino Linotype" w:hAnsi="Palatino Linotype" w:cs="Arial"/>
          <w:b/>
          <w:color w:val="000000" w:themeColor="text1"/>
          <w:sz w:val="24"/>
        </w:rPr>
        <w:t>TERCER</w:t>
      </w:r>
      <w:r w:rsidR="009417CA" w:rsidRPr="003B3476">
        <w:rPr>
          <w:rFonts w:ascii="Palatino Linotype" w:hAnsi="Palatino Linotype" w:cs="Arial"/>
          <w:b/>
          <w:color w:val="000000" w:themeColor="text1"/>
          <w:sz w:val="24"/>
        </w:rPr>
        <w:t xml:space="preserve">O. </w:t>
      </w:r>
      <w:bookmarkStart w:id="223" w:name="_Toc34246179"/>
      <w:bookmarkStart w:id="224" w:name="_Toc74778598"/>
      <w:bookmarkStart w:id="225" w:name="_Toc501021589"/>
      <w:bookmarkEnd w:id="220"/>
      <w:r w:rsidR="009417CA" w:rsidRPr="003B3476">
        <w:rPr>
          <w:rFonts w:ascii="Palatino Linotype" w:hAnsi="Palatino Linotype"/>
          <w:b/>
          <w:color w:val="000000" w:themeColor="text1"/>
          <w:sz w:val="24"/>
        </w:rPr>
        <w:t xml:space="preserve">Del planteamiento de la </w:t>
      </w:r>
      <w:r w:rsidR="009417CA" w:rsidRPr="003B3476">
        <w:rPr>
          <w:rFonts w:ascii="Palatino Linotype" w:hAnsi="Palatino Linotype"/>
          <w:b/>
          <w:i/>
          <w:color w:val="000000" w:themeColor="text1"/>
          <w:sz w:val="24"/>
        </w:rPr>
        <w:t>Litis</w:t>
      </w:r>
      <w:r w:rsidR="009417CA" w:rsidRPr="003B3476">
        <w:rPr>
          <w:rFonts w:ascii="Palatino Linotype" w:hAnsi="Palatino Linotype"/>
          <w:b/>
          <w:color w:val="000000" w:themeColor="text1"/>
          <w:sz w:val="24"/>
        </w:rPr>
        <w:t>.</w:t>
      </w:r>
      <w:bookmarkEnd w:id="221"/>
      <w:bookmarkEnd w:id="222"/>
      <w:bookmarkEnd w:id="223"/>
      <w:bookmarkEnd w:id="224"/>
      <w:bookmarkEnd w:id="225"/>
    </w:p>
    <w:p w14:paraId="6AEE1235" w14:textId="77777777" w:rsidR="009417CA" w:rsidRPr="0091500E" w:rsidRDefault="009417CA" w:rsidP="00BE1923">
      <w:pPr>
        <w:spacing w:line="360" w:lineRule="auto"/>
        <w:rPr>
          <w:lang w:eastAsia="en-US"/>
        </w:rPr>
      </w:pPr>
    </w:p>
    <w:p w14:paraId="4A3D7576" w14:textId="42E5C5A5" w:rsidR="009417CA" w:rsidRPr="00C42E34"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7B2D9506" w14:textId="77777777" w:rsidR="00C42E34" w:rsidRPr="0034421A" w:rsidRDefault="00C42E34" w:rsidP="00C42E34">
      <w:pPr>
        <w:pStyle w:val="Prrafodelista"/>
        <w:spacing w:line="360" w:lineRule="auto"/>
        <w:ind w:left="0"/>
        <w:jc w:val="both"/>
        <w:rPr>
          <w:rFonts w:ascii="Palatino Linotype" w:hAnsi="Palatino Linotype"/>
          <w:lang w:val="es-MX" w:eastAsia="en-US"/>
        </w:rPr>
      </w:pPr>
    </w:p>
    <w:p w14:paraId="772298AE" w14:textId="226FC148" w:rsidR="00C24A95" w:rsidRDefault="00D55A35" w:rsidP="00D55A35">
      <w:pPr>
        <w:pStyle w:val="Prrafodelista"/>
        <w:numPr>
          <w:ilvl w:val="0"/>
          <w:numId w:val="29"/>
        </w:numPr>
        <w:spacing w:line="360" w:lineRule="auto"/>
        <w:ind w:left="851" w:right="616"/>
        <w:jc w:val="both"/>
        <w:rPr>
          <w:rFonts w:ascii="Palatino Linotype" w:hAnsi="Palatino Linotype" w:cs="Arial"/>
        </w:rPr>
      </w:pPr>
      <w:r>
        <w:rPr>
          <w:rFonts w:ascii="Palatino Linotype" w:hAnsi="Palatino Linotype" w:cs="Arial"/>
          <w:b/>
        </w:rPr>
        <w:t>C</w:t>
      </w:r>
      <w:r w:rsidRPr="00D55A35">
        <w:rPr>
          <w:rFonts w:ascii="Palatino Linotype" w:hAnsi="Palatino Linotype" w:cs="Arial"/>
          <w:b/>
        </w:rPr>
        <w:t xml:space="preserve">ontratos de obra pública </w:t>
      </w:r>
      <w:r>
        <w:rPr>
          <w:rFonts w:ascii="Palatino Linotype" w:hAnsi="Palatino Linotype" w:cs="Arial"/>
          <w:b/>
        </w:rPr>
        <w:t>y</w:t>
      </w:r>
      <w:r w:rsidRPr="00D55A35">
        <w:rPr>
          <w:rFonts w:ascii="Palatino Linotype" w:hAnsi="Palatino Linotype" w:cs="Arial"/>
          <w:b/>
        </w:rPr>
        <w:t xml:space="preserve"> su proceso de licitación del </w:t>
      </w:r>
      <w:r w:rsidR="006D545D">
        <w:rPr>
          <w:rFonts w:ascii="Palatino Linotype" w:hAnsi="Palatino Linotype" w:cs="Arial"/>
          <w:b/>
        </w:rPr>
        <w:t>ejercicio fiscal</w:t>
      </w:r>
      <w:r w:rsidRPr="00D55A35">
        <w:rPr>
          <w:rFonts w:ascii="Palatino Linotype" w:hAnsi="Palatino Linotype" w:cs="Arial"/>
          <w:b/>
        </w:rPr>
        <w:t xml:space="preserve"> 2019</w:t>
      </w:r>
      <w:r>
        <w:rPr>
          <w:rFonts w:ascii="Palatino Linotype" w:hAnsi="Palatino Linotype" w:cs="Arial"/>
          <w:b/>
        </w:rPr>
        <w:t>.</w:t>
      </w:r>
    </w:p>
    <w:p w14:paraId="1EA5F181" w14:textId="77777777" w:rsidR="00C93C30" w:rsidRPr="00C93C30" w:rsidRDefault="00C93C30" w:rsidP="00C93C30">
      <w:pPr>
        <w:pStyle w:val="Prrafodelista"/>
        <w:spacing w:line="360" w:lineRule="auto"/>
        <w:ind w:left="851" w:right="616"/>
        <w:jc w:val="both"/>
        <w:rPr>
          <w:rFonts w:ascii="Palatino Linotype" w:hAnsi="Palatino Linotype" w:cs="Arial"/>
        </w:rPr>
      </w:pPr>
    </w:p>
    <w:p w14:paraId="53E9C495" w14:textId="1E7AEB65" w:rsidR="00BE1923" w:rsidRDefault="009417CA" w:rsidP="00C93C30">
      <w:pPr>
        <w:pStyle w:val="Prrafodelista"/>
        <w:numPr>
          <w:ilvl w:val="0"/>
          <w:numId w:val="7"/>
        </w:numPr>
        <w:spacing w:line="360" w:lineRule="auto"/>
        <w:ind w:left="0" w:firstLine="0"/>
        <w:jc w:val="both"/>
        <w:rPr>
          <w:rFonts w:ascii="Palatino Linotype" w:hAnsi="Palatino Linotype" w:cs="Arial"/>
        </w:rPr>
      </w:pPr>
      <w:r w:rsidRPr="00AB76E8">
        <w:rPr>
          <w:rFonts w:ascii="Palatino Linotype" w:hAnsi="Palatino Linotype" w:cs="Arial"/>
        </w:rPr>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D55A35">
        <w:rPr>
          <w:rFonts w:ascii="Palatino Linotype" w:hAnsi="Palatino Linotype" w:cs="Arial"/>
        </w:rPr>
        <w:t>remitió a un hipervínculo</w:t>
      </w:r>
      <w:r w:rsidR="00580905">
        <w:rPr>
          <w:rFonts w:ascii="Palatino Linotype" w:hAnsi="Palatino Linotype" w:cs="Arial"/>
        </w:rPr>
        <w:t xml:space="preserve"> en </w:t>
      </w:r>
      <w:r w:rsidR="00D55A35">
        <w:rPr>
          <w:rFonts w:ascii="Palatino Linotype" w:hAnsi="Palatino Linotype" w:cs="Arial"/>
        </w:rPr>
        <w:t>e</w:t>
      </w:r>
      <w:r w:rsidR="00580905">
        <w:rPr>
          <w:rFonts w:ascii="Palatino Linotype" w:hAnsi="Palatino Linotype" w:cs="Arial"/>
        </w:rPr>
        <w:t>l que a su decir se encuentra la información requerida.</w:t>
      </w:r>
    </w:p>
    <w:p w14:paraId="299DAFEC" w14:textId="77777777" w:rsidR="004F1024" w:rsidRDefault="004F1024" w:rsidP="004F1024">
      <w:pPr>
        <w:pStyle w:val="Prrafodelista"/>
        <w:spacing w:line="360" w:lineRule="auto"/>
        <w:ind w:left="0"/>
        <w:jc w:val="both"/>
        <w:rPr>
          <w:rFonts w:ascii="Palatino Linotype" w:hAnsi="Palatino Linotype" w:cs="Arial"/>
        </w:rPr>
      </w:pPr>
    </w:p>
    <w:p w14:paraId="45F5E30A" w14:textId="22A75192" w:rsidR="009417CA" w:rsidRDefault="009417CA" w:rsidP="00C93C30">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Inconforme con la res</w:t>
      </w:r>
      <w:r w:rsidR="00317CDA">
        <w:rPr>
          <w:rFonts w:ascii="Palatino Linotype" w:hAnsi="Palatino Linotype" w:cs="Arial"/>
        </w:rPr>
        <w:t>puesta, el solicitante interpuso</w:t>
      </w:r>
      <w:r>
        <w:rPr>
          <w:rFonts w:ascii="Palatino Linotype" w:hAnsi="Palatino Linotype" w:cs="Arial"/>
        </w:rPr>
        <w:t xml:space="preserve"> recurso de revisión, </w:t>
      </w:r>
      <w:r w:rsidR="001C1420">
        <w:rPr>
          <w:rFonts w:ascii="Palatino Linotype" w:hAnsi="Palatino Linotype" w:cs="Arial"/>
        </w:rPr>
        <w:t>inconformándose</w:t>
      </w:r>
      <w:r>
        <w:rPr>
          <w:rFonts w:ascii="Palatino Linotype" w:hAnsi="Palatino Linotype" w:cs="Arial"/>
        </w:rPr>
        <w:t xml:space="preserve"> </w:t>
      </w:r>
      <w:r w:rsidRPr="0059337F">
        <w:rPr>
          <w:rFonts w:ascii="Palatino Linotype" w:hAnsi="Palatino Linotype" w:cs="Arial"/>
          <w:i/>
        </w:rPr>
        <w:t>grosso modo</w:t>
      </w:r>
      <w:r w:rsidR="003E7EB6">
        <w:rPr>
          <w:rFonts w:ascii="Palatino Linotype" w:hAnsi="Palatino Linotype" w:cs="Arial"/>
          <w:i/>
        </w:rPr>
        <w:t xml:space="preserve"> </w:t>
      </w:r>
      <w:r w:rsidR="0039460E">
        <w:rPr>
          <w:rFonts w:ascii="Palatino Linotype" w:hAnsi="Palatino Linotype" w:cs="Arial"/>
        </w:rPr>
        <w:t>refiriendo que</w:t>
      </w:r>
      <w:r w:rsidR="00580905">
        <w:rPr>
          <w:rFonts w:ascii="Palatino Linotype" w:hAnsi="Palatino Linotype" w:cs="Arial"/>
        </w:rPr>
        <w:t xml:space="preserve"> </w:t>
      </w:r>
      <w:r w:rsidR="00D55A35">
        <w:rPr>
          <w:rFonts w:ascii="Palatino Linotype" w:hAnsi="Palatino Linotype" w:cs="Arial"/>
        </w:rPr>
        <w:t>la información es incompleta</w:t>
      </w:r>
      <w:r w:rsidR="00580905">
        <w:rPr>
          <w:rFonts w:ascii="Palatino Linotype" w:hAnsi="Palatino Linotype" w:cs="Arial"/>
        </w:rPr>
        <w:t>.</w:t>
      </w:r>
    </w:p>
    <w:p w14:paraId="62598A9C" w14:textId="77777777" w:rsidR="00BE1923" w:rsidRPr="00BE1923" w:rsidRDefault="00BE1923" w:rsidP="00BE1923">
      <w:pPr>
        <w:pStyle w:val="Prrafodelista"/>
        <w:rPr>
          <w:rFonts w:ascii="Palatino Linotype" w:hAnsi="Palatino Linotype" w:cs="Arial"/>
        </w:rPr>
      </w:pPr>
    </w:p>
    <w:p w14:paraId="646B010A" w14:textId="0C5D2601" w:rsidR="009417CA" w:rsidRPr="00077B62" w:rsidRDefault="009417CA" w:rsidP="00C93C30">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 causal de procedencia previst</w:t>
      </w:r>
      <w:r>
        <w:rPr>
          <w:rFonts w:ascii="Palatino Linotype" w:eastAsia="MS Mincho" w:hAnsi="Palatino Linotype" w:cs="Arial"/>
        </w:rPr>
        <w:t xml:space="preserve">a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580905">
        <w:rPr>
          <w:rFonts w:ascii="Palatino Linotype" w:eastAsia="MS Mincho" w:hAnsi="Palatino Linotype" w:cs="Arial"/>
        </w:rPr>
        <w:t>fracción</w:t>
      </w:r>
      <w:r>
        <w:rPr>
          <w:rFonts w:ascii="Palatino Linotype" w:eastAsia="MS Mincho" w:hAnsi="Palatino Linotype" w:cs="Arial"/>
        </w:rPr>
        <w:t xml:space="preserve"> </w:t>
      </w:r>
      <w:r w:rsidR="0039460E">
        <w:rPr>
          <w:rFonts w:ascii="Palatino Linotype" w:eastAsia="MS Mincho" w:hAnsi="Palatino Linotype" w:cs="Arial"/>
          <w:b/>
        </w:rPr>
        <w:t xml:space="preserve">V </w:t>
      </w:r>
      <w:r w:rsidRPr="00D27C98">
        <w:rPr>
          <w:rFonts w:ascii="Palatino Linotype" w:eastAsia="MS Mincho" w:hAnsi="Palatino Linotype" w:cs="Arial"/>
        </w:rPr>
        <w:t xml:space="preserve">de la </w:t>
      </w:r>
      <w:r w:rsidRPr="00D27C98">
        <w:rPr>
          <w:rFonts w:ascii="Palatino Linotype" w:eastAsia="MS Mincho" w:hAnsi="Palatino Linotype" w:cs="Arial"/>
          <w:b/>
        </w:rPr>
        <w:t xml:space="preserve">Ley de Transparencia y Acceso a la Información </w:t>
      </w:r>
      <w:r w:rsidRPr="00D27C98">
        <w:rPr>
          <w:rFonts w:ascii="Palatino Linotype" w:eastAsia="MS Mincho" w:hAnsi="Palatino Linotype" w:cs="Arial"/>
          <w:b/>
        </w:rPr>
        <w:lastRenderedPageBreak/>
        <w:t>Pública del Estado de México y Municipios</w:t>
      </w:r>
      <w:r w:rsidRPr="00D27C98">
        <w:rPr>
          <w:rFonts w:ascii="Palatino Linotype" w:eastAsia="MS Mincho" w:hAnsi="Palatino Linotype" w:cs="Arial"/>
        </w:rPr>
        <w:t xml:space="preserve">; </w:t>
      </w:r>
      <w:r w:rsidR="00580905" w:rsidRPr="00D27C98">
        <w:rPr>
          <w:rFonts w:ascii="Palatino Linotype" w:hAnsi="Palatino Linotype" w:cs="Arial"/>
          <w:color w:val="000000" w:themeColor="text1"/>
        </w:rPr>
        <w:t>fracción</w:t>
      </w:r>
      <w:r w:rsidRPr="00D27C98">
        <w:rPr>
          <w:rFonts w:ascii="Palatino Linotype" w:hAnsi="Palatino Linotype" w:cs="Arial"/>
          <w:color w:val="000000" w:themeColor="text1"/>
        </w:rPr>
        <w:t xml:space="preserve"> que determina la</w:t>
      </w:r>
      <w:r w:rsidR="0039460E">
        <w:rPr>
          <w:rFonts w:ascii="Palatino Linotype" w:hAnsi="Palatino Linotype" w:cs="Arial"/>
          <w:color w:val="000000" w:themeColor="text1"/>
        </w:rPr>
        <w:t>s</w:t>
      </w:r>
      <w:r w:rsidRPr="00D27C98">
        <w:rPr>
          <w:rFonts w:ascii="Palatino Linotype" w:hAnsi="Palatino Linotype" w:cs="Arial"/>
          <w:color w:val="000000" w:themeColor="text1"/>
        </w:rPr>
        <w:t xml:space="preserve">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sidR="0039460E" w:rsidRPr="0039460E">
        <w:rPr>
          <w:rFonts w:ascii="Palatino Linotype" w:hAnsi="Palatino Linotype" w:cs="Arial"/>
          <w:color w:val="000000" w:themeColor="text1"/>
        </w:rPr>
        <w:t>la entrega de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13D6B0" w14:textId="77777777" w:rsidR="009417CA" w:rsidRDefault="009417CA" w:rsidP="00BE1923">
      <w:pPr>
        <w:pStyle w:val="Prrafodelista"/>
        <w:spacing w:line="360" w:lineRule="auto"/>
        <w:rPr>
          <w:rFonts w:ascii="Palatino Linotype" w:eastAsia="MS Mincho" w:hAnsi="Palatino Linotype" w:cs="Arial"/>
        </w:rPr>
      </w:pPr>
    </w:p>
    <w:p w14:paraId="2C201A05" w14:textId="2E01F487" w:rsidR="009417CA" w:rsidRPr="00EA7E3D" w:rsidRDefault="00C76CBA" w:rsidP="00BE1923">
      <w:pPr>
        <w:pStyle w:val="Ttulo1"/>
        <w:spacing w:before="0" w:line="360" w:lineRule="auto"/>
        <w:rPr>
          <w:rFonts w:ascii="Palatino Linotype" w:hAnsi="Palatino Linotype"/>
          <w:b/>
          <w:color w:val="000000" w:themeColor="text1"/>
          <w:sz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Pr>
          <w:rFonts w:ascii="Palatino Linotype" w:hAnsi="Palatino Linotype"/>
          <w:b/>
          <w:color w:val="000000" w:themeColor="text1"/>
          <w:sz w:val="24"/>
        </w:rPr>
        <w:t>CUAR</w:t>
      </w:r>
      <w:r w:rsidR="00822012" w:rsidRPr="00E34993">
        <w:rPr>
          <w:rFonts w:ascii="Palatino Linotype" w:hAnsi="Palatino Linotype"/>
          <w:b/>
          <w:color w:val="000000" w:themeColor="text1"/>
          <w:sz w:val="24"/>
        </w:rPr>
        <w:t>T</w:t>
      </w:r>
      <w:r w:rsidR="009417CA" w:rsidRPr="00E34993">
        <w:rPr>
          <w:rFonts w:ascii="Palatino Linotype" w:hAnsi="Palatino Linotype"/>
          <w:b/>
          <w:color w:val="000000" w:themeColor="text1"/>
          <w:sz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39460E" w:rsidRDefault="0039460E" w:rsidP="0039460E">
      <w:pPr>
        <w:rPr>
          <w:lang w:eastAsia="en-US"/>
        </w:rPr>
      </w:pPr>
    </w:p>
    <w:p w14:paraId="027D0966"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Primeramente es 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w:t>
      </w:r>
      <w:r w:rsidRPr="00736D1C">
        <w:rPr>
          <w:rFonts w:ascii="Palatino Linotype" w:eastAsia="MS Mincho" w:hAnsi="Palatino Linotype" w:cs="Arial"/>
        </w:rPr>
        <w:t>Acceso</w:t>
      </w:r>
      <w:r w:rsidRPr="00DA2D95">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3F507A">
        <w:rPr>
          <w:rFonts w:ascii="Palatino Linotype" w:hAnsi="Palatino Linotype"/>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18A417A4"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DA2D95">
        <w:rPr>
          <w:rFonts w:ascii="Palatino Linotype" w:hAnsi="Palatino Linotype"/>
          <w:color w:val="000000" w:themeColor="text1"/>
          <w:lang w:val="es-MX"/>
        </w:rPr>
        <w:t xml:space="preserve">lo anterior, se deduce que el derecho de acceso a la información pública es un </w:t>
      </w:r>
      <w:r w:rsidRPr="00736D1C">
        <w:rPr>
          <w:rFonts w:ascii="Palatino Linotype" w:hAnsi="Palatino Linotype"/>
          <w:color w:val="000000" w:themeColor="text1"/>
        </w:rPr>
        <w:t>derecho</w:t>
      </w:r>
      <w:r w:rsidRPr="00DA2D95">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736D1C" w:rsidRDefault="00C93C30" w:rsidP="00C93C30">
      <w:pPr>
        <w:pStyle w:val="Prrafodelista"/>
        <w:rPr>
          <w:rFonts w:ascii="Palatino Linotype" w:hAnsi="Palatino Linotype"/>
          <w:color w:val="000000" w:themeColor="text1"/>
        </w:rPr>
      </w:pPr>
    </w:p>
    <w:p w14:paraId="289871E1"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Así las cosas, </w:t>
      </w:r>
      <w:r w:rsidRPr="00DA2D95">
        <w:rPr>
          <w:rFonts w:ascii="Palatino Linotype" w:hAnsi="Palatino Linotype"/>
          <w:color w:val="000000" w:themeColor="text1"/>
          <w:lang w:val="es-MX"/>
        </w:rPr>
        <w:t xml:space="preserve">podemos definir el Derecho de Acceso a la Información Pública como: </w:t>
      </w:r>
      <w:r w:rsidRPr="00DA2D95">
        <w:rPr>
          <w:rFonts w:ascii="Palatino Linotype" w:hAnsi="Palatino Linotype"/>
          <w:i/>
          <w:color w:val="000000" w:themeColor="text1"/>
          <w:lang w:val="es-MX"/>
        </w:rPr>
        <w:t>La igualdad de oportunidades para recibir, buscar e impartir información</w:t>
      </w:r>
      <w:r w:rsidRPr="00DA2D95">
        <w:rPr>
          <w:rFonts w:ascii="Palatino Linotype" w:hAnsi="Palatino Linotype"/>
          <w:i/>
          <w:color w:val="000000" w:themeColor="text1"/>
          <w:vertAlign w:val="superscript"/>
          <w:lang w:val="es-MX"/>
        </w:rPr>
        <w:footnoteReference w:id="1"/>
      </w:r>
      <w:r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lang w:val="es-MX"/>
        </w:rPr>
        <w:footnoteReference w:id="2"/>
      </w:r>
      <w:r w:rsidRPr="00DA2D95">
        <w:rPr>
          <w:rFonts w:ascii="Palatino Linotype" w:hAnsi="Palatino Linotype"/>
          <w:color w:val="000000" w:themeColor="text1"/>
          <w:lang w:val="es-MX"/>
        </w:rPr>
        <w:t>que se constituye como una herramienta fundamental para ejercer</w:t>
      </w:r>
      <w:r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lang w:val="es-MX"/>
        </w:rPr>
        <w:footnoteReference w:id="3"/>
      </w:r>
      <w:r w:rsidRPr="00DA2D95">
        <w:rPr>
          <w:rFonts w:ascii="Palatino Linotype" w:hAnsi="Palatino Linotype"/>
          <w:i/>
          <w:color w:val="000000" w:themeColor="text1"/>
          <w:lang w:val="es-MX"/>
        </w:rPr>
        <w:t xml:space="preserve"> </w:t>
      </w:r>
      <w:r w:rsidRPr="00DA2D95">
        <w:rPr>
          <w:rFonts w:ascii="Palatino Linotype" w:hAnsi="Palatino Linotype"/>
          <w:color w:val="000000" w:themeColor="text1"/>
          <w:lang w:val="es-MX"/>
        </w:rPr>
        <w:t>fomentando</w:t>
      </w:r>
      <w:r w:rsidRPr="00DA2D95">
        <w:rPr>
          <w:rFonts w:ascii="Palatino Linotype" w:hAnsi="Palatino Linotype"/>
          <w:i/>
          <w:color w:val="000000" w:themeColor="text1"/>
          <w:lang w:val="es-MX"/>
        </w:rPr>
        <w:t xml:space="preserve"> la transparencia de las actividades estatales y </w:t>
      </w:r>
      <w:r w:rsidRPr="00DA2D95">
        <w:rPr>
          <w:rFonts w:ascii="Palatino Linotype" w:hAnsi="Palatino Linotype"/>
          <w:color w:val="000000" w:themeColor="text1"/>
          <w:lang w:val="es-MX"/>
        </w:rPr>
        <w:t>promoviendo</w:t>
      </w:r>
      <w:r w:rsidRPr="00DA2D95">
        <w:rPr>
          <w:rFonts w:ascii="Palatino Linotype" w:hAnsi="Palatino Linotype"/>
          <w:i/>
          <w:color w:val="000000" w:themeColor="text1"/>
          <w:lang w:val="es-MX"/>
        </w:rPr>
        <w:t xml:space="preserve"> la responsabilidad de los funcionarios sobre su gestión pública,</w:t>
      </w:r>
      <w:r w:rsidRPr="00DA2D95">
        <w:rPr>
          <w:rFonts w:ascii="Palatino Linotype" w:hAnsi="Palatino Linotype"/>
          <w:i/>
          <w:color w:val="000000" w:themeColor="text1"/>
          <w:vertAlign w:val="superscript"/>
          <w:lang w:val="es-MX"/>
        </w:rPr>
        <w:footnoteReference w:id="4"/>
      </w:r>
      <w:r w:rsidRPr="00DA2D95">
        <w:rPr>
          <w:rFonts w:ascii="Palatino Linotype" w:hAnsi="Palatino Linotype"/>
          <w:color w:val="000000" w:themeColor="text1"/>
          <w:lang w:val="es-MX"/>
        </w:rPr>
        <w:t>que permite</w:t>
      </w:r>
      <w:r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736D1C" w:rsidRDefault="00C93C30" w:rsidP="00C93C30">
      <w:pPr>
        <w:pStyle w:val="Prrafodelista"/>
        <w:rPr>
          <w:rFonts w:ascii="Palatino Linotype" w:hAnsi="Palatino Linotype"/>
          <w:color w:val="000000" w:themeColor="text1"/>
        </w:rPr>
      </w:pPr>
    </w:p>
    <w:p w14:paraId="1AB2137B" w14:textId="77777777" w:rsidR="00C93C30" w:rsidRPr="00736D1C"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lado, </w:t>
      </w:r>
      <w:r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w:t>
      </w:r>
      <w:r w:rsidRPr="0055159A">
        <w:rPr>
          <w:rFonts w:ascii="Palatino Linotype" w:hAnsi="Palatino Linotype"/>
          <w:color w:val="000000" w:themeColor="text1"/>
          <w:lang w:val="es-MX"/>
        </w:rPr>
        <w:lastRenderedPageBreak/>
        <w:t>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Default="00C93C30" w:rsidP="00C93C30">
      <w:pPr>
        <w:pStyle w:val="Prrafodelista"/>
        <w:spacing w:line="360" w:lineRule="auto"/>
        <w:ind w:left="0"/>
        <w:jc w:val="both"/>
        <w:rPr>
          <w:rFonts w:ascii="Palatino Linotype" w:eastAsia="MS Mincho" w:hAnsi="Palatino Linotype" w:cs="Arial"/>
        </w:rPr>
      </w:pPr>
    </w:p>
    <w:p w14:paraId="6C87A271" w14:textId="0C76EDF0" w:rsidR="00580905" w:rsidRDefault="00580905" w:rsidP="00F23A06">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 xml:space="preserve">Acotado lo anterior, es dable primeramente señalar, que como se desprende del planteamiento de la </w:t>
      </w:r>
      <w:r w:rsidRPr="00580905">
        <w:rPr>
          <w:rFonts w:ascii="Palatino Linotype" w:hAnsi="Palatino Linotype"/>
          <w:i/>
          <w:color w:val="000000"/>
        </w:rPr>
        <w:t>Litis</w:t>
      </w:r>
      <w:r>
        <w:rPr>
          <w:rFonts w:ascii="Palatino Linotype" w:hAnsi="Palatino Linotype"/>
          <w:i/>
          <w:color w:val="000000"/>
        </w:rPr>
        <w:t xml:space="preserve">, </w:t>
      </w:r>
      <w:r>
        <w:rPr>
          <w:rFonts w:ascii="Palatino Linotype" w:hAnsi="Palatino Linotype"/>
          <w:color w:val="000000"/>
        </w:rPr>
        <w:t xml:space="preserve">el hoy </w:t>
      </w:r>
      <w:r>
        <w:rPr>
          <w:rFonts w:ascii="Palatino Linotype" w:hAnsi="Palatino Linotype"/>
          <w:b/>
          <w:color w:val="000000"/>
        </w:rPr>
        <w:t>RECURRENTE</w:t>
      </w:r>
      <w:r>
        <w:rPr>
          <w:rFonts w:ascii="Palatino Linotype" w:hAnsi="Palatino Linotype"/>
          <w:color w:val="000000"/>
        </w:rPr>
        <w:t>, se inconforma únicamente por</w:t>
      </w:r>
      <w:r w:rsidR="00D55A35">
        <w:rPr>
          <w:rFonts w:ascii="Palatino Linotype" w:hAnsi="Palatino Linotype"/>
          <w:color w:val="000000"/>
        </w:rPr>
        <w:t xml:space="preserve"> la información contenida el hipervínculo</w:t>
      </w:r>
      <w:r w:rsidR="00E07CA2">
        <w:rPr>
          <w:rFonts w:ascii="Palatino Linotype" w:hAnsi="Palatino Linotype"/>
          <w:color w:val="000000"/>
        </w:rPr>
        <w:t>,</w:t>
      </w:r>
      <w:r w:rsidR="00D55A35">
        <w:rPr>
          <w:rFonts w:ascii="Palatino Linotype" w:hAnsi="Palatino Linotype"/>
          <w:color w:val="000000"/>
        </w:rPr>
        <w:t xml:space="preserve"> que </w:t>
      </w:r>
      <w:r w:rsidR="00E07CA2">
        <w:rPr>
          <w:rFonts w:ascii="Palatino Linotype" w:hAnsi="Palatino Linotype"/>
          <w:color w:val="000000"/>
        </w:rPr>
        <w:t xml:space="preserve">a su decir </w:t>
      </w:r>
      <w:r w:rsidR="00D55A35">
        <w:rPr>
          <w:rFonts w:ascii="Palatino Linotype" w:hAnsi="Palatino Linotype"/>
          <w:color w:val="000000"/>
        </w:rPr>
        <w:t>es incompleta</w:t>
      </w:r>
      <w:r>
        <w:rPr>
          <w:rFonts w:ascii="Palatino Linotype" w:hAnsi="Palatino Linotype"/>
          <w:color w:val="000000"/>
        </w:rPr>
        <w:t>.</w:t>
      </w:r>
    </w:p>
    <w:p w14:paraId="469D8381" w14:textId="77777777" w:rsidR="008D3BBF" w:rsidRPr="008D3BBF" w:rsidRDefault="008D3BBF" w:rsidP="008D3BBF">
      <w:pPr>
        <w:pStyle w:val="Prrafodelista"/>
        <w:rPr>
          <w:rFonts w:ascii="Palatino Linotype" w:hAnsi="Palatino Linotype"/>
          <w:color w:val="000000"/>
        </w:rPr>
      </w:pPr>
    </w:p>
    <w:p w14:paraId="5E282EF0" w14:textId="36D77DBF" w:rsidR="008D3BBF" w:rsidRDefault="008D3BBF" w:rsidP="00F23A06">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Así las cosas, se procedió a la revisión de</w:t>
      </w:r>
      <w:r w:rsidR="006D545D">
        <w:rPr>
          <w:rFonts w:ascii="Palatino Linotype" w:hAnsi="Palatino Linotype"/>
          <w:color w:val="000000"/>
        </w:rPr>
        <w:t xml:space="preserve"> </w:t>
      </w:r>
      <w:r>
        <w:rPr>
          <w:rFonts w:ascii="Palatino Linotype" w:hAnsi="Palatino Linotype"/>
          <w:color w:val="000000"/>
        </w:rPr>
        <w:t>l</w:t>
      </w:r>
      <w:r w:rsidR="006D545D">
        <w:rPr>
          <w:rFonts w:ascii="Palatino Linotype" w:hAnsi="Palatino Linotype"/>
          <w:color w:val="000000"/>
        </w:rPr>
        <w:t>os</w:t>
      </w:r>
      <w:r>
        <w:rPr>
          <w:rFonts w:ascii="Palatino Linotype" w:hAnsi="Palatino Linotype"/>
          <w:color w:val="000000"/>
        </w:rPr>
        <w:t xml:space="preserve"> hipervínculo</w:t>
      </w:r>
      <w:r w:rsidR="006D545D">
        <w:rPr>
          <w:rFonts w:ascii="Palatino Linotype" w:hAnsi="Palatino Linotype"/>
          <w:color w:val="000000"/>
        </w:rPr>
        <w:t>s</w:t>
      </w:r>
      <w:r>
        <w:rPr>
          <w:rFonts w:ascii="Palatino Linotype" w:hAnsi="Palatino Linotype"/>
          <w:color w:val="000000"/>
        </w:rPr>
        <w:t xml:space="preserve"> de referencia, encontrando la información siguiente:</w:t>
      </w:r>
    </w:p>
    <w:p w14:paraId="788F3AF6" w14:textId="77777777" w:rsidR="008D3BBF" w:rsidRPr="008D3BBF" w:rsidRDefault="008D3BBF" w:rsidP="008D3BBF">
      <w:pPr>
        <w:pStyle w:val="Prrafodelista"/>
        <w:rPr>
          <w:rFonts w:ascii="Palatino Linotype" w:hAnsi="Palatino Linotype"/>
          <w:color w:val="000000"/>
        </w:rPr>
      </w:pPr>
    </w:p>
    <w:p w14:paraId="2B47B248" w14:textId="08063B11" w:rsidR="008D3BBF" w:rsidRDefault="008D3BBF" w:rsidP="008D3BBF">
      <w:pPr>
        <w:pStyle w:val="Prrafodelista"/>
        <w:spacing w:line="360" w:lineRule="auto"/>
        <w:ind w:left="0"/>
        <w:jc w:val="center"/>
        <w:rPr>
          <w:rFonts w:ascii="Palatino Linotype" w:hAnsi="Palatino Linotype"/>
          <w:color w:val="000000"/>
        </w:rPr>
      </w:pPr>
      <w:r>
        <w:rPr>
          <w:rFonts w:ascii="Palatino Linotype" w:hAnsi="Palatino Linotype"/>
          <w:noProof/>
          <w:color w:val="000000"/>
          <w:lang w:val="es-MX" w:eastAsia="es-MX"/>
        </w:rPr>
        <w:drawing>
          <wp:inline distT="0" distB="0" distL="0" distR="0" wp14:anchorId="044ADACD" wp14:editId="05FD3FD4">
            <wp:extent cx="5463961" cy="1794081"/>
            <wp:effectExtent l="19050" t="19050" r="22860" b="158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446" cy="1797195"/>
                    </a:xfrm>
                    <a:prstGeom prst="rect">
                      <a:avLst/>
                    </a:prstGeom>
                    <a:noFill/>
                    <a:ln>
                      <a:solidFill>
                        <a:schemeClr val="tx1"/>
                      </a:solidFill>
                    </a:ln>
                  </pic:spPr>
                </pic:pic>
              </a:graphicData>
            </a:graphic>
          </wp:inline>
        </w:drawing>
      </w:r>
    </w:p>
    <w:p w14:paraId="5F86620C" w14:textId="7718962E" w:rsidR="008D3BBF" w:rsidRDefault="008D3BBF" w:rsidP="008D3BBF">
      <w:pPr>
        <w:pStyle w:val="Prrafodelista"/>
        <w:spacing w:line="360" w:lineRule="auto"/>
        <w:ind w:left="0"/>
        <w:jc w:val="center"/>
        <w:rPr>
          <w:rFonts w:ascii="Palatino Linotype" w:hAnsi="Palatino Linotype"/>
          <w:color w:val="000000"/>
        </w:rPr>
      </w:pPr>
      <w:r>
        <w:rPr>
          <w:rFonts w:ascii="Palatino Linotype" w:hAnsi="Palatino Linotype"/>
          <w:noProof/>
          <w:color w:val="000000"/>
          <w:lang w:val="es-MX" w:eastAsia="es-MX"/>
        </w:rPr>
        <w:lastRenderedPageBreak/>
        <w:drawing>
          <wp:inline distT="0" distB="0" distL="0" distR="0" wp14:anchorId="0128EEDE" wp14:editId="57C8ACE1">
            <wp:extent cx="5379813" cy="1823924"/>
            <wp:effectExtent l="19050" t="19050" r="11430" b="241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6008" cy="1829415"/>
                    </a:xfrm>
                    <a:prstGeom prst="rect">
                      <a:avLst/>
                    </a:prstGeom>
                    <a:noFill/>
                    <a:ln>
                      <a:solidFill>
                        <a:schemeClr val="tx1"/>
                      </a:solidFill>
                    </a:ln>
                  </pic:spPr>
                </pic:pic>
              </a:graphicData>
            </a:graphic>
          </wp:inline>
        </w:drawing>
      </w:r>
    </w:p>
    <w:p w14:paraId="419749BD" w14:textId="77777777" w:rsidR="00580905" w:rsidRPr="00580905" w:rsidRDefault="00580905" w:rsidP="00580905">
      <w:pPr>
        <w:pStyle w:val="Prrafodelista"/>
        <w:rPr>
          <w:rFonts w:ascii="Palatino Linotype" w:hAnsi="Palatino Linotype"/>
          <w:color w:val="000000"/>
        </w:rPr>
      </w:pPr>
    </w:p>
    <w:p w14:paraId="7FE506F3" w14:textId="4992C829" w:rsidR="004F71CD" w:rsidRDefault="004F71CD" w:rsidP="009D1F65">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Como se observa, el </w:t>
      </w:r>
      <w:r>
        <w:rPr>
          <w:rFonts w:ascii="Palatino Linotype" w:hAnsi="Palatino Linotype" w:cs="Arial"/>
          <w:b/>
        </w:rPr>
        <w:t>SUJETO OBLIGADO</w:t>
      </w:r>
      <w:r>
        <w:rPr>
          <w:rFonts w:ascii="Palatino Linotype" w:hAnsi="Palatino Linotype" w:cs="Arial"/>
        </w:rPr>
        <w:t xml:space="preserve"> remitió al particular a su portal oficial de </w:t>
      </w:r>
      <w:r w:rsidR="009D1F65">
        <w:rPr>
          <w:rFonts w:ascii="Palatino Linotype" w:hAnsi="Palatino Linotype" w:cs="Arial"/>
        </w:rPr>
        <w:t xml:space="preserve">transparencia contenido a su vez en el Portal de Información Pública Mexiquense (IPOMEX), el cual corresponde a una </w:t>
      </w:r>
      <w:r w:rsidR="009D1F65" w:rsidRPr="009D1F65">
        <w:rPr>
          <w:rFonts w:ascii="Palatino Linotype" w:hAnsi="Palatino Linotype" w:cs="Arial"/>
        </w:rPr>
        <w:t xml:space="preserve">herramienta tecnológica desarrollada por el </w:t>
      </w:r>
      <w:proofErr w:type="spellStart"/>
      <w:r w:rsidR="009D1F65" w:rsidRPr="009D1F65">
        <w:rPr>
          <w:rFonts w:ascii="Palatino Linotype" w:hAnsi="Palatino Linotype" w:cs="Arial"/>
        </w:rPr>
        <w:t>Infoem</w:t>
      </w:r>
      <w:proofErr w:type="spellEnd"/>
      <w:r w:rsidR="00E07CA2">
        <w:rPr>
          <w:rFonts w:ascii="Palatino Linotype" w:hAnsi="Palatino Linotype" w:cs="Arial"/>
        </w:rPr>
        <w:t>,</w:t>
      </w:r>
      <w:r w:rsidR="009D1F65" w:rsidRPr="009D1F65">
        <w:rPr>
          <w:rFonts w:ascii="Palatino Linotype" w:hAnsi="Palatino Linotype" w:cs="Arial"/>
        </w:rPr>
        <w:t xml:space="preserve"> que permite a los </w:t>
      </w:r>
      <w:r w:rsidR="00CA757B" w:rsidRPr="009D1F65">
        <w:rPr>
          <w:rFonts w:ascii="Palatino Linotype" w:hAnsi="Palatino Linotype" w:cs="Arial"/>
        </w:rPr>
        <w:t xml:space="preserve">sujetos obligados </w:t>
      </w:r>
      <w:r w:rsidR="009D1F65" w:rsidRPr="009D1F65">
        <w:rPr>
          <w:rFonts w:ascii="Palatino Linotype" w:hAnsi="Palatino Linotype" w:cs="Arial"/>
        </w:rPr>
        <w:t xml:space="preserve">publicar lo correspondiente a la Información Pública de Oficio contemplada en los artículos 12, 13, 14 y 15 de la ley en la materia, </w:t>
      </w:r>
      <w:r w:rsidR="009D1F65" w:rsidRPr="00CA757B">
        <w:rPr>
          <w:rFonts w:ascii="Palatino Linotype" w:hAnsi="Palatino Linotype" w:cs="Arial"/>
          <w:b/>
        </w:rPr>
        <w:t>de una forma ágil y de fácil manejo</w:t>
      </w:r>
      <w:r w:rsidR="009D1F65" w:rsidRPr="009D1F65">
        <w:rPr>
          <w:rFonts w:ascii="Palatino Linotype" w:hAnsi="Palatino Linotype" w:cs="Arial"/>
        </w:rPr>
        <w:t>.</w:t>
      </w:r>
    </w:p>
    <w:p w14:paraId="10489D6E" w14:textId="77777777" w:rsidR="004F71CD" w:rsidRDefault="004F71CD" w:rsidP="004F71CD">
      <w:pPr>
        <w:pStyle w:val="Prrafodelista"/>
        <w:spacing w:line="360" w:lineRule="auto"/>
        <w:ind w:left="0"/>
        <w:jc w:val="both"/>
        <w:rPr>
          <w:rFonts w:ascii="Palatino Linotype" w:hAnsi="Palatino Linotype" w:cs="Arial"/>
        </w:rPr>
      </w:pPr>
    </w:p>
    <w:p w14:paraId="07FCE7A1" w14:textId="5D83B20E" w:rsidR="00BB2322" w:rsidRDefault="00BB2322" w:rsidP="00BB2322">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Por otro lado</w:t>
      </w:r>
      <w:r w:rsidR="008B2B71">
        <w:rPr>
          <w:rFonts w:ascii="Palatino Linotype" w:hAnsi="Palatino Linotype" w:cs="Arial"/>
        </w:rPr>
        <w:t>, se observa que</w:t>
      </w:r>
      <w:r>
        <w:rPr>
          <w:rFonts w:ascii="Palatino Linotype" w:hAnsi="Palatino Linotype" w:cs="Arial"/>
        </w:rPr>
        <w:t xml:space="preserve"> las fracciones a las que se remite, corresponden a la</w:t>
      </w:r>
      <w:r w:rsidR="00F2403F">
        <w:rPr>
          <w:rFonts w:ascii="Palatino Linotype" w:hAnsi="Palatino Linotype" w:cs="Arial"/>
        </w:rPr>
        <w:t>s fracciones</w:t>
      </w:r>
      <w:r>
        <w:rPr>
          <w:rFonts w:ascii="Palatino Linotype" w:hAnsi="Palatino Linotype" w:cs="Arial"/>
        </w:rPr>
        <w:t xml:space="preserve"> </w:t>
      </w:r>
      <w:r w:rsidRPr="00BB2322">
        <w:rPr>
          <w:rFonts w:ascii="Palatino Linotype" w:hAnsi="Palatino Linotype" w:cs="Arial"/>
        </w:rPr>
        <w:t>XXIX A y XXIX B</w:t>
      </w:r>
      <w:r>
        <w:rPr>
          <w:rFonts w:ascii="Palatino Linotype" w:hAnsi="Palatino Linotype" w:cs="Arial"/>
        </w:rPr>
        <w:t>, del artículo 92 d</w:t>
      </w:r>
      <w:r w:rsidRPr="00BB2322">
        <w:rPr>
          <w:rFonts w:ascii="Palatino Linotype" w:hAnsi="Palatino Linotype" w:cs="Arial"/>
        </w:rPr>
        <w:t>e las Obligaciones de Transparencia Comunes</w:t>
      </w:r>
      <w:r w:rsidR="00F2403F">
        <w:rPr>
          <w:rFonts w:ascii="Palatino Linotype" w:hAnsi="Palatino Linotype" w:cs="Arial"/>
        </w:rPr>
        <w:t>, que establecen lo siguiente:</w:t>
      </w:r>
    </w:p>
    <w:p w14:paraId="43610056" w14:textId="77777777" w:rsidR="00F2403F" w:rsidRPr="00F2403F" w:rsidRDefault="00F2403F" w:rsidP="00F2403F">
      <w:pPr>
        <w:pStyle w:val="Prrafodelista"/>
        <w:rPr>
          <w:rFonts w:ascii="Palatino Linotype" w:hAnsi="Palatino Linotype" w:cs="Arial"/>
        </w:rPr>
      </w:pPr>
    </w:p>
    <w:p w14:paraId="382D3299" w14:textId="5245B050" w:rsidR="00F2403F" w:rsidRPr="00F2403F" w:rsidRDefault="00F2403F" w:rsidP="008B2B71">
      <w:pPr>
        <w:pStyle w:val="Prrafodelista"/>
        <w:spacing w:line="360" w:lineRule="auto"/>
        <w:ind w:left="567" w:right="474"/>
        <w:jc w:val="both"/>
        <w:rPr>
          <w:rFonts w:ascii="Palatino Linotype" w:hAnsi="Palatino Linotype" w:cs="Arial"/>
          <w:i/>
        </w:rPr>
      </w:pPr>
      <w:r>
        <w:rPr>
          <w:rFonts w:ascii="Palatino Linotype" w:hAnsi="Palatino Linotype" w:cs="Arial"/>
          <w:i/>
        </w:rPr>
        <w:t>“</w:t>
      </w:r>
      <w:r w:rsidRPr="00F2403F">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F2403F">
        <w:rPr>
          <w:rFonts w:ascii="Palatino Linotype" w:hAnsi="Palatino Linotype" w:cs="Arial"/>
          <w:i/>
        </w:rPr>
        <w:cr/>
      </w:r>
    </w:p>
    <w:p w14:paraId="38FAE3C9"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lastRenderedPageBreak/>
        <w:t>...</w:t>
      </w:r>
    </w:p>
    <w:p w14:paraId="0C016572"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C9D8E92"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a) De licitaciones públicas o procedimientos de invitación restringida:</w:t>
      </w:r>
    </w:p>
    <w:p w14:paraId="697CBEB6" w14:textId="0A9D35B0"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 La convocatoria o invitación emitida, así como los fundamentos legales aplicados para llevarla a cabo;</w:t>
      </w:r>
    </w:p>
    <w:p w14:paraId="71AD3504"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2) Los nombres de los participantes o invitados;</w:t>
      </w:r>
    </w:p>
    <w:p w14:paraId="1CD7BFAF"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3) El nombre del ganador y las razones que lo justifican;</w:t>
      </w:r>
    </w:p>
    <w:p w14:paraId="1BE15F56"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4) El área solicitante y la responsable de su ejecución;</w:t>
      </w:r>
    </w:p>
    <w:p w14:paraId="30133A03"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5) Las convocatorias e invitaciones emitidas;</w:t>
      </w:r>
    </w:p>
    <w:p w14:paraId="6CA561C6"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6) Los dictámenes y fallo de adjudicación;</w:t>
      </w:r>
    </w:p>
    <w:p w14:paraId="1FA4DD38"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7) El contrato y, en su caso, sus anexos;</w:t>
      </w:r>
    </w:p>
    <w:p w14:paraId="0B0FEDF5" w14:textId="718B9FAA"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8) Los mecanismos de vigilancia y supervisión, incluyendo en su caso, los estudios de impacto urbano y ambiental, según corresponda;</w:t>
      </w:r>
    </w:p>
    <w:p w14:paraId="171D8DCA" w14:textId="723B74F3"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9) La partida presupuestal, de conformidad con el clasificador por objeto del gasto, en el caso de ser aplicable;</w:t>
      </w:r>
    </w:p>
    <w:p w14:paraId="3AAC646C" w14:textId="3E0FDDEB"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10) Origen de los recursos especificando si son federales, estatales o municipales, así como el tipo de fondo de participación o aportación respectiva;</w:t>
      </w:r>
    </w:p>
    <w:p w14:paraId="36825AB0" w14:textId="6423D965"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11) Los convenios modificatorios que, en su caso, sean firmados, precisando el objeto y la fecha de celebración;</w:t>
      </w:r>
    </w:p>
    <w:p w14:paraId="7912C0D2" w14:textId="1C55A5D4"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12) Los informes de avance físico y financiero sobre las obras o servicios contratados;</w:t>
      </w:r>
    </w:p>
    <w:p w14:paraId="5F7C2336"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lastRenderedPageBreak/>
        <w:t>13) El convenio de terminación; y</w:t>
      </w:r>
    </w:p>
    <w:p w14:paraId="385FB040"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14) El finiquito.</w:t>
      </w:r>
    </w:p>
    <w:p w14:paraId="49F954BA"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b) De las adjudicaciones directas:</w:t>
      </w:r>
    </w:p>
    <w:p w14:paraId="7D34365D"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 La propuesta enviada por el participante;</w:t>
      </w:r>
    </w:p>
    <w:p w14:paraId="571682F9"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2) Los motivos y fundamentos legales aplicados para llevarla a cabo;</w:t>
      </w:r>
    </w:p>
    <w:p w14:paraId="15AB6799"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3) La autorización del ejercicio de la opción;</w:t>
      </w:r>
    </w:p>
    <w:p w14:paraId="27409BBD" w14:textId="21BF9A36"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4) En su caso, las cotizaciones consideradas, especificando los nombres de los proveedores y sus montos;</w:t>
      </w:r>
    </w:p>
    <w:p w14:paraId="74A35A14"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5) El nombre de la persona física o jurídica colectiva adjudicada;</w:t>
      </w:r>
    </w:p>
    <w:p w14:paraId="39C3A8DA"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6) La unidad administrativa solicitante y la responsable de su ejecución;</w:t>
      </w:r>
    </w:p>
    <w:p w14:paraId="6166EAAA" w14:textId="33B92ED0"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7) El número, fecha, el monto del contrato y el plazo de entrega o de ejecución de los servicios u obra;</w:t>
      </w:r>
    </w:p>
    <w:p w14:paraId="363EBA3C" w14:textId="6A766198"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8) Los mecanismos de vigilancia y supervisión, incluyendo, en su caso, los estudios de impacto urbano y ambiental, según corresponda;</w:t>
      </w:r>
    </w:p>
    <w:p w14:paraId="1F7B52DC"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9) Los informes de avance sobre las obras o servicios contratados;</w:t>
      </w:r>
    </w:p>
    <w:p w14:paraId="26F9DE30" w14:textId="77777777"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10) El convenio de terminación; y</w:t>
      </w:r>
    </w:p>
    <w:p w14:paraId="2F414DFC" w14:textId="41019A8F" w:rsidR="00F2403F" w:rsidRPr="00F2403F" w:rsidRDefault="00F2403F" w:rsidP="008B2B71">
      <w:pPr>
        <w:pStyle w:val="Prrafodelista"/>
        <w:spacing w:line="360" w:lineRule="auto"/>
        <w:ind w:left="567" w:right="474"/>
        <w:jc w:val="both"/>
        <w:rPr>
          <w:rFonts w:ascii="Palatino Linotype" w:hAnsi="Palatino Linotype" w:cs="Arial"/>
          <w:i/>
        </w:rPr>
      </w:pPr>
      <w:r w:rsidRPr="00F2403F">
        <w:rPr>
          <w:rFonts w:ascii="Palatino Linotype" w:hAnsi="Palatino Linotype" w:cs="Arial"/>
          <w:i/>
        </w:rPr>
        <w:t>11) El finiquito.”</w:t>
      </w:r>
    </w:p>
    <w:p w14:paraId="0C4EB6BA" w14:textId="77777777" w:rsidR="00BB2322" w:rsidRPr="00BB2322" w:rsidRDefault="00BB2322" w:rsidP="00BB2322">
      <w:pPr>
        <w:pStyle w:val="Prrafodelista"/>
        <w:rPr>
          <w:rFonts w:ascii="Palatino Linotype" w:hAnsi="Palatino Linotype" w:cs="Arial"/>
        </w:rPr>
      </w:pPr>
    </w:p>
    <w:p w14:paraId="2052AA0A" w14:textId="07F3269A" w:rsidR="008B2B71" w:rsidRDefault="008B2B71" w:rsidP="008B2B71">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Ahora bien</w:t>
      </w:r>
      <w:r w:rsidR="006D545D">
        <w:rPr>
          <w:rFonts w:ascii="Palatino Linotype" w:hAnsi="Palatino Linotype" w:cs="Arial"/>
        </w:rPr>
        <w:t>,</w:t>
      </w:r>
      <w:r>
        <w:rPr>
          <w:rFonts w:ascii="Palatino Linotype" w:hAnsi="Palatino Linotype" w:cs="Arial"/>
        </w:rPr>
        <w:t xml:space="preserve"> por cuanto hace al enlace de r</w:t>
      </w:r>
      <w:r w:rsidRPr="008B2B71">
        <w:rPr>
          <w:rFonts w:ascii="Palatino Linotype" w:hAnsi="Palatino Linotype" w:cs="Arial"/>
        </w:rPr>
        <w:t>esultados de procedimientos de licitación pública</w:t>
      </w:r>
      <w:r w:rsidR="006824D5">
        <w:rPr>
          <w:rFonts w:ascii="Palatino Linotype" w:hAnsi="Palatino Linotype" w:cs="Arial"/>
        </w:rPr>
        <w:t xml:space="preserve">, se hace constar que corresponde al ejercicio 2019, </w:t>
      </w:r>
      <w:r w:rsidR="006D545D">
        <w:rPr>
          <w:rFonts w:ascii="Palatino Linotype" w:hAnsi="Palatino Linotype" w:cs="Arial"/>
        </w:rPr>
        <w:t xml:space="preserve">que fue el </w:t>
      </w:r>
      <w:r w:rsidR="006824D5">
        <w:rPr>
          <w:rFonts w:ascii="Palatino Linotype" w:hAnsi="Palatino Linotype" w:cs="Arial"/>
        </w:rPr>
        <w:t>inicialmente requerido, mismo que consta de veintinueve (29) registros, los cuales se desprende fueron informados de manera trimestral del uno (1) de enero al treinta y uno (31) de diciembre de dos mil diecinueve; es decir que se abarca la temporalidad solicitada.</w:t>
      </w:r>
    </w:p>
    <w:p w14:paraId="5AE47991" w14:textId="5829ECA8" w:rsidR="00245A96" w:rsidRDefault="006824D5" w:rsidP="006824D5">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lastRenderedPageBreak/>
        <w:t xml:space="preserve">Por cuanto hace al </w:t>
      </w:r>
      <w:r w:rsidRPr="00177359">
        <w:rPr>
          <w:rFonts w:ascii="Palatino Linotype" w:hAnsi="Palatino Linotype" w:cs="Arial"/>
        </w:rPr>
        <w:t xml:space="preserve">soporte documental de los registros, se halló que </w:t>
      </w:r>
      <w:r w:rsidR="007D0B2B" w:rsidRPr="00177359">
        <w:rPr>
          <w:rFonts w:ascii="Palatino Linotype" w:hAnsi="Palatino Linotype" w:cs="Arial"/>
        </w:rPr>
        <w:t>cuentan con l</w:t>
      </w:r>
      <w:r w:rsidRPr="00177359">
        <w:rPr>
          <w:rFonts w:ascii="Palatino Linotype" w:hAnsi="Palatino Linotype" w:cs="Arial"/>
        </w:rPr>
        <w:t>as siguientes documentales</w:t>
      </w:r>
      <w:r w:rsidR="007D0B2B" w:rsidRPr="00177359">
        <w:rPr>
          <w:rFonts w:ascii="Palatino Linotype" w:hAnsi="Palatino Linotype" w:cs="Arial"/>
        </w:rPr>
        <w:t xml:space="preserve"> adjuntas:</w:t>
      </w:r>
      <w:r w:rsidRPr="00177359">
        <w:rPr>
          <w:rFonts w:ascii="Palatino Linotype" w:hAnsi="Palatino Linotype"/>
        </w:rPr>
        <w:t xml:space="preserve"> </w:t>
      </w:r>
      <w:r w:rsidR="00177359" w:rsidRPr="00177359">
        <w:rPr>
          <w:rFonts w:ascii="Palatino Linotype" w:hAnsi="Palatino Linotype"/>
        </w:rPr>
        <w:t xml:space="preserve">convocatoria, </w:t>
      </w:r>
      <w:r w:rsidRPr="00177359">
        <w:rPr>
          <w:rFonts w:ascii="Palatino Linotype" w:hAnsi="Palatino Linotype" w:cs="Arial"/>
        </w:rPr>
        <w:t>invitación restringida, participación a concurso, dictamen técnico de adjudicación</w:t>
      </w:r>
      <w:r w:rsidRPr="006824D5">
        <w:rPr>
          <w:rFonts w:ascii="Palatino Linotype" w:hAnsi="Palatino Linotype" w:cs="Arial"/>
        </w:rPr>
        <w:t xml:space="preserve">, acta de fallo, contrato de obra pública, acta de acuerdo de junta de </w:t>
      </w:r>
      <w:r w:rsidR="007D0B2B" w:rsidRPr="006824D5">
        <w:rPr>
          <w:rFonts w:ascii="Palatino Linotype" w:hAnsi="Palatino Linotype" w:cs="Arial"/>
        </w:rPr>
        <w:t>aclaraciones</w:t>
      </w:r>
      <w:r w:rsidRPr="006824D5">
        <w:rPr>
          <w:rFonts w:ascii="Palatino Linotype" w:hAnsi="Palatino Linotype" w:cs="Arial"/>
        </w:rPr>
        <w:t xml:space="preserve">, documento donde consta la presentación de las propuestas, en aquellos </w:t>
      </w:r>
      <w:r w:rsidR="007D0B2B" w:rsidRPr="006D545D">
        <w:rPr>
          <w:rFonts w:ascii="Palatino Linotype" w:hAnsi="Palatino Linotype" w:cs="Arial"/>
          <w:b/>
        </w:rPr>
        <w:t>según</w:t>
      </w:r>
      <w:r w:rsidRPr="006D545D">
        <w:rPr>
          <w:rFonts w:ascii="Palatino Linotype" w:hAnsi="Palatino Linotype" w:cs="Arial"/>
          <w:b/>
        </w:rPr>
        <w:t xml:space="preserve"> corresponda</w:t>
      </w:r>
      <w:r w:rsidRPr="006824D5">
        <w:rPr>
          <w:rFonts w:ascii="Palatino Linotype" w:hAnsi="Palatino Linotype" w:cs="Arial"/>
        </w:rPr>
        <w:t xml:space="preserve"> informes de avance físico, informes de avance financiero, acta de recepción </w:t>
      </w:r>
      <w:r w:rsidR="007D0B2B" w:rsidRPr="006824D5">
        <w:rPr>
          <w:rFonts w:ascii="Palatino Linotype" w:hAnsi="Palatino Linotype" w:cs="Arial"/>
        </w:rPr>
        <w:t>física</w:t>
      </w:r>
      <w:r w:rsidRPr="006824D5">
        <w:rPr>
          <w:rFonts w:ascii="Palatino Linotype" w:hAnsi="Palatino Linotype" w:cs="Arial"/>
        </w:rPr>
        <w:t>, acta de finiquito y terminación contractual</w:t>
      </w:r>
      <w:r w:rsidR="00245A96">
        <w:rPr>
          <w:rFonts w:ascii="Palatino Linotype" w:hAnsi="Palatino Linotype" w:cs="Arial"/>
        </w:rPr>
        <w:t>.</w:t>
      </w:r>
    </w:p>
    <w:p w14:paraId="6B0A0DFF" w14:textId="77777777" w:rsidR="00245A96" w:rsidRPr="00245A96" w:rsidRDefault="00245A96" w:rsidP="00245A96">
      <w:pPr>
        <w:pStyle w:val="Prrafodelista"/>
        <w:rPr>
          <w:rFonts w:ascii="Palatino Linotype" w:hAnsi="Palatino Linotype" w:cs="Arial"/>
        </w:rPr>
      </w:pPr>
    </w:p>
    <w:p w14:paraId="357608E5" w14:textId="0F77915D" w:rsidR="006824D5" w:rsidRDefault="006D545D" w:rsidP="006824D5">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En ese contexto, se corroboró</w:t>
      </w:r>
      <w:r w:rsidR="00245A96">
        <w:rPr>
          <w:rFonts w:ascii="Palatino Linotype" w:hAnsi="Palatino Linotype" w:cs="Arial"/>
        </w:rPr>
        <w:t xml:space="preserve"> que de cada uno de los registros se encuentre debidamente adjunto el </w:t>
      </w:r>
      <w:r w:rsidR="00245A96" w:rsidRPr="00CA757B">
        <w:rPr>
          <w:rFonts w:ascii="Palatino Linotype" w:hAnsi="Palatino Linotype" w:cs="Arial"/>
          <w:b/>
        </w:rPr>
        <w:t>contrato obra</w:t>
      </w:r>
      <w:r w:rsidR="00245A96">
        <w:rPr>
          <w:rFonts w:ascii="Palatino Linotype" w:hAnsi="Palatino Linotype" w:cs="Arial"/>
        </w:rPr>
        <w:t xml:space="preserve">, concluyendo que todos se encuentran disponibles y no existen hipervínculos </w:t>
      </w:r>
      <w:r w:rsidR="00245A96" w:rsidRPr="00245A96">
        <w:rPr>
          <w:rFonts w:ascii="Palatino Linotype" w:hAnsi="Palatino Linotype" w:cs="Arial"/>
          <w:i/>
        </w:rPr>
        <w:t>rotos</w:t>
      </w:r>
      <w:r w:rsidR="00245A96">
        <w:rPr>
          <w:rFonts w:ascii="Palatino Linotype" w:hAnsi="Palatino Linotype" w:cs="Arial"/>
        </w:rPr>
        <w:t xml:space="preserve"> o archivos no disponibles, por lo que se tiene por colmado el punto de mérito.</w:t>
      </w:r>
    </w:p>
    <w:p w14:paraId="1E520B24" w14:textId="77777777" w:rsidR="008B2B71" w:rsidRPr="008B2B71" w:rsidRDefault="008B2B71" w:rsidP="008B2B71">
      <w:pPr>
        <w:spacing w:line="360" w:lineRule="auto"/>
        <w:jc w:val="both"/>
        <w:rPr>
          <w:rFonts w:ascii="Palatino Linotype" w:hAnsi="Palatino Linotype" w:cs="Arial"/>
        </w:rPr>
      </w:pPr>
    </w:p>
    <w:p w14:paraId="0626F1F7" w14:textId="041D4186" w:rsidR="00245A96" w:rsidRPr="00177359" w:rsidRDefault="00177359" w:rsidP="00177359">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Asimismo, se señala </w:t>
      </w:r>
      <w:r w:rsidRPr="00177359">
        <w:rPr>
          <w:rFonts w:ascii="Palatino Linotype" w:hAnsi="Palatino Linotype" w:cs="Arial"/>
        </w:rPr>
        <w:t>origen de los recursos, tipo de financiamiento, mecanismo</w:t>
      </w:r>
      <w:r w:rsidR="00942B4E">
        <w:rPr>
          <w:rFonts w:ascii="Palatino Linotype" w:hAnsi="Palatino Linotype" w:cs="Arial"/>
        </w:rPr>
        <w:t>s</w:t>
      </w:r>
      <w:r w:rsidRPr="00177359">
        <w:rPr>
          <w:rFonts w:ascii="Palatino Linotype" w:hAnsi="Palatino Linotype" w:cs="Arial"/>
        </w:rPr>
        <w:t xml:space="preserve"> de vigilancia</w:t>
      </w:r>
      <w:r w:rsidR="006D545D">
        <w:rPr>
          <w:rFonts w:ascii="Palatino Linotype" w:hAnsi="Palatino Linotype" w:cs="Arial"/>
        </w:rPr>
        <w:t xml:space="preserve"> y</w:t>
      </w:r>
      <w:r w:rsidR="00942B4E">
        <w:rPr>
          <w:rFonts w:ascii="Palatino Linotype" w:hAnsi="Palatino Linotype" w:cs="Arial"/>
        </w:rPr>
        <w:t xml:space="preserve"> finiquitos</w:t>
      </w:r>
      <w:r w:rsidRPr="00177359">
        <w:rPr>
          <w:rFonts w:ascii="Palatino Linotype" w:hAnsi="Palatino Linotype" w:cs="Arial"/>
        </w:rPr>
        <w:t xml:space="preserve"> </w:t>
      </w:r>
      <w:r w:rsidR="006D545D">
        <w:rPr>
          <w:rFonts w:ascii="Palatino Linotype" w:hAnsi="Palatino Linotype" w:cs="Arial"/>
        </w:rPr>
        <w:t>con su respectivo soporte documental; asimismo se señala</w:t>
      </w:r>
      <w:r w:rsidRPr="00177359">
        <w:rPr>
          <w:rFonts w:ascii="Palatino Linotype" w:hAnsi="Palatino Linotype" w:cs="Arial"/>
        </w:rPr>
        <w:t xml:space="preserve"> si hubo convenios modificatorios, de </w:t>
      </w:r>
      <w:r w:rsidR="00942B4E">
        <w:rPr>
          <w:rFonts w:ascii="Palatino Linotype" w:hAnsi="Palatino Linotype" w:cs="Arial"/>
        </w:rPr>
        <w:t>estos últimos</w:t>
      </w:r>
      <w:r w:rsidRPr="00177359">
        <w:rPr>
          <w:rFonts w:ascii="Palatino Linotype" w:hAnsi="Palatino Linotype" w:cs="Arial"/>
        </w:rPr>
        <w:t xml:space="preserve"> no </w:t>
      </w:r>
      <w:r w:rsidR="00942B4E">
        <w:rPr>
          <w:rFonts w:ascii="Palatino Linotype" w:hAnsi="Palatino Linotype" w:cs="Arial"/>
        </w:rPr>
        <w:t>adjuntándose soporte documental</w:t>
      </w:r>
      <w:r w:rsidRPr="00177359">
        <w:rPr>
          <w:rFonts w:ascii="Palatino Linotype" w:hAnsi="Palatino Linotype" w:cs="Arial"/>
        </w:rPr>
        <w:t xml:space="preserve"> por</w:t>
      </w:r>
      <w:r w:rsidR="00942B4E">
        <w:rPr>
          <w:rFonts w:ascii="Palatino Linotype" w:hAnsi="Palatino Linotype" w:cs="Arial"/>
        </w:rPr>
        <w:t xml:space="preserve"> </w:t>
      </w:r>
      <w:r w:rsidRPr="00177359">
        <w:rPr>
          <w:rFonts w:ascii="Palatino Linotype" w:hAnsi="Palatino Linotype" w:cs="Arial"/>
        </w:rPr>
        <w:t>no haberse realizado.</w:t>
      </w:r>
    </w:p>
    <w:p w14:paraId="1F1D4B67" w14:textId="77777777" w:rsidR="00245A96" w:rsidRPr="00245A96" w:rsidRDefault="00245A96" w:rsidP="00245A96">
      <w:pPr>
        <w:pStyle w:val="Prrafodelista"/>
        <w:rPr>
          <w:rFonts w:ascii="Palatino Linotype" w:hAnsi="Palatino Linotype" w:cs="Arial"/>
        </w:rPr>
      </w:pPr>
    </w:p>
    <w:p w14:paraId="79B9466E" w14:textId="5201E726" w:rsidR="00177359" w:rsidRDefault="00177359" w:rsidP="00177359">
      <w:pPr>
        <w:pStyle w:val="Prrafodelista"/>
        <w:numPr>
          <w:ilvl w:val="0"/>
          <w:numId w:val="7"/>
        </w:numPr>
        <w:spacing w:line="360" w:lineRule="auto"/>
        <w:ind w:left="0" w:firstLine="0"/>
        <w:jc w:val="both"/>
        <w:rPr>
          <w:rFonts w:ascii="Palatino Linotype" w:eastAsia="Calibri" w:hAnsi="Palatino Linotype" w:cs="Arial"/>
        </w:rPr>
      </w:pPr>
      <w:r>
        <w:rPr>
          <w:rFonts w:ascii="Palatino Linotype" w:hAnsi="Palatino Linotype" w:cs="Arial"/>
        </w:rPr>
        <w:t xml:space="preserve">En ese orden de ideas, es de recordar que </w:t>
      </w:r>
      <w:r>
        <w:rPr>
          <w:rFonts w:ascii="Palatino Linotype" w:eastAsia="Calibri" w:hAnsi="Palatino Linotype" w:cs="Arial"/>
        </w:rPr>
        <w:t xml:space="preserve">la información solicitada, está relacionada con </w:t>
      </w:r>
      <w:r w:rsidRPr="00177359">
        <w:rPr>
          <w:rFonts w:ascii="Palatino Linotype" w:hAnsi="Palatino Linotype" w:cs="Arial"/>
        </w:rPr>
        <w:t>información</w:t>
      </w:r>
      <w:r>
        <w:rPr>
          <w:rFonts w:ascii="Palatino Linotype" w:eastAsia="Calibri" w:hAnsi="Palatino Linotype" w:cs="Arial"/>
        </w:rPr>
        <w:t xml:space="preserve"> contenida en el catálogo de obligaciones de transparencia común, establecidas en el artículo 92 fracción XXIX, el cual dice</w:t>
      </w:r>
      <w:r w:rsidR="00B74707">
        <w:rPr>
          <w:rFonts w:ascii="Palatino Linotype" w:eastAsia="Calibri" w:hAnsi="Palatino Linotype" w:cs="Arial"/>
        </w:rPr>
        <w:t xml:space="preserve"> que deberá contener</w:t>
      </w:r>
      <w:r>
        <w:rPr>
          <w:rFonts w:ascii="Palatino Linotype" w:eastAsia="Calibri" w:hAnsi="Palatino Linotype" w:cs="Arial"/>
        </w:rPr>
        <w:t>:</w:t>
      </w:r>
    </w:p>
    <w:p w14:paraId="7BBEA3F2" w14:textId="77777777" w:rsidR="00177359" w:rsidRPr="00177359" w:rsidRDefault="00177359" w:rsidP="00177359">
      <w:pPr>
        <w:pStyle w:val="Prrafodelista"/>
        <w:rPr>
          <w:rFonts w:ascii="Palatino Linotype" w:eastAsia="Calibri" w:hAnsi="Palatino Linotype" w:cs="Arial"/>
        </w:rPr>
      </w:pPr>
    </w:p>
    <w:p w14:paraId="43571D8E" w14:textId="77777777" w:rsidR="00177359" w:rsidRPr="00B74707"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b/>
          <w:i/>
        </w:rPr>
      </w:pPr>
      <w:r w:rsidRPr="00B74707">
        <w:rPr>
          <w:rFonts w:ascii="Palatino Linotype" w:eastAsia="Calibri" w:hAnsi="Palatino Linotype" w:cs="Arial"/>
          <w:b/>
          <w:i/>
        </w:rPr>
        <w:t>a) De licitaciones públicas o procedimientos de invitación restringida:</w:t>
      </w:r>
    </w:p>
    <w:p w14:paraId="0015BC1D"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lastRenderedPageBreak/>
        <w:t xml:space="preserve">1) La convocatoria o invitación emitida, así como los fundamentos legales aplicados para llevarla a cabo; </w:t>
      </w:r>
    </w:p>
    <w:p w14:paraId="5CDE4ABF"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2) Los nombres de los participantes o invitados;</w:t>
      </w:r>
    </w:p>
    <w:p w14:paraId="56E673A7"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3) El nombre del ganador y las razones que lo justifican; </w:t>
      </w:r>
    </w:p>
    <w:p w14:paraId="61EFB538"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4) El área solicitante y la responsable de su ejecución;</w:t>
      </w:r>
    </w:p>
    <w:p w14:paraId="4408003B"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5) Las convocatorias e invitaciones emitidas; </w:t>
      </w:r>
    </w:p>
    <w:p w14:paraId="01FDBDF1"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6) Los dictámenes y fallo de adjudicación; </w:t>
      </w:r>
    </w:p>
    <w:p w14:paraId="7E6C663E"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7) El contrato y, en su caso, sus anexos; </w:t>
      </w:r>
    </w:p>
    <w:p w14:paraId="1F9B525D"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8) Los mecanismos de vigilancia y supervisión, incluyendo en su caso, los estudios de impacto urbano y ambiental, según corresponda; </w:t>
      </w:r>
    </w:p>
    <w:p w14:paraId="24B36B51"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9) La partida presupuestal, de conformidad con el clasificador por objeto del gasto, en el caso de ser aplicable; </w:t>
      </w:r>
    </w:p>
    <w:p w14:paraId="1228B861"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10) Origen de los recursos especificando si son federales, estatales o municipales, así como el tipo de fondo de participación o aportación respectiva; </w:t>
      </w:r>
    </w:p>
    <w:p w14:paraId="3F360C53"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11) Los convenios modificatorios que, en su caso, sean firmados, precisando el objeto y la fecha de celebración; </w:t>
      </w:r>
    </w:p>
    <w:p w14:paraId="178390A4"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 xml:space="preserve">12) Los informes de avance físico y financiero sobre las obras o servicios contratados; </w:t>
      </w:r>
    </w:p>
    <w:p w14:paraId="2D5097CE"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lastRenderedPageBreak/>
        <w:t xml:space="preserve">13) El convenio de terminación; y </w:t>
      </w:r>
    </w:p>
    <w:p w14:paraId="07DC8478" w14:textId="77777777" w:rsidR="00177359" w:rsidRDefault="00177359" w:rsidP="00177359">
      <w:pPr>
        <w:pStyle w:val="Prrafodelista"/>
        <w:spacing w:before="100" w:beforeAutospacing="1" w:after="100" w:afterAutospacing="1" w:line="360" w:lineRule="auto"/>
        <w:ind w:left="709" w:right="474"/>
        <w:jc w:val="both"/>
        <w:rPr>
          <w:rFonts w:ascii="Palatino Linotype" w:eastAsia="Calibri" w:hAnsi="Palatino Linotype" w:cs="Arial"/>
          <w:i/>
        </w:rPr>
      </w:pPr>
      <w:r w:rsidRPr="00910532">
        <w:rPr>
          <w:rFonts w:ascii="Palatino Linotype" w:eastAsia="Calibri" w:hAnsi="Palatino Linotype" w:cs="Arial"/>
          <w:i/>
        </w:rPr>
        <w:t>14) El finiquito.</w:t>
      </w:r>
    </w:p>
    <w:p w14:paraId="3B3F4018" w14:textId="01B07B2C" w:rsidR="00177359" w:rsidRDefault="00177359" w:rsidP="00887D5B">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Por lo que de la revisión a los registros del hipervínculo entregado en respuesta, se concluye que las razones o motivos de inconformidad son inoperantes; en virtud que el contenido de los registros que allí se encuentran, colman lo requerido en la solicitud de informaci</w:t>
      </w:r>
      <w:r w:rsidR="009A6DC8">
        <w:rPr>
          <w:rFonts w:ascii="Palatino Linotype" w:hAnsi="Palatino Linotype" w:cs="Arial"/>
        </w:rPr>
        <w:t>ón inicial. Asimismo no pasa desapercibido que la información al estar conforme a lo establecido en la ley de transparencia local, se encuentra desglosada conforme al artículo anteriormente transcrito; ello es de resaltar en virtud de que el particular requirió la información “desglosada”.</w:t>
      </w:r>
    </w:p>
    <w:p w14:paraId="261CB952" w14:textId="77777777" w:rsidR="006320B8" w:rsidRDefault="006320B8" w:rsidP="006320B8">
      <w:pPr>
        <w:pStyle w:val="Prrafodelista"/>
        <w:spacing w:line="360" w:lineRule="auto"/>
        <w:ind w:left="0"/>
        <w:jc w:val="both"/>
        <w:rPr>
          <w:rFonts w:ascii="Palatino Linotype" w:hAnsi="Palatino Linotype" w:cs="Arial"/>
        </w:rPr>
      </w:pPr>
    </w:p>
    <w:p w14:paraId="2598853A" w14:textId="7A0BA271" w:rsidR="006320B8" w:rsidRPr="001B6BC9" w:rsidRDefault="006320B8" w:rsidP="006320B8">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s="Arial"/>
        </w:rPr>
        <w:t xml:space="preserve">Por otro lado, relativo </w:t>
      </w:r>
      <w:r>
        <w:rPr>
          <w:rFonts w:ascii="Palatino Linotype" w:eastAsia="Calibri" w:hAnsi="Palatino Linotype" w:cs="Arial"/>
        </w:rPr>
        <w:t xml:space="preserve">a la </w:t>
      </w:r>
      <w:r w:rsidR="006D545D">
        <w:rPr>
          <w:rFonts w:ascii="Palatino Linotype" w:eastAsia="Calibri" w:hAnsi="Palatino Linotype" w:cs="Arial"/>
        </w:rPr>
        <w:t>forma de entrega de la información</w:t>
      </w:r>
      <w:r>
        <w:rPr>
          <w:rFonts w:ascii="Palatino Linotype" w:eastAsia="Calibri" w:hAnsi="Palatino Linotype" w:cs="Arial"/>
        </w:rPr>
        <w:t>,</w:t>
      </w:r>
      <w:r w:rsidRPr="001B6BC9">
        <w:rPr>
          <w:rFonts w:ascii="Palatino Linotype" w:eastAsia="Calibri" w:hAnsi="Palatino Linotype" w:cs="Arial"/>
        </w:rPr>
        <w:t xml:space="preserve"> es importante mencionar </w:t>
      </w:r>
      <w:r w:rsidRPr="001B6BC9">
        <w:rPr>
          <w:rFonts w:ascii="Palatino Linotype" w:hAnsi="Palatino Linotype"/>
          <w:color w:val="000000"/>
        </w:rPr>
        <w:t xml:space="preserve">que la entrega de un </w:t>
      </w:r>
      <w:r w:rsidRPr="006320B8">
        <w:rPr>
          <w:rFonts w:ascii="Palatino Linotype" w:hAnsi="Palatino Linotype" w:cs="Arial"/>
        </w:rPr>
        <w:t>hipervínculo</w:t>
      </w:r>
      <w:r w:rsidRPr="001B6BC9">
        <w:rPr>
          <w:rFonts w:ascii="Palatino Linotype" w:hAnsi="Palatino Linotype"/>
          <w:color w:val="000000"/>
        </w:rPr>
        <w:t>, ciertamente puede colmar el derecho de acceso a la información de los particulares cuando se cumplan los requisitos que establece la ley de la materia.</w:t>
      </w:r>
    </w:p>
    <w:p w14:paraId="673BCA13" w14:textId="77777777" w:rsidR="006320B8" w:rsidRPr="00180986" w:rsidRDefault="006320B8" w:rsidP="006320B8">
      <w:pPr>
        <w:pStyle w:val="Prrafodelista"/>
        <w:rPr>
          <w:rFonts w:ascii="Palatino Linotype" w:hAnsi="Palatino Linotype"/>
          <w:color w:val="000000"/>
        </w:rPr>
      </w:pPr>
    </w:p>
    <w:p w14:paraId="7BC42A18" w14:textId="77777777" w:rsidR="006320B8" w:rsidRDefault="006320B8" w:rsidP="006320B8">
      <w:pPr>
        <w:pStyle w:val="Prrafodelista"/>
        <w:numPr>
          <w:ilvl w:val="0"/>
          <w:numId w:val="7"/>
        </w:numPr>
        <w:spacing w:line="360" w:lineRule="auto"/>
        <w:ind w:left="0" w:firstLine="0"/>
        <w:jc w:val="both"/>
        <w:rPr>
          <w:rFonts w:ascii="Palatino Linotype" w:eastAsia="MS Mincho" w:hAnsi="Palatino Linotype" w:cs="Tahoma"/>
        </w:rPr>
      </w:pPr>
      <w:r>
        <w:rPr>
          <w:rFonts w:ascii="Palatino Linotype" w:eastAsia="MS Mincho" w:hAnsi="Palatino Linotype" w:cs="Tahoma"/>
        </w:rPr>
        <w:t>En ese sentido, la Ley d</w:t>
      </w:r>
      <w:r w:rsidRPr="00C150F6">
        <w:rPr>
          <w:rFonts w:ascii="Palatino Linotype" w:eastAsia="MS Mincho" w:hAnsi="Palatino Linotype" w:cs="Tahoma"/>
        </w:rPr>
        <w:t xml:space="preserve">e Transparencia </w:t>
      </w:r>
      <w:r>
        <w:rPr>
          <w:rFonts w:ascii="Palatino Linotype" w:eastAsia="MS Mincho" w:hAnsi="Palatino Linotype" w:cs="Tahoma"/>
        </w:rPr>
        <w:t>y</w:t>
      </w:r>
      <w:r w:rsidRPr="00C150F6">
        <w:rPr>
          <w:rFonts w:ascii="Palatino Linotype" w:eastAsia="MS Mincho" w:hAnsi="Palatino Linotype" w:cs="Tahoma"/>
        </w:rPr>
        <w:t xml:space="preserve"> Acceso </w:t>
      </w:r>
      <w:r>
        <w:rPr>
          <w:rFonts w:ascii="Palatino Linotype" w:eastAsia="MS Mincho" w:hAnsi="Palatino Linotype" w:cs="Tahoma"/>
        </w:rPr>
        <w:t>a</w:t>
      </w:r>
      <w:r w:rsidRPr="00C150F6">
        <w:rPr>
          <w:rFonts w:ascii="Palatino Linotype" w:eastAsia="MS Mincho" w:hAnsi="Palatino Linotype" w:cs="Tahoma"/>
        </w:rPr>
        <w:t xml:space="preserve"> </w:t>
      </w:r>
      <w:r>
        <w:rPr>
          <w:rFonts w:ascii="Palatino Linotype" w:eastAsia="MS Mincho" w:hAnsi="Palatino Linotype" w:cs="Tahoma"/>
        </w:rPr>
        <w:t>l</w:t>
      </w:r>
      <w:r w:rsidRPr="00C150F6">
        <w:rPr>
          <w:rFonts w:ascii="Palatino Linotype" w:eastAsia="MS Mincho" w:hAnsi="Palatino Linotype" w:cs="Tahoma"/>
        </w:rPr>
        <w:t xml:space="preserve">a Información Pública </w:t>
      </w:r>
      <w:r>
        <w:rPr>
          <w:rFonts w:ascii="Palatino Linotype" w:eastAsia="MS Mincho" w:hAnsi="Palatino Linotype" w:cs="Tahoma"/>
        </w:rPr>
        <w:t>d</w:t>
      </w:r>
      <w:r w:rsidRPr="00C150F6">
        <w:rPr>
          <w:rFonts w:ascii="Palatino Linotype" w:eastAsia="MS Mincho" w:hAnsi="Palatino Linotype" w:cs="Tahoma"/>
        </w:rPr>
        <w:t xml:space="preserve">el Estado </w:t>
      </w:r>
      <w:r>
        <w:rPr>
          <w:rFonts w:ascii="Palatino Linotype" w:eastAsia="MS Mincho" w:hAnsi="Palatino Linotype" w:cs="Tahoma"/>
        </w:rPr>
        <w:t>d</w:t>
      </w:r>
      <w:r w:rsidRPr="00C150F6">
        <w:rPr>
          <w:rFonts w:ascii="Palatino Linotype" w:eastAsia="MS Mincho" w:hAnsi="Palatino Linotype" w:cs="Tahoma"/>
        </w:rPr>
        <w:t xml:space="preserve">e México </w:t>
      </w:r>
      <w:r>
        <w:rPr>
          <w:rFonts w:ascii="Palatino Linotype" w:eastAsia="MS Mincho" w:hAnsi="Palatino Linotype" w:cs="Tahoma"/>
        </w:rPr>
        <w:t>y</w:t>
      </w:r>
      <w:r w:rsidRPr="00C150F6">
        <w:rPr>
          <w:rFonts w:ascii="Palatino Linotype" w:eastAsia="MS Mincho" w:hAnsi="Palatino Linotype" w:cs="Tahoma"/>
        </w:rPr>
        <w:t xml:space="preserve"> Municipios</w:t>
      </w:r>
      <w:r>
        <w:rPr>
          <w:rFonts w:ascii="Palatino Linotype" w:eastAsia="MS Mincho" w:hAnsi="Palatino Linotype" w:cs="Tahoma"/>
        </w:rPr>
        <w:t xml:space="preserve"> en su artículo 161, establece lo siguiente</w:t>
      </w:r>
    </w:p>
    <w:p w14:paraId="066766E2" w14:textId="77777777" w:rsidR="00942B4E" w:rsidRDefault="006320B8" w:rsidP="006320B8">
      <w:pPr>
        <w:pStyle w:val="Prrafodelista"/>
        <w:widowControl w:val="0"/>
        <w:autoSpaceDE w:val="0"/>
        <w:autoSpaceDN w:val="0"/>
        <w:adjustRightInd w:val="0"/>
        <w:spacing w:before="240" w:after="240" w:line="360" w:lineRule="auto"/>
        <w:ind w:left="567" w:right="474"/>
        <w:jc w:val="both"/>
        <w:rPr>
          <w:rFonts w:ascii="Palatino Linotype" w:eastAsia="MS Mincho" w:hAnsi="Palatino Linotype" w:cs="Tahoma"/>
          <w:b/>
          <w:i/>
        </w:rPr>
      </w:pPr>
      <w:r w:rsidRPr="006320B8">
        <w:rPr>
          <w:rFonts w:ascii="Palatino Linotype" w:eastAsia="MS Mincho" w:hAnsi="Palatino Linotype" w:cs="Tahoma"/>
          <w:b/>
          <w:i/>
        </w:rPr>
        <w:t>“</w:t>
      </w:r>
      <w:r w:rsidRPr="00942B4E">
        <w:rPr>
          <w:rFonts w:ascii="Palatino Linotype" w:eastAsia="MS Mincho" w:hAnsi="Palatino Linotype" w:cs="Tahoma"/>
          <w:i/>
        </w:rPr>
        <w:t xml:space="preserve">Artículo 161. </w:t>
      </w:r>
      <w:r w:rsidRPr="00942B4E">
        <w:rPr>
          <w:rFonts w:ascii="Palatino Linotype" w:eastAsia="MS Mincho" w:hAnsi="Palatino Linotype" w:cs="Tahoma"/>
          <w:b/>
          <w:i/>
        </w:rPr>
        <w:t>Cuando la información requerida por el solicitante ya esté disponible al público en</w:t>
      </w:r>
      <w:r w:rsidRPr="00942B4E">
        <w:rPr>
          <w:rFonts w:ascii="Palatino Linotype" w:eastAsia="MS Mincho" w:hAnsi="Palatino Linotype" w:cs="Tahoma"/>
          <w:i/>
        </w:rPr>
        <w:t xml:space="preserve"> medios impresos, tales como libros, compendios, trípticos, registros públicos, en formatos electrónicos disponibles en </w:t>
      </w:r>
      <w:r w:rsidRPr="00942B4E">
        <w:rPr>
          <w:rFonts w:ascii="Palatino Linotype" w:eastAsia="MS Mincho" w:hAnsi="Palatino Linotype" w:cs="Tahoma"/>
          <w:b/>
          <w:i/>
        </w:rPr>
        <w:t>Internet</w:t>
      </w:r>
      <w:r w:rsidRPr="00942B4E">
        <w:rPr>
          <w:rFonts w:ascii="Palatino Linotype" w:eastAsia="MS Mincho" w:hAnsi="Palatino Linotype" w:cs="Tahoma"/>
          <w:i/>
        </w:rPr>
        <w:t xml:space="preserve"> o en cualquier otro medio, se le hará saber por el medio requerido por el solicitante la fuente, el lugar y la forma en que puede consultar, reproducir o adquirir dicha información en un plazo no mayor a cinco días hábiles. </w:t>
      </w:r>
      <w:r w:rsidRPr="006320B8">
        <w:rPr>
          <w:rFonts w:ascii="Palatino Linotype" w:eastAsia="MS Mincho" w:hAnsi="Palatino Linotype" w:cs="Tahoma"/>
          <w:b/>
          <w:i/>
        </w:rPr>
        <w:t xml:space="preserve">La fuente deberá ser </w:t>
      </w:r>
      <w:r w:rsidRPr="006320B8">
        <w:rPr>
          <w:rFonts w:ascii="Palatino Linotype" w:eastAsia="MS Mincho" w:hAnsi="Palatino Linotype" w:cs="Tahoma"/>
          <w:b/>
          <w:i/>
        </w:rPr>
        <w:lastRenderedPageBreak/>
        <w:t>precisa y concreta y no debe implicar que el solicitante realice una búsqueda en toda la informació</w:t>
      </w:r>
      <w:r w:rsidR="00942B4E">
        <w:rPr>
          <w:rFonts w:ascii="Palatino Linotype" w:eastAsia="MS Mincho" w:hAnsi="Palatino Linotype" w:cs="Tahoma"/>
          <w:b/>
          <w:i/>
        </w:rPr>
        <w:t>n que se encuentre disponible.”</w:t>
      </w:r>
    </w:p>
    <w:p w14:paraId="2F8FC9D7" w14:textId="47E2B12F" w:rsidR="006320B8" w:rsidRPr="006320B8" w:rsidRDefault="006320B8" w:rsidP="006320B8">
      <w:pPr>
        <w:pStyle w:val="Prrafodelista"/>
        <w:widowControl w:val="0"/>
        <w:autoSpaceDE w:val="0"/>
        <w:autoSpaceDN w:val="0"/>
        <w:adjustRightInd w:val="0"/>
        <w:spacing w:before="240" w:after="240" w:line="360" w:lineRule="auto"/>
        <w:ind w:left="567" w:right="474"/>
        <w:jc w:val="both"/>
        <w:rPr>
          <w:rFonts w:ascii="Palatino Linotype" w:eastAsia="MS Mincho" w:hAnsi="Palatino Linotype" w:cs="Tahoma"/>
          <w:b/>
          <w:i/>
        </w:rPr>
      </w:pPr>
      <w:r w:rsidRPr="00942B4E">
        <w:rPr>
          <w:rFonts w:ascii="Palatino Linotype" w:eastAsia="MS Mincho" w:hAnsi="Palatino Linotype" w:cs="Tahoma"/>
        </w:rPr>
        <w:t>(Énfasis añadido)</w:t>
      </w:r>
    </w:p>
    <w:p w14:paraId="3A3EFEF8" w14:textId="71E8AA15" w:rsidR="006320B8" w:rsidRPr="00B74707" w:rsidRDefault="006320B8" w:rsidP="006320B8">
      <w:pPr>
        <w:pStyle w:val="Prrafodelista"/>
        <w:numPr>
          <w:ilvl w:val="0"/>
          <w:numId w:val="7"/>
        </w:numPr>
        <w:spacing w:line="360" w:lineRule="auto"/>
        <w:ind w:left="0" w:firstLine="0"/>
        <w:jc w:val="both"/>
        <w:rPr>
          <w:b/>
          <w:color w:val="000000" w:themeColor="text1"/>
          <w:lang w:eastAsia="es-ES_tradnl"/>
        </w:rPr>
      </w:pPr>
      <w:r w:rsidRPr="006320B8">
        <w:rPr>
          <w:rFonts w:ascii="Palatino Linotype" w:eastAsia="MS Mincho" w:hAnsi="Palatino Linotype" w:cs="Tahoma"/>
        </w:rPr>
        <w:t>D</w:t>
      </w:r>
      <w:r w:rsidRPr="006320B8">
        <w:rPr>
          <w:rFonts w:ascii="Palatino Linotype" w:eastAsia="MS Mincho" w:hAnsi="Palatino Linotype" w:cs="Tahoma"/>
          <w:color w:val="000000"/>
        </w:rPr>
        <w:t>e</w:t>
      </w:r>
      <w:r>
        <w:rPr>
          <w:rFonts w:ascii="Palatino Linotype" w:hAnsi="Palatino Linotype"/>
          <w:color w:val="000000"/>
        </w:rPr>
        <w:t xml:space="preserve"> dicho dispositivo legal se desprende que si se puede obtener lo </w:t>
      </w:r>
      <w:r w:rsidRPr="00816513">
        <w:rPr>
          <w:rFonts w:ascii="Palatino Linotype" w:hAnsi="Palatino Linotype" w:cs="Arial"/>
        </w:rPr>
        <w:t>peticionado</w:t>
      </w:r>
      <w:r>
        <w:rPr>
          <w:rFonts w:ascii="Palatino Linotype" w:hAnsi="Palatino Linotype"/>
          <w:color w:val="000000"/>
        </w:rPr>
        <w:t xml:space="preserve">, a través de un hipervínculo, siendo este, </w:t>
      </w:r>
      <w:r w:rsidR="00942B4E">
        <w:rPr>
          <w:rFonts w:ascii="Palatino Linotype" w:hAnsi="Palatino Linotype"/>
          <w:color w:val="000000"/>
        </w:rPr>
        <w:t xml:space="preserve">concreto y </w:t>
      </w:r>
      <w:r>
        <w:rPr>
          <w:rFonts w:ascii="Palatino Linotype" w:hAnsi="Palatino Linotype"/>
          <w:color w:val="000000"/>
        </w:rPr>
        <w:t xml:space="preserve">especifico dirigiendo a la información sin que implique que el particular haga una búsqueda en el universo de información  que pudiera obrar en el hipervínculo entregado, entonces </w:t>
      </w:r>
      <w:r w:rsidRPr="006D545D">
        <w:rPr>
          <w:rFonts w:ascii="Palatino Linotype" w:hAnsi="Palatino Linotype"/>
          <w:b/>
          <w:color w:val="000000"/>
        </w:rPr>
        <w:t>se deberá tener por colmada la solicitud de información</w:t>
      </w:r>
      <w:r>
        <w:rPr>
          <w:rFonts w:ascii="Palatino Linotype" w:hAnsi="Palatino Linotype"/>
          <w:color w:val="000000"/>
        </w:rPr>
        <w:t>, c</w:t>
      </w:r>
      <w:r w:rsidR="00C967ED">
        <w:rPr>
          <w:rFonts w:ascii="Palatino Linotype" w:hAnsi="Palatino Linotype"/>
          <w:color w:val="000000"/>
        </w:rPr>
        <w:t xml:space="preserve">omo ocurrió en el caso concreto, por lo que </w:t>
      </w:r>
      <w:r w:rsidR="00C967ED" w:rsidRPr="00C967ED">
        <w:rPr>
          <w:rFonts w:ascii="Palatino Linotype" w:hAnsi="Palatino Linotype"/>
          <w:b/>
          <w:color w:val="000000"/>
        </w:rPr>
        <w:t>resulta inoperante el motivo de inconformidad</w:t>
      </w:r>
      <w:r w:rsidR="00C967ED">
        <w:rPr>
          <w:rFonts w:ascii="Palatino Linotype" w:hAnsi="Palatino Linotype"/>
          <w:color w:val="000000"/>
        </w:rPr>
        <w:t xml:space="preserve">, relativo a que el </w:t>
      </w:r>
      <w:r w:rsidR="00C967ED">
        <w:rPr>
          <w:rFonts w:ascii="Palatino Linotype" w:hAnsi="Palatino Linotype"/>
          <w:b/>
          <w:color w:val="000000"/>
        </w:rPr>
        <w:t>SUJETO OBLIGADO</w:t>
      </w:r>
      <w:r w:rsidR="00C967ED">
        <w:rPr>
          <w:rFonts w:ascii="Palatino Linotype" w:hAnsi="Palatino Linotype"/>
          <w:color w:val="000000"/>
        </w:rPr>
        <w:t xml:space="preserve"> entregó </w:t>
      </w:r>
      <w:r w:rsidR="00E07CA2">
        <w:rPr>
          <w:rFonts w:ascii="Palatino Linotype" w:hAnsi="Palatino Linotype"/>
          <w:color w:val="000000"/>
        </w:rPr>
        <w:t>un</w:t>
      </w:r>
      <w:r w:rsidR="00C967ED">
        <w:rPr>
          <w:rFonts w:ascii="Palatino Linotype" w:hAnsi="Palatino Linotype"/>
          <w:color w:val="000000"/>
        </w:rPr>
        <w:t xml:space="preserve"> enlace con </w:t>
      </w:r>
      <w:r w:rsidR="00C967ED" w:rsidRPr="00C967ED">
        <w:rPr>
          <w:rFonts w:ascii="Palatino Linotype" w:hAnsi="Palatino Linotype"/>
          <w:b/>
          <w:color w:val="000000"/>
        </w:rPr>
        <w:t>dolo</w:t>
      </w:r>
      <w:r w:rsidR="00C967ED">
        <w:rPr>
          <w:rFonts w:ascii="Palatino Linotype" w:hAnsi="Palatino Linotype"/>
          <w:color w:val="000000"/>
        </w:rPr>
        <w:t>, pues no se advierte que se le haya causado perjuicio o daño alguno al particular con dicha acción, por el contrario se satisfizo su pretensión desde la respuesta inicial.</w:t>
      </w:r>
    </w:p>
    <w:p w14:paraId="5941FEEF" w14:textId="77777777" w:rsidR="00B74707" w:rsidRPr="00B74707" w:rsidRDefault="00B74707" w:rsidP="00B74707">
      <w:pPr>
        <w:pStyle w:val="Prrafodelista"/>
        <w:spacing w:line="360" w:lineRule="auto"/>
        <w:ind w:left="0"/>
        <w:jc w:val="both"/>
        <w:rPr>
          <w:b/>
          <w:color w:val="000000" w:themeColor="text1"/>
          <w:lang w:eastAsia="es-ES_tradnl"/>
        </w:rPr>
      </w:pPr>
    </w:p>
    <w:p w14:paraId="2E0D8F5F" w14:textId="2C1E8BF4" w:rsidR="00B74707" w:rsidRDefault="00B74707" w:rsidP="006320B8">
      <w:pPr>
        <w:pStyle w:val="Prrafodelista"/>
        <w:numPr>
          <w:ilvl w:val="0"/>
          <w:numId w:val="7"/>
        </w:numPr>
        <w:spacing w:line="360" w:lineRule="auto"/>
        <w:ind w:left="0" w:firstLine="0"/>
        <w:jc w:val="both"/>
        <w:rPr>
          <w:rFonts w:ascii="Palatino Linotype" w:hAnsi="Palatino Linotype"/>
          <w:color w:val="000000" w:themeColor="text1"/>
          <w:lang w:eastAsia="es-ES_tradnl"/>
        </w:rPr>
      </w:pPr>
      <w:r w:rsidRPr="00B74707">
        <w:rPr>
          <w:rFonts w:ascii="Palatino Linotype" w:hAnsi="Palatino Linotype"/>
          <w:color w:val="000000" w:themeColor="text1"/>
          <w:lang w:eastAsia="es-ES_tradnl"/>
        </w:rPr>
        <w:t>No pa</w:t>
      </w:r>
      <w:r>
        <w:rPr>
          <w:rFonts w:ascii="Palatino Linotype" w:hAnsi="Palatino Linotype"/>
          <w:color w:val="000000" w:themeColor="text1"/>
          <w:lang w:eastAsia="es-ES_tradnl"/>
        </w:rPr>
        <w:t xml:space="preserve">sa desapercibido </w:t>
      </w:r>
      <w:r w:rsidR="0009206D">
        <w:rPr>
          <w:rFonts w:ascii="Palatino Linotype" w:hAnsi="Palatino Linotype"/>
          <w:color w:val="000000" w:themeColor="text1"/>
          <w:lang w:eastAsia="es-ES_tradnl"/>
        </w:rPr>
        <w:t>que si bien, la entrega de la informaci</w:t>
      </w:r>
      <w:r w:rsidR="007E08A1">
        <w:rPr>
          <w:rFonts w:ascii="Palatino Linotype" w:hAnsi="Palatino Linotype"/>
          <w:color w:val="000000" w:themeColor="text1"/>
          <w:lang w:eastAsia="es-ES_tradnl"/>
        </w:rPr>
        <w:t>ón superó</w:t>
      </w:r>
      <w:r w:rsidR="0009206D">
        <w:rPr>
          <w:rFonts w:ascii="Palatino Linotype" w:hAnsi="Palatino Linotype"/>
          <w:color w:val="000000" w:themeColor="text1"/>
          <w:lang w:eastAsia="es-ES_tradnl"/>
        </w:rPr>
        <w:t xml:space="preserve"> los cinco días hábiles que establece el artículo 161 anteriormente transcrito; también lo es que resultaría ocioso volver a ordenar al </w:t>
      </w:r>
      <w:r w:rsidR="0009206D">
        <w:rPr>
          <w:rFonts w:ascii="Palatino Linotype" w:hAnsi="Palatino Linotype"/>
          <w:b/>
          <w:color w:val="000000" w:themeColor="text1"/>
          <w:lang w:eastAsia="es-ES_tradnl"/>
        </w:rPr>
        <w:t>SUJETO OBLIGADO</w:t>
      </w:r>
      <w:r w:rsidR="0009206D">
        <w:rPr>
          <w:rFonts w:ascii="Palatino Linotype" w:hAnsi="Palatino Linotype"/>
          <w:color w:val="000000" w:themeColor="text1"/>
          <w:lang w:eastAsia="es-ES_tradnl"/>
        </w:rPr>
        <w:t xml:space="preserve"> una información que </w:t>
      </w:r>
      <w:r w:rsidR="0009206D" w:rsidRPr="0009206D">
        <w:rPr>
          <w:rFonts w:ascii="Palatino Linotype" w:hAnsi="Palatino Linotype"/>
          <w:b/>
          <w:color w:val="000000" w:themeColor="text1"/>
          <w:lang w:eastAsia="es-ES_tradnl"/>
        </w:rPr>
        <w:t>ya detenta el solicitante</w:t>
      </w:r>
      <w:r w:rsidR="0009206D">
        <w:rPr>
          <w:rFonts w:ascii="Palatino Linotype" w:hAnsi="Palatino Linotype"/>
          <w:color w:val="000000" w:themeColor="text1"/>
          <w:lang w:eastAsia="es-ES_tradnl"/>
        </w:rPr>
        <w:t xml:space="preserve">, que fue entregada </w:t>
      </w:r>
      <w:r w:rsidR="007E08A1">
        <w:rPr>
          <w:rFonts w:ascii="Palatino Linotype" w:hAnsi="Palatino Linotype"/>
          <w:color w:val="000000" w:themeColor="text1"/>
          <w:lang w:eastAsia="es-ES_tradnl"/>
        </w:rPr>
        <w:t>dentro d</w:t>
      </w:r>
      <w:r w:rsidR="0009206D">
        <w:rPr>
          <w:rFonts w:ascii="Palatino Linotype" w:hAnsi="Palatino Linotype"/>
          <w:color w:val="000000" w:themeColor="text1"/>
          <w:lang w:eastAsia="es-ES_tradnl"/>
        </w:rPr>
        <w:t>el lapso temporal que establece la normatividad para dar respuesta a una solicitud</w:t>
      </w:r>
      <w:r w:rsidR="006D545D">
        <w:rPr>
          <w:rFonts w:ascii="Palatino Linotype" w:hAnsi="Palatino Linotype"/>
          <w:color w:val="000000" w:themeColor="text1"/>
          <w:lang w:eastAsia="es-ES_tradnl"/>
        </w:rPr>
        <w:t xml:space="preserve"> de información,</w:t>
      </w:r>
      <w:r w:rsidR="0009206D">
        <w:rPr>
          <w:rFonts w:ascii="Palatino Linotype" w:hAnsi="Palatino Linotype"/>
          <w:color w:val="000000" w:themeColor="text1"/>
          <w:lang w:eastAsia="es-ES_tradnl"/>
        </w:rPr>
        <w:t xml:space="preserve"> y que además </w:t>
      </w:r>
      <w:r w:rsidR="0009206D" w:rsidRPr="0009206D">
        <w:rPr>
          <w:rFonts w:ascii="Palatino Linotype" w:hAnsi="Palatino Linotype"/>
          <w:b/>
          <w:color w:val="000000" w:themeColor="text1"/>
          <w:lang w:eastAsia="es-ES_tradnl"/>
        </w:rPr>
        <w:t>colma</w:t>
      </w:r>
      <w:r w:rsidR="0009206D">
        <w:rPr>
          <w:rFonts w:ascii="Palatino Linotype" w:hAnsi="Palatino Linotype"/>
          <w:color w:val="000000" w:themeColor="text1"/>
          <w:lang w:eastAsia="es-ES_tradnl"/>
        </w:rPr>
        <w:t xml:space="preserve"> lo requerido.</w:t>
      </w:r>
    </w:p>
    <w:p w14:paraId="08F7FE46" w14:textId="77777777" w:rsidR="009A42FF" w:rsidRPr="009A42FF" w:rsidRDefault="009A42FF" w:rsidP="009A42FF">
      <w:pPr>
        <w:pStyle w:val="Prrafodelista"/>
        <w:rPr>
          <w:rFonts w:ascii="Palatino Linotype" w:hAnsi="Palatino Linotype"/>
          <w:color w:val="000000" w:themeColor="text1"/>
          <w:lang w:eastAsia="es-ES_tradnl"/>
        </w:rPr>
      </w:pPr>
    </w:p>
    <w:p w14:paraId="23501305" w14:textId="57E432DC" w:rsidR="009A42FF" w:rsidRPr="006D20C9" w:rsidRDefault="009A42FF" w:rsidP="009A42FF">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Por otro lado, del hipervínculo entregado, relativo a los P</w:t>
      </w:r>
      <w:r w:rsidRPr="00C967ED">
        <w:rPr>
          <w:rFonts w:ascii="Palatino Linotype" w:hAnsi="Palatino Linotype"/>
          <w:color w:val="000000"/>
        </w:rPr>
        <w:t xml:space="preserve">rocedimientos de </w:t>
      </w:r>
      <w:r w:rsidRPr="00C967ED">
        <w:rPr>
          <w:rFonts w:ascii="Palatino Linotype" w:hAnsi="Palatino Linotype"/>
        </w:rPr>
        <w:t>Adjudicación</w:t>
      </w:r>
      <w:r w:rsidRPr="00C967ED">
        <w:rPr>
          <w:rFonts w:ascii="Palatino Linotype" w:hAnsi="Palatino Linotype"/>
          <w:color w:val="000000"/>
        </w:rPr>
        <w:t xml:space="preserve"> Directa 2019</w:t>
      </w:r>
      <w:r>
        <w:rPr>
          <w:rFonts w:ascii="Palatino Linotype" w:hAnsi="Palatino Linotype"/>
          <w:color w:val="000000"/>
        </w:rPr>
        <w:t xml:space="preserve">, se constató que </w:t>
      </w:r>
      <w:r w:rsidR="009C1E34">
        <w:rPr>
          <w:rFonts w:ascii="Palatino Linotype" w:hAnsi="Palatino Linotype"/>
          <w:color w:val="000000"/>
        </w:rPr>
        <w:t xml:space="preserve">de los veinte (20) registros que allí se encuentran, </w:t>
      </w:r>
      <w:r>
        <w:rPr>
          <w:rFonts w:ascii="Palatino Linotype" w:hAnsi="Palatino Linotype"/>
          <w:color w:val="000000"/>
        </w:rPr>
        <w:t xml:space="preserve">todos los enlaces de los contratos de obra pública se encontraran  </w:t>
      </w:r>
      <w:r>
        <w:rPr>
          <w:rFonts w:ascii="Palatino Linotype" w:hAnsi="Palatino Linotype"/>
          <w:color w:val="000000"/>
        </w:rPr>
        <w:lastRenderedPageBreak/>
        <w:t xml:space="preserve">disponibles para su correcta descarga, por lo que también </w:t>
      </w:r>
      <w:r w:rsidR="009A6DC8">
        <w:rPr>
          <w:rFonts w:ascii="Palatino Linotype" w:hAnsi="Palatino Linotype"/>
          <w:color w:val="000000"/>
        </w:rPr>
        <w:t>se encuentra colmado el punto,</w:t>
      </w:r>
      <w:r>
        <w:rPr>
          <w:rFonts w:ascii="Palatino Linotype" w:hAnsi="Palatino Linotype"/>
          <w:color w:val="000000"/>
        </w:rPr>
        <w:t xml:space="preserve"> ya que si bien el particular en su solicitud de información solicitó </w:t>
      </w:r>
      <w:r w:rsidR="009C1E34">
        <w:rPr>
          <w:rFonts w:ascii="Palatino Linotype" w:hAnsi="Palatino Linotype"/>
          <w:color w:val="000000"/>
        </w:rPr>
        <w:t xml:space="preserve">textualmente </w:t>
      </w:r>
      <w:r>
        <w:rPr>
          <w:rFonts w:ascii="Palatino Linotype" w:hAnsi="Palatino Linotype"/>
          <w:color w:val="000000"/>
        </w:rPr>
        <w:t>el soporte documental de licitación; también lo es que relativo a los contratos de obra pública no hizo distinción</w:t>
      </w:r>
      <w:r w:rsidRPr="006D20C9">
        <w:rPr>
          <w:rFonts w:ascii="Palatino Linotype" w:eastAsia="MS Mincho" w:hAnsi="Palatino Linotype" w:cstheme="majorBidi"/>
          <w:lang w:val="es-ES_tradnl"/>
        </w:rPr>
        <w:t xml:space="preserve"> </w:t>
      </w:r>
      <w:r>
        <w:rPr>
          <w:rFonts w:ascii="Palatino Linotype" w:eastAsia="MS Mincho" w:hAnsi="Palatino Linotype" w:cstheme="majorBidi"/>
          <w:lang w:val="es-ES_tradnl"/>
        </w:rPr>
        <w:t>de licitación pública, por invitación restringida o adjudicación directa.</w:t>
      </w:r>
    </w:p>
    <w:p w14:paraId="51F66BC0" w14:textId="77777777" w:rsidR="009A42FF" w:rsidRPr="006D20C9" w:rsidRDefault="009A42FF" w:rsidP="009A42FF">
      <w:pPr>
        <w:pStyle w:val="Prrafodelista"/>
        <w:rPr>
          <w:rFonts w:ascii="Palatino Linotype" w:hAnsi="Palatino Linotype"/>
          <w:color w:val="000000"/>
        </w:rPr>
      </w:pPr>
    </w:p>
    <w:p w14:paraId="759082C8" w14:textId="77777777" w:rsidR="009A42FF" w:rsidRPr="006D20C9" w:rsidRDefault="009A42FF" w:rsidP="009A42FF">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L</w:t>
      </w:r>
      <w:r w:rsidRPr="00DE7247">
        <w:rPr>
          <w:rFonts w:ascii="Palatino Linotype" w:hAnsi="Palatino Linotype" w:cs="Arial"/>
        </w:rPr>
        <w:t>a a</w:t>
      </w:r>
      <w:r w:rsidRPr="00DE7247">
        <w:rPr>
          <w:rFonts w:ascii="Palatino Linotype" w:hAnsi="Palatino Linotype"/>
        </w:rPr>
        <w:t>djudicación directa</w:t>
      </w:r>
      <w:r>
        <w:rPr>
          <w:rFonts w:ascii="Palatino Linotype" w:hAnsi="Palatino Linotype"/>
        </w:rPr>
        <w:t xml:space="preserve">, </w:t>
      </w:r>
      <w:r w:rsidRPr="00DE7247">
        <w:rPr>
          <w:rFonts w:ascii="Palatino Linotype" w:hAnsi="Palatino Linotype"/>
        </w:rPr>
        <w:t xml:space="preserve">debe comprenderse como una </w:t>
      </w:r>
      <w:r w:rsidRPr="006F6E92">
        <w:rPr>
          <w:rFonts w:ascii="Palatino Linotype" w:hAnsi="Palatino Linotype"/>
          <w:b/>
          <w:u w:val="single"/>
        </w:rPr>
        <w:t>excepción al procedimiento de licitación pública</w:t>
      </w:r>
      <w:r w:rsidRPr="00DE7247">
        <w:rPr>
          <w:rFonts w:ascii="Palatino Linotype" w:hAnsi="Palatino Linotype"/>
        </w:rPr>
        <w:t xml:space="preserve"> para la </w:t>
      </w:r>
      <w:r w:rsidRPr="006D20C9">
        <w:rPr>
          <w:rFonts w:ascii="Palatino Linotype" w:hAnsi="Palatino Linotype"/>
          <w:color w:val="000000"/>
        </w:rPr>
        <w:t>adquisición</w:t>
      </w:r>
      <w:r w:rsidRPr="00DE7247">
        <w:rPr>
          <w:rFonts w:ascii="Palatino Linotype" w:hAnsi="Palatino Linotype"/>
        </w:rPr>
        <w:t xml:space="preserve">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 luego entonces, si el convocante determina quién será el proveedor es por demás evidente que en estos casos no puede existir </w:t>
      </w:r>
      <w:r>
        <w:rPr>
          <w:rFonts w:ascii="Palatino Linotype" w:hAnsi="Palatino Linotype"/>
        </w:rPr>
        <w:t>un expediente de licitación.</w:t>
      </w:r>
    </w:p>
    <w:p w14:paraId="43F63149" w14:textId="77777777" w:rsidR="009A42FF" w:rsidRPr="006D20C9" w:rsidRDefault="009A42FF" w:rsidP="009A42FF">
      <w:pPr>
        <w:pStyle w:val="Prrafodelista"/>
        <w:rPr>
          <w:rFonts w:ascii="Palatino Linotype" w:hAnsi="Palatino Linotype" w:cs="Arial"/>
        </w:rPr>
      </w:pPr>
    </w:p>
    <w:p w14:paraId="56CD9675" w14:textId="10483D87" w:rsidR="009A42FF" w:rsidRPr="00DE7247" w:rsidRDefault="009A42FF" w:rsidP="009A42FF">
      <w:pPr>
        <w:pStyle w:val="Prrafodelista"/>
        <w:numPr>
          <w:ilvl w:val="0"/>
          <w:numId w:val="7"/>
        </w:numPr>
        <w:spacing w:line="360" w:lineRule="auto"/>
        <w:ind w:left="0" w:firstLine="0"/>
        <w:jc w:val="both"/>
        <w:rPr>
          <w:rFonts w:ascii="Palatino Linotype" w:hAnsi="Palatino Linotype"/>
        </w:rPr>
      </w:pPr>
      <w:r w:rsidRPr="00DE7247">
        <w:rPr>
          <w:rFonts w:ascii="Palatino Linotype" w:hAnsi="Palatino Linotype" w:cs="Arial"/>
        </w:rPr>
        <w:t xml:space="preserve">Así, la </w:t>
      </w:r>
      <w:r w:rsidRPr="00514BDD">
        <w:rPr>
          <w:rFonts w:ascii="Palatino Linotype" w:hAnsi="Palatino Linotype" w:cs="Arial"/>
        </w:rPr>
        <w:t>invitación</w:t>
      </w:r>
      <w:r w:rsidRPr="00DE7247">
        <w:rPr>
          <w:rFonts w:ascii="Palatino Linotype" w:hAnsi="Palatino Linotype"/>
        </w:rPr>
        <w:t xml:space="preserve"> restringida se constituye también como una excepción al procedimiento de licitació</w:t>
      </w:r>
      <w:r>
        <w:rPr>
          <w:rFonts w:ascii="Palatino Linotype" w:hAnsi="Palatino Linotype"/>
        </w:rPr>
        <w:t>n pública, mediante el cual la s</w:t>
      </w:r>
      <w:r w:rsidRPr="00DE7247">
        <w:rPr>
          <w:rFonts w:ascii="Palatino Linotype" w:hAnsi="Palatino Linotype"/>
        </w:rPr>
        <w:t>ecretaría</w:t>
      </w:r>
      <w:r>
        <w:rPr>
          <w:rFonts w:ascii="Palatino Linotype" w:hAnsi="Palatino Linotype"/>
        </w:rPr>
        <w:t>s</w:t>
      </w:r>
      <w:r w:rsidRPr="00DE7247">
        <w:rPr>
          <w:rFonts w:ascii="Palatino Linotype" w:hAnsi="Palatino Linotype"/>
        </w:rPr>
        <w:t xml:space="preserve">, organismos auxiliares, </w:t>
      </w:r>
      <w:r w:rsidRPr="006D20C9">
        <w:rPr>
          <w:rFonts w:ascii="Palatino Linotype" w:hAnsi="Palatino Linotype" w:cs="Arial"/>
        </w:rPr>
        <w:t>tribunales</w:t>
      </w:r>
      <w:r w:rsidRPr="00DE7247">
        <w:rPr>
          <w:rFonts w:ascii="Palatino Linotype" w:hAnsi="Palatino Linotype"/>
        </w:rPr>
        <w:t xml:space="preserve"> administrativos </w:t>
      </w:r>
      <w:r w:rsidRPr="00514BDD">
        <w:rPr>
          <w:rFonts w:ascii="Palatino Linotype" w:hAnsi="Palatino Linotype"/>
          <w:b/>
        </w:rPr>
        <w:t>o municipios</w:t>
      </w:r>
      <w:r w:rsidRPr="00DE7247">
        <w:rPr>
          <w:rFonts w:ascii="Palatino Linotype" w:hAnsi="Palatino Linotype"/>
        </w:rPr>
        <w:t xml:space="preserve">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 para este caso, es que tampoco existen </w:t>
      </w:r>
      <w:r w:rsidRPr="001132B3">
        <w:rPr>
          <w:rFonts w:ascii="Palatino Linotype" w:hAnsi="Palatino Linotype"/>
        </w:rPr>
        <w:t xml:space="preserve">convocatorias públicas </w:t>
      </w:r>
      <w:r w:rsidRPr="00DE7247">
        <w:rPr>
          <w:rFonts w:ascii="Palatino Linotype" w:hAnsi="Palatino Linotype"/>
        </w:rPr>
        <w:t>sino únicamente la invitación a quie</w:t>
      </w:r>
      <w:r>
        <w:rPr>
          <w:rFonts w:ascii="Palatino Linotype" w:hAnsi="Palatino Linotype"/>
        </w:rPr>
        <w:t xml:space="preserve">nes determinen los convocantes; mismas que se corroboró </w:t>
      </w:r>
      <w:r w:rsidRPr="006D20C9">
        <w:rPr>
          <w:rFonts w:ascii="Palatino Linotype" w:hAnsi="Palatino Linotype"/>
          <w:b/>
        </w:rPr>
        <w:t>si se encuentran adjuntas en el sitio de Internet</w:t>
      </w:r>
      <w:r>
        <w:rPr>
          <w:rFonts w:ascii="Palatino Linotype" w:hAnsi="Palatino Linotype"/>
        </w:rPr>
        <w:t xml:space="preserve"> al que se remiti</w:t>
      </w:r>
      <w:r w:rsidR="009C1E34">
        <w:rPr>
          <w:rFonts w:ascii="Palatino Linotype" w:hAnsi="Palatino Linotype"/>
        </w:rPr>
        <w:t>ó al particular, asimismo que se abarca el lapso temporal del ejercicio fiscal 2019.</w:t>
      </w:r>
    </w:p>
    <w:p w14:paraId="589CE74B" w14:textId="77777777" w:rsidR="00C967ED" w:rsidRPr="00C967ED" w:rsidRDefault="00C967ED" w:rsidP="00C967ED">
      <w:pPr>
        <w:pStyle w:val="Prrafodelista"/>
        <w:spacing w:line="360" w:lineRule="auto"/>
        <w:ind w:left="0"/>
        <w:jc w:val="both"/>
        <w:rPr>
          <w:b/>
          <w:color w:val="000000" w:themeColor="text1"/>
          <w:lang w:eastAsia="es-ES_tradnl"/>
        </w:rPr>
      </w:pPr>
    </w:p>
    <w:p w14:paraId="5AA347D3" w14:textId="15B0C7A0" w:rsidR="005116F2" w:rsidRPr="00D73F65" w:rsidRDefault="00C967ED" w:rsidP="005116F2">
      <w:pPr>
        <w:pStyle w:val="Prrafodelista"/>
        <w:numPr>
          <w:ilvl w:val="0"/>
          <w:numId w:val="7"/>
        </w:numPr>
        <w:spacing w:line="360" w:lineRule="auto"/>
        <w:ind w:left="0" w:firstLine="0"/>
        <w:jc w:val="both"/>
        <w:rPr>
          <w:rFonts w:ascii="Palatino Linotype" w:hAnsi="Palatino Linotype"/>
        </w:rPr>
      </w:pPr>
      <w:r>
        <w:rPr>
          <w:rFonts w:ascii="Palatino Linotype" w:hAnsi="Palatino Linotype" w:cs="Arial"/>
        </w:rPr>
        <w:t>En otro orden de ideas</w:t>
      </w:r>
      <w:r w:rsidR="005116F2">
        <w:rPr>
          <w:rFonts w:ascii="Palatino Linotype" w:hAnsi="Palatino Linotype" w:cs="Arial"/>
        </w:rPr>
        <w:t xml:space="preserve">, </w:t>
      </w:r>
      <w:r w:rsidR="009F2D66">
        <w:rPr>
          <w:rFonts w:ascii="Palatino Linotype" w:hAnsi="Palatino Linotype" w:cs="Arial"/>
        </w:rPr>
        <w:t xml:space="preserve">de </w:t>
      </w:r>
      <w:r w:rsidR="005116F2">
        <w:rPr>
          <w:rFonts w:ascii="Palatino Linotype" w:hAnsi="Palatino Linotype" w:cs="Arial"/>
        </w:rPr>
        <w:t>la respuesta emitida</w:t>
      </w:r>
      <w:r w:rsidR="009F2D66">
        <w:rPr>
          <w:rFonts w:ascii="Palatino Linotype" w:hAnsi="Palatino Linotype" w:cs="Arial"/>
        </w:rPr>
        <w:t xml:space="preserve"> por </w:t>
      </w:r>
      <w:r w:rsidR="00062979">
        <w:rPr>
          <w:rFonts w:ascii="Palatino Linotype" w:hAnsi="Palatino Linotype" w:cs="Arial"/>
        </w:rPr>
        <w:t>e</w:t>
      </w:r>
      <w:r w:rsidR="005116F2">
        <w:rPr>
          <w:rFonts w:ascii="Palatino Linotype" w:hAnsi="Palatino Linotype" w:cs="Arial"/>
        </w:rPr>
        <w:t xml:space="preserve">l </w:t>
      </w:r>
      <w:r w:rsidR="00062979" w:rsidRPr="00062979">
        <w:rPr>
          <w:rFonts w:ascii="Palatino Linotype" w:hAnsi="Palatino Linotype" w:cs="Arial"/>
          <w:b/>
        </w:rPr>
        <w:t>SUJETO OBLIGADO</w:t>
      </w:r>
      <w:r w:rsidR="005116F2">
        <w:rPr>
          <w:rFonts w:ascii="Palatino Linotype" w:hAnsi="Palatino Linotype" w:cs="Arial"/>
          <w:b/>
        </w:rPr>
        <w:t xml:space="preserve"> </w:t>
      </w:r>
      <w:r w:rsidR="005116F2" w:rsidRPr="00D73F65">
        <w:rPr>
          <w:rFonts w:ascii="Palatino Linotype" w:eastAsia="MS Mincho" w:hAnsi="Palatino Linotype" w:cs="Arial"/>
        </w:rPr>
        <w:t xml:space="preserve">no </w:t>
      </w:r>
      <w:r w:rsidR="009F2D66">
        <w:rPr>
          <w:rFonts w:ascii="Palatino Linotype" w:eastAsia="MS Mincho" w:hAnsi="Palatino Linotype" w:cs="Arial"/>
        </w:rPr>
        <w:t xml:space="preserve">se </w:t>
      </w:r>
      <w:r w:rsidR="005116F2" w:rsidRPr="00D73F65">
        <w:rPr>
          <w:rFonts w:ascii="Palatino Linotype" w:eastAsia="MS Mincho" w:hAnsi="Palatino Linotype" w:cs="Arial"/>
        </w:rPr>
        <w:t xml:space="preserve">puede </w:t>
      </w:r>
      <w:r w:rsidR="009F2D66">
        <w:rPr>
          <w:rFonts w:ascii="Palatino Linotype" w:hAnsi="Palatino Linotype" w:cs="Bookman Old Style"/>
        </w:rPr>
        <w:t>dudar de su</w:t>
      </w:r>
      <w:r w:rsidR="005116F2" w:rsidRPr="00D73F65">
        <w:rPr>
          <w:rFonts w:ascii="Palatino Linotype" w:hAnsi="Palatino Linotype" w:cs="Bookman Old Style"/>
        </w:rPr>
        <w:t xml:space="preserve"> veracidad</w:t>
      </w:r>
      <w:r w:rsidR="009F2D66">
        <w:rPr>
          <w:rFonts w:ascii="Palatino Linotype" w:hAnsi="Palatino Linotype" w:cs="Bookman Old Style"/>
        </w:rPr>
        <w:t>, ni</w:t>
      </w:r>
      <w:r w:rsidR="005116F2" w:rsidRPr="00D73F65">
        <w:rPr>
          <w:rFonts w:ascii="Palatino Linotype" w:hAnsi="Palatino Linotype"/>
        </w:rPr>
        <w:t xml:space="preserve"> </w:t>
      </w:r>
      <w:r w:rsidR="005116F2" w:rsidRPr="00D73F65">
        <w:rPr>
          <w:rFonts w:ascii="Palatino Linotype" w:hAnsi="Palatino Linotype" w:cs="Bookman Old Style"/>
        </w:rPr>
        <w:t>de las respuestas esgrimidas por los sujetos obligados</w:t>
      </w:r>
      <w:r w:rsidR="005116F2" w:rsidRPr="00D73F65">
        <w:rPr>
          <w:rFonts w:ascii="Palatino Linotype" w:hAnsi="Palatino Linotype" w:cs="Arial"/>
        </w:rPr>
        <w:t xml:space="preserve"> ni de la que ponen a disposición de los solicitantes; situación que se aleja de las atribuciones de este Instituto </w:t>
      </w:r>
      <w:r w:rsidR="005116F2" w:rsidRPr="009F2D66">
        <w:rPr>
          <w:rFonts w:ascii="Palatino Linotype" w:hAnsi="Palatino Linotype"/>
          <w:i/>
          <w:color w:val="000000"/>
        </w:rPr>
        <w:t xml:space="preserve">máxime </w:t>
      </w:r>
      <w:r w:rsidR="005116F2" w:rsidRPr="00D73F65">
        <w:rPr>
          <w:rFonts w:ascii="Palatino Linotype" w:hAnsi="Palatino Linotype"/>
          <w:color w:val="000000"/>
        </w:rPr>
        <w:t>que al momento que ponen a disposición ésta, la misma tiene el carácter oficial y se presume veraz, tan es así que la misma queda registrada en el Sistema de Acceso a la Información Mexiquense (SAIMEX).</w:t>
      </w:r>
    </w:p>
    <w:p w14:paraId="45074B22" w14:textId="77777777" w:rsidR="005116F2" w:rsidRPr="00D73F65" w:rsidRDefault="005116F2" w:rsidP="005116F2">
      <w:pPr>
        <w:pStyle w:val="Prrafodelista"/>
        <w:rPr>
          <w:rFonts w:ascii="Palatino Linotype" w:hAnsi="Palatino Linotype"/>
        </w:rPr>
      </w:pPr>
    </w:p>
    <w:p w14:paraId="43DA3D41" w14:textId="77777777" w:rsidR="005116F2" w:rsidRPr="00D73F65" w:rsidRDefault="005116F2" w:rsidP="005116F2">
      <w:pPr>
        <w:pStyle w:val="Prrafodelista"/>
        <w:numPr>
          <w:ilvl w:val="0"/>
          <w:numId w:val="7"/>
        </w:numPr>
        <w:spacing w:line="360" w:lineRule="auto"/>
        <w:ind w:left="0" w:firstLine="0"/>
        <w:jc w:val="both"/>
        <w:rPr>
          <w:rFonts w:ascii="Palatino Linotype" w:hAnsi="Palatino Linotype"/>
        </w:rPr>
      </w:pPr>
      <w:r w:rsidRPr="0026538F">
        <w:rPr>
          <w:rFonts w:ascii="Palatino Linotype" w:hAnsi="Palatino Linotype" w:cs="Arial"/>
        </w:rPr>
        <w:t>Sirviendo</w:t>
      </w:r>
      <w:r w:rsidRPr="00D73F65">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266CC1A7" w14:textId="77777777" w:rsidR="005116F2" w:rsidRPr="00D73F65" w:rsidRDefault="005116F2" w:rsidP="005116F2">
      <w:pPr>
        <w:pStyle w:val="Default"/>
        <w:spacing w:before="240" w:after="360" w:line="360" w:lineRule="auto"/>
        <w:ind w:left="567" w:right="616"/>
        <w:jc w:val="both"/>
        <w:rPr>
          <w:rFonts w:ascii="Palatino Linotype" w:hAnsi="Palatino Linotype"/>
          <w:i/>
        </w:rPr>
      </w:pPr>
      <w:r w:rsidRPr="00D73F65">
        <w:rPr>
          <w:rFonts w:ascii="Palatino Linotype" w:hAnsi="Palatino Linotype"/>
          <w:i/>
        </w:rPr>
        <w:t xml:space="preserve">El Instituto Federal de Acceso a la Información y Protección de Datos </w:t>
      </w:r>
      <w:r w:rsidRPr="00D73F65">
        <w:rPr>
          <w:rFonts w:ascii="Palatino Linotype" w:hAnsi="Palatino Linotype"/>
          <w:b/>
          <w:i/>
        </w:rPr>
        <w:t>no cuenta con facultades para pronunciarse respecto de la veracidad de los documentos proporcionados por los sujetos obligados.</w:t>
      </w:r>
      <w:r w:rsidRPr="00D73F65">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w:t>
      </w:r>
      <w:r w:rsidRPr="00D73F65">
        <w:rPr>
          <w:rFonts w:ascii="Palatino Linotype" w:hAnsi="Palatino Linotype"/>
          <w:i/>
        </w:rPr>
        <w:lastRenderedPageBreak/>
        <w:t>de Acceso a la Información y Protección de Datos conocer, vía recurso revisión, al respecto.</w:t>
      </w:r>
    </w:p>
    <w:p w14:paraId="354DF1BF" w14:textId="536AFE8B" w:rsidR="005116F2" w:rsidRPr="00D73F65" w:rsidRDefault="009C1E34" w:rsidP="005116F2">
      <w:pPr>
        <w:pStyle w:val="Prrafodelista"/>
        <w:numPr>
          <w:ilvl w:val="0"/>
          <w:numId w:val="7"/>
        </w:numPr>
        <w:spacing w:line="360" w:lineRule="auto"/>
        <w:ind w:left="0" w:firstLine="0"/>
        <w:jc w:val="both"/>
        <w:rPr>
          <w:rFonts w:ascii="Palatino Linotype" w:hAnsi="Palatino Linotype"/>
          <w:i/>
        </w:rPr>
      </w:pPr>
      <w:r>
        <w:rPr>
          <w:rFonts w:ascii="Palatino Linotype" w:hAnsi="Palatino Linotype" w:cs="Arial"/>
        </w:rPr>
        <w:t>Por su parte</w:t>
      </w:r>
      <w:r w:rsidR="005116F2" w:rsidRPr="00D73F65">
        <w:rPr>
          <w:rFonts w:ascii="Palatino Linotype" w:hAnsi="Palatino Linotype"/>
        </w:rPr>
        <w:t xml:space="preserve">, la </w:t>
      </w:r>
      <w:r w:rsidR="005116F2" w:rsidRPr="00D73F65">
        <w:rPr>
          <w:rFonts w:ascii="Palatino Linotype" w:hAnsi="Palatino Linotype"/>
          <w:b/>
        </w:rPr>
        <w:t>Ley de Transparencia y Acceso a la Información Pública del Estado de México y Municipios</w:t>
      </w:r>
      <w:r w:rsidR="005116F2" w:rsidRPr="00D73F65">
        <w:rPr>
          <w:rFonts w:ascii="Palatino Linotype" w:hAnsi="Palatino Linotype"/>
        </w:rPr>
        <w:t xml:space="preserve"> </w:t>
      </w:r>
      <w:r w:rsidR="005116F2">
        <w:rPr>
          <w:rFonts w:ascii="Palatino Linotype" w:hAnsi="Palatino Linotype"/>
        </w:rPr>
        <w:t xml:space="preserve">artículo 3, </w:t>
      </w:r>
      <w:r w:rsidR="005116F2" w:rsidRPr="00D73F65">
        <w:rPr>
          <w:rFonts w:ascii="Palatino Linotype" w:hAnsi="Palatino Linotype"/>
        </w:rPr>
        <w:t>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A3FEA35" w14:textId="77777777" w:rsidR="005116F2" w:rsidRPr="00D73F65" w:rsidRDefault="005116F2" w:rsidP="005116F2">
      <w:pPr>
        <w:pStyle w:val="Prrafodelista"/>
        <w:spacing w:line="360" w:lineRule="auto"/>
        <w:ind w:left="851" w:right="902"/>
        <w:jc w:val="both"/>
        <w:rPr>
          <w:rFonts w:ascii="Palatino Linotype" w:hAnsi="Palatino Linotype" w:cs="Arial"/>
          <w:i/>
        </w:rPr>
      </w:pPr>
    </w:p>
    <w:p w14:paraId="5108A11C" w14:textId="77777777" w:rsidR="005116F2" w:rsidRPr="00D73F65" w:rsidRDefault="005116F2" w:rsidP="005116F2">
      <w:pPr>
        <w:pStyle w:val="Prrafodelista"/>
        <w:spacing w:line="360" w:lineRule="auto"/>
        <w:ind w:left="567" w:right="616"/>
        <w:jc w:val="both"/>
        <w:rPr>
          <w:rFonts w:ascii="Palatino Linotype" w:hAnsi="Palatino Linotype" w:cs="Arial"/>
          <w:b/>
          <w:i/>
        </w:rPr>
      </w:pPr>
      <w:r w:rsidRPr="00D73F6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73F6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3198F4E" w14:textId="77777777" w:rsidR="005116F2" w:rsidRPr="009A42FF" w:rsidRDefault="005116F2" w:rsidP="009A42FF">
      <w:pPr>
        <w:spacing w:line="360" w:lineRule="auto"/>
        <w:ind w:right="902"/>
        <w:jc w:val="both"/>
        <w:rPr>
          <w:rFonts w:ascii="Palatino Linotype" w:hAnsi="Palatino Linotype" w:cs="Arial"/>
          <w:b/>
        </w:rPr>
      </w:pPr>
    </w:p>
    <w:p w14:paraId="169B7EE7" w14:textId="77777777" w:rsidR="005116F2" w:rsidRDefault="005116F2" w:rsidP="005116F2">
      <w:pPr>
        <w:pStyle w:val="Prrafodelista"/>
        <w:numPr>
          <w:ilvl w:val="0"/>
          <w:numId w:val="7"/>
        </w:numPr>
        <w:spacing w:line="360" w:lineRule="auto"/>
        <w:ind w:left="0" w:firstLine="0"/>
        <w:jc w:val="both"/>
        <w:rPr>
          <w:rFonts w:ascii="Palatino Linotype" w:hAnsi="Palatino Linotype" w:cs="Arial"/>
          <w:noProof/>
          <w:lang w:eastAsia="es-MX"/>
        </w:rPr>
      </w:pPr>
      <w:r w:rsidRPr="00D73F65">
        <w:rPr>
          <w:rFonts w:ascii="Palatino Linotype" w:hAnsi="Palatino Linotype"/>
        </w:rPr>
        <w:t>Numerales</w:t>
      </w:r>
      <w:r w:rsidRPr="00D73F65">
        <w:rPr>
          <w:rFonts w:ascii="Palatino Linotype" w:hAnsi="Palatino Linotype" w:cs="Arial"/>
          <w:noProof/>
          <w:lang w:eastAsia="es-MX"/>
        </w:rPr>
        <w:t xml:space="preserve"> que compelen al </w:t>
      </w:r>
      <w:r w:rsidRPr="00D73F65">
        <w:rPr>
          <w:rFonts w:ascii="Palatino Linotype" w:hAnsi="Palatino Linotype" w:cs="Arial"/>
          <w:b/>
          <w:noProof/>
          <w:lang w:eastAsia="es-MX"/>
        </w:rPr>
        <w:t>SUJETO OBLIGADO</w:t>
      </w:r>
      <w:r w:rsidRPr="00D73F65">
        <w:rPr>
          <w:rFonts w:ascii="Palatino Linotype" w:hAnsi="Palatino Linotype" w:cs="Arial"/>
          <w:noProof/>
          <w:lang w:eastAsia="es-MX"/>
        </w:rPr>
        <w:t xml:space="preserve"> apegarse en todo momento a los </w:t>
      </w:r>
      <w:r w:rsidRPr="00D73F65">
        <w:rPr>
          <w:rFonts w:ascii="Palatino Linotype" w:hAnsi="Palatino Linotype"/>
        </w:rPr>
        <w:t>criterios</w:t>
      </w:r>
      <w:r w:rsidRPr="00D73F65">
        <w:rPr>
          <w:rFonts w:ascii="Palatino Linotype" w:hAnsi="Palatino Linotype" w:cs="Arial"/>
          <w:noProof/>
          <w:lang w:eastAsia="es-MX"/>
        </w:rPr>
        <w:t xml:space="preserve"> ya expuestos, imipidiendo a este Órgano Colegiado cuestionar la veracidad de la información.</w:t>
      </w:r>
    </w:p>
    <w:p w14:paraId="069BBECD" w14:textId="77777777" w:rsidR="009F2D66" w:rsidRDefault="009F2D66" w:rsidP="009F2D66">
      <w:pPr>
        <w:pStyle w:val="Prrafodelista"/>
        <w:spacing w:line="360" w:lineRule="auto"/>
        <w:ind w:left="0"/>
        <w:jc w:val="both"/>
        <w:rPr>
          <w:rFonts w:ascii="Palatino Linotype" w:hAnsi="Palatino Linotype" w:cs="Arial"/>
          <w:noProof/>
          <w:lang w:eastAsia="es-MX"/>
        </w:rPr>
      </w:pPr>
    </w:p>
    <w:p w14:paraId="4A779A97" w14:textId="76384753" w:rsidR="009417CA" w:rsidRPr="00074FB1" w:rsidRDefault="0045375F" w:rsidP="0028672A">
      <w:pPr>
        <w:pStyle w:val="Prrafodelista"/>
        <w:numPr>
          <w:ilvl w:val="0"/>
          <w:numId w:val="7"/>
        </w:numPr>
        <w:spacing w:line="360" w:lineRule="auto"/>
        <w:ind w:left="0" w:firstLine="0"/>
        <w:jc w:val="both"/>
        <w:rPr>
          <w:rFonts w:ascii="Palatino Linotype" w:hAnsi="Palatino Linotype"/>
        </w:rPr>
      </w:pPr>
      <w:r>
        <w:rPr>
          <w:rFonts w:ascii="Palatino Linotype" w:hAnsi="Palatino Linotype" w:cs="Tahoma"/>
          <w:bCs/>
          <w:szCs w:val="22"/>
        </w:rPr>
        <w:lastRenderedPageBreak/>
        <w:t xml:space="preserve">Acotado lo anterior, </w:t>
      </w:r>
      <w:r w:rsidR="00C42E34">
        <w:rPr>
          <w:rFonts w:ascii="Palatino Linotype" w:hAnsi="Palatino Linotype" w:cs="Tahoma"/>
          <w:bCs/>
          <w:szCs w:val="22"/>
        </w:rPr>
        <w:t xml:space="preserve">es que resulta </w:t>
      </w:r>
      <w:r w:rsidR="00074FB1">
        <w:rPr>
          <w:rFonts w:ascii="Palatino Linotype" w:hAnsi="Palatino Linotype" w:cs="Tahoma"/>
          <w:bCs/>
          <w:szCs w:val="22"/>
        </w:rPr>
        <w:t xml:space="preserve">dable </w:t>
      </w:r>
      <w:r w:rsidR="009A42FF">
        <w:rPr>
          <w:rFonts w:ascii="Palatino Linotype" w:hAnsi="Palatino Linotype" w:cs="Tahoma"/>
          <w:b/>
          <w:bCs/>
          <w:szCs w:val="22"/>
        </w:rPr>
        <w:t>CONFIRMAR</w:t>
      </w:r>
      <w:r w:rsidR="009A42FF">
        <w:rPr>
          <w:rFonts w:ascii="Palatino Linotype" w:hAnsi="Palatino Linotype" w:cs="Tahoma"/>
          <w:bCs/>
          <w:szCs w:val="22"/>
        </w:rPr>
        <w:t xml:space="preserve"> la respuesta emitida en virtud que desde la re</w:t>
      </w:r>
      <w:r w:rsidR="009C1E34">
        <w:rPr>
          <w:rFonts w:ascii="Palatino Linotype" w:hAnsi="Palatino Linotype" w:cs="Tahoma"/>
          <w:bCs/>
          <w:szCs w:val="22"/>
        </w:rPr>
        <w:t xml:space="preserve">spuesta inicial </w:t>
      </w:r>
      <w:r w:rsidR="009A42FF">
        <w:rPr>
          <w:rFonts w:ascii="Palatino Linotype" w:hAnsi="Palatino Linotype" w:cs="Tahoma"/>
          <w:bCs/>
          <w:szCs w:val="22"/>
        </w:rPr>
        <w:t>atendió lo solicitado y no se lesiono el derecho de acceso a la información del particular, el cual</w:t>
      </w:r>
      <w:r w:rsidR="00D2386A">
        <w:rPr>
          <w:rFonts w:ascii="Palatino Linotype" w:hAnsi="Palatino Linotype"/>
          <w:color w:val="000000"/>
        </w:rPr>
        <w:t xml:space="preserve"> </w:t>
      </w:r>
      <w:r w:rsidR="009417CA" w:rsidRPr="009F65F9">
        <w:rPr>
          <w:rFonts w:ascii="Palatino Linotype" w:hAnsi="Palatino Linotype"/>
          <w:color w:val="000000"/>
        </w:rPr>
        <w:t xml:space="preserve">corresponde a la </w:t>
      </w:r>
      <w:r w:rsidR="009417CA" w:rsidRPr="009F65F9">
        <w:rPr>
          <w:rFonts w:ascii="Palatino Linotype" w:hAnsi="Palatino Linotype" w:cs="Arial"/>
          <w:color w:val="000000" w:themeColor="text1"/>
        </w:rPr>
        <w:t xml:space="preserve"> </w:t>
      </w:r>
      <w:r w:rsidR="009417CA" w:rsidRPr="009F65F9">
        <w:rPr>
          <w:rFonts w:ascii="Palatino Linotype" w:eastAsia="MS Mincho" w:hAnsi="Palatino Linotype"/>
          <w:i/>
        </w:rPr>
        <w:t>igualdad de oportunidades para recibir, buscar e impartir información</w:t>
      </w:r>
      <w:r w:rsidR="009417CA" w:rsidRPr="00364908">
        <w:rPr>
          <w:rStyle w:val="Refdenotaalpie"/>
          <w:rFonts w:ascii="Palatino Linotype" w:eastAsia="MS Mincho" w:hAnsi="Palatino Linotype"/>
          <w:i/>
        </w:rPr>
        <w:footnoteReference w:id="5"/>
      </w:r>
      <w:r w:rsidR="009417CA" w:rsidRPr="009F65F9">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364908">
        <w:rPr>
          <w:rStyle w:val="Refdenotaalpie"/>
          <w:rFonts w:ascii="Palatino Linotype" w:eastAsia="MS Mincho" w:hAnsi="Palatino Linotype"/>
        </w:rPr>
        <w:footnoteReference w:id="6"/>
      </w:r>
      <w:r w:rsidR="009417CA" w:rsidRPr="009F65F9">
        <w:rPr>
          <w:rFonts w:ascii="Palatino Linotype" w:eastAsia="MS Mincho" w:hAnsi="Palatino Linotype"/>
          <w:i/>
        </w:rPr>
        <w:t xml:space="preserve"> </w:t>
      </w:r>
      <w:r w:rsidR="009417CA" w:rsidRPr="009F65F9">
        <w:rPr>
          <w:rFonts w:ascii="Palatino Linotype" w:eastAsia="MS Mincho" w:hAnsi="Palatino Linotype"/>
        </w:rPr>
        <w:t xml:space="preserve">que se constituye como una herramienta fundamental para </w:t>
      </w:r>
      <w:r w:rsidR="009417CA" w:rsidRPr="009F65F9">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364908">
        <w:rPr>
          <w:rStyle w:val="Refdenotaalpie"/>
          <w:rFonts w:ascii="Palatino Linotype" w:eastAsia="MS Mincho" w:hAnsi="Palatino Linotype"/>
          <w:i/>
        </w:rPr>
        <w:footnoteReference w:id="7"/>
      </w:r>
      <w:r w:rsidR="009417CA" w:rsidRPr="009F65F9">
        <w:rPr>
          <w:rFonts w:ascii="Palatino Linotype" w:eastAsia="MS Mincho" w:hAnsi="Palatino Linotype"/>
        </w:rPr>
        <w:t>fomentando</w:t>
      </w:r>
      <w:r w:rsidR="009417CA" w:rsidRPr="009F65F9">
        <w:rPr>
          <w:rFonts w:ascii="Palatino Linotype" w:eastAsia="MS Mincho" w:hAnsi="Palatino Linotype"/>
          <w:i/>
        </w:rPr>
        <w:t xml:space="preserve"> la transparencia de las actividades estatales y</w:t>
      </w:r>
      <w:r w:rsidR="009417CA" w:rsidRPr="009F65F9">
        <w:rPr>
          <w:rFonts w:ascii="Palatino Linotype" w:eastAsia="MS Mincho" w:hAnsi="Palatino Linotype"/>
        </w:rPr>
        <w:t xml:space="preserve"> promoviendo</w:t>
      </w:r>
      <w:r w:rsidR="009417CA" w:rsidRPr="009F65F9">
        <w:rPr>
          <w:rFonts w:ascii="Palatino Linotype" w:eastAsia="MS Mincho" w:hAnsi="Palatino Linotype"/>
          <w:i/>
        </w:rPr>
        <w:t xml:space="preserve"> la responsabilidad de los funcionarios sobre su gestión pública</w:t>
      </w:r>
      <w:r w:rsidR="009417CA" w:rsidRPr="00364908">
        <w:rPr>
          <w:rStyle w:val="Refdenotaalpie"/>
          <w:rFonts w:ascii="Palatino Linotype" w:eastAsia="MS Mincho" w:hAnsi="Palatino Linotype"/>
          <w:i/>
        </w:rPr>
        <w:footnoteReference w:id="8"/>
      </w:r>
      <w:r w:rsidR="009417CA" w:rsidRPr="009F65F9">
        <w:rPr>
          <w:rFonts w:ascii="Palatino Linotype" w:eastAsia="MS Mincho" w:hAnsi="Palatino Linotype"/>
          <w:i/>
        </w:rPr>
        <w:t xml:space="preserve"> </w:t>
      </w:r>
      <w:r w:rsidR="009417CA" w:rsidRPr="009F65F9">
        <w:rPr>
          <w:rFonts w:ascii="Palatino Linotype" w:eastAsia="MS Mincho" w:hAnsi="Palatino Linotype"/>
        </w:rPr>
        <w:t>que permite</w:t>
      </w:r>
      <w:r w:rsidR="009417CA" w:rsidRPr="009F65F9">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364908">
        <w:rPr>
          <w:rStyle w:val="Refdenotaalpie"/>
          <w:rFonts w:ascii="Palatino Linotype" w:eastAsia="MS Mincho" w:hAnsi="Palatino Linotype"/>
          <w:i/>
        </w:rPr>
        <w:footnoteReference w:id="9"/>
      </w:r>
      <w:r w:rsidR="009417CA" w:rsidRPr="009F65F9">
        <w:rPr>
          <w:rFonts w:ascii="Palatino Linotype" w:eastAsia="MS Mincho" w:hAnsi="Palatino Linotype"/>
        </w:rPr>
        <w:t xml:space="preserve"> ” </w:t>
      </w:r>
    </w:p>
    <w:p w14:paraId="3210FCDB" w14:textId="77777777" w:rsidR="00074FB1" w:rsidRPr="0028419B" w:rsidRDefault="00074FB1" w:rsidP="00074FB1">
      <w:pPr>
        <w:pStyle w:val="Prrafodelista"/>
        <w:spacing w:line="360" w:lineRule="auto"/>
        <w:ind w:left="0"/>
        <w:jc w:val="both"/>
        <w:rPr>
          <w:rFonts w:ascii="Palatino Linotype" w:hAnsi="Palatino Linotype"/>
        </w:rPr>
      </w:pPr>
    </w:p>
    <w:p w14:paraId="64F78363" w14:textId="77777777" w:rsidR="009417CA" w:rsidRPr="004F1024" w:rsidRDefault="009417CA" w:rsidP="00BE1923">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hAnsi="Palatino Linotype" w:cs="Arial"/>
        </w:rPr>
        <w:t>P</w:t>
      </w:r>
      <w:r w:rsidRPr="00364908">
        <w:rPr>
          <w:rFonts w:ascii="Palatino Linotype" w:hAnsi="Palatino Linotype" w:cs="Arial"/>
        </w:rPr>
        <w:t xml:space="preserve">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Acuerdo del Pleno de este Instituto de Transparencia y Acceso a la Información </w:t>
      </w:r>
      <w:r w:rsidRPr="00364908">
        <w:rPr>
          <w:rFonts w:ascii="Palatino Linotype" w:hAnsi="Palatino Linotype" w:cs="Arial"/>
          <w:bCs/>
          <w:lang w:eastAsia="es-MX"/>
        </w:rPr>
        <w:lastRenderedPageBreak/>
        <w:t xml:space="preserve">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06785A4A"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b/>
          <w:i/>
          <w:sz w:val="22"/>
        </w:rPr>
      </w:pPr>
      <w:r w:rsidRPr="00872769">
        <w:rPr>
          <w:rFonts w:ascii="Palatino Linotype" w:hAnsi="Palatino Linotype" w:cs="Arial"/>
          <w:b/>
          <w:i/>
          <w:sz w:val="22"/>
        </w:rPr>
        <w:t>“CRITERIO 0002-11</w:t>
      </w:r>
    </w:p>
    <w:p w14:paraId="522C7CE2"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b/>
          <w:i/>
          <w:sz w:val="22"/>
        </w:rPr>
        <w:t xml:space="preserve">INFORMACIÓN PÚBLICA, CONCEPTO DE, EN MATERIA DE TRANSPARENCIA. INTERPRETACIÓN TEMÁTICA DE LOS ARTÍCULOS 2, FRACCIÓN </w:t>
      </w:r>
      <w:r w:rsidRPr="00872769">
        <w:rPr>
          <w:rFonts w:ascii="Palatino Linotype" w:hAnsi="Palatino Linotype" w:cs="Arial"/>
          <w:b/>
          <w:bCs/>
          <w:i/>
          <w:sz w:val="22"/>
        </w:rPr>
        <w:t xml:space="preserve">V, XV, Y XVI, </w:t>
      </w:r>
      <w:r w:rsidRPr="00872769">
        <w:rPr>
          <w:rFonts w:ascii="Palatino Linotype" w:hAnsi="Palatino Linotype" w:cs="Arial"/>
          <w:b/>
          <w:i/>
          <w:sz w:val="22"/>
        </w:rPr>
        <w:t>3, 4,11 Y 41.</w:t>
      </w:r>
      <w:r w:rsidRPr="0087276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En consecuencia el acceso a la información se refiere a que se cumplan cualquiera de los siguientes tres supuestos:</w:t>
      </w:r>
    </w:p>
    <w:p w14:paraId="4B230258"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generada por los Sujetos Obligados;</w:t>
      </w:r>
    </w:p>
    <w:p w14:paraId="191DBAD2"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administrada por los Sujetos Obligados, y</w:t>
      </w:r>
    </w:p>
    <w:p w14:paraId="2494BD64" w14:textId="77777777" w:rsidR="009417CA" w:rsidRDefault="009417CA" w:rsidP="00BE1923">
      <w:pPr>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48EB7034" w14:textId="77777777" w:rsidR="0028419B" w:rsidRPr="0002359A" w:rsidRDefault="0028419B" w:rsidP="00BE1923">
      <w:pPr>
        <w:spacing w:line="360" w:lineRule="auto"/>
        <w:ind w:left="567" w:right="567"/>
        <w:jc w:val="both"/>
        <w:rPr>
          <w:rFonts w:ascii="Palatino Linotype" w:hAnsi="Palatino Linotype" w:cs="Arial"/>
          <w:color w:val="000000" w:themeColor="text1"/>
          <w:sz w:val="22"/>
        </w:rPr>
      </w:pPr>
    </w:p>
    <w:p w14:paraId="79327A85" w14:textId="77777777" w:rsidR="009417CA" w:rsidRPr="00BE1923" w:rsidRDefault="009417CA" w:rsidP="00BE1923">
      <w:pPr>
        <w:pStyle w:val="Prrafodelista"/>
        <w:numPr>
          <w:ilvl w:val="0"/>
          <w:numId w:val="7"/>
        </w:numPr>
        <w:spacing w:line="360" w:lineRule="auto"/>
        <w:ind w:left="0" w:firstLine="0"/>
        <w:jc w:val="both"/>
        <w:rPr>
          <w:rFonts w:ascii="Palatino Linotype" w:hAnsi="Palatino Linotype" w:cs="Arial"/>
        </w:rPr>
      </w:pPr>
      <w:r w:rsidRPr="00364908">
        <w:rPr>
          <w:rFonts w:ascii="Palatino Linotype" w:hAnsi="Palatino Linotype"/>
        </w:rPr>
        <w:t xml:space="preserve">El </w:t>
      </w:r>
      <w:r w:rsidRPr="003F2795">
        <w:rPr>
          <w:rFonts w:ascii="Palatino Linotype" w:hAnsi="Palatino Linotype" w:cs="Arial"/>
        </w:rPr>
        <w:t>derecho</w:t>
      </w:r>
      <w:r w:rsidRPr="00364908">
        <w:rPr>
          <w:rFonts w:ascii="Palatino Linotype" w:hAnsi="Palatino Linotype"/>
        </w:rPr>
        <w:t xml:space="preserve"> de acceso a la información encuentra su materia elemental en los documentos, y la Ley de Transparencia local  nos brinda el siguiente concepto, para darnos un mejor panorama:</w:t>
      </w:r>
    </w:p>
    <w:p w14:paraId="0BA1E168" w14:textId="77777777" w:rsidR="00BE1923" w:rsidRPr="00364908" w:rsidRDefault="00BE1923" w:rsidP="00BE1923">
      <w:pPr>
        <w:pStyle w:val="Prrafodelista"/>
        <w:spacing w:line="360" w:lineRule="auto"/>
        <w:ind w:left="0"/>
        <w:jc w:val="both"/>
        <w:rPr>
          <w:rFonts w:ascii="Palatino Linotype" w:hAnsi="Palatino Linotype" w:cs="Arial"/>
        </w:rPr>
      </w:pPr>
    </w:p>
    <w:p w14:paraId="20932E50"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sz w:val="22"/>
        </w:rPr>
      </w:pPr>
      <w:r w:rsidRPr="00872769">
        <w:rPr>
          <w:rFonts w:ascii="Palatino Linotype" w:hAnsi="Palatino Linotype" w:cs="Bookman Old Style,Bold"/>
          <w:b/>
          <w:bCs/>
          <w:i/>
          <w:sz w:val="22"/>
        </w:rPr>
        <w:lastRenderedPageBreak/>
        <w:t xml:space="preserve">XI. Documento: </w:t>
      </w:r>
      <w:r w:rsidRPr="00F06A57">
        <w:rPr>
          <w:rFonts w:ascii="Palatino Linotype" w:hAnsi="Palatino Linotype" w:cs="Bookman Old Style"/>
          <w:i/>
          <w:sz w:val="22"/>
        </w:rPr>
        <w:t>Los expedientes,</w:t>
      </w:r>
      <w:r w:rsidRPr="00872769">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9A42FF">
        <w:rPr>
          <w:rFonts w:ascii="Palatino Linotype" w:hAnsi="Palatino Linotype" w:cs="Bookman Old Style"/>
          <w:b/>
          <w:i/>
          <w:sz w:val="22"/>
        </w:rPr>
        <w:t>cualquier otro registro que documente el ejercicio de las facultades, funciones y competencias de los sujetos obligados</w:t>
      </w:r>
      <w:r w:rsidRPr="00872769">
        <w:rPr>
          <w:rFonts w:ascii="Palatino Linotype" w:hAnsi="Palatino Linotype" w:cs="Bookman Old Style"/>
          <w:i/>
          <w:sz w:val="22"/>
        </w:rPr>
        <w:t>, sus servidores públicos e integrantes, sin importar su fuente o fecha de elaboración. Los documentos podrán estar en cualquier medio, sea escrito, impreso, sonoro, visual, electrónico, informático u holográfico;</w:t>
      </w:r>
    </w:p>
    <w:p w14:paraId="65266D02" w14:textId="77777777" w:rsidR="0045375F" w:rsidRDefault="0045375F" w:rsidP="00BE1923">
      <w:pPr>
        <w:autoSpaceDE w:val="0"/>
        <w:autoSpaceDN w:val="0"/>
        <w:adjustRightInd w:val="0"/>
        <w:spacing w:line="360" w:lineRule="auto"/>
        <w:ind w:left="567" w:right="567"/>
        <w:jc w:val="both"/>
        <w:rPr>
          <w:rFonts w:ascii="Palatino Linotype" w:hAnsi="Palatino Linotype" w:cs="Bookman Old Style"/>
          <w:i/>
          <w:sz w:val="22"/>
        </w:rPr>
      </w:pPr>
    </w:p>
    <w:p w14:paraId="49647F6A" w14:textId="77777777"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 xml:space="preserve">Es así que, </w:t>
      </w:r>
      <w:r w:rsidRPr="00615D0F">
        <w:rPr>
          <w:rFonts w:ascii="Palatino Linotype" w:hAnsi="Palatino Linotype"/>
        </w:rPr>
        <w:t xml:space="preserve">todos los actos de autoridad que realicen los Sujetos Obligados </w:t>
      </w:r>
      <w:r w:rsidRPr="008C69FA">
        <w:rPr>
          <w:rFonts w:ascii="Palatino Linotype" w:hAnsi="Palatino Linotype"/>
          <w:b/>
        </w:rPr>
        <w:t xml:space="preserve">deben estar </w:t>
      </w:r>
      <w:r w:rsidRPr="003F2795">
        <w:rPr>
          <w:rFonts w:ascii="Palatino Linotype" w:hAnsi="Palatino Linotype"/>
        </w:rPr>
        <w:t>documentados</w:t>
      </w:r>
      <w:r w:rsidRPr="00364908">
        <w:rPr>
          <w:rFonts w:ascii="Palatino Linotype" w:hAnsi="Palatino Linotype"/>
        </w:rPr>
        <w:t xml:space="preserve"> y, bajo el más alto estándar de transparencia deberán poner toda la información que se encuentre en su posesión, a disposición de los particulares que la soliciten.</w:t>
      </w:r>
    </w:p>
    <w:p w14:paraId="381A8E46" w14:textId="77777777" w:rsidR="009A42FF" w:rsidRDefault="009A42FF" w:rsidP="009A42FF">
      <w:pPr>
        <w:pStyle w:val="Prrafodelista"/>
        <w:spacing w:line="360" w:lineRule="auto"/>
        <w:ind w:left="0"/>
        <w:jc w:val="both"/>
        <w:rPr>
          <w:rFonts w:ascii="Palatino Linotype" w:hAnsi="Palatino Linotype"/>
        </w:rPr>
      </w:pPr>
    </w:p>
    <w:p w14:paraId="2F78E2DF" w14:textId="77777777" w:rsidR="009417CA" w:rsidRPr="00BE1923"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364908">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51DBD441" w14:textId="77777777" w:rsidR="00BE1923" w:rsidRPr="00BE1923" w:rsidRDefault="00BE1923" w:rsidP="00BE1923">
      <w:pPr>
        <w:pStyle w:val="Prrafodelista"/>
        <w:rPr>
          <w:rFonts w:ascii="Palatino Linotype" w:eastAsia="Calibri" w:hAnsi="Palatino Linotype" w:cs="Arial"/>
        </w:rPr>
      </w:pPr>
    </w:p>
    <w:p w14:paraId="4BA444ED" w14:textId="77777777" w:rsidR="009417CA" w:rsidRPr="00364908"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7F50F9C" w14:textId="77777777" w:rsidR="009417CA" w:rsidRPr="00364908"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w:t>
      </w:r>
      <w:r w:rsidRPr="00364908">
        <w:rPr>
          <w:rFonts w:ascii="Palatino Linotype" w:hAnsi="Palatino Linotype" w:cs="Bookman Old Style"/>
          <w:i/>
        </w:rPr>
        <w:lastRenderedPageBreak/>
        <w:t>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4D9DF"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2EBBD18D" w14:textId="77777777" w:rsidR="00BE1923" w:rsidRDefault="00BE1923" w:rsidP="00BE1923">
      <w:pPr>
        <w:autoSpaceDE w:val="0"/>
        <w:autoSpaceDN w:val="0"/>
        <w:adjustRightInd w:val="0"/>
        <w:spacing w:line="360" w:lineRule="auto"/>
        <w:ind w:left="567" w:right="567"/>
        <w:jc w:val="both"/>
        <w:rPr>
          <w:rFonts w:ascii="Palatino Linotype" w:hAnsi="Palatino Linotype" w:cs="Bookman Old Style"/>
          <w:i/>
        </w:rPr>
      </w:pPr>
    </w:p>
    <w:p w14:paraId="468F3EDF"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5CF657B5" w14:textId="77777777" w:rsidR="00062979"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b/>
          <w:i/>
        </w:rPr>
        <w:t>Los sujetos obligados sólo proporcionarán la información pública que se les requiera y que obre en sus archivos y en el estado en que ésta se encuentre</w:t>
      </w:r>
      <w:r w:rsidRPr="00437282">
        <w:rPr>
          <w:rFonts w:ascii="Palatino Linotype" w:hAnsi="Palatino Linotype" w:cs="Bookman Old Style"/>
          <w:i/>
        </w:rPr>
        <w:t>.</w:t>
      </w:r>
    </w:p>
    <w:p w14:paraId="4EA686DB" w14:textId="718FA60C" w:rsidR="00F06A57"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i/>
        </w:rPr>
        <w:t>La obligación de proporcionar información no comprende el procesamiento de la misma, ni el presentarla conforme al interés del solicitante; no estarán obligados a generarla, resumirla, efectuar cálcul</w:t>
      </w:r>
      <w:r w:rsidR="00F06A57">
        <w:rPr>
          <w:rFonts w:ascii="Palatino Linotype" w:hAnsi="Palatino Linotype" w:cs="Bookman Old Style"/>
          <w:i/>
        </w:rPr>
        <w:t>os o practicar investigaciones.</w:t>
      </w:r>
    </w:p>
    <w:p w14:paraId="1F80E41C" w14:textId="77777777" w:rsidR="00BE1923" w:rsidRDefault="00BE1923" w:rsidP="00BE1923">
      <w:pPr>
        <w:autoSpaceDE w:val="0"/>
        <w:autoSpaceDN w:val="0"/>
        <w:adjustRightInd w:val="0"/>
        <w:spacing w:line="360" w:lineRule="auto"/>
        <w:ind w:left="567" w:right="567"/>
        <w:jc w:val="both"/>
        <w:rPr>
          <w:rFonts w:ascii="Palatino Linotype" w:hAnsi="Palatino Linotype" w:cs="Bookman Old Style"/>
          <w:i/>
        </w:rPr>
      </w:pPr>
    </w:p>
    <w:p w14:paraId="4474064C" w14:textId="66C4C590" w:rsidR="009417CA" w:rsidRDefault="00074FB1"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Luego entonces</w:t>
      </w:r>
      <w:r w:rsidR="009417CA" w:rsidRPr="00364908">
        <w:rPr>
          <w:rFonts w:ascii="Palatino Linotype" w:hAnsi="Palatino Linotype"/>
        </w:rPr>
        <w:t xml:space="preserv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w:t>
      </w:r>
      <w:r w:rsidR="009417CA" w:rsidRPr="00364908">
        <w:rPr>
          <w:rFonts w:ascii="Palatino Linotype" w:hAnsi="Palatino Linotype"/>
        </w:rPr>
        <w:lastRenderedPageBreak/>
        <w:t>a los principios de eficacia</w:t>
      </w:r>
      <w:r w:rsidR="009417CA" w:rsidRPr="00364908">
        <w:rPr>
          <w:rStyle w:val="Refdenotaalpie"/>
          <w:rFonts w:ascii="Palatino Linotype" w:hAnsi="Palatino Linotype"/>
        </w:rPr>
        <w:footnoteReference w:id="10"/>
      </w:r>
      <w:r w:rsidR="009417CA" w:rsidRPr="0036490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662DDB8" w14:textId="77777777" w:rsidR="00BE1923" w:rsidRDefault="00BE1923" w:rsidP="00BE1923">
      <w:pPr>
        <w:pStyle w:val="Prrafodelista"/>
        <w:spacing w:line="360" w:lineRule="auto"/>
        <w:ind w:left="0"/>
        <w:jc w:val="both"/>
        <w:rPr>
          <w:rFonts w:ascii="Palatino Linotype" w:hAnsi="Palatino Linotype"/>
        </w:rPr>
      </w:pPr>
    </w:p>
    <w:p w14:paraId="32225B44" w14:textId="77777777"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0CB7C86" w14:textId="77777777" w:rsidR="00BE1923" w:rsidRPr="00BE1923" w:rsidRDefault="00BE1923" w:rsidP="00BE1923">
      <w:pPr>
        <w:pStyle w:val="Prrafodelista"/>
        <w:rPr>
          <w:rFonts w:ascii="Palatino Linotype" w:hAnsi="Palatino Linotype"/>
        </w:rPr>
      </w:pPr>
    </w:p>
    <w:p w14:paraId="7C4A44FE"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b/>
          <w:i/>
        </w:rPr>
        <w:t>ACCESO A LA INFORMACIÓN. IMPLICACIÓN DEL PRINCIPIO DE MÁXIMA PUBLICIDAD EN EL DERECHO FUNDAMENTAL RELATIVO.</w:t>
      </w:r>
      <w:r w:rsidRPr="004D7D3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4D7D3E">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845CA78"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p>
    <w:p w14:paraId="387543B9"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CUARTO TRIBUNAL COLEGIADO EN MATERIA ADMINISTRATIVA DEL PRIMER CIRCUITO. </w:t>
      </w:r>
    </w:p>
    <w:p w14:paraId="05B3D9CA" w14:textId="77777777" w:rsidR="009417CA"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Amparo en revisión 257/2012. Ruth Corona Muñoz. 6 de diciembre de 2012. Unanimidad de votos. Ponente: Jean Claude Tron Petit. Secretaria: Mayra Susana Martínez López.</w:t>
      </w:r>
    </w:p>
    <w:p w14:paraId="51544404" w14:textId="77777777" w:rsidR="00CA515B" w:rsidRPr="00E06498" w:rsidRDefault="00CA515B" w:rsidP="00CA515B">
      <w:pPr>
        <w:shd w:val="clear" w:color="auto" w:fill="FFFFFF"/>
        <w:spacing w:line="360" w:lineRule="auto"/>
        <w:contextualSpacing/>
        <w:jc w:val="both"/>
        <w:rPr>
          <w:rFonts w:ascii="Calibri" w:hAnsi="Calibri"/>
          <w:color w:val="222222"/>
        </w:rPr>
      </w:pPr>
    </w:p>
    <w:p w14:paraId="7838EB71" w14:textId="3A874617" w:rsidR="007C7F08" w:rsidRDefault="00EA3E9F" w:rsidP="00EA3E9F">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rPr>
        <w:t>P</w:t>
      </w:r>
      <w:r w:rsidRPr="00F22511">
        <w:rPr>
          <w:rFonts w:ascii="Palatino Linotype" w:hAnsi="Palatino Linotype"/>
        </w:rPr>
        <w:t xml:space="preserve">or lo que con fundamento en lo prescrito en los artículos 5 párrafos vigésimo noveno, trigésimo y trigésimo primero fracciones IV y V de la Constitución Política </w:t>
      </w:r>
      <w:r w:rsidRPr="00F22511">
        <w:rPr>
          <w:rFonts w:ascii="Palatino Linotype" w:hAnsi="Palatino Linotype"/>
        </w:rPr>
        <w:lastRenderedPageBreak/>
        <w:t xml:space="preserve">del Estado Libre y Soberano de México; 2, fracción II; 29, 36 fracciones I y II; 176, 178, 181, 185 de la Ley de Transparencia y Acceso a la Información Pública del Estado de México y Municipios, </w:t>
      </w:r>
      <w:r w:rsidRPr="00F22511">
        <w:rPr>
          <w:rFonts w:ascii="Palatino Linotype" w:hAnsi="Palatino Linotype"/>
          <w:color w:val="000000" w:themeColor="text1"/>
          <w:lang w:eastAsia="es-MX"/>
        </w:rPr>
        <w:t xml:space="preserve">este </w:t>
      </w:r>
      <w:r w:rsidRPr="00F22511">
        <w:rPr>
          <w:rFonts w:ascii="Palatino Linotype" w:hAnsi="Palatino Linotype"/>
          <w:b/>
          <w:bCs/>
          <w:color w:val="000000" w:themeColor="text1"/>
          <w:lang w:eastAsia="es-MX"/>
        </w:rPr>
        <w:t>ÓRGANO GARANTE</w:t>
      </w:r>
      <w:r w:rsidRPr="00F22511">
        <w:rPr>
          <w:rFonts w:ascii="Palatino Linotype" w:hAnsi="Palatino Linotype"/>
          <w:color w:val="000000" w:themeColor="text1"/>
          <w:lang w:eastAsia="es-MX"/>
        </w:rPr>
        <w:t xml:space="preserve"> emite los siguientes</w:t>
      </w:r>
      <w:r w:rsidR="007C7F08" w:rsidRPr="00EA3E9F">
        <w:rPr>
          <w:rFonts w:ascii="Palatino Linotype" w:hAnsi="Palatino Linotype"/>
          <w:color w:val="000000" w:themeColor="text1"/>
          <w:lang w:eastAsia="es-MX"/>
        </w:rPr>
        <w:t>:</w:t>
      </w:r>
    </w:p>
    <w:p w14:paraId="6A72083F" w14:textId="77777777" w:rsidR="009A6DC8" w:rsidRPr="00EA3E9F" w:rsidRDefault="009A6DC8" w:rsidP="009A6DC8">
      <w:pPr>
        <w:pStyle w:val="Prrafodelista"/>
        <w:spacing w:line="360" w:lineRule="auto"/>
        <w:ind w:left="0"/>
        <w:jc w:val="both"/>
        <w:rPr>
          <w:rFonts w:ascii="Palatino Linotype" w:hAnsi="Palatino Linotype"/>
          <w:color w:val="000000" w:themeColor="text1"/>
        </w:rPr>
      </w:pPr>
    </w:p>
    <w:p w14:paraId="40BE9D81" w14:textId="77777777" w:rsidR="007C7F08" w:rsidRDefault="007C7F08" w:rsidP="00EA3E9F">
      <w:pPr>
        <w:pStyle w:val="Ttulo1"/>
        <w:spacing w:before="0" w:line="360" w:lineRule="auto"/>
        <w:jc w:val="center"/>
        <w:rPr>
          <w:rFonts w:ascii="Palatino Linotype" w:eastAsia="Calibri" w:hAnsi="Palatino Linotype"/>
          <w:b/>
          <w:color w:val="000000" w:themeColor="text1"/>
          <w:sz w:val="24"/>
          <w:szCs w:val="24"/>
          <w:lang w:val="es-ES"/>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3932077"/>
      <w:bookmarkStart w:id="241" w:name="_Toc87274191"/>
      <w:r w:rsidRPr="007C7F08">
        <w:rPr>
          <w:rFonts w:ascii="Palatino Linotype" w:eastAsia="Calibri" w:hAnsi="Palatino Linotype"/>
          <w:b/>
          <w:color w:val="000000" w:themeColor="text1"/>
          <w:sz w:val="24"/>
          <w:szCs w:val="24"/>
          <w:lang w:val="es-ES"/>
        </w:rPr>
        <w:t>R E S O L U T I V O S</w:t>
      </w:r>
      <w:bookmarkEnd w:id="234"/>
      <w:bookmarkEnd w:id="235"/>
      <w:bookmarkEnd w:id="236"/>
      <w:bookmarkEnd w:id="237"/>
      <w:bookmarkEnd w:id="238"/>
      <w:bookmarkEnd w:id="239"/>
      <w:bookmarkEnd w:id="240"/>
      <w:bookmarkEnd w:id="241"/>
      <w:r w:rsidRPr="007C7F08">
        <w:rPr>
          <w:rFonts w:ascii="Palatino Linotype" w:eastAsia="Calibri" w:hAnsi="Palatino Linotype"/>
          <w:b/>
          <w:color w:val="000000" w:themeColor="text1"/>
          <w:sz w:val="24"/>
          <w:szCs w:val="24"/>
          <w:lang w:val="es-ES"/>
        </w:rPr>
        <w:t xml:space="preserve"> </w:t>
      </w:r>
    </w:p>
    <w:p w14:paraId="01B08FF4" w14:textId="77777777" w:rsidR="004F1024" w:rsidRPr="004F1024" w:rsidRDefault="004F1024" w:rsidP="00EA3E9F">
      <w:pPr>
        <w:spacing w:line="360" w:lineRule="auto"/>
        <w:rPr>
          <w:rFonts w:eastAsia="Calibri"/>
          <w:lang w:val="es-ES" w:eastAsia="es-ES"/>
        </w:rPr>
      </w:pPr>
    </w:p>
    <w:p w14:paraId="367A6B8F" w14:textId="4FA16D83" w:rsidR="00EA3E9F" w:rsidRDefault="00EA3E9F" w:rsidP="00EA3E9F">
      <w:pPr>
        <w:spacing w:line="360" w:lineRule="auto"/>
        <w:jc w:val="both"/>
        <w:rPr>
          <w:rFonts w:ascii="Palatino Linotype" w:hAnsi="Palatino Linotype" w:cs="Arial"/>
          <w:bCs/>
          <w:color w:val="000000" w:themeColor="text1"/>
        </w:rPr>
      </w:pPr>
      <w:r w:rsidRPr="00594166">
        <w:rPr>
          <w:rFonts w:ascii="Palatino Linotype" w:hAnsi="Palatino Linotype" w:cs="Arial"/>
          <w:b/>
          <w:color w:val="000000" w:themeColor="text1"/>
        </w:rPr>
        <w:t xml:space="preserve">PRIMERO. </w:t>
      </w:r>
      <w:r w:rsidRPr="00594166">
        <w:rPr>
          <w:rFonts w:ascii="Palatino Linotype" w:hAnsi="Palatino Linotype" w:cs="Arial"/>
          <w:color w:val="000000" w:themeColor="text1"/>
        </w:rPr>
        <w:t>Resultan infundadas las</w:t>
      </w:r>
      <w:r w:rsidRPr="00594166">
        <w:rPr>
          <w:rFonts w:ascii="Palatino Linotype" w:hAnsi="Palatino Linotype" w:cs="Arial"/>
          <w:b/>
          <w:color w:val="000000" w:themeColor="text1"/>
        </w:rPr>
        <w:t xml:space="preserve"> </w:t>
      </w:r>
      <w:r w:rsidRPr="00594166">
        <w:rPr>
          <w:rFonts w:ascii="Palatino Linotype" w:hAnsi="Palatino Linotype" w:cs="Arial"/>
          <w:color w:val="000000" w:themeColor="text1"/>
          <w:lang w:val="es-ES"/>
        </w:rPr>
        <w:t xml:space="preserve">razones o motivos de inconformidad hechos valer </w:t>
      </w:r>
      <w:r>
        <w:rPr>
          <w:rFonts w:ascii="Palatino Linotype" w:eastAsia="Calibri" w:hAnsi="Palatino Linotype" w:cs="Arial"/>
          <w:color w:val="000000" w:themeColor="text1"/>
          <w:lang w:val="es-ES"/>
        </w:rPr>
        <w:t>en el Recurso de R</w:t>
      </w:r>
      <w:r w:rsidRPr="00594166">
        <w:rPr>
          <w:rFonts w:ascii="Palatino Linotype" w:eastAsia="Calibri" w:hAnsi="Palatino Linotype" w:cs="Arial"/>
          <w:color w:val="000000" w:themeColor="text1"/>
          <w:lang w:val="es-ES"/>
        </w:rPr>
        <w:t xml:space="preserve">evisión </w:t>
      </w:r>
      <w:r w:rsidRPr="00594166">
        <w:rPr>
          <w:rFonts w:ascii="Palatino Linotype" w:hAnsi="Palatino Linotype" w:cs="Arial"/>
          <w:b/>
          <w:bCs/>
          <w:color w:val="000000" w:themeColor="text1"/>
        </w:rPr>
        <w:t>0</w:t>
      </w:r>
      <w:r>
        <w:rPr>
          <w:rFonts w:ascii="Palatino Linotype" w:hAnsi="Palatino Linotype" w:cs="Arial"/>
          <w:b/>
          <w:bCs/>
          <w:color w:val="000000" w:themeColor="text1"/>
        </w:rPr>
        <w:t>3993</w:t>
      </w:r>
      <w:r w:rsidRPr="00594166">
        <w:rPr>
          <w:rFonts w:ascii="Palatino Linotype" w:hAnsi="Palatino Linotype" w:cs="Arial"/>
          <w:b/>
          <w:bCs/>
          <w:color w:val="000000" w:themeColor="text1"/>
        </w:rPr>
        <w:t xml:space="preserve">/INFOEM/IP/RR/2021, </w:t>
      </w:r>
      <w:r w:rsidRPr="00594166">
        <w:rPr>
          <w:rFonts w:ascii="Palatino Linotype" w:hAnsi="Palatino Linotype" w:cs="Arial"/>
          <w:bCs/>
          <w:color w:val="000000" w:themeColor="text1"/>
        </w:rPr>
        <w:t xml:space="preserve">en términos del </w:t>
      </w:r>
      <w:r w:rsidRPr="00594166">
        <w:rPr>
          <w:rFonts w:ascii="Palatino Linotype" w:hAnsi="Palatino Linotype" w:cs="Arial"/>
          <w:b/>
          <w:bCs/>
          <w:color w:val="000000" w:themeColor="text1"/>
        </w:rPr>
        <w:t>Considerando</w:t>
      </w:r>
      <w:r w:rsidRPr="00594166">
        <w:rPr>
          <w:rFonts w:ascii="Palatino Linotype" w:hAnsi="Palatino Linotype" w:cs="Arial"/>
          <w:bCs/>
          <w:color w:val="000000" w:themeColor="text1"/>
        </w:rPr>
        <w:t xml:space="preserve"> </w:t>
      </w:r>
      <w:r w:rsidR="009A6DC8">
        <w:rPr>
          <w:rFonts w:ascii="Palatino Linotype" w:hAnsi="Palatino Linotype" w:cs="Arial"/>
          <w:b/>
          <w:bCs/>
          <w:color w:val="000000" w:themeColor="text1"/>
        </w:rPr>
        <w:t>CUART</w:t>
      </w:r>
      <w:r w:rsidRPr="00594166">
        <w:rPr>
          <w:rFonts w:ascii="Palatino Linotype" w:hAnsi="Palatino Linotype" w:cs="Arial"/>
          <w:b/>
          <w:bCs/>
          <w:color w:val="000000" w:themeColor="text1"/>
        </w:rPr>
        <w:t>O</w:t>
      </w:r>
      <w:r w:rsidRPr="00594166">
        <w:rPr>
          <w:rFonts w:ascii="Palatino Linotype" w:hAnsi="Palatino Linotype" w:cs="Arial"/>
          <w:bCs/>
          <w:color w:val="000000" w:themeColor="text1"/>
        </w:rPr>
        <w:t xml:space="preserve"> de la presente resolución.</w:t>
      </w:r>
    </w:p>
    <w:p w14:paraId="163B633B" w14:textId="77777777" w:rsidR="00EA3E9F" w:rsidRPr="00594166" w:rsidRDefault="00EA3E9F" w:rsidP="00EA3E9F">
      <w:pPr>
        <w:spacing w:line="360" w:lineRule="auto"/>
        <w:jc w:val="both"/>
        <w:rPr>
          <w:rFonts w:ascii="Palatino Linotype" w:hAnsi="Palatino Linotype"/>
          <w:color w:val="000000" w:themeColor="text1"/>
        </w:rPr>
      </w:pPr>
    </w:p>
    <w:p w14:paraId="117D0E37" w14:textId="01FFE125" w:rsidR="00EA3E9F" w:rsidRDefault="00EA3E9F" w:rsidP="00EA3E9F">
      <w:pPr>
        <w:spacing w:line="360" w:lineRule="auto"/>
        <w:jc w:val="both"/>
        <w:rPr>
          <w:rFonts w:ascii="Palatino Linotype" w:eastAsia="Calibri" w:hAnsi="Palatino Linotype" w:cs="Arial"/>
          <w:color w:val="000000" w:themeColor="text1"/>
          <w:lang w:val="es-ES"/>
        </w:rPr>
      </w:pPr>
      <w:r w:rsidRPr="00594166">
        <w:rPr>
          <w:rFonts w:ascii="Palatino Linotype" w:hAnsi="Palatino Linotype"/>
          <w:b/>
          <w:color w:val="000000" w:themeColor="text1"/>
        </w:rPr>
        <w:t>SEGUNDO.</w:t>
      </w:r>
      <w:r w:rsidRPr="00594166">
        <w:rPr>
          <w:rStyle w:val="Ttulo2Car"/>
          <w:rFonts w:ascii="Palatino Linotype" w:hAnsi="Palatino Linotype"/>
          <w:b/>
          <w:color w:val="000000" w:themeColor="text1"/>
        </w:rPr>
        <w:t xml:space="preserve"> </w:t>
      </w:r>
      <w:r w:rsidRPr="00594166">
        <w:rPr>
          <w:rFonts w:ascii="Palatino Linotype" w:eastAsia="Calibri" w:hAnsi="Palatino Linotype" w:cs="Arial"/>
          <w:color w:val="000000" w:themeColor="text1"/>
          <w:lang w:val="es-ES"/>
        </w:rPr>
        <w:t>Se</w:t>
      </w:r>
      <w:r w:rsidRPr="00594166">
        <w:rPr>
          <w:rFonts w:ascii="Palatino Linotype" w:eastAsia="Calibri" w:hAnsi="Palatino Linotype" w:cs="Arial"/>
          <w:b/>
          <w:color w:val="000000" w:themeColor="text1"/>
          <w:lang w:val="es-ES"/>
        </w:rPr>
        <w:t xml:space="preserve"> </w:t>
      </w:r>
      <w:r w:rsidRPr="009C578D">
        <w:rPr>
          <w:rFonts w:ascii="Palatino Linotype" w:eastAsia="Calibri" w:hAnsi="Palatino Linotype" w:cs="Arial"/>
          <w:b/>
          <w:color w:val="000000" w:themeColor="text1"/>
          <w:lang w:val="es-ES"/>
        </w:rPr>
        <w:t xml:space="preserve">CONFIRMA </w:t>
      </w:r>
      <w:r>
        <w:rPr>
          <w:rFonts w:ascii="Palatino Linotype" w:eastAsia="Calibri" w:hAnsi="Palatino Linotype" w:cs="Arial"/>
          <w:color w:val="000000" w:themeColor="text1"/>
          <w:lang w:val="es-ES"/>
        </w:rPr>
        <w:t>la respuesta emitida por e</w:t>
      </w:r>
      <w:r w:rsidRPr="009C578D">
        <w:rPr>
          <w:rFonts w:ascii="Palatino Linotype" w:eastAsia="Calibri" w:hAnsi="Palatino Linotype" w:cs="Arial"/>
          <w:color w:val="000000" w:themeColor="text1"/>
          <w:lang w:val="es-ES"/>
        </w:rPr>
        <w:t xml:space="preserve">l </w:t>
      </w:r>
      <w:r>
        <w:rPr>
          <w:rFonts w:ascii="Palatino Linotype" w:hAnsi="Palatino Linotype"/>
          <w:b/>
        </w:rPr>
        <w:t>Ayuntamiento de Teoloyucan,</w:t>
      </w:r>
      <w:r w:rsidRPr="009C578D">
        <w:rPr>
          <w:rFonts w:ascii="Palatino Linotype" w:eastAsia="Calibri" w:hAnsi="Palatino Linotype" w:cs="Arial"/>
          <w:color w:val="000000" w:themeColor="text1"/>
          <w:lang w:val="es-ES"/>
        </w:rPr>
        <w:t xml:space="preserve"> a la solicitud de información</w:t>
      </w:r>
      <w:r w:rsidRPr="00594166">
        <w:rPr>
          <w:rFonts w:ascii="Palatino Linotype" w:eastAsia="Calibri" w:hAnsi="Palatino Linotype" w:cs="Arial"/>
          <w:color w:val="000000" w:themeColor="text1"/>
          <w:lang w:val="es-ES"/>
        </w:rPr>
        <w:t xml:space="preserve"> </w:t>
      </w:r>
      <w:r w:rsidRPr="00EA3E9F">
        <w:rPr>
          <w:rFonts w:ascii="Palatino Linotype" w:eastAsia="Calibri" w:hAnsi="Palatino Linotype" w:cs="Arial"/>
          <w:b/>
          <w:color w:val="000000" w:themeColor="text1"/>
          <w:lang w:val="es-ES"/>
        </w:rPr>
        <w:t>00339/TEOLOYU/IP/2021</w:t>
      </w:r>
      <w:r w:rsidRPr="00594166">
        <w:rPr>
          <w:rFonts w:ascii="Palatino Linotype" w:eastAsia="Calibri" w:hAnsi="Palatino Linotype" w:cs="Arial"/>
          <w:b/>
          <w:color w:val="000000" w:themeColor="text1"/>
          <w:lang w:val="es-ES"/>
        </w:rPr>
        <w:t>.</w:t>
      </w:r>
      <w:r w:rsidRPr="00594166">
        <w:rPr>
          <w:rFonts w:ascii="Palatino Linotype" w:eastAsia="Calibri" w:hAnsi="Palatino Linotype" w:cs="Arial"/>
          <w:color w:val="000000" w:themeColor="text1"/>
          <w:lang w:val="es-ES"/>
        </w:rPr>
        <w:t xml:space="preserve"> </w:t>
      </w:r>
    </w:p>
    <w:p w14:paraId="7F5A8700" w14:textId="77777777" w:rsidR="00EA3E9F" w:rsidRPr="00594166" w:rsidRDefault="00EA3E9F" w:rsidP="00EA3E9F">
      <w:pPr>
        <w:spacing w:line="360" w:lineRule="auto"/>
        <w:jc w:val="both"/>
        <w:rPr>
          <w:rFonts w:ascii="Palatino Linotype" w:eastAsia="Calibri" w:hAnsi="Palatino Linotype" w:cs="Arial"/>
          <w:color w:val="000000" w:themeColor="text1"/>
          <w:lang w:val="es-ES"/>
        </w:rPr>
      </w:pPr>
    </w:p>
    <w:p w14:paraId="05970F7A" w14:textId="77777777" w:rsidR="00EA3E9F" w:rsidRPr="00594166" w:rsidRDefault="00EA3E9F" w:rsidP="00EA3E9F">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594166">
        <w:rPr>
          <w:rFonts w:ascii="Palatino Linotype" w:eastAsia="Palatino Linotype" w:hAnsi="Palatino Linotype" w:cs="Palatino Linotype"/>
          <w:b/>
          <w:color w:val="000000" w:themeColor="text1"/>
        </w:rPr>
        <w:t xml:space="preserve">TERCERO. </w:t>
      </w:r>
      <w:r>
        <w:rPr>
          <w:rFonts w:ascii="Palatino Linotype" w:eastAsia="Palatino Linotype" w:hAnsi="Palatino Linotype" w:cs="Palatino Linotype"/>
          <w:b/>
          <w:color w:val="000000" w:themeColor="text1"/>
        </w:rPr>
        <w:t>Notifíquese</w:t>
      </w:r>
      <w:r w:rsidRPr="00594166">
        <w:rPr>
          <w:rFonts w:ascii="Palatino Linotype" w:eastAsia="Palatino Linotype" w:hAnsi="Palatino Linotype" w:cs="Palatino Linotype"/>
          <w:b/>
          <w:color w:val="000000" w:themeColor="text1"/>
        </w:rPr>
        <w:t xml:space="preserve">, </w:t>
      </w:r>
      <w:r w:rsidRPr="00594166">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594166">
        <w:rPr>
          <w:rFonts w:ascii="Palatino Linotype" w:eastAsia="Palatino Linotype" w:hAnsi="Palatino Linotype" w:cs="Palatino Linotype"/>
          <w:b/>
          <w:color w:val="000000" w:themeColor="text1"/>
        </w:rPr>
        <w:t>SUJETO OBLIGADO.</w:t>
      </w:r>
    </w:p>
    <w:p w14:paraId="0F397757" w14:textId="77777777" w:rsidR="00EA3E9F" w:rsidRPr="00594166" w:rsidRDefault="00EA3E9F" w:rsidP="00EA3E9F">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2AA40B0A" w14:textId="77777777" w:rsidR="00EA3E9F" w:rsidRPr="00594166" w:rsidRDefault="00EA3E9F" w:rsidP="00EA3E9F">
      <w:pPr>
        <w:shd w:val="clear" w:color="auto" w:fill="FFFFFF"/>
        <w:spacing w:line="360" w:lineRule="auto"/>
        <w:jc w:val="both"/>
        <w:rPr>
          <w:rFonts w:ascii="Palatino Linotype" w:hAnsi="Palatino Linotype"/>
          <w:color w:val="000000" w:themeColor="text1"/>
        </w:rPr>
      </w:pPr>
      <w:r w:rsidRPr="00594166">
        <w:rPr>
          <w:rFonts w:ascii="Palatino Linotype" w:hAnsi="Palatino Linotype" w:cs="Arial"/>
          <w:b/>
          <w:color w:val="000000" w:themeColor="text1"/>
        </w:rPr>
        <w:t xml:space="preserve">CUARTO. </w:t>
      </w:r>
      <w:r w:rsidRPr="00594166">
        <w:rPr>
          <w:rFonts w:ascii="Palatino Linotype" w:hAnsi="Palatino Linotype"/>
          <w:b/>
          <w:bCs/>
          <w:color w:val="000000" w:themeColor="text1"/>
          <w:lang w:val="es-ES"/>
        </w:rPr>
        <w:t xml:space="preserve">Notifíquese </w:t>
      </w:r>
      <w:r w:rsidRPr="00594166">
        <w:rPr>
          <w:rFonts w:ascii="Palatino Linotype" w:hAnsi="Palatino Linotype"/>
          <w:bCs/>
          <w:color w:val="000000" w:themeColor="text1"/>
          <w:lang w:val="es-ES"/>
        </w:rPr>
        <w:t>al</w:t>
      </w:r>
      <w:r w:rsidRPr="00594166">
        <w:rPr>
          <w:rFonts w:ascii="Palatino Linotype" w:hAnsi="Palatino Linotype"/>
          <w:b/>
          <w:color w:val="000000" w:themeColor="text1"/>
        </w:rPr>
        <w:t xml:space="preserve"> </w:t>
      </w:r>
      <w:r w:rsidRPr="00594166">
        <w:rPr>
          <w:rFonts w:ascii="Palatino Linotype" w:hAnsi="Palatino Linotype"/>
          <w:b/>
          <w:color w:val="000000" w:themeColor="text1"/>
          <w:szCs w:val="22"/>
        </w:rPr>
        <w:t xml:space="preserve">RECURRENTE </w:t>
      </w:r>
      <w:r w:rsidRPr="00594166">
        <w:rPr>
          <w:rFonts w:ascii="Palatino Linotype" w:hAnsi="Palatino Linotype"/>
          <w:color w:val="000000" w:themeColor="text1"/>
        </w:rPr>
        <w:t>la presente resolución</w:t>
      </w:r>
      <w:r>
        <w:rPr>
          <w:rFonts w:ascii="Palatino Linotype" w:hAnsi="Palatino Linotype"/>
          <w:color w:val="000000" w:themeColor="text1"/>
        </w:rPr>
        <w:t>, vía SAIMEX</w:t>
      </w:r>
      <w:r w:rsidRPr="00594166">
        <w:rPr>
          <w:rFonts w:ascii="Palatino Linotype" w:hAnsi="Palatino Linotype"/>
          <w:color w:val="000000" w:themeColor="text1"/>
        </w:rPr>
        <w:t>.</w:t>
      </w:r>
    </w:p>
    <w:p w14:paraId="72484E94" w14:textId="77777777" w:rsidR="00EA3E9F" w:rsidRPr="00594166" w:rsidRDefault="00EA3E9F" w:rsidP="00EA3E9F">
      <w:pPr>
        <w:shd w:val="clear" w:color="auto" w:fill="FFFFFF"/>
        <w:spacing w:line="360" w:lineRule="auto"/>
        <w:jc w:val="both"/>
        <w:rPr>
          <w:rFonts w:ascii="Palatino Linotype" w:hAnsi="Palatino Linotype"/>
          <w:color w:val="000000" w:themeColor="text1"/>
        </w:rPr>
      </w:pPr>
    </w:p>
    <w:p w14:paraId="5AFB7CB3" w14:textId="77777777" w:rsidR="00EA3E9F" w:rsidRPr="00594166" w:rsidRDefault="00EA3E9F" w:rsidP="00EA3E9F">
      <w:pPr>
        <w:spacing w:line="360" w:lineRule="auto"/>
        <w:jc w:val="both"/>
        <w:rPr>
          <w:rFonts w:ascii="Palatino Linotype" w:eastAsia="MS Mincho" w:hAnsi="Palatino Linotype"/>
          <w:color w:val="000000" w:themeColor="text1"/>
          <w:lang w:val="es-ES"/>
        </w:rPr>
      </w:pPr>
      <w:r w:rsidRPr="00594166">
        <w:rPr>
          <w:rFonts w:ascii="Palatino Linotype" w:eastAsia="MS Mincho" w:hAnsi="Palatino Linotype"/>
          <w:b/>
          <w:color w:val="000000" w:themeColor="text1"/>
        </w:rPr>
        <w:t>QUINTO.</w:t>
      </w:r>
      <w:r w:rsidRPr="00594166">
        <w:rPr>
          <w:rFonts w:ascii="Palatino Linotype" w:eastAsia="MS Mincho" w:hAnsi="Palatino Linotype"/>
          <w:color w:val="000000" w:themeColor="text1"/>
        </w:rPr>
        <w:t xml:space="preserve"> </w:t>
      </w:r>
      <w:r w:rsidRPr="00594166">
        <w:rPr>
          <w:rFonts w:ascii="Palatino Linotype" w:eastAsia="MS Mincho" w:hAnsi="Palatino Linotype"/>
          <w:color w:val="000000" w:themeColor="text1"/>
          <w:lang w:val="es-ES"/>
        </w:rPr>
        <w:t xml:space="preserve">Se hace del conocimiento del </w:t>
      </w:r>
      <w:r w:rsidRPr="00594166">
        <w:rPr>
          <w:rFonts w:ascii="Palatino Linotype" w:hAnsi="Palatino Linotype"/>
          <w:b/>
          <w:color w:val="000000" w:themeColor="text1"/>
          <w:szCs w:val="22"/>
        </w:rPr>
        <w:t xml:space="preserve">RECURRENTE </w:t>
      </w:r>
      <w:r w:rsidRPr="00594166">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94166">
        <w:rPr>
          <w:rFonts w:ascii="Palatino Linotype" w:eastAsia="MS Mincho" w:hAnsi="Palatino Linotype"/>
          <w:bCs/>
          <w:color w:val="000000" w:themeColor="text1"/>
          <w:lang w:val="es-ES"/>
        </w:rPr>
        <w:t>vía juicio de amparo</w:t>
      </w:r>
      <w:r w:rsidRPr="00594166">
        <w:rPr>
          <w:rFonts w:ascii="Palatino Linotype" w:eastAsia="MS Mincho" w:hAnsi="Palatino Linotype"/>
          <w:color w:val="000000" w:themeColor="text1"/>
          <w:lang w:val="es-ES"/>
        </w:rPr>
        <w:t> en los términos de las leyes aplicables.</w:t>
      </w:r>
    </w:p>
    <w:p w14:paraId="439EA3B8" w14:textId="21979A7B" w:rsidR="0028419B" w:rsidRPr="00D27215" w:rsidRDefault="0028419B" w:rsidP="00EA3E9F">
      <w:pPr>
        <w:tabs>
          <w:tab w:val="left" w:pos="0"/>
        </w:tabs>
        <w:spacing w:line="360" w:lineRule="auto"/>
        <w:ind w:right="49"/>
        <w:jc w:val="both"/>
        <w:rPr>
          <w:rFonts w:ascii="Palatino Linotype" w:hAnsi="Palatino Linotype" w:cs="Arial"/>
        </w:rPr>
      </w:pPr>
      <w:r w:rsidRPr="00D27215">
        <w:rPr>
          <w:rFonts w:ascii="Palatino Linotype" w:hAnsi="Palatino Linotype" w:cs="Arial"/>
        </w:rPr>
        <w:lastRenderedPageBreak/>
        <w:t xml:space="preserve">ASÍ LO RESUELVE, </w:t>
      </w:r>
      <w:r w:rsidRPr="00D4246B">
        <w:rPr>
          <w:rFonts w:ascii="Palatino Linotype" w:hAnsi="Palatino Linotype" w:cs="Arial"/>
        </w:rPr>
        <w:t>POR UNANIMIDAD DE VOTOS,</w:t>
      </w:r>
      <w:r w:rsidRPr="00D27215">
        <w:rPr>
          <w:rFonts w:ascii="Palatino Linotype" w:hAnsi="Palatino Linotype" w:cs="Arial"/>
        </w:rPr>
        <w:t xml:space="preserve"> EL PLENO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27215">
        <w:rPr>
          <w:rFonts w:ascii="Palatino Linotype" w:hAnsi="Palatino Linotype" w:cs="Arial"/>
        </w:rPr>
        <w:t xml:space="preserve">, CONFORMADO POR LOS COMISIONADOS </w:t>
      </w:r>
      <w:r w:rsidRPr="009A1A1D">
        <w:rPr>
          <w:rFonts w:ascii="Palatino Linotype" w:hAnsi="Palatino Linotype" w:cs="Arial"/>
        </w:rPr>
        <w:t>JOSÉ MARTÍNEZ VILCHIS</w:t>
      </w:r>
      <w:r w:rsidRPr="00D27215">
        <w:rPr>
          <w:rFonts w:ascii="Palatino Linotype" w:hAnsi="Palatino Linotype" w:cs="Arial"/>
        </w:rPr>
        <w:t>;</w:t>
      </w:r>
      <w:r>
        <w:rPr>
          <w:rFonts w:ascii="Palatino Linotype" w:hAnsi="Palatino Linotype" w:cs="Arial"/>
        </w:rPr>
        <w:t xml:space="preserve"> </w:t>
      </w:r>
      <w:r w:rsidRPr="009A1A1D">
        <w:rPr>
          <w:rFonts w:ascii="Palatino Linotype" w:hAnsi="Palatino Linotype" w:cs="Arial"/>
        </w:rPr>
        <w:t>MARÍA DEL ROSARIO MEJÍA AYALA</w:t>
      </w:r>
      <w:r>
        <w:rPr>
          <w:rFonts w:ascii="Palatino Linotype" w:hAnsi="Palatino Linotype" w:cs="Arial"/>
        </w:rPr>
        <w:t xml:space="preserve">; </w:t>
      </w:r>
      <w:r w:rsidRPr="009A1A1D">
        <w:rPr>
          <w:rFonts w:ascii="Palatino Linotype" w:hAnsi="Palatino Linotype" w:cs="Arial"/>
        </w:rPr>
        <w:t>SHARON CRISTINA MORALES MARTÍNEZ</w:t>
      </w:r>
      <w:r>
        <w:rPr>
          <w:rFonts w:ascii="Palatino Linotype" w:hAnsi="Palatino Linotype" w:cs="Arial"/>
        </w:rPr>
        <w:t xml:space="preserve">; </w:t>
      </w:r>
      <w:r w:rsidRPr="009A1A1D">
        <w:rPr>
          <w:rFonts w:ascii="Palatino Linotype" w:hAnsi="Palatino Linotype" w:cs="Arial"/>
        </w:rPr>
        <w:t>GUADALUPE RAMÍREZ PEÑA</w:t>
      </w:r>
      <w:r w:rsidRPr="00D27215">
        <w:rPr>
          <w:rFonts w:ascii="Palatino Linotype" w:hAnsi="Palatino Linotype" w:cs="Arial"/>
        </w:rPr>
        <w:t xml:space="preserve"> Y LUIS GUSTAVO PARRA NORIEGA; EN LA </w:t>
      </w:r>
      <w:r>
        <w:rPr>
          <w:rFonts w:ascii="Palatino Linotype" w:hAnsi="Palatino Linotype" w:cs="Arial"/>
        </w:rPr>
        <w:t xml:space="preserve">CUADRAGÉSIMA </w:t>
      </w:r>
      <w:r w:rsidR="006E0AE1">
        <w:rPr>
          <w:rFonts w:ascii="Palatino Linotype" w:hAnsi="Palatino Linotype" w:cs="Arial"/>
        </w:rPr>
        <w:t xml:space="preserve">PRIMERA </w:t>
      </w:r>
      <w:r>
        <w:rPr>
          <w:rFonts w:ascii="Palatino Linotype" w:hAnsi="Palatino Linotype" w:cs="Arial"/>
        </w:rPr>
        <w:t>SESIÓN ORDINARIA CELEBRADA EL DIE</w:t>
      </w:r>
      <w:r w:rsidR="00FA2C59">
        <w:rPr>
          <w:rFonts w:ascii="Palatino Linotype" w:hAnsi="Palatino Linotype" w:cs="Arial"/>
        </w:rPr>
        <w:t>C</w:t>
      </w:r>
      <w:r w:rsidR="006E0AE1">
        <w:rPr>
          <w:rFonts w:ascii="Palatino Linotype" w:hAnsi="Palatino Linotype" w:cs="Arial"/>
        </w:rPr>
        <w:t>IOCHO</w:t>
      </w:r>
      <w:r>
        <w:rPr>
          <w:rFonts w:ascii="Palatino Linotype" w:hAnsi="Palatino Linotype" w:cs="Arial"/>
        </w:rPr>
        <w:t xml:space="preserve"> </w:t>
      </w:r>
      <w:r w:rsidRPr="00D27215">
        <w:rPr>
          <w:rFonts w:ascii="Palatino Linotype" w:hAnsi="Palatino Linotype" w:cs="Arial"/>
        </w:rPr>
        <w:t xml:space="preserve">DE </w:t>
      </w:r>
      <w:r>
        <w:rPr>
          <w:rFonts w:ascii="Palatino Linotype" w:hAnsi="Palatino Linotype" w:cs="Arial"/>
        </w:rPr>
        <w:t>NOVIEMBRE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C871AA">
      <w:headerReference w:type="default" r:id="rId11"/>
      <w:footerReference w:type="default" r:id="rId12"/>
      <w:headerReference w:type="first" r:id="rId13"/>
      <w:footerReference w:type="first" r:id="rId14"/>
      <w:pgSz w:w="12240" w:h="15840"/>
      <w:pgMar w:top="2269"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BB99" w14:textId="77777777" w:rsidR="005F5830" w:rsidRDefault="005F5830" w:rsidP="00C80F8C">
      <w:r>
        <w:separator/>
      </w:r>
    </w:p>
  </w:endnote>
  <w:endnote w:type="continuationSeparator" w:id="0">
    <w:p w14:paraId="1467EA5A" w14:textId="77777777" w:rsidR="005F5830" w:rsidRDefault="005F58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77777777" w:rsidR="00C21B72" w:rsidRDefault="00C21B7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C3C2C">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C3C2C">
      <w:rPr>
        <w:rFonts w:ascii="Arial" w:hAnsi="Arial" w:cs="Arial"/>
        <w:b/>
        <w:bCs/>
        <w:noProof/>
        <w:sz w:val="20"/>
        <w:szCs w:val="20"/>
      </w:rPr>
      <w:t>33</w:t>
    </w:r>
    <w:r>
      <w:rPr>
        <w:rFonts w:ascii="Arial" w:hAnsi="Arial" w:cs="Arial"/>
        <w:b/>
        <w:bCs/>
        <w:sz w:val="20"/>
        <w:szCs w:val="20"/>
      </w:rPr>
      <w:fldChar w:fldCharType="end"/>
    </w:r>
  </w:p>
  <w:p w14:paraId="1192A578" w14:textId="77777777" w:rsidR="00C21B72" w:rsidRDefault="00C21B72" w:rsidP="00935A0D">
    <w:pPr>
      <w:pStyle w:val="Piedepgina"/>
      <w:rPr>
        <w:rFonts w:ascii="Times New Roman" w:hAnsi="Times New Roman" w:cs="Times New Roman"/>
      </w:rPr>
    </w:pPr>
  </w:p>
  <w:p w14:paraId="14A770F8" w14:textId="77777777" w:rsidR="00C21B72" w:rsidRDefault="00C21B72"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77777777" w:rsidR="00C21B72" w:rsidRDefault="00C21B7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C3C2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C3C2C">
      <w:rPr>
        <w:rFonts w:ascii="Arial" w:hAnsi="Arial" w:cs="Arial"/>
        <w:b/>
        <w:bCs/>
        <w:noProof/>
        <w:sz w:val="20"/>
        <w:szCs w:val="20"/>
      </w:rPr>
      <w:t>33</w:t>
    </w:r>
    <w:r>
      <w:rPr>
        <w:rFonts w:ascii="Arial" w:hAnsi="Arial" w:cs="Arial"/>
        <w:b/>
        <w:bCs/>
        <w:sz w:val="20"/>
        <w:szCs w:val="20"/>
      </w:rPr>
      <w:fldChar w:fldCharType="end"/>
    </w:r>
  </w:p>
  <w:p w14:paraId="5D98ABD5" w14:textId="77777777" w:rsidR="00C21B72" w:rsidRDefault="00C21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DC86" w14:textId="77777777" w:rsidR="005F5830" w:rsidRDefault="005F5830" w:rsidP="00C80F8C">
      <w:r>
        <w:separator/>
      </w:r>
    </w:p>
  </w:footnote>
  <w:footnote w:type="continuationSeparator" w:id="0">
    <w:p w14:paraId="6D1D57AE" w14:textId="77777777" w:rsidR="005F5830" w:rsidRDefault="005F5830" w:rsidP="00C80F8C">
      <w:r>
        <w:continuationSeparator/>
      </w:r>
    </w:p>
  </w:footnote>
  <w:footnote w:id="1">
    <w:p w14:paraId="3CA21227" w14:textId="77777777" w:rsidR="00C21B72" w:rsidRPr="009C43C2" w:rsidRDefault="00C21B7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C21B72" w:rsidRPr="009C43C2" w:rsidRDefault="00C21B7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C21B72" w:rsidRPr="009C43C2" w:rsidRDefault="00C21B72"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C21B72" w:rsidRDefault="00C21B72"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61D4D1B7" w14:textId="77777777" w:rsidR="00C21B72" w:rsidRDefault="00C21B72" w:rsidP="009417CA">
      <w:pPr>
        <w:pStyle w:val="Textonotapie"/>
      </w:pPr>
      <w:r>
        <w:rPr>
          <w:rStyle w:val="Refdenotaalpie"/>
        </w:rPr>
        <w:footnoteRef/>
      </w:r>
      <w:r>
        <w:t xml:space="preserve"> Convención Americana sobre Derechos Humanos. Artículo 13.</w:t>
      </w:r>
    </w:p>
  </w:footnote>
  <w:footnote w:id="6">
    <w:p w14:paraId="3C7E4082" w14:textId="77777777" w:rsidR="00C21B72" w:rsidRDefault="00C21B72" w:rsidP="009417CA">
      <w:pPr>
        <w:pStyle w:val="Textonotapie"/>
      </w:pPr>
      <w:r>
        <w:rPr>
          <w:rStyle w:val="Refdenotaalpie"/>
        </w:rPr>
        <w:footnoteRef/>
      </w:r>
      <w:r>
        <w:t xml:space="preserve"> Constitución Política de los Estados Unidos Mexicanos. Artículo sexto, sección A, Fracción I.</w:t>
      </w:r>
    </w:p>
  </w:footnote>
  <w:footnote w:id="7">
    <w:p w14:paraId="527D8BB3" w14:textId="77777777" w:rsidR="00C21B72" w:rsidRPr="00F411B8" w:rsidRDefault="00C21B72"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35652F04" w14:textId="77777777" w:rsidR="00C21B72" w:rsidRPr="00F411B8" w:rsidRDefault="00C21B72"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9">
    <w:p w14:paraId="05C96FE4" w14:textId="77777777" w:rsidR="00C21B72" w:rsidRDefault="00C21B72"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0">
    <w:p w14:paraId="1BD64397" w14:textId="77777777" w:rsidR="00C21B72" w:rsidRDefault="00C21B72"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C21B72" w:rsidRDefault="00C21B72" w:rsidP="009417CA">
      <w:pPr>
        <w:pStyle w:val="Textonotapie"/>
      </w:pPr>
      <w:r>
        <w:t>II. Eficacia: Obligación del Instituto para tutelar, de manera efectiva, el derecho de acceso a la información;</w:t>
      </w:r>
    </w:p>
    <w:p w14:paraId="3DB6C670" w14:textId="77777777" w:rsidR="00C21B72" w:rsidRDefault="00C21B72" w:rsidP="009417CA">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812" w:type="dxa"/>
      <w:tblInd w:w="2977" w:type="dxa"/>
      <w:tblLayout w:type="fixed"/>
      <w:tblLook w:val="04A0" w:firstRow="1" w:lastRow="0" w:firstColumn="1" w:lastColumn="0" w:noHBand="0" w:noVBand="1"/>
    </w:tblPr>
    <w:tblGrid>
      <w:gridCol w:w="2552"/>
      <w:gridCol w:w="3260"/>
    </w:tblGrid>
    <w:tr w:rsidR="00C21B72" w14:paraId="6B4E3B81" w14:textId="77777777" w:rsidTr="007E2BE8">
      <w:tc>
        <w:tcPr>
          <w:tcW w:w="2552" w:type="dxa"/>
          <w:vAlign w:val="center"/>
          <w:hideMark/>
        </w:tcPr>
        <w:p w14:paraId="0ABBC6C0" w14:textId="7C21B4C9" w:rsidR="00C21B72" w:rsidRPr="008C5395" w:rsidRDefault="00C21B72"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66059CA0" w:rsidR="00C21B72" w:rsidRPr="008C5395" w:rsidRDefault="00C21B72" w:rsidP="00774514">
          <w:pPr>
            <w:jc w:val="both"/>
            <w:rPr>
              <w:rFonts w:ascii="Palatino Linotype" w:hAnsi="Palatino Linotype"/>
              <w:b/>
              <w:sz w:val="21"/>
              <w:szCs w:val="21"/>
              <w:lang w:val="es-ES_tradnl"/>
            </w:rPr>
          </w:pPr>
          <w:r>
            <w:rPr>
              <w:rFonts w:ascii="Palatino Linotype" w:hAnsi="Palatino Linotype" w:cs="Arial"/>
              <w:b/>
              <w:bCs/>
              <w:sz w:val="21"/>
              <w:szCs w:val="21"/>
            </w:rPr>
            <w:t>039</w:t>
          </w:r>
          <w:r w:rsidR="00774514">
            <w:rPr>
              <w:rFonts w:ascii="Palatino Linotype" w:hAnsi="Palatino Linotype" w:cs="Arial"/>
              <w:b/>
              <w:bCs/>
              <w:sz w:val="21"/>
              <w:szCs w:val="21"/>
            </w:rPr>
            <w:t>9</w:t>
          </w:r>
          <w:r>
            <w:rPr>
              <w:rFonts w:ascii="Palatino Linotype" w:hAnsi="Palatino Linotype" w:cs="Arial"/>
              <w:b/>
              <w:bCs/>
              <w:sz w:val="21"/>
              <w:szCs w:val="21"/>
            </w:rPr>
            <w:t>3</w:t>
          </w:r>
          <w:r w:rsidRPr="008B13E3">
            <w:rPr>
              <w:rFonts w:ascii="Palatino Linotype" w:hAnsi="Palatino Linotype" w:cs="Arial"/>
              <w:b/>
              <w:bCs/>
              <w:sz w:val="21"/>
              <w:szCs w:val="21"/>
            </w:rPr>
            <w:t>/INFOEM/IP/RR/2021</w:t>
          </w:r>
        </w:p>
      </w:tc>
    </w:tr>
    <w:tr w:rsidR="00C21B72" w14:paraId="31CB780F" w14:textId="77777777" w:rsidTr="007E2BE8">
      <w:trPr>
        <w:trHeight w:val="228"/>
      </w:trPr>
      <w:tc>
        <w:tcPr>
          <w:tcW w:w="2552" w:type="dxa"/>
          <w:vAlign w:val="center"/>
          <w:hideMark/>
        </w:tcPr>
        <w:p w14:paraId="4F49CB4A" w14:textId="6C7F970E" w:rsidR="00C21B72" w:rsidRPr="008C5395" w:rsidRDefault="00C21B72"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11FC03D0" w:rsidR="00C21B72" w:rsidRPr="008C5395" w:rsidRDefault="00774514" w:rsidP="008B13E3">
          <w:pPr>
            <w:jc w:val="both"/>
            <w:rPr>
              <w:rFonts w:ascii="Palatino Linotype" w:hAnsi="Palatino Linotype"/>
              <w:b/>
              <w:sz w:val="21"/>
              <w:szCs w:val="21"/>
              <w:lang w:val="es-ES_tradnl"/>
            </w:rPr>
          </w:pPr>
          <w:r w:rsidRPr="00774514">
            <w:rPr>
              <w:rFonts w:ascii="Palatino Linotype" w:hAnsi="Palatino Linotype"/>
              <w:b/>
              <w:sz w:val="21"/>
              <w:szCs w:val="21"/>
            </w:rPr>
            <w:t>Ayuntamiento de Teoloyucan</w:t>
          </w:r>
        </w:p>
      </w:tc>
    </w:tr>
    <w:tr w:rsidR="00C21B72" w14:paraId="69050F56" w14:textId="77777777" w:rsidTr="007E2BE8">
      <w:tc>
        <w:tcPr>
          <w:tcW w:w="2552" w:type="dxa"/>
          <w:vAlign w:val="center"/>
          <w:hideMark/>
        </w:tcPr>
        <w:p w14:paraId="65C9B735" w14:textId="71CA0DD8" w:rsidR="00C21B72" w:rsidRPr="008C5395" w:rsidRDefault="00C21B72"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C21B72" w:rsidRPr="008C5395" w:rsidRDefault="00C21B72"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C21B72" w:rsidRDefault="00C21B72"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04796F44" w:rsidR="00C21B72" w:rsidRDefault="00C21B72"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C21B72" w14:paraId="477E149B" w14:textId="77777777" w:rsidTr="00750CDE">
      <w:tc>
        <w:tcPr>
          <w:tcW w:w="2551" w:type="dxa"/>
          <w:vAlign w:val="center"/>
          <w:hideMark/>
        </w:tcPr>
        <w:p w14:paraId="5C0586E4" w14:textId="77777777" w:rsidR="00C21B72" w:rsidRPr="008C5395" w:rsidRDefault="00C21B72"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41F4E34D" w:rsidR="00C21B72" w:rsidRPr="001C1420" w:rsidRDefault="00774514" w:rsidP="00C96E1C">
          <w:pPr>
            <w:jc w:val="both"/>
            <w:rPr>
              <w:rFonts w:ascii="Palatino Linotype" w:hAnsi="Palatino Linotype"/>
              <w:b/>
              <w:sz w:val="21"/>
              <w:szCs w:val="21"/>
              <w:lang w:val="es-ES_tradnl"/>
            </w:rPr>
          </w:pPr>
          <w:r>
            <w:rPr>
              <w:rFonts w:ascii="Palatino Linotype" w:hAnsi="Palatino Linotype" w:cs="Arial"/>
              <w:b/>
              <w:bCs/>
              <w:sz w:val="21"/>
              <w:szCs w:val="21"/>
            </w:rPr>
            <w:t>0399</w:t>
          </w:r>
          <w:r w:rsidR="00C21B72">
            <w:rPr>
              <w:rFonts w:ascii="Palatino Linotype" w:hAnsi="Palatino Linotype" w:cs="Arial"/>
              <w:b/>
              <w:bCs/>
              <w:sz w:val="21"/>
              <w:szCs w:val="21"/>
            </w:rPr>
            <w:t>3</w:t>
          </w:r>
          <w:r w:rsidR="00C21B72" w:rsidRPr="001C1420">
            <w:rPr>
              <w:rFonts w:ascii="Palatino Linotype" w:hAnsi="Palatino Linotype" w:cs="Arial"/>
              <w:b/>
              <w:bCs/>
              <w:sz w:val="21"/>
              <w:szCs w:val="21"/>
            </w:rPr>
            <w:t>/INFOEM/IP/RR/2021</w:t>
          </w:r>
        </w:p>
      </w:tc>
    </w:tr>
    <w:tr w:rsidR="00C21B72" w14:paraId="5B5BE21C" w14:textId="77777777" w:rsidTr="00750CDE">
      <w:tc>
        <w:tcPr>
          <w:tcW w:w="2551" w:type="dxa"/>
          <w:vAlign w:val="center"/>
          <w:hideMark/>
        </w:tcPr>
        <w:p w14:paraId="4AE96902" w14:textId="77777777" w:rsidR="00C21B72" w:rsidRPr="008C5395" w:rsidRDefault="00C21B72"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6AC0E3CD" w:rsidR="00C21B72" w:rsidRPr="001C1420" w:rsidRDefault="00C21B72" w:rsidP="000A3F51">
          <w:pPr>
            <w:rPr>
              <w:rFonts w:ascii="Palatino Linotype" w:hAnsi="Palatino Linotype"/>
              <w:b/>
              <w:sz w:val="21"/>
              <w:szCs w:val="21"/>
            </w:rPr>
          </w:pPr>
        </w:p>
      </w:tc>
    </w:tr>
    <w:tr w:rsidR="00C21B72" w14:paraId="22601A11" w14:textId="77777777" w:rsidTr="00750CDE">
      <w:trPr>
        <w:trHeight w:val="228"/>
      </w:trPr>
      <w:tc>
        <w:tcPr>
          <w:tcW w:w="2551" w:type="dxa"/>
          <w:vAlign w:val="center"/>
          <w:hideMark/>
        </w:tcPr>
        <w:p w14:paraId="6EFE221D" w14:textId="337D5087" w:rsidR="00C21B72" w:rsidRPr="008C5395" w:rsidRDefault="00C21B72"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22C8549" w:rsidR="00C21B72" w:rsidRPr="001C1420" w:rsidRDefault="00774514" w:rsidP="008B13E3">
          <w:pPr>
            <w:ind w:left="35" w:hanging="35"/>
            <w:jc w:val="both"/>
            <w:rPr>
              <w:rFonts w:ascii="Palatino Linotype" w:hAnsi="Palatino Linotype"/>
              <w:sz w:val="21"/>
              <w:szCs w:val="21"/>
            </w:rPr>
          </w:pPr>
          <w:r w:rsidRPr="00774514">
            <w:rPr>
              <w:rFonts w:ascii="Palatino Linotype" w:hAnsi="Palatino Linotype"/>
              <w:b/>
              <w:sz w:val="21"/>
              <w:szCs w:val="21"/>
            </w:rPr>
            <w:t>Ayuntamiento de Teoloyucan</w:t>
          </w:r>
        </w:p>
      </w:tc>
    </w:tr>
    <w:tr w:rsidR="00C21B72" w14:paraId="2D6C630E" w14:textId="77777777" w:rsidTr="00750CDE">
      <w:tc>
        <w:tcPr>
          <w:tcW w:w="2551" w:type="dxa"/>
          <w:vAlign w:val="center"/>
          <w:hideMark/>
        </w:tcPr>
        <w:p w14:paraId="5BD4C6DB" w14:textId="40502EEE" w:rsidR="00C21B72" w:rsidRPr="008C5395" w:rsidRDefault="00C21B72"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C21B72" w:rsidRPr="001C1420" w:rsidRDefault="00C21B72"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C21B72" w:rsidRDefault="00C21B72"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6E616099"/>
    <w:multiLevelType w:val="hybridMultilevel"/>
    <w:tmpl w:val="89B8F48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15:restartNumberingAfterBreak="0">
    <w:nsid w:val="72E4777E"/>
    <w:multiLevelType w:val="hybridMultilevel"/>
    <w:tmpl w:val="D10C52CE"/>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26"/>
  </w:num>
  <w:num w:numId="3">
    <w:abstractNumId w:val="17"/>
  </w:num>
  <w:num w:numId="4">
    <w:abstractNumId w:val="24"/>
  </w:num>
  <w:num w:numId="5">
    <w:abstractNumId w:val="21"/>
  </w:num>
  <w:num w:numId="6">
    <w:abstractNumId w:val="9"/>
  </w:num>
  <w:num w:numId="7">
    <w:abstractNumId w:val="20"/>
  </w:num>
  <w:num w:numId="8">
    <w:abstractNumId w:val="1"/>
  </w:num>
  <w:num w:numId="9">
    <w:abstractNumId w:val="14"/>
  </w:num>
  <w:num w:numId="10">
    <w:abstractNumId w:val="7"/>
  </w:num>
  <w:num w:numId="11">
    <w:abstractNumId w:val="16"/>
  </w:num>
  <w:num w:numId="12">
    <w:abstractNumId w:val="15"/>
  </w:num>
  <w:num w:numId="13">
    <w:abstractNumId w:val="23"/>
  </w:num>
  <w:num w:numId="14">
    <w:abstractNumId w:val="18"/>
  </w:num>
  <w:num w:numId="15">
    <w:abstractNumId w:val="5"/>
  </w:num>
  <w:num w:numId="16">
    <w:abstractNumId w:val="3"/>
  </w:num>
  <w:num w:numId="17">
    <w:abstractNumId w:val="25"/>
  </w:num>
  <w:num w:numId="18">
    <w:abstractNumId w:val="28"/>
  </w:num>
  <w:num w:numId="19">
    <w:abstractNumId w:val="32"/>
  </w:num>
  <w:num w:numId="20">
    <w:abstractNumId w:val="2"/>
  </w:num>
  <w:num w:numId="21">
    <w:abstractNumId w:val="29"/>
  </w:num>
  <w:num w:numId="22">
    <w:abstractNumId w:val="19"/>
  </w:num>
  <w:num w:numId="23">
    <w:abstractNumId w:val="6"/>
  </w:num>
  <w:num w:numId="24">
    <w:abstractNumId w:val="30"/>
  </w:num>
  <w:num w:numId="25">
    <w:abstractNumId w:val="12"/>
  </w:num>
  <w:num w:numId="26">
    <w:abstractNumId w:val="10"/>
  </w:num>
  <w:num w:numId="27">
    <w:abstractNumId w:val="13"/>
  </w:num>
  <w:num w:numId="28">
    <w:abstractNumId w:val="22"/>
  </w:num>
  <w:num w:numId="29">
    <w:abstractNumId w:val="0"/>
  </w:num>
  <w:num w:numId="30">
    <w:abstractNumId w:val="4"/>
  </w:num>
  <w:num w:numId="31">
    <w:abstractNumId w:val="11"/>
  </w:num>
  <w:num w:numId="32">
    <w:abstractNumId w:val="31"/>
  </w:num>
  <w:num w:numId="33">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A7"/>
    <w:rsid w:val="0000184C"/>
    <w:rsid w:val="00002D71"/>
    <w:rsid w:val="0000346C"/>
    <w:rsid w:val="0000355C"/>
    <w:rsid w:val="00004432"/>
    <w:rsid w:val="000054B4"/>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2979"/>
    <w:rsid w:val="0006370A"/>
    <w:rsid w:val="000657E3"/>
    <w:rsid w:val="0006581C"/>
    <w:rsid w:val="00065873"/>
    <w:rsid w:val="00066209"/>
    <w:rsid w:val="000679F8"/>
    <w:rsid w:val="00067BE6"/>
    <w:rsid w:val="00067DA3"/>
    <w:rsid w:val="00067F64"/>
    <w:rsid w:val="00070CEE"/>
    <w:rsid w:val="0007166A"/>
    <w:rsid w:val="00071EFB"/>
    <w:rsid w:val="000734C5"/>
    <w:rsid w:val="00073B46"/>
    <w:rsid w:val="00073BA4"/>
    <w:rsid w:val="00074F84"/>
    <w:rsid w:val="00074FB1"/>
    <w:rsid w:val="000773AB"/>
    <w:rsid w:val="0008155F"/>
    <w:rsid w:val="00083430"/>
    <w:rsid w:val="0008542A"/>
    <w:rsid w:val="00086D0F"/>
    <w:rsid w:val="00087991"/>
    <w:rsid w:val="00087A2F"/>
    <w:rsid w:val="00091685"/>
    <w:rsid w:val="0009206D"/>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3284"/>
    <w:rsid w:val="001032AD"/>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77359"/>
    <w:rsid w:val="001774A9"/>
    <w:rsid w:val="001810BD"/>
    <w:rsid w:val="00181731"/>
    <w:rsid w:val="00183588"/>
    <w:rsid w:val="001877E3"/>
    <w:rsid w:val="001909D8"/>
    <w:rsid w:val="00190C0E"/>
    <w:rsid w:val="001910A9"/>
    <w:rsid w:val="00196246"/>
    <w:rsid w:val="00197B28"/>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3C2C"/>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2CBF"/>
    <w:rsid w:val="002035AE"/>
    <w:rsid w:val="002045D9"/>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EF"/>
    <w:rsid w:val="00245A96"/>
    <w:rsid w:val="00246016"/>
    <w:rsid w:val="00250254"/>
    <w:rsid w:val="00251EBA"/>
    <w:rsid w:val="002534E4"/>
    <w:rsid w:val="0025352F"/>
    <w:rsid w:val="00255050"/>
    <w:rsid w:val="002551B1"/>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475"/>
    <w:rsid w:val="00281764"/>
    <w:rsid w:val="002829D3"/>
    <w:rsid w:val="0028416D"/>
    <w:rsid w:val="0028419B"/>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104F"/>
    <w:rsid w:val="0038233D"/>
    <w:rsid w:val="00383E79"/>
    <w:rsid w:val="00384B94"/>
    <w:rsid w:val="00385D61"/>
    <w:rsid w:val="00387230"/>
    <w:rsid w:val="00390B9F"/>
    <w:rsid w:val="00391A7B"/>
    <w:rsid w:val="00392767"/>
    <w:rsid w:val="00393A05"/>
    <w:rsid w:val="0039460E"/>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FB2"/>
    <w:rsid w:val="003D349B"/>
    <w:rsid w:val="003D3669"/>
    <w:rsid w:val="003E02C8"/>
    <w:rsid w:val="003E1614"/>
    <w:rsid w:val="003E1716"/>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01CA"/>
    <w:rsid w:val="004104BF"/>
    <w:rsid w:val="00411EF1"/>
    <w:rsid w:val="00412F99"/>
    <w:rsid w:val="00413EB7"/>
    <w:rsid w:val="00414A64"/>
    <w:rsid w:val="00415739"/>
    <w:rsid w:val="00415E56"/>
    <w:rsid w:val="00421B9C"/>
    <w:rsid w:val="00421BCC"/>
    <w:rsid w:val="00421D15"/>
    <w:rsid w:val="004221C6"/>
    <w:rsid w:val="00423670"/>
    <w:rsid w:val="00424E3A"/>
    <w:rsid w:val="00425800"/>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6025"/>
    <w:rsid w:val="00467BD4"/>
    <w:rsid w:val="0047014C"/>
    <w:rsid w:val="004706C8"/>
    <w:rsid w:val="00471C23"/>
    <w:rsid w:val="00473A67"/>
    <w:rsid w:val="0047415F"/>
    <w:rsid w:val="00474B8E"/>
    <w:rsid w:val="00475219"/>
    <w:rsid w:val="00476AB6"/>
    <w:rsid w:val="0047739C"/>
    <w:rsid w:val="0047785E"/>
    <w:rsid w:val="00477874"/>
    <w:rsid w:val="00480540"/>
    <w:rsid w:val="00480BD4"/>
    <w:rsid w:val="00480EF3"/>
    <w:rsid w:val="004817F9"/>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6B35"/>
    <w:rsid w:val="004F6DE4"/>
    <w:rsid w:val="004F71CD"/>
    <w:rsid w:val="004F729B"/>
    <w:rsid w:val="004F7587"/>
    <w:rsid w:val="004F7669"/>
    <w:rsid w:val="0050153C"/>
    <w:rsid w:val="005024DD"/>
    <w:rsid w:val="00503050"/>
    <w:rsid w:val="0050353E"/>
    <w:rsid w:val="00504EE9"/>
    <w:rsid w:val="0050555A"/>
    <w:rsid w:val="0050582A"/>
    <w:rsid w:val="00505DDE"/>
    <w:rsid w:val="00506887"/>
    <w:rsid w:val="005106D8"/>
    <w:rsid w:val="005116F2"/>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830"/>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625"/>
    <w:rsid w:val="00623B8D"/>
    <w:rsid w:val="00624A65"/>
    <w:rsid w:val="006258FE"/>
    <w:rsid w:val="006267FA"/>
    <w:rsid w:val="006272DB"/>
    <w:rsid w:val="0063009C"/>
    <w:rsid w:val="00630343"/>
    <w:rsid w:val="006320B8"/>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4D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20C9"/>
    <w:rsid w:val="006D27E2"/>
    <w:rsid w:val="006D47BC"/>
    <w:rsid w:val="006D5149"/>
    <w:rsid w:val="006D545D"/>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4246"/>
    <w:rsid w:val="00774514"/>
    <w:rsid w:val="0077496D"/>
    <w:rsid w:val="007770D8"/>
    <w:rsid w:val="00777F72"/>
    <w:rsid w:val="0078251D"/>
    <w:rsid w:val="0078320B"/>
    <w:rsid w:val="00783385"/>
    <w:rsid w:val="00785B60"/>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B2B"/>
    <w:rsid w:val="007D0C42"/>
    <w:rsid w:val="007D11B3"/>
    <w:rsid w:val="007D18CC"/>
    <w:rsid w:val="007D1D57"/>
    <w:rsid w:val="007D3535"/>
    <w:rsid w:val="007D489A"/>
    <w:rsid w:val="007D4C85"/>
    <w:rsid w:val="007D63CB"/>
    <w:rsid w:val="007D6C06"/>
    <w:rsid w:val="007E08A1"/>
    <w:rsid w:val="007E131E"/>
    <w:rsid w:val="007E27E3"/>
    <w:rsid w:val="007E2BE8"/>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7B0"/>
    <w:rsid w:val="0080112D"/>
    <w:rsid w:val="00803D96"/>
    <w:rsid w:val="0080484A"/>
    <w:rsid w:val="00806247"/>
    <w:rsid w:val="0081015C"/>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09C6"/>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87D5B"/>
    <w:rsid w:val="008900BC"/>
    <w:rsid w:val="0089117D"/>
    <w:rsid w:val="00891775"/>
    <w:rsid w:val="008922FF"/>
    <w:rsid w:val="00892593"/>
    <w:rsid w:val="00892AFC"/>
    <w:rsid w:val="00893071"/>
    <w:rsid w:val="00894541"/>
    <w:rsid w:val="0089499F"/>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D96"/>
    <w:rsid w:val="008B2B71"/>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3BBF"/>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B4E"/>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01"/>
    <w:rsid w:val="00996FF5"/>
    <w:rsid w:val="009A083C"/>
    <w:rsid w:val="009A17CE"/>
    <w:rsid w:val="009A1810"/>
    <w:rsid w:val="009A1A1D"/>
    <w:rsid w:val="009A42FF"/>
    <w:rsid w:val="009A65F3"/>
    <w:rsid w:val="009A6C40"/>
    <w:rsid w:val="009A6DC8"/>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1E34"/>
    <w:rsid w:val="009C229C"/>
    <w:rsid w:val="009C22C3"/>
    <w:rsid w:val="009C2616"/>
    <w:rsid w:val="009C261B"/>
    <w:rsid w:val="009C29BB"/>
    <w:rsid w:val="009C5E5C"/>
    <w:rsid w:val="009C62EE"/>
    <w:rsid w:val="009C664C"/>
    <w:rsid w:val="009C6FF0"/>
    <w:rsid w:val="009C7729"/>
    <w:rsid w:val="009D026D"/>
    <w:rsid w:val="009D039B"/>
    <w:rsid w:val="009D08F7"/>
    <w:rsid w:val="009D1F65"/>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0FB4"/>
    <w:rsid w:val="00AA1055"/>
    <w:rsid w:val="00AA1A24"/>
    <w:rsid w:val="00AA2543"/>
    <w:rsid w:val="00AA555F"/>
    <w:rsid w:val="00AA5E30"/>
    <w:rsid w:val="00AB00FD"/>
    <w:rsid w:val="00AB0B76"/>
    <w:rsid w:val="00AB10AD"/>
    <w:rsid w:val="00AB155A"/>
    <w:rsid w:val="00AB2A1E"/>
    <w:rsid w:val="00AB33EC"/>
    <w:rsid w:val="00AB3832"/>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4707"/>
    <w:rsid w:val="00B753C7"/>
    <w:rsid w:val="00B753CE"/>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322"/>
    <w:rsid w:val="00BB2F04"/>
    <w:rsid w:val="00BB59A1"/>
    <w:rsid w:val="00BC0A2D"/>
    <w:rsid w:val="00BC2E08"/>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A99"/>
    <w:rsid w:val="00BE540E"/>
    <w:rsid w:val="00BE5795"/>
    <w:rsid w:val="00BE59F1"/>
    <w:rsid w:val="00BE5B23"/>
    <w:rsid w:val="00BF0C44"/>
    <w:rsid w:val="00BF2ADB"/>
    <w:rsid w:val="00BF3453"/>
    <w:rsid w:val="00BF3F78"/>
    <w:rsid w:val="00BF45DC"/>
    <w:rsid w:val="00BF4B12"/>
    <w:rsid w:val="00BF5651"/>
    <w:rsid w:val="00BF57B8"/>
    <w:rsid w:val="00BF6F33"/>
    <w:rsid w:val="00BF7DA6"/>
    <w:rsid w:val="00C0496D"/>
    <w:rsid w:val="00C0535F"/>
    <w:rsid w:val="00C1068F"/>
    <w:rsid w:val="00C12232"/>
    <w:rsid w:val="00C13C66"/>
    <w:rsid w:val="00C13D6C"/>
    <w:rsid w:val="00C14192"/>
    <w:rsid w:val="00C21B72"/>
    <w:rsid w:val="00C23631"/>
    <w:rsid w:val="00C240DC"/>
    <w:rsid w:val="00C2425E"/>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2E34"/>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7131E"/>
    <w:rsid w:val="00C71B23"/>
    <w:rsid w:val="00C729F0"/>
    <w:rsid w:val="00C72F08"/>
    <w:rsid w:val="00C75879"/>
    <w:rsid w:val="00C75DF4"/>
    <w:rsid w:val="00C76CBA"/>
    <w:rsid w:val="00C77CAB"/>
    <w:rsid w:val="00C77F8C"/>
    <w:rsid w:val="00C801F1"/>
    <w:rsid w:val="00C808D7"/>
    <w:rsid w:val="00C80956"/>
    <w:rsid w:val="00C80F8C"/>
    <w:rsid w:val="00C8321A"/>
    <w:rsid w:val="00C85F65"/>
    <w:rsid w:val="00C871AA"/>
    <w:rsid w:val="00C8728A"/>
    <w:rsid w:val="00C8734B"/>
    <w:rsid w:val="00C87E6F"/>
    <w:rsid w:val="00C90970"/>
    <w:rsid w:val="00C91163"/>
    <w:rsid w:val="00C917BD"/>
    <w:rsid w:val="00C92F45"/>
    <w:rsid w:val="00C938CF"/>
    <w:rsid w:val="00C93C30"/>
    <w:rsid w:val="00C944F9"/>
    <w:rsid w:val="00C94536"/>
    <w:rsid w:val="00C94EA7"/>
    <w:rsid w:val="00C967ED"/>
    <w:rsid w:val="00C96D04"/>
    <w:rsid w:val="00C96E1C"/>
    <w:rsid w:val="00C9726D"/>
    <w:rsid w:val="00C97AE6"/>
    <w:rsid w:val="00CA03D8"/>
    <w:rsid w:val="00CA1589"/>
    <w:rsid w:val="00CA4AD0"/>
    <w:rsid w:val="00CA4B0D"/>
    <w:rsid w:val="00CA4E9B"/>
    <w:rsid w:val="00CA515B"/>
    <w:rsid w:val="00CA68D1"/>
    <w:rsid w:val="00CA6914"/>
    <w:rsid w:val="00CA6A61"/>
    <w:rsid w:val="00CA757B"/>
    <w:rsid w:val="00CA7B2B"/>
    <w:rsid w:val="00CB0854"/>
    <w:rsid w:val="00CB1AB9"/>
    <w:rsid w:val="00CB48AF"/>
    <w:rsid w:val="00CC1C85"/>
    <w:rsid w:val="00CC2001"/>
    <w:rsid w:val="00CC280D"/>
    <w:rsid w:val="00CC4CD0"/>
    <w:rsid w:val="00CC5554"/>
    <w:rsid w:val="00CC58BD"/>
    <w:rsid w:val="00CD2D80"/>
    <w:rsid w:val="00CD2E12"/>
    <w:rsid w:val="00CD4211"/>
    <w:rsid w:val="00CD43D2"/>
    <w:rsid w:val="00CD5285"/>
    <w:rsid w:val="00CE0E67"/>
    <w:rsid w:val="00CE1831"/>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46B"/>
    <w:rsid w:val="00D42905"/>
    <w:rsid w:val="00D436EC"/>
    <w:rsid w:val="00D43F84"/>
    <w:rsid w:val="00D4425E"/>
    <w:rsid w:val="00D44B4D"/>
    <w:rsid w:val="00D44D22"/>
    <w:rsid w:val="00D45A6B"/>
    <w:rsid w:val="00D5183E"/>
    <w:rsid w:val="00D528EC"/>
    <w:rsid w:val="00D533FB"/>
    <w:rsid w:val="00D535E0"/>
    <w:rsid w:val="00D538F8"/>
    <w:rsid w:val="00D55A35"/>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716A"/>
    <w:rsid w:val="00D8722C"/>
    <w:rsid w:val="00D90606"/>
    <w:rsid w:val="00D907A4"/>
    <w:rsid w:val="00D91D7E"/>
    <w:rsid w:val="00D9292F"/>
    <w:rsid w:val="00D937F5"/>
    <w:rsid w:val="00D94927"/>
    <w:rsid w:val="00D94CF7"/>
    <w:rsid w:val="00D9522D"/>
    <w:rsid w:val="00D95C6B"/>
    <w:rsid w:val="00D95E6E"/>
    <w:rsid w:val="00D96314"/>
    <w:rsid w:val="00D96CE0"/>
    <w:rsid w:val="00D96FEB"/>
    <w:rsid w:val="00DA0901"/>
    <w:rsid w:val="00DA0A57"/>
    <w:rsid w:val="00DA1A9A"/>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07CA2"/>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9144E"/>
    <w:rsid w:val="00E91712"/>
    <w:rsid w:val="00E91E1D"/>
    <w:rsid w:val="00E91EC5"/>
    <w:rsid w:val="00E92F2F"/>
    <w:rsid w:val="00E93899"/>
    <w:rsid w:val="00E942BE"/>
    <w:rsid w:val="00E96B25"/>
    <w:rsid w:val="00EA0C16"/>
    <w:rsid w:val="00EA3E9F"/>
    <w:rsid w:val="00EA3FF8"/>
    <w:rsid w:val="00EA5426"/>
    <w:rsid w:val="00EA5464"/>
    <w:rsid w:val="00EA7E3D"/>
    <w:rsid w:val="00EB0769"/>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403F"/>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con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con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2CED-073C-40B9-907E-BB47F689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3490</TotalTime>
  <Pages>1</Pages>
  <Words>6499</Words>
  <Characters>35749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70</cp:revision>
  <cp:lastPrinted>2019-04-02T22:25:00Z</cp:lastPrinted>
  <dcterms:created xsi:type="dcterms:W3CDTF">2021-08-24T02:06:00Z</dcterms:created>
  <dcterms:modified xsi:type="dcterms:W3CDTF">2021-11-18T20:05:00Z</dcterms:modified>
</cp:coreProperties>
</file>