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A1E6" w14:textId="77777777" w:rsidR="004B7E50" w:rsidRPr="002152A6" w:rsidRDefault="004B7E50" w:rsidP="004B7E50">
      <w:pPr>
        <w:spacing w:before="240" w:after="240" w:line="360" w:lineRule="auto"/>
        <w:jc w:val="center"/>
        <w:rPr>
          <w:rFonts w:ascii="Palatino Linotype" w:hAnsi="Palatino Linotype"/>
        </w:rPr>
      </w:pPr>
      <w:r w:rsidRPr="002152A6">
        <w:rPr>
          <w:rFonts w:ascii="Palatino Linotype" w:hAnsi="Palatino Linotype"/>
          <w:b/>
        </w:rPr>
        <w:t>Índice</w:t>
      </w:r>
      <w:r w:rsidRPr="002152A6">
        <w:rPr>
          <w:rFonts w:ascii="Palatino Linotype" w:hAnsi="Palatino Linotype"/>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66BAA568" w14:textId="77777777" w:rsidR="004B7E50" w:rsidRPr="004B7E50" w:rsidRDefault="004B7E50" w:rsidP="004B7E50">
          <w:pPr>
            <w:pStyle w:val="TtulodeTDC"/>
            <w:spacing w:line="480" w:lineRule="auto"/>
            <w:rPr>
              <w:szCs w:val="24"/>
            </w:rPr>
          </w:pPr>
        </w:p>
        <w:p w14:paraId="7CBC2461" w14:textId="77777777" w:rsidR="00483826" w:rsidRDefault="004B7E50" w:rsidP="00483826">
          <w:pPr>
            <w:pStyle w:val="TDC1"/>
            <w:spacing w:line="600" w:lineRule="auto"/>
            <w:rPr>
              <w:rFonts w:asciiTheme="minorHAnsi" w:hAnsiTheme="minorHAnsi"/>
              <w:b w:val="0"/>
              <w:bCs w:val="0"/>
              <w:sz w:val="22"/>
              <w:szCs w:val="22"/>
              <w:lang w:val="es-MX" w:eastAsia="es-MX"/>
            </w:rPr>
          </w:pPr>
          <w:r w:rsidRPr="004B7E50">
            <w:rPr>
              <w:b w:val="0"/>
              <w:bCs w:val="0"/>
            </w:rPr>
            <w:fldChar w:fldCharType="begin"/>
          </w:r>
          <w:r w:rsidRPr="004B7E50">
            <w:instrText xml:space="preserve"> TOC \o "1-3" \h \z \u </w:instrText>
          </w:r>
          <w:r w:rsidRPr="004B7E50">
            <w:rPr>
              <w:b w:val="0"/>
              <w:bCs w:val="0"/>
            </w:rPr>
            <w:fldChar w:fldCharType="separate"/>
          </w:r>
          <w:hyperlink w:anchor="_Toc85709558" w:history="1">
            <w:r w:rsidR="00483826" w:rsidRPr="00CB514B">
              <w:rPr>
                <w:rStyle w:val="Hipervnculo"/>
              </w:rPr>
              <w:t>ANTECEDENTES</w:t>
            </w:r>
            <w:r w:rsidR="00483826">
              <w:rPr>
                <w:webHidden/>
              </w:rPr>
              <w:tab/>
            </w:r>
            <w:r w:rsidR="00483826">
              <w:rPr>
                <w:webHidden/>
              </w:rPr>
              <w:fldChar w:fldCharType="begin"/>
            </w:r>
            <w:r w:rsidR="00483826">
              <w:rPr>
                <w:webHidden/>
              </w:rPr>
              <w:instrText xml:space="preserve"> PAGEREF _Toc85709558 \h </w:instrText>
            </w:r>
            <w:r w:rsidR="00483826">
              <w:rPr>
                <w:webHidden/>
              </w:rPr>
            </w:r>
            <w:r w:rsidR="00483826">
              <w:rPr>
                <w:webHidden/>
              </w:rPr>
              <w:fldChar w:fldCharType="separate"/>
            </w:r>
            <w:r w:rsidR="00483826">
              <w:rPr>
                <w:webHidden/>
              </w:rPr>
              <w:t>2</w:t>
            </w:r>
            <w:r w:rsidR="00483826">
              <w:rPr>
                <w:webHidden/>
              </w:rPr>
              <w:fldChar w:fldCharType="end"/>
            </w:r>
          </w:hyperlink>
        </w:p>
        <w:p w14:paraId="58CC865D" w14:textId="77777777" w:rsidR="00483826" w:rsidRDefault="00080758" w:rsidP="00483826">
          <w:pPr>
            <w:pStyle w:val="TDC1"/>
            <w:spacing w:line="600" w:lineRule="auto"/>
            <w:rPr>
              <w:rFonts w:asciiTheme="minorHAnsi" w:hAnsiTheme="minorHAnsi"/>
              <w:b w:val="0"/>
              <w:bCs w:val="0"/>
              <w:sz w:val="22"/>
              <w:szCs w:val="22"/>
              <w:lang w:val="es-MX" w:eastAsia="es-MX"/>
            </w:rPr>
          </w:pPr>
          <w:hyperlink w:anchor="_Toc85709559" w:history="1">
            <w:r w:rsidR="00483826" w:rsidRPr="00CB514B">
              <w:rPr>
                <w:rStyle w:val="Hipervnculo"/>
              </w:rPr>
              <w:t>CONSIDERANDO</w:t>
            </w:r>
            <w:r w:rsidR="00483826">
              <w:rPr>
                <w:webHidden/>
              </w:rPr>
              <w:tab/>
            </w:r>
            <w:r w:rsidR="00483826">
              <w:rPr>
                <w:webHidden/>
              </w:rPr>
              <w:fldChar w:fldCharType="begin"/>
            </w:r>
            <w:r w:rsidR="00483826">
              <w:rPr>
                <w:webHidden/>
              </w:rPr>
              <w:instrText xml:space="preserve"> PAGEREF _Toc85709559 \h </w:instrText>
            </w:r>
            <w:r w:rsidR="00483826">
              <w:rPr>
                <w:webHidden/>
              </w:rPr>
            </w:r>
            <w:r w:rsidR="00483826">
              <w:rPr>
                <w:webHidden/>
              </w:rPr>
              <w:fldChar w:fldCharType="separate"/>
            </w:r>
            <w:r w:rsidR="00483826">
              <w:rPr>
                <w:webHidden/>
              </w:rPr>
              <w:t>7</w:t>
            </w:r>
            <w:r w:rsidR="00483826">
              <w:rPr>
                <w:webHidden/>
              </w:rPr>
              <w:fldChar w:fldCharType="end"/>
            </w:r>
          </w:hyperlink>
        </w:p>
        <w:p w14:paraId="394B71A1" w14:textId="77777777" w:rsidR="00483826" w:rsidRDefault="00080758" w:rsidP="00483826">
          <w:pPr>
            <w:pStyle w:val="TDC2"/>
            <w:spacing w:line="600" w:lineRule="auto"/>
            <w:rPr>
              <w:noProof/>
              <w:sz w:val="22"/>
              <w:szCs w:val="22"/>
              <w:lang w:val="es-MX" w:eastAsia="es-MX"/>
            </w:rPr>
          </w:pPr>
          <w:hyperlink w:anchor="_Toc85709560" w:history="1">
            <w:r w:rsidR="00483826" w:rsidRPr="00CB514B">
              <w:rPr>
                <w:rStyle w:val="Hipervnculo"/>
                <w:rFonts w:ascii="Palatino Linotype" w:hAnsi="Palatino Linotype"/>
                <w:b/>
                <w:noProof/>
              </w:rPr>
              <w:t>PRIMERO. De la competencia</w:t>
            </w:r>
            <w:r w:rsidR="00483826">
              <w:rPr>
                <w:noProof/>
                <w:webHidden/>
              </w:rPr>
              <w:tab/>
            </w:r>
            <w:r w:rsidR="00483826">
              <w:rPr>
                <w:noProof/>
                <w:webHidden/>
              </w:rPr>
              <w:fldChar w:fldCharType="begin"/>
            </w:r>
            <w:r w:rsidR="00483826">
              <w:rPr>
                <w:noProof/>
                <w:webHidden/>
              </w:rPr>
              <w:instrText xml:space="preserve"> PAGEREF _Toc85709560 \h </w:instrText>
            </w:r>
            <w:r w:rsidR="00483826">
              <w:rPr>
                <w:noProof/>
                <w:webHidden/>
              </w:rPr>
            </w:r>
            <w:r w:rsidR="00483826">
              <w:rPr>
                <w:noProof/>
                <w:webHidden/>
              </w:rPr>
              <w:fldChar w:fldCharType="separate"/>
            </w:r>
            <w:r w:rsidR="00483826">
              <w:rPr>
                <w:noProof/>
                <w:webHidden/>
              </w:rPr>
              <w:t>7</w:t>
            </w:r>
            <w:r w:rsidR="00483826">
              <w:rPr>
                <w:noProof/>
                <w:webHidden/>
              </w:rPr>
              <w:fldChar w:fldCharType="end"/>
            </w:r>
          </w:hyperlink>
        </w:p>
        <w:p w14:paraId="1E531125" w14:textId="77777777" w:rsidR="00483826" w:rsidRDefault="00080758" w:rsidP="00483826">
          <w:pPr>
            <w:pStyle w:val="TDC2"/>
            <w:spacing w:line="600" w:lineRule="auto"/>
            <w:rPr>
              <w:noProof/>
              <w:sz w:val="22"/>
              <w:szCs w:val="22"/>
              <w:lang w:val="es-MX" w:eastAsia="es-MX"/>
            </w:rPr>
          </w:pPr>
          <w:hyperlink w:anchor="_Toc85709561" w:history="1">
            <w:r w:rsidR="00483826" w:rsidRPr="00CB514B">
              <w:rPr>
                <w:rStyle w:val="Hipervnculo"/>
                <w:rFonts w:ascii="Palatino Linotype" w:hAnsi="Palatino Linotype"/>
                <w:b/>
                <w:noProof/>
              </w:rPr>
              <w:t>SEGUNDO. De la oportunidad y procedencia.</w:t>
            </w:r>
            <w:r w:rsidR="00483826">
              <w:rPr>
                <w:noProof/>
                <w:webHidden/>
              </w:rPr>
              <w:tab/>
            </w:r>
            <w:r w:rsidR="00483826">
              <w:rPr>
                <w:noProof/>
                <w:webHidden/>
              </w:rPr>
              <w:fldChar w:fldCharType="begin"/>
            </w:r>
            <w:r w:rsidR="00483826">
              <w:rPr>
                <w:noProof/>
                <w:webHidden/>
              </w:rPr>
              <w:instrText xml:space="preserve"> PAGEREF _Toc85709561 \h </w:instrText>
            </w:r>
            <w:r w:rsidR="00483826">
              <w:rPr>
                <w:noProof/>
                <w:webHidden/>
              </w:rPr>
            </w:r>
            <w:r w:rsidR="00483826">
              <w:rPr>
                <w:noProof/>
                <w:webHidden/>
              </w:rPr>
              <w:fldChar w:fldCharType="separate"/>
            </w:r>
            <w:r w:rsidR="00483826">
              <w:rPr>
                <w:noProof/>
                <w:webHidden/>
              </w:rPr>
              <w:t>8</w:t>
            </w:r>
            <w:r w:rsidR="00483826">
              <w:rPr>
                <w:noProof/>
                <w:webHidden/>
              </w:rPr>
              <w:fldChar w:fldCharType="end"/>
            </w:r>
          </w:hyperlink>
        </w:p>
        <w:p w14:paraId="73C5823E" w14:textId="77777777" w:rsidR="00483826" w:rsidRDefault="00080758" w:rsidP="00483826">
          <w:pPr>
            <w:pStyle w:val="TDC1"/>
            <w:spacing w:line="600" w:lineRule="auto"/>
            <w:rPr>
              <w:rFonts w:asciiTheme="minorHAnsi" w:hAnsiTheme="minorHAnsi"/>
              <w:b w:val="0"/>
              <w:bCs w:val="0"/>
              <w:sz w:val="22"/>
              <w:szCs w:val="22"/>
              <w:lang w:val="es-MX" w:eastAsia="es-MX"/>
            </w:rPr>
          </w:pPr>
          <w:hyperlink w:anchor="_Toc85709562" w:history="1">
            <w:r w:rsidR="00483826" w:rsidRPr="00CB514B">
              <w:rPr>
                <w:rStyle w:val="Hipervnculo"/>
              </w:rPr>
              <w:t>TERCERO. Planteamiento de la Litis.</w:t>
            </w:r>
            <w:r w:rsidR="00483826">
              <w:rPr>
                <w:webHidden/>
              </w:rPr>
              <w:tab/>
            </w:r>
            <w:r w:rsidR="00483826">
              <w:rPr>
                <w:webHidden/>
              </w:rPr>
              <w:fldChar w:fldCharType="begin"/>
            </w:r>
            <w:r w:rsidR="00483826">
              <w:rPr>
                <w:webHidden/>
              </w:rPr>
              <w:instrText xml:space="preserve"> PAGEREF _Toc85709562 \h </w:instrText>
            </w:r>
            <w:r w:rsidR="00483826">
              <w:rPr>
                <w:webHidden/>
              </w:rPr>
            </w:r>
            <w:r w:rsidR="00483826">
              <w:rPr>
                <w:webHidden/>
              </w:rPr>
              <w:fldChar w:fldCharType="separate"/>
            </w:r>
            <w:r w:rsidR="00483826">
              <w:rPr>
                <w:webHidden/>
              </w:rPr>
              <w:t>8</w:t>
            </w:r>
            <w:r w:rsidR="00483826">
              <w:rPr>
                <w:webHidden/>
              </w:rPr>
              <w:fldChar w:fldCharType="end"/>
            </w:r>
          </w:hyperlink>
        </w:p>
        <w:p w14:paraId="7B228180" w14:textId="77777777" w:rsidR="00483826" w:rsidRDefault="00080758" w:rsidP="00483826">
          <w:pPr>
            <w:pStyle w:val="TDC1"/>
            <w:spacing w:line="600" w:lineRule="auto"/>
            <w:rPr>
              <w:rFonts w:asciiTheme="minorHAnsi" w:hAnsiTheme="minorHAnsi"/>
              <w:b w:val="0"/>
              <w:bCs w:val="0"/>
              <w:sz w:val="22"/>
              <w:szCs w:val="22"/>
              <w:lang w:val="es-MX" w:eastAsia="es-MX"/>
            </w:rPr>
          </w:pPr>
          <w:hyperlink w:anchor="_Toc85709563" w:history="1">
            <w:r w:rsidR="00483826" w:rsidRPr="00CB514B">
              <w:rPr>
                <w:rStyle w:val="Hipervnculo"/>
              </w:rPr>
              <w:t>CUARTO. Estudio y resolución del asunto</w:t>
            </w:r>
            <w:r w:rsidR="00483826">
              <w:rPr>
                <w:webHidden/>
              </w:rPr>
              <w:tab/>
            </w:r>
            <w:r w:rsidR="00483826">
              <w:rPr>
                <w:webHidden/>
              </w:rPr>
              <w:fldChar w:fldCharType="begin"/>
            </w:r>
            <w:r w:rsidR="00483826">
              <w:rPr>
                <w:webHidden/>
              </w:rPr>
              <w:instrText xml:space="preserve"> PAGEREF _Toc85709563 \h </w:instrText>
            </w:r>
            <w:r w:rsidR="00483826">
              <w:rPr>
                <w:webHidden/>
              </w:rPr>
            </w:r>
            <w:r w:rsidR="00483826">
              <w:rPr>
                <w:webHidden/>
              </w:rPr>
              <w:fldChar w:fldCharType="separate"/>
            </w:r>
            <w:r w:rsidR="00483826">
              <w:rPr>
                <w:webHidden/>
              </w:rPr>
              <w:t>9</w:t>
            </w:r>
            <w:r w:rsidR="00483826">
              <w:rPr>
                <w:webHidden/>
              </w:rPr>
              <w:fldChar w:fldCharType="end"/>
            </w:r>
          </w:hyperlink>
        </w:p>
        <w:p w14:paraId="75CF0ACD" w14:textId="77777777" w:rsidR="00483826" w:rsidRDefault="00080758" w:rsidP="00483826">
          <w:pPr>
            <w:pStyle w:val="TDC2"/>
            <w:spacing w:line="600" w:lineRule="auto"/>
            <w:rPr>
              <w:noProof/>
              <w:sz w:val="22"/>
              <w:szCs w:val="22"/>
              <w:lang w:val="es-MX" w:eastAsia="es-MX"/>
            </w:rPr>
          </w:pPr>
          <w:hyperlink w:anchor="_Toc85709564" w:history="1">
            <w:r w:rsidR="00483826" w:rsidRPr="00CB514B">
              <w:rPr>
                <w:rStyle w:val="Hipervnculo"/>
                <w:rFonts w:ascii="Palatino Linotype" w:hAnsi="Palatino Linotype"/>
                <w:b/>
                <w:noProof/>
              </w:rPr>
              <w:t>A.</w:t>
            </w:r>
            <w:r w:rsidR="00483826">
              <w:rPr>
                <w:noProof/>
                <w:sz w:val="22"/>
                <w:szCs w:val="22"/>
                <w:lang w:val="es-MX" w:eastAsia="es-MX"/>
              </w:rPr>
              <w:tab/>
            </w:r>
            <w:r w:rsidR="00483826" w:rsidRPr="00CB514B">
              <w:rPr>
                <w:rStyle w:val="Hipervnculo"/>
                <w:rFonts w:ascii="Palatino Linotype" w:hAnsi="Palatino Linotype"/>
                <w:b/>
                <w:noProof/>
              </w:rPr>
              <w:t>De la búsqueda exhaustiva y razonable.</w:t>
            </w:r>
            <w:r w:rsidR="00483826">
              <w:rPr>
                <w:noProof/>
                <w:webHidden/>
              </w:rPr>
              <w:tab/>
            </w:r>
            <w:r w:rsidR="00483826">
              <w:rPr>
                <w:noProof/>
                <w:webHidden/>
              </w:rPr>
              <w:fldChar w:fldCharType="begin"/>
            </w:r>
            <w:r w:rsidR="00483826">
              <w:rPr>
                <w:noProof/>
                <w:webHidden/>
              </w:rPr>
              <w:instrText xml:space="preserve"> PAGEREF _Toc85709564 \h </w:instrText>
            </w:r>
            <w:r w:rsidR="00483826">
              <w:rPr>
                <w:noProof/>
                <w:webHidden/>
              </w:rPr>
            </w:r>
            <w:r w:rsidR="00483826">
              <w:rPr>
                <w:noProof/>
                <w:webHidden/>
              </w:rPr>
              <w:fldChar w:fldCharType="separate"/>
            </w:r>
            <w:r w:rsidR="00483826">
              <w:rPr>
                <w:noProof/>
                <w:webHidden/>
              </w:rPr>
              <w:t>9</w:t>
            </w:r>
            <w:r w:rsidR="00483826">
              <w:rPr>
                <w:noProof/>
                <w:webHidden/>
              </w:rPr>
              <w:fldChar w:fldCharType="end"/>
            </w:r>
          </w:hyperlink>
        </w:p>
        <w:p w14:paraId="22DE4BB1" w14:textId="77777777" w:rsidR="00483826" w:rsidRDefault="00080758" w:rsidP="00483826">
          <w:pPr>
            <w:pStyle w:val="TDC2"/>
            <w:spacing w:line="600" w:lineRule="auto"/>
            <w:rPr>
              <w:noProof/>
              <w:sz w:val="22"/>
              <w:szCs w:val="22"/>
              <w:lang w:val="es-MX" w:eastAsia="es-MX"/>
            </w:rPr>
          </w:pPr>
          <w:hyperlink w:anchor="_Toc85709565" w:history="1">
            <w:r w:rsidR="00483826" w:rsidRPr="00CB514B">
              <w:rPr>
                <w:rStyle w:val="Hipervnculo"/>
                <w:rFonts w:ascii="Palatino Linotype" w:hAnsi="Palatino Linotype" w:cs="Times New Roman"/>
                <w:b/>
                <w:noProof/>
              </w:rPr>
              <w:t>B.</w:t>
            </w:r>
            <w:r w:rsidR="00483826">
              <w:rPr>
                <w:noProof/>
                <w:sz w:val="22"/>
                <w:szCs w:val="22"/>
                <w:lang w:val="es-MX" w:eastAsia="es-MX"/>
              </w:rPr>
              <w:tab/>
            </w:r>
            <w:r w:rsidR="00483826" w:rsidRPr="00CB514B">
              <w:rPr>
                <w:rStyle w:val="Hipervnculo"/>
                <w:rFonts w:ascii="Palatino Linotype" w:hAnsi="Palatino Linotype"/>
                <w:b/>
                <w:noProof/>
              </w:rPr>
              <w:t>De las manifestaciones del Recurrente.</w:t>
            </w:r>
            <w:r w:rsidR="00483826">
              <w:rPr>
                <w:noProof/>
                <w:webHidden/>
              </w:rPr>
              <w:tab/>
            </w:r>
            <w:r w:rsidR="00483826">
              <w:rPr>
                <w:noProof/>
                <w:webHidden/>
              </w:rPr>
              <w:fldChar w:fldCharType="begin"/>
            </w:r>
            <w:r w:rsidR="00483826">
              <w:rPr>
                <w:noProof/>
                <w:webHidden/>
              </w:rPr>
              <w:instrText xml:space="preserve"> PAGEREF _Toc85709565 \h </w:instrText>
            </w:r>
            <w:r w:rsidR="00483826">
              <w:rPr>
                <w:noProof/>
                <w:webHidden/>
              </w:rPr>
            </w:r>
            <w:r w:rsidR="00483826">
              <w:rPr>
                <w:noProof/>
                <w:webHidden/>
              </w:rPr>
              <w:fldChar w:fldCharType="separate"/>
            </w:r>
            <w:r w:rsidR="00483826">
              <w:rPr>
                <w:noProof/>
                <w:webHidden/>
              </w:rPr>
              <w:t>19</w:t>
            </w:r>
            <w:r w:rsidR="00483826">
              <w:rPr>
                <w:noProof/>
                <w:webHidden/>
              </w:rPr>
              <w:fldChar w:fldCharType="end"/>
            </w:r>
          </w:hyperlink>
        </w:p>
        <w:p w14:paraId="450A8A76" w14:textId="77777777" w:rsidR="00483826" w:rsidRDefault="00080758" w:rsidP="00483826">
          <w:pPr>
            <w:pStyle w:val="TDC1"/>
            <w:spacing w:line="600" w:lineRule="auto"/>
            <w:rPr>
              <w:rFonts w:asciiTheme="minorHAnsi" w:hAnsiTheme="minorHAnsi"/>
              <w:b w:val="0"/>
              <w:bCs w:val="0"/>
              <w:sz w:val="22"/>
              <w:szCs w:val="22"/>
              <w:lang w:val="es-MX" w:eastAsia="es-MX"/>
            </w:rPr>
          </w:pPr>
          <w:hyperlink w:anchor="_Toc85709566" w:history="1">
            <w:r w:rsidR="00483826" w:rsidRPr="00CB514B">
              <w:rPr>
                <w:rStyle w:val="Hipervnculo"/>
                <w:rFonts w:eastAsia="Calibri"/>
              </w:rPr>
              <w:t>QUINTO. DECISIÓN.</w:t>
            </w:r>
            <w:r w:rsidR="00483826">
              <w:rPr>
                <w:webHidden/>
              </w:rPr>
              <w:tab/>
            </w:r>
            <w:r w:rsidR="00483826">
              <w:rPr>
                <w:webHidden/>
              </w:rPr>
              <w:fldChar w:fldCharType="begin"/>
            </w:r>
            <w:r w:rsidR="00483826">
              <w:rPr>
                <w:webHidden/>
              </w:rPr>
              <w:instrText xml:space="preserve"> PAGEREF _Toc85709566 \h </w:instrText>
            </w:r>
            <w:r w:rsidR="00483826">
              <w:rPr>
                <w:webHidden/>
              </w:rPr>
            </w:r>
            <w:r w:rsidR="00483826">
              <w:rPr>
                <w:webHidden/>
              </w:rPr>
              <w:fldChar w:fldCharType="separate"/>
            </w:r>
            <w:r w:rsidR="00483826">
              <w:rPr>
                <w:webHidden/>
              </w:rPr>
              <w:t>22</w:t>
            </w:r>
            <w:r w:rsidR="00483826">
              <w:rPr>
                <w:webHidden/>
              </w:rPr>
              <w:fldChar w:fldCharType="end"/>
            </w:r>
          </w:hyperlink>
        </w:p>
        <w:p w14:paraId="406E9D72" w14:textId="77777777" w:rsidR="00483826" w:rsidRDefault="00080758" w:rsidP="00483826">
          <w:pPr>
            <w:pStyle w:val="TDC1"/>
            <w:spacing w:line="600" w:lineRule="auto"/>
            <w:rPr>
              <w:rFonts w:asciiTheme="minorHAnsi" w:hAnsiTheme="minorHAnsi"/>
              <w:b w:val="0"/>
              <w:bCs w:val="0"/>
              <w:sz w:val="22"/>
              <w:szCs w:val="22"/>
              <w:lang w:val="es-MX" w:eastAsia="es-MX"/>
            </w:rPr>
          </w:pPr>
          <w:hyperlink w:anchor="_Toc85709567" w:history="1">
            <w:r w:rsidR="00483826" w:rsidRPr="00CB514B">
              <w:rPr>
                <w:rStyle w:val="Hipervnculo"/>
                <w:rFonts w:cstheme="majorBidi"/>
              </w:rPr>
              <w:t>R E S O L U T I V O S</w:t>
            </w:r>
            <w:r w:rsidR="00483826">
              <w:rPr>
                <w:webHidden/>
              </w:rPr>
              <w:tab/>
            </w:r>
            <w:r w:rsidR="00483826">
              <w:rPr>
                <w:webHidden/>
              </w:rPr>
              <w:fldChar w:fldCharType="begin"/>
            </w:r>
            <w:r w:rsidR="00483826">
              <w:rPr>
                <w:webHidden/>
              </w:rPr>
              <w:instrText xml:space="preserve"> PAGEREF _Toc85709567 \h </w:instrText>
            </w:r>
            <w:r w:rsidR="00483826">
              <w:rPr>
                <w:webHidden/>
              </w:rPr>
            </w:r>
            <w:r w:rsidR="00483826">
              <w:rPr>
                <w:webHidden/>
              </w:rPr>
              <w:fldChar w:fldCharType="separate"/>
            </w:r>
            <w:r w:rsidR="00483826">
              <w:rPr>
                <w:webHidden/>
              </w:rPr>
              <w:t>23</w:t>
            </w:r>
            <w:r w:rsidR="00483826">
              <w:rPr>
                <w:webHidden/>
              </w:rPr>
              <w:fldChar w:fldCharType="end"/>
            </w:r>
          </w:hyperlink>
        </w:p>
        <w:p w14:paraId="24189950" w14:textId="77777777" w:rsidR="004B7E50" w:rsidRPr="004B7E50" w:rsidRDefault="004B7E50" w:rsidP="004B7E50">
          <w:pPr>
            <w:spacing w:line="480" w:lineRule="auto"/>
            <w:rPr>
              <w:rFonts w:ascii="Palatino Linotype" w:hAnsi="Palatino Linotype"/>
              <w:sz w:val="24"/>
              <w:szCs w:val="24"/>
            </w:rPr>
          </w:pPr>
          <w:r w:rsidRPr="004B7E50">
            <w:rPr>
              <w:rFonts w:ascii="Palatino Linotype" w:hAnsi="Palatino Linotype"/>
              <w:b/>
              <w:bCs/>
              <w:sz w:val="24"/>
              <w:szCs w:val="24"/>
              <w:lang w:val="es-ES"/>
            </w:rPr>
            <w:fldChar w:fldCharType="end"/>
          </w:r>
        </w:p>
      </w:sdtContent>
    </w:sdt>
    <w:p w14:paraId="43DE116F" w14:textId="72D0BC22" w:rsidR="004B7E50" w:rsidRPr="004B7E50" w:rsidRDefault="004B7E50" w:rsidP="004B7E50">
      <w:pPr>
        <w:spacing w:before="240" w:after="240" w:line="360" w:lineRule="auto"/>
        <w:jc w:val="both"/>
        <w:rPr>
          <w:rFonts w:ascii="Palatino Linotype" w:hAnsi="Palatino Linotype"/>
          <w:sz w:val="24"/>
          <w:szCs w:val="24"/>
        </w:rPr>
      </w:pPr>
      <w:r w:rsidRPr="004B7E50">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w:t>
      </w:r>
      <w:r w:rsidR="00F87101">
        <w:rPr>
          <w:rFonts w:ascii="Palatino Linotype" w:hAnsi="Palatino Linotype"/>
          <w:sz w:val="24"/>
          <w:szCs w:val="24"/>
        </w:rPr>
        <w:t xml:space="preserve">Estado de México; de </w:t>
      </w:r>
      <w:r w:rsidR="00F87101" w:rsidRPr="00070851">
        <w:rPr>
          <w:rFonts w:ascii="Palatino Linotype" w:hAnsi="Palatino Linotype"/>
          <w:sz w:val="24"/>
          <w:szCs w:val="24"/>
        </w:rPr>
        <w:t>veint</w:t>
      </w:r>
      <w:r w:rsidR="00485B03" w:rsidRPr="00070851">
        <w:rPr>
          <w:rFonts w:ascii="Palatino Linotype" w:hAnsi="Palatino Linotype"/>
          <w:sz w:val="24"/>
          <w:szCs w:val="24"/>
        </w:rPr>
        <w:t>isiete</w:t>
      </w:r>
      <w:r w:rsidRPr="00070851">
        <w:rPr>
          <w:rFonts w:ascii="Palatino Linotype" w:hAnsi="Palatino Linotype"/>
          <w:sz w:val="24"/>
          <w:szCs w:val="24"/>
        </w:rPr>
        <w:t xml:space="preserve"> (</w:t>
      </w:r>
      <w:r w:rsidR="00F87101" w:rsidRPr="00070851">
        <w:rPr>
          <w:rFonts w:ascii="Palatino Linotype" w:hAnsi="Palatino Linotype"/>
          <w:sz w:val="24"/>
          <w:szCs w:val="24"/>
        </w:rPr>
        <w:t>2</w:t>
      </w:r>
      <w:r w:rsidR="00485B03" w:rsidRPr="00070851">
        <w:rPr>
          <w:rFonts w:ascii="Palatino Linotype" w:hAnsi="Palatino Linotype"/>
          <w:sz w:val="24"/>
          <w:szCs w:val="24"/>
        </w:rPr>
        <w:t>7</w:t>
      </w:r>
      <w:r w:rsidRPr="00070851">
        <w:rPr>
          <w:rFonts w:ascii="Palatino Linotype" w:hAnsi="Palatino Linotype"/>
          <w:sz w:val="24"/>
          <w:szCs w:val="24"/>
        </w:rPr>
        <w:t>) de octubre de dos mil veintiuno.</w:t>
      </w:r>
    </w:p>
    <w:p w14:paraId="394FAAD0" w14:textId="1E889526" w:rsidR="004B7E50" w:rsidRPr="004B7E50" w:rsidRDefault="004B7E50" w:rsidP="004B7E50">
      <w:pPr>
        <w:pStyle w:val="Encabezado"/>
        <w:spacing w:line="360" w:lineRule="auto"/>
        <w:jc w:val="both"/>
        <w:rPr>
          <w:rFonts w:ascii="Palatino Linotype" w:hAnsi="Palatino Linotype"/>
          <w:sz w:val="24"/>
          <w:szCs w:val="24"/>
        </w:rPr>
      </w:pPr>
      <w:r w:rsidRPr="004B7E50">
        <w:rPr>
          <w:rFonts w:ascii="Palatino Linotype" w:hAnsi="Palatino Linotype"/>
          <w:b/>
          <w:sz w:val="24"/>
          <w:szCs w:val="24"/>
        </w:rPr>
        <w:t>VISTO el</w:t>
      </w:r>
      <w:r w:rsidRPr="004B7E50">
        <w:rPr>
          <w:rFonts w:ascii="Palatino Linotype" w:hAnsi="Palatino Linotype"/>
          <w:sz w:val="24"/>
          <w:szCs w:val="24"/>
        </w:rPr>
        <w:t xml:space="preserve"> expediente electrónico formado con motivo del recurso de revisión </w:t>
      </w:r>
      <w:r w:rsidR="00F87101" w:rsidRPr="00F87101">
        <w:rPr>
          <w:rFonts w:ascii="Palatino Linotype" w:hAnsi="Palatino Linotype" w:cs="Arial"/>
          <w:b/>
          <w:bCs/>
          <w:sz w:val="24"/>
          <w:szCs w:val="24"/>
          <w:lang w:eastAsia="es-MX"/>
        </w:rPr>
        <w:t>04378/INFOEM/IP/RR/2021</w:t>
      </w:r>
      <w:r w:rsidRPr="004B7E50">
        <w:rPr>
          <w:rFonts w:ascii="Palatino Linotype" w:hAnsi="Palatino Linotype" w:cs="Arial"/>
          <w:b/>
          <w:bCs/>
          <w:sz w:val="24"/>
          <w:szCs w:val="24"/>
        </w:rPr>
        <w:t xml:space="preserve">, </w:t>
      </w:r>
      <w:r w:rsidRPr="004B7E50">
        <w:rPr>
          <w:rFonts w:ascii="Palatino Linotype" w:hAnsi="Palatino Linotype"/>
          <w:sz w:val="24"/>
          <w:szCs w:val="24"/>
        </w:rPr>
        <w:t xml:space="preserve">promovido por </w:t>
      </w:r>
      <w:r w:rsidR="00A833DD" w:rsidRPr="00A833DD">
        <w:rPr>
          <w:rFonts w:ascii="Palatino Linotype" w:hAnsi="Palatino Linotype"/>
          <w:b/>
          <w:sz w:val="24"/>
          <w:szCs w:val="24"/>
        </w:rPr>
        <w:t>XXXXX XXXXX XX XX XXXXXX</w:t>
      </w:r>
      <w:r w:rsidRPr="004B7E50">
        <w:rPr>
          <w:rFonts w:ascii="Palatino Linotype" w:hAnsi="Palatino Linotype"/>
          <w:sz w:val="24"/>
          <w:szCs w:val="24"/>
        </w:rPr>
        <w:t xml:space="preserve">, en su calidad de </w:t>
      </w:r>
      <w:r w:rsidRPr="004B7E50">
        <w:rPr>
          <w:rFonts w:ascii="Palatino Linotype" w:hAnsi="Palatino Linotype"/>
          <w:b/>
          <w:sz w:val="24"/>
          <w:szCs w:val="24"/>
        </w:rPr>
        <w:t>RECURRENTE</w:t>
      </w:r>
      <w:r w:rsidRPr="004B7E50">
        <w:rPr>
          <w:rFonts w:ascii="Palatino Linotype" w:hAnsi="Palatino Linotype" w:cs="Arial"/>
          <w:sz w:val="24"/>
          <w:szCs w:val="24"/>
        </w:rPr>
        <w:t>, en contra de la respuesta de</w:t>
      </w:r>
      <w:r w:rsidR="00F87101">
        <w:rPr>
          <w:rFonts w:ascii="Palatino Linotype" w:hAnsi="Palatino Linotype" w:cs="Arial"/>
          <w:sz w:val="24"/>
          <w:szCs w:val="24"/>
        </w:rPr>
        <w:t xml:space="preserve"> </w:t>
      </w:r>
      <w:r w:rsidRPr="004B7E50">
        <w:rPr>
          <w:rFonts w:ascii="Palatino Linotype" w:hAnsi="Palatino Linotype" w:cs="Arial"/>
          <w:sz w:val="24"/>
          <w:szCs w:val="24"/>
        </w:rPr>
        <w:t>l</w:t>
      </w:r>
      <w:r w:rsidR="00F87101">
        <w:rPr>
          <w:rFonts w:ascii="Palatino Linotype" w:hAnsi="Palatino Linotype" w:cs="Arial"/>
          <w:sz w:val="24"/>
          <w:szCs w:val="24"/>
        </w:rPr>
        <w:t>a</w:t>
      </w:r>
      <w:r w:rsidRPr="004B7E50">
        <w:rPr>
          <w:rFonts w:ascii="Palatino Linotype" w:hAnsi="Palatino Linotype" w:cs="Arial"/>
          <w:sz w:val="24"/>
          <w:szCs w:val="24"/>
        </w:rPr>
        <w:t xml:space="preserve"> </w:t>
      </w:r>
      <w:r w:rsidR="00F87101" w:rsidRPr="00F87101">
        <w:rPr>
          <w:rFonts w:ascii="Palatino Linotype" w:hAnsi="Palatino Linotype"/>
          <w:b/>
          <w:bCs/>
          <w:sz w:val="24"/>
          <w:szCs w:val="24"/>
        </w:rPr>
        <w:t>Secretaría de Desarrollo Urbano y Obra</w:t>
      </w:r>
      <w:r w:rsidRPr="004B7E50">
        <w:rPr>
          <w:rFonts w:ascii="Palatino Linotype" w:hAnsi="Palatino Linotype" w:cs="Arial"/>
          <w:sz w:val="24"/>
          <w:szCs w:val="24"/>
        </w:rPr>
        <w:t>,</w:t>
      </w:r>
      <w:r w:rsidRPr="004B7E50">
        <w:rPr>
          <w:rFonts w:ascii="Palatino Linotype" w:hAnsi="Palatino Linotype"/>
          <w:b/>
          <w:sz w:val="24"/>
          <w:szCs w:val="24"/>
        </w:rPr>
        <w:t xml:space="preserve"> </w:t>
      </w:r>
      <w:r w:rsidRPr="004B7E50">
        <w:rPr>
          <w:rFonts w:ascii="Palatino Linotype" w:hAnsi="Palatino Linotype"/>
          <w:sz w:val="24"/>
          <w:szCs w:val="24"/>
        </w:rPr>
        <w:t>en lo sucesivo el</w:t>
      </w:r>
      <w:r w:rsidRPr="004B7E50">
        <w:rPr>
          <w:rFonts w:ascii="Palatino Linotype" w:hAnsi="Palatino Linotype"/>
          <w:b/>
          <w:sz w:val="24"/>
          <w:szCs w:val="24"/>
        </w:rPr>
        <w:t xml:space="preserve"> SUJETO OBLIGADO, </w:t>
      </w:r>
      <w:r w:rsidRPr="004B7E50">
        <w:rPr>
          <w:rFonts w:ascii="Palatino Linotype" w:hAnsi="Palatino Linotype"/>
          <w:sz w:val="24"/>
          <w:szCs w:val="24"/>
        </w:rPr>
        <w:t>se procede a dictar la presente resolución, con base en los siguientes:</w:t>
      </w:r>
    </w:p>
    <w:p w14:paraId="4058BF16" w14:textId="77777777" w:rsidR="004B7E50" w:rsidRPr="004B7E50" w:rsidRDefault="004B7E50" w:rsidP="004B7E50">
      <w:pPr>
        <w:pStyle w:val="Ttulo1"/>
        <w:jc w:val="center"/>
        <w:rPr>
          <w:rFonts w:ascii="Palatino Linotype" w:hAnsi="Palatino Linotype"/>
          <w:b/>
          <w:color w:val="auto"/>
          <w:sz w:val="24"/>
          <w:szCs w:val="24"/>
        </w:rPr>
      </w:pPr>
      <w:bookmarkStart w:id="0" w:name="_Toc85709558"/>
      <w:r w:rsidRPr="004B7E50">
        <w:rPr>
          <w:rFonts w:ascii="Palatino Linotype" w:hAnsi="Palatino Linotype"/>
          <w:b/>
          <w:color w:val="auto"/>
          <w:sz w:val="24"/>
          <w:szCs w:val="24"/>
        </w:rPr>
        <w:t>ANTECEDENTES</w:t>
      </w:r>
      <w:bookmarkEnd w:id="0"/>
    </w:p>
    <w:p w14:paraId="27A77A72" w14:textId="77777777" w:rsidR="004B7E50" w:rsidRPr="004B7E50" w:rsidRDefault="004B7E50" w:rsidP="004B7E50">
      <w:pPr>
        <w:rPr>
          <w:rFonts w:ascii="Palatino Linotype" w:hAnsi="Palatino Linotype"/>
          <w:sz w:val="24"/>
          <w:szCs w:val="24"/>
          <w:lang w:eastAsia="en-US"/>
        </w:rPr>
      </w:pPr>
    </w:p>
    <w:p w14:paraId="5F113DE1" w14:textId="3C4660D9" w:rsidR="004B7E50" w:rsidRPr="004B7E50" w:rsidRDefault="00F87101" w:rsidP="004B7E50">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once</w:t>
      </w:r>
      <w:r w:rsidR="004B7E50" w:rsidRPr="004B7E50">
        <w:rPr>
          <w:rFonts w:ascii="Palatino Linotype" w:eastAsia="Calibri" w:hAnsi="Palatino Linotype" w:cs="Arial"/>
          <w:sz w:val="24"/>
          <w:lang w:val="es-ES"/>
        </w:rPr>
        <w:t xml:space="preserve"> (</w:t>
      </w:r>
      <w:r>
        <w:rPr>
          <w:rFonts w:ascii="Palatino Linotype" w:eastAsia="Calibri" w:hAnsi="Palatino Linotype" w:cs="Arial"/>
          <w:sz w:val="24"/>
          <w:lang w:val="es-ES"/>
        </w:rPr>
        <w:t>11</w:t>
      </w:r>
      <w:r w:rsidR="004B7E50" w:rsidRPr="004B7E50">
        <w:rPr>
          <w:rFonts w:ascii="Palatino Linotype" w:eastAsia="Calibri" w:hAnsi="Palatino Linotype" w:cs="Arial"/>
          <w:sz w:val="24"/>
          <w:lang w:val="es-ES"/>
        </w:rPr>
        <w:t xml:space="preserve">) </w:t>
      </w:r>
      <w:r w:rsidR="004B7E50" w:rsidRPr="004B7E50">
        <w:rPr>
          <w:rFonts w:ascii="Palatino Linotype" w:eastAsia="Calibri" w:hAnsi="Palatino Linotype"/>
          <w:sz w:val="24"/>
          <w:lang w:val="es-ES"/>
        </w:rPr>
        <w:t>de agosto de dos mil veintiuno</w:t>
      </w:r>
      <w:r w:rsidR="004B7E50" w:rsidRPr="004B7E50">
        <w:rPr>
          <w:rFonts w:ascii="Palatino Linotype" w:eastAsia="Calibri" w:hAnsi="Palatino Linotype" w:cs="Arial"/>
          <w:sz w:val="24"/>
          <w:lang w:val="es-ES"/>
        </w:rPr>
        <w:t>,</w:t>
      </w:r>
      <w:r w:rsidR="004B7E50" w:rsidRPr="004B7E50">
        <w:rPr>
          <w:rFonts w:ascii="Palatino Linotype" w:eastAsia="Calibri" w:hAnsi="Palatino Linotype"/>
          <w:sz w:val="24"/>
          <w:lang w:val="es-ES"/>
        </w:rPr>
        <w:t xml:space="preserve"> </w:t>
      </w:r>
      <w:r w:rsidR="004B7E50" w:rsidRPr="004B7E50">
        <w:rPr>
          <w:rFonts w:ascii="Palatino Linotype" w:eastAsia="Calibri" w:hAnsi="Palatino Linotype"/>
          <w:b/>
          <w:sz w:val="24"/>
          <w:lang w:val="es-ES"/>
        </w:rPr>
        <w:t xml:space="preserve">EL RECURRENTE </w:t>
      </w:r>
      <w:r w:rsidR="004B7E50" w:rsidRPr="004B7E50">
        <w:rPr>
          <w:rFonts w:ascii="Palatino Linotype" w:eastAsia="Calibri" w:hAnsi="Palatino Linotype"/>
          <w:bCs/>
          <w:sz w:val="24"/>
          <w:lang w:val="es-ES"/>
        </w:rPr>
        <w:t>presentó</w:t>
      </w:r>
      <w:r w:rsidR="004B7E50" w:rsidRPr="004B7E50">
        <w:rPr>
          <w:rFonts w:ascii="Palatino Linotype" w:hAnsi="Palatino Linotype"/>
          <w:b/>
          <w:sz w:val="24"/>
        </w:rPr>
        <w:t>,</w:t>
      </w:r>
      <w:r w:rsidR="004B7E50" w:rsidRPr="004B7E50">
        <w:rPr>
          <w:rFonts w:ascii="Palatino Linotype" w:eastAsia="Calibri" w:hAnsi="Palatino Linotype" w:cs="Arial"/>
          <w:sz w:val="24"/>
          <w:lang w:val="es-ES"/>
        </w:rPr>
        <w:t xml:space="preserve"> ante el </w:t>
      </w:r>
      <w:r w:rsidR="004B7E50" w:rsidRPr="004B7E50">
        <w:rPr>
          <w:rFonts w:ascii="Palatino Linotype" w:eastAsia="Calibri" w:hAnsi="Palatino Linotype" w:cs="Arial"/>
          <w:b/>
          <w:sz w:val="24"/>
          <w:lang w:val="es-ES"/>
        </w:rPr>
        <w:t>SUJETO OBLIGADO</w:t>
      </w:r>
      <w:r w:rsidR="004B7E50" w:rsidRPr="004B7E50">
        <w:rPr>
          <w:rFonts w:ascii="Palatino Linotype" w:eastAsia="Calibri" w:hAnsi="Palatino Linotype" w:cs="Arial"/>
          <w:sz w:val="24"/>
        </w:rPr>
        <w:t xml:space="preserve"> vía </w:t>
      </w:r>
      <w:r w:rsidR="004B7E50" w:rsidRPr="004B7E50">
        <w:rPr>
          <w:rFonts w:ascii="Palatino Linotype" w:eastAsia="Calibri" w:hAnsi="Palatino Linotype" w:cs="Arial"/>
          <w:sz w:val="24"/>
          <w:lang w:val="es-ES"/>
        </w:rPr>
        <w:t>Sistema de Acceso a la Información Mexiquense (</w:t>
      </w:r>
      <w:r w:rsidR="004B7E50" w:rsidRPr="004B7E50">
        <w:rPr>
          <w:rFonts w:ascii="Palatino Linotype" w:eastAsia="Calibri" w:hAnsi="Palatino Linotype" w:cs="Arial"/>
          <w:b/>
          <w:sz w:val="24"/>
          <w:lang w:val="es-ES"/>
        </w:rPr>
        <w:t>SAIMEX)</w:t>
      </w:r>
      <w:r w:rsidR="004B7E50" w:rsidRPr="004B7E50">
        <w:rPr>
          <w:rFonts w:ascii="Palatino Linotype" w:eastAsia="Calibri" w:hAnsi="Palatino Linotype" w:cs="Arial"/>
          <w:sz w:val="24"/>
          <w:lang w:val="es-ES"/>
        </w:rPr>
        <w:t xml:space="preserve">, la solicitud de información pública registrada con el número </w:t>
      </w:r>
      <w:r w:rsidRPr="004B7E50">
        <w:rPr>
          <w:rFonts w:ascii="Palatino Linotype" w:eastAsia="Calibri" w:hAnsi="Palatino Linotype" w:cs="Arial"/>
          <w:b/>
          <w:sz w:val="24"/>
          <w:lang w:val="es-ES"/>
        </w:rPr>
        <w:t>00</w:t>
      </w:r>
      <w:r>
        <w:rPr>
          <w:rFonts w:ascii="Palatino Linotype" w:eastAsia="Calibri" w:hAnsi="Palatino Linotype" w:cs="Arial"/>
          <w:b/>
          <w:sz w:val="24"/>
          <w:lang w:val="es-ES"/>
        </w:rPr>
        <w:t>005</w:t>
      </w:r>
      <w:r w:rsidRPr="004B7E50">
        <w:rPr>
          <w:rFonts w:ascii="Palatino Linotype" w:eastAsia="Calibri" w:hAnsi="Palatino Linotype" w:cs="Arial"/>
          <w:b/>
          <w:sz w:val="24"/>
          <w:lang w:val="es-ES"/>
        </w:rPr>
        <w:t>/</w:t>
      </w:r>
      <w:r>
        <w:rPr>
          <w:rFonts w:ascii="Palatino Linotype" w:eastAsia="Calibri" w:hAnsi="Palatino Linotype" w:cs="Arial"/>
          <w:b/>
          <w:sz w:val="24"/>
          <w:lang w:val="es-ES"/>
        </w:rPr>
        <w:t>SEDUO</w:t>
      </w:r>
      <w:r w:rsidRPr="004B7E50">
        <w:rPr>
          <w:rFonts w:ascii="Palatino Linotype" w:eastAsia="Calibri" w:hAnsi="Palatino Linotype" w:cs="Arial"/>
          <w:b/>
          <w:sz w:val="24"/>
          <w:lang w:val="es-ES"/>
        </w:rPr>
        <w:t>/IP/2021</w:t>
      </w:r>
      <w:r w:rsidR="004B7E50" w:rsidRPr="004B7E50">
        <w:rPr>
          <w:rFonts w:ascii="Palatino Linotype" w:hAnsi="Palatino Linotype"/>
          <w:b/>
          <w:sz w:val="24"/>
        </w:rPr>
        <w:t xml:space="preserve"> </w:t>
      </w:r>
      <w:r w:rsidR="004B7E50" w:rsidRPr="004B7E50">
        <w:rPr>
          <w:rFonts w:ascii="Palatino Linotype" w:eastAsia="Calibri" w:hAnsi="Palatino Linotype" w:cs="Arial"/>
          <w:sz w:val="24"/>
          <w:lang w:val="es-ES"/>
        </w:rPr>
        <w:t>mediante la cual solicitó lo siguiente:</w:t>
      </w:r>
    </w:p>
    <w:p w14:paraId="49AC28D4" w14:textId="3878BB19" w:rsidR="004B7E50" w:rsidRDefault="004B7E50" w:rsidP="004B7E50">
      <w:pPr>
        <w:ind w:left="567" w:right="567"/>
        <w:jc w:val="both"/>
        <w:rPr>
          <w:rFonts w:ascii="Palatino Linotype" w:eastAsia="Calibri" w:hAnsi="Palatino Linotype" w:cs="Arial"/>
          <w:i/>
          <w:sz w:val="22"/>
          <w:szCs w:val="24"/>
          <w:lang w:val="es-ES"/>
        </w:rPr>
      </w:pPr>
      <w:r w:rsidRPr="004B7E50">
        <w:rPr>
          <w:rFonts w:ascii="Palatino Linotype" w:eastAsia="Calibri" w:hAnsi="Palatino Linotype" w:cs="Arial"/>
          <w:i/>
          <w:sz w:val="22"/>
          <w:szCs w:val="24"/>
          <w:lang w:val="es-ES"/>
        </w:rPr>
        <w:t>“</w:t>
      </w:r>
      <w:r w:rsidR="00F87101" w:rsidRPr="00F87101">
        <w:rPr>
          <w:rFonts w:ascii="Palatino Linotype" w:hAnsi="Palatino Linotype"/>
          <w:i/>
          <w:sz w:val="22"/>
          <w:szCs w:val="24"/>
          <w:lang w:eastAsia="es-MX"/>
        </w:rPr>
        <w:t>Se solicita se informe si el Gobierno del Estado de México, tiene en planeación el desarrollo de alguna obra o vialidad y en su caso si existe alguna afectación de los terrenos ubicados en la esquina de calle 22 de diciembre y la carretera Lechería-Texcoco Colonia Héroes de Tecámac, municipio de Tecámac, Estado de México. (se anexa mapa de google para precisar la ubicación). De la misma manera, se solicita se proporcione copia simple del plano de vialidad u obra que se tenga prevista afectando los terrenos ubicados en la esquina de calle 22 de diciembre esquina carretera Lechería-Texcoco, en la colonia Héroes de Tecámac, municipio de Tecámac, Estado de México.</w:t>
      </w:r>
      <w:r w:rsidRPr="004B7E50">
        <w:rPr>
          <w:rFonts w:ascii="Palatino Linotype" w:eastAsia="Calibri" w:hAnsi="Palatino Linotype" w:cs="Arial"/>
          <w:i/>
          <w:sz w:val="22"/>
          <w:szCs w:val="24"/>
          <w:lang w:val="es-ES"/>
        </w:rPr>
        <w:t>” (Sic)</w:t>
      </w:r>
    </w:p>
    <w:p w14:paraId="35AD2C83" w14:textId="77777777" w:rsidR="00F87101" w:rsidRPr="004B7E50" w:rsidRDefault="00F87101" w:rsidP="004B7E50">
      <w:pPr>
        <w:ind w:left="567" w:right="567"/>
        <w:jc w:val="both"/>
        <w:rPr>
          <w:rFonts w:ascii="Palatino Linotype" w:eastAsia="Calibri" w:hAnsi="Palatino Linotype" w:cs="Arial"/>
          <w:i/>
          <w:sz w:val="22"/>
          <w:szCs w:val="24"/>
          <w:lang w:val="es-ES"/>
        </w:rPr>
      </w:pPr>
    </w:p>
    <w:p w14:paraId="6CA730BE" w14:textId="1B16E27C" w:rsidR="004B7E50" w:rsidRPr="00F87101" w:rsidRDefault="00F87101" w:rsidP="007856ED">
      <w:pPr>
        <w:pStyle w:val="Prrafodelista"/>
        <w:numPr>
          <w:ilvl w:val="0"/>
          <w:numId w:val="31"/>
        </w:numPr>
        <w:spacing w:line="360" w:lineRule="auto"/>
        <w:ind w:right="567"/>
        <w:jc w:val="both"/>
        <w:rPr>
          <w:rFonts w:ascii="Palatino Linotype" w:eastAsia="Calibri" w:hAnsi="Palatino Linotype" w:cs="Arial"/>
          <w:b/>
          <w:i/>
          <w:lang w:val="es-ES"/>
        </w:rPr>
      </w:pPr>
      <w:r w:rsidRPr="00F87101">
        <w:rPr>
          <w:rFonts w:ascii="Palatino Linotype" w:eastAsia="Calibri" w:hAnsi="Palatino Linotype" w:cs="Arial"/>
          <w:sz w:val="24"/>
          <w:lang w:val="es-ES"/>
        </w:rPr>
        <w:t>El Recurrente adjuntó el documento electrónico denominado</w:t>
      </w:r>
      <w:r w:rsidRPr="00F87101">
        <w:rPr>
          <w:rFonts w:ascii="Palatino Linotype" w:eastAsia="Calibri" w:hAnsi="Palatino Linotype" w:cs="Arial"/>
          <w:i/>
          <w:sz w:val="24"/>
          <w:lang w:val="es-ES"/>
        </w:rPr>
        <w:t xml:space="preserve"> </w:t>
      </w:r>
      <w:r w:rsidRPr="00F87101">
        <w:rPr>
          <w:rFonts w:ascii="Palatino Linotype" w:eastAsia="Calibri" w:hAnsi="Palatino Linotype" w:cs="Arial"/>
          <w:b/>
          <w:i/>
          <w:lang w:val="es-ES"/>
        </w:rPr>
        <w:t>plano de afectaci</w:t>
      </w:r>
      <w:r>
        <w:rPr>
          <w:rFonts w:ascii="Palatino Linotype" w:eastAsia="Calibri" w:hAnsi="Palatino Linotype" w:cs="Arial"/>
          <w:b/>
          <w:i/>
          <w:lang w:val="es-ES"/>
        </w:rPr>
        <w:t xml:space="preserve">ón Ejido.pdf, </w:t>
      </w:r>
      <w:r>
        <w:rPr>
          <w:rFonts w:ascii="Palatino Linotype" w:eastAsia="Calibri" w:hAnsi="Palatino Linotype" w:cs="Arial"/>
          <w:lang w:val="es-ES"/>
        </w:rPr>
        <w:t>el cual contiene una imagen de la aplicación denominada “</w:t>
      </w:r>
      <w:r>
        <w:rPr>
          <w:rFonts w:ascii="Palatino Linotype" w:eastAsia="Calibri" w:hAnsi="Palatino Linotype" w:cs="Arial"/>
          <w:i/>
          <w:lang w:val="es-ES"/>
        </w:rPr>
        <w:t>google maps”</w:t>
      </w:r>
      <w:r w:rsidRPr="00F87101">
        <w:rPr>
          <w:rFonts w:ascii="Palatino Linotype" w:eastAsia="Calibri" w:hAnsi="Palatino Linotype" w:cs="Arial"/>
          <w:sz w:val="24"/>
          <w:lang w:val="es-ES"/>
        </w:rPr>
        <w:t>y</w:t>
      </w:r>
      <w:r>
        <w:rPr>
          <w:rFonts w:ascii="Palatino Linotype" w:eastAsia="Calibri" w:hAnsi="Palatino Linotype" w:cs="Arial"/>
          <w:sz w:val="24"/>
          <w:lang w:val="es-ES"/>
        </w:rPr>
        <w:t>,</w:t>
      </w:r>
      <w:r w:rsidRPr="00F87101">
        <w:rPr>
          <w:rFonts w:ascii="Palatino Linotype" w:eastAsia="Calibri" w:hAnsi="Palatino Linotype" w:cs="Arial"/>
          <w:sz w:val="24"/>
          <w:lang w:val="es-ES"/>
        </w:rPr>
        <w:t xml:space="preserve"> con un círculo rojo se señala el plano de afectación por vialidad.</w:t>
      </w:r>
    </w:p>
    <w:p w14:paraId="6505E028" w14:textId="77777777" w:rsidR="004B7E50" w:rsidRPr="004B7E50" w:rsidRDefault="004B7E50" w:rsidP="004B7E50">
      <w:pPr>
        <w:pStyle w:val="Prrafodelista"/>
        <w:ind w:right="567"/>
        <w:jc w:val="both"/>
        <w:rPr>
          <w:rFonts w:ascii="Palatino Linotype" w:eastAsia="Calibri" w:hAnsi="Palatino Linotype" w:cs="Arial"/>
          <w:b/>
          <w:bCs/>
          <w:i/>
          <w:sz w:val="24"/>
          <w:lang w:val="es-ES"/>
        </w:rPr>
      </w:pPr>
    </w:p>
    <w:p w14:paraId="2D75578B" w14:textId="103052B4" w:rsidR="004B7E50" w:rsidRPr="004B7E50" w:rsidRDefault="004B7E50" w:rsidP="004B7E50">
      <w:pPr>
        <w:pStyle w:val="Prrafodelista"/>
        <w:numPr>
          <w:ilvl w:val="0"/>
          <w:numId w:val="3"/>
        </w:numPr>
        <w:spacing w:line="360" w:lineRule="auto"/>
        <w:ind w:left="0" w:firstLine="0"/>
        <w:jc w:val="both"/>
        <w:rPr>
          <w:rFonts w:ascii="Palatino Linotype" w:hAnsi="Palatino Linotype" w:cs="Arial"/>
          <w:sz w:val="24"/>
          <w:lang w:val="es-ES"/>
        </w:rPr>
      </w:pPr>
      <w:r w:rsidRPr="004B7E50">
        <w:rPr>
          <w:rFonts w:ascii="Palatino Linotype" w:hAnsi="Palatino Linotype" w:cs="Arial"/>
          <w:sz w:val="24"/>
          <w:lang w:val="es-ES"/>
        </w:rPr>
        <w:t>Señaló como modalidad de entreg</w:t>
      </w:r>
      <w:r w:rsidR="00791625">
        <w:rPr>
          <w:rFonts w:ascii="Palatino Linotype" w:hAnsi="Palatino Linotype" w:cs="Arial"/>
          <w:sz w:val="24"/>
          <w:lang w:val="es-ES"/>
        </w:rPr>
        <w:t>a de la información a través de Copias simples con costo</w:t>
      </w:r>
      <w:r w:rsidRPr="004B7E50">
        <w:rPr>
          <w:rFonts w:ascii="Palatino Linotype" w:hAnsi="Palatino Linotype" w:cs="Arial"/>
          <w:b/>
          <w:sz w:val="24"/>
          <w:lang w:val="es-ES"/>
        </w:rPr>
        <w:t>.</w:t>
      </w:r>
    </w:p>
    <w:p w14:paraId="09AC3063" w14:textId="77777777" w:rsidR="004B7E50" w:rsidRPr="004B7E50" w:rsidRDefault="004B7E50" w:rsidP="004B7E50">
      <w:pPr>
        <w:pStyle w:val="Prrafodelista"/>
        <w:spacing w:line="360" w:lineRule="auto"/>
        <w:ind w:left="0"/>
        <w:jc w:val="both"/>
        <w:rPr>
          <w:rFonts w:ascii="Palatino Linotype" w:hAnsi="Palatino Linotype" w:cs="Arial"/>
          <w:sz w:val="24"/>
          <w:lang w:val="es-ES"/>
        </w:rPr>
      </w:pPr>
    </w:p>
    <w:p w14:paraId="2DC904FB" w14:textId="18C3AFF7" w:rsidR="004B7E50" w:rsidRPr="004B7E50" w:rsidRDefault="001032BC" w:rsidP="004B7E50">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Pr>
          <w:rFonts w:ascii="Palatino Linotype" w:eastAsia="Calibri" w:hAnsi="Palatino Linotype"/>
          <w:sz w:val="24"/>
          <w:lang w:val="es-ES"/>
        </w:rPr>
        <w:t>El veinti</w:t>
      </w:r>
      <w:r w:rsidR="004B7E50" w:rsidRPr="004B7E50">
        <w:rPr>
          <w:rFonts w:ascii="Palatino Linotype" w:eastAsia="Calibri" w:hAnsi="Palatino Linotype"/>
          <w:sz w:val="24"/>
          <w:lang w:val="es-ES"/>
        </w:rPr>
        <w:t xml:space="preserve">siete </w:t>
      </w:r>
      <w:r w:rsidR="001F1126">
        <w:rPr>
          <w:rFonts w:ascii="Palatino Linotype" w:eastAsia="Calibri" w:hAnsi="Palatino Linotype" w:cs="Arial"/>
          <w:sz w:val="24"/>
          <w:lang w:val="es-ES"/>
        </w:rPr>
        <w:t>(2</w:t>
      </w:r>
      <w:r w:rsidR="004B7E50" w:rsidRPr="004B7E50">
        <w:rPr>
          <w:rFonts w:ascii="Palatino Linotype" w:eastAsia="Calibri" w:hAnsi="Palatino Linotype" w:cs="Arial"/>
          <w:sz w:val="24"/>
          <w:lang w:val="es-ES"/>
        </w:rPr>
        <w:t xml:space="preserve">7) </w:t>
      </w:r>
      <w:r w:rsidR="004B7E50" w:rsidRPr="004B7E50">
        <w:rPr>
          <w:rFonts w:ascii="Palatino Linotype" w:eastAsia="Calibri" w:hAnsi="Palatino Linotype"/>
          <w:sz w:val="24"/>
          <w:lang w:val="es-ES"/>
        </w:rPr>
        <w:t xml:space="preserve">de agosto de dos mil veintiuno, el </w:t>
      </w:r>
      <w:r w:rsidR="004B7E50" w:rsidRPr="004B7E50">
        <w:rPr>
          <w:rFonts w:ascii="Palatino Linotype" w:eastAsia="Calibri" w:hAnsi="Palatino Linotype" w:cs="Arial"/>
          <w:b/>
          <w:sz w:val="24"/>
          <w:lang w:val="es-AR"/>
        </w:rPr>
        <w:t>SUJETO OBLIGADO</w:t>
      </w:r>
      <w:r w:rsidR="004B7E50" w:rsidRPr="004B7E50">
        <w:rPr>
          <w:rFonts w:ascii="Palatino Linotype" w:eastAsia="Calibri" w:hAnsi="Palatino Linotype" w:cs="Arial"/>
          <w:b/>
          <w:i/>
          <w:sz w:val="24"/>
          <w:lang w:val="es-AR"/>
        </w:rPr>
        <w:t xml:space="preserve"> </w:t>
      </w:r>
      <w:r w:rsidR="004B7E50" w:rsidRPr="004B7E50">
        <w:rPr>
          <w:rFonts w:ascii="Palatino Linotype" w:hAnsi="Palatino Linotype" w:cs="Arial"/>
          <w:sz w:val="24"/>
          <w:lang w:val="es-ES"/>
        </w:rPr>
        <w:t>dio respuesta a la solicitud de información, en los siguientes términos:</w:t>
      </w:r>
    </w:p>
    <w:p w14:paraId="13D0E1CF" w14:textId="77777777" w:rsidR="004B7E50" w:rsidRPr="004B7E50" w:rsidRDefault="004B7E50" w:rsidP="004B7E50">
      <w:pPr>
        <w:pStyle w:val="Prrafodelista"/>
        <w:rPr>
          <w:rFonts w:ascii="Palatino Linotype" w:hAnsi="Palatino Linotype" w:cs="Arial"/>
          <w:sz w:val="24"/>
          <w:lang w:val="es-ES"/>
        </w:rPr>
      </w:pPr>
    </w:p>
    <w:p w14:paraId="1F2ED285" w14:textId="77777777" w:rsidR="001032BC" w:rsidRPr="001032BC" w:rsidRDefault="004B7E50" w:rsidP="001032BC">
      <w:pPr>
        <w:pStyle w:val="Prrafodelista"/>
        <w:spacing w:before="240" w:after="240" w:line="360" w:lineRule="auto"/>
        <w:ind w:left="567" w:right="567"/>
        <w:jc w:val="both"/>
        <w:rPr>
          <w:rFonts w:ascii="Palatino Linotype" w:hAnsi="Palatino Linotype"/>
          <w:i/>
          <w:color w:val="000000"/>
        </w:rPr>
      </w:pPr>
      <w:r w:rsidRPr="004B7E50">
        <w:rPr>
          <w:rFonts w:ascii="Palatino Linotype" w:eastAsia="Calibri" w:hAnsi="Palatino Linotype"/>
          <w:i/>
          <w:lang w:val="es-ES"/>
        </w:rPr>
        <w:t>“</w:t>
      </w:r>
      <w:r w:rsidR="001032BC" w:rsidRPr="001032BC">
        <w:rPr>
          <w:rFonts w:ascii="Palatino Linotype" w:hAnsi="Palatino Linotype"/>
          <w:i/>
          <w:color w:val="000000"/>
        </w:rPr>
        <w:t>Metepec, México a 27 de Agosto de 2021</w:t>
      </w:r>
    </w:p>
    <w:p w14:paraId="624EF349" w14:textId="1C11F189" w:rsidR="001032BC" w:rsidRPr="001032BC"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 xml:space="preserve">Nombre del solicitante: </w:t>
      </w:r>
      <w:r w:rsidR="00A833DD" w:rsidRPr="00A833DD">
        <w:rPr>
          <w:rFonts w:ascii="Palatino Linotype" w:hAnsi="Palatino Linotype"/>
          <w:b/>
          <w:sz w:val="24"/>
        </w:rPr>
        <w:t>XXXXX XXXXX XX XX XXXXXX</w:t>
      </w:r>
    </w:p>
    <w:p w14:paraId="09D80F7D" w14:textId="77777777" w:rsidR="001032BC" w:rsidRPr="001032BC"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Folio de la solicitud: 00005/SEDUO/IP/2021</w:t>
      </w:r>
    </w:p>
    <w:p w14:paraId="40D6EB54" w14:textId="77777777" w:rsidR="001032BC" w:rsidRPr="001032BC"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0EC2D8" w14:textId="77777777" w:rsidR="001032BC" w:rsidRPr="001032BC"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Sobre el particular, sírvase encontrar en archivo adjunto copia del oficio número SEDUO-CI-0988/2021 de fecha 27 de agosto de 2021, mediante el cual se detalla lo referente a su solicitud.</w:t>
      </w:r>
    </w:p>
    <w:p w14:paraId="21559D54" w14:textId="77777777" w:rsidR="001032BC" w:rsidRPr="001032BC"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ATENTAMENTE</w:t>
      </w:r>
    </w:p>
    <w:p w14:paraId="5B12395B" w14:textId="6C817694" w:rsidR="004B7E50" w:rsidRPr="004B7E50" w:rsidRDefault="001032BC" w:rsidP="001032BC">
      <w:pPr>
        <w:pStyle w:val="Prrafodelista"/>
        <w:spacing w:before="240" w:after="240" w:line="360" w:lineRule="auto"/>
        <w:ind w:left="567" w:right="567"/>
        <w:jc w:val="both"/>
        <w:rPr>
          <w:rFonts w:ascii="Palatino Linotype" w:hAnsi="Palatino Linotype"/>
          <w:i/>
          <w:color w:val="000000"/>
        </w:rPr>
      </w:pPr>
      <w:r w:rsidRPr="001032BC">
        <w:rPr>
          <w:rFonts w:ascii="Palatino Linotype" w:hAnsi="Palatino Linotype"/>
          <w:i/>
          <w:color w:val="000000"/>
        </w:rPr>
        <w:t>Lcda. Nandllely Karen Torres Torres</w:t>
      </w:r>
      <w:r w:rsidR="004B7E50" w:rsidRPr="004B7E50">
        <w:rPr>
          <w:rFonts w:ascii="Palatino Linotype" w:hAnsi="Palatino Linotype"/>
          <w:i/>
          <w:color w:val="000000"/>
        </w:rPr>
        <w:t>” (sic)</w:t>
      </w:r>
    </w:p>
    <w:p w14:paraId="652F3A10" w14:textId="77777777" w:rsidR="004B7E50" w:rsidRPr="004B7E50" w:rsidRDefault="004B7E50" w:rsidP="004B7E50">
      <w:pPr>
        <w:pStyle w:val="Prrafodelista"/>
        <w:spacing w:before="240" w:after="240" w:line="360" w:lineRule="auto"/>
        <w:ind w:left="567" w:right="567"/>
        <w:jc w:val="both"/>
        <w:rPr>
          <w:rFonts w:ascii="Palatino Linotype" w:hAnsi="Palatino Linotype"/>
          <w:i/>
          <w:color w:val="000000"/>
          <w:sz w:val="24"/>
        </w:rPr>
      </w:pPr>
    </w:p>
    <w:p w14:paraId="4C7F0962" w14:textId="1868FCAE" w:rsidR="001032BC" w:rsidRPr="001032BC" w:rsidRDefault="001032BC" w:rsidP="004B7E50">
      <w:pPr>
        <w:pStyle w:val="Prrafodelista"/>
        <w:numPr>
          <w:ilvl w:val="0"/>
          <w:numId w:val="18"/>
        </w:numPr>
        <w:spacing w:before="240" w:after="240" w:line="360" w:lineRule="auto"/>
        <w:ind w:left="709" w:right="567"/>
        <w:jc w:val="both"/>
        <w:rPr>
          <w:rFonts w:ascii="Palatino Linotype" w:hAnsi="Palatino Linotype"/>
          <w:b/>
          <w:bCs/>
          <w:iCs/>
          <w:color w:val="000000"/>
          <w:sz w:val="24"/>
        </w:rPr>
      </w:pPr>
      <w:r>
        <w:rPr>
          <w:rFonts w:ascii="Palatino Linotype" w:hAnsi="Palatino Linotype"/>
          <w:b/>
          <w:bCs/>
          <w:iCs/>
          <w:color w:val="000000"/>
          <w:sz w:val="24"/>
        </w:rPr>
        <w:t>UT RES SOL 005-2021.pdf:</w:t>
      </w:r>
      <w:r w:rsidR="004B7E50" w:rsidRPr="004B7E50">
        <w:rPr>
          <w:rFonts w:ascii="Palatino Linotype" w:hAnsi="Palatino Linotype"/>
          <w:b/>
          <w:bCs/>
          <w:iCs/>
          <w:color w:val="000000"/>
          <w:sz w:val="24"/>
        </w:rPr>
        <w:t xml:space="preserve"> </w:t>
      </w:r>
      <w:r w:rsidR="004B7E50" w:rsidRPr="004B7E50">
        <w:rPr>
          <w:rFonts w:ascii="Palatino Linotype" w:hAnsi="Palatino Linotype"/>
          <w:bCs/>
          <w:iCs/>
          <w:color w:val="000000"/>
          <w:sz w:val="24"/>
        </w:rPr>
        <w:t xml:space="preserve">Oficio </w:t>
      </w:r>
      <w:r w:rsidRPr="001032BC">
        <w:rPr>
          <w:rFonts w:ascii="Palatino Linotype" w:hAnsi="Palatino Linotype"/>
          <w:b/>
          <w:bCs/>
          <w:iCs/>
          <w:color w:val="000000"/>
          <w:sz w:val="24"/>
        </w:rPr>
        <w:t>SEDUO-CI-0988/2021</w:t>
      </w:r>
      <w:r w:rsidR="004B7E50" w:rsidRPr="004B7E50">
        <w:rPr>
          <w:rFonts w:ascii="Palatino Linotype" w:hAnsi="Palatino Linotype"/>
          <w:bCs/>
          <w:iCs/>
          <w:color w:val="000000"/>
          <w:sz w:val="24"/>
        </w:rPr>
        <w:t xml:space="preserve"> suscrito por el </w:t>
      </w:r>
      <w:r>
        <w:rPr>
          <w:rFonts w:ascii="Palatino Linotype" w:hAnsi="Palatino Linotype"/>
          <w:bCs/>
          <w:iCs/>
          <w:color w:val="000000"/>
          <w:sz w:val="24"/>
        </w:rPr>
        <w:t xml:space="preserve">Titular de la Unidad de Transparencia mediante el cual refiere que la Directora General de Proyectos, Concursos y Contratos manifestó que después de una búsqueda exhaustiva y razonable no se ha generado la información; mientras que la Directora General Operación y Control </w:t>
      </w:r>
      <w:r>
        <w:rPr>
          <w:rFonts w:ascii="Palatino Linotype" w:hAnsi="Palatino Linotype"/>
          <w:bCs/>
          <w:iCs/>
          <w:color w:val="000000"/>
          <w:sz w:val="24"/>
        </w:rPr>
        <w:lastRenderedPageBreak/>
        <w:t>Urbano refirió que no se localizó información con los datos proporcionados por el solicitante.</w:t>
      </w:r>
    </w:p>
    <w:p w14:paraId="75E1DFE3" w14:textId="69C550CE"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cs="Arial"/>
          <w:i/>
          <w:sz w:val="24"/>
        </w:rPr>
      </w:pPr>
      <w:r w:rsidRPr="004B7E50">
        <w:rPr>
          <w:rFonts w:ascii="Palatino Linotype" w:eastAsia="Calibri" w:hAnsi="Palatino Linotype" w:cs="Arial"/>
          <w:sz w:val="24"/>
          <w:lang w:val="es-AR"/>
        </w:rPr>
        <w:t xml:space="preserve">El </w:t>
      </w:r>
      <w:r w:rsidR="001032BC">
        <w:rPr>
          <w:rFonts w:ascii="Palatino Linotype" w:eastAsia="Calibri" w:hAnsi="Palatino Linotype" w:cs="Arial"/>
          <w:sz w:val="24"/>
          <w:lang w:val="es-AR"/>
        </w:rPr>
        <w:t>treinta y uno</w:t>
      </w:r>
      <w:r w:rsidRPr="004B7E50">
        <w:rPr>
          <w:rFonts w:ascii="Palatino Linotype" w:eastAsia="Calibri" w:hAnsi="Palatino Linotype" w:cs="Arial"/>
          <w:sz w:val="24"/>
          <w:lang w:val="es-AR"/>
        </w:rPr>
        <w:t xml:space="preserve"> (</w:t>
      </w:r>
      <w:r w:rsidR="001032BC">
        <w:rPr>
          <w:rFonts w:ascii="Palatino Linotype" w:eastAsia="Calibri" w:hAnsi="Palatino Linotype" w:cs="Arial"/>
          <w:sz w:val="24"/>
          <w:lang w:val="es-AR"/>
        </w:rPr>
        <w:t>31</w:t>
      </w:r>
      <w:r w:rsidRPr="004B7E50">
        <w:rPr>
          <w:rFonts w:ascii="Palatino Linotype" w:eastAsia="Calibri" w:hAnsi="Palatino Linotype" w:cs="Arial"/>
          <w:sz w:val="24"/>
          <w:lang w:val="es-AR"/>
        </w:rPr>
        <w:t>) de agosto de</w:t>
      </w:r>
      <w:r w:rsidRPr="004B7E50">
        <w:rPr>
          <w:rFonts w:ascii="Palatino Linotype" w:hAnsi="Palatino Linotype" w:cs="Arial"/>
          <w:sz w:val="24"/>
          <w:lang w:val="es-ES"/>
        </w:rPr>
        <w:t xml:space="preserve"> dos mil veintiuno, </w:t>
      </w:r>
      <w:r w:rsidRPr="004B7E50">
        <w:rPr>
          <w:rFonts w:ascii="Palatino Linotype" w:hAnsi="Palatino Linotype"/>
          <w:b/>
          <w:sz w:val="24"/>
        </w:rPr>
        <w:t>EL RECURRENTE</w:t>
      </w:r>
      <w:r w:rsidRPr="004B7E50">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75570E09" w14:textId="77777777" w:rsidR="004B7E50" w:rsidRPr="004B7E50" w:rsidRDefault="004B7E50" w:rsidP="004B7E50">
      <w:pPr>
        <w:pStyle w:val="Prrafodelista"/>
        <w:rPr>
          <w:rFonts w:ascii="Palatino Linotype" w:hAnsi="Palatino Linotype" w:cs="Arial"/>
          <w:i/>
          <w:sz w:val="24"/>
        </w:rPr>
      </w:pPr>
    </w:p>
    <w:p w14:paraId="27C268E1" w14:textId="3A4CE7D2" w:rsidR="004B7E50" w:rsidRPr="004B7E50" w:rsidRDefault="004B7E50" w:rsidP="004B7E50">
      <w:pPr>
        <w:pStyle w:val="Prrafodelista"/>
        <w:spacing w:line="360" w:lineRule="auto"/>
        <w:jc w:val="both"/>
        <w:rPr>
          <w:rFonts w:ascii="Palatino Linotype" w:hAnsi="Palatino Linotype"/>
          <w:bCs/>
          <w:i/>
          <w:iCs/>
          <w:sz w:val="24"/>
        </w:rPr>
      </w:pPr>
      <w:r w:rsidRPr="004B7E50">
        <w:rPr>
          <w:rFonts w:ascii="Palatino Linotype" w:hAnsi="Palatino Linotype"/>
          <w:b/>
          <w:sz w:val="24"/>
        </w:rPr>
        <w:t xml:space="preserve">Acto impugnado: </w:t>
      </w:r>
      <w:r w:rsidRPr="004B7E50">
        <w:rPr>
          <w:rFonts w:ascii="Palatino Linotype" w:hAnsi="Palatino Linotype"/>
          <w:bCs/>
          <w:i/>
          <w:iCs/>
          <w:sz w:val="24"/>
        </w:rPr>
        <w:t>“</w:t>
      </w:r>
      <w:r w:rsidR="001032BC" w:rsidRPr="001032BC">
        <w:rPr>
          <w:rFonts w:ascii="Palatino Linotype" w:hAnsi="Palatino Linotype"/>
          <w:bCs/>
          <w:i/>
          <w:iCs/>
        </w:rPr>
        <w:t>Mediante solicitud de información número 00005/SEDUO/IP/2021, se solicitó información al Gobierno del Estado sobre la posible existencia de alguna afectación a terrenos ubicados en la esquina de calle 22 de diciembre y la carretera Lechería Texcoco, Colonia Héroes de Tecámac, Municipio de Técamac, Estado de México.</w:t>
      </w:r>
      <w:r w:rsidRPr="004B7E50">
        <w:rPr>
          <w:rFonts w:ascii="Palatino Linotype" w:hAnsi="Palatino Linotype"/>
          <w:bCs/>
          <w:i/>
          <w:iCs/>
          <w:sz w:val="24"/>
        </w:rPr>
        <w:t>” (sic) y,</w:t>
      </w:r>
    </w:p>
    <w:p w14:paraId="683E5215" w14:textId="77777777" w:rsidR="004B7E50" w:rsidRPr="004B7E50" w:rsidRDefault="004B7E50" w:rsidP="004B7E50">
      <w:pPr>
        <w:pStyle w:val="Prrafodelista"/>
        <w:spacing w:line="360" w:lineRule="auto"/>
        <w:jc w:val="both"/>
        <w:rPr>
          <w:rFonts w:ascii="Palatino Linotype" w:hAnsi="Palatino Linotype"/>
          <w:b/>
          <w:sz w:val="24"/>
        </w:rPr>
      </w:pPr>
    </w:p>
    <w:p w14:paraId="39DFE15F" w14:textId="7793D33F" w:rsidR="004B7E50" w:rsidRDefault="004B7E50" w:rsidP="004B7E50">
      <w:pPr>
        <w:pStyle w:val="Prrafodelista"/>
        <w:spacing w:line="360" w:lineRule="auto"/>
        <w:jc w:val="both"/>
        <w:rPr>
          <w:rFonts w:ascii="Palatino Linotype" w:eastAsia="Calibri" w:hAnsi="Palatino Linotype" w:cs="Arial"/>
          <w:sz w:val="24"/>
          <w:lang w:val="es-ES"/>
        </w:rPr>
      </w:pPr>
      <w:r w:rsidRPr="004B7E50">
        <w:rPr>
          <w:rFonts w:ascii="Palatino Linotype" w:hAnsi="Palatino Linotype"/>
          <w:b/>
          <w:sz w:val="24"/>
        </w:rPr>
        <w:t>Razones o Motivos de Inconformidad:</w:t>
      </w:r>
      <w:r w:rsidRPr="004B7E50">
        <w:rPr>
          <w:rStyle w:val="Ttulo2Car"/>
          <w:rFonts w:ascii="Palatino Linotype" w:hAnsi="Palatino Linotype"/>
          <w:b/>
          <w:i/>
          <w:sz w:val="24"/>
          <w:szCs w:val="24"/>
          <w:lang w:val="es-ES"/>
        </w:rPr>
        <w:t xml:space="preserve"> </w:t>
      </w:r>
      <w:r w:rsidRPr="004B7E50">
        <w:rPr>
          <w:rFonts w:ascii="Palatino Linotype" w:hAnsi="Palatino Linotype"/>
          <w:sz w:val="24"/>
        </w:rPr>
        <w:t>“</w:t>
      </w:r>
      <w:r w:rsidR="001032BC" w:rsidRPr="001032BC">
        <w:rPr>
          <w:rFonts w:ascii="Palatino Linotype" w:hAnsi="Palatino Linotype"/>
          <w:i/>
        </w:rPr>
        <w:t>Los oficios 22400103A000000/1565/2021 y 22400105000000L/000203/2021, emitidos por la Dirección General de Proyectos,Concursos y Contratos, y la Dirección General de Control Urbanos, respectivamente, no dan respuesta a la solicitud planteada de si existe o no alguna afectación a los terrenos que conforman la esq. de calle 22 de diciembre y la carretera Lechería Texcoco, colonia Héroes de Técamac. Se anexa oficio SEDUI-CI-0988/2021 de la Unidad de Transparencia, mediante cual se notificó la resolución a la solicitud de información.</w:t>
      </w:r>
      <w:r w:rsidRPr="004B7E50">
        <w:rPr>
          <w:rFonts w:ascii="Palatino Linotype" w:hAnsi="Palatino Linotype"/>
        </w:rPr>
        <w:t>"</w:t>
      </w:r>
      <w:r w:rsidRPr="004B7E50">
        <w:rPr>
          <w:rFonts w:ascii="Palatino Linotype" w:eastAsia="Calibri" w:hAnsi="Palatino Linotype" w:cs="Arial"/>
          <w:lang w:val="es-ES"/>
        </w:rPr>
        <w:t xml:space="preserve"> </w:t>
      </w:r>
      <w:r w:rsidRPr="004B7E50">
        <w:rPr>
          <w:rFonts w:ascii="Palatino Linotype" w:eastAsia="Calibri" w:hAnsi="Palatino Linotype" w:cs="Arial"/>
          <w:sz w:val="24"/>
          <w:lang w:val="es-ES"/>
        </w:rPr>
        <w:t>(Sic)</w:t>
      </w:r>
    </w:p>
    <w:p w14:paraId="7D1C0953" w14:textId="77777777" w:rsidR="001032BC" w:rsidRDefault="001032BC" w:rsidP="001032BC">
      <w:pPr>
        <w:spacing w:line="360" w:lineRule="auto"/>
        <w:jc w:val="both"/>
        <w:rPr>
          <w:rFonts w:ascii="Palatino Linotype" w:eastAsia="Calibri" w:hAnsi="Palatino Linotype" w:cs="Arial"/>
          <w:sz w:val="24"/>
          <w:lang w:val="es-ES"/>
        </w:rPr>
      </w:pPr>
    </w:p>
    <w:p w14:paraId="6F8F711D" w14:textId="10C392AB" w:rsidR="001032BC" w:rsidRPr="001032BC" w:rsidRDefault="001032BC" w:rsidP="00C9250D">
      <w:pPr>
        <w:pStyle w:val="Prrafodelista"/>
        <w:numPr>
          <w:ilvl w:val="0"/>
          <w:numId w:val="18"/>
        </w:numPr>
        <w:spacing w:line="360" w:lineRule="auto"/>
        <w:ind w:left="709"/>
        <w:jc w:val="both"/>
        <w:rPr>
          <w:rFonts w:ascii="Palatino Linotype" w:eastAsia="Calibri" w:hAnsi="Palatino Linotype" w:cs="Arial"/>
          <w:sz w:val="24"/>
          <w:lang w:val="es-ES"/>
        </w:rPr>
      </w:pPr>
      <w:r w:rsidRPr="001032BC">
        <w:rPr>
          <w:rFonts w:ascii="Palatino Linotype" w:eastAsia="Calibri" w:hAnsi="Palatino Linotype" w:cs="Arial"/>
          <w:sz w:val="24"/>
          <w:lang w:val="es-ES"/>
        </w:rPr>
        <w:t xml:space="preserve">El recurrente adjuntó el documento electrónico denominado </w:t>
      </w:r>
      <w:r w:rsidRPr="001032BC">
        <w:rPr>
          <w:rFonts w:ascii="Palatino Linotype" w:eastAsia="Calibri" w:hAnsi="Palatino Linotype" w:cs="Arial"/>
          <w:b/>
          <w:i/>
          <w:sz w:val="24"/>
          <w:lang w:val="es-ES"/>
        </w:rPr>
        <w:t>UT RES SOL 005-2021.pdf</w:t>
      </w:r>
      <w:r>
        <w:rPr>
          <w:rFonts w:ascii="Palatino Linotype" w:eastAsia="Calibri" w:hAnsi="Palatino Linotype" w:cs="Arial"/>
          <w:b/>
          <w:i/>
          <w:sz w:val="24"/>
          <w:lang w:val="es-ES"/>
        </w:rPr>
        <w:t>,</w:t>
      </w:r>
      <w:r w:rsidRPr="001032BC">
        <w:rPr>
          <w:rFonts w:ascii="Palatino Linotype" w:eastAsia="Calibri" w:hAnsi="Palatino Linotype" w:cs="Arial"/>
          <w:sz w:val="24"/>
          <w:lang w:val="es-ES"/>
        </w:rPr>
        <w:t xml:space="preserve"> el cual corresponde a la respuesta que emitió el Sujeto Obligado.</w:t>
      </w:r>
    </w:p>
    <w:p w14:paraId="5CD5C902" w14:textId="77777777" w:rsidR="004B7E50" w:rsidRPr="004B7E50" w:rsidRDefault="004B7E50" w:rsidP="004B7E50">
      <w:pPr>
        <w:pStyle w:val="Prrafodelista"/>
        <w:spacing w:line="360" w:lineRule="auto"/>
        <w:jc w:val="both"/>
        <w:rPr>
          <w:rFonts w:ascii="Palatino Linotype" w:eastAsia="Calibri" w:hAnsi="Palatino Linotype" w:cs="Arial"/>
          <w:sz w:val="24"/>
          <w:lang w:val="es-ES"/>
        </w:rPr>
      </w:pPr>
    </w:p>
    <w:bookmarkEnd w:id="1"/>
    <w:bookmarkEnd w:id="2"/>
    <w:bookmarkEnd w:id="3"/>
    <w:p w14:paraId="108D4738" w14:textId="77777777" w:rsidR="004B7E50" w:rsidRPr="004B7E50" w:rsidRDefault="004B7E50" w:rsidP="004B7E5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B7E50">
        <w:rPr>
          <w:rFonts w:ascii="Palatino Linotype" w:hAnsi="Palatino Linotype" w:cs="Arial"/>
          <w:sz w:val="24"/>
          <w:lang w:val="es-ES"/>
        </w:rPr>
        <w:t xml:space="preserve">Se registró el recurso de revisión bajo el número de expediente </w:t>
      </w:r>
      <w:r w:rsidRPr="004B7E50">
        <w:rPr>
          <w:rFonts w:ascii="Palatino Linotype" w:hAnsi="Palatino Linotype" w:cs="Arial"/>
          <w:bCs/>
          <w:sz w:val="24"/>
        </w:rPr>
        <w:t xml:space="preserve">al rubro indicado, asimismo con fundamento en lo dispuesto por el </w:t>
      </w:r>
      <w:r w:rsidRPr="004B7E50">
        <w:rPr>
          <w:rFonts w:ascii="Palatino Linotype" w:eastAsia="Calibri" w:hAnsi="Palatino Linotype" w:cs="Arial"/>
          <w:sz w:val="24"/>
          <w:lang w:val="es-ES"/>
        </w:rPr>
        <w:t xml:space="preserve">artículo 185 fracción I de la </w:t>
      </w:r>
      <w:r w:rsidRPr="004B7E50">
        <w:rPr>
          <w:rFonts w:ascii="Palatino Linotype" w:eastAsia="Calibri" w:hAnsi="Palatino Linotype" w:cs="Arial"/>
          <w:b/>
          <w:sz w:val="24"/>
          <w:lang w:val="es-ES"/>
        </w:rPr>
        <w:t xml:space="preserve">Ley de Transparencia y Acceso a la Información Pública del Estado de México y </w:t>
      </w:r>
      <w:r w:rsidRPr="004B7E50">
        <w:rPr>
          <w:rFonts w:ascii="Palatino Linotype" w:eastAsia="Calibri" w:hAnsi="Palatino Linotype" w:cs="Arial"/>
          <w:b/>
          <w:sz w:val="24"/>
          <w:lang w:val="es-ES"/>
        </w:rPr>
        <w:lastRenderedPageBreak/>
        <w:t xml:space="preserve">Municipios </w:t>
      </w:r>
      <w:r w:rsidRPr="004B7E50">
        <w:rPr>
          <w:rFonts w:ascii="Palatino Linotype" w:hAnsi="Palatino Linotype" w:cs="Arial"/>
          <w:sz w:val="24"/>
          <w:lang w:val="es-ES"/>
        </w:rPr>
        <w:t xml:space="preserve">se turnó a la </w:t>
      </w:r>
      <w:r w:rsidRPr="004B7E50">
        <w:rPr>
          <w:rFonts w:ascii="Palatino Linotype" w:hAnsi="Palatino Linotype" w:cs="Arial"/>
          <w:b/>
          <w:sz w:val="24"/>
          <w:lang w:val="es-ES"/>
        </w:rPr>
        <w:t xml:space="preserve">Comisionada María del Rosario Mejía Ayala, </w:t>
      </w:r>
      <w:r w:rsidRPr="004B7E50">
        <w:rPr>
          <w:rFonts w:ascii="Palatino Linotype" w:hAnsi="Palatino Linotype" w:cs="Arial"/>
          <w:sz w:val="24"/>
          <w:lang w:val="es-ES"/>
        </w:rPr>
        <w:t xml:space="preserve">con el objeto de </w:t>
      </w:r>
      <w:r w:rsidRPr="004B7E50">
        <w:rPr>
          <w:rFonts w:ascii="Palatino Linotype" w:hAnsi="Palatino Linotype" w:cs="Arial"/>
          <w:sz w:val="24"/>
        </w:rPr>
        <w:t>su análisis.</w:t>
      </w:r>
    </w:p>
    <w:p w14:paraId="57837060" w14:textId="303CE7E4"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i/>
          <w:color w:val="000000"/>
          <w:sz w:val="24"/>
        </w:rPr>
      </w:pPr>
      <w:r w:rsidRPr="004B7E50">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1032BC">
        <w:rPr>
          <w:rFonts w:ascii="Palatino Linotype" w:eastAsia="Calibri" w:hAnsi="Palatino Linotype" w:cs="Arial"/>
          <w:sz w:val="24"/>
          <w:lang w:val="es-ES"/>
        </w:rPr>
        <w:t>tres</w:t>
      </w:r>
      <w:r w:rsidRPr="004B7E50">
        <w:rPr>
          <w:rFonts w:ascii="Palatino Linotype" w:eastAsia="Calibri" w:hAnsi="Palatino Linotype" w:cs="Arial"/>
          <w:sz w:val="24"/>
          <w:lang w:val="es-ES"/>
        </w:rPr>
        <w:t xml:space="preserve"> (</w:t>
      </w:r>
      <w:r w:rsidR="001032BC">
        <w:rPr>
          <w:rFonts w:ascii="Palatino Linotype" w:eastAsia="Calibri" w:hAnsi="Palatino Linotype" w:cs="Arial"/>
          <w:sz w:val="24"/>
          <w:lang w:val="es-ES"/>
        </w:rPr>
        <w:t>3</w:t>
      </w:r>
      <w:r w:rsidRPr="004B7E50">
        <w:rPr>
          <w:rFonts w:ascii="Palatino Linotype" w:eastAsia="Calibri" w:hAnsi="Palatino Linotype" w:cs="Arial"/>
          <w:sz w:val="24"/>
          <w:lang w:val="es-ES"/>
        </w:rPr>
        <w:t xml:space="preserve">) de </w:t>
      </w:r>
      <w:r w:rsidR="001032BC">
        <w:rPr>
          <w:rFonts w:ascii="Palatino Linotype" w:eastAsia="Calibri" w:hAnsi="Palatino Linotype" w:cs="Arial"/>
          <w:sz w:val="24"/>
          <w:lang w:val="es-ES"/>
        </w:rPr>
        <w:t>septiembre</w:t>
      </w:r>
      <w:r w:rsidRPr="004B7E50">
        <w:rPr>
          <w:rFonts w:ascii="Palatino Linotype" w:eastAsia="Calibri" w:hAnsi="Palatino Linotype" w:cs="Arial"/>
          <w:sz w:val="24"/>
          <w:lang w:val="es-ES"/>
        </w:rPr>
        <w:t xml:space="preserve"> de dos mil veintiuno, puso a disposición de las partes el expediente electrónico </w:t>
      </w:r>
      <w:r w:rsidRPr="004B7E50">
        <w:rPr>
          <w:rFonts w:ascii="Palatino Linotype" w:eastAsia="Calibri" w:hAnsi="Palatino Linotype" w:cs="Arial"/>
          <w:sz w:val="24"/>
        </w:rPr>
        <w:t xml:space="preserve">vía </w:t>
      </w:r>
      <w:r w:rsidRPr="004B7E50">
        <w:rPr>
          <w:rFonts w:ascii="Palatino Linotype" w:eastAsia="Calibri" w:hAnsi="Palatino Linotype" w:cs="Arial"/>
          <w:b/>
          <w:sz w:val="24"/>
          <w:lang w:val="es-ES"/>
        </w:rPr>
        <w:t xml:space="preserve">SAIMEX </w:t>
      </w:r>
      <w:r w:rsidRPr="004B7E5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4B7E50">
        <w:rPr>
          <w:rFonts w:ascii="Palatino Linotype" w:eastAsia="Calibri" w:hAnsi="Palatino Linotype" w:cs="Arial"/>
          <w:b/>
          <w:sz w:val="24"/>
          <w:lang w:val="es-ES"/>
        </w:rPr>
        <w:t>SUJETO OBLIGADO</w:t>
      </w:r>
      <w:r w:rsidRPr="004B7E50">
        <w:rPr>
          <w:rFonts w:ascii="Palatino Linotype" w:eastAsia="Calibri" w:hAnsi="Palatino Linotype" w:cs="Arial"/>
          <w:sz w:val="24"/>
          <w:lang w:val="es-ES"/>
        </w:rPr>
        <w:t xml:space="preserve"> presentara el informe justificado procedente.</w:t>
      </w:r>
    </w:p>
    <w:p w14:paraId="687AF840" w14:textId="77777777" w:rsidR="004B7E50" w:rsidRPr="004B7E50" w:rsidRDefault="004B7E50" w:rsidP="004B7E50">
      <w:pPr>
        <w:pStyle w:val="Prrafodelista"/>
        <w:rPr>
          <w:rFonts w:ascii="Palatino Linotype" w:hAnsi="Palatino Linotype"/>
          <w:i/>
          <w:color w:val="000000"/>
          <w:sz w:val="24"/>
        </w:rPr>
      </w:pPr>
    </w:p>
    <w:p w14:paraId="5092A63C" w14:textId="3BE8ED7D" w:rsidR="004B7E50" w:rsidRPr="001032BC" w:rsidRDefault="004B7E50" w:rsidP="001032BC">
      <w:pPr>
        <w:pStyle w:val="Prrafodelista"/>
        <w:numPr>
          <w:ilvl w:val="0"/>
          <w:numId w:val="3"/>
        </w:numPr>
        <w:spacing w:before="240" w:after="240" w:line="360" w:lineRule="auto"/>
        <w:ind w:left="0" w:firstLine="0"/>
        <w:jc w:val="both"/>
        <w:rPr>
          <w:rFonts w:ascii="Palatino Linotype" w:hAnsi="Palatino Linotype"/>
          <w:b/>
          <w:i/>
          <w:color w:val="000000"/>
          <w:sz w:val="24"/>
        </w:rPr>
      </w:pPr>
      <w:r w:rsidRPr="004B7E50">
        <w:rPr>
          <w:rFonts w:ascii="Palatino Linotype" w:hAnsi="Palatino Linotype"/>
          <w:iCs/>
          <w:color w:val="000000"/>
          <w:sz w:val="24"/>
        </w:rPr>
        <w:t xml:space="preserve">De las constancias que obran en el expediente electrónico del SAIMEX se aprecia que el Sujeto Obligado en fecha </w:t>
      </w:r>
      <w:r w:rsidR="001032BC">
        <w:rPr>
          <w:rFonts w:ascii="Palatino Linotype" w:hAnsi="Palatino Linotype"/>
          <w:iCs/>
          <w:color w:val="000000"/>
          <w:sz w:val="24"/>
        </w:rPr>
        <w:t>catorce</w:t>
      </w:r>
      <w:r w:rsidRPr="004B7E50">
        <w:rPr>
          <w:rFonts w:ascii="Palatino Linotype" w:hAnsi="Palatino Linotype"/>
          <w:iCs/>
          <w:color w:val="000000"/>
          <w:sz w:val="24"/>
        </w:rPr>
        <w:t xml:space="preserve"> (</w:t>
      </w:r>
      <w:r w:rsidR="001032BC">
        <w:rPr>
          <w:rFonts w:ascii="Palatino Linotype" w:hAnsi="Palatino Linotype"/>
          <w:iCs/>
          <w:color w:val="000000"/>
          <w:sz w:val="24"/>
        </w:rPr>
        <w:t>14</w:t>
      </w:r>
      <w:r w:rsidRPr="004B7E50">
        <w:rPr>
          <w:rFonts w:ascii="Palatino Linotype" w:hAnsi="Palatino Linotype"/>
          <w:iCs/>
          <w:color w:val="000000"/>
          <w:sz w:val="24"/>
        </w:rPr>
        <w:t xml:space="preserve">) de septiembre de dos mil veintiuno, remitió los documentos denominados </w:t>
      </w:r>
      <w:r w:rsidR="001032BC" w:rsidRPr="001032BC">
        <w:rPr>
          <w:rFonts w:ascii="Palatino Linotype" w:hAnsi="Palatino Linotype"/>
          <w:b/>
          <w:iCs/>
          <w:color w:val="000000"/>
          <w:sz w:val="24"/>
        </w:rPr>
        <w:t>ANEXO I DGOYCU RR4378-21.pdf; ANEXO II DGPCYC RR 4378-21.pdf; e Informe Justificado RR 4378-2021.p</w:t>
      </w:r>
      <w:r w:rsidR="001032BC">
        <w:rPr>
          <w:rFonts w:ascii="Palatino Linotype" w:hAnsi="Palatino Linotype"/>
          <w:b/>
          <w:iCs/>
          <w:color w:val="000000"/>
          <w:sz w:val="24"/>
        </w:rPr>
        <w:t>d</w:t>
      </w:r>
      <w:r w:rsidR="001032BC" w:rsidRPr="001032BC">
        <w:rPr>
          <w:rFonts w:ascii="Palatino Linotype" w:hAnsi="Palatino Linotype"/>
          <w:b/>
          <w:iCs/>
          <w:color w:val="000000"/>
          <w:sz w:val="24"/>
        </w:rPr>
        <w:t>f</w:t>
      </w:r>
      <w:r w:rsidR="001032BC">
        <w:rPr>
          <w:rFonts w:ascii="Palatino Linotype" w:hAnsi="Palatino Linotype"/>
          <w:b/>
          <w:i/>
          <w:color w:val="000000"/>
          <w:sz w:val="24"/>
        </w:rPr>
        <w:t xml:space="preserve">, </w:t>
      </w:r>
      <w:r w:rsidRPr="001032BC">
        <w:rPr>
          <w:rFonts w:ascii="Palatino Linotype" w:hAnsi="Palatino Linotype"/>
          <w:iCs/>
          <w:color w:val="000000"/>
          <w:sz w:val="24"/>
        </w:rPr>
        <w:t xml:space="preserve">los cuales , se pusieron a la vista del Recurrente el trece (13) de </w:t>
      </w:r>
      <w:r w:rsidR="00FB5453">
        <w:rPr>
          <w:rFonts w:ascii="Palatino Linotype" w:hAnsi="Palatino Linotype"/>
          <w:iCs/>
          <w:color w:val="000000"/>
          <w:sz w:val="24"/>
        </w:rPr>
        <w:t>octubre</w:t>
      </w:r>
      <w:r w:rsidRPr="001032BC">
        <w:rPr>
          <w:rFonts w:ascii="Palatino Linotype" w:hAnsi="Palatino Linotype"/>
          <w:iCs/>
          <w:color w:val="000000"/>
          <w:sz w:val="24"/>
        </w:rPr>
        <w:t xml:space="preserve"> de dos mil veintiuno; sin embargo su contenido medular es el siguiente:</w:t>
      </w:r>
    </w:p>
    <w:p w14:paraId="250036B9" w14:textId="77777777" w:rsidR="004B7E50" w:rsidRPr="004B7E50" w:rsidRDefault="004B7E50" w:rsidP="004B7E50">
      <w:pPr>
        <w:pStyle w:val="Prrafodelista"/>
        <w:rPr>
          <w:rFonts w:ascii="Palatino Linotype" w:hAnsi="Palatino Linotype"/>
          <w:i/>
          <w:color w:val="000000"/>
          <w:sz w:val="24"/>
        </w:rPr>
      </w:pPr>
    </w:p>
    <w:p w14:paraId="66CE4318" w14:textId="7AE2815D" w:rsidR="003D1D0A" w:rsidRPr="003D1D0A" w:rsidRDefault="003D1D0A" w:rsidP="004B7E50">
      <w:pPr>
        <w:pStyle w:val="Prrafodelista"/>
        <w:numPr>
          <w:ilvl w:val="0"/>
          <w:numId w:val="18"/>
        </w:numPr>
        <w:spacing w:line="360" w:lineRule="auto"/>
        <w:ind w:left="709"/>
        <w:jc w:val="both"/>
        <w:rPr>
          <w:rFonts w:ascii="Palatino Linotype" w:hAnsi="Palatino Linotype" w:cs="Arial"/>
          <w:color w:val="222222"/>
          <w:sz w:val="24"/>
        </w:rPr>
      </w:pPr>
      <w:r w:rsidRPr="001032BC">
        <w:rPr>
          <w:rFonts w:ascii="Palatino Linotype" w:hAnsi="Palatino Linotype"/>
          <w:b/>
          <w:iCs/>
          <w:color w:val="000000"/>
          <w:sz w:val="24"/>
        </w:rPr>
        <w:t>ANEXO I DGOYCU RR4378-21.pdf</w:t>
      </w:r>
      <w:r>
        <w:rPr>
          <w:rFonts w:ascii="Palatino Linotype" w:hAnsi="Palatino Linotype"/>
          <w:b/>
          <w:iCs/>
          <w:color w:val="000000"/>
          <w:sz w:val="24"/>
        </w:rPr>
        <w:t xml:space="preserve">: </w:t>
      </w:r>
      <w:r w:rsidRPr="003D1D0A">
        <w:rPr>
          <w:rFonts w:ascii="Palatino Linotype" w:hAnsi="Palatino Linotype"/>
          <w:iCs/>
          <w:color w:val="000000"/>
          <w:sz w:val="24"/>
        </w:rPr>
        <w:t>Documento suscrito por la Directora General de Operación y Control Urbano mediante el cual refiere que no se localizó la información requerida</w:t>
      </w:r>
      <w:r>
        <w:rPr>
          <w:rFonts w:ascii="Palatino Linotype" w:hAnsi="Palatino Linotype"/>
          <w:iCs/>
          <w:color w:val="000000"/>
          <w:sz w:val="24"/>
        </w:rPr>
        <w:t xml:space="preserve"> en la Dirección Técnica para Autorizaciones Urbanas y de la Dirección Regional Valle de México Zona Oriente</w:t>
      </w:r>
      <w:r w:rsidRPr="003D1D0A">
        <w:rPr>
          <w:rFonts w:ascii="Palatino Linotype" w:hAnsi="Palatino Linotype"/>
          <w:iCs/>
          <w:color w:val="000000"/>
          <w:sz w:val="24"/>
        </w:rPr>
        <w:t xml:space="preserve"> y pide que sea confirmada la respuesta.</w:t>
      </w:r>
    </w:p>
    <w:p w14:paraId="7F03A850" w14:textId="13B08F41" w:rsidR="003D1D0A" w:rsidRPr="003D1D0A" w:rsidRDefault="003D1D0A" w:rsidP="004B7E50">
      <w:pPr>
        <w:pStyle w:val="Prrafodelista"/>
        <w:numPr>
          <w:ilvl w:val="0"/>
          <w:numId w:val="18"/>
        </w:numPr>
        <w:spacing w:line="360" w:lineRule="auto"/>
        <w:ind w:left="709"/>
        <w:jc w:val="both"/>
        <w:rPr>
          <w:rFonts w:ascii="Palatino Linotype" w:hAnsi="Palatino Linotype" w:cs="Arial"/>
          <w:color w:val="222222"/>
          <w:sz w:val="24"/>
        </w:rPr>
      </w:pPr>
      <w:r w:rsidRPr="001032BC">
        <w:rPr>
          <w:rFonts w:ascii="Palatino Linotype" w:hAnsi="Palatino Linotype"/>
          <w:b/>
          <w:iCs/>
          <w:color w:val="000000"/>
          <w:sz w:val="24"/>
        </w:rPr>
        <w:t>ANEXO II DGPCYC RR 4378-21.pdf</w:t>
      </w:r>
      <w:r>
        <w:rPr>
          <w:rFonts w:ascii="Palatino Linotype" w:hAnsi="Palatino Linotype"/>
          <w:b/>
          <w:iCs/>
          <w:color w:val="000000"/>
          <w:sz w:val="24"/>
        </w:rPr>
        <w:t xml:space="preserve">: </w:t>
      </w:r>
      <w:r w:rsidRPr="003D1D0A">
        <w:rPr>
          <w:rFonts w:ascii="Palatino Linotype" w:hAnsi="Palatino Linotype"/>
          <w:iCs/>
          <w:color w:val="000000"/>
          <w:sz w:val="24"/>
        </w:rPr>
        <w:t xml:space="preserve">Documento suscrito por el Director General de Proyectos, Concursos y Contratos en el que refiere derivado de una </w:t>
      </w:r>
      <w:r w:rsidRPr="003D1D0A">
        <w:rPr>
          <w:rFonts w:ascii="Palatino Linotype" w:hAnsi="Palatino Linotype"/>
          <w:iCs/>
          <w:color w:val="000000"/>
          <w:sz w:val="24"/>
        </w:rPr>
        <w:lastRenderedPageBreak/>
        <w:t>búsqueda exhaustiva y razonable en los archivos, no se ha generado información con los datos proporcionados.</w:t>
      </w:r>
    </w:p>
    <w:p w14:paraId="5DBCA00E" w14:textId="6499F114" w:rsidR="003D1D0A" w:rsidRPr="00FB5453" w:rsidRDefault="003D1D0A" w:rsidP="0063242B">
      <w:pPr>
        <w:pStyle w:val="Prrafodelista"/>
        <w:numPr>
          <w:ilvl w:val="0"/>
          <w:numId w:val="18"/>
        </w:numPr>
        <w:spacing w:line="360" w:lineRule="auto"/>
        <w:ind w:left="709"/>
        <w:jc w:val="both"/>
        <w:rPr>
          <w:rFonts w:ascii="Palatino Linotype" w:hAnsi="Palatino Linotype" w:cs="Arial"/>
          <w:color w:val="222222"/>
          <w:sz w:val="24"/>
        </w:rPr>
      </w:pPr>
      <w:r w:rsidRPr="00FB5453">
        <w:rPr>
          <w:rFonts w:ascii="Palatino Linotype" w:hAnsi="Palatino Linotype"/>
          <w:b/>
          <w:iCs/>
          <w:color w:val="000000"/>
          <w:sz w:val="24"/>
        </w:rPr>
        <w:t xml:space="preserve">Informe Justificado RR 4378-2021.pdf: </w:t>
      </w:r>
      <w:r w:rsidR="00FB5453">
        <w:rPr>
          <w:rFonts w:ascii="Palatino Linotype" w:hAnsi="Palatino Linotype"/>
          <w:iCs/>
          <w:color w:val="000000"/>
          <w:sz w:val="24"/>
        </w:rPr>
        <w:t>D</w:t>
      </w:r>
      <w:r w:rsidRPr="00FB5453">
        <w:rPr>
          <w:rFonts w:ascii="Palatino Linotype" w:hAnsi="Palatino Linotype"/>
          <w:iCs/>
          <w:color w:val="000000"/>
          <w:sz w:val="24"/>
        </w:rPr>
        <w:t>ocumento suscrito por la Unidad de Transparencia mediante el cual r</w:t>
      </w:r>
      <w:r w:rsidR="00FB5453" w:rsidRPr="00FB5453">
        <w:rPr>
          <w:rFonts w:ascii="Palatino Linotype" w:hAnsi="Palatino Linotype"/>
          <w:iCs/>
          <w:color w:val="000000"/>
          <w:sz w:val="24"/>
        </w:rPr>
        <w:t xml:space="preserve">efiere que los Sujetos Obligados deben entregar la información que generen y obre en sus archivos; sin embargo, al no haberse localizado la información por no haberse generado </w:t>
      </w:r>
      <w:r w:rsidRPr="00FB5453">
        <w:rPr>
          <w:rFonts w:ascii="Palatino Linotype" w:hAnsi="Palatino Linotype"/>
          <w:iCs/>
          <w:color w:val="000000"/>
          <w:sz w:val="24"/>
        </w:rPr>
        <w:t>pide sea confirmada la respuesta</w:t>
      </w:r>
    </w:p>
    <w:p w14:paraId="77954860" w14:textId="77777777" w:rsidR="004B7E50" w:rsidRPr="004B7E50" w:rsidRDefault="004B7E50" w:rsidP="004B7E50">
      <w:pPr>
        <w:pStyle w:val="Prrafodelista"/>
        <w:spacing w:before="240" w:after="240" w:line="360" w:lineRule="auto"/>
        <w:ind w:left="0"/>
        <w:jc w:val="both"/>
        <w:rPr>
          <w:rFonts w:ascii="Palatino Linotype" w:hAnsi="Palatino Linotype"/>
          <w:i/>
          <w:color w:val="000000"/>
          <w:sz w:val="24"/>
        </w:rPr>
      </w:pPr>
    </w:p>
    <w:p w14:paraId="30F5EB30" w14:textId="15808E6D" w:rsidR="00FB5453" w:rsidRDefault="00FB5453" w:rsidP="004B7E50">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Por su parte, el Recurrente, en fecha veintidós (22) de septiembre de dos mil veintiuno, remitió el documento electrónico denominado </w:t>
      </w:r>
      <w:r>
        <w:rPr>
          <w:rFonts w:ascii="Palatino Linotype" w:hAnsi="Palatino Linotype" w:cs="Tahoma"/>
          <w:b/>
          <w:i/>
          <w:sz w:val="24"/>
        </w:rPr>
        <w:t>argumentos del recurso de revisión.pdf</w:t>
      </w:r>
      <w:r>
        <w:rPr>
          <w:rFonts w:ascii="Palatino Linotype" w:hAnsi="Palatino Linotype" w:cs="Tahoma"/>
          <w:i/>
          <w:sz w:val="24"/>
        </w:rPr>
        <w:t xml:space="preserve"> </w:t>
      </w:r>
      <w:r>
        <w:rPr>
          <w:rFonts w:ascii="Palatino Linotype" w:hAnsi="Palatino Linotype" w:cs="Tahoma"/>
          <w:sz w:val="24"/>
        </w:rPr>
        <w:t>el cual contiene lo siguiente:</w:t>
      </w:r>
    </w:p>
    <w:p w14:paraId="7FE4A344" w14:textId="199EA94A" w:rsidR="00FB5453" w:rsidRPr="00FB5453" w:rsidRDefault="000C7FF6" w:rsidP="00FB5453">
      <w:pPr>
        <w:pStyle w:val="Prrafodelista"/>
        <w:spacing w:line="360" w:lineRule="auto"/>
        <w:ind w:left="567" w:right="822"/>
        <w:jc w:val="both"/>
        <w:rPr>
          <w:rFonts w:ascii="Palatino Linotype" w:hAnsi="Palatino Linotype"/>
          <w:i/>
        </w:rPr>
      </w:pPr>
      <w:r>
        <w:rPr>
          <w:rFonts w:ascii="Palatino Linotype" w:hAnsi="Palatino Linotype"/>
          <w:i/>
        </w:rPr>
        <w:t>“</w:t>
      </w:r>
      <w:r w:rsidR="00FB5453" w:rsidRPr="00FB5453">
        <w:rPr>
          <w:rFonts w:ascii="Palatino Linotype" w:hAnsi="Palatino Linotype"/>
          <w:i/>
        </w:rPr>
        <w:t xml:space="preserve">La solicitud de información se dirigió al gobierno del Estado de México, por lo cual debieron explorar en todas las dependencias encargas de planeación y construcción de obras y/o vialidades, entre otras, por ejemplo, la Junta de Caminos del Estado de México, la cual se omitió en la respuesta que se emitió mediante oficio SEDUO-CI-0988/2021. En ésta, sólo se señalan las repuestas de la Direcciones Generales de Proyectos, Concursos y Contratos; y la de Operación y Control Urbano, por lo cual, se presupone que no se realizó la búsqueda exhaustiva en todas las dependencias del Gobierno involucradas en desarrollo, planeación y ejecución de obras de vialidad en el Estado de México. Asimismo, la respuesta que se emitió a la solicitud de información, sólo se refiere a las obras que están en proceso, mientras que la solicitud requerida se indica que todas las obras o vialidades que están contempladas, en planeación o diseño para el corto, mediano y largo plazo, mismas que tengan previsto una posible afectación a los terrenos ubicados en la intersección de la Carretera Lechería- Texcoco, esq. Calle 22 de diciembre, </w:t>
      </w:r>
      <w:r w:rsidR="00FB5453" w:rsidRPr="00FB5453">
        <w:rPr>
          <w:rFonts w:ascii="Palatino Linotype" w:hAnsi="Palatino Linotype"/>
          <w:i/>
        </w:rPr>
        <w:lastRenderedPageBreak/>
        <w:t>colonia Héroes de Tecámac. Por otro lado, la Dirección General de Operación y Control Urbano, en su respuesta señala que “no se localizó información con los datos proporcionados por el solicitante”, sin embargo, en la solicitud de información se anexo un plano de Google Map indicando con precisión la intersección de la Carretera Lechería- Texcoco, esq. Calle 22 de diciembre, colonia Héroes de Tecámac.</w:t>
      </w:r>
      <w:r>
        <w:rPr>
          <w:rFonts w:ascii="Palatino Linotype" w:hAnsi="Palatino Linotype"/>
          <w:i/>
        </w:rPr>
        <w:t>” (sic)</w:t>
      </w:r>
    </w:p>
    <w:p w14:paraId="1E4253D2" w14:textId="77777777" w:rsidR="00FB5453" w:rsidRPr="00FB5453" w:rsidRDefault="00FB5453" w:rsidP="00FB5453">
      <w:pPr>
        <w:pStyle w:val="Prrafodelista"/>
        <w:spacing w:line="360" w:lineRule="auto"/>
        <w:ind w:left="0"/>
        <w:jc w:val="both"/>
        <w:rPr>
          <w:rFonts w:ascii="Palatino Linotype" w:hAnsi="Palatino Linotype" w:cs="Tahoma"/>
          <w:sz w:val="24"/>
        </w:rPr>
      </w:pPr>
    </w:p>
    <w:p w14:paraId="3506933F" w14:textId="34B1B325" w:rsidR="004B7E50" w:rsidRPr="004B7E50" w:rsidRDefault="001F1126" w:rsidP="004B7E50">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doce (12) de octubre de dos mil veintiuno, se notificó el acuerdo mediante el cual se amplió por un periodo de quince (15) días el plazo para emitir resolución. </w:t>
      </w:r>
      <w:r w:rsidR="004B7E50" w:rsidRPr="004B7E50">
        <w:rPr>
          <w:rFonts w:ascii="Palatino Linotype" w:eastAsia="Calibri" w:hAnsi="Palatino Linotype" w:cs="Arial"/>
          <w:sz w:val="24"/>
          <w:lang w:val="es-ES"/>
        </w:rPr>
        <w:t xml:space="preserve">El día </w:t>
      </w:r>
      <w:r w:rsidR="00C9250D">
        <w:rPr>
          <w:rFonts w:ascii="Palatino Linotype" w:eastAsia="Calibri" w:hAnsi="Palatino Linotype" w:cs="Arial"/>
          <w:sz w:val="24"/>
          <w:lang w:val="es-ES"/>
        </w:rPr>
        <w:t>veinte</w:t>
      </w:r>
      <w:r w:rsidR="004B7E50" w:rsidRPr="004B7E50">
        <w:rPr>
          <w:rFonts w:ascii="Palatino Linotype" w:eastAsia="Calibri" w:hAnsi="Palatino Linotype" w:cs="Arial"/>
          <w:sz w:val="24"/>
          <w:lang w:val="es-ES"/>
        </w:rPr>
        <w:t xml:space="preserve"> (</w:t>
      </w:r>
      <w:r w:rsidR="00C9250D">
        <w:rPr>
          <w:rFonts w:ascii="Palatino Linotype" w:eastAsia="Calibri" w:hAnsi="Palatino Linotype" w:cs="Arial"/>
          <w:sz w:val="24"/>
          <w:lang w:val="es-ES"/>
        </w:rPr>
        <w:t>20</w:t>
      </w:r>
      <w:r w:rsidR="004B7E50" w:rsidRPr="004B7E50">
        <w:rPr>
          <w:rFonts w:ascii="Palatino Linotype" w:eastAsia="Calibri" w:hAnsi="Palatino Linotype" w:cs="Arial"/>
          <w:sz w:val="24"/>
          <w:lang w:val="es-ES"/>
        </w:rPr>
        <w:t xml:space="preserve">) de </w:t>
      </w:r>
      <w:r w:rsidR="00FB5453">
        <w:rPr>
          <w:rFonts w:ascii="Palatino Linotype" w:eastAsia="Calibri" w:hAnsi="Palatino Linotype" w:cs="Arial"/>
          <w:sz w:val="24"/>
          <w:lang w:val="es-ES"/>
        </w:rPr>
        <w:t>octubre</w:t>
      </w:r>
      <w:r w:rsidR="004B7E50" w:rsidRPr="004B7E50">
        <w:rPr>
          <w:rFonts w:ascii="Palatino Linotype" w:eastAsia="Calibri" w:hAnsi="Palatino Linotype" w:cs="Arial"/>
          <w:sz w:val="24"/>
          <w:lang w:val="es-ES"/>
        </w:rPr>
        <w:t xml:space="preserve"> de dos mil veintiuno, e</w:t>
      </w:r>
      <w:r w:rsidR="004B7E50" w:rsidRPr="004B7E50">
        <w:rPr>
          <w:rFonts w:ascii="Palatino Linotype" w:hAnsi="Palatino Linotype"/>
          <w:sz w:val="24"/>
        </w:rPr>
        <w:t>l Comisionado Ponente decretó el cierre de instrucción</w:t>
      </w:r>
      <w:r w:rsidR="004B7E50" w:rsidRPr="004B7E50">
        <w:rPr>
          <w:rFonts w:ascii="Palatino Linotype" w:hAnsi="Palatino Linotype" w:cs="Arial"/>
          <w:sz w:val="24"/>
        </w:rPr>
        <w:t xml:space="preserve"> para emitir su resolución, </w:t>
      </w:r>
      <w:r w:rsidR="004B7E50" w:rsidRPr="004B7E50">
        <w:rPr>
          <w:rFonts w:ascii="Palatino Linotype" w:hAnsi="Palatino Linotype" w:cs="Arial"/>
          <w:color w:val="000000" w:themeColor="text1"/>
          <w:sz w:val="24"/>
        </w:rPr>
        <w:t xml:space="preserve">y - - - - - - - - - - - </w:t>
      </w:r>
      <w:r w:rsidR="004B7E50" w:rsidRPr="004B7E50">
        <w:rPr>
          <w:rFonts w:ascii="Palatino Linotype" w:hAnsi="Palatino Linotype" w:cs="Arial"/>
          <w:sz w:val="24"/>
        </w:rPr>
        <w:t>- - - - - - - - - - - - - - - - - - -</w:t>
      </w:r>
      <w:r w:rsidR="004B7E50" w:rsidRPr="004B7E50">
        <w:rPr>
          <w:rFonts w:ascii="Palatino Linotype" w:hAnsi="Palatino Linotype" w:cs="Tahoma"/>
          <w:sz w:val="24"/>
        </w:rPr>
        <w:t xml:space="preserve"> </w:t>
      </w:r>
      <w:r w:rsidR="004B7E50" w:rsidRPr="004B7E50">
        <w:rPr>
          <w:rFonts w:ascii="Palatino Linotype" w:hAnsi="Palatino Linotype" w:cs="Arial"/>
          <w:sz w:val="24"/>
        </w:rPr>
        <w:t xml:space="preserve">- - - - - -- - - - - -- - - - - - - - - - - - - - - - - - - - - - - - - - - - - - - - - - </w:t>
      </w:r>
      <w:r w:rsidR="00FB5453">
        <w:rPr>
          <w:rFonts w:ascii="Palatino Linotype" w:hAnsi="Palatino Linotype" w:cs="Arial"/>
          <w:sz w:val="24"/>
        </w:rPr>
        <w:t xml:space="preserve"> - - - - - - - - - </w:t>
      </w:r>
      <w:r>
        <w:rPr>
          <w:rFonts w:ascii="Palatino Linotype" w:hAnsi="Palatino Linotype" w:cs="Arial"/>
          <w:sz w:val="24"/>
        </w:rPr>
        <w:t xml:space="preserve">- - - - - - - - </w:t>
      </w:r>
    </w:p>
    <w:p w14:paraId="688C99A8" w14:textId="77777777" w:rsidR="004B7E50" w:rsidRPr="004B7E50" w:rsidRDefault="004B7E50" w:rsidP="004B7E50">
      <w:pPr>
        <w:pStyle w:val="Ttulo1"/>
        <w:jc w:val="center"/>
        <w:rPr>
          <w:rFonts w:ascii="Palatino Linotype" w:hAnsi="Palatino Linotype"/>
          <w:b/>
          <w:color w:val="auto"/>
          <w:sz w:val="24"/>
          <w:szCs w:val="24"/>
        </w:rPr>
      </w:pPr>
      <w:bookmarkStart w:id="4" w:name="_Toc85709559"/>
      <w:r w:rsidRPr="004B7E50">
        <w:rPr>
          <w:rFonts w:ascii="Palatino Linotype" w:hAnsi="Palatino Linotype"/>
          <w:b/>
          <w:color w:val="auto"/>
          <w:sz w:val="24"/>
          <w:szCs w:val="24"/>
        </w:rPr>
        <w:t>CONSIDERANDO</w:t>
      </w:r>
      <w:bookmarkEnd w:id="4"/>
      <w:r w:rsidRPr="004B7E50">
        <w:rPr>
          <w:rFonts w:ascii="Palatino Linotype" w:hAnsi="Palatino Linotype"/>
          <w:b/>
          <w:color w:val="auto"/>
          <w:sz w:val="24"/>
          <w:szCs w:val="24"/>
        </w:rPr>
        <w:t xml:space="preserve"> </w:t>
      </w:r>
    </w:p>
    <w:p w14:paraId="74EFB917" w14:textId="77777777" w:rsidR="004B7E50" w:rsidRPr="004B7E50" w:rsidRDefault="004B7E50" w:rsidP="004B7E50">
      <w:pPr>
        <w:rPr>
          <w:rFonts w:ascii="Palatino Linotype" w:hAnsi="Palatino Linotype"/>
          <w:sz w:val="24"/>
          <w:szCs w:val="24"/>
          <w:lang w:eastAsia="en-US"/>
        </w:rPr>
      </w:pPr>
    </w:p>
    <w:p w14:paraId="2B9C993F" w14:textId="77777777" w:rsidR="004B7E50" w:rsidRPr="004B7E50" w:rsidRDefault="004B7E50" w:rsidP="004B7E50">
      <w:pPr>
        <w:pStyle w:val="Ttulo2"/>
        <w:rPr>
          <w:rFonts w:ascii="Palatino Linotype" w:hAnsi="Palatino Linotype"/>
          <w:b/>
          <w:bCs/>
          <w:color w:val="auto"/>
          <w:spacing w:val="60"/>
          <w:sz w:val="24"/>
          <w:szCs w:val="24"/>
        </w:rPr>
      </w:pPr>
      <w:bookmarkStart w:id="5" w:name="_Toc85709560"/>
      <w:r w:rsidRPr="004B7E50">
        <w:rPr>
          <w:rFonts w:ascii="Palatino Linotype" w:hAnsi="Palatino Linotype"/>
          <w:b/>
          <w:color w:val="auto"/>
          <w:sz w:val="24"/>
          <w:szCs w:val="24"/>
        </w:rPr>
        <w:t>PRIMERO. De la competencia</w:t>
      </w:r>
      <w:bookmarkEnd w:id="5"/>
    </w:p>
    <w:p w14:paraId="31AFE353" w14:textId="196E601A"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E50">
        <w:rPr>
          <w:rFonts w:ascii="Palatino Linotype" w:eastAsia="Calibri" w:hAnsi="Palatino Linotype"/>
          <w:b/>
          <w:sz w:val="24"/>
          <w:lang w:val="es-ES"/>
        </w:rPr>
        <w:t>Constitución Política de los Estados Unidos Mexicanos</w:t>
      </w:r>
      <w:r w:rsidR="001F1126">
        <w:rPr>
          <w:rFonts w:ascii="Palatino Linotype" w:eastAsia="Calibri" w:hAnsi="Palatino Linotype"/>
          <w:sz w:val="24"/>
          <w:lang w:val="es-ES"/>
        </w:rPr>
        <w:t>; 5, párrafos</w:t>
      </w:r>
      <w:r w:rsidRPr="004B7E50">
        <w:rPr>
          <w:rFonts w:ascii="Palatino Linotype" w:hAnsi="Palatino Linotype" w:cs="Arial"/>
          <w:bCs/>
          <w:color w:val="222222"/>
          <w:sz w:val="24"/>
          <w:lang w:val="es-ES"/>
        </w:rPr>
        <w:t>, trigésimo y trigésimo primero fracciones</w:t>
      </w:r>
      <w:r w:rsidRPr="004B7E50">
        <w:rPr>
          <w:rFonts w:ascii="Palatino Linotype" w:eastAsia="Calibri" w:hAnsi="Palatino Linotype"/>
          <w:sz w:val="24"/>
          <w:lang w:val="es-ES"/>
        </w:rPr>
        <w:t xml:space="preserve"> IV y V de la </w:t>
      </w:r>
      <w:r w:rsidRPr="004B7E50">
        <w:rPr>
          <w:rFonts w:ascii="Palatino Linotype" w:eastAsia="Calibri" w:hAnsi="Palatino Linotype"/>
          <w:b/>
          <w:sz w:val="24"/>
          <w:lang w:val="es-ES"/>
        </w:rPr>
        <w:t>Constitución Política del Estado Libre y Soberano de México</w:t>
      </w:r>
      <w:r w:rsidRPr="004B7E50">
        <w:rPr>
          <w:rFonts w:ascii="Palatino Linotype" w:eastAsia="Calibri" w:hAnsi="Palatino Linotype"/>
          <w:sz w:val="24"/>
          <w:lang w:val="es-ES"/>
        </w:rPr>
        <w:t xml:space="preserve">; artículos 1, 2 fracción II, 13, 29, 36 fracciones I y II, 176, 178, 179, 181 párrafo tercero y 185 </w:t>
      </w:r>
      <w:r w:rsidRPr="004B7E50">
        <w:rPr>
          <w:rFonts w:ascii="Palatino Linotype" w:eastAsia="Calibri" w:hAnsi="Palatino Linotype" w:cs="Arial"/>
          <w:sz w:val="24"/>
          <w:lang w:val="es-ES"/>
        </w:rPr>
        <w:t xml:space="preserve">de la </w:t>
      </w:r>
      <w:r w:rsidRPr="004B7E50">
        <w:rPr>
          <w:rFonts w:ascii="Palatino Linotype" w:eastAsia="Calibri" w:hAnsi="Palatino Linotype" w:cs="Arial"/>
          <w:b/>
          <w:sz w:val="24"/>
          <w:lang w:val="es-ES"/>
        </w:rPr>
        <w:t>Ley de Transparencia y Acceso a la Información Pública del Estado de México y Municipios</w:t>
      </w:r>
      <w:r w:rsidRPr="004B7E50">
        <w:rPr>
          <w:rFonts w:ascii="Palatino Linotype" w:eastAsia="Calibri" w:hAnsi="Palatino Linotype" w:cs="Arial"/>
          <w:sz w:val="24"/>
          <w:lang w:val="es-ES"/>
        </w:rPr>
        <w:t xml:space="preserve">; y 7, 9 fracciones I y XXIV, y 11 del </w:t>
      </w:r>
      <w:r w:rsidRPr="004B7E5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B7E50">
        <w:rPr>
          <w:rFonts w:ascii="Palatino Linotype" w:hAnsi="Palatino Linotype"/>
          <w:sz w:val="24"/>
        </w:rPr>
        <w:t>.</w:t>
      </w:r>
    </w:p>
    <w:p w14:paraId="43B0AE09" w14:textId="77777777" w:rsidR="004B7E50" w:rsidRPr="004B7E50" w:rsidRDefault="004B7E50" w:rsidP="004B7E50">
      <w:pPr>
        <w:pStyle w:val="Prrafodelista"/>
        <w:spacing w:before="240" w:after="240" w:line="360" w:lineRule="auto"/>
        <w:ind w:left="0"/>
        <w:jc w:val="both"/>
        <w:rPr>
          <w:rFonts w:ascii="Palatino Linotype" w:hAnsi="Palatino Linotype"/>
          <w:sz w:val="24"/>
        </w:rPr>
      </w:pPr>
    </w:p>
    <w:p w14:paraId="6C1162AA" w14:textId="77777777" w:rsidR="004B7E50" w:rsidRPr="004B7E50" w:rsidRDefault="004B7E50" w:rsidP="004B7E50">
      <w:pPr>
        <w:pStyle w:val="Prrafodelista"/>
        <w:numPr>
          <w:ilvl w:val="0"/>
          <w:numId w:val="3"/>
        </w:numPr>
        <w:spacing w:before="240" w:after="240" w:line="360" w:lineRule="auto"/>
        <w:ind w:left="0" w:firstLine="0"/>
        <w:jc w:val="both"/>
        <w:rPr>
          <w:rFonts w:ascii="Palatino Linotype" w:hAnsi="Palatino Linotype"/>
          <w:sz w:val="24"/>
        </w:rPr>
      </w:pPr>
      <w:r w:rsidRPr="004B7E50">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02F3F7" w14:textId="77777777" w:rsidR="004B7E50" w:rsidRPr="004B7E50" w:rsidRDefault="004B7E50" w:rsidP="004B7E50">
      <w:pPr>
        <w:pStyle w:val="Ttulo2"/>
        <w:rPr>
          <w:rFonts w:ascii="Palatino Linotype" w:hAnsi="Palatino Linotype"/>
          <w:b/>
          <w:color w:val="auto"/>
          <w:sz w:val="24"/>
          <w:szCs w:val="24"/>
        </w:rPr>
      </w:pPr>
      <w:bookmarkStart w:id="6" w:name="_Toc85709561"/>
      <w:r w:rsidRPr="004B7E50">
        <w:rPr>
          <w:rFonts w:ascii="Palatino Linotype" w:hAnsi="Palatino Linotype"/>
          <w:b/>
          <w:color w:val="auto"/>
          <w:sz w:val="24"/>
          <w:szCs w:val="24"/>
        </w:rPr>
        <w:t>SEGUNDO. De la oportunidad y procedencia.</w:t>
      </w:r>
      <w:bookmarkEnd w:id="6"/>
    </w:p>
    <w:p w14:paraId="76562D42" w14:textId="42618593"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 xml:space="preserve">El medio de impugnación fue presentado a través del </w:t>
      </w:r>
      <w:r w:rsidRPr="004B7E50">
        <w:rPr>
          <w:rFonts w:ascii="Palatino Linotype" w:eastAsia="Calibri" w:hAnsi="Palatino Linotype" w:cs="Arial"/>
          <w:b/>
          <w:sz w:val="24"/>
        </w:rPr>
        <w:t>SAIMEX,</w:t>
      </w:r>
      <w:r w:rsidRPr="004B7E50">
        <w:rPr>
          <w:rFonts w:ascii="Palatino Linotype" w:eastAsia="Calibri" w:hAnsi="Palatino Linotype" w:cs="Arial"/>
          <w:sz w:val="24"/>
        </w:rPr>
        <w:t xml:space="preserve"> en el formato previamente aprobado para tal efecto y dentro del plazo legal de quince días hábiles otorgados; siendo así que el </w:t>
      </w:r>
      <w:r w:rsidRPr="004B7E50">
        <w:rPr>
          <w:rFonts w:ascii="Palatino Linotype" w:eastAsia="Calibri" w:hAnsi="Palatino Linotype" w:cs="Arial"/>
          <w:b/>
          <w:sz w:val="24"/>
        </w:rPr>
        <w:t>SUJETO OBLIGADO</w:t>
      </w:r>
      <w:r w:rsidRPr="004B7E50">
        <w:rPr>
          <w:rFonts w:ascii="Palatino Linotype" w:eastAsia="Calibri" w:hAnsi="Palatino Linotype" w:cs="Arial"/>
          <w:sz w:val="24"/>
        </w:rPr>
        <w:t xml:space="preserve"> entregó respuesta a la solicitud el </w:t>
      </w:r>
      <w:r w:rsidR="000C7FF6">
        <w:rPr>
          <w:rFonts w:ascii="Palatino Linotype" w:eastAsia="Calibri" w:hAnsi="Palatino Linotype" w:cs="Arial"/>
          <w:sz w:val="24"/>
        </w:rPr>
        <w:t>veintisiete</w:t>
      </w:r>
      <w:r w:rsidRPr="004B7E50">
        <w:rPr>
          <w:rFonts w:ascii="Palatino Linotype" w:eastAsia="Calibri" w:hAnsi="Palatino Linotype" w:cs="Arial"/>
          <w:sz w:val="24"/>
        </w:rPr>
        <w:t xml:space="preserve"> (</w:t>
      </w:r>
      <w:r w:rsidR="000C7FF6">
        <w:rPr>
          <w:rFonts w:ascii="Palatino Linotype" w:eastAsia="Calibri" w:hAnsi="Palatino Linotype" w:cs="Arial"/>
          <w:sz w:val="24"/>
        </w:rPr>
        <w:t>2</w:t>
      </w:r>
      <w:r w:rsidRPr="004B7E50">
        <w:rPr>
          <w:rFonts w:ascii="Palatino Linotype" w:eastAsia="Calibri" w:hAnsi="Palatino Linotype" w:cs="Arial"/>
          <w:sz w:val="24"/>
        </w:rPr>
        <w:t xml:space="preserve">7) de agosto de dos mil veintiuno, </w:t>
      </w:r>
      <w:r w:rsidRPr="004B7E50">
        <w:rPr>
          <w:rFonts w:ascii="Palatino Linotype" w:hAnsi="Palatino Linotype" w:cs="Arial"/>
          <w:sz w:val="24"/>
        </w:rPr>
        <w:t xml:space="preserve">de tal forma que el plazo para interponer el recurso de revisión transcurrió del </w:t>
      </w:r>
      <w:r w:rsidR="000C7FF6">
        <w:rPr>
          <w:rFonts w:ascii="Palatino Linotype" w:hAnsi="Palatino Linotype" w:cs="Arial"/>
          <w:sz w:val="24"/>
        </w:rPr>
        <w:t>treinta</w:t>
      </w:r>
      <w:r w:rsidRPr="004B7E50">
        <w:rPr>
          <w:rFonts w:ascii="Palatino Linotype" w:hAnsi="Palatino Linotype" w:cs="Arial"/>
          <w:sz w:val="24"/>
        </w:rPr>
        <w:t xml:space="preserve"> (</w:t>
      </w:r>
      <w:r w:rsidR="000C7FF6">
        <w:rPr>
          <w:rFonts w:ascii="Palatino Linotype" w:hAnsi="Palatino Linotype" w:cs="Arial"/>
          <w:sz w:val="24"/>
        </w:rPr>
        <w:t>30</w:t>
      </w:r>
      <w:r w:rsidRPr="004B7E50">
        <w:rPr>
          <w:rFonts w:ascii="Palatino Linotype" w:hAnsi="Palatino Linotype" w:cs="Arial"/>
          <w:sz w:val="24"/>
        </w:rPr>
        <w:t xml:space="preserve">) de agosto al </w:t>
      </w:r>
      <w:r w:rsidR="000C7FF6">
        <w:rPr>
          <w:rFonts w:ascii="Palatino Linotype" w:hAnsi="Palatino Linotype" w:cs="Arial"/>
          <w:sz w:val="24"/>
        </w:rPr>
        <w:t>veinte</w:t>
      </w:r>
      <w:r w:rsidRPr="004B7E50">
        <w:rPr>
          <w:rFonts w:ascii="Palatino Linotype" w:hAnsi="Palatino Linotype" w:cs="Arial"/>
          <w:sz w:val="24"/>
        </w:rPr>
        <w:t xml:space="preserve"> (</w:t>
      </w:r>
      <w:r w:rsidR="000C7FF6">
        <w:rPr>
          <w:rFonts w:ascii="Palatino Linotype" w:hAnsi="Palatino Linotype" w:cs="Arial"/>
          <w:sz w:val="24"/>
        </w:rPr>
        <w:t>20</w:t>
      </w:r>
      <w:r w:rsidRPr="004B7E50">
        <w:rPr>
          <w:rFonts w:ascii="Palatino Linotype" w:hAnsi="Palatino Linotype" w:cs="Arial"/>
          <w:sz w:val="24"/>
        </w:rPr>
        <w:t xml:space="preserve">) de septiembre de dos mil veintiuno; en consecuencia, presentó su inconformidad el día </w:t>
      </w:r>
      <w:r w:rsidR="000C7FF6">
        <w:rPr>
          <w:rFonts w:ascii="Palatino Linotype" w:hAnsi="Palatino Linotype" w:cs="Arial"/>
          <w:sz w:val="24"/>
        </w:rPr>
        <w:t>treinta y uno</w:t>
      </w:r>
      <w:r w:rsidRPr="004B7E50">
        <w:rPr>
          <w:rFonts w:ascii="Palatino Linotype" w:hAnsi="Palatino Linotype" w:cs="Arial"/>
          <w:sz w:val="24"/>
        </w:rPr>
        <w:t xml:space="preserve"> </w:t>
      </w:r>
      <w:r w:rsidRPr="004B7E50">
        <w:rPr>
          <w:rFonts w:ascii="Palatino Linotype" w:eastAsia="Calibri" w:hAnsi="Palatino Linotype" w:cs="Arial"/>
          <w:sz w:val="24"/>
        </w:rPr>
        <w:t>(</w:t>
      </w:r>
      <w:r w:rsidR="000C7FF6">
        <w:rPr>
          <w:rFonts w:ascii="Palatino Linotype" w:eastAsia="Calibri" w:hAnsi="Palatino Linotype" w:cs="Arial"/>
          <w:sz w:val="24"/>
        </w:rPr>
        <w:t>31</w:t>
      </w:r>
      <w:r w:rsidRPr="004B7E50">
        <w:rPr>
          <w:rFonts w:ascii="Palatino Linotype" w:eastAsia="Calibri" w:hAnsi="Palatino Linotype" w:cs="Arial"/>
          <w:sz w:val="24"/>
        </w:rPr>
        <w:t>) de agosto de dos mil veintiuno</w:t>
      </w:r>
      <w:r w:rsidRPr="004B7E50">
        <w:rPr>
          <w:rFonts w:ascii="Palatino Linotype" w:hAnsi="Palatino Linotype" w:cs="Arial"/>
          <w:sz w:val="24"/>
        </w:rPr>
        <w:t xml:space="preserve">, por lo que se encuentra dentro de los márgenes temporales previstos en el artículo 178 de la </w:t>
      </w:r>
      <w:r w:rsidRPr="004B7E50">
        <w:rPr>
          <w:rFonts w:ascii="Palatino Linotype" w:hAnsi="Palatino Linotype" w:cs="Arial"/>
          <w:b/>
          <w:sz w:val="24"/>
        </w:rPr>
        <w:t>Ley de Transparencia y Acceso a la Información Pública del Estado de México y Municipios vigente.</w:t>
      </w:r>
    </w:p>
    <w:p w14:paraId="631337C8" w14:textId="77777777" w:rsidR="004B7E50" w:rsidRPr="004B7E50" w:rsidRDefault="004B7E50" w:rsidP="004B7E50">
      <w:pPr>
        <w:pStyle w:val="Prrafodelista"/>
        <w:spacing w:before="240" w:after="240" w:line="360" w:lineRule="auto"/>
        <w:ind w:left="0" w:right="49"/>
        <w:jc w:val="both"/>
        <w:rPr>
          <w:rFonts w:ascii="Palatino Linotype" w:hAnsi="Palatino Linotype"/>
          <w:sz w:val="24"/>
        </w:rPr>
      </w:pPr>
    </w:p>
    <w:p w14:paraId="734FE8C4" w14:textId="77777777"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eastAsia="Calibri" w:hAnsi="Palatino Linotype" w:cs="Arial"/>
          <w:sz w:val="24"/>
        </w:rPr>
        <w:t xml:space="preserve">Por otro lado, el escrito contiene las formalidades previstas por el artículo 180 último párrafo de la Ley de la materia actual, por lo que es procedente que este </w:t>
      </w:r>
      <w:r w:rsidRPr="004B7E50">
        <w:rPr>
          <w:rFonts w:ascii="Palatino Linotype" w:eastAsia="Calibri" w:hAnsi="Palatino Linotype" w:cs="Arial"/>
          <w:sz w:val="24"/>
        </w:rPr>
        <w:lastRenderedPageBreak/>
        <w:t>Instituto de Transparencia, Acceso a la Información Pública y Protección de Datos Personales del Estado de México y Municipios, conozca y resuelva el presente recurso.</w:t>
      </w:r>
    </w:p>
    <w:p w14:paraId="5BA1A3BC" w14:textId="77777777" w:rsidR="004B7E50" w:rsidRPr="004B7E50" w:rsidRDefault="004B7E50" w:rsidP="004B7E50">
      <w:pPr>
        <w:pStyle w:val="Ttulo1"/>
        <w:rPr>
          <w:rFonts w:ascii="Palatino Linotype" w:eastAsia="MS Mincho" w:hAnsi="Palatino Linotype" w:cs="Times New Roman"/>
          <w:b/>
          <w:sz w:val="24"/>
          <w:szCs w:val="24"/>
        </w:rPr>
      </w:pPr>
      <w:bookmarkStart w:id="7" w:name="_Toc85709562"/>
      <w:r w:rsidRPr="004B7E50">
        <w:rPr>
          <w:rFonts w:ascii="Palatino Linotype" w:hAnsi="Palatino Linotype"/>
          <w:b/>
          <w:color w:val="auto"/>
          <w:sz w:val="24"/>
          <w:szCs w:val="24"/>
        </w:rPr>
        <w:t>TERCERO. Planteamiento de la Litis.</w:t>
      </w:r>
      <w:bookmarkEnd w:id="7"/>
      <w:r w:rsidRPr="004B7E50">
        <w:rPr>
          <w:rFonts w:ascii="Palatino Linotype" w:hAnsi="Palatino Linotype"/>
          <w:b/>
          <w:color w:val="auto"/>
          <w:sz w:val="24"/>
          <w:szCs w:val="24"/>
        </w:rPr>
        <w:t xml:space="preserve"> </w:t>
      </w:r>
    </w:p>
    <w:p w14:paraId="631338F0" w14:textId="4F9D3F49" w:rsidR="004B7E50" w:rsidRPr="000C7FF6" w:rsidRDefault="004B7E50" w:rsidP="000C7FF6">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B7E50">
        <w:rPr>
          <w:rFonts w:ascii="Palatino Linotype" w:hAnsi="Palatino Linotype"/>
          <w:bCs/>
          <w:sz w:val="24"/>
        </w:rPr>
        <w:t>El recurrente solicitó</w:t>
      </w:r>
      <w:r w:rsidR="000C7FF6">
        <w:rPr>
          <w:rFonts w:ascii="Palatino Linotype" w:hAnsi="Palatino Linotype"/>
          <w:bCs/>
          <w:sz w:val="24"/>
        </w:rPr>
        <w:t xml:space="preserve">, de la </w:t>
      </w:r>
      <w:r w:rsidR="000C7FF6" w:rsidRPr="000C7FF6">
        <w:rPr>
          <w:rFonts w:ascii="Palatino Linotype" w:hAnsi="Palatino Linotype" w:cs="Arial"/>
          <w:sz w:val="24"/>
        </w:rPr>
        <w:t>calle 22 de diciembre y la carretera Lechería-Texcoco Colonia Héroes de Tecámac, municipio de Tecámac, Estado de México</w:t>
      </w:r>
      <w:r w:rsidR="000C7FF6">
        <w:rPr>
          <w:rFonts w:ascii="Palatino Linotype" w:hAnsi="Palatino Linotype" w:cs="Arial"/>
          <w:sz w:val="24"/>
        </w:rPr>
        <w:t>,</w:t>
      </w:r>
      <w:r w:rsidR="000C7FF6" w:rsidRPr="000C7FF6">
        <w:rPr>
          <w:rFonts w:ascii="Palatino Linotype" w:hAnsi="Palatino Linotype" w:cs="Arial"/>
          <w:sz w:val="24"/>
        </w:rPr>
        <w:t xml:space="preserve"> </w:t>
      </w:r>
      <w:r w:rsidRPr="000C7FF6">
        <w:rPr>
          <w:rFonts w:ascii="Palatino Linotype" w:hAnsi="Palatino Linotype"/>
          <w:bCs/>
          <w:sz w:val="24"/>
        </w:rPr>
        <w:t>lo siguiente:</w:t>
      </w:r>
    </w:p>
    <w:p w14:paraId="737C40A0" w14:textId="77777777" w:rsidR="004B7E50" w:rsidRPr="004B7E50" w:rsidRDefault="004B7E50" w:rsidP="004B7E50">
      <w:pPr>
        <w:pStyle w:val="Prrafodelista"/>
        <w:spacing w:before="240" w:after="240" w:line="360" w:lineRule="auto"/>
        <w:ind w:left="0" w:right="49"/>
        <w:jc w:val="both"/>
        <w:rPr>
          <w:rFonts w:ascii="Palatino Linotype" w:hAnsi="Palatino Linotype"/>
          <w:i/>
          <w:sz w:val="24"/>
          <w:lang w:eastAsia="es-MX"/>
        </w:rPr>
      </w:pPr>
    </w:p>
    <w:p w14:paraId="4138CC92" w14:textId="77777777" w:rsidR="000C7FF6" w:rsidRDefault="000C7FF6" w:rsidP="000C7FF6">
      <w:pPr>
        <w:pStyle w:val="Prrafodelista"/>
        <w:numPr>
          <w:ilvl w:val="0"/>
          <w:numId w:val="19"/>
        </w:num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S</w:t>
      </w:r>
      <w:r w:rsidRPr="000C7FF6">
        <w:rPr>
          <w:rFonts w:ascii="Palatino Linotype" w:hAnsi="Palatino Linotype" w:cs="Arial"/>
          <w:sz w:val="24"/>
        </w:rPr>
        <w:t xml:space="preserve">e informe si el Gobierno del Estado de México, tiene en planeación el desarrollo de alguna obra o vialidad </w:t>
      </w:r>
    </w:p>
    <w:p w14:paraId="12CFDC07" w14:textId="242205D4" w:rsidR="000C7FF6" w:rsidRDefault="000C7FF6" w:rsidP="000C7FF6">
      <w:pPr>
        <w:pStyle w:val="Prrafodelista"/>
        <w:numPr>
          <w:ilvl w:val="0"/>
          <w:numId w:val="19"/>
        </w:num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Si</w:t>
      </w:r>
      <w:r w:rsidRPr="000C7FF6">
        <w:rPr>
          <w:rFonts w:ascii="Palatino Linotype" w:hAnsi="Palatino Linotype" w:cs="Arial"/>
          <w:sz w:val="24"/>
        </w:rPr>
        <w:t xml:space="preserve"> existe alguna afectación de los </w:t>
      </w:r>
      <w:r>
        <w:rPr>
          <w:rFonts w:ascii="Palatino Linotype" w:hAnsi="Palatino Linotype" w:cs="Arial"/>
          <w:sz w:val="24"/>
        </w:rPr>
        <w:t>terrenos ubicados en la esquina;</w:t>
      </w:r>
    </w:p>
    <w:p w14:paraId="324E3F0E" w14:textId="16E82D0F" w:rsidR="000C7FF6" w:rsidRPr="000C7FF6" w:rsidRDefault="000C7FF6" w:rsidP="00EC38F2">
      <w:pPr>
        <w:pStyle w:val="Prrafodelista"/>
        <w:numPr>
          <w:ilvl w:val="0"/>
          <w:numId w:val="19"/>
        </w:numPr>
        <w:spacing w:before="100" w:beforeAutospacing="1" w:after="100" w:afterAutospacing="1" w:line="360" w:lineRule="auto"/>
        <w:jc w:val="both"/>
        <w:rPr>
          <w:rFonts w:ascii="Palatino Linotype" w:hAnsi="Palatino Linotype" w:cs="Arial"/>
          <w:sz w:val="24"/>
        </w:rPr>
      </w:pPr>
      <w:r w:rsidRPr="000C7FF6">
        <w:rPr>
          <w:rFonts w:ascii="Palatino Linotype" w:hAnsi="Palatino Linotype" w:cs="Arial"/>
          <w:sz w:val="24"/>
        </w:rPr>
        <w:t xml:space="preserve">Copia simple del plano de vialidad u obra que se tenga prevista </w:t>
      </w:r>
    </w:p>
    <w:p w14:paraId="3FC3150A" w14:textId="77777777" w:rsidR="004B7E50" w:rsidRPr="004B7E50" w:rsidRDefault="004B7E50" w:rsidP="004B7E50">
      <w:pPr>
        <w:pStyle w:val="Prrafodelista"/>
        <w:spacing w:before="100" w:beforeAutospacing="1" w:after="100" w:afterAutospacing="1" w:line="360" w:lineRule="auto"/>
        <w:jc w:val="both"/>
        <w:rPr>
          <w:rFonts w:ascii="Palatino Linotype" w:hAnsi="Palatino Linotype" w:cs="Arial"/>
          <w:sz w:val="24"/>
        </w:rPr>
      </w:pPr>
    </w:p>
    <w:p w14:paraId="3A0AF467" w14:textId="14257A89"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w:t>
      </w:r>
      <w:r w:rsidR="000C7FF6">
        <w:rPr>
          <w:rFonts w:ascii="Palatino Linotype" w:hAnsi="Palatino Linotype"/>
          <w:bCs/>
          <w:sz w:val="24"/>
        </w:rPr>
        <w:t>Sujeto Obligado manifestó que, no se localizó información al respecto.</w:t>
      </w:r>
    </w:p>
    <w:p w14:paraId="514EF01B" w14:textId="77777777" w:rsidR="004B7E50" w:rsidRPr="004B7E50" w:rsidRDefault="004B7E50" w:rsidP="004B7E50">
      <w:pPr>
        <w:pStyle w:val="Prrafodelista"/>
        <w:spacing w:before="240" w:after="240" w:line="360" w:lineRule="auto"/>
        <w:ind w:left="0" w:right="49"/>
        <w:jc w:val="both"/>
        <w:rPr>
          <w:rFonts w:ascii="Palatino Linotype" w:hAnsi="Palatino Linotype"/>
          <w:bCs/>
          <w:sz w:val="24"/>
        </w:rPr>
      </w:pPr>
    </w:p>
    <w:p w14:paraId="5C5E09BC" w14:textId="3C9C5283" w:rsidR="004B7E50" w:rsidRPr="004B7E50" w:rsidRDefault="004B7E50" w:rsidP="004B7E50">
      <w:pPr>
        <w:pStyle w:val="Prrafodelista"/>
        <w:numPr>
          <w:ilvl w:val="0"/>
          <w:numId w:val="3"/>
        </w:numPr>
        <w:spacing w:before="240" w:after="240" w:line="360" w:lineRule="auto"/>
        <w:ind w:left="0" w:right="49" w:firstLine="0"/>
        <w:jc w:val="both"/>
        <w:rPr>
          <w:rFonts w:ascii="Palatino Linotype" w:hAnsi="Palatino Linotype"/>
          <w:bCs/>
          <w:sz w:val="24"/>
        </w:rPr>
      </w:pPr>
      <w:r w:rsidRPr="004B7E50">
        <w:rPr>
          <w:rFonts w:ascii="Palatino Linotype" w:hAnsi="Palatino Linotype"/>
          <w:bCs/>
          <w:sz w:val="24"/>
        </w:rPr>
        <w:t xml:space="preserve">El recurrente se inconformó </w:t>
      </w:r>
      <w:r w:rsidR="000C7FF6">
        <w:rPr>
          <w:rFonts w:ascii="Palatino Linotype" w:hAnsi="Palatino Linotype"/>
          <w:bCs/>
          <w:sz w:val="24"/>
        </w:rPr>
        <w:t>por la inexistencia de la información.</w:t>
      </w:r>
    </w:p>
    <w:p w14:paraId="1EA8478B" w14:textId="77777777" w:rsidR="004B7E50" w:rsidRPr="004B7E50" w:rsidRDefault="004B7E50" w:rsidP="004B7E50">
      <w:pPr>
        <w:pStyle w:val="Prrafodelista"/>
        <w:rPr>
          <w:rFonts w:ascii="Palatino Linotype" w:hAnsi="Palatino Linotype"/>
          <w:bCs/>
          <w:sz w:val="24"/>
        </w:rPr>
      </w:pPr>
    </w:p>
    <w:p w14:paraId="38CD5598" w14:textId="77777777" w:rsidR="004B7E50" w:rsidRDefault="004B7E50" w:rsidP="004B7E50">
      <w:pPr>
        <w:pStyle w:val="Prrafodelista"/>
        <w:numPr>
          <w:ilvl w:val="0"/>
          <w:numId w:val="3"/>
        </w:numPr>
        <w:spacing w:before="240" w:after="240" w:line="360" w:lineRule="auto"/>
        <w:ind w:left="0" w:right="49" w:firstLine="0"/>
        <w:jc w:val="both"/>
        <w:rPr>
          <w:rFonts w:ascii="Palatino Linotype" w:hAnsi="Palatino Linotype"/>
          <w:sz w:val="24"/>
        </w:rPr>
      </w:pPr>
      <w:r w:rsidRPr="004B7E50">
        <w:rPr>
          <w:rFonts w:ascii="Palatino Linotype" w:hAnsi="Palatino Linotype"/>
          <w:sz w:val="24"/>
        </w:rPr>
        <w:t>Por lo anterior, en este recurso de revisión se analizará si se actualiza la causal de procedencia de las fracciones I y III del artículo 179 de la Ley de Transparencia y Acceso a la Información Pública del Estado de México y Municipios, relativos a la negativa y la inexistencia de la información.</w:t>
      </w:r>
      <w:bookmarkStart w:id="8" w:name="_Toc486525253"/>
    </w:p>
    <w:p w14:paraId="351B8271" w14:textId="77777777" w:rsidR="009918B6" w:rsidRPr="009918B6" w:rsidRDefault="009918B6" w:rsidP="009918B6">
      <w:pPr>
        <w:pStyle w:val="Prrafodelista"/>
        <w:rPr>
          <w:rFonts w:ascii="Palatino Linotype" w:hAnsi="Palatino Linotype"/>
          <w:sz w:val="24"/>
        </w:rPr>
      </w:pPr>
    </w:p>
    <w:p w14:paraId="5DB4018D" w14:textId="77777777" w:rsidR="004B7E50" w:rsidRPr="004B7E50" w:rsidRDefault="004B7E50" w:rsidP="004B7E50">
      <w:pPr>
        <w:pStyle w:val="Ttulo1"/>
        <w:spacing w:before="0" w:line="360" w:lineRule="auto"/>
        <w:rPr>
          <w:rFonts w:ascii="Palatino Linotype" w:hAnsi="Palatino Linotype"/>
          <w:b/>
          <w:color w:val="auto"/>
          <w:sz w:val="24"/>
          <w:szCs w:val="24"/>
        </w:rPr>
      </w:pPr>
      <w:bookmarkStart w:id="9" w:name="_Toc499201873"/>
      <w:bookmarkStart w:id="10" w:name="_Toc3372324"/>
      <w:bookmarkStart w:id="11" w:name="_Toc4061675"/>
      <w:bookmarkStart w:id="12" w:name="_Toc85709563"/>
      <w:bookmarkEnd w:id="8"/>
      <w:r w:rsidRPr="004B7E50">
        <w:rPr>
          <w:rFonts w:ascii="Palatino Linotype" w:hAnsi="Palatino Linotype"/>
          <w:b/>
          <w:color w:val="auto"/>
          <w:sz w:val="24"/>
          <w:szCs w:val="24"/>
        </w:rPr>
        <w:t>CUARTO. Estudio y resolución del asunto</w:t>
      </w:r>
      <w:bookmarkEnd w:id="9"/>
      <w:bookmarkEnd w:id="10"/>
      <w:bookmarkEnd w:id="11"/>
      <w:bookmarkEnd w:id="12"/>
    </w:p>
    <w:p w14:paraId="5DAC598F" w14:textId="77777777" w:rsidR="004B7E50" w:rsidRPr="004B7E50" w:rsidRDefault="004B7E50" w:rsidP="004B7E50">
      <w:pPr>
        <w:rPr>
          <w:rFonts w:ascii="Palatino Linotype" w:hAnsi="Palatino Linotype"/>
          <w:sz w:val="24"/>
          <w:szCs w:val="24"/>
          <w:lang w:eastAsia="en-US"/>
        </w:rPr>
      </w:pPr>
    </w:p>
    <w:p w14:paraId="37F4ACE6" w14:textId="77777777" w:rsidR="004B7E50" w:rsidRDefault="004B7E50" w:rsidP="004B7E50">
      <w:pPr>
        <w:pStyle w:val="Ttulo2"/>
        <w:numPr>
          <w:ilvl w:val="0"/>
          <w:numId w:val="30"/>
        </w:numPr>
        <w:spacing w:line="259" w:lineRule="auto"/>
        <w:rPr>
          <w:rFonts w:ascii="Palatino Linotype" w:eastAsiaTheme="minorEastAsia" w:hAnsi="Palatino Linotype"/>
          <w:b/>
          <w:color w:val="auto"/>
          <w:sz w:val="24"/>
          <w:szCs w:val="24"/>
        </w:rPr>
      </w:pPr>
      <w:bookmarkStart w:id="13" w:name="_Toc85709564"/>
      <w:bookmarkStart w:id="14" w:name="_Toc34911390"/>
      <w:r w:rsidRPr="004B7E50">
        <w:rPr>
          <w:rFonts w:ascii="Palatino Linotype" w:eastAsiaTheme="minorEastAsia" w:hAnsi="Palatino Linotype"/>
          <w:b/>
          <w:color w:val="auto"/>
          <w:sz w:val="24"/>
          <w:szCs w:val="24"/>
        </w:rPr>
        <w:t>De la búsqueda exhaustiva y razonable.</w:t>
      </w:r>
      <w:bookmarkEnd w:id="13"/>
    </w:p>
    <w:p w14:paraId="04BFDA2B" w14:textId="77777777" w:rsidR="009918B6" w:rsidRPr="009918B6" w:rsidRDefault="009918B6" w:rsidP="009918B6">
      <w:pPr>
        <w:rPr>
          <w:rFonts w:eastAsiaTheme="minorEastAsia"/>
        </w:rPr>
      </w:pPr>
    </w:p>
    <w:p w14:paraId="667DB7F7" w14:textId="77777777" w:rsidR="004B7E50" w:rsidRPr="004B7E50" w:rsidRDefault="004B7E50" w:rsidP="004B7E50">
      <w:pPr>
        <w:pStyle w:val="Prrafodelista"/>
        <w:numPr>
          <w:ilvl w:val="0"/>
          <w:numId w:val="2"/>
        </w:numPr>
        <w:spacing w:line="360" w:lineRule="auto"/>
        <w:ind w:left="0" w:firstLine="0"/>
        <w:jc w:val="both"/>
        <w:rPr>
          <w:rFonts w:ascii="Palatino Linotype" w:eastAsia="Calibri" w:hAnsi="Palatino Linotype" w:cs="Arial"/>
          <w:sz w:val="24"/>
        </w:rPr>
      </w:pPr>
      <w:r w:rsidRPr="004B7E50">
        <w:rPr>
          <w:rFonts w:ascii="Palatino Linotype" w:hAnsi="Palatino Linotype"/>
          <w:sz w:val="24"/>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4B7E50">
        <w:rPr>
          <w:rFonts w:ascii="Palatino Linotype" w:hAnsi="Palatino Linotype"/>
          <w:i/>
          <w:sz w:val="24"/>
        </w:rPr>
        <w:t>realizar, con efectividad, los trámites internos necesarios para la atención de las solicitudes de información</w:t>
      </w:r>
      <w:r w:rsidRPr="004B7E50">
        <w:rPr>
          <w:rStyle w:val="Refdenotaalpie"/>
          <w:rFonts w:ascii="Palatino Linotype" w:hAnsi="Palatino Linotype"/>
          <w:sz w:val="24"/>
        </w:rPr>
        <w:footnoteReference w:id="1"/>
      </w:r>
      <w:r w:rsidRPr="004B7E50">
        <w:rPr>
          <w:rFonts w:ascii="Palatino Linotype" w:hAnsi="Palatino Linotype"/>
          <w:sz w:val="24"/>
        </w:rPr>
        <w:t>, es decir, deben otorgar respuestas concisas, contundentes y certeras, además de estar en estricto apego a lo que la normatividad en la materia establece.</w:t>
      </w:r>
    </w:p>
    <w:p w14:paraId="00077725" w14:textId="77777777" w:rsidR="004B7E50" w:rsidRPr="004B7E50" w:rsidRDefault="004B7E50" w:rsidP="004B7E50">
      <w:pPr>
        <w:pStyle w:val="Prrafodelista"/>
        <w:rPr>
          <w:rFonts w:ascii="Palatino Linotype" w:eastAsia="Calibri" w:hAnsi="Palatino Linotype" w:cs="Arial"/>
          <w:sz w:val="24"/>
        </w:rPr>
      </w:pPr>
    </w:p>
    <w:p w14:paraId="397275F2" w14:textId="77777777" w:rsidR="004B7E50" w:rsidRPr="004B7E50" w:rsidRDefault="004B7E50" w:rsidP="004B7E50">
      <w:pPr>
        <w:pStyle w:val="Prrafodelista"/>
        <w:numPr>
          <w:ilvl w:val="0"/>
          <w:numId w:val="2"/>
        </w:numPr>
        <w:spacing w:line="360" w:lineRule="auto"/>
        <w:ind w:left="0" w:firstLine="0"/>
        <w:jc w:val="both"/>
        <w:rPr>
          <w:rFonts w:ascii="Palatino Linotype" w:eastAsia="Calibri" w:hAnsi="Palatino Linotype" w:cs="Arial"/>
          <w:sz w:val="24"/>
        </w:rPr>
      </w:pPr>
      <w:r w:rsidRPr="004B7E50">
        <w:rPr>
          <w:rFonts w:ascii="Palatino Linotype" w:hAnsi="Palatino Linotype" w:cs="Arial"/>
          <w:sz w:val="24"/>
        </w:rPr>
        <w:t>En el presente asunto en particular, el Titular de la Unidad de Transparencia no turnó la solicitud a ninguna de las áreas que integran la estructura orgánica del Sujeto Obligado.</w:t>
      </w:r>
    </w:p>
    <w:p w14:paraId="7723A4E5" w14:textId="77777777" w:rsidR="004B7E50" w:rsidRPr="004B7E50" w:rsidRDefault="004B7E50" w:rsidP="004B7E50">
      <w:pPr>
        <w:pStyle w:val="Prrafodelista"/>
        <w:rPr>
          <w:rFonts w:ascii="Palatino Linotype" w:hAnsi="Palatino Linotype" w:cs="Arial"/>
          <w:sz w:val="24"/>
        </w:rPr>
      </w:pPr>
    </w:p>
    <w:p w14:paraId="2D79E6D2"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Con la respuesta emitida, el Sujeto Obligado omitió el contenido de la Ley de Transparencia y Acceso a la Información Pública del Estado de México y Municipios, en el artículo 162, mismo del que se inserta su contenido: </w:t>
      </w:r>
    </w:p>
    <w:p w14:paraId="3898C30F" w14:textId="77777777" w:rsidR="004B7E50" w:rsidRPr="004B7E50" w:rsidRDefault="004B7E50" w:rsidP="004B7E50">
      <w:pPr>
        <w:pStyle w:val="Prrafodelista"/>
        <w:rPr>
          <w:rFonts w:ascii="Palatino Linotype" w:hAnsi="Palatino Linotype"/>
          <w:sz w:val="24"/>
        </w:rPr>
      </w:pPr>
    </w:p>
    <w:p w14:paraId="577FD5D6" w14:textId="77777777" w:rsidR="004B7E50" w:rsidRPr="004B7E50" w:rsidRDefault="004B7E50" w:rsidP="004B7E50">
      <w:pPr>
        <w:autoSpaceDE w:val="0"/>
        <w:autoSpaceDN w:val="0"/>
        <w:adjustRightInd w:val="0"/>
        <w:ind w:left="567" w:right="567"/>
        <w:jc w:val="both"/>
        <w:rPr>
          <w:rFonts w:ascii="Palatino Linotype" w:hAnsi="Palatino Linotype"/>
          <w:i/>
          <w:sz w:val="22"/>
          <w:szCs w:val="24"/>
        </w:rPr>
      </w:pPr>
      <w:r w:rsidRPr="004B7E50">
        <w:rPr>
          <w:rFonts w:ascii="Palatino Linotype" w:hAnsi="Palatino Linotype" w:cs="Bookman Old Style,Bold"/>
          <w:b/>
          <w:bCs/>
          <w:i/>
          <w:sz w:val="22"/>
          <w:szCs w:val="24"/>
        </w:rPr>
        <w:t xml:space="preserve">Artículo 162. </w:t>
      </w:r>
      <w:r w:rsidRPr="004B7E50">
        <w:rPr>
          <w:rFonts w:ascii="Palatino Linotype" w:hAnsi="Palatino Linotype" w:cs="Bookman Old Style"/>
          <w:i/>
          <w:sz w:val="22"/>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E3B6635" w14:textId="77777777" w:rsidR="004B7E50" w:rsidRPr="004B7E50" w:rsidRDefault="004B7E50" w:rsidP="004B7E50">
      <w:pPr>
        <w:pStyle w:val="Prrafodelista"/>
        <w:spacing w:line="360" w:lineRule="auto"/>
        <w:ind w:left="0"/>
        <w:jc w:val="both"/>
        <w:rPr>
          <w:rFonts w:ascii="Palatino Linotype" w:hAnsi="Palatino Linotype"/>
          <w:sz w:val="24"/>
        </w:rPr>
      </w:pPr>
      <w:r w:rsidRPr="004B7E50">
        <w:rPr>
          <w:rFonts w:ascii="Palatino Linotype" w:hAnsi="Palatino Linotype"/>
          <w:sz w:val="24"/>
        </w:rPr>
        <w:t xml:space="preserve"> </w:t>
      </w:r>
    </w:p>
    <w:p w14:paraId="27CCD593"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Las unidades de transparencia deberán turnar las solicitudes de acceso a la información a las áreas correspondientes para que estas a su vez, manifestarán lo </w:t>
      </w:r>
      <w:r w:rsidRPr="004B7E50">
        <w:rPr>
          <w:rFonts w:ascii="Palatino Linotype" w:hAnsi="Palatino Linotype"/>
          <w:sz w:val="24"/>
        </w:rPr>
        <w:lastRenderedPageBreak/>
        <w:t>conducente; situación que no se materializó, puesto que el Titular de la Unidad de Transparencia fue omiso en realizar tal acción.</w:t>
      </w:r>
    </w:p>
    <w:p w14:paraId="782A2577" w14:textId="77777777" w:rsidR="004B7E50" w:rsidRPr="004B7E50" w:rsidRDefault="004B7E50" w:rsidP="004B7E50">
      <w:pPr>
        <w:pStyle w:val="Prrafodelista"/>
        <w:spacing w:line="360" w:lineRule="auto"/>
        <w:ind w:left="0"/>
        <w:jc w:val="both"/>
        <w:rPr>
          <w:rFonts w:ascii="Palatino Linotype" w:hAnsi="Palatino Linotype"/>
          <w:sz w:val="24"/>
        </w:rPr>
      </w:pPr>
    </w:p>
    <w:p w14:paraId="03EC47DC"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1A8D7FB1" w14:textId="77777777" w:rsidR="004B7E50" w:rsidRPr="004B7E50" w:rsidRDefault="004B7E50" w:rsidP="004B7E50">
      <w:pPr>
        <w:pStyle w:val="Prrafodelista"/>
        <w:spacing w:line="360" w:lineRule="auto"/>
        <w:rPr>
          <w:rFonts w:ascii="Palatino Linotype" w:hAnsi="Palatino Linotype"/>
          <w:sz w:val="24"/>
        </w:rPr>
      </w:pPr>
    </w:p>
    <w:p w14:paraId="416868B1" w14:textId="77777777" w:rsidR="004B7E50" w:rsidRPr="004B7E50"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5D851B67" w14:textId="77777777" w:rsidR="004B7E50" w:rsidRPr="004B7E50" w:rsidRDefault="004B7E50" w:rsidP="004B7E50">
      <w:pPr>
        <w:pStyle w:val="Prrafodelista"/>
        <w:rPr>
          <w:rFonts w:ascii="Palatino Linotype" w:hAnsi="Palatino Linotype"/>
          <w:sz w:val="24"/>
        </w:rPr>
      </w:pPr>
    </w:p>
    <w:p w14:paraId="119427DC" w14:textId="3C3B3E5D" w:rsidR="007F555B" w:rsidRPr="007F555B" w:rsidRDefault="004B7E50" w:rsidP="004B7E50">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En el presente asunto en particular, el Titular de la Unidad </w:t>
      </w:r>
      <w:r w:rsidRPr="007F555B">
        <w:rPr>
          <w:rFonts w:ascii="Palatino Linotype" w:hAnsi="Palatino Linotype"/>
          <w:sz w:val="24"/>
        </w:rPr>
        <w:t xml:space="preserve">de Transparencia turnó la solicitud a la </w:t>
      </w:r>
      <w:r w:rsidR="007F555B" w:rsidRPr="007F555B">
        <w:rPr>
          <w:rFonts w:ascii="Palatino Linotype" w:hAnsi="Palatino Linotype"/>
          <w:iCs/>
          <w:color w:val="000000"/>
          <w:sz w:val="24"/>
        </w:rPr>
        <w:t>Directora General de Operación y Control Urbano</w:t>
      </w:r>
      <w:r w:rsidR="007F555B" w:rsidRPr="007F555B">
        <w:rPr>
          <w:rFonts w:ascii="Palatino Linotype" w:hAnsi="Palatino Linotype"/>
          <w:sz w:val="24"/>
        </w:rPr>
        <w:t xml:space="preserve"> y </w:t>
      </w:r>
      <w:r w:rsidR="007F555B" w:rsidRPr="007F555B">
        <w:rPr>
          <w:rFonts w:ascii="Palatino Linotype" w:hAnsi="Palatino Linotype"/>
          <w:iCs/>
          <w:color w:val="000000"/>
          <w:sz w:val="24"/>
        </w:rPr>
        <w:t>Director</w:t>
      </w:r>
      <w:r w:rsidR="007F555B" w:rsidRPr="003D1D0A">
        <w:rPr>
          <w:rFonts w:ascii="Palatino Linotype" w:hAnsi="Palatino Linotype"/>
          <w:iCs/>
          <w:color w:val="000000"/>
          <w:sz w:val="24"/>
        </w:rPr>
        <w:t xml:space="preserve"> General de Proyectos, Concursos y Contratos</w:t>
      </w:r>
      <w:r w:rsidR="007F555B">
        <w:rPr>
          <w:rFonts w:ascii="Palatino Linotype" w:hAnsi="Palatino Linotype"/>
          <w:iCs/>
          <w:color w:val="000000"/>
          <w:sz w:val="24"/>
        </w:rPr>
        <w:t>, los cuales manifestaron que, después de realizar una búsqueda exhaustiva y razonable no localizaron la informac</w:t>
      </w:r>
      <w:r w:rsidR="00876227">
        <w:rPr>
          <w:rFonts w:ascii="Palatino Linotype" w:hAnsi="Palatino Linotype"/>
          <w:iCs/>
          <w:color w:val="000000"/>
          <w:sz w:val="24"/>
        </w:rPr>
        <w:t>ión requerida por el particular, asimismo, refirió que la información no ha sido generada.</w:t>
      </w:r>
    </w:p>
    <w:p w14:paraId="09BCD286" w14:textId="77777777" w:rsidR="007F555B" w:rsidRPr="007F555B" w:rsidRDefault="007F555B" w:rsidP="007F555B">
      <w:pPr>
        <w:pStyle w:val="Prrafodelista"/>
        <w:rPr>
          <w:rFonts w:ascii="Palatino Linotype" w:hAnsi="Palatino Linotype"/>
          <w:sz w:val="24"/>
          <w:highlight w:val="yellow"/>
        </w:rPr>
      </w:pPr>
    </w:p>
    <w:p w14:paraId="094A2D55" w14:textId="4762A638" w:rsidR="00EC1ECB" w:rsidRDefault="00EC1ECB"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lastRenderedPageBreak/>
        <w:t>De la normatividad que se encuentra en la sitio electrónico oficial del Sujeto Obligado</w:t>
      </w:r>
      <w:r>
        <w:rPr>
          <w:rStyle w:val="Refdenotaalpie"/>
          <w:rFonts w:ascii="Palatino Linotype" w:hAnsi="Palatino Linotype"/>
          <w:sz w:val="24"/>
        </w:rPr>
        <w:footnoteReference w:id="2"/>
      </w:r>
      <w:r w:rsidR="00B113A4">
        <w:rPr>
          <w:rFonts w:ascii="Palatino Linotype" w:hAnsi="Palatino Linotype"/>
          <w:sz w:val="24"/>
        </w:rPr>
        <w:t xml:space="preserve"> se tiene que, la Dirección General de Operación y Control Urbano</w:t>
      </w:r>
    </w:p>
    <w:p w14:paraId="5943B2B0" w14:textId="77777777" w:rsidR="00EC1ECB" w:rsidRPr="00EC1ECB" w:rsidRDefault="00EC1ECB" w:rsidP="00EC1ECB">
      <w:pPr>
        <w:pStyle w:val="Prrafodelista"/>
        <w:rPr>
          <w:rFonts w:ascii="Palatino Linotype" w:hAnsi="Palatino Linotype"/>
          <w:sz w:val="24"/>
        </w:rPr>
      </w:pPr>
    </w:p>
    <w:p w14:paraId="7165AB9E" w14:textId="77777777" w:rsidR="00EC1ECB" w:rsidRDefault="00EC1ECB" w:rsidP="00B113A4">
      <w:pPr>
        <w:pStyle w:val="Prrafodelista"/>
        <w:spacing w:line="360" w:lineRule="auto"/>
        <w:ind w:left="0"/>
        <w:jc w:val="both"/>
        <w:rPr>
          <w:rFonts w:ascii="Palatino Linotype" w:hAnsi="Palatino Linotype"/>
          <w:sz w:val="24"/>
        </w:rPr>
      </w:pPr>
    </w:p>
    <w:p w14:paraId="1C8501E3" w14:textId="6A3410E5" w:rsidR="00B113A4" w:rsidRPr="00B113A4" w:rsidRDefault="00B113A4" w:rsidP="00B113A4">
      <w:pPr>
        <w:pStyle w:val="Prrafodelista"/>
        <w:spacing w:line="360" w:lineRule="auto"/>
        <w:ind w:left="0"/>
        <w:jc w:val="center"/>
        <w:rPr>
          <w:rFonts w:ascii="Palatino Linotype" w:hAnsi="Palatino Linotype"/>
          <w:b/>
          <w:i/>
        </w:rPr>
      </w:pPr>
      <w:r w:rsidRPr="00B113A4">
        <w:rPr>
          <w:rFonts w:ascii="Palatino Linotype" w:hAnsi="Palatino Linotype"/>
          <w:b/>
          <w:i/>
        </w:rPr>
        <w:t>CAPÍTULO IV</w:t>
      </w:r>
    </w:p>
    <w:p w14:paraId="41753C97" w14:textId="6A78FEA0" w:rsidR="00B113A4" w:rsidRPr="00B113A4" w:rsidRDefault="00B113A4" w:rsidP="00B113A4">
      <w:pPr>
        <w:pStyle w:val="Prrafodelista"/>
        <w:spacing w:line="360" w:lineRule="auto"/>
        <w:ind w:left="0"/>
        <w:jc w:val="center"/>
        <w:rPr>
          <w:rFonts w:ascii="Palatino Linotype" w:hAnsi="Palatino Linotype"/>
          <w:b/>
          <w:i/>
        </w:rPr>
      </w:pPr>
      <w:r w:rsidRPr="00B113A4">
        <w:rPr>
          <w:rFonts w:ascii="Palatino Linotype" w:hAnsi="Palatino Linotype"/>
          <w:b/>
          <w:i/>
        </w:rPr>
        <w:t>DE LAS ATRIBUCIONES DE LAS</w:t>
      </w:r>
    </w:p>
    <w:p w14:paraId="7295BFCA" w14:textId="3ECD2D5F" w:rsidR="00B113A4" w:rsidRPr="00B113A4" w:rsidRDefault="00B113A4" w:rsidP="00B113A4">
      <w:pPr>
        <w:pStyle w:val="Prrafodelista"/>
        <w:spacing w:line="360" w:lineRule="auto"/>
        <w:ind w:left="0"/>
        <w:jc w:val="center"/>
        <w:rPr>
          <w:rFonts w:ascii="Palatino Linotype" w:hAnsi="Palatino Linotype"/>
          <w:b/>
          <w:i/>
        </w:rPr>
      </w:pPr>
      <w:r w:rsidRPr="00B113A4">
        <w:rPr>
          <w:rFonts w:ascii="Palatino Linotype" w:hAnsi="Palatino Linotype"/>
          <w:b/>
          <w:i/>
        </w:rPr>
        <w:t>UNIDADES ADMINISTRATIVAS DE LA SECRETARÍA</w:t>
      </w:r>
    </w:p>
    <w:p w14:paraId="42AD797E" w14:textId="77777777" w:rsidR="00B113A4" w:rsidRDefault="00B113A4" w:rsidP="00B113A4">
      <w:pPr>
        <w:pStyle w:val="Prrafodelista"/>
        <w:spacing w:line="360" w:lineRule="auto"/>
        <w:ind w:left="0"/>
        <w:jc w:val="center"/>
        <w:rPr>
          <w:rFonts w:ascii="Palatino Linotype" w:hAnsi="Palatino Linotype"/>
          <w:b/>
          <w:i/>
        </w:rPr>
      </w:pPr>
      <w:r w:rsidRPr="00B113A4">
        <w:rPr>
          <w:rFonts w:ascii="Palatino Linotype" w:hAnsi="Palatino Linotype"/>
          <w:b/>
          <w:i/>
        </w:rPr>
        <w:t xml:space="preserve">SECCIÓN </w:t>
      </w:r>
    </w:p>
    <w:p w14:paraId="2E8F96E6" w14:textId="3CFFDA75" w:rsidR="00B113A4" w:rsidRPr="00B113A4" w:rsidRDefault="00B113A4" w:rsidP="00B113A4">
      <w:pPr>
        <w:pStyle w:val="Prrafodelista"/>
        <w:spacing w:line="360" w:lineRule="auto"/>
        <w:ind w:left="0"/>
        <w:jc w:val="center"/>
        <w:rPr>
          <w:rFonts w:ascii="Palatino Linotype" w:hAnsi="Palatino Linotype"/>
          <w:b/>
          <w:i/>
          <w:sz w:val="24"/>
        </w:rPr>
      </w:pPr>
      <w:r w:rsidRPr="00B113A4">
        <w:rPr>
          <w:rFonts w:ascii="Palatino Linotype" w:hAnsi="Palatino Linotype"/>
          <w:b/>
          <w:i/>
        </w:rPr>
        <w:t>I DE LAS DIRECCIONES GENERALES</w:t>
      </w:r>
      <w:r w:rsidR="0037757D">
        <w:rPr>
          <w:rStyle w:val="Refdenotaalpie"/>
          <w:rFonts w:ascii="Palatino Linotype" w:hAnsi="Palatino Linotype"/>
          <w:b/>
          <w:i/>
        </w:rPr>
        <w:footnoteReference w:id="3"/>
      </w:r>
    </w:p>
    <w:p w14:paraId="605268E8" w14:textId="77777777" w:rsidR="00B113A4" w:rsidRPr="00B113A4" w:rsidRDefault="00B113A4" w:rsidP="00B113A4">
      <w:pPr>
        <w:pStyle w:val="Prrafodelista"/>
        <w:spacing w:line="360" w:lineRule="auto"/>
        <w:jc w:val="both"/>
        <w:rPr>
          <w:rFonts w:ascii="Palatino Linotype" w:hAnsi="Palatino Linotype"/>
          <w:i/>
          <w:sz w:val="24"/>
        </w:rPr>
      </w:pPr>
    </w:p>
    <w:p w14:paraId="548F6C7D" w14:textId="5937C481" w:rsidR="00B113A4" w:rsidRPr="00B113A4" w:rsidRDefault="00B113A4" w:rsidP="00B113A4">
      <w:pPr>
        <w:pStyle w:val="Prrafodelista"/>
        <w:spacing w:line="360" w:lineRule="auto"/>
        <w:jc w:val="both"/>
        <w:rPr>
          <w:rFonts w:ascii="Palatino Linotype" w:hAnsi="Palatino Linotype"/>
          <w:b/>
          <w:i/>
          <w:sz w:val="24"/>
        </w:rPr>
      </w:pPr>
      <w:r w:rsidRPr="00B113A4">
        <w:rPr>
          <w:rFonts w:ascii="Palatino Linotype" w:hAnsi="Palatino Linotype"/>
          <w:b/>
          <w:i/>
        </w:rPr>
        <w:t>Artículo 11. Corresponde a la Dirección General de Control Urbano:</w:t>
      </w:r>
    </w:p>
    <w:p w14:paraId="1D41D9F1" w14:textId="77777777" w:rsidR="00B113A4" w:rsidRPr="00B113A4" w:rsidRDefault="00B113A4" w:rsidP="00B113A4">
      <w:pPr>
        <w:pStyle w:val="Prrafodelista"/>
        <w:spacing w:line="360" w:lineRule="auto"/>
        <w:jc w:val="both"/>
        <w:rPr>
          <w:rFonts w:ascii="Palatino Linotype" w:hAnsi="Palatino Linotype"/>
          <w:b/>
          <w:i/>
          <w:sz w:val="24"/>
        </w:rPr>
      </w:pPr>
    </w:p>
    <w:p w14:paraId="2F501959" w14:textId="77777777" w:rsidR="00B113A4" w:rsidRPr="00B113A4" w:rsidRDefault="00B113A4" w:rsidP="00B113A4">
      <w:pPr>
        <w:pStyle w:val="Prrafodelista"/>
        <w:spacing w:line="360" w:lineRule="auto"/>
        <w:jc w:val="both"/>
        <w:rPr>
          <w:rFonts w:ascii="Palatino Linotype" w:hAnsi="Palatino Linotype"/>
          <w:b/>
          <w:i/>
        </w:rPr>
      </w:pPr>
      <w:r w:rsidRPr="00B113A4">
        <w:rPr>
          <w:rFonts w:ascii="Palatino Linotype" w:hAnsi="Palatino Linotype"/>
          <w:b/>
          <w:i/>
        </w:rPr>
        <w:t xml:space="preserve">I. Supervisar, conjuntamente con las autoridades estatales y municipales competentes, la ejecución de las obras de infraestructura, urbanización y equipamiento urbano, derivadas de las autorizaciones de fraccionamientos, conjuntos urbanos, subdivisiones y condominios. </w:t>
      </w:r>
    </w:p>
    <w:p w14:paraId="2EC7C823" w14:textId="77777777" w:rsidR="00B113A4" w:rsidRPr="00B113A4" w:rsidRDefault="00B113A4" w:rsidP="00B113A4">
      <w:pPr>
        <w:pStyle w:val="Prrafodelista"/>
        <w:spacing w:line="360" w:lineRule="auto"/>
        <w:jc w:val="both"/>
        <w:rPr>
          <w:rFonts w:ascii="Palatino Linotype" w:hAnsi="Palatino Linotype"/>
          <w:b/>
          <w:i/>
        </w:rPr>
      </w:pPr>
      <w:r w:rsidRPr="00B113A4">
        <w:rPr>
          <w:rFonts w:ascii="Palatino Linotype" w:hAnsi="Palatino Linotype"/>
          <w:b/>
          <w:i/>
        </w:rPr>
        <w:t xml:space="preserve">II. Coordinar con los municipios y las autoridades estatales que correspondan la entrega y recepción de las obras de infraestructura, urbanización y equipamiento urbano que establezcan los acuerdos de autorización de los fraccionamientos, conjuntos urbanos y subdivisiones de predios autorizados. </w:t>
      </w:r>
    </w:p>
    <w:p w14:paraId="1041EAD9"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III. Coordinar con los municipios la entrega, recepción y transmisión de la propiedad de las áreas de donación municipal que establezcan los acuerdos de autorización de fraccionamientos, conjuntos urbanos, subdivisiones y condominios. </w:t>
      </w:r>
    </w:p>
    <w:p w14:paraId="37C852CC"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lastRenderedPageBreak/>
        <w:t xml:space="preserve">IV. Solicitar y entregar la información y documentación que se requiera a la autoridad correspondiente de la Secretaría de Finanzas, para que se lleve a cabo la reclamación o el requerimiento de pago de las pólizas de fianzas que garanticen, a favor del Gobierno del Estado de México, la construcción de las obras de urbanización, equipamiento urbano y, en su caso, de infraestructura primaria, derivado del incumplimiento de las obligaciones establecidas en los acuerdos de autorización de fraccionamientos, conjuntos urbanos, condominios y subdivisiones de predios. </w:t>
      </w:r>
    </w:p>
    <w:p w14:paraId="4B57F530" w14:textId="77777777" w:rsidR="00B113A4" w:rsidRPr="00B113A4" w:rsidRDefault="00B113A4" w:rsidP="00B113A4">
      <w:pPr>
        <w:pStyle w:val="Prrafodelista"/>
        <w:spacing w:line="360" w:lineRule="auto"/>
        <w:jc w:val="both"/>
        <w:rPr>
          <w:rFonts w:ascii="Palatino Linotype" w:hAnsi="Palatino Linotype"/>
          <w:b/>
          <w:i/>
        </w:rPr>
      </w:pPr>
      <w:r w:rsidRPr="00B113A4">
        <w:rPr>
          <w:rFonts w:ascii="Palatino Linotype" w:hAnsi="Palatino Linotype"/>
          <w:b/>
          <w:i/>
        </w:rPr>
        <w:t xml:space="preserve">V. Coordinar con las dependencias u organismos auxiliares estatales, la entrega y recepción de las obras de equipamiento urbano regional. </w:t>
      </w:r>
    </w:p>
    <w:p w14:paraId="5110ED83"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VI. Coordinarse con las dependencias federales, estatales y municipales para el ejercicio de sus funciones y, en su caso, solicitar el auxilio de la fuerza pública. </w:t>
      </w:r>
    </w:p>
    <w:p w14:paraId="4127095B"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VII. Determinar el incumplimiento de las obligaciones previstas en los acuerdos de autorización de fraccionamientos, conjuntos urbanos, subdivisiones y condominios, en materia de áreas de donación y ejecución de las obras de infraestructura, urbanización y equipamiento urbano e informar lo conducente a la Dirección General de Operación Urbana. </w:t>
      </w:r>
    </w:p>
    <w:p w14:paraId="13281EBB"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VIII. Solicitar los proyectos arquitectónicos de las obras de equipamiento urbano, establecidas en los acuerdos de autorización de fraccionamientos, conjuntos urbanos, subdivisiones y condominios. </w:t>
      </w:r>
    </w:p>
    <w:p w14:paraId="0D9EE0DB"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IX. Realizar la apertura y autorizar el cierre de la bitácora de supervisión de las obras de urbanización, equipamiento urbano e infraestructura primaria, establecidas en los acuerdos de autorización de fraccionamientos, conjuntos urbanos, subdivisiones y condominios. </w:t>
      </w:r>
    </w:p>
    <w:p w14:paraId="5B398782" w14:textId="77777777" w:rsidR="00B113A4" w:rsidRP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t xml:space="preserve">X. Coordinar la recepción, entrega y transmisión de propiedad de las áreas de donación estatal que se ubiquen dentro de los conjuntos urbanos, subdivisiones y condominios, con la unidad administrativa encargada de su incorporación al patrimonio inmobiliario del Estado. </w:t>
      </w:r>
    </w:p>
    <w:p w14:paraId="0252C6ED" w14:textId="491060AA" w:rsidR="00B113A4" w:rsidRDefault="00B113A4" w:rsidP="00B113A4">
      <w:pPr>
        <w:pStyle w:val="Prrafodelista"/>
        <w:spacing w:line="360" w:lineRule="auto"/>
        <w:jc w:val="both"/>
        <w:rPr>
          <w:rFonts w:ascii="Palatino Linotype" w:hAnsi="Palatino Linotype"/>
          <w:i/>
        </w:rPr>
      </w:pPr>
      <w:r w:rsidRPr="00B113A4">
        <w:rPr>
          <w:rFonts w:ascii="Palatino Linotype" w:hAnsi="Palatino Linotype"/>
          <w:i/>
        </w:rPr>
        <w:lastRenderedPageBreak/>
        <w:t>XI. Las demás que le confieren otros ordenamientos legales y aquellas que le encomiende el Secretario.</w:t>
      </w:r>
    </w:p>
    <w:p w14:paraId="26FDDD3D" w14:textId="77777777" w:rsidR="00B113A4" w:rsidRPr="00B113A4" w:rsidRDefault="00B113A4" w:rsidP="00B113A4">
      <w:pPr>
        <w:spacing w:line="360" w:lineRule="auto"/>
        <w:jc w:val="both"/>
        <w:rPr>
          <w:rFonts w:ascii="Palatino Linotype" w:hAnsi="Palatino Linotype"/>
          <w:i/>
          <w:sz w:val="24"/>
        </w:rPr>
      </w:pPr>
    </w:p>
    <w:p w14:paraId="3852AF8A" w14:textId="65F5EBA2" w:rsidR="00876227" w:rsidRDefault="00876227"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La Dirección General de Control Urbano, tiene la atribución de supervisar en conjunto con las autoridad</w:t>
      </w:r>
      <w:r w:rsidR="00785642">
        <w:rPr>
          <w:rFonts w:ascii="Palatino Linotype" w:hAnsi="Palatino Linotype"/>
          <w:sz w:val="24"/>
        </w:rPr>
        <w:t>es estatales y municipales, la ejecución de obras de infraestructura, urbanización y equipamiento urbano, así como coordinar la entrega y recepción de las mismas.</w:t>
      </w:r>
    </w:p>
    <w:p w14:paraId="67854414" w14:textId="77777777" w:rsidR="00876227" w:rsidRPr="00876227" w:rsidRDefault="00876227" w:rsidP="00876227">
      <w:pPr>
        <w:spacing w:line="360" w:lineRule="auto"/>
        <w:jc w:val="both"/>
        <w:rPr>
          <w:rFonts w:ascii="Palatino Linotype" w:hAnsi="Palatino Linotype"/>
          <w:sz w:val="24"/>
        </w:rPr>
      </w:pPr>
    </w:p>
    <w:p w14:paraId="585BF1E2" w14:textId="57250099" w:rsidR="007F555B" w:rsidRDefault="00B113A4"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Por su parte, l</w:t>
      </w:r>
      <w:r w:rsidR="007F555B">
        <w:rPr>
          <w:rFonts w:ascii="Palatino Linotype" w:hAnsi="Palatino Linotype"/>
          <w:sz w:val="24"/>
        </w:rPr>
        <w:t xml:space="preserve">a Dirección General de Proyectos, Concursos y Contratos tiene como objeto </w:t>
      </w:r>
      <w:r w:rsidR="007F555B">
        <w:rPr>
          <w:rFonts w:ascii="Palatino Linotype" w:hAnsi="Palatino Linotype"/>
          <w:i/>
          <w:sz w:val="24"/>
        </w:rPr>
        <w:t xml:space="preserve">vigilar y garantizar que la programación, presupuestación, control y evaluación de los proyectos de obras públicas, convocatorias para licitaciones públicas, invitaciones restringidas, de adjudicación directa y servicios afines, cumplan con la normatividad aplicable en la materia, así como gestionar las autorizaciones de pago ante las instancias correspondientes; </w:t>
      </w:r>
      <w:r w:rsidR="007F555B">
        <w:rPr>
          <w:rFonts w:ascii="Palatino Linotype" w:hAnsi="Palatino Linotype"/>
          <w:sz w:val="24"/>
        </w:rPr>
        <w:t>y, entre sus funciones destacan:</w:t>
      </w:r>
    </w:p>
    <w:p w14:paraId="73F5C206" w14:textId="77777777" w:rsidR="007F555B" w:rsidRPr="007F555B" w:rsidRDefault="007F555B" w:rsidP="007F555B">
      <w:pPr>
        <w:pStyle w:val="Prrafodelista"/>
        <w:spacing w:line="360" w:lineRule="auto"/>
        <w:ind w:left="0"/>
        <w:jc w:val="both"/>
        <w:rPr>
          <w:rFonts w:ascii="Palatino Linotype" w:hAnsi="Palatino Linotype"/>
          <w:sz w:val="24"/>
        </w:rPr>
      </w:pPr>
    </w:p>
    <w:p w14:paraId="3C739910" w14:textId="2643B90D" w:rsidR="00EC1ECB" w:rsidRPr="00EC1ECB" w:rsidRDefault="00EC1ECB" w:rsidP="00EC1ECB">
      <w:pPr>
        <w:pStyle w:val="Prrafodelista"/>
        <w:spacing w:line="360" w:lineRule="auto"/>
        <w:ind w:left="0"/>
        <w:jc w:val="center"/>
        <w:rPr>
          <w:rFonts w:ascii="Palatino Linotype" w:hAnsi="Palatino Linotype"/>
          <w:b/>
          <w:i/>
          <w:szCs w:val="22"/>
        </w:rPr>
      </w:pPr>
      <w:r w:rsidRPr="00EC1ECB">
        <w:rPr>
          <w:rFonts w:ascii="Palatino Linotype" w:hAnsi="Palatino Linotype"/>
          <w:b/>
          <w:i/>
          <w:szCs w:val="22"/>
        </w:rPr>
        <w:t>CAPÍTULO V</w:t>
      </w:r>
    </w:p>
    <w:p w14:paraId="27618C8A" w14:textId="0A68A691" w:rsidR="00EC1ECB" w:rsidRPr="00EC1ECB" w:rsidRDefault="00EC1ECB" w:rsidP="00EC1ECB">
      <w:pPr>
        <w:pStyle w:val="Prrafodelista"/>
        <w:spacing w:line="360" w:lineRule="auto"/>
        <w:ind w:left="0"/>
        <w:jc w:val="center"/>
        <w:rPr>
          <w:rFonts w:ascii="Palatino Linotype" w:hAnsi="Palatino Linotype"/>
          <w:b/>
          <w:i/>
          <w:szCs w:val="22"/>
        </w:rPr>
      </w:pPr>
      <w:r w:rsidRPr="00EC1ECB">
        <w:rPr>
          <w:rFonts w:ascii="Palatino Linotype" w:hAnsi="Palatino Linotype"/>
          <w:b/>
          <w:i/>
          <w:szCs w:val="22"/>
        </w:rPr>
        <w:t>DE LAS ATRIBUCIONES ESPECÍFICAS DE LAS DIRECCIONES GENERALES, COORDINACIONES Y DIRECCIÓN</w:t>
      </w:r>
      <w:r w:rsidR="0037757D">
        <w:rPr>
          <w:rStyle w:val="Refdenotaalpie"/>
          <w:rFonts w:ascii="Palatino Linotype" w:hAnsi="Palatino Linotype"/>
          <w:b/>
          <w:i/>
          <w:szCs w:val="22"/>
        </w:rPr>
        <w:footnoteReference w:id="4"/>
      </w:r>
    </w:p>
    <w:p w14:paraId="4584F6AB" w14:textId="77777777" w:rsidR="00EC1ECB" w:rsidRPr="00EC1ECB" w:rsidRDefault="00EC1ECB" w:rsidP="00EC1ECB">
      <w:pPr>
        <w:pStyle w:val="Prrafodelista"/>
        <w:spacing w:line="360" w:lineRule="auto"/>
        <w:ind w:left="0"/>
        <w:jc w:val="both"/>
        <w:rPr>
          <w:rFonts w:ascii="Palatino Linotype" w:hAnsi="Palatino Linotype"/>
          <w:i/>
          <w:szCs w:val="22"/>
        </w:rPr>
      </w:pPr>
    </w:p>
    <w:p w14:paraId="18F7C6E1" w14:textId="6F94A37C" w:rsidR="00EC1ECB" w:rsidRPr="00EC1ECB" w:rsidRDefault="00EC1ECB" w:rsidP="00EC1ECB">
      <w:pPr>
        <w:pStyle w:val="Prrafodelista"/>
        <w:spacing w:line="360" w:lineRule="auto"/>
        <w:ind w:left="567" w:right="822"/>
        <w:jc w:val="both"/>
        <w:rPr>
          <w:rFonts w:ascii="Palatino Linotype" w:hAnsi="Palatino Linotype"/>
          <w:i/>
        </w:rPr>
      </w:pPr>
      <w:r w:rsidRPr="00EC1ECB">
        <w:rPr>
          <w:rFonts w:ascii="Palatino Linotype" w:hAnsi="Palatino Linotype"/>
          <w:i/>
        </w:rPr>
        <w:t>Artículo 11. Corresponde a la Dirección General de Proyectos, Concursos y Contratos, las atribuciones siguientes:</w:t>
      </w:r>
    </w:p>
    <w:p w14:paraId="3450BF23" w14:textId="77777777" w:rsidR="00EC1ECB" w:rsidRDefault="00EC1ECB" w:rsidP="00EC1ECB">
      <w:pPr>
        <w:pStyle w:val="Prrafodelista"/>
        <w:spacing w:line="360" w:lineRule="auto"/>
        <w:ind w:left="567" w:right="822"/>
        <w:jc w:val="both"/>
        <w:rPr>
          <w:rFonts w:ascii="Palatino Linotype" w:hAnsi="Palatino Linotype"/>
          <w:i/>
          <w:szCs w:val="22"/>
        </w:rPr>
      </w:pPr>
    </w:p>
    <w:p w14:paraId="6195CF26" w14:textId="0DDE61FB" w:rsidR="008579FC" w:rsidRPr="00EC1ECB" w:rsidRDefault="00EC1ECB" w:rsidP="00EC1ECB">
      <w:pPr>
        <w:pStyle w:val="Prrafodelista"/>
        <w:spacing w:line="360" w:lineRule="auto"/>
        <w:ind w:left="567" w:right="822"/>
        <w:jc w:val="both"/>
        <w:rPr>
          <w:rFonts w:ascii="Palatino Linotype" w:hAnsi="Palatino Linotype"/>
          <w:i/>
          <w:szCs w:val="22"/>
        </w:rPr>
      </w:pPr>
      <w:r w:rsidRPr="00EC1ECB">
        <w:rPr>
          <w:rFonts w:ascii="Palatino Linotype" w:hAnsi="Palatino Linotype"/>
          <w:i/>
          <w:szCs w:val="22"/>
        </w:rPr>
        <w:lastRenderedPageBreak/>
        <w:t>I. Integrar y proponer al Subsecretario, el proyecto de Programa General de Obras Públicas y Servicios Relacionados con las mismas del Gobierno del Estado, con las propuestas formuladas por las diversas dependencias y organismos auxiliares del Poder Ejecutivo, en congruencia con el Plan de Desarrollo del Estado de México y los programas que se deriven de éste;</w:t>
      </w:r>
    </w:p>
    <w:p w14:paraId="45472751" w14:textId="7DEA61B6" w:rsidR="008579FC" w:rsidRPr="00785642" w:rsidRDefault="00EC1ECB" w:rsidP="00EC1ECB">
      <w:pPr>
        <w:spacing w:line="360" w:lineRule="auto"/>
        <w:ind w:left="567" w:right="822"/>
        <w:jc w:val="both"/>
        <w:rPr>
          <w:rFonts w:ascii="Palatino Linotype" w:hAnsi="Palatino Linotype"/>
          <w:i/>
          <w:sz w:val="22"/>
          <w:szCs w:val="22"/>
        </w:rPr>
      </w:pPr>
      <w:r w:rsidRPr="00EC1ECB">
        <w:rPr>
          <w:rFonts w:ascii="Palatino Linotype" w:hAnsi="Palatino Linotype"/>
          <w:i/>
          <w:sz w:val="22"/>
          <w:szCs w:val="22"/>
        </w:rPr>
        <w:t xml:space="preserve">II. Impulsar, en coordinación con los distintos órdenes de gobierno, así como los sectores </w:t>
      </w:r>
      <w:r w:rsidRPr="00785642">
        <w:rPr>
          <w:rFonts w:ascii="Palatino Linotype" w:hAnsi="Palatino Linotype"/>
          <w:i/>
          <w:sz w:val="22"/>
          <w:szCs w:val="22"/>
        </w:rPr>
        <w:t>social y privado, obras públicas y los servicios relacionados con las mismas en sus diversas modalidades a fin de conjuntar recursos y esfuerzos, tomando en consideración las propuestas que formulen las diversas unidades administrativas de la Secretaría, que contribuyan al cumplimiento de sus atribuciones;</w:t>
      </w:r>
    </w:p>
    <w:p w14:paraId="37C04FA1" w14:textId="0A368BF3" w:rsidR="00EC1ECB" w:rsidRPr="00785642" w:rsidRDefault="00EC1ECB"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w:t>
      </w:r>
    </w:p>
    <w:p w14:paraId="571F5C2E" w14:textId="4896D6D5"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IV. Verificar que los proyectos de construcción, mantenimiento o modificación, en su caso, de las obras públicas relacionados con el equipamiento urbano, que no estén asignadas a otra dependencia, se ajusten a la normatividad aplicable en la materia y formular las observaciones que considere convenientes, para someterlas a consideración del Subsecretario;</w:t>
      </w:r>
    </w:p>
    <w:p w14:paraId="3CE70BDD" w14:textId="6A098FC7"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w:t>
      </w:r>
    </w:p>
    <w:p w14:paraId="5DBC896F" w14:textId="20FA499F"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IX. Realizar los procedimientos de las convocatorias para las licitaciones públicas, invitaciones restringidas, así como de adjudicación directa a cargo de la Secretaría, determinando a las personas físicas o jurídicas colectivas que se invitarán, preservando la documentación que se genere durante la realización de dichos procedimientos, para la debida integración de los expedientes respectivos;</w:t>
      </w:r>
    </w:p>
    <w:p w14:paraId="4C90B94E" w14:textId="77777777" w:rsidR="00785642" w:rsidRPr="00785642" w:rsidRDefault="00785642" w:rsidP="00EC1ECB">
      <w:pPr>
        <w:spacing w:line="360" w:lineRule="auto"/>
        <w:ind w:left="567" w:right="822"/>
        <w:jc w:val="both"/>
        <w:rPr>
          <w:rFonts w:ascii="Palatino Linotype" w:hAnsi="Palatino Linotype"/>
          <w:i/>
          <w:sz w:val="22"/>
          <w:szCs w:val="22"/>
        </w:rPr>
      </w:pPr>
    </w:p>
    <w:p w14:paraId="0BDDA2A8" w14:textId="6721C29F"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 xml:space="preserve">X. Publicar en la página de internet de la dependencia y en el Periódico Oficial “Gaceta del Gobierno”, las convocatorias para participar en concursos de proyectos de asociación </w:t>
      </w:r>
      <w:r w:rsidRPr="00785642">
        <w:rPr>
          <w:rFonts w:ascii="Palatino Linotype" w:hAnsi="Palatino Linotype"/>
          <w:i/>
          <w:sz w:val="22"/>
          <w:szCs w:val="22"/>
        </w:rPr>
        <w:lastRenderedPageBreak/>
        <w:t>público privada con las formalidades que establezcan las disposiciones legales en la materia, en los que se determinarán las características de las propuestas que serán recibidas para su consideración por la Secretaría;</w:t>
      </w:r>
    </w:p>
    <w:p w14:paraId="15344414" w14:textId="40575EA9"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w:t>
      </w:r>
    </w:p>
    <w:p w14:paraId="72D749A4" w14:textId="7B3F950E"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XV. Llevar a cabo los procedimientos de adjudicación y suscribir los dictámenes y actas correspondientes derivados de la evaluación técnica y económica, así como dar a conocer el fallo a los participantes; dentro del término y la normatividad que establece la ley en la materia, teniendo facultades para descalificar a aquellos que no cumplan con los requisitos;</w:t>
      </w:r>
    </w:p>
    <w:p w14:paraId="51463737" w14:textId="22682A84"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w:t>
      </w:r>
    </w:p>
    <w:p w14:paraId="1133CD64" w14:textId="03AE8A0E"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XXVII. Tramitar ante las autoridades correspondientes los dictámenes, permisos, licencias, derechos de bancos de materiales, así como las demás autorizaciones que conforme a los trabajos a ejecutar sean requeridas para la realización de obras públicas y en su caso los servicios relacionados con las mismas a cargo de la Secretaría;</w:t>
      </w:r>
    </w:p>
    <w:p w14:paraId="59F2E98A" w14:textId="660366D3"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w:t>
      </w:r>
    </w:p>
    <w:p w14:paraId="2B8CA48A" w14:textId="4A88D5C7" w:rsidR="00785642" w:rsidRPr="00785642" w:rsidRDefault="00785642" w:rsidP="00EC1ECB">
      <w:pPr>
        <w:spacing w:line="360" w:lineRule="auto"/>
        <w:ind w:left="567" w:right="822"/>
        <w:jc w:val="both"/>
        <w:rPr>
          <w:rFonts w:ascii="Palatino Linotype" w:hAnsi="Palatino Linotype"/>
          <w:i/>
          <w:sz w:val="22"/>
          <w:szCs w:val="22"/>
        </w:rPr>
      </w:pPr>
      <w:r w:rsidRPr="00785642">
        <w:rPr>
          <w:rFonts w:ascii="Palatino Linotype" w:hAnsi="Palatino Linotype"/>
          <w:i/>
          <w:sz w:val="22"/>
          <w:szCs w:val="22"/>
        </w:rPr>
        <w:t>XXXI. Integrar y mantener actualizado el Registro de Obras Públicas y Servicios relacionados con las mismas;</w:t>
      </w:r>
    </w:p>
    <w:p w14:paraId="6AE94224" w14:textId="77777777" w:rsidR="008579FC" w:rsidRPr="008579FC" w:rsidRDefault="008579FC" w:rsidP="008579FC">
      <w:pPr>
        <w:pStyle w:val="Prrafodelista"/>
        <w:spacing w:line="360" w:lineRule="auto"/>
        <w:ind w:left="0"/>
        <w:jc w:val="both"/>
        <w:rPr>
          <w:rFonts w:ascii="Palatino Linotype" w:hAnsi="Palatino Linotype"/>
          <w:sz w:val="24"/>
        </w:rPr>
      </w:pPr>
    </w:p>
    <w:p w14:paraId="4DDA74BD" w14:textId="2DB6E729" w:rsidR="00785642" w:rsidRDefault="00785642"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La Dirección General de Proyectos, Concursos y Contratos, tiene la atribución para integrar el proyecto de Programa General de Obras Públicas y Servicios Relacionados del Gobierno del Estado de México, asimismo, tiene la alta responsabilidad de realizar los procedimientos de convocatoria para las licitaciones públ</w:t>
      </w:r>
      <w:r w:rsidR="00C9250D">
        <w:rPr>
          <w:rFonts w:ascii="Palatino Linotype" w:hAnsi="Palatino Linotype"/>
          <w:sz w:val="24"/>
        </w:rPr>
        <w:t>icas, invitaciones restringidas, además, debe de integrar y mantener actualizado el registro de Obras Públicas y Servicios relacionados.</w:t>
      </w:r>
    </w:p>
    <w:p w14:paraId="0C4FB2F3" w14:textId="77777777" w:rsidR="00785642" w:rsidRPr="00785642" w:rsidRDefault="00785642" w:rsidP="00785642">
      <w:pPr>
        <w:spacing w:line="360" w:lineRule="auto"/>
        <w:jc w:val="both"/>
        <w:rPr>
          <w:rFonts w:ascii="Palatino Linotype" w:hAnsi="Palatino Linotype"/>
          <w:sz w:val="24"/>
        </w:rPr>
      </w:pPr>
    </w:p>
    <w:p w14:paraId="119B5FE2" w14:textId="0E0F823F" w:rsidR="008579FC" w:rsidRDefault="0037757D" w:rsidP="004B7E50">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lastRenderedPageBreak/>
        <w:t xml:space="preserve">Ambas direcciones tienen la facultad, atribución y competencia para coordinarse con las entidades públicas estatales y municipales para la entrega de las obras públicas que se realicen, así como el de proponer el Programa General de Obras Públicas y Servicios relacionados; es decir, </w:t>
      </w:r>
      <w:r w:rsidR="00C9250D">
        <w:rPr>
          <w:rFonts w:ascii="Palatino Linotype" w:hAnsi="Palatino Linotype"/>
          <w:sz w:val="24"/>
        </w:rPr>
        <w:t xml:space="preserve">en caso de que </w:t>
      </w:r>
      <w:r>
        <w:rPr>
          <w:rFonts w:ascii="Palatino Linotype" w:hAnsi="Palatino Linotype"/>
          <w:sz w:val="24"/>
        </w:rPr>
        <w:t xml:space="preserve">la información </w:t>
      </w:r>
      <w:r w:rsidR="00C9250D">
        <w:rPr>
          <w:rFonts w:ascii="Palatino Linotype" w:hAnsi="Palatino Linotype"/>
          <w:sz w:val="24"/>
        </w:rPr>
        <w:t>haya sido</w:t>
      </w:r>
      <w:r>
        <w:rPr>
          <w:rFonts w:ascii="Palatino Linotype" w:hAnsi="Palatino Linotype"/>
          <w:sz w:val="24"/>
        </w:rPr>
        <w:t xml:space="preserve"> genera</w:t>
      </w:r>
      <w:r w:rsidR="00C9250D">
        <w:rPr>
          <w:rFonts w:ascii="Palatino Linotype" w:hAnsi="Palatino Linotype"/>
          <w:sz w:val="24"/>
        </w:rPr>
        <w:t>da</w:t>
      </w:r>
      <w:r>
        <w:rPr>
          <w:rFonts w:ascii="Palatino Linotype" w:hAnsi="Palatino Linotype"/>
          <w:sz w:val="24"/>
        </w:rPr>
        <w:t>, las áreas que de acuerdo a sus facultades, atribuciones y competencias, que debieran contar con la información son la Dirección General de Operación y Control Urbano y/o Dirección General de Proyectos, Concursos y Contratos</w:t>
      </w:r>
    </w:p>
    <w:p w14:paraId="41430FF5" w14:textId="77777777" w:rsidR="0037757D" w:rsidRPr="0037757D" w:rsidRDefault="0037757D" w:rsidP="0037757D">
      <w:pPr>
        <w:spacing w:line="360" w:lineRule="auto"/>
        <w:jc w:val="both"/>
        <w:rPr>
          <w:rFonts w:ascii="Palatino Linotype" w:hAnsi="Palatino Linotype"/>
          <w:sz w:val="24"/>
        </w:rPr>
      </w:pPr>
    </w:p>
    <w:p w14:paraId="015B0B40" w14:textId="77777777" w:rsidR="004B7E50" w:rsidRPr="004B7E50" w:rsidRDefault="004B7E50" w:rsidP="004B7E50">
      <w:pPr>
        <w:pStyle w:val="Prrafodelista"/>
        <w:rPr>
          <w:rFonts w:ascii="Palatino Linotype" w:hAnsi="Palatino Linotype" w:cs="Arial"/>
          <w:sz w:val="24"/>
        </w:rPr>
      </w:pPr>
    </w:p>
    <w:p w14:paraId="1CCB52DF" w14:textId="74D03105" w:rsidR="004B7E50" w:rsidRPr="00BB52AE" w:rsidRDefault="00BB52AE" w:rsidP="00BB52AE">
      <w:pPr>
        <w:pStyle w:val="Prrafodelista"/>
        <w:numPr>
          <w:ilvl w:val="0"/>
          <w:numId w:val="3"/>
        </w:numPr>
        <w:spacing w:before="100" w:beforeAutospacing="1" w:after="100" w:afterAutospacing="1" w:line="360" w:lineRule="auto"/>
        <w:ind w:left="0" w:right="49" w:firstLine="0"/>
        <w:jc w:val="both"/>
        <w:rPr>
          <w:rFonts w:ascii="Palatino Linotype" w:hAnsi="Palatino Linotype" w:cs="Arial"/>
          <w:sz w:val="24"/>
        </w:rPr>
      </w:pPr>
      <w:r>
        <w:rPr>
          <w:rFonts w:ascii="Palatino Linotype" w:hAnsi="Palatino Linotype"/>
          <w:sz w:val="24"/>
        </w:rPr>
        <w:t xml:space="preserve">En ese sentido, al haberse manifestado en relación a que, no se ha generado la información, este Instituto no puede dudar de la veracidad de la información que proporcionen los Sujetos Obligados; </w:t>
      </w:r>
      <w:r w:rsidR="004B7E50" w:rsidRPr="00BB52AE">
        <w:rPr>
          <w:rFonts w:ascii="Palatino Linotype" w:hAnsi="Palatino Linotype"/>
          <w:sz w:val="24"/>
        </w:rPr>
        <w:t>Sirve de apoyo a lo anterior por analogía el criterio 31-10 emitido por el entonces Instituto Federal de Acceso a la Información y Protección de Datos, que a la letra dice:</w:t>
      </w:r>
    </w:p>
    <w:p w14:paraId="3F36E677" w14:textId="77777777" w:rsidR="004B7E50" w:rsidRPr="004B7E50" w:rsidRDefault="004B7E50" w:rsidP="004B7E50">
      <w:pPr>
        <w:pStyle w:val="Prrafodelista"/>
        <w:rPr>
          <w:rFonts w:ascii="Palatino Linotype" w:hAnsi="Palatino Linotype"/>
          <w:sz w:val="24"/>
        </w:rPr>
      </w:pPr>
    </w:p>
    <w:p w14:paraId="38344413" w14:textId="77777777" w:rsidR="004B7E50" w:rsidRPr="004B7E50" w:rsidRDefault="004B7E50" w:rsidP="004B7E50">
      <w:pPr>
        <w:autoSpaceDE w:val="0"/>
        <w:autoSpaceDN w:val="0"/>
        <w:adjustRightInd w:val="0"/>
        <w:spacing w:line="360" w:lineRule="auto"/>
        <w:ind w:left="567" w:right="567"/>
        <w:jc w:val="both"/>
        <w:rPr>
          <w:rFonts w:ascii="Palatino Linotype" w:hAnsi="Palatino Linotype"/>
          <w:i/>
          <w:iCs/>
          <w:sz w:val="22"/>
          <w:szCs w:val="24"/>
        </w:rPr>
      </w:pPr>
      <w:r w:rsidRPr="004B7E50">
        <w:rPr>
          <w:rFonts w:ascii="Palatino Linotype" w:hAnsi="Palatino Linotype"/>
          <w:b/>
          <w:i/>
          <w:iCs/>
          <w:sz w:val="22"/>
          <w:szCs w:val="24"/>
        </w:rPr>
        <w:t>El Instituto Federal de Acceso a la Información y Protección de Datos </w:t>
      </w:r>
      <w:r w:rsidRPr="004B7E50">
        <w:rPr>
          <w:rFonts w:ascii="Palatino Linotype" w:hAnsi="Palatino Linotype"/>
          <w:b/>
          <w:bCs/>
          <w:i/>
          <w:iCs/>
          <w:sz w:val="22"/>
          <w:szCs w:val="24"/>
        </w:rPr>
        <w:t>no cuenta con facultades para pronunciarse respecto de la veracidad de los documentos proporcionados por los sujetos obligados.</w:t>
      </w:r>
      <w:r w:rsidRPr="004B7E50">
        <w:rPr>
          <w:rFonts w:ascii="Palatino Linotype" w:hAnsi="Palatino Linotype"/>
          <w:i/>
          <w:iCs/>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4B7E50">
        <w:rPr>
          <w:rFonts w:ascii="Palatino Linotype" w:hAnsi="Palatino Linotype"/>
          <w:i/>
          <w:iCs/>
          <w:sz w:val="22"/>
          <w:szCs w:val="24"/>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48247128" w14:textId="77777777" w:rsidR="004B7E50" w:rsidRPr="004B7E50" w:rsidRDefault="004B7E50" w:rsidP="004B7E50">
      <w:pPr>
        <w:autoSpaceDE w:val="0"/>
        <w:autoSpaceDN w:val="0"/>
        <w:adjustRightInd w:val="0"/>
        <w:spacing w:line="360" w:lineRule="auto"/>
        <w:ind w:left="567" w:right="567"/>
        <w:jc w:val="both"/>
        <w:rPr>
          <w:rFonts w:ascii="Palatino Linotype" w:hAnsi="Palatino Linotype"/>
          <w:i/>
          <w:iCs/>
          <w:sz w:val="24"/>
          <w:szCs w:val="24"/>
        </w:rPr>
      </w:pPr>
    </w:p>
    <w:p w14:paraId="3915E6B8" w14:textId="7320F0F7" w:rsidR="004B7E50" w:rsidRPr="004B7E50" w:rsidRDefault="004B7E50" w:rsidP="00483826">
      <w:pPr>
        <w:pStyle w:val="Prrafodelista"/>
        <w:numPr>
          <w:ilvl w:val="0"/>
          <w:numId w:val="3"/>
        </w:numPr>
        <w:autoSpaceDE w:val="0"/>
        <w:autoSpaceDN w:val="0"/>
        <w:adjustRightInd w:val="0"/>
        <w:spacing w:line="360" w:lineRule="auto"/>
        <w:ind w:left="0" w:right="113" w:firstLine="0"/>
        <w:jc w:val="both"/>
        <w:rPr>
          <w:rFonts w:ascii="Palatino Linotype" w:hAnsi="Palatino Linotype"/>
          <w:i/>
          <w:iCs/>
          <w:sz w:val="24"/>
        </w:rPr>
      </w:pPr>
      <w:r w:rsidRPr="004B7E50">
        <w:rPr>
          <w:rFonts w:ascii="Palatino Linotype" w:hAnsi="Palatino Linotype"/>
          <w:iCs/>
          <w:sz w:val="24"/>
        </w:rPr>
        <w:t xml:space="preserve">Es así que, con la respuesta que emitió el Sujeto Obligado es suficiente para satisfacer los requerimientos del particular, toda vez que, se le hizo de conocimiento que a la fecha de la solicitud y de la búsqueda de la información </w:t>
      </w:r>
      <w:r w:rsidR="00BB52AE">
        <w:rPr>
          <w:rFonts w:ascii="Palatino Linotype" w:hAnsi="Palatino Linotype"/>
          <w:iCs/>
          <w:sz w:val="24"/>
        </w:rPr>
        <w:t>se determinó que la información con los datos referidos no ha sido generada.</w:t>
      </w:r>
    </w:p>
    <w:p w14:paraId="1840FCDC" w14:textId="77777777" w:rsidR="004B7E50" w:rsidRPr="004B7E50" w:rsidRDefault="004B7E50" w:rsidP="00483826">
      <w:pPr>
        <w:pStyle w:val="Prrafodelista"/>
        <w:autoSpaceDE w:val="0"/>
        <w:autoSpaceDN w:val="0"/>
        <w:adjustRightInd w:val="0"/>
        <w:spacing w:line="360" w:lineRule="auto"/>
        <w:ind w:left="0" w:right="113"/>
        <w:jc w:val="both"/>
        <w:rPr>
          <w:rFonts w:ascii="Palatino Linotype" w:hAnsi="Palatino Linotype"/>
          <w:i/>
          <w:iCs/>
          <w:sz w:val="24"/>
        </w:rPr>
      </w:pPr>
    </w:p>
    <w:p w14:paraId="10313980" w14:textId="77777777" w:rsidR="004B7E50" w:rsidRPr="004B7E50" w:rsidRDefault="004B7E50" w:rsidP="00483826">
      <w:pPr>
        <w:numPr>
          <w:ilvl w:val="0"/>
          <w:numId w:val="3"/>
        </w:numPr>
        <w:tabs>
          <w:tab w:val="left" w:pos="426"/>
        </w:tabs>
        <w:spacing w:line="360" w:lineRule="auto"/>
        <w:ind w:left="0" w:right="113" w:firstLine="0"/>
        <w:contextualSpacing/>
        <w:jc w:val="both"/>
        <w:rPr>
          <w:rFonts w:ascii="Palatino Linotype" w:hAnsi="Palatino Linotype" w:cs="Arial"/>
          <w:color w:val="000000" w:themeColor="text1"/>
          <w:sz w:val="24"/>
          <w:szCs w:val="24"/>
        </w:rPr>
      </w:pPr>
      <w:r w:rsidRPr="004B7E50">
        <w:rPr>
          <w:rFonts w:ascii="Palatino Linotype" w:hAnsi="Palatino Linotype" w:cs="Arial"/>
          <w:color w:val="000000" w:themeColor="text1"/>
          <w:sz w:val="24"/>
          <w:szCs w:val="24"/>
        </w:rPr>
        <w:t>Lo anterior encuentra sustento con la Jurisprudencia 267,287 y el Criterio 10/2004 emitidos por el Máximo Juzgador del país, Tesis que determinan lo siguiente:</w:t>
      </w:r>
    </w:p>
    <w:p w14:paraId="4B77921B" w14:textId="77777777" w:rsidR="004B7E50" w:rsidRPr="004B7E50" w:rsidRDefault="004B7E50" w:rsidP="00C9250D">
      <w:pPr>
        <w:pStyle w:val="Prrafodelista"/>
        <w:tabs>
          <w:tab w:val="left" w:pos="426"/>
        </w:tabs>
        <w:spacing w:before="240" w:after="240" w:line="360" w:lineRule="auto"/>
        <w:ind w:left="567" w:right="567"/>
        <w:jc w:val="both"/>
        <w:rPr>
          <w:rFonts w:ascii="Palatino Linotype" w:hAnsi="Palatino Linotype" w:cs="Arial"/>
          <w:i/>
        </w:rPr>
      </w:pPr>
      <w:r w:rsidRPr="004B7E50">
        <w:rPr>
          <w:rFonts w:ascii="Palatino Linotype" w:hAnsi="Palatino Linotype" w:cs="Arial"/>
          <w:i/>
        </w:rPr>
        <w:t>“</w:t>
      </w:r>
      <w:r w:rsidRPr="004B7E50">
        <w:rPr>
          <w:rFonts w:ascii="Palatino Linotype" w:hAnsi="Palatino Linotype" w:cs="Arial"/>
          <w:b/>
          <w:i/>
        </w:rPr>
        <w:t>HECHOS NEGATIVOS, NO SON SUSCEPTIBLES DE DEMOSTRACION.</w:t>
      </w:r>
      <w:r w:rsidRPr="004B7E50">
        <w:rPr>
          <w:rFonts w:ascii="Palatino Linotype" w:hAnsi="Palatino Linotype" w:cs="Arial"/>
          <w:i/>
        </w:rPr>
        <w:t xml:space="preserve"> </w:t>
      </w:r>
      <w:r w:rsidRPr="004B7E50">
        <w:rPr>
          <w:rFonts w:ascii="Palatino Linotype" w:hAnsi="Palatino Linotype" w:cs="Arial"/>
          <w:b/>
          <w:i/>
        </w:rPr>
        <w:t>Tratándose de un hecho negativo, el Juez no tiene por que invocar prueba alguna de la que se desprenda</w:t>
      </w:r>
      <w:r w:rsidRPr="004B7E50">
        <w:rPr>
          <w:rFonts w:ascii="Palatino Linotype" w:hAnsi="Palatino Linotype" w:cs="Arial"/>
          <w:i/>
        </w:rPr>
        <w:t>, ya que es bien sabido que esta clase de hechos no son susceptibles de demostración.”</w:t>
      </w:r>
    </w:p>
    <w:p w14:paraId="452CEEE6" w14:textId="77777777" w:rsidR="004B7E50" w:rsidRPr="004B7E50" w:rsidRDefault="004B7E50" w:rsidP="00C9250D">
      <w:pPr>
        <w:pStyle w:val="Prrafodelista"/>
        <w:tabs>
          <w:tab w:val="left" w:pos="426"/>
        </w:tabs>
        <w:spacing w:before="240" w:after="240" w:line="360" w:lineRule="auto"/>
        <w:ind w:left="567" w:right="567"/>
        <w:jc w:val="both"/>
        <w:rPr>
          <w:rFonts w:ascii="Palatino Linotype" w:hAnsi="Palatino Linotype" w:cs="Arial"/>
          <w:i/>
        </w:rPr>
      </w:pPr>
    </w:p>
    <w:p w14:paraId="67D5C645" w14:textId="77777777" w:rsidR="004B7E50" w:rsidRPr="004B7E50" w:rsidRDefault="004B7E50" w:rsidP="00C9250D">
      <w:pPr>
        <w:pStyle w:val="Prrafodelista"/>
        <w:tabs>
          <w:tab w:val="left" w:pos="426"/>
        </w:tabs>
        <w:spacing w:before="240" w:after="240" w:line="360" w:lineRule="auto"/>
        <w:ind w:left="567" w:right="567"/>
        <w:jc w:val="both"/>
        <w:rPr>
          <w:rFonts w:ascii="Palatino Linotype" w:hAnsi="Palatino Linotype" w:cs="Arial"/>
          <w:i/>
        </w:rPr>
      </w:pPr>
      <w:r w:rsidRPr="004B7E50">
        <w:rPr>
          <w:rFonts w:ascii="Palatino Linotype" w:hAnsi="Palatino Linotype" w:cs="Arial"/>
          <w:i/>
        </w:rPr>
        <w:t>“</w:t>
      </w:r>
      <w:r w:rsidRPr="004B7E50">
        <w:rPr>
          <w:rFonts w:ascii="Palatino Linotype" w:hAnsi="Palatino Linotype" w:cs="Arial"/>
          <w:b/>
          <w:i/>
        </w:rPr>
        <w:t>INEXISTENCIA DE LA INFORMACIÓN. EL COMITÉ DE ACCESO A LA INFORMACIÓN PUEDE DECLARARLA ANTE SU EVIDENCIA, SIN NECESIDAD DE DICTAR MEDIDAS PARA SU LOCALIZACIÓN.</w:t>
      </w:r>
      <w:r w:rsidRPr="004B7E50">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w:t>
      </w:r>
      <w:r w:rsidRPr="004B7E50">
        <w:rPr>
          <w:rFonts w:ascii="Palatino Linotype" w:hAnsi="Palatino Linotype" w:cs="Arial"/>
          <w:i/>
        </w:rPr>
        <w:lastRenderedPageBreak/>
        <w:t>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4B7E50">
        <w:rPr>
          <w:rFonts w:ascii="Palatino Linotype" w:hAnsi="Palatino Linotype" w:cs="Arial"/>
          <w:b/>
          <w:i/>
        </w:rPr>
        <w:t>ndo la referida Unidad señala, o</w:t>
      </w:r>
      <w:r w:rsidRPr="004B7E50">
        <w:rPr>
          <w:rFonts w:ascii="Palatino Linotype" w:hAnsi="Palatino Linotype" w:cs="Arial"/>
          <w:i/>
        </w:rPr>
        <w:t xml:space="preserve"> el mencionado Comité </w:t>
      </w:r>
      <w:r w:rsidRPr="004B7E50">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4B7E50">
        <w:rPr>
          <w:rFonts w:ascii="Palatino Linotype" w:hAnsi="Palatino Linotype" w:cs="Arial"/>
          <w:i/>
        </w:rPr>
        <w:t>”</w:t>
      </w:r>
    </w:p>
    <w:p w14:paraId="0F24214E" w14:textId="77777777" w:rsidR="004B7E50" w:rsidRPr="004B7E50" w:rsidRDefault="004B7E50" w:rsidP="00C9250D">
      <w:pPr>
        <w:pStyle w:val="Prrafodelista"/>
        <w:tabs>
          <w:tab w:val="left" w:pos="426"/>
        </w:tabs>
        <w:spacing w:line="360" w:lineRule="auto"/>
        <w:ind w:left="567" w:right="567"/>
        <w:jc w:val="both"/>
        <w:rPr>
          <w:rFonts w:ascii="Palatino Linotype" w:hAnsi="Palatino Linotype" w:cs="Arial"/>
          <w:iCs/>
        </w:rPr>
      </w:pPr>
      <w:r w:rsidRPr="004B7E50">
        <w:rPr>
          <w:rFonts w:ascii="Palatino Linotype" w:hAnsi="Palatino Linotype" w:cs="Arial"/>
          <w:iCs/>
        </w:rPr>
        <w:t>(Énfasis añadido)</w:t>
      </w:r>
    </w:p>
    <w:p w14:paraId="781E77D0" w14:textId="77777777" w:rsidR="004B7E50" w:rsidRPr="004B7E50" w:rsidRDefault="004B7E50" w:rsidP="004B7E50">
      <w:pPr>
        <w:tabs>
          <w:tab w:val="left" w:pos="426"/>
        </w:tabs>
        <w:spacing w:line="360" w:lineRule="auto"/>
        <w:ind w:right="49"/>
        <w:contextualSpacing/>
        <w:jc w:val="both"/>
        <w:rPr>
          <w:rFonts w:ascii="Palatino Linotype" w:hAnsi="Palatino Linotype" w:cs="Arial"/>
          <w:color w:val="000000" w:themeColor="text1"/>
          <w:sz w:val="24"/>
          <w:szCs w:val="24"/>
        </w:rPr>
      </w:pPr>
    </w:p>
    <w:p w14:paraId="43E75588" w14:textId="0A92C27E" w:rsidR="004B7E50" w:rsidRPr="00485B03" w:rsidRDefault="004B7E50" w:rsidP="00483826">
      <w:pPr>
        <w:numPr>
          <w:ilvl w:val="0"/>
          <w:numId w:val="3"/>
        </w:numPr>
        <w:tabs>
          <w:tab w:val="left" w:pos="426"/>
        </w:tabs>
        <w:autoSpaceDE w:val="0"/>
        <w:autoSpaceDN w:val="0"/>
        <w:adjustRightInd w:val="0"/>
        <w:spacing w:line="360" w:lineRule="auto"/>
        <w:ind w:left="0" w:right="-28" w:firstLine="0"/>
        <w:contextualSpacing/>
        <w:jc w:val="both"/>
        <w:rPr>
          <w:rFonts w:ascii="Palatino Linotype" w:hAnsi="Palatino Linotype"/>
          <w:i/>
          <w:iCs/>
          <w:sz w:val="24"/>
          <w:szCs w:val="24"/>
        </w:rPr>
      </w:pPr>
      <w:r w:rsidRPr="004B7E50">
        <w:rPr>
          <w:rFonts w:ascii="Palatino Linotype" w:hAnsi="Palatino Linotype" w:cs="Arial"/>
          <w:color w:val="000000" w:themeColor="text1"/>
          <w:sz w:val="24"/>
          <w:szCs w:val="24"/>
        </w:rPr>
        <w:t xml:space="preserve">Razones por las que no ha lugar a ordenar un Acuerdo de Inexistencia, ya que como lo señaló </w:t>
      </w:r>
      <w:r w:rsidR="00BB52AE">
        <w:rPr>
          <w:rFonts w:ascii="Palatino Linotype" w:hAnsi="Palatino Linotype" w:cs="Arial"/>
          <w:color w:val="000000" w:themeColor="text1"/>
          <w:sz w:val="24"/>
          <w:szCs w:val="24"/>
        </w:rPr>
        <w:t xml:space="preserve">el Sujeto Obligado, </w:t>
      </w:r>
      <w:r w:rsidRPr="004B7E50">
        <w:rPr>
          <w:rFonts w:ascii="Palatino Linotype" w:hAnsi="Palatino Linotype" w:cs="Arial"/>
          <w:color w:val="000000" w:themeColor="text1"/>
          <w:sz w:val="24"/>
          <w:szCs w:val="24"/>
        </w:rPr>
        <w:t>no se encontró información que se relacione con</w:t>
      </w:r>
      <w:r w:rsidR="00485B03">
        <w:rPr>
          <w:rFonts w:ascii="Palatino Linotype" w:hAnsi="Palatino Linotype" w:cs="Arial"/>
          <w:color w:val="000000" w:themeColor="text1"/>
          <w:sz w:val="24"/>
          <w:szCs w:val="24"/>
        </w:rPr>
        <w:t xml:space="preserve"> lo requerido por el particular y no se trata de información que haya existido y por alguna razón ya no exista, o bien, se trate de información que de manera obligatoria deba generar el Sujeto Obligado.</w:t>
      </w:r>
    </w:p>
    <w:p w14:paraId="2F4A1A65" w14:textId="77777777" w:rsidR="00485B03" w:rsidRPr="00485B03" w:rsidRDefault="00485B03" w:rsidP="00483826">
      <w:pPr>
        <w:tabs>
          <w:tab w:val="left" w:pos="426"/>
        </w:tabs>
        <w:autoSpaceDE w:val="0"/>
        <w:autoSpaceDN w:val="0"/>
        <w:adjustRightInd w:val="0"/>
        <w:spacing w:line="360" w:lineRule="auto"/>
        <w:ind w:right="-28"/>
        <w:contextualSpacing/>
        <w:jc w:val="both"/>
        <w:rPr>
          <w:rFonts w:ascii="Palatino Linotype" w:hAnsi="Palatino Linotype"/>
          <w:i/>
          <w:iCs/>
          <w:sz w:val="24"/>
          <w:szCs w:val="24"/>
        </w:rPr>
      </w:pPr>
    </w:p>
    <w:p w14:paraId="48E365FD" w14:textId="17983FA1" w:rsidR="00485B03" w:rsidRPr="00485B03" w:rsidRDefault="00485B03" w:rsidP="00483826">
      <w:pPr>
        <w:pStyle w:val="Ttulo2"/>
        <w:numPr>
          <w:ilvl w:val="0"/>
          <w:numId w:val="30"/>
        </w:numPr>
        <w:ind w:right="-28"/>
        <w:rPr>
          <w:rFonts w:ascii="Palatino Linotype" w:hAnsi="Palatino Linotype" w:cs="Times New Roman"/>
          <w:b/>
          <w:color w:val="auto"/>
        </w:rPr>
      </w:pPr>
      <w:bookmarkStart w:id="15" w:name="_Toc85709565"/>
      <w:r w:rsidRPr="00485B03">
        <w:rPr>
          <w:rFonts w:ascii="Palatino Linotype" w:hAnsi="Palatino Linotype"/>
          <w:b/>
          <w:color w:val="auto"/>
          <w:sz w:val="24"/>
        </w:rPr>
        <w:t>De las manifestaciones del Recurrente.</w:t>
      </w:r>
      <w:bookmarkEnd w:id="15"/>
    </w:p>
    <w:p w14:paraId="56CC77D2" w14:textId="77777777" w:rsidR="00485B03" w:rsidRDefault="00485B03" w:rsidP="00483826">
      <w:pPr>
        <w:pStyle w:val="Prrafodelista"/>
        <w:ind w:right="-28"/>
        <w:rPr>
          <w:rFonts w:ascii="Palatino Linotype" w:hAnsi="Palatino Linotype" w:cs="Arial"/>
          <w:color w:val="000000" w:themeColor="text1"/>
          <w:sz w:val="24"/>
        </w:rPr>
      </w:pPr>
    </w:p>
    <w:p w14:paraId="7D1D961E" w14:textId="18E64DB6" w:rsidR="00485B03" w:rsidRPr="00485B03" w:rsidRDefault="00485B03" w:rsidP="00483826">
      <w:pPr>
        <w:numPr>
          <w:ilvl w:val="0"/>
          <w:numId w:val="3"/>
        </w:numPr>
        <w:tabs>
          <w:tab w:val="left" w:pos="426"/>
        </w:tabs>
        <w:autoSpaceDE w:val="0"/>
        <w:autoSpaceDN w:val="0"/>
        <w:adjustRightInd w:val="0"/>
        <w:spacing w:line="360" w:lineRule="auto"/>
        <w:ind w:left="0" w:right="-28" w:firstLine="0"/>
        <w:contextualSpacing/>
        <w:jc w:val="both"/>
        <w:rPr>
          <w:rFonts w:ascii="Palatino Linotype" w:hAnsi="Palatino Linotype"/>
          <w:i/>
          <w:iCs/>
          <w:sz w:val="24"/>
          <w:szCs w:val="24"/>
        </w:rPr>
      </w:pPr>
      <w:r>
        <w:rPr>
          <w:rFonts w:ascii="Palatino Linotype" w:hAnsi="Palatino Linotype"/>
          <w:iCs/>
          <w:sz w:val="24"/>
          <w:szCs w:val="24"/>
        </w:rPr>
        <w:t xml:space="preserve">Mediante la etapa de manifestaciones, el Recurrente remitió el documento identificado como </w:t>
      </w:r>
      <w:r>
        <w:rPr>
          <w:rFonts w:ascii="Palatino Linotype" w:hAnsi="Palatino Linotype"/>
          <w:b/>
          <w:i/>
          <w:iCs/>
          <w:sz w:val="24"/>
          <w:szCs w:val="24"/>
        </w:rPr>
        <w:t xml:space="preserve">“argumentos del recurso de revisión.pdf” </w:t>
      </w:r>
      <w:r w:rsidRPr="00485B03">
        <w:rPr>
          <w:rFonts w:ascii="Palatino Linotype" w:hAnsi="Palatino Linotype"/>
          <w:iCs/>
          <w:sz w:val="24"/>
          <w:szCs w:val="24"/>
        </w:rPr>
        <w:t>en el cual refiere lo siguiente:</w:t>
      </w:r>
    </w:p>
    <w:p w14:paraId="6C6EC3FD" w14:textId="77777777" w:rsidR="00485B03" w:rsidRPr="00FB5453" w:rsidRDefault="00485B03" w:rsidP="00485B03">
      <w:pPr>
        <w:pStyle w:val="Prrafodelista"/>
        <w:spacing w:line="360" w:lineRule="auto"/>
        <w:ind w:left="567" w:right="822"/>
        <w:jc w:val="both"/>
        <w:rPr>
          <w:rFonts w:ascii="Palatino Linotype" w:hAnsi="Palatino Linotype"/>
          <w:i/>
        </w:rPr>
      </w:pPr>
      <w:r>
        <w:rPr>
          <w:rFonts w:ascii="Palatino Linotype" w:hAnsi="Palatino Linotype"/>
          <w:i/>
        </w:rPr>
        <w:t>“</w:t>
      </w:r>
      <w:r w:rsidRPr="00485B03">
        <w:rPr>
          <w:rFonts w:ascii="Palatino Linotype" w:hAnsi="Palatino Linotype"/>
          <w:b/>
          <w:i/>
        </w:rPr>
        <w:t>La solicitud de información se dirigió al gobierno del Estado de México</w:t>
      </w:r>
      <w:r w:rsidRPr="00FB5453">
        <w:rPr>
          <w:rFonts w:ascii="Palatino Linotype" w:hAnsi="Palatino Linotype"/>
          <w:i/>
        </w:rPr>
        <w:t xml:space="preserve">, </w:t>
      </w:r>
      <w:r w:rsidRPr="00485B03">
        <w:rPr>
          <w:rFonts w:ascii="Palatino Linotype" w:hAnsi="Palatino Linotype"/>
          <w:b/>
          <w:i/>
        </w:rPr>
        <w:t>por lo cual debieron explorar en todas las dependencias</w:t>
      </w:r>
      <w:r w:rsidRPr="00FB5453">
        <w:rPr>
          <w:rFonts w:ascii="Palatino Linotype" w:hAnsi="Palatino Linotype"/>
          <w:i/>
        </w:rPr>
        <w:t xml:space="preserve"> encargas de planeación y construcción de obras y/o vialidades, entre otras, </w:t>
      </w:r>
      <w:r w:rsidRPr="00485B03">
        <w:rPr>
          <w:rFonts w:ascii="Palatino Linotype" w:hAnsi="Palatino Linotype"/>
          <w:b/>
          <w:i/>
        </w:rPr>
        <w:t>por ejemplo, la Junta de Caminos del Estado de México,</w:t>
      </w:r>
      <w:r w:rsidRPr="00FB5453">
        <w:rPr>
          <w:rFonts w:ascii="Palatino Linotype" w:hAnsi="Palatino Linotype"/>
          <w:i/>
        </w:rPr>
        <w:t xml:space="preserve"> la cual se omitió en la respuesta que se emitió mediante oficio </w:t>
      </w:r>
      <w:r w:rsidRPr="00FB5453">
        <w:rPr>
          <w:rFonts w:ascii="Palatino Linotype" w:hAnsi="Palatino Linotype"/>
          <w:i/>
        </w:rPr>
        <w:lastRenderedPageBreak/>
        <w:t>SEDUO-CI-0988/2021. En ésta, sólo se señalan las repuestas de la Direcciones Generales de Proyectos, Concursos y Contratos; y la de Operación y Control Urbano, por lo cual, se presupone que no se realizó la búsqueda exhaustiva en todas las dependencias del Gobierno involucradas en desarrollo, planeación y ejecución de obras de vialidad en el Estado de México. Asimismo, la respuesta que se emitió a la solicitud de información, sólo se refiere a las obras que están en proceso, mientras que la solicitud requerida se indica que todas las obras o vialidades que están contempladas, en planeación o diseño para el corto, mediano y largo plazo, mismas que tengan previsto una posible afectación a los terrenos ubicados en la intersección de la Carretera Lechería- Texcoco, esq. Calle 22 de diciembre, colonia Héroes de Tecámac. Por otro lado, la Dirección General de Operación y Control Urbano, en su respuesta señala que “no se localizó información con los datos proporcionados por el solicitante”, sin embargo, en la solicitud de información se anexo un plano de Google Map indicando con precisión la intersección de la Carretera Lechería- Texcoco, esq. Calle 22 de diciembre, colonia Héroes de Tecámac.</w:t>
      </w:r>
      <w:r>
        <w:rPr>
          <w:rFonts w:ascii="Palatino Linotype" w:hAnsi="Palatino Linotype"/>
          <w:i/>
        </w:rPr>
        <w:t>” (sic)</w:t>
      </w:r>
    </w:p>
    <w:p w14:paraId="705E4AF6" w14:textId="77777777" w:rsidR="00485B03" w:rsidRDefault="00485B03" w:rsidP="00485B03">
      <w:pPr>
        <w:tabs>
          <w:tab w:val="left" w:pos="426"/>
        </w:tabs>
        <w:autoSpaceDE w:val="0"/>
        <w:autoSpaceDN w:val="0"/>
        <w:adjustRightInd w:val="0"/>
        <w:spacing w:line="360" w:lineRule="auto"/>
        <w:ind w:right="567"/>
        <w:contextualSpacing/>
        <w:jc w:val="both"/>
        <w:rPr>
          <w:rFonts w:ascii="Palatino Linotype" w:hAnsi="Palatino Linotype"/>
          <w:iCs/>
          <w:sz w:val="24"/>
          <w:szCs w:val="24"/>
        </w:rPr>
      </w:pPr>
    </w:p>
    <w:p w14:paraId="7314ED23" w14:textId="6EBF545B" w:rsidR="00485B03" w:rsidRPr="00DA1FA5" w:rsidRDefault="00485B03" w:rsidP="00483826">
      <w:pPr>
        <w:numPr>
          <w:ilvl w:val="0"/>
          <w:numId w:val="3"/>
        </w:numPr>
        <w:tabs>
          <w:tab w:val="left" w:pos="426"/>
        </w:tabs>
        <w:autoSpaceDE w:val="0"/>
        <w:autoSpaceDN w:val="0"/>
        <w:adjustRightInd w:val="0"/>
        <w:spacing w:line="360" w:lineRule="auto"/>
        <w:ind w:left="0" w:right="-28" w:firstLine="0"/>
        <w:contextualSpacing/>
        <w:jc w:val="both"/>
        <w:rPr>
          <w:rFonts w:ascii="Palatino Linotype" w:hAnsi="Palatino Linotype"/>
          <w:i/>
          <w:iCs/>
          <w:sz w:val="24"/>
          <w:szCs w:val="24"/>
        </w:rPr>
      </w:pPr>
      <w:r>
        <w:rPr>
          <w:rFonts w:ascii="Palatino Linotype" w:hAnsi="Palatino Linotype"/>
          <w:iCs/>
          <w:sz w:val="24"/>
          <w:szCs w:val="24"/>
        </w:rPr>
        <w:t xml:space="preserve">De la simple lectura a la solicitud, se aprecia que el Recurrente requiere que la solicitud se turne a todas las dependencias que integran al Gobierno del Estado de México y que deban generar, administrar y/o poseer la información, </w:t>
      </w:r>
      <w:r w:rsidRPr="00DA1FA5">
        <w:rPr>
          <w:rFonts w:ascii="Palatino Linotype" w:hAnsi="Palatino Linotype"/>
          <w:b/>
          <w:iCs/>
          <w:sz w:val="24"/>
          <w:szCs w:val="24"/>
        </w:rPr>
        <w:t>como por ejemplo la Junta de Caminos del Estado de México</w:t>
      </w:r>
      <w:r>
        <w:rPr>
          <w:rFonts w:ascii="Palatino Linotype" w:hAnsi="Palatino Linotype"/>
          <w:iCs/>
          <w:sz w:val="24"/>
          <w:szCs w:val="24"/>
        </w:rPr>
        <w:t xml:space="preserve">. Sobre este punto, es necesario hacer de conocimiento al Recurrente que, cada </w:t>
      </w:r>
      <w:r w:rsidR="00DA1FA5">
        <w:rPr>
          <w:rFonts w:ascii="Palatino Linotype" w:hAnsi="Palatino Linotype"/>
          <w:iCs/>
          <w:sz w:val="24"/>
          <w:szCs w:val="24"/>
        </w:rPr>
        <w:t xml:space="preserve">dependencia que integra en su conjunto al Gobierno del Estado de México, en materia de transparencia, fungen como sujetos Obligados diversos, por lo que no es posible que una misma solicitud pueda ser turnada entre dependencias, es decir, la Secretaría de Desarrollo Urbano y Obra no </w:t>
      </w:r>
      <w:r w:rsidR="00DA1FA5">
        <w:rPr>
          <w:rFonts w:ascii="Palatino Linotype" w:hAnsi="Palatino Linotype"/>
          <w:iCs/>
          <w:sz w:val="24"/>
          <w:szCs w:val="24"/>
        </w:rPr>
        <w:lastRenderedPageBreak/>
        <w:t xml:space="preserve">está obligada a turnar una solicitud a la Junta de Caminos del Estado de México, porque esta última es dependiente de la Secretaría de Movilidad; sin embargo, la propia Secretaría de Movilidad se encuentra imposibilitada a turnar una solicitud a la Junta de Caminos del Estado de México, porque este última, en materia de transparencia y acceso a la información funge como un sujeto obligado diverso, tal y como se aprecia en el catálogo de sujetos obligados administra este Órgano Garante. Se inserta imagen de referencia </w:t>
      </w:r>
    </w:p>
    <w:p w14:paraId="2186172F" w14:textId="77777777" w:rsidR="00DA1FA5" w:rsidRDefault="00DA1FA5" w:rsidP="00DA1FA5">
      <w:pPr>
        <w:tabs>
          <w:tab w:val="left" w:pos="426"/>
        </w:tabs>
        <w:autoSpaceDE w:val="0"/>
        <w:autoSpaceDN w:val="0"/>
        <w:adjustRightInd w:val="0"/>
        <w:spacing w:line="360" w:lineRule="auto"/>
        <w:ind w:right="567"/>
        <w:contextualSpacing/>
        <w:jc w:val="both"/>
        <w:rPr>
          <w:rFonts w:ascii="Palatino Linotype" w:hAnsi="Palatino Linotype"/>
          <w:i/>
          <w:iCs/>
          <w:sz w:val="24"/>
          <w:szCs w:val="24"/>
        </w:rPr>
      </w:pPr>
    </w:p>
    <w:p w14:paraId="3D1420BE" w14:textId="7C3620ED" w:rsidR="00483826" w:rsidRDefault="00483826" w:rsidP="00DA1FA5">
      <w:pPr>
        <w:tabs>
          <w:tab w:val="left" w:pos="426"/>
        </w:tabs>
        <w:autoSpaceDE w:val="0"/>
        <w:autoSpaceDN w:val="0"/>
        <w:adjustRightInd w:val="0"/>
        <w:spacing w:line="360" w:lineRule="auto"/>
        <w:ind w:right="567"/>
        <w:contextualSpacing/>
        <w:jc w:val="both"/>
        <w:rPr>
          <w:rFonts w:ascii="Palatino Linotype" w:hAnsi="Palatino Linotype"/>
          <w:i/>
          <w:iCs/>
          <w:sz w:val="24"/>
          <w:szCs w:val="24"/>
        </w:rPr>
      </w:pPr>
      <w:r>
        <w:rPr>
          <w:noProof/>
          <w:lang w:eastAsia="es-MX"/>
        </w:rPr>
        <mc:AlternateContent>
          <mc:Choice Requires="wps">
            <w:drawing>
              <wp:anchor distT="0" distB="0" distL="114300" distR="114300" simplePos="0" relativeHeight="251659264" behindDoc="0" locked="0" layoutInCell="1" allowOverlap="1" wp14:anchorId="439A0CFF" wp14:editId="06C0B747">
                <wp:simplePos x="0" y="0"/>
                <wp:positionH relativeFrom="column">
                  <wp:posOffset>389099</wp:posOffset>
                </wp:positionH>
                <wp:positionV relativeFrom="paragraph">
                  <wp:posOffset>1907564</wp:posOffset>
                </wp:positionV>
                <wp:extent cx="5020107" cy="267419"/>
                <wp:effectExtent l="19050" t="19050" r="28575" b="18415"/>
                <wp:wrapNone/>
                <wp:docPr id="2" name="Rectángulo 2"/>
                <wp:cNvGraphicFramePr/>
                <a:graphic xmlns:a="http://schemas.openxmlformats.org/drawingml/2006/main">
                  <a:graphicData uri="http://schemas.microsoft.com/office/word/2010/wordprocessingShape">
                    <wps:wsp>
                      <wps:cNvSpPr/>
                      <wps:spPr>
                        <a:xfrm>
                          <a:off x="0" y="0"/>
                          <a:ext cx="5020107" cy="2674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92FB" id="Rectángulo 2" o:spid="_x0000_s1026" style="position:absolute;margin-left:30.65pt;margin-top:150.2pt;width:395.3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" filled="f" strokecolor="red" strokeweight="2.25pt"/>
            </w:pict>
          </mc:Fallback>
        </mc:AlternateContent>
      </w:r>
      <w:r>
        <w:rPr>
          <w:noProof/>
          <w:lang w:eastAsia="es-MX"/>
        </w:rPr>
        <w:drawing>
          <wp:inline distT="0" distB="0" distL="0" distR="0" wp14:anchorId="108645D0" wp14:editId="75F4401B">
            <wp:extent cx="5408762" cy="37411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062" t="3203" r="18437" b="5179"/>
                    <a:stretch/>
                  </pic:blipFill>
                  <pic:spPr bwMode="auto">
                    <a:xfrm>
                      <a:off x="0" y="0"/>
                      <a:ext cx="5421149" cy="3749718"/>
                    </a:xfrm>
                    <a:prstGeom prst="rect">
                      <a:avLst/>
                    </a:prstGeom>
                    <a:ln>
                      <a:noFill/>
                    </a:ln>
                    <a:extLst>
                      <a:ext uri="{53640926-AAD7-44D8-BBD7-CCE9431645EC}">
                        <a14:shadowObscured xmlns:a14="http://schemas.microsoft.com/office/drawing/2010/main"/>
                      </a:ext>
                    </a:extLst>
                  </pic:spPr>
                </pic:pic>
              </a:graphicData>
            </a:graphic>
          </wp:inline>
        </w:drawing>
      </w:r>
    </w:p>
    <w:p w14:paraId="4838FDCD" w14:textId="77777777" w:rsidR="00483826" w:rsidRPr="00485B03" w:rsidRDefault="00483826" w:rsidP="00DA1FA5">
      <w:pPr>
        <w:tabs>
          <w:tab w:val="left" w:pos="426"/>
        </w:tabs>
        <w:autoSpaceDE w:val="0"/>
        <w:autoSpaceDN w:val="0"/>
        <w:adjustRightInd w:val="0"/>
        <w:spacing w:line="360" w:lineRule="auto"/>
        <w:ind w:right="567"/>
        <w:contextualSpacing/>
        <w:jc w:val="both"/>
        <w:rPr>
          <w:rFonts w:ascii="Palatino Linotype" w:hAnsi="Palatino Linotype"/>
          <w:i/>
          <w:iCs/>
          <w:sz w:val="24"/>
          <w:szCs w:val="24"/>
        </w:rPr>
      </w:pPr>
    </w:p>
    <w:p w14:paraId="517A27CC" w14:textId="71F7C4AD" w:rsidR="00485B03" w:rsidRPr="00483826" w:rsidRDefault="00483826" w:rsidP="004B7E50">
      <w:pPr>
        <w:numPr>
          <w:ilvl w:val="0"/>
          <w:numId w:val="3"/>
        </w:numPr>
        <w:tabs>
          <w:tab w:val="left" w:pos="426"/>
        </w:tabs>
        <w:autoSpaceDE w:val="0"/>
        <w:autoSpaceDN w:val="0"/>
        <w:adjustRightInd w:val="0"/>
        <w:spacing w:line="360" w:lineRule="auto"/>
        <w:ind w:left="0" w:right="567" w:firstLine="0"/>
        <w:contextualSpacing/>
        <w:jc w:val="both"/>
        <w:rPr>
          <w:rFonts w:ascii="Palatino Linotype" w:hAnsi="Palatino Linotype"/>
          <w:i/>
          <w:iCs/>
          <w:sz w:val="24"/>
          <w:szCs w:val="24"/>
        </w:rPr>
      </w:pPr>
      <w:r>
        <w:rPr>
          <w:rFonts w:ascii="Palatino Linotype" w:hAnsi="Palatino Linotype" w:cs="Arial"/>
          <w:color w:val="000000" w:themeColor="text1"/>
          <w:sz w:val="24"/>
          <w:szCs w:val="24"/>
        </w:rPr>
        <w:t xml:space="preserve">Al ser sujetos obligados independientes, en materia de transparencia y rendición de cuentas, cada una de las dependencias es responsable de los </w:t>
      </w:r>
      <w:r>
        <w:rPr>
          <w:rFonts w:ascii="Palatino Linotype" w:hAnsi="Palatino Linotype" w:cs="Arial"/>
          <w:color w:val="000000" w:themeColor="text1"/>
          <w:sz w:val="24"/>
          <w:szCs w:val="24"/>
        </w:rPr>
        <w:lastRenderedPageBreak/>
        <w:t>archivos que generar, administran y poseen, asimismo, tienen la obligación de mantener actualizados sus portales de transparencia como lo es el IPOMEX.</w:t>
      </w:r>
    </w:p>
    <w:p w14:paraId="3FA1F0EF" w14:textId="77777777" w:rsidR="00483826" w:rsidRPr="00483826" w:rsidRDefault="00483826" w:rsidP="004B7E50">
      <w:pPr>
        <w:numPr>
          <w:ilvl w:val="0"/>
          <w:numId w:val="3"/>
        </w:numPr>
        <w:tabs>
          <w:tab w:val="left" w:pos="426"/>
        </w:tabs>
        <w:autoSpaceDE w:val="0"/>
        <w:autoSpaceDN w:val="0"/>
        <w:adjustRightInd w:val="0"/>
        <w:spacing w:line="360" w:lineRule="auto"/>
        <w:ind w:left="0" w:right="567" w:firstLine="0"/>
        <w:contextualSpacing/>
        <w:jc w:val="both"/>
        <w:rPr>
          <w:rFonts w:ascii="Palatino Linotype" w:hAnsi="Palatino Linotype"/>
          <w:i/>
          <w:iCs/>
          <w:sz w:val="24"/>
          <w:szCs w:val="24"/>
        </w:rPr>
      </w:pPr>
      <w:r>
        <w:rPr>
          <w:rFonts w:ascii="Palatino Linotype" w:hAnsi="Palatino Linotype" w:cs="Arial"/>
          <w:color w:val="000000" w:themeColor="text1"/>
          <w:sz w:val="24"/>
          <w:szCs w:val="24"/>
        </w:rPr>
        <w:t>Ahora bien, el hecho de que entre dependencias o sujetos obligados no puedan turnarse una solicitud de acceso a la información pública, no impide que los recurrentes formulen una o varias solicitudes a cada sujeto obligado a efecto de allegarse de la información que es de su interés.</w:t>
      </w:r>
    </w:p>
    <w:p w14:paraId="46E47A45" w14:textId="77777777" w:rsidR="00483826" w:rsidRPr="00483826" w:rsidRDefault="00483826" w:rsidP="00483826">
      <w:pPr>
        <w:tabs>
          <w:tab w:val="left" w:pos="426"/>
        </w:tabs>
        <w:autoSpaceDE w:val="0"/>
        <w:autoSpaceDN w:val="0"/>
        <w:adjustRightInd w:val="0"/>
        <w:spacing w:line="360" w:lineRule="auto"/>
        <w:ind w:right="567"/>
        <w:contextualSpacing/>
        <w:jc w:val="both"/>
        <w:rPr>
          <w:rFonts w:ascii="Palatino Linotype" w:hAnsi="Palatino Linotype"/>
          <w:i/>
          <w:iCs/>
          <w:sz w:val="24"/>
          <w:szCs w:val="24"/>
        </w:rPr>
      </w:pPr>
    </w:p>
    <w:p w14:paraId="4FBF1E3C" w14:textId="7AD52066" w:rsidR="00483826" w:rsidRPr="004B7E50" w:rsidRDefault="00483826" w:rsidP="004B7E50">
      <w:pPr>
        <w:numPr>
          <w:ilvl w:val="0"/>
          <w:numId w:val="3"/>
        </w:numPr>
        <w:tabs>
          <w:tab w:val="left" w:pos="426"/>
        </w:tabs>
        <w:autoSpaceDE w:val="0"/>
        <w:autoSpaceDN w:val="0"/>
        <w:adjustRightInd w:val="0"/>
        <w:spacing w:line="360" w:lineRule="auto"/>
        <w:ind w:left="0" w:right="567" w:firstLine="0"/>
        <w:contextualSpacing/>
        <w:jc w:val="both"/>
        <w:rPr>
          <w:rFonts w:ascii="Palatino Linotype" w:hAnsi="Palatino Linotype"/>
          <w:i/>
          <w:iCs/>
          <w:sz w:val="24"/>
          <w:szCs w:val="24"/>
        </w:rPr>
      </w:pPr>
      <w:r>
        <w:rPr>
          <w:rFonts w:ascii="Palatino Linotype" w:hAnsi="Palatino Linotype" w:cs="Arial"/>
          <w:color w:val="000000" w:themeColor="text1"/>
          <w:sz w:val="24"/>
          <w:szCs w:val="24"/>
        </w:rPr>
        <w:t>Dicho lo anterior, en aras de no vulnerar el derecho de acceso a la información ejercido por el Recurrente, se dejan a salvo sus derechos para que, si así lo considera, formule una nueva solicitud ante otro Sujeto Obligado que en ejercicio de sus funciones, atribuciones y competencias deba generar, administrar y/o poseer la información que requiere el particular.</w:t>
      </w:r>
    </w:p>
    <w:p w14:paraId="54940EF9" w14:textId="15771AA8" w:rsidR="004B7E50" w:rsidRPr="004B7E50" w:rsidRDefault="004B7E50" w:rsidP="00C9250D">
      <w:pPr>
        <w:pStyle w:val="Ttulo1"/>
        <w:ind w:firstLine="142"/>
        <w:rPr>
          <w:rFonts w:ascii="Palatino Linotype" w:eastAsia="Calibri" w:hAnsi="Palatino Linotype"/>
          <w:b/>
          <w:color w:val="auto"/>
          <w:sz w:val="24"/>
          <w:szCs w:val="24"/>
        </w:rPr>
      </w:pPr>
      <w:bookmarkStart w:id="16" w:name="_Toc85709566"/>
      <w:r>
        <w:rPr>
          <w:rFonts w:ascii="Palatino Linotype" w:eastAsia="Calibri" w:hAnsi="Palatino Linotype"/>
          <w:b/>
          <w:color w:val="auto"/>
          <w:sz w:val="24"/>
          <w:szCs w:val="24"/>
        </w:rPr>
        <w:t>QUINTO</w:t>
      </w:r>
      <w:r w:rsidRPr="004B7E50">
        <w:rPr>
          <w:rFonts w:ascii="Palatino Linotype" w:eastAsia="Calibri" w:hAnsi="Palatino Linotype"/>
          <w:b/>
          <w:color w:val="auto"/>
          <w:sz w:val="24"/>
          <w:szCs w:val="24"/>
        </w:rPr>
        <w:t>. DECISIÓN.</w:t>
      </w:r>
      <w:bookmarkEnd w:id="16"/>
      <w:r w:rsidRPr="004B7E50">
        <w:rPr>
          <w:rFonts w:ascii="Palatino Linotype" w:eastAsia="Calibri" w:hAnsi="Palatino Linotype"/>
          <w:b/>
          <w:color w:val="auto"/>
          <w:sz w:val="24"/>
          <w:szCs w:val="24"/>
        </w:rPr>
        <w:t xml:space="preserve"> </w:t>
      </w:r>
    </w:p>
    <w:p w14:paraId="4F0F482A" w14:textId="77777777" w:rsidR="004B7E50" w:rsidRPr="004B7E50" w:rsidRDefault="004B7E50" w:rsidP="004B7E50">
      <w:pPr>
        <w:pStyle w:val="Prrafodelista"/>
        <w:rPr>
          <w:rFonts w:ascii="Palatino Linotype" w:eastAsia="Calibri" w:hAnsi="Palatino Linotype" w:cs="Arial"/>
          <w:sz w:val="24"/>
        </w:rPr>
      </w:pPr>
    </w:p>
    <w:p w14:paraId="185047B4" w14:textId="61468EBF" w:rsidR="004B7E50" w:rsidRPr="004B7E50"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eastAsia="Calibri" w:hAnsi="Palatino Linotype" w:cs="Arial"/>
          <w:sz w:val="24"/>
        </w:rPr>
        <w:t>La respuesta que emitió el Sujeto Obligado es suficiente para satisfacer el derecho accionado por el recurrente, en el sentido de que, no se localizó la informa</w:t>
      </w:r>
      <w:r w:rsidR="00A700F7">
        <w:rPr>
          <w:rFonts w:ascii="Palatino Linotype" w:eastAsia="Calibri" w:hAnsi="Palatino Linotype" w:cs="Arial"/>
          <w:sz w:val="24"/>
        </w:rPr>
        <w:t>ción requerida por el particular.</w:t>
      </w:r>
    </w:p>
    <w:p w14:paraId="5ADB9310" w14:textId="77777777" w:rsidR="004B7E50" w:rsidRPr="004B7E50" w:rsidRDefault="004B7E50" w:rsidP="004B7E50">
      <w:pPr>
        <w:pStyle w:val="Prrafodelista"/>
        <w:tabs>
          <w:tab w:val="left" w:pos="567"/>
        </w:tabs>
        <w:spacing w:line="360" w:lineRule="auto"/>
        <w:ind w:left="0"/>
        <w:jc w:val="both"/>
        <w:rPr>
          <w:rFonts w:ascii="Palatino Linotype" w:eastAsia="Calibri" w:hAnsi="Palatino Linotype" w:cs="Arial"/>
          <w:sz w:val="24"/>
        </w:rPr>
      </w:pPr>
    </w:p>
    <w:p w14:paraId="734BBC8A" w14:textId="77777777" w:rsidR="004B7E50" w:rsidRPr="004B7E50"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eastAsia="Calibri" w:hAnsi="Palatino Linotype" w:cs="Arial"/>
          <w:sz w:val="24"/>
        </w:rPr>
        <w:t xml:space="preserve">Al no existir en los archivos del Sujeto Obligado es materialmente imposible la entrega de la información. En consecuencia, se determinó que resultan infundados los motivos o razones de inconformidad y lo conducente es CONFIRMAR la respuesta del Sujeto Obligado. </w:t>
      </w:r>
    </w:p>
    <w:p w14:paraId="3B8CDFE3" w14:textId="77777777" w:rsidR="004B7E50" w:rsidRPr="004B7E50" w:rsidRDefault="004B7E50" w:rsidP="004B7E50">
      <w:pPr>
        <w:pStyle w:val="Prrafodelista"/>
        <w:tabs>
          <w:tab w:val="left" w:pos="567"/>
        </w:tabs>
        <w:spacing w:line="360" w:lineRule="auto"/>
        <w:ind w:left="0"/>
        <w:jc w:val="both"/>
        <w:rPr>
          <w:rFonts w:ascii="Palatino Linotype" w:eastAsia="Calibri" w:hAnsi="Palatino Linotype" w:cs="Arial"/>
          <w:sz w:val="24"/>
        </w:rPr>
      </w:pPr>
    </w:p>
    <w:bookmarkEnd w:id="14"/>
    <w:p w14:paraId="2675D4B8" w14:textId="77777777" w:rsidR="004B7E50" w:rsidRPr="004B7E50" w:rsidRDefault="004B7E50" w:rsidP="004B7E5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B7E50">
        <w:rPr>
          <w:rFonts w:ascii="Palatino Linotype" w:hAnsi="Palatino Linotype" w:cs="Arial"/>
          <w:color w:val="222222"/>
          <w:sz w:val="24"/>
          <w:lang w:eastAsia="es-MX"/>
        </w:rPr>
        <w:lastRenderedPageBreak/>
        <w:t xml:space="preserve">Por lo anteriormente expuesto y fundado, este </w:t>
      </w:r>
      <w:r w:rsidRPr="004B7E50">
        <w:rPr>
          <w:rFonts w:ascii="Palatino Linotype" w:hAnsi="Palatino Linotype" w:cs="Arial"/>
          <w:b/>
          <w:bCs/>
          <w:color w:val="222222"/>
          <w:sz w:val="24"/>
          <w:lang w:eastAsia="es-MX"/>
        </w:rPr>
        <w:t>ÓRGANO GARANTE</w:t>
      </w:r>
      <w:r w:rsidRPr="004B7E50">
        <w:rPr>
          <w:rFonts w:ascii="Palatino Linotype" w:hAnsi="Palatino Linotype" w:cs="Arial"/>
          <w:color w:val="222222"/>
          <w:sz w:val="24"/>
          <w:lang w:eastAsia="es-MX"/>
        </w:rPr>
        <w:t xml:space="preserve"> emite los siguientes:</w:t>
      </w:r>
    </w:p>
    <w:p w14:paraId="3B6A4B63"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bookmarkStart w:id="17" w:name="_Toc447699324"/>
      <w:bookmarkStart w:id="18" w:name="_Toc445745148"/>
      <w:bookmarkStart w:id="19" w:name="_Toc486525261"/>
      <w:bookmarkStart w:id="20" w:name="_Toc4061692"/>
      <w:bookmarkStart w:id="21" w:name="_Toc85709567"/>
      <w:r w:rsidRPr="004B7E50">
        <w:rPr>
          <w:rFonts w:ascii="Palatino Linotype" w:hAnsi="Palatino Linotype" w:cstheme="majorBidi"/>
          <w:b/>
          <w:bCs/>
          <w:sz w:val="24"/>
        </w:rPr>
        <w:t>R E S O L U T I V O S</w:t>
      </w:r>
      <w:bookmarkEnd w:id="17"/>
      <w:bookmarkEnd w:id="18"/>
      <w:bookmarkEnd w:id="19"/>
      <w:bookmarkEnd w:id="20"/>
      <w:bookmarkEnd w:id="21"/>
    </w:p>
    <w:p w14:paraId="77DAE9EE" w14:textId="77777777" w:rsidR="004B7E50" w:rsidRPr="004B7E50" w:rsidRDefault="004B7E50" w:rsidP="004B7E50">
      <w:pPr>
        <w:keepNext/>
        <w:keepLines/>
        <w:spacing w:line="360" w:lineRule="auto"/>
        <w:jc w:val="center"/>
        <w:outlineLvl w:val="0"/>
        <w:rPr>
          <w:rFonts w:ascii="Palatino Linotype" w:hAnsi="Palatino Linotype" w:cstheme="majorBidi"/>
          <w:b/>
          <w:bCs/>
          <w:sz w:val="24"/>
        </w:rPr>
      </w:pPr>
    </w:p>
    <w:p w14:paraId="244D4EEA" w14:textId="5631C9FD" w:rsidR="004B7E50" w:rsidRPr="004B7E50" w:rsidRDefault="004B7E50" w:rsidP="004B7E50">
      <w:pPr>
        <w:spacing w:line="360" w:lineRule="auto"/>
        <w:jc w:val="both"/>
        <w:rPr>
          <w:rFonts w:ascii="Palatino Linotype" w:hAnsi="Palatino Linotype"/>
          <w:sz w:val="24"/>
        </w:rPr>
      </w:pPr>
      <w:r w:rsidRPr="004B7E50">
        <w:rPr>
          <w:rFonts w:ascii="Palatino Linotype" w:hAnsi="Palatino Linotype" w:cs="Arial"/>
          <w:b/>
          <w:sz w:val="24"/>
        </w:rPr>
        <w:t xml:space="preserve">PRIMERO. </w:t>
      </w:r>
      <w:r w:rsidRPr="004B7E50">
        <w:rPr>
          <w:rFonts w:ascii="Palatino Linotype" w:hAnsi="Palatino Linotype" w:cs="Arial"/>
          <w:sz w:val="24"/>
        </w:rPr>
        <w:t>Resultan infundadas las</w:t>
      </w:r>
      <w:r w:rsidRPr="004B7E50">
        <w:rPr>
          <w:rFonts w:ascii="Palatino Linotype" w:hAnsi="Palatino Linotype" w:cs="Arial"/>
          <w:b/>
          <w:sz w:val="24"/>
        </w:rPr>
        <w:t xml:space="preserve"> </w:t>
      </w:r>
      <w:r w:rsidRPr="004B7E50">
        <w:rPr>
          <w:rFonts w:ascii="Palatino Linotype" w:hAnsi="Palatino Linotype" w:cs="Arial"/>
          <w:sz w:val="24"/>
          <w:lang w:val="es-ES"/>
        </w:rPr>
        <w:t xml:space="preserve">razones o motivos de inconformidad hechos valer </w:t>
      </w:r>
      <w:r w:rsidRPr="004B7E50">
        <w:rPr>
          <w:rFonts w:ascii="Palatino Linotype" w:eastAsia="Calibri" w:hAnsi="Palatino Linotype" w:cs="Arial"/>
          <w:sz w:val="24"/>
          <w:lang w:val="es-ES"/>
        </w:rPr>
        <w:t xml:space="preserve">en el recurso de revisión </w:t>
      </w:r>
      <w:r w:rsidR="00F87101" w:rsidRPr="00F87101">
        <w:rPr>
          <w:rFonts w:ascii="Palatino Linotype" w:hAnsi="Palatino Linotype" w:cs="Arial"/>
          <w:b/>
          <w:bCs/>
          <w:sz w:val="24"/>
          <w:szCs w:val="24"/>
          <w:lang w:eastAsia="es-MX"/>
        </w:rPr>
        <w:t>04378/INFOEM/IP/RR/2021</w:t>
      </w:r>
      <w:r w:rsidRPr="004B7E50">
        <w:rPr>
          <w:rFonts w:ascii="Palatino Linotype" w:hAnsi="Palatino Linotype" w:cs="Arial"/>
          <w:b/>
          <w:bCs/>
          <w:sz w:val="36"/>
          <w:lang w:eastAsia="es-MX"/>
        </w:rPr>
        <w:t xml:space="preserve"> </w:t>
      </w:r>
      <w:r w:rsidRPr="004B7E50">
        <w:rPr>
          <w:rFonts w:ascii="Palatino Linotype" w:hAnsi="Palatino Linotype" w:cs="Arial"/>
          <w:bCs/>
          <w:sz w:val="24"/>
        </w:rPr>
        <w:t xml:space="preserve">en términos del considerando </w:t>
      </w:r>
      <w:r w:rsidRPr="004B7E50">
        <w:rPr>
          <w:rFonts w:ascii="Palatino Linotype" w:hAnsi="Palatino Linotype" w:cs="Arial"/>
          <w:b/>
          <w:sz w:val="24"/>
        </w:rPr>
        <w:t>CUARTO</w:t>
      </w:r>
      <w:r w:rsidRPr="004B7E50">
        <w:rPr>
          <w:rFonts w:ascii="Palatino Linotype" w:hAnsi="Palatino Linotype" w:cs="Arial"/>
          <w:b/>
          <w:bCs/>
          <w:sz w:val="24"/>
        </w:rPr>
        <w:t xml:space="preserve"> </w:t>
      </w:r>
      <w:r w:rsidRPr="004B7E50">
        <w:rPr>
          <w:rFonts w:ascii="Palatino Linotype" w:hAnsi="Palatino Linotype" w:cs="Arial"/>
          <w:bCs/>
          <w:sz w:val="24"/>
        </w:rPr>
        <w:t xml:space="preserve">de la presente resolución. </w:t>
      </w:r>
    </w:p>
    <w:p w14:paraId="44D93FCC" w14:textId="645DF8D1" w:rsidR="004B7E50" w:rsidRPr="004B7E50" w:rsidRDefault="004B7E50" w:rsidP="004B7E50">
      <w:pPr>
        <w:spacing w:before="240" w:after="240" w:line="360" w:lineRule="auto"/>
        <w:jc w:val="both"/>
        <w:rPr>
          <w:rFonts w:ascii="Palatino Linotype" w:hAnsi="Palatino Linotype" w:cs="Arial"/>
          <w:sz w:val="24"/>
          <w:lang w:val="es-ES"/>
        </w:rPr>
      </w:pPr>
      <w:bookmarkStart w:id="22" w:name="_Toc477891768"/>
      <w:bookmarkStart w:id="23" w:name="_Toc477891858"/>
      <w:bookmarkStart w:id="24" w:name="_Toc481576259"/>
      <w:bookmarkStart w:id="25" w:name="_Toc492590391"/>
      <w:bookmarkStart w:id="26" w:name="_Toc462653937"/>
      <w:bookmarkStart w:id="27" w:name="_Toc453696502"/>
      <w:bookmarkStart w:id="28" w:name="_Toc454301155"/>
      <w:r w:rsidRPr="004B7E50">
        <w:rPr>
          <w:rFonts w:ascii="Palatino Linotype" w:hAnsi="Palatino Linotype"/>
          <w:b/>
          <w:sz w:val="24"/>
        </w:rPr>
        <w:t>SEGUNDO.</w:t>
      </w:r>
      <w:r w:rsidRPr="004B7E50">
        <w:rPr>
          <w:rStyle w:val="Ttulo2Car"/>
          <w:rFonts w:ascii="Palatino Linotype" w:hAnsi="Palatino Linotype"/>
          <w:b/>
          <w:sz w:val="32"/>
          <w:szCs w:val="24"/>
        </w:rPr>
        <w:t xml:space="preserve"> </w:t>
      </w:r>
      <w:bookmarkEnd w:id="22"/>
      <w:bookmarkEnd w:id="23"/>
      <w:bookmarkEnd w:id="24"/>
      <w:bookmarkEnd w:id="25"/>
      <w:bookmarkEnd w:id="26"/>
      <w:bookmarkEnd w:id="27"/>
      <w:bookmarkEnd w:id="28"/>
      <w:r w:rsidRPr="004B7E50">
        <w:rPr>
          <w:rFonts w:ascii="Palatino Linotype" w:eastAsia="Calibri" w:hAnsi="Palatino Linotype" w:cs="Arial"/>
          <w:sz w:val="24"/>
          <w:lang w:val="es-ES"/>
        </w:rPr>
        <w:t>Se</w:t>
      </w:r>
      <w:r w:rsidRPr="004B7E50">
        <w:rPr>
          <w:rFonts w:ascii="Palatino Linotype" w:eastAsia="Calibri" w:hAnsi="Palatino Linotype" w:cs="Arial"/>
          <w:b/>
          <w:sz w:val="24"/>
          <w:lang w:val="es-ES"/>
        </w:rPr>
        <w:t xml:space="preserve"> CONFIRMA </w:t>
      </w:r>
      <w:r w:rsidRPr="004B7E50">
        <w:rPr>
          <w:rFonts w:ascii="Palatino Linotype" w:eastAsia="Calibri" w:hAnsi="Palatino Linotype" w:cs="Arial"/>
          <w:sz w:val="24"/>
          <w:lang w:val="es-ES"/>
        </w:rPr>
        <w:t xml:space="preserve">la respuesta emitida por la </w:t>
      </w:r>
      <w:r w:rsidR="00F87101" w:rsidRPr="00F87101">
        <w:rPr>
          <w:rFonts w:ascii="Palatino Linotype" w:hAnsi="Palatino Linotype"/>
          <w:b/>
          <w:bCs/>
          <w:sz w:val="24"/>
          <w:szCs w:val="24"/>
        </w:rPr>
        <w:t>Secretaría de Desarrollo Urbano y Obra</w:t>
      </w:r>
      <w:r w:rsidRPr="004B7E50">
        <w:rPr>
          <w:rFonts w:ascii="Palatino Linotype" w:hAnsi="Palatino Linotype" w:cs="Arial"/>
          <w:sz w:val="40"/>
          <w:szCs w:val="28"/>
          <w:lang w:val="es-ES"/>
        </w:rPr>
        <w:t xml:space="preserve"> </w:t>
      </w:r>
      <w:r w:rsidRPr="004B7E50">
        <w:rPr>
          <w:rFonts w:ascii="Palatino Linotype" w:hAnsi="Palatino Linotype" w:cs="Arial"/>
          <w:sz w:val="24"/>
          <w:lang w:val="es-ES"/>
        </w:rPr>
        <w:t xml:space="preserve">a la solicitud </w:t>
      </w:r>
      <w:r w:rsidRPr="004B7E50">
        <w:rPr>
          <w:rFonts w:ascii="Palatino Linotype" w:eastAsia="Calibri" w:hAnsi="Palatino Linotype" w:cs="Arial"/>
          <w:b/>
          <w:sz w:val="24"/>
          <w:lang w:val="es-ES"/>
        </w:rPr>
        <w:t>00</w:t>
      </w:r>
      <w:r w:rsidR="00F87101">
        <w:rPr>
          <w:rFonts w:ascii="Palatino Linotype" w:eastAsia="Calibri" w:hAnsi="Palatino Linotype" w:cs="Arial"/>
          <w:b/>
          <w:sz w:val="24"/>
          <w:lang w:val="es-ES"/>
        </w:rPr>
        <w:t>005</w:t>
      </w:r>
      <w:r w:rsidRPr="004B7E50">
        <w:rPr>
          <w:rFonts w:ascii="Palatino Linotype" w:eastAsia="Calibri" w:hAnsi="Palatino Linotype" w:cs="Arial"/>
          <w:b/>
          <w:sz w:val="24"/>
          <w:lang w:val="es-ES"/>
        </w:rPr>
        <w:t>/</w:t>
      </w:r>
      <w:r w:rsidR="00F87101">
        <w:rPr>
          <w:rFonts w:ascii="Palatino Linotype" w:eastAsia="Calibri" w:hAnsi="Palatino Linotype" w:cs="Arial"/>
          <w:b/>
          <w:sz w:val="24"/>
          <w:lang w:val="es-ES"/>
        </w:rPr>
        <w:t>SEDUO</w:t>
      </w:r>
      <w:r w:rsidRPr="004B7E50">
        <w:rPr>
          <w:rFonts w:ascii="Palatino Linotype" w:eastAsia="Calibri" w:hAnsi="Palatino Linotype" w:cs="Arial"/>
          <w:b/>
          <w:sz w:val="24"/>
          <w:lang w:val="es-ES"/>
        </w:rPr>
        <w:t>/IP/2021</w:t>
      </w:r>
      <w:r w:rsidR="00C9250D">
        <w:rPr>
          <w:rFonts w:ascii="Palatino Linotype" w:hAnsi="Palatino Linotype" w:cs="Arial"/>
          <w:b/>
          <w:sz w:val="24"/>
          <w:lang w:val="es-ES"/>
        </w:rPr>
        <w:t>.</w:t>
      </w:r>
    </w:p>
    <w:p w14:paraId="5D715850"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r w:rsidRPr="004B7E50">
        <w:rPr>
          <w:rFonts w:ascii="Palatino Linotype" w:eastAsia="Palatino Linotype" w:hAnsi="Palatino Linotype" w:cs="Palatino Linotype"/>
          <w:b/>
          <w:sz w:val="24"/>
        </w:rPr>
        <w:t xml:space="preserve">TERCERO. REMÍTASE, </w:t>
      </w:r>
      <w:r w:rsidRPr="004B7E50">
        <w:rPr>
          <w:rFonts w:ascii="Palatino Linotype" w:eastAsia="Palatino Linotype" w:hAnsi="Palatino Linotype" w:cs="Palatino Linotype"/>
          <w:sz w:val="24"/>
        </w:rPr>
        <w:t xml:space="preserve">vía Sistema de Acceso a la Información Mexiquense </w:t>
      </w:r>
      <w:r w:rsidRPr="004B7E50">
        <w:rPr>
          <w:rFonts w:ascii="Palatino Linotype" w:eastAsia="Palatino Linotype" w:hAnsi="Palatino Linotype" w:cs="Palatino Linotype"/>
          <w:b/>
          <w:sz w:val="24"/>
        </w:rPr>
        <w:t>(SAIMEX)</w:t>
      </w:r>
      <w:r w:rsidRPr="004B7E50">
        <w:rPr>
          <w:rFonts w:ascii="Palatino Linotype" w:eastAsia="Palatino Linotype" w:hAnsi="Palatino Linotype" w:cs="Palatino Linotype"/>
          <w:sz w:val="24"/>
        </w:rPr>
        <w:t xml:space="preserve">, la presente resolución al Titular de la Unidad de Transparencia del </w:t>
      </w:r>
      <w:r w:rsidRPr="004B7E50">
        <w:rPr>
          <w:rFonts w:ascii="Palatino Linotype" w:eastAsia="Palatino Linotype" w:hAnsi="Palatino Linotype" w:cs="Palatino Linotype"/>
          <w:b/>
          <w:sz w:val="24"/>
        </w:rPr>
        <w:t>SUJETO OBLIGADO.</w:t>
      </w:r>
    </w:p>
    <w:p w14:paraId="6055E1C8" w14:textId="77777777" w:rsidR="004B7E50" w:rsidRPr="004B7E50" w:rsidRDefault="004B7E50" w:rsidP="004B7E50">
      <w:pPr>
        <w:tabs>
          <w:tab w:val="left" w:pos="8080"/>
        </w:tabs>
        <w:spacing w:line="360" w:lineRule="auto"/>
        <w:ind w:right="49"/>
        <w:contextualSpacing/>
        <w:jc w:val="both"/>
        <w:rPr>
          <w:rFonts w:ascii="Palatino Linotype" w:eastAsia="Palatino Linotype" w:hAnsi="Palatino Linotype" w:cs="Palatino Linotype"/>
          <w:b/>
          <w:sz w:val="24"/>
        </w:rPr>
      </w:pPr>
    </w:p>
    <w:p w14:paraId="59C3A500" w14:textId="7DABA205" w:rsidR="004B7E50" w:rsidRPr="004B7E50" w:rsidRDefault="004B7E50" w:rsidP="004B7E50">
      <w:pPr>
        <w:shd w:val="clear" w:color="auto" w:fill="FFFFFF"/>
        <w:spacing w:line="360" w:lineRule="auto"/>
        <w:jc w:val="both"/>
        <w:rPr>
          <w:rFonts w:ascii="Palatino Linotype" w:hAnsi="Palatino Linotype"/>
          <w:color w:val="222222"/>
          <w:sz w:val="24"/>
          <w:lang w:val="es-ES" w:eastAsia="es-MX"/>
        </w:rPr>
      </w:pPr>
      <w:bookmarkStart w:id="29" w:name="_Toc462307694"/>
      <w:bookmarkStart w:id="30" w:name="_Toc473806819"/>
      <w:bookmarkStart w:id="31" w:name="_Toc477345211"/>
      <w:bookmarkStart w:id="32" w:name="_Toc480987181"/>
      <w:bookmarkStart w:id="33" w:name="_Toc480996314"/>
      <w:bookmarkStart w:id="34" w:name="_Toc485145214"/>
      <w:bookmarkStart w:id="35" w:name="_Toc490679149"/>
      <w:r w:rsidRPr="004B7E50">
        <w:rPr>
          <w:rFonts w:ascii="Palatino Linotype" w:hAnsi="Palatino Linotype"/>
          <w:b/>
          <w:sz w:val="24"/>
        </w:rPr>
        <w:t>CUARTO.</w:t>
      </w:r>
      <w:r w:rsidRPr="004B7E50">
        <w:rPr>
          <w:rStyle w:val="Ttulo2Car"/>
          <w:rFonts w:ascii="Palatino Linotype" w:hAnsi="Palatino Linotype"/>
          <w:b/>
          <w:sz w:val="32"/>
        </w:rPr>
        <w:t xml:space="preserve"> </w:t>
      </w:r>
      <w:r w:rsidRPr="004B7E50">
        <w:rPr>
          <w:rFonts w:ascii="Palatino Linotype" w:hAnsi="Palatino Linotype"/>
          <w:b/>
          <w:sz w:val="24"/>
        </w:rPr>
        <w:t>Notifíquese</w:t>
      </w:r>
      <w:r w:rsidRPr="004B7E50">
        <w:rPr>
          <w:rStyle w:val="Ttulo2Car"/>
          <w:rFonts w:ascii="Palatino Linotype" w:hAnsi="Palatino Linotype"/>
          <w:sz w:val="32"/>
        </w:rPr>
        <w:t xml:space="preserve"> </w:t>
      </w:r>
      <w:bookmarkEnd w:id="29"/>
      <w:bookmarkEnd w:id="30"/>
      <w:bookmarkEnd w:id="31"/>
      <w:bookmarkEnd w:id="32"/>
      <w:bookmarkEnd w:id="33"/>
      <w:bookmarkEnd w:id="34"/>
      <w:bookmarkEnd w:id="35"/>
      <w:r w:rsidRPr="004B7E50">
        <w:rPr>
          <w:rFonts w:ascii="Palatino Linotype" w:hAnsi="Palatino Linotype"/>
          <w:sz w:val="24"/>
        </w:rPr>
        <w:t xml:space="preserve">a </w:t>
      </w:r>
      <w:r w:rsidR="00A833DD" w:rsidRPr="00A833DD">
        <w:rPr>
          <w:rFonts w:ascii="Palatino Linotype" w:hAnsi="Palatino Linotype"/>
          <w:b/>
          <w:sz w:val="24"/>
          <w:szCs w:val="24"/>
        </w:rPr>
        <w:t>XXXXX XXXXX XX XX XXXXXX</w:t>
      </w:r>
      <w:r w:rsidRPr="004B7E50">
        <w:rPr>
          <w:rFonts w:ascii="Palatino Linotype" w:hAnsi="Palatino Linotype"/>
          <w:b/>
          <w:sz w:val="24"/>
        </w:rPr>
        <w:t>,</w:t>
      </w:r>
      <w:r w:rsidRPr="004B7E50">
        <w:rPr>
          <w:rFonts w:ascii="Palatino Linotype" w:hAnsi="Palatino Linotype"/>
          <w:sz w:val="24"/>
        </w:rPr>
        <w:t xml:space="preserve"> la presente</w:t>
      </w:r>
      <w:r w:rsidRPr="004B7E50">
        <w:rPr>
          <w:rFonts w:ascii="Palatino Linotype" w:hAnsi="Palatino Linotype"/>
          <w:color w:val="222222"/>
          <w:sz w:val="24"/>
          <w:lang w:val="es-ES" w:eastAsia="es-MX"/>
        </w:rPr>
        <w:t xml:space="preserve"> resolución</w:t>
      </w:r>
      <w:r w:rsidR="008C1614">
        <w:rPr>
          <w:rFonts w:ascii="Palatino Linotype" w:hAnsi="Palatino Linotype"/>
          <w:color w:val="222222"/>
          <w:sz w:val="24"/>
          <w:lang w:val="es-ES" w:eastAsia="es-MX"/>
        </w:rPr>
        <w:t xml:space="preserve"> a través del Sistema de Acceso a la Información Mexiquense </w:t>
      </w:r>
      <w:r w:rsidR="008C1614" w:rsidRPr="008C1614">
        <w:rPr>
          <w:rFonts w:ascii="Palatino Linotype" w:hAnsi="Palatino Linotype"/>
          <w:b/>
          <w:color w:val="222222"/>
          <w:sz w:val="24"/>
          <w:lang w:val="es-ES" w:eastAsia="es-MX"/>
        </w:rPr>
        <w:t>(SAIMEX)</w:t>
      </w:r>
      <w:r w:rsidRPr="008C1614">
        <w:rPr>
          <w:rFonts w:ascii="Palatino Linotype" w:hAnsi="Palatino Linotype"/>
          <w:b/>
          <w:color w:val="222222"/>
          <w:sz w:val="24"/>
          <w:lang w:val="es-ES" w:eastAsia="es-MX"/>
        </w:rPr>
        <w:t>.</w:t>
      </w:r>
    </w:p>
    <w:p w14:paraId="419DC7B1" w14:textId="39530A4A"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b/>
          <w:color w:val="222222"/>
          <w:sz w:val="24"/>
          <w:lang w:val="es-ES" w:eastAsia="es-MX"/>
        </w:rPr>
        <w:t xml:space="preserve">QUINTO. </w:t>
      </w:r>
      <w:r w:rsidRPr="004B7E50">
        <w:rPr>
          <w:rFonts w:ascii="Palatino Linotype" w:hAnsi="Palatino Linotype"/>
          <w:color w:val="222222"/>
          <w:sz w:val="24"/>
          <w:lang w:val="es-ES" w:eastAsia="es-MX"/>
        </w:rPr>
        <w:t xml:space="preserve">Se hace del conocimiento del </w:t>
      </w:r>
      <w:r w:rsidR="00A833DD" w:rsidRPr="00A833DD">
        <w:rPr>
          <w:rFonts w:ascii="Palatino Linotype" w:hAnsi="Palatino Linotype"/>
          <w:b/>
          <w:sz w:val="24"/>
          <w:szCs w:val="24"/>
        </w:rPr>
        <w:t>XXXXX XXXXX XX XX XXXXXX</w:t>
      </w:r>
      <w:bookmarkStart w:id="36" w:name="_GoBack"/>
      <w:bookmarkEnd w:id="36"/>
      <w:r w:rsidRPr="004B7E50">
        <w:rPr>
          <w:rFonts w:ascii="Palatino Linotype" w:hAnsi="Palatino Linotype"/>
          <w:b/>
          <w:sz w:val="24"/>
          <w:szCs w:val="22"/>
        </w:rPr>
        <w:t xml:space="preserve"> </w:t>
      </w:r>
      <w:r w:rsidRPr="004B7E50">
        <w:rPr>
          <w:rFonts w:ascii="Palatino Linotype" w:hAnsi="Palatino Linotype"/>
          <w:color w:val="222222"/>
          <w:sz w:val="24"/>
          <w:lang w:val="es-ES" w:eastAsia="es-MX"/>
        </w:rPr>
        <w:t>que, de conformidad con lo establecido en el artículo 196 de la Ley de Transparencia y Acceso a la Información Pública del Estado de México y Municipios,</w:t>
      </w:r>
      <w:r w:rsidRPr="004B7E50">
        <w:rPr>
          <w:rFonts w:ascii="Palatino Linotype" w:hAnsi="Palatino Linotype"/>
          <w:color w:val="000000"/>
          <w:sz w:val="24"/>
          <w:shd w:val="clear" w:color="auto" w:fill="FFFFFF"/>
        </w:rPr>
        <w:t xml:space="preserve"> en caso de que considere que la resolución le cause algún perjuicio podrá impugnarla vía </w:t>
      </w:r>
      <w:r w:rsidRPr="004B7E50">
        <w:rPr>
          <w:rFonts w:ascii="Palatino Linotype" w:hAnsi="Palatino Linotype"/>
          <w:color w:val="222222"/>
          <w:sz w:val="24"/>
          <w:shd w:val="clear" w:color="auto" w:fill="FFFFFF"/>
          <w:lang w:val="es-ES"/>
        </w:rPr>
        <w:t>juicio de amparo en los términos de las leyes aplicables.</w:t>
      </w:r>
      <w:r w:rsidRPr="004B7E50">
        <w:rPr>
          <w:rFonts w:ascii="Palatino Linotype" w:hAnsi="Palatino Linotype"/>
          <w:sz w:val="24"/>
        </w:rPr>
        <w:t xml:space="preserve"> </w:t>
      </w:r>
    </w:p>
    <w:p w14:paraId="5D02B135" w14:textId="75A44CEC" w:rsidR="004B7E50" w:rsidRPr="004B7E50" w:rsidRDefault="004B7E50" w:rsidP="004B7E50">
      <w:pPr>
        <w:spacing w:before="240" w:after="240" w:line="360" w:lineRule="auto"/>
        <w:ind w:firstLine="1"/>
        <w:jc w:val="both"/>
        <w:rPr>
          <w:rFonts w:ascii="Palatino Linotype" w:hAnsi="Palatino Linotype"/>
          <w:sz w:val="24"/>
        </w:rPr>
      </w:pPr>
      <w:r w:rsidRPr="004B7E50">
        <w:rPr>
          <w:rFonts w:ascii="Palatino Linotype" w:hAnsi="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75D9E">
        <w:rPr>
          <w:rFonts w:ascii="Palatino Linotype" w:hAnsi="Palatino Linotype"/>
          <w:sz w:val="24"/>
        </w:rPr>
        <w:t>OCTAVA</w:t>
      </w:r>
      <w:r w:rsidRPr="004B7E50">
        <w:rPr>
          <w:rFonts w:ascii="Palatino Linotype" w:hAnsi="Palatino Linotype"/>
          <w:sz w:val="24"/>
        </w:rPr>
        <w:t xml:space="preserve"> SESIÓN ORDINARIA CELEBRADA EL </w:t>
      </w:r>
      <w:r w:rsidR="00575D9E">
        <w:rPr>
          <w:rFonts w:ascii="Palatino Linotype" w:hAnsi="Palatino Linotype"/>
          <w:sz w:val="24"/>
        </w:rPr>
        <w:t>VEINTISIETE</w:t>
      </w:r>
      <w:r w:rsidRPr="004B7E50">
        <w:rPr>
          <w:rFonts w:ascii="Palatino Linotype" w:hAnsi="Palatino Linotype"/>
          <w:sz w:val="24"/>
        </w:rPr>
        <w:t xml:space="preserve"> DE OCTUBRE DE DOS MIL VEINTIUNO, ANTE EL SECRETARIO TÉCNICO DEL PLENO ALEXIS TAPIA RAMÍREZ </w:t>
      </w:r>
    </w:p>
    <w:p w14:paraId="4B552B46" w14:textId="77777777" w:rsidR="004B7E50" w:rsidRDefault="004B7E50" w:rsidP="004B7E50">
      <w:pPr>
        <w:spacing w:before="240" w:after="240" w:line="360" w:lineRule="auto"/>
        <w:ind w:firstLine="1"/>
        <w:jc w:val="both"/>
        <w:rPr>
          <w:rFonts w:ascii="Palatino Linotype" w:hAnsi="Palatino Linotype"/>
        </w:rPr>
      </w:pPr>
    </w:p>
    <w:p w14:paraId="1D6A0149" w14:textId="77777777" w:rsidR="004B7E50" w:rsidRDefault="004B7E50" w:rsidP="004B7E50">
      <w:pPr>
        <w:spacing w:before="240" w:after="240" w:line="360" w:lineRule="auto"/>
        <w:ind w:firstLine="1"/>
        <w:jc w:val="both"/>
        <w:rPr>
          <w:rFonts w:ascii="Palatino Linotype" w:hAnsi="Palatino Linotype"/>
        </w:rPr>
      </w:pPr>
    </w:p>
    <w:p w14:paraId="06C013BB" w14:textId="77777777" w:rsidR="004B7E50" w:rsidRDefault="004B7E50" w:rsidP="004B7E50">
      <w:pPr>
        <w:spacing w:before="240" w:after="240" w:line="360" w:lineRule="auto"/>
        <w:ind w:firstLine="1"/>
        <w:jc w:val="both"/>
        <w:rPr>
          <w:rFonts w:ascii="Palatino Linotype" w:hAnsi="Palatino Linotype"/>
        </w:rPr>
      </w:pPr>
    </w:p>
    <w:p w14:paraId="11C1A7FB" w14:textId="77777777" w:rsidR="004B7E50" w:rsidRDefault="004B7E50" w:rsidP="004B7E50">
      <w:pPr>
        <w:spacing w:before="240" w:after="240" w:line="360" w:lineRule="auto"/>
        <w:ind w:firstLine="1"/>
        <w:jc w:val="both"/>
        <w:rPr>
          <w:rFonts w:ascii="Palatino Linotype" w:hAnsi="Palatino Linotype"/>
        </w:rPr>
      </w:pPr>
    </w:p>
    <w:p w14:paraId="4D5600C1" w14:textId="77777777" w:rsidR="004B7E50" w:rsidRDefault="004B7E50" w:rsidP="004B7E50">
      <w:pPr>
        <w:spacing w:before="240" w:after="240" w:line="360" w:lineRule="auto"/>
        <w:ind w:firstLine="1"/>
        <w:jc w:val="both"/>
        <w:rPr>
          <w:rFonts w:ascii="Palatino Linotype" w:hAnsi="Palatino Linotype"/>
        </w:rPr>
      </w:pPr>
    </w:p>
    <w:p w14:paraId="7767CB45" w14:textId="77777777" w:rsidR="004B7E50" w:rsidRDefault="004B7E50" w:rsidP="004B7E50">
      <w:pPr>
        <w:spacing w:before="240" w:after="240" w:line="360" w:lineRule="auto"/>
        <w:ind w:firstLine="1"/>
        <w:jc w:val="both"/>
        <w:rPr>
          <w:rFonts w:ascii="Palatino Linotype" w:hAnsi="Palatino Linotype"/>
        </w:rPr>
      </w:pPr>
    </w:p>
    <w:p w14:paraId="63EE0A21" w14:textId="77777777" w:rsidR="004B7E50" w:rsidRDefault="004B7E50" w:rsidP="004B7E50">
      <w:pPr>
        <w:spacing w:before="240" w:after="240" w:line="360" w:lineRule="auto"/>
        <w:ind w:firstLine="1"/>
        <w:jc w:val="both"/>
        <w:rPr>
          <w:rFonts w:ascii="Palatino Linotype" w:hAnsi="Palatino Linotype"/>
        </w:rPr>
      </w:pPr>
    </w:p>
    <w:p w14:paraId="3E077BC4" w14:textId="77777777" w:rsidR="004B7E50" w:rsidRDefault="004B7E50" w:rsidP="004B7E50">
      <w:pPr>
        <w:spacing w:before="240" w:after="240" w:line="360" w:lineRule="auto"/>
        <w:ind w:firstLine="1"/>
        <w:jc w:val="both"/>
        <w:rPr>
          <w:rFonts w:ascii="Palatino Linotype" w:hAnsi="Palatino Linotype"/>
        </w:rPr>
      </w:pPr>
    </w:p>
    <w:p w14:paraId="4023D7A2" w14:textId="77777777" w:rsidR="004B7E50" w:rsidRDefault="004B7E50" w:rsidP="004B7E50">
      <w:pPr>
        <w:spacing w:before="240" w:after="240" w:line="360" w:lineRule="auto"/>
        <w:ind w:firstLine="1"/>
        <w:jc w:val="both"/>
        <w:rPr>
          <w:rFonts w:ascii="Palatino Linotype" w:hAnsi="Palatino Linotype"/>
        </w:rPr>
      </w:pPr>
    </w:p>
    <w:p w14:paraId="3A143BFE" w14:textId="77777777" w:rsidR="004B7E50" w:rsidRDefault="004B7E50" w:rsidP="004B7E50">
      <w:pPr>
        <w:spacing w:before="240" w:after="240" w:line="360" w:lineRule="auto"/>
        <w:ind w:firstLine="1"/>
        <w:jc w:val="both"/>
        <w:rPr>
          <w:rFonts w:ascii="Palatino Linotype" w:hAnsi="Palatino Linotype"/>
        </w:rPr>
      </w:pPr>
    </w:p>
    <w:p w14:paraId="354E4675" w14:textId="77777777" w:rsidR="004B7E50" w:rsidRDefault="004B7E50" w:rsidP="004B7E50">
      <w:pPr>
        <w:spacing w:before="240" w:after="240" w:line="360" w:lineRule="auto"/>
        <w:ind w:firstLine="1"/>
        <w:jc w:val="both"/>
        <w:rPr>
          <w:rFonts w:ascii="Palatino Linotype" w:hAnsi="Palatino Linotype"/>
        </w:rPr>
      </w:pPr>
    </w:p>
    <w:p w14:paraId="16F1BF69" w14:textId="77777777" w:rsidR="004B7E50" w:rsidRDefault="004B7E50" w:rsidP="004B7E50">
      <w:pPr>
        <w:spacing w:before="240" w:after="240" w:line="360" w:lineRule="auto"/>
        <w:ind w:firstLine="1"/>
        <w:jc w:val="both"/>
        <w:rPr>
          <w:rFonts w:ascii="Palatino Linotype" w:hAnsi="Palatino Linotype"/>
        </w:rPr>
      </w:pPr>
    </w:p>
    <w:p w14:paraId="5348EEDE" w14:textId="77777777" w:rsidR="004B7E50" w:rsidRDefault="004B7E50" w:rsidP="004B7E50">
      <w:pPr>
        <w:spacing w:before="240" w:after="240" w:line="360" w:lineRule="auto"/>
        <w:ind w:firstLine="1"/>
        <w:jc w:val="both"/>
        <w:rPr>
          <w:rFonts w:ascii="Palatino Linotype" w:hAnsi="Palatino Linotype"/>
        </w:rPr>
      </w:pPr>
    </w:p>
    <w:p w14:paraId="30009EAE" w14:textId="77777777" w:rsidR="004B7E50" w:rsidRDefault="004B7E50" w:rsidP="004B7E50">
      <w:pPr>
        <w:spacing w:before="240" w:after="240" w:line="360" w:lineRule="auto"/>
        <w:ind w:firstLine="1"/>
        <w:jc w:val="both"/>
        <w:rPr>
          <w:rFonts w:ascii="Palatino Linotype" w:hAnsi="Palatino Linotype"/>
        </w:rPr>
      </w:pPr>
    </w:p>
    <w:p w14:paraId="22D43F7F" w14:textId="77777777" w:rsidR="004B7E50" w:rsidRDefault="004B7E50" w:rsidP="004B7E50">
      <w:pPr>
        <w:spacing w:before="240" w:after="240" w:line="360" w:lineRule="auto"/>
        <w:ind w:firstLine="1"/>
        <w:jc w:val="both"/>
        <w:rPr>
          <w:rFonts w:ascii="Palatino Linotype" w:hAnsi="Palatino Linotype"/>
        </w:rPr>
      </w:pPr>
    </w:p>
    <w:p w14:paraId="4394AD26" w14:textId="77777777" w:rsidR="004B7E50" w:rsidRDefault="004B7E50" w:rsidP="004B7E50">
      <w:pPr>
        <w:spacing w:before="240" w:after="240" w:line="360" w:lineRule="auto"/>
        <w:ind w:firstLine="1"/>
        <w:jc w:val="both"/>
        <w:rPr>
          <w:rFonts w:ascii="Palatino Linotype" w:hAnsi="Palatino Linotype"/>
        </w:rPr>
      </w:pPr>
    </w:p>
    <w:p w14:paraId="39C3659E" w14:textId="77777777" w:rsidR="004B7E50" w:rsidRDefault="004B7E50" w:rsidP="004B7E50">
      <w:pPr>
        <w:spacing w:before="240" w:after="360" w:line="360" w:lineRule="auto"/>
        <w:jc w:val="both"/>
        <w:rPr>
          <w:rFonts w:ascii="Palatino Linotype" w:hAnsi="Palatino Linotype"/>
          <w:color w:val="222222"/>
          <w:lang w:val="es-ES" w:eastAsia="es-MX"/>
        </w:rPr>
      </w:pPr>
    </w:p>
    <w:p w14:paraId="56249395" w14:textId="77777777" w:rsidR="00871738" w:rsidRPr="004B7E50" w:rsidRDefault="00871738" w:rsidP="004B7E50">
      <w:pPr>
        <w:rPr>
          <w:rFonts w:eastAsia="Calibri"/>
        </w:rPr>
      </w:pPr>
    </w:p>
    <w:sectPr w:rsidR="00871738" w:rsidRPr="004B7E50">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B8DA6" w14:textId="77777777" w:rsidR="00080758" w:rsidRDefault="00080758">
      <w:r>
        <w:separator/>
      </w:r>
    </w:p>
  </w:endnote>
  <w:endnote w:type="continuationSeparator" w:id="0">
    <w:p w14:paraId="58981448" w14:textId="77777777" w:rsidR="00080758" w:rsidRDefault="0008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372C3" w:rsidRDefault="002372C3">
            <w:pPr>
              <w:pStyle w:val="Piedepgina"/>
              <w:jc w:val="right"/>
            </w:pPr>
          </w:p>
          <w:p w14:paraId="1F7A191C" w14:textId="2A69F491" w:rsidR="002372C3" w:rsidRDefault="002372C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33D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33DD">
              <w:rPr>
                <w:b/>
                <w:bCs/>
                <w:noProof/>
              </w:rPr>
              <w:t>25</w:t>
            </w:r>
            <w:r>
              <w:rPr>
                <w:b/>
                <w:bCs/>
                <w:sz w:val="24"/>
                <w:szCs w:val="24"/>
              </w:rPr>
              <w:fldChar w:fldCharType="end"/>
            </w:r>
          </w:p>
        </w:sdtContent>
      </w:sdt>
    </w:sdtContent>
  </w:sdt>
  <w:p w14:paraId="2A221972" w14:textId="77777777" w:rsidR="002372C3" w:rsidRDefault="002372C3">
    <w:pPr>
      <w:pStyle w:val="Piedepgina"/>
    </w:pPr>
  </w:p>
  <w:p w14:paraId="1D6FF208" w14:textId="77777777" w:rsidR="002372C3" w:rsidRDefault="002372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372C3" w:rsidRDefault="002372C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33D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33DD">
              <w:rPr>
                <w:b/>
                <w:bCs/>
                <w:noProof/>
              </w:rPr>
              <w:t>25</w:t>
            </w:r>
            <w:r>
              <w:rPr>
                <w:b/>
                <w:bCs/>
                <w:sz w:val="24"/>
                <w:szCs w:val="24"/>
              </w:rPr>
              <w:fldChar w:fldCharType="end"/>
            </w:r>
          </w:p>
        </w:sdtContent>
      </w:sdt>
    </w:sdtContent>
  </w:sdt>
  <w:p w14:paraId="2D12AEB2" w14:textId="77777777" w:rsidR="002372C3" w:rsidRDefault="002372C3">
    <w:pPr>
      <w:pStyle w:val="Piedepgina"/>
    </w:pPr>
  </w:p>
  <w:p w14:paraId="54227169" w14:textId="77777777" w:rsidR="002372C3" w:rsidRDefault="002372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698BE" w14:textId="77777777" w:rsidR="00080758" w:rsidRDefault="00080758">
      <w:r>
        <w:separator/>
      </w:r>
    </w:p>
  </w:footnote>
  <w:footnote w:type="continuationSeparator" w:id="0">
    <w:p w14:paraId="1D3E8E87" w14:textId="77777777" w:rsidR="00080758" w:rsidRDefault="00080758">
      <w:r>
        <w:continuationSeparator/>
      </w:r>
    </w:p>
  </w:footnote>
  <w:footnote w:id="1">
    <w:p w14:paraId="181E3DEF" w14:textId="77777777" w:rsidR="004B7E50" w:rsidRDefault="004B7E50" w:rsidP="004B7E50">
      <w:pPr>
        <w:pStyle w:val="Textonotapie"/>
      </w:pPr>
      <w:r>
        <w:rPr>
          <w:rStyle w:val="Refdenotaalpie"/>
        </w:rPr>
        <w:footnoteRef/>
      </w:r>
      <w:r>
        <w:t xml:space="preserve"> Fracción IV. Artículo 53. Ibídem.</w:t>
      </w:r>
    </w:p>
  </w:footnote>
  <w:footnote w:id="2">
    <w:p w14:paraId="59D31C0D" w14:textId="79420E39" w:rsidR="00EC1ECB" w:rsidRDefault="00EC1ECB">
      <w:pPr>
        <w:pStyle w:val="Textonotapie"/>
      </w:pPr>
      <w:r>
        <w:rPr>
          <w:rStyle w:val="Refdenotaalpie"/>
        </w:rPr>
        <w:footnoteRef/>
      </w:r>
      <w:r>
        <w:t xml:space="preserve"> </w:t>
      </w:r>
      <w:hyperlink r:id="rId1" w:history="1">
        <w:r w:rsidRPr="00E76AF9">
          <w:rPr>
            <w:rStyle w:val="Hipervnculo"/>
          </w:rPr>
          <w:t>https://seduo.edomex.gob.mx/marco_juridico</w:t>
        </w:r>
      </w:hyperlink>
    </w:p>
  </w:footnote>
  <w:footnote w:id="3">
    <w:p w14:paraId="378BE063" w14:textId="1EFCD667" w:rsidR="0037757D" w:rsidRDefault="0037757D">
      <w:pPr>
        <w:pStyle w:val="Textonotapie"/>
      </w:pPr>
      <w:r>
        <w:rPr>
          <w:rStyle w:val="Refdenotaalpie"/>
        </w:rPr>
        <w:footnoteRef/>
      </w:r>
      <w:r>
        <w:t xml:space="preserve"> </w:t>
      </w:r>
      <w:hyperlink r:id="rId2" w:history="1">
        <w:r w:rsidRPr="00E76AF9">
          <w:rPr>
            <w:rStyle w:val="Hipervnculo"/>
          </w:rPr>
          <w:t>http://legislacion.edomex.gob.mx/sites/legislacion.edomex.gob.mx/files/files/pdf/rgl/vig/rglvig150.pdf</w:t>
        </w:r>
      </w:hyperlink>
    </w:p>
  </w:footnote>
  <w:footnote w:id="4">
    <w:p w14:paraId="5E58D647" w14:textId="74FD85B8" w:rsidR="0037757D" w:rsidRDefault="0037757D">
      <w:pPr>
        <w:pStyle w:val="Textonotapie"/>
      </w:pPr>
      <w:r>
        <w:rPr>
          <w:rStyle w:val="Refdenotaalpie"/>
        </w:rPr>
        <w:footnoteRef/>
      </w:r>
      <w:r>
        <w:t xml:space="preserve"> </w:t>
      </w:r>
      <w:hyperlink r:id="rId3" w:history="1">
        <w:r w:rsidRPr="00E76AF9">
          <w:rPr>
            <w:rStyle w:val="Hipervnculo"/>
          </w:rPr>
          <w:t>https://legislacion.edomex.gob.mx/sites/legislacion.edomex.gob.mx/files/files/pdf/rgl/vig/rglvig706.pdf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372C3" w:rsidRDefault="0008075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372C3" w:rsidRDefault="002372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372C3" w14:paraId="6255E3A4" w14:textId="77777777" w:rsidTr="00814079">
      <w:trPr>
        <w:trHeight w:val="1435"/>
      </w:trPr>
      <w:tc>
        <w:tcPr>
          <w:tcW w:w="1843" w:type="dxa"/>
          <w:shd w:val="clear" w:color="auto" w:fill="auto"/>
        </w:tcPr>
        <w:p w14:paraId="3E05202F" w14:textId="4A7C9DF8" w:rsidR="002372C3" w:rsidRDefault="002372C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372C3" w:rsidRDefault="002372C3"/>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372C3" w14:paraId="727F90BF" w14:textId="77777777" w:rsidTr="00483482">
            <w:trPr>
              <w:trHeight w:val="338"/>
            </w:trPr>
            <w:tc>
              <w:tcPr>
                <w:tcW w:w="2551" w:type="dxa"/>
              </w:tcPr>
              <w:p w14:paraId="23087CD5" w14:textId="77777777" w:rsidR="002372C3" w:rsidRDefault="002372C3">
                <w:pPr>
                  <w:tabs>
                    <w:tab w:val="right" w:pos="8838"/>
                  </w:tabs>
                  <w:ind w:right="-105"/>
                  <w:rPr>
                    <w:rFonts w:ascii="Palatino Linotype" w:eastAsia="Calibri" w:hAnsi="Palatino Linotype" w:cs="Tahoma"/>
                    <w:b/>
                    <w:sz w:val="22"/>
                    <w:szCs w:val="22"/>
                    <w:lang w:eastAsia="en-US"/>
                  </w:rPr>
                </w:pPr>
              </w:p>
              <w:p w14:paraId="410A3741" w14:textId="535C9D39" w:rsidR="002372C3" w:rsidRDefault="002372C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372C3" w:rsidRDefault="002372C3" w:rsidP="00427B6E">
                <w:pPr>
                  <w:tabs>
                    <w:tab w:val="right" w:pos="8838"/>
                  </w:tabs>
                  <w:ind w:right="-105" w:hanging="101"/>
                  <w:jc w:val="both"/>
                  <w:rPr>
                    <w:rFonts w:ascii="Palatino Linotype" w:eastAsia="Calibri" w:hAnsi="Palatino Linotype" w:cs="Tahoma"/>
                    <w:bCs/>
                    <w:sz w:val="22"/>
                    <w:szCs w:val="22"/>
                    <w:lang w:eastAsia="en-US"/>
                  </w:rPr>
                </w:pPr>
              </w:p>
              <w:p w14:paraId="3FF69A05" w14:textId="50D1CA7F" w:rsidR="002372C3" w:rsidRPr="00045238" w:rsidRDefault="002372C3" w:rsidP="00F87101">
                <w:pPr>
                  <w:tabs>
                    <w:tab w:val="right" w:pos="8838"/>
                  </w:tabs>
                  <w:ind w:right="-105" w:hanging="101"/>
                  <w:jc w:val="both"/>
                  <w:rPr>
                    <w:rFonts w:ascii="Palatino Linotype" w:eastAsia="Calibri" w:hAnsi="Palatino Linotype" w:cs="Tahoma"/>
                    <w:bCs/>
                    <w:sz w:val="22"/>
                    <w:szCs w:val="22"/>
                    <w:lang w:eastAsia="en-US"/>
                  </w:rPr>
                </w:pPr>
                <w:r w:rsidRPr="00045238">
                  <w:rPr>
                    <w:rFonts w:ascii="Palatino Linotype" w:hAnsi="Palatino Linotype" w:cs="Arial"/>
                    <w:bCs/>
                    <w:sz w:val="22"/>
                    <w:szCs w:val="24"/>
                    <w:lang w:eastAsia="es-MX"/>
                  </w:rPr>
                  <w:t>04</w:t>
                </w:r>
                <w:r w:rsidR="00F87101">
                  <w:rPr>
                    <w:rFonts w:ascii="Palatino Linotype" w:hAnsi="Palatino Linotype" w:cs="Arial"/>
                    <w:bCs/>
                    <w:sz w:val="22"/>
                    <w:szCs w:val="24"/>
                    <w:lang w:eastAsia="es-MX"/>
                  </w:rPr>
                  <w:t>378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2372C3" w14:paraId="1389436A" w14:textId="4EB800AC" w:rsidTr="00483482">
            <w:trPr>
              <w:trHeight w:val="283"/>
            </w:trPr>
            <w:tc>
              <w:tcPr>
                <w:tcW w:w="2551" w:type="dxa"/>
              </w:tcPr>
              <w:p w14:paraId="22E0F4E9" w14:textId="77777777" w:rsidR="002372C3" w:rsidRDefault="002372C3">
                <w:pPr>
                  <w:tabs>
                    <w:tab w:val="right" w:pos="8838"/>
                  </w:tabs>
                  <w:ind w:right="-105"/>
                  <w:rPr>
                    <w:rFonts w:ascii="Palatino Linotype" w:eastAsia="Calibri" w:hAnsi="Palatino Linotype" w:cs="Tahoma"/>
                    <w:b/>
                    <w:sz w:val="22"/>
                    <w:szCs w:val="22"/>
                    <w:lang w:eastAsia="en-US"/>
                  </w:rPr>
                </w:pPr>
                <w:bookmarkStart w:id="37" w:name="_Hlk33010189"/>
                <w:r>
                  <w:rPr>
                    <w:rFonts w:ascii="Palatino Linotype" w:eastAsia="Calibri" w:hAnsi="Palatino Linotype" w:cs="Tahoma"/>
                    <w:b/>
                    <w:sz w:val="22"/>
                    <w:szCs w:val="22"/>
                    <w:lang w:eastAsia="en-US"/>
                  </w:rPr>
                  <w:t>Sujeto Obligado:</w:t>
                </w:r>
              </w:p>
            </w:tc>
            <w:tc>
              <w:tcPr>
                <w:tcW w:w="4544" w:type="dxa"/>
              </w:tcPr>
              <w:p w14:paraId="2B205C7F" w14:textId="48937A44" w:rsidR="002372C3" w:rsidRPr="00A8015B" w:rsidRDefault="00F87101"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hAnsi="Palatino Linotype"/>
                    <w:bCs/>
                    <w:sz w:val="22"/>
                    <w:szCs w:val="24"/>
                  </w:rPr>
                  <w:t>Secretaría de Desarrollo Urbano y Obra</w:t>
                </w:r>
              </w:p>
            </w:tc>
          </w:tr>
          <w:bookmarkEnd w:id="37"/>
          <w:tr w:rsidR="002372C3" w14:paraId="28CCE4E5" w14:textId="77777777" w:rsidTr="00483482">
            <w:trPr>
              <w:trHeight w:val="283"/>
            </w:trPr>
            <w:tc>
              <w:tcPr>
                <w:tcW w:w="2551" w:type="dxa"/>
              </w:tcPr>
              <w:p w14:paraId="13EBF3BB" w14:textId="77777777" w:rsidR="002372C3" w:rsidRDefault="002372C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2372C3" w:rsidRDefault="002372C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372C3" w:rsidRDefault="002372C3">
          <w:pPr>
            <w:tabs>
              <w:tab w:val="right" w:pos="8838"/>
            </w:tabs>
            <w:ind w:left="-28"/>
            <w:jc w:val="both"/>
            <w:rPr>
              <w:rFonts w:ascii="Arial" w:eastAsia="Calibri" w:hAnsi="Arial" w:cs="Arial"/>
              <w:b/>
              <w:sz w:val="22"/>
              <w:szCs w:val="22"/>
              <w:lang w:eastAsia="en-US"/>
            </w:rPr>
          </w:pPr>
        </w:p>
      </w:tc>
    </w:tr>
  </w:tbl>
  <w:p w14:paraId="07EF2D29" w14:textId="1620A8B4" w:rsidR="002372C3" w:rsidRDefault="0008075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372C3" w:rsidRDefault="002372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372C3" w14:paraId="61517A1D" w14:textId="77777777" w:rsidTr="003A6126">
      <w:trPr>
        <w:trHeight w:val="1435"/>
      </w:trPr>
      <w:tc>
        <w:tcPr>
          <w:tcW w:w="1560" w:type="dxa"/>
          <w:shd w:val="clear" w:color="auto" w:fill="auto"/>
        </w:tcPr>
        <w:p w14:paraId="4B74E846" w14:textId="1E0D62B9" w:rsidR="002372C3" w:rsidRDefault="002372C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372C3" w14:paraId="7F59E1EF" w14:textId="77777777" w:rsidTr="00483482">
            <w:trPr>
              <w:trHeight w:val="144"/>
            </w:trPr>
            <w:tc>
              <w:tcPr>
                <w:tcW w:w="2444" w:type="dxa"/>
              </w:tcPr>
              <w:p w14:paraId="5EFF942E"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bookmarkStart w:id="38" w:name="_Hlk12526980"/>
                <w:r>
                  <w:rPr>
                    <w:rFonts w:ascii="Palatino Linotype" w:eastAsia="Calibri" w:hAnsi="Palatino Linotype" w:cs="Tahoma"/>
                    <w:b/>
                    <w:sz w:val="22"/>
                    <w:szCs w:val="22"/>
                    <w:lang w:eastAsia="en-US"/>
                  </w:rPr>
                  <w:t>Recurso de Revisión:</w:t>
                </w:r>
              </w:p>
            </w:tc>
            <w:tc>
              <w:tcPr>
                <w:tcW w:w="4646" w:type="dxa"/>
              </w:tcPr>
              <w:p w14:paraId="0DE47EE2" w14:textId="69BB9238" w:rsidR="002372C3" w:rsidRDefault="00F87101" w:rsidP="00F87101">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04378</w:t>
                </w:r>
                <w:r w:rsidR="002372C3" w:rsidRPr="00045238">
                  <w:rPr>
                    <w:rFonts w:ascii="Palatino Linotype" w:hAnsi="Palatino Linotype" w:cs="Arial"/>
                    <w:bCs/>
                    <w:sz w:val="22"/>
                    <w:szCs w:val="24"/>
                    <w:lang w:eastAsia="es-MX"/>
                  </w:rPr>
                  <w:t>/INFOEM/IP/RR/2021</w:t>
                </w:r>
              </w:p>
            </w:tc>
            <w:tc>
              <w:tcPr>
                <w:tcW w:w="3402" w:type="dxa"/>
              </w:tcPr>
              <w:p w14:paraId="11E4533C" w14:textId="3B21362A" w:rsidR="002372C3" w:rsidRDefault="002372C3">
                <w:pPr>
                  <w:tabs>
                    <w:tab w:val="right" w:pos="8838"/>
                  </w:tabs>
                  <w:ind w:left="-74" w:right="-105"/>
                  <w:jc w:val="both"/>
                  <w:rPr>
                    <w:rFonts w:ascii="Palatino Linotype" w:eastAsia="Calibri" w:hAnsi="Palatino Linotype" w:cs="Tahoma"/>
                    <w:bCs/>
                    <w:sz w:val="22"/>
                    <w:szCs w:val="22"/>
                    <w:lang w:eastAsia="en-US"/>
                  </w:rPr>
                </w:pPr>
              </w:p>
            </w:tc>
          </w:tr>
          <w:tr w:rsidR="002372C3" w14:paraId="3FC4FA7D" w14:textId="77777777" w:rsidTr="00483482">
            <w:trPr>
              <w:trHeight w:val="144"/>
            </w:trPr>
            <w:tc>
              <w:tcPr>
                <w:tcW w:w="2444" w:type="dxa"/>
              </w:tcPr>
              <w:p w14:paraId="363D966B"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bookmarkStart w:id="39" w:name="_Hlk10641523"/>
                <w:bookmarkEnd w:id="38"/>
                <w:r>
                  <w:rPr>
                    <w:rFonts w:ascii="Palatino Linotype" w:eastAsia="Calibri" w:hAnsi="Palatino Linotype" w:cs="Tahoma"/>
                    <w:b/>
                    <w:sz w:val="22"/>
                    <w:szCs w:val="22"/>
                    <w:lang w:eastAsia="en-US"/>
                  </w:rPr>
                  <w:t>Recurrente:</w:t>
                </w:r>
              </w:p>
            </w:tc>
            <w:tc>
              <w:tcPr>
                <w:tcW w:w="4646" w:type="dxa"/>
              </w:tcPr>
              <w:p w14:paraId="73C065CD" w14:textId="22040CDD" w:rsidR="002372C3" w:rsidRPr="004B7E50" w:rsidRDefault="00A833DD" w:rsidP="00A833DD">
                <w:pPr>
                  <w:tabs>
                    <w:tab w:val="left" w:pos="3122"/>
                    <w:tab w:val="right" w:pos="8838"/>
                  </w:tabs>
                  <w:ind w:right="1457"/>
                  <w:jc w:val="both"/>
                  <w:rPr>
                    <w:rFonts w:ascii="Palatino Linotype" w:eastAsia="Calibri" w:hAnsi="Palatino Linotype" w:cs="Tahoma"/>
                    <w:sz w:val="22"/>
                    <w:szCs w:val="22"/>
                    <w:lang w:eastAsia="en-US"/>
                  </w:rPr>
                </w:pPr>
                <w:r>
                  <w:rPr>
                    <w:rFonts w:ascii="Palatino Linotype" w:hAnsi="Palatino Linotype"/>
                    <w:sz w:val="22"/>
                    <w:szCs w:val="24"/>
                  </w:rPr>
                  <w:t>XXXXX</w:t>
                </w:r>
                <w:r w:rsidR="00F87101">
                  <w:rPr>
                    <w:rFonts w:ascii="Palatino Linotype" w:hAnsi="Palatino Linotype"/>
                    <w:sz w:val="22"/>
                    <w:szCs w:val="24"/>
                  </w:rPr>
                  <w:t xml:space="preserve"> </w:t>
                </w:r>
                <w:r>
                  <w:rPr>
                    <w:rFonts w:ascii="Palatino Linotype" w:hAnsi="Palatino Linotype"/>
                    <w:sz w:val="22"/>
                    <w:szCs w:val="24"/>
                  </w:rPr>
                  <w:t>XXXXX</w:t>
                </w:r>
                <w:r w:rsidR="00F87101">
                  <w:rPr>
                    <w:rFonts w:ascii="Palatino Linotype" w:hAnsi="Palatino Linotype"/>
                    <w:sz w:val="22"/>
                    <w:szCs w:val="24"/>
                  </w:rPr>
                  <w:t xml:space="preserve"> </w:t>
                </w:r>
                <w:r>
                  <w:rPr>
                    <w:rFonts w:ascii="Palatino Linotype" w:hAnsi="Palatino Linotype"/>
                    <w:sz w:val="22"/>
                    <w:szCs w:val="24"/>
                  </w:rPr>
                  <w:t>XX</w:t>
                </w:r>
                <w:r w:rsidR="00F87101">
                  <w:rPr>
                    <w:rFonts w:ascii="Palatino Linotype" w:hAnsi="Palatino Linotype"/>
                    <w:sz w:val="22"/>
                    <w:szCs w:val="24"/>
                  </w:rPr>
                  <w:t xml:space="preserve"> </w:t>
                </w:r>
                <w:r>
                  <w:rPr>
                    <w:rFonts w:ascii="Palatino Linotype" w:hAnsi="Palatino Linotype"/>
                    <w:sz w:val="22"/>
                    <w:szCs w:val="24"/>
                  </w:rPr>
                  <w:t>XX</w:t>
                </w:r>
                <w:r w:rsidR="00F87101">
                  <w:rPr>
                    <w:rFonts w:ascii="Palatino Linotype" w:hAnsi="Palatino Linotype"/>
                    <w:sz w:val="22"/>
                    <w:szCs w:val="24"/>
                  </w:rPr>
                  <w:t xml:space="preserve"> </w:t>
                </w:r>
                <w:r>
                  <w:rPr>
                    <w:rFonts w:ascii="Palatino Linotype" w:hAnsi="Palatino Linotype"/>
                    <w:sz w:val="22"/>
                    <w:szCs w:val="24"/>
                  </w:rPr>
                  <w:t>XXXXXX</w:t>
                </w:r>
              </w:p>
            </w:tc>
            <w:tc>
              <w:tcPr>
                <w:tcW w:w="3402" w:type="dxa"/>
              </w:tcPr>
              <w:p w14:paraId="370E6EFF" w14:textId="3B7EABB6" w:rsidR="002372C3" w:rsidRDefault="002372C3" w:rsidP="003037E1">
                <w:pPr>
                  <w:tabs>
                    <w:tab w:val="left" w:pos="3122"/>
                    <w:tab w:val="right" w:pos="8838"/>
                  </w:tabs>
                  <w:ind w:right="-105"/>
                  <w:jc w:val="both"/>
                  <w:rPr>
                    <w:rFonts w:ascii="Palatino Linotype" w:eastAsia="Calibri" w:hAnsi="Palatino Linotype" w:cs="Tahoma"/>
                    <w:sz w:val="22"/>
                    <w:szCs w:val="22"/>
                    <w:lang w:eastAsia="en-US"/>
                  </w:rPr>
                </w:pPr>
              </w:p>
            </w:tc>
          </w:tr>
          <w:bookmarkEnd w:id="39"/>
          <w:tr w:rsidR="002372C3" w14:paraId="4D832A43" w14:textId="77777777" w:rsidTr="00483482">
            <w:trPr>
              <w:trHeight w:val="283"/>
            </w:trPr>
            <w:tc>
              <w:tcPr>
                <w:tcW w:w="2444" w:type="dxa"/>
              </w:tcPr>
              <w:p w14:paraId="02CA5CB0"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C6499A3" w:rsidR="002372C3" w:rsidRPr="004B7E50" w:rsidRDefault="00F87101"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bCs/>
                    <w:sz w:val="22"/>
                    <w:szCs w:val="24"/>
                  </w:rPr>
                  <w:t>Secretaría de Desarrollo Urbano y Obra</w:t>
                </w:r>
              </w:p>
            </w:tc>
            <w:tc>
              <w:tcPr>
                <w:tcW w:w="3402" w:type="dxa"/>
              </w:tcPr>
              <w:p w14:paraId="00F18B8C" w14:textId="77777777" w:rsidR="002372C3" w:rsidRDefault="002372C3">
                <w:pPr>
                  <w:tabs>
                    <w:tab w:val="left" w:pos="2834"/>
                    <w:tab w:val="right" w:pos="8838"/>
                  </w:tabs>
                  <w:ind w:left="-74" w:right="-105"/>
                  <w:jc w:val="both"/>
                  <w:rPr>
                    <w:rFonts w:ascii="Palatino Linotype" w:eastAsia="Calibri" w:hAnsi="Palatino Linotype" w:cs="Tahoma"/>
                    <w:sz w:val="22"/>
                    <w:szCs w:val="22"/>
                    <w:lang w:eastAsia="en-US"/>
                  </w:rPr>
                </w:pPr>
              </w:p>
            </w:tc>
          </w:tr>
          <w:tr w:rsidR="002372C3" w14:paraId="7BC74D7A" w14:textId="77777777" w:rsidTr="00483482">
            <w:trPr>
              <w:trHeight w:val="283"/>
            </w:trPr>
            <w:tc>
              <w:tcPr>
                <w:tcW w:w="2444" w:type="dxa"/>
              </w:tcPr>
              <w:p w14:paraId="3BF93338" w14:textId="77777777" w:rsidR="002372C3" w:rsidRDefault="002372C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2372C3" w:rsidRPr="003037E1" w:rsidRDefault="002372C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372C3" w:rsidRDefault="002372C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372C3" w:rsidRDefault="002372C3">
          <w:pPr>
            <w:tabs>
              <w:tab w:val="right" w:pos="8838"/>
            </w:tabs>
            <w:ind w:left="-28"/>
            <w:jc w:val="both"/>
            <w:rPr>
              <w:rFonts w:ascii="Arial" w:eastAsia="Calibri" w:hAnsi="Arial" w:cs="Arial"/>
              <w:b/>
              <w:sz w:val="22"/>
              <w:szCs w:val="22"/>
              <w:lang w:eastAsia="en-US"/>
            </w:rPr>
          </w:pPr>
        </w:p>
      </w:tc>
    </w:tr>
  </w:tbl>
  <w:p w14:paraId="5F654A99" w14:textId="6CB7D4AE" w:rsidR="002372C3" w:rsidRDefault="0008075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3E53D4"/>
    <w:multiLevelType w:val="hybridMultilevel"/>
    <w:tmpl w:val="D9E49E1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901918"/>
    <w:multiLevelType w:val="hybridMultilevel"/>
    <w:tmpl w:val="BFC0C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7"/>
  </w:num>
  <w:num w:numId="7">
    <w:abstractNumId w:val="1"/>
  </w:num>
  <w:num w:numId="8">
    <w:abstractNumId w:val="8"/>
  </w:num>
  <w:num w:numId="9">
    <w:abstractNumId w:val="18"/>
  </w:num>
  <w:num w:numId="10">
    <w:abstractNumId w:val="28"/>
  </w:num>
  <w:num w:numId="11">
    <w:abstractNumId w:val="26"/>
  </w:num>
  <w:num w:numId="12">
    <w:abstractNumId w:val="20"/>
  </w:num>
  <w:num w:numId="13">
    <w:abstractNumId w:val="9"/>
  </w:num>
  <w:num w:numId="14">
    <w:abstractNumId w:val="4"/>
  </w:num>
  <w:num w:numId="15">
    <w:abstractNumId w:val="16"/>
  </w:num>
  <w:num w:numId="16">
    <w:abstractNumId w:val="15"/>
  </w:num>
  <w:num w:numId="17">
    <w:abstractNumId w:val="5"/>
  </w:num>
  <w:num w:numId="18">
    <w:abstractNumId w:val="14"/>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4"/>
  </w:num>
  <w:num w:numId="23">
    <w:abstractNumId w:val="27"/>
  </w:num>
  <w:num w:numId="24">
    <w:abstractNumId w:val="13"/>
  </w:num>
  <w:num w:numId="25">
    <w:abstractNumId w:val="6"/>
  </w:num>
  <w:num w:numId="26">
    <w:abstractNumId w:val="2"/>
  </w:num>
  <w:num w:numId="27">
    <w:abstractNumId w:val="23"/>
  </w:num>
  <w:num w:numId="28">
    <w:abstractNumId w:val="25"/>
  </w:num>
  <w:num w:numId="29">
    <w:abstractNumId w:val="21"/>
  </w:num>
  <w:num w:numId="30">
    <w:abstractNumId w:val="22"/>
  </w:num>
  <w:num w:numId="3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0851"/>
    <w:rsid w:val="00071A4A"/>
    <w:rsid w:val="00071F02"/>
    <w:rsid w:val="00072BFF"/>
    <w:rsid w:val="000741E2"/>
    <w:rsid w:val="000758B2"/>
    <w:rsid w:val="0008033A"/>
    <w:rsid w:val="00080758"/>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C7FF6"/>
    <w:rsid w:val="000D0B08"/>
    <w:rsid w:val="000D1A29"/>
    <w:rsid w:val="000D1DDF"/>
    <w:rsid w:val="000D2A27"/>
    <w:rsid w:val="000D4027"/>
    <w:rsid w:val="000D485D"/>
    <w:rsid w:val="000D5156"/>
    <w:rsid w:val="000D5383"/>
    <w:rsid w:val="000D60B0"/>
    <w:rsid w:val="000D6157"/>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2BC"/>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155"/>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126"/>
    <w:rsid w:val="001F1540"/>
    <w:rsid w:val="001F176D"/>
    <w:rsid w:val="001F2768"/>
    <w:rsid w:val="001F2DB2"/>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2C3"/>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6ED6"/>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B09"/>
    <w:rsid w:val="00303CAD"/>
    <w:rsid w:val="00303CD6"/>
    <w:rsid w:val="00303E71"/>
    <w:rsid w:val="00304E7C"/>
    <w:rsid w:val="00306418"/>
    <w:rsid w:val="003074B3"/>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3AF"/>
    <w:rsid w:val="00355DC6"/>
    <w:rsid w:val="00357700"/>
    <w:rsid w:val="003604D7"/>
    <w:rsid w:val="00360D94"/>
    <w:rsid w:val="00361176"/>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4EF1"/>
    <w:rsid w:val="003756AF"/>
    <w:rsid w:val="00375815"/>
    <w:rsid w:val="003758FD"/>
    <w:rsid w:val="00375E9B"/>
    <w:rsid w:val="00377383"/>
    <w:rsid w:val="0037757D"/>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1D0A"/>
    <w:rsid w:val="003D5FF4"/>
    <w:rsid w:val="003D624F"/>
    <w:rsid w:val="003D75E8"/>
    <w:rsid w:val="003D778F"/>
    <w:rsid w:val="003E1166"/>
    <w:rsid w:val="003E31E5"/>
    <w:rsid w:val="003E32ED"/>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826"/>
    <w:rsid w:val="00483936"/>
    <w:rsid w:val="00483AAE"/>
    <w:rsid w:val="0048519E"/>
    <w:rsid w:val="004851D5"/>
    <w:rsid w:val="00485B03"/>
    <w:rsid w:val="00485C4A"/>
    <w:rsid w:val="00485E3E"/>
    <w:rsid w:val="00485EC7"/>
    <w:rsid w:val="004860BD"/>
    <w:rsid w:val="00487430"/>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7542"/>
    <w:rsid w:val="004B769A"/>
    <w:rsid w:val="004B7DB2"/>
    <w:rsid w:val="004B7E50"/>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A3B"/>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5D9E"/>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30B0"/>
    <w:rsid w:val="005D457F"/>
    <w:rsid w:val="005D49C8"/>
    <w:rsid w:val="005D5607"/>
    <w:rsid w:val="005D5A8D"/>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642"/>
    <w:rsid w:val="007856ED"/>
    <w:rsid w:val="00785985"/>
    <w:rsid w:val="00786FF3"/>
    <w:rsid w:val="007876CF"/>
    <w:rsid w:val="00787B77"/>
    <w:rsid w:val="0079162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55B"/>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9FC"/>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22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4D47"/>
    <w:rsid w:val="008B5AB3"/>
    <w:rsid w:val="008B5CCB"/>
    <w:rsid w:val="008B666C"/>
    <w:rsid w:val="008B6765"/>
    <w:rsid w:val="008B6848"/>
    <w:rsid w:val="008C1614"/>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6F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218E"/>
    <w:rsid w:val="00943BCE"/>
    <w:rsid w:val="00945DBE"/>
    <w:rsid w:val="009467E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8B6"/>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F87"/>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00F7"/>
    <w:rsid w:val="00A719AA"/>
    <w:rsid w:val="00A73DE3"/>
    <w:rsid w:val="00A74C2D"/>
    <w:rsid w:val="00A74D33"/>
    <w:rsid w:val="00A7564A"/>
    <w:rsid w:val="00A76B34"/>
    <w:rsid w:val="00A8015B"/>
    <w:rsid w:val="00A833DD"/>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3A4"/>
    <w:rsid w:val="00B116CC"/>
    <w:rsid w:val="00B12CC8"/>
    <w:rsid w:val="00B1369F"/>
    <w:rsid w:val="00B14154"/>
    <w:rsid w:val="00B1415B"/>
    <w:rsid w:val="00B15278"/>
    <w:rsid w:val="00B160E2"/>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18B8"/>
    <w:rsid w:val="00BB1B3C"/>
    <w:rsid w:val="00BB375D"/>
    <w:rsid w:val="00BB391B"/>
    <w:rsid w:val="00BB3D85"/>
    <w:rsid w:val="00BB49A0"/>
    <w:rsid w:val="00BB515F"/>
    <w:rsid w:val="00BB52AE"/>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0D"/>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763"/>
    <w:rsid w:val="00CE76FF"/>
    <w:rsid w:val="00CF0BBF"/>
    <w:rsid w:val="00CF1CF7"/>
    <w:rsid w:val="00CF2530"/>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1FA5"/>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99C"/>
    <w:rsid w:val="00E60E5A"/>
    <w:rsid w:val="00E617BD"/>
    <w:rsid w:val="00E61CA8"/>
    <w:rsid w:val="00E61E05"/>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1ECB"/>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01"/>
    <w:rsid w:val="00F871D7"/>
    <w:rsid w:val="00F9173A"/>
    <w:rsid w:val="00F91800"/>
    <w:rsid w:val="00F93469"/>
    <w:rsid w:val="00F93AF9"/>
    <w:rsid w:val="00F94E99"/>
    <w:rsid w:val="00F9540C"/>
    <w:rsid w:val="00F959F3"/>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453"/>
    <w:rsid w:val="00FB55F4"/>
    <w:rsid w:val="00FB58D8"/>
    <w:rsid w:val="00FB5C1A"/>
    <w:rsid w:val="00FB5E6F"/>
    <w:rsid w:val="00FB677F"/>
    <w:rsid w:val="00FB7115"/>
    <w:rsid w:val="00FB7140"/>
    <w:rsid w:val="00FC0B63"/>
    <w:rsid w:val="00FC12ED"/>
    <w:rsid w:val="00FC1748"/>
    <w:rsid w:val="00FC1EEB"/>
    <w:rsid w:val="00FC2209"/>
    <w:rsid w:val="00FC2584"/>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4525726">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5219955">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68326119">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5260671">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4005441">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8792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rgl/vig/rglvig706.pdf" TargetMode="External"/><Relationship Id="rId2" Type="http://schemas.openxmlformats.org/officeDocument/2006/relationships/hyperlink" Target="http://legislacion.edomex.gob.mx/sites/legislacion.edomex.gob.mx/files/files/pdf/rgl/vig/rglvig150.pdf" TargetMode="External"/><Relationship Id="rId1" Type="http://schemas.openxmlformats.org/officeDocument/2006/relationships/hyperlink" Target="https://seduo.edomex.gob.mx/marco_jurid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DC8FD-3D96-4900-9CB9-7BB67AF4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5188</Words>
  <Characters>28538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2021-10-29T19:20:00Z</dcterms:created>
  <dcterms:modified xsi:type="dcterms:W3CDTF">2021-10-29T19:20:00Z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